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D3789">
      <w:pPr>
        <w:spacing w:line="360" w:lineRule="auto"/>
        <w:jc w:val="both"/>
        <w:outlineLvl w:val="0"/>
        <w:rPr>
          <w:rFonts w:hint="default" w:ascii="仿宋" w:hAnsi="仿宋" w:eastAsia="仿宋" w:cs="仿宋"/>
          <w:b/>
          <w:color w:val="auto"/>
          <w:sz w:val="28"/>
          <w:highlight w:val="none"/>
          <w:lang w:val="en-US" w:eastAsia="zh-CN"/>
        </w:rPr>
      </w:pPr>
      <w:bookmarkStart w:id="0" w:name="_Toc31341"/>
      <w:bookmarkStart w:id="1" w:name="_Toc30500"/>
      <w:bookmarkStart w:id="2" w:name="_Toc16580"/>
      <w:bookmarkStart w:id="3" w:name="_Toc3721"/>
      <w:bookmarkStart w:id="4" w:name="_Toc31811"/>
      <w:bookmarkStart w:id="5" w:name="_Toc7052"/>
      <w:bookmarkStart w:id="6" w:name="_Toc424826962"/>
      <w:r>
        <w:rPr>
          <w:rFonts w:hint="eastAsia" w:ascii="仿宋" w:hAnsi="仿宋" w:eastAsia="仿宋" w:cs="仿宋"/>
          <w:b/>
          <w:color w:val="auto"/>
          <w:sz w:val="28"/>
          <w:highlight w:val="none"/>
        </w:rPr>
        <w:t>项目编号：</w:t>
      </w:r>
      <w:bookmarkEnd w:id="0"/>
      <w:r>
        <w:rPr>
          <w:rFonts w:hint="eastAsia" w:ascii="仿宋" w:hAnsi="仿宋" w:eastAsia="仿宋" w:cs="仿宋"/>
          <w:b/>
          <w:color w:val="auto"/>
          <w:sz w:val="28"/>
          <w:highlight w:val="none"/>
          <w:lang w:eastAsia="zh-CN"/>
        </w:rPr>
        <w:t>FDDL-2024183</w:t>
      </w:r>
      <w:r>
        <w:rPr>
          <w:rFonts w:hint="eastAsia" w:ascii="仿宋" w:hAnsi="仿宋" w:eastAsia="仿宋" w:cs="仿宋"/>
          <w:b/>
          <w:color w:val="auto"/>
          <w:sz w:val="28"/>
          <w:highlight w:val="none"/>
          <w:lang w:val="en-US" w:eastAsia="zh-CN"/>
        </w:rPr>
        <w:t>-</w:t>
      </w:r>
      <w:bookmarkEnd w:id="1"/>
      <w:r>
        <w:rPr>
          <w:rFonts w:hint="eastAsia" w:ascii="仿宋" w:hAnsi="仿宋" w:eastAsia="仿宋" w:cs="仿宋"/>
          <w:b/>
          <w:color w:val="auto"/>
          <w:sz w:val="28"/>
          <w:highlight w:val="none"/>
          <w:lang w:val="en-US" w:eastAsia="zh-CN"/>
        </w:rPr>
        <w:t>2</w:t>
      </w:r>
      <w:bookmarkEnd w:id="2"/>
      <w:bookmarkEnd w:id="3"/>
      <w:bookmarkEnd w:id="4"/>
    </w:p>
    <w:p w14:paraId="673B0907">
      <w:pPr>
        <w:spacing w:line="360" w:lineRule="auto"/>
        <w:ind w:left="0" w:leftChars="0" w:firstLine="0" w:firstLineChars="0"/>
        <w:jc w:val="center"/>
        <w:rPr>
          <w:rFonts w:hint="eastAsia" w:ascii="仿宋" w:hAnsi="仿宋" w:eastAsia="仿宋" w:cs="仿宋"/>
          <w:b/>
          <w:bCs/>
          <w:color w:val="auto"/>
          <w:sz w:val="11"/>
          <w:szCs w:val="11"/>
          <w:highlight w:val="none"/>
          <w:shd w:val="clear" w:color="auto" w:fill="FFFFFF"/>
        </w:rPr>
      </w:pPr>
    </w:p>
    <w:p w14:paraId="12CEE513">
      <w:pPr>
        <w:pStyle w:val="28"/>
        <w:rPr>
          <w:rFonts w:hint="eastAsia"/>
        </w:rPr>
      </w:pPr>
    </w:p>
    <w:p w14:paraId="7AA867C2">
      <w:pPr>
        <w:pStyle w:val="28"/>
        <w:rPr>
          <w:rFonts w:hint="eastAsia"/>
          <w:sz w:val="18"/>
          <w:szCs w:val="18"/>
        </w:rPr>
      </w:pPr>
    </w:p>
    <w:p w14:paraId="763EF96D">
      <w:pPr>
        <w:spacing w:line="360" w:lineRule="auto"/>
        <w:jc w:val="center"/>
        <w:rPr>
          <w:rFonts w:hint="eastAsia" w:ascii="仿宋" w:hAnsi="仿宋" w:eastAsia="仿宋" w:cs="仿宋"/>
          <w:b/>
          <w:bCs/>
          <w:color w:val="auto"/>
          <w:sz w:val="40"/>
          <w:szCs w:val="40"/>
          <w:highlight w:val="none"/>
          <w:shd w:val="clear" w:color="auto" w:fill="FFFFFF"/>
          <w:lang w:eastAsia="zh-CN"/>
        </w:rPr>
      </w:pPr>
      <w:r>
        <w:rPr>
          <w:rFonts w:hint="eastAsia" w:ascii="仿宋" w:hAnsi="仿宋" w:eastAsia="仿宋" w:cs="仿宋"/>
          <w:b/>
          <w:bCs/>
          <w:color w:val="auto"/>
          <w:sz w:val="40"/>
          <w:szCs w:val="40"/>
          <w:highlight w:val="none"/>
          <w:shd w:val="clear" w:color="auto" w:fill="FFFFFF"/>
          <w:lang w:eastAsia="zh-CN"/>
        </w:rPr>
        <w:t>汉滨区第三人民医院2024年度专科、基础医疗设备</w:t>
      </w:r>
      <w:r>
        <w:rPr>
          <w:rFonts w:hint="eastAsia" w:ascii="仿宋" w:hAnsi="仿宋" w:eastAsia="仿宋" w:cs="仿宋"/>
          <w:b/>
          <w:bCs/>
          <w:color w:val="auto"/>
          <w:sz w:val="40"/>
          <w:szCs w:val="40"/>
          <w:highlight w:val="none"/>
          <w:shd w:val="clear" w:color="auto" w:fill="FFFFFF"/>
          <w:lang w:val="en-US" w:eastAsia="zh-CN"/>
        </w:rPr>
        <w:t>清单</w:t>
      </w:r>
      <w:r>
        <w:rPr>
          <w:rFonts w:hint="eastAsia" w:ascii="仿宋" w:hAnsi="仿宋" w:eastAsia="仿宋" w:cs="仿宋"/>
          <w:b/>
          <w:bCs/>
          <w:color w:val="auto"/>
          <w:sz w:val="40"/>
          <w:szCs w:val="40"/>
          <w:highlight w:val="none"/>
          <w:shd w:val="clear" w:color="auto" w:fill="FFFFFF"/>
          <w:lang w:eastAsia="zh-CN"/>
        </w:rPr>
        <w:t>采购项目二标段新增专科医疗设备</w:t>
      </w:r>
    </w:p>
    <w:p w14:paraId="65A97F56">
      <w:pPr>
        <w:spacing w:line="360" w:lineRule="auto"/>
        <w:ind w:left="0" w:leftChars="0" w:firstLine="0" w:firstLineChars="0"/>
        <w:jc w:val="both"/>
        <w:rPr>
          <w:rFonts w:hint="eastAsia" w:ascii="仿宋" w:hAnsi="仿宋" w:eastAsia="仿宋" w:cs="仿宋"/>
          <w:b/>
          <w:color w:val="auto"/>
          <w:sz w:val="84"/>
          <w:szCs w:val="84"/>
          <w:highlight w:val="none"/>
        </w:rPr>
      </w:pPr>
    </w:p>
    <w:p w14:paraId="7EE36257">
      <w:pPr>
        <w:spacing w:line="360" w:lineRule="auto"/>
        <w:ind w:left="0" w:leftChars="0" w:firstLine="0" w:firstLineChars="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 标 文 件</w:t>
      </w:r>
    </w:p>
    <w:p w14:paraId="764E1EB1">
      <w:pPr>
        <w:spacing w:line="360" w:lineRule="auto"/>
        <w:ind w:firstLine="422"/>
        <w:jc w:val="center"/>
        <w:rPr>
          <w:rFonts w:hint="eastAsia" w:ascii="仿宋" w:hAnsi="仿宋" w:eastAsia="仿宋" w:cs="仿宋"/>
          <w:b/>
          <w:color w:val="auto"/>
          <w:highlight w:val="none"/>
        </w:rPr>
      </w:pPr>
    </w:p>
    <w:p w14:paraId="012BFF80">
      <w:pPr>
        <w:spacing w:line="360" w:lineRule="auto"/>
        <w:ind w:firstLine="422"/>
        <w:rPr>
          <w:rFonts w:hint="eastAsia" w:ascii="仿宋" w:hAnsi="仿宋" w:eastAsia="仿宋" w:cs="仿宋"/>
          <w:b/>
          <w:color w:val="auto"/>
          <w:highlight w:val="none"/>
        </w:rPr>
      </w:pPr>
    </w:p>
    <w:p w14:paraId="6FCB3A59">
      <w:pPr>
        <w:rPr>
          <w:rFonts w:hint="eastAsia" w:ascii="仿宋" w:hAnsi="仿宋" w:eastAsia="仿宋" w:cs="仿宋"/>
          <w:b/>
          <w:color w:val="auto"/>
          <w:highlight w:val="none"/>
        </w:rPr>
      </w:pPr>
    </w:p>
    <w:p w14:paraId="373E37D1">
      <w:pPr>
        <w:pStyle w:val="13"/>
        <w:rPr>
          <w:rFonts w:hint="eastAsia" w:ascii="仿宋" w:hAnsi="仿宋" w:eastAsia="仿宋" w:cs="仿宋"/>
          <w:b/>
          <w:color w:val="auto"/>
          <w:highlight w:val="none"/>
        </w:rPr>
      </w:pPr>
    </w:p>
    <w:p w14:paraId="22B30D1D">
      <w:pPr>
        <w:pStyle w:val="13"/>
        <w:rPr>
          <w:rFonts w:hint="eastAsia" w:ascii="仿宋" w:hAnsi="仿宋" w:eastAsia="仿宋" w:cs="仿宋"/>
          <w:b/>
          <w:color w:val="auto"/>
          <w:highlight w:val="none"/>
        </w:rPr>
      </w:pPr>
    </w:p>
    <w:p w14:paraId="078A3C47">
      <w:pPr>
        <w:rPr>
          <w:rFonts w:hint="eastAsia" w:ascii="仿宋" w:hAnsi="仿宋" w:eastAsia="仿宋" w:cs="仿宋"/>
          <w:color w:val="auto"/>
          <w:highlight w:val="none"/>
        </w:rPr>
      </w:pPr>
    </w:p>
    <w:p w14:paraId="192AEAB6">
      <w:pPr>
        <w:tabs>
          <w:tab w:val="left" w:pos="5145"/>
        </w:tabs>
        <w:ind w:firstLine="0" w:firstLineChars="0"/>
        <w:outlineLvl w:val="9"/>
        <w:rPr>
          <w:rFonts w:hint="eastAsia" w:ascii="仿宋" w:hAnsi="仿宋" w:eastAsia="仿宋" w:cs="仿宋"/>
          <w:b/>
          <w:color w:val="auto"/>
          <w:highlight w:val="none"/>
        </w:rPr>
      </w:pPr>
    </w:p>
    <w:p w14:paraId="3F079A91">
      <w:pPr>
        <w:pStyle w:val="7"/>
        <w:rPr>
          <w:rFonts w:hint="eastAsia" w:ascii="仿宋" w:hAnsi="仿宋" w:eastAsia="仿宋" w:cs="仿宋"/>
          <w:color w:val="auto"/>
          <w:highlight w:val="none"/>
        </w:rPr>
      </w:pPr>
    </w:p>
    <w:p w14:paraId="0422DF46">
      <w:pPr>
        <w:pStyle w:val="7"/>
        <w:rPr>
          <w:rFonts w:hint="eastAsia" w:ascii="仿宋" w:hAnsi="仿宋" w:eastAsia="仿宋" w:cs="仿宋"/>
          <w:color w:val="auto"/>
          <w:highlight w:val="none"/>
        </w:rPr>
      </w:pPr>
    </w:p>
    <w:p w14:paraId="0F61E4A1">
      <w:pPr>
        <w:pStyle w:val="13"/>
        <w:rPr>
          <w:rFonts w:hint="eastAsia" w:ascii="仿宋" w:hAnsi="仿宋" w:eastAsia="仿宋" w:cs="仿宋"/>
          <w:b/>
          <w:color w:val="auto"/>
          <w:sz w:val="28"/>
          <w:szCs w:val="28"/>
          <w:highlight w:val="none"/>
        </w:rPr>
      </w:pPr>
    </w:p>
    <w:p w14:paraId="45140BA3">
      <w:pPr>
        <w:pStyle w:val="13"/>
        <w:rPr>
          <w:rFonts w:hint="eastAsia" w:ascii="仿宋" w:hAnsi="仿宋" w:eastAsia="仿宋" w:cs="仿宋"/>
          <w:b/>
          <w:color w:val="auto"/>
          <w:sz w:val="28"/>
          <w:szCs w:val="28"/>
          <w:highlight w:val="none"/>
        </w:rPr>
      </w:pPr>
    </w:p>
    <w:p w14:paraId="68675925">
      <w:pPr>
        <w:spacing w:line="360" w:lineRule="auto"/>
        <w:ind w:firstLine="1844" w:firstLineChars="574"/>
        <w:outlineLvl w:val="0"/>
        <w:rPr>
          <w:rFonts w:hint="eastAsia" w:ascii="仿宋" w:hAnsi="仿宋" w:eastAsia="仿宋" w:cs="仿宋"/>
          <w:b/>
          <w:color w:val="auto"/>
          <w:sz w:val="32"/>
          <w:szCs w:val="32"/>
          <w:highlight w:val="none"/>
          <w:lang w:eastAsia="zh-CN"/>
        </w:rPr>
      </w:pPr>
      <w:bookmarkStart w:id="7" w:name="_Toc1798"/>
      <w:bookmarkStart w:id="8" w:name="_Toc18247"/>
      <w:bookmarkStart w:id="9" w:name="_Toc32109"/>
      <w:bookmarkStart w:id="10" w:name="_Toc21140"/>
      <w:bookmarkStart w:id="11" w:name="_Toc21746"/>
      <w:r>
        <w:rPr>
          <w:rFonts w:hint="eastAsia" w:ascii="仿宋" w:hAnsi="仿宋" w:eastAsia="仿宋" w:cs="仿宋"/>
          <w:b/>
          <w:color w:val="auto"/>
          <w:sz w:val="32"/>
          <w:szCs w:val="32"/>
          <w:highlight w:val="none"/>
        </w:rPr>
        <w:t>采   购   人：</w:t>
      </w:r>
      <w:bookmarkEnd w:id="7"/>
      <w:r>
        <w:rPr>
          <w:rFonts w:hint="eastAsia" w:ascii="仿宋" w:hAnsi="仿宋" w:eastAsia="仿宋" w:cs="仿宋"/>
          <w:b/>
          <w:color w:val="auto"/>
          <w:sz w:val="32"/>
          <w:szCs w:val="32"/>
          <w:highlight w:val="none"/>
          <w:lang w:eastAsia="zh-CN"/>
        </w:rPr>
        <w:t>汉滨区第三人民医院</w:t>
      </w:r>
      <w:bookmarkEnd w:id="8"/>
      <w:bookmarkEnd w:id="9"/>
      <w:bookmarkEnd w:id="10"/>
      <w:bookmarkEnd w:id="11"/>
    </w:p>
    <w:p w14:paraId="132DEF67">
      <w:pPr>
        <w:spacing w:line="360" w:lineRule="auto"/>
        <w:ind w:firstLine="1844" w:firstLineChars="574"/>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采购代理机构：陕西方得项目管理有限公司</w:t>
      </w:r>
    </w:p>
    <w:p w14:paraId="068C14B2">
      <w:pPr>
        <w:spacing w:before="101" w:line="225" w:lineRule="auto"/>
        <w:ind w:left="1486"/>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 xml:space="preserve">  </w:t>
      </w:r>
      <w:bookmarkStart w:id="12" w:name="_Toc20695"/>
      <w:bookmarkStart w:id="13" w:name="_Toc885"/>
      <w:bookmarkStart w:id="14" w:name="_Toc7253"/>
      <w:bookmarkStart w:id="15" w:name="_Toc9663"/>
      <w:bookmarkStart w:id="16" w:name="_Toc13675"/>
      <w:r>
        <w:rPr>
          <w:rFonts w:hint="eastAsia" w:ascii="仿宋" w:hAnsi="仿宋" w:eastAsia="仿宋" w:cs="仿宋"/>
          <w:b/>
          <w:color w:val="auto"/>
          <w:sz w:val="32"/>
          <w:szCs w:val="32"/>
          <w:highlight w:val="none"/>
        </w:rPr>
        <w:t>日        期：二〇二</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eastAsia="zh-CN"/>
        </w:rPr>
        <w:t>十二月</w:t>
      </w:r>
      <w:bookmarkEnd w:id="12"/>
      <w:bookmarkEnd w:id="13"/>
      <w:bookmarkEnd w:id="14"/>
      <w:bookmarkEnd w:id="15"/>
      <w:bookmarkEnd w:id="16"/>
    </w:p>
    <w:p w14:paraId="38027533">
      <w:pP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br w:type="page"/>
      </w:r>
    </w:p>
    <w:p w14:paraId="3C786010">
      <w:pPr>
        <w:spacing w:before="113" w:line="228" w:lineRule="auto"/>
        <w:jc w:val="center"/>
        <w:outlineLvl w:val="0"/>
        <w:rPr>
          <w:rFonts w:hint="eastAsia" w:ascii="仿宋" w:hAnsi="仿宋" w:eastAsia="仿宋" w:cs="仿宋"/>
          <w:color w:val="auto"/>
          <w:sz w:val="35"/>
          <w:szCs w:val="35"/>
          <w:highlight w:val="none"/>
        </w:rPr>
      </w:pPr>
      <w:bookmarkStart w:id="17" w:name="_Toc30381"/>
      <w:bookmarkStart w:id="18" w:name="_Toc21642"/>
      <w:bookmarkStart w:id="19" w:name="_Toc17275"/>
      <w:bookmarkStart w:id="20" w:name="_Toc27746"/>
      <w:bookmarkStart w:id="21" w:name="_Toc18541"/>
      <w:r>
        <w:rPr>
          <w:rFonts w:hint="eastAsia" w:ascii="仿宋" w:hAnsi="仿宋" w:eastAsia="仿宋" w:cs="仿宋"/>
          <w:color w:val="auto"/>
          <w:spacing w:val="7"/>
          <w:sz w:val="35"/>
          <w:szCs w:val="35"/>
          <w:highlight w:val="none"/>
        </w:rPr>
        <w:t>特</w:t>
      </w:r>
      <w:r>
        <w:rPr>
          <w:rFonts w:hint="eastAsia" w:ascii="仿宋" w:hAnsi="仿宋" w:eastAsia="仿宋" w:cs="仿宋"/>
          <w:color w:val="auto"/>
          <w:spacing w:val="5"/>
          <w:sz w:val="35"/>
          <w:szCs w:val="35"/>
          <w:highlight w:val="none"/>
        </w:rPr>
        <w:t>别提醒</w:t>
      </w:r>
      <w:bookmarkEnd w:id="17"/>
      <w:bookmarkEnd w:id="18"/>
      <w:bookmarkEnd w:id="19"/>
      <w:bookmarkEnd w:id="20"/>
      <w:bookmarkEnd w:id="21"/>
    </w:p>
    <w:p w14:paraId="55A609ED">
      <w:pPr>
        <w:rPr>
          <w:rFonts w:hint="eastAsia" w:ascii="仿宋" w:hAnsi="仿宋" w:eastAsia="仿宋" w:cs="仿宋"/>
          <w:color w:val="auto"/>
          <w:highlight w:val="none"/>
          <w:lang w:val="en-US" w:eastAsia="zh-CN"/>
        </w:rPr>
      </w:pPr>
    </w:p>
    <w:p w14:paraId="4FE262D0">
      <w:pPr>
        <w:spacing w:before="173" w:line="231" w:lineRule="auto"/>
        <w:outlineLvl w:val="0"/>
        <w:rPr>
          <w:rFonts w:hint="eastAsia" w:ascii="仿宋" w:hAnsi="仿宋" w:eastAsia="仿宋" w:cs="仿宋"/>
          <w:color w:val="auto"/>
          <w:sz w:val="23"/>
          <w:szCs w:val="23"/>
          <w:highlight w:val="none"/>
        </w:rPr>
      </w:pPr>
      <w:bookmarkStart w:id="22" w:name="_Toc22504"/>
      <w:bookmarkStart w:id="23" w:name="_Toc24557"/>
      <w:bookmarkStart w:id="24" w:name="_Toc26477"/>
      <w:bookmarkStart w:id="25" w:name="_Toc1712"/>
      <w:bookmarkStart w:id="26" w:name="_Toc11452"/>
      <w:bookmarkStart w:id="27" w:name="_Toc3831"/>
      <w:bookmarkStart w:id="28" w:name="_Toc12287"/>
      <w:bookmarkStart w:id="29" w:name="_Toc1493"/>
      <w:bookmarkStart w:id="30" w:name="_Toc31922"/>
      <w:bookmarkStart w:id="31" w:name="_Toc22536"/>
      <w:bookmarkStart w:id="32" w:name="_Toc8138"/>
      <w:bookmarkStart w:id="33" w:name="_Toc14289"/>
      <w:bookmarkStart w:id="34" w:name="_Toc28676"/>
      <w:r>
        <w:rPr>
          <w:rFonts w:hint="eastAsia" w:ascii="仿宋" w:hAnsi="仿宋" w:eastAsia="仿宋" w:cs="仿宋"/>
          <w:color w:val="auto"/>
          <w:spacing w:val="-2"/>
          <w:sz w:val="23"/>
          <w:szCs w:val="23"/>
          <w:highlight w:val="none"/>
        </w:rPr>
        <w:t>备注</w:t>
      </w:r>
      <w:r>
        <w:rPr>
          <w:rFonts w:hint="eastAsia" w:ascii="仿宋" w:hAnsi="仿宋" w:eastAsia="仿宋" w:cs="仿宋"/>
          <w:color w:val="auto"/>
          <w:spacing w:val="-1"/>
          <w:sz w:val="23"/>
          <w:szCs w:val="23"/>
          <w:highlight w:val="none"/>
        </w:rPr>
        <w:t>： 电子投标注意事项</w:t>
      </w:r>
      <w:bookmarkEnd w:id="22"/>
      <w:bookmarkEnd w:id="23"/>
      <w:bookmarkEnd w:id="24"/>
      <w:bookmarkEnd w:id="25"/>
      <w:bookmarkEnd w:id="26"/>
      <w:bookmarkEnd w:id="27"/>
      <w:bookmarkEnd w:id="28"/>
      <w:bookmarkEnd w:id="29"/>
      <w:bookmarkEnd w:id="30"/>
      <w:bookmarkEnd w:id="31"/>
      <w:bookmarkEnd w:id="32"/>
      <w:bookmarkEnd w:id="33"/>
      <w:bookmarkEnd w:id="34"/>
    </w:p>
    <w:p w14:paraId="7B87DEA1">
      <w:pPr>
        <w:spacing w:before="179" w:line="376" w:lineRule="auto"/>
        <w:ind w:left="15" w:right="70" w:firstLine="491"/>
        <w:outlineLvl w:val="9"/>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w:t>
      </w:r>
      <w:r>
        <w:rPr>
          <w:rFonts w:hint="eastAsia" w:ascii="仿宋" w:hAnsi="仿宋" w:eastAsia="仿宋" w:cs="仿宋"/>
          <w:color w:val="auto"/>
          <w:spacing w:val="13"/>
          <w:sz w:val="23"/>
          <w:szCs w:val="23"/>
          <w:highlight w:val="none"/>
        </w:rPr>
        <w:t>本</w:t>
      </w:r>
      <w:r>
        <w:rPr>
          <w:rFonts w:hint="eastAsia" w:ascii="仿宋" w:hAnsi="仿宋" w:eastAsia="仿宋" w:cs="仿宋"/>
          <w:color w:val="auto"/>
          <w:spacing w:val="10"/>
          <w:sz w:val="23"/>
          <w:szCs w:val="23"/>
          <w:highlight w:val="none"/>
        </w:rPr>
        <w:t>项目采用电子化投标的方式。投标人须使用数字认证证书对电子投标文件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8"/>
          <w:sz w:val="23"/>
          <w:szCs w:val="23"/>
          <w:highlight w:val="none"/>
        </w:rPr>
        <w:t>进</w:t>
      </w:r>
      <w:r>
        <w:rPr>
          <w:rFonts w:hint="eastAsia" w:ascii="仿宋" w:hAnsi="仿宋" w:eastAsia="仿宋" w:cs="仿宋"/>
          <w:color w:val="auto"/>
          <w:spacing w:val="20"/>
          <w:sz w:val="23"/>
          <w:szCs w:val="23"/>
          <w:highlight w:val="none"/>
        </w:rPr>
        <w:t>行</w:t>
      </w:r>
      <w:r>
        <w:rPr>
          <w:rFonts w:hint="eastAsia" w:ascii="仿宋" w:hAnsi="仿宋" w:eastAsia="仿宋" w:cs="仿宋"/>
          <w:color w:val="auto"/>
          <w:spacing w:val="14"/>
          <w:sz w:val="23"/>
          <w:szCs w:val="23"/>
          <w:highlight w:val="none"/>
        </w:rPr>
        <w:t>签章、加密、递交及开标时解密等相关招投标事宜。开标时请务必带数字认证</w:t>
      </w:r>
      <w:r>
        <w:rPr>
          <w:rFonts w:hint="eastAsia" w:ascii="仿宋" w:hAnsi="仿宋" w:eastAsia="仿宋" w:cs="仿宋"/>
          <w:color w:val="auto"/>
          <w:spacing w:val="28"/>
          <w:sz w:val="23"/>
          <w:szCs w:val="23"/>
          <w:highlight w:val="none"/>
        </w:rPr>
        <w:t>证</w:t>
      </w:r>
      <w:r>
        <w:rPr>
          <w:rFonts w:hint="eastAsia" w:ascii="仿宋" w:hAnsi="仿宋" w:eastAsia="仿宋" w:cs="仿宋"/>
          <w:color w:val="auto"/>
          <w:spacing w:val="20"/>
          <w:sz w:val="23"/>
          <w:szCs w:val="23"/>
          <w:highlight w:val="none"/>
        </w:rPr>
        <w:t>书</w:t>
      </w:r>
      <w:r>
        <w:rPr>
          <w:rFonts w:hint="eastAsia" w:ascii="仿宋" w:hAnsi="仿宋" w:eastAsia="仿宋" w:cs="仿宋"/>
          <w:color w:val="auto"/>
          <w:spacing w:val="14"/>
          <w:sz w:val="23"/>
          <w:szCs w:val="23"/>
          <w:highlight w:val="none"/>
        </w:rPr>
        <w:t>，如因投标单位自身原因未携带数字认证证书造成无法解投标文件，按无效投</w:t>
      </w:r>
      <w:r>
        <w:rPr>
          <w:rFonts w:hint="eastAsia" w:ascii="仿宋" w:hAnsi="仿宋" w:eastAsia="仿宋" w:cs="仿宋"/>
          <w:color w:val="auto"/>
          <w:spacing w:val="5"/>
          <w:sz w:val="23"/>
          <w:szCs w:val="23"/>
          <w:highlight w:val="none"/>
        </w:rPr>
        <w:t>标</w:t>
      </w:r>
      <w:r>
        <w:rPr>
          <w:rFonts w:hint="eastAsia" w:ascii="仿宋" w:hAnsi="仿宋" w:eastAsia="仿宋" w:cs="仿宋"/>
          <w:color w:val="auto"/>
          <w:spacing w:val="4"/>
          <w:sz w:val="23"/>
          <w:szCs w:val="23"/>
          <w:highlight w:val="none"/>
        </w:rPr>
        <w:t>对待。</w:t>
      </w:r>
    </w:p>
    <w:p w14:paraId="4C90950A">
      <w:pPr>
        <w:spacing w:before="3" w:line="375" w:lineRule="auto"/>
        <w:ind w:left="17" w:firstLine="474"/>
        <w:outlineLvl w:val="9"/>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2、制作电子投标文件。投标人须在“全国公共资源交易中心平合(陕</w:t>
      </w:r>
      <w:r>
        <w:rPr>
          <w:rFonts w:hint="eastAsia" w:ascii="仿宋" w:hAnsi="仿宋" w:eastAsia="仿宋" w:cs="仿宋"/>
          <w:color w:val="auto"/>
          <w:sz w:val="23"/>
          <w:szCs w:val="23"/>
          <w:highlight w:val="none"/>
        </w:rPr>
        <w:t>西</w:t>
      </w:r>
      <w:r>
        <w:rPr>
          <w:rFonts w:hint="eastAsia" w:ascii="仿宋" w:hAnsi="仿宋" w:eastAsia="仿宋" w:cs="仿宋"/>
          <w:color w:val="auto"/>
          <w:spacing w:val="26"/>
          <w:sz w:val="23"/>
          <w:szCs w:val="23"/>
          <w:highlight w:val="none"/>
        </w:rPr>
        <w:t>省</w:t>
      </w:r>
      <w:r>
        <w:rPr>
          <w:rFonts w:hint="eastAsia" w:ascii="仿宋" w:hAnsi="仿宋" w:eastAsia="仿宋" w:cs="仿宋"/>
          <w:color w:val="auto"/>
          <w:spacing w:val="14"/>
          <w:sz w:val="23"/>
          <w:szCs w:val="23"/>
          <w:highlight w:val="none"/>
        </w:rPr>
        <w:t>)</w:t>
      </w:r>
      <w:r>
        <w:rPr>
          <w:rFonts w:hint="eastAsia" w:ascii="仿宋" w:hAnsi="仿宋" w:eastAsia="仿宋" w:cs="仿宋"/>
          <w:color w:val="auto"/>
          <w:sz w:val="23"/>
          <w:szCs w:val="23"/>
          <w:highlight w:val="none"/>
        </w:rPr>
        <w:t>http</w:t>
      </w:r>
      <w:r>
        <w:rPr>
          <w:rFonts w:hint="eastAsia" w:ascii="仿宋" w:hAnsi="仿宋" w:eastAsia="仿宋" w:cs="仿宋"/>
          <w:color w:val="auto"/>
          <w:spacing w:val="13"/>
          <w:sz w:val="23"/>
          <w:szCs w:val="23"/>
          <w:highlight w:val="none"/>
        </w:rPr>
        <w:t>:/</w:t>
      </w:r>
      <w:r>
        <w:rPr>
          <w:rFonts w:hint="eastAsia" w:ascii="仿宋" w:hAnsi="仿宋" w:eastAsia="仿宋" w:cs="仿宋"/>
          <w:color w:val="auto"/>
          <w:sz w:val="23"/>
          <w:szCs w:val="23"/>
          <w:highlight w:val="none"/>
        </w:rPr>
        <w:t>www</w:t>
      </w:r>
      <w:r>
        <w:rPr>
          <w:rFonts w:hint="eastAsia" w:ascii="仿宋" w:hAnsi="仿宋" w:eastAsia="仿宋" w:cs="仿宋"/>
          <w:color w:val="auto"/>
          <w:spacing w:val="13"/>
          <w:sz w:val="23"/>
          <w:szCs w:val="23"/>
          <w:highlight w:val="none"/>
        </w:rPr>
        <w:t>.</w:t>
      </w:r>
      <w:r>
        <w:rPr>
          <w:rFonts w:hint="eastAsia" w:ascii="仿宋" w:hAnsi="仿宋" w:eastAsia="仿宋" w:cs="仿宋"/>
          <w:color w:val="auto"/>
          <w:sz w:val="23"/>
          <w:szCs w:val="23"/>
          <w:highlight w:val="none"/>
        </w:rPr>
        <w:t>sxggzyjy</w:t>
      </w:r>
      <w:r>
        <w:rPr>
          <w:rFonts w:hint="eastAsia" w:ascii="仿宋" w:hAnsi="仿宋" w:eastAsia="仿宋" w:cs="仿宋"/>
          <w:color w:val="auto"/>
          <w:spacing w:val="13"/>
          <w:sz w:val="23"/>
          <w:szCs w:val="23"/>
          <w:highlight w:val="none"/>
        </w:rPr>
        <w:t>.</w:t>
      </w:r>
      <w:r>
        <w:rPr>
          <w:rFonts w:hint="eastAsia" w:ascii="仿宋" w:hAnsi="仿宋" w:eastAsia="仿宋" w:cs="仿宋"/>
          <w:color w:val="auto"/>
          <w:sz w:val="23"/>
          <w:szCs w:val="23"/>
          <w:highlight w:val="none"/>
        </w:rPr>
        <w:t>cn</w:t>
      </w:r>
      <w:r>
        <w:rPr>
          <w:rFonts w:hint="eastAsia" w:ascii="仿宋" w:hAnsi="仿宋" w:eastAsia="仿宋" w:cs="仿宋"/>
          <w:color w:val="auto"/>
          <w:spacing w:val="13"/>
          <w:sz w:val="23"/>
          <w:szCs w:val="23"/>
          <w:highlight w:val="none"/>
        </w:rPr>
        <w:t>/的“服务指南”栏目“下载专区”中，免费下载“陕西</w:t>
      </w:r>
      <w:r>
        <w:rPr>
          <w:rFonts w:hint="eastAsia" w:ascii="仿宋" w:hAnsi="仿宋" w:eastAsia="仿宋" w:cs="仿宋"/>
          <w:color w:val="auto"/>
          <w:spacing w:val="9"/>
          <w:sz w:val="23"/>
          <w:szCs w:val="23"/>
          <w:highlight w:val="none"/>
        </w:rPr>
        <w:t>省公共资源交易平台政府采购电子标书制作工具(</w:t>
      </w:r>
      <w:r>
        <w:rPr>
          <w:rFonts w:hint="eastAsia" w:ascii="仿宋" w:hAnsi="仿宋" w:eastAsia="仿宋" w:cs="仿宋"/>
          <w:color w:val="auto"/>
          <w:sz w:val="23"/>
          <w:szCs w:val="23"/>
          <w:highlight w:val="none"/>
        </w:rPr>
        <w:t>v</w:t>
      </w:r>
      <w:r>
        <w:rPr>
          <w:rFonts w:hint="eastAsia" w:ascii="仿宋" w:hAnsi="仿宋" w:eastAsia="仿宋" w:cs="仿宋"/>
          <w:color w:val="auto"/>
          <w:spacing w:val="9"/>
          <w:sz w:val="23"/>
          <w:szCs w:val="23"/>
          <w:highlight w:val="none"/>
        </w:rPr>
        <w:t>8.0.0.2)”，并升级至最新版本</w:t>
      </w:r>
      <w:r>
        <w:rPr>
          <w:rFonts w:hint="eastAsia" w:ascii="仿宋" w:hAnsi="仿宋" w:eastAsia="仿宋" w:cs="仿宋"/>
          <w:color w:val="auto"/>
          <w:spacing w:val="3"/>
          <w:sz w:val="23"/>
          <w:szCs w:val="23"/>
          <w:highlight w:val="none"/>
        </w:rPr>
        <w:t>，</w:t>
      </w:r>
      <w:r>
        <w:rPr>
          <w:rFonts w:hint="eastAsia" w:ascii="仿宋" w:hAnsi="仿宋" w:eastAsia="仿宋" w:cs="仿宋"/>
          <w:color w:val="auto"/>
          <w:spacing w:val="20"/>
          <w:sz w:val="23"/>
          <w:szCs w:val="23"/>
          <w:highlight w:val="none"/>
        </w:rPr>
        <w:t>使用</w:t>
      </w:r>
      <w:r>
        <w:rPr>
          <w:rFonts w:hint="eastAsia" w:ascii="仿宋" w:hAnsi="仿宋" w:eastAsia="仿宋" w:cs="仿宋"/>
          <w:color w:val="auto"/>
          <w:spacing w:val="16"/>
          <w:sz w:val="23"/>
          <w:szCs w:val="23"/>
          <w:highlight w:val="none"/>
        </w:rPr>
        <w:t>该</w:t>
      </w:r>
      <w:r>
        <w:rPr>
          <w:rFonts w:hint="eastAsia" w:ascii="仿宋" w:hAnsi="仿宋" w:eastAsia="仿宋" w:cs="仿宋"/>
          <w:color w:val="auto"/>
          <w:spacing w:val="10"/>
          <w:sz w:val="23"/>
          <w:szCs w:val="23"/>
          <w:highlight w:val="none"/>
        </w:rPr>
        <w:t>客户端制作电子投标文件，制作扩展名为“.</w:t>
      </w:r>
      <w:r>
        <w:rPr>
          <w:rFonts w:hint="eastAsia" w:ascii="仿宋" w:hAnsi="仿宋" w:eastAsia="仿宋" w:cs="仿宋"/>
          <w:color w:val="auto"/>
          <w:sz w:val="23"/>
          <w:szCs w:val="23"/>
          <w:highlight w:val="none"/>
        </w:rPr>
        <w:t>SXSTF</w:t>
      </w:r>
      <w:r>
        <w:rPr>
          <w:rFonts w:hint="eastAsia" w:ascii="仿宋" w:hAnsi="仿宋" w:eastAsia="仿宋" w:cs="仿宋"/>
          <w:color w:val="auto"/>
          <w:spacing w:val="10"/>
          <w:sz w:val="23"/>
          <w:szCs w:val="23"/>
          <w:highlight w:val="none"/>
        </w:rPr>
        <w:t>”的电子投标文件。”</w:t>
      </w:r>
    </w:p>
    <w:p w14:paraId="10148F47">
      <w:pPr>
        <w:spacing w:before="4" w:line="375" w:lineRule="auto"/>
        <w:ind w:left="7" w:right="60" w:firstLine="486"/>
        <w:jc w:val="left"/>
        <w:outlineLvl w:val="9"/>
        <w:rPr>
          <w:rFonts w:hint="eastAsia" w:ascii="仿宋" w:hAnsi="仿宋" w:eastAsia="仿宋" w:cs="仿宋"/>
          <w:color w:val="auto"/>
          <w:sz w:val="23"/>
          <w:szCs w:val="23"/>
          <w:highlight w:val="none"/>
        </w:rPr>
      </w:pPr>
      <w:r>
        <w:rPr>
          <w:rFonts w:hint="eastAsia" w:ascii="仿宋" w:hAnsi="仿宋" w:eastAsia="仿宋" w:cs="仿宋"/>
          <w:color w:val="auto"/>
          <w:spacing w:val="-42"/>
          <w:sz w:val="23"/>
          <w:szCs w:val="23"/>
          <w:highlight w:val="none"/>
        </w:rPr>
        <w:t>3</w:t>
      </w:r>
      <w:r>
        <w:rPr>
          <w:rFonts w:hint="eastAsia" w:ascii="仿宋" w:hAnsi="仿宋" w:eastAsia="仿宋" w:cs="仿宋"/>
          <w:color w:val="auto"/>
          <w:spacing w:val="-29"/>
          <w:sz w:val="23"/>
          <w:szCs w:val="23"/>
          <w:highlight w:val="none"/>
        </w:rPr>
        <w:t xml:space="preserve"> </w:t>
      </w:r>
      <w:r>
        <w:rPr>
          <w:rFonts w:hint="eastAsia" w:ascii="仿宋" w:hAnsi="仿宋" w:eastAsia="仿宋" w:cs="仿宋"/>
          <w:color w:val="auto"/>
          <w:spacing w:val="-21"/>
          <w:sz w:val="23"/>
          <w:szCs w:val="23"/>
          <w:highlight w:val="none"/>
        </w:rPr>
        <w:t>、递交电子投标文件。登 录全 国 公 共 资 源 交 易 中 心 平 台 ( 陕 西</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8"/>
          <w:sz w:val="23"/>
          <w:szCs w:val="23"/>
          <w:highlight w:val="none"/>
        </w:rPr>
        <w:t>省</w:t>
      </w:r>
      <w:r>
        <w:rPr>
          <w:rFonts w:hint="eastAsia" w:ascii="仿宋" w:hAnsi="仿宋" w:eastAsia="仿宋" w:cs="仿宋"/>
          <w:color w:val="auto"/>
          <w:spacing w:val="20"/>
          <w:sz w:val="23"/>
          <w:szCs w:val="23"/>
          <w:highlight w:val="none"/>
        </w:rPr>
        <w:t>)</w:t>
      </w:r>
      <w:r>
        <w:rPr>
          <w:rFonts w:hint="eastAsia" w:ascii="仿宋" w:hAnsi="仿宋" w:eastAsia="仿宋" w:cs="仿宋"/>
          <w:color w:val="auto"/>
          <w:sz w:val="23"/>
          <w:szCs w:val="23"/>
          <w:highlight w:val="none"/>
        </w:rPr>
        <w:t>http</w:t>
      </w:r>
      <w:r>
        <w:rPr>
          <w:rFonts w:hint="eastAsia" w:ascii="仿宋" w:hAnsi="仿宋" w:eastAsia="仿宋" w:cs="仿宋"/>
          <w:color w:val="auto"/>
          <w:spacing w:val="20"/>
          <w:sz w:val="23"/>
          <w:szCs w:val="23"/>
          <w:highlight w:val="none"/>
        </w:rPr>
        <w:t>:/</w:t>
      </w:r>
      <w:r>
        <w:rPr>
          <w:rFonts w:hint="eastAsia" w:ascii="仿宋" w:hAnsi="仿宋" w:eastAsia="仿宋" w:cs="仿宋"/>
          <w:color w:val="auto"/>
          <w:sz w:val="23"/>
          <w:szCs w:val="23"/>
          <w:highlight w:val="none"/>
        </w:rPr>
        <w:t>www</w:t>
      </w:r>
      <w:r>
        <w:rPr>
          <w:rFonts w:hint="eastAsia" w:ascii="仿宋" w:hAnsi="仿宋" w:eastAsia="仿宋" w:cs="仿宋"/>
          <w:color w:val="auto"/>
          <w:spacing w:val="20"/>
          <w:sz w:val="23"/>
          <w:szCs w:val="23"/>
          <w:highlight w:val="none"/>
        </w:rPr>
        <w:t>.</w:t>
      </w:r>
      <w:r>
        <w:rPr>
          <w:rFonts w:hint="eastAsia" w:ascii="仿宋" w:hAnsi="仿宋" w:eastAsia="仿宋" w:cs="仿宋"/>
          <w:color w:val="auto"/>
          <w:sz w:val="23"/>
          <w:szCs w:val="23"/>
          <w:highlight w:val="none"/>
        </w:rPr>
        <w:t>sxggzyjy</w:t>
      </w:r>
      <w:r>
        <w:rPr>
          <w:rFonts w:hint="eastAsia" w:ascii="仿宋" w:hAnsi="仿宋" w:eastAsia="仿宋" w:cs="仿宋"/>
          <w:color w:val="auto"/>
          <w:spacing w:val="20"/>
          <w:sz w:val="23"/>
          <w:szCs w:val="23"/>
          <w:highlight w:val="none"/>
        </w:rPr>
        <w:t>.</w:t>
      </w:r>
      <w:r>
        <w:rPr>
          <w:rFonts w:hint="eastAsia" w:ascii="仿宋" w:hAnsi="仿宋" w:eastAsia="仿宋" w:cs="仿宋"/>
          <w:color w:val="auto"/>
          <w:sz w:val="23"/>
          <w:szCs w:val="23"/>
          <w:highlight w:val="none"/>
        </w:rPr>
        <w:t>cn</w:t>
      </w:r>
      <w:r>
        <w:rPr>
          <w:rFonts w:hint="eastAsia" w:ascii="仿宋" w:hAnsi="仿宋" w:eastAsia="仿宋" w:cs="仿宋"/>
          <w:color w:val="auto"/>
          <w:spacing w:val="20"/>
          <w:sz w:val="23"/>
          <w:szCs w:val="23"/>
          <w:highlight w:val="none"/>
        </w:rPr>
        <w:t>/),选择“电子交易平台-陕西政府采购交易系统-企业端</w:t>
      </w:r>
      <w:r>
        <w:rPr>
          <w:rFonts w:hint="eastAsia" w:ascii="仿宋" w:hAnsi="仿宋" w:eastAsia="仿宋" w:cs="仿宋"/>
          <w:color w:val="auto"/>
          <w:spacing w:val="11"/>
          <w:sz w:val="23"/>
          <w:szCs w:val="23"/>
          <w:highlight w:val="none"/>
        </w:rPr>
        <w:t>”进行登录，登录后选择“交易乙方”身份进入，进入菜单“采购业务-我的项目</w:t>
      </w:r>
      <w:r>
        <w:rPr>
          <w:rFonts w:hint="eastAsia" w:ascii="仿宋" w:hAnsi="仿宋" w:eastAsia="仿宋" w:cs="仿宋"/>
          <w:color w:val="auto"/>
          <w:spacing w:val="14"/>
          <w:sz w:val="23"/>
          <w:szCs w:val="23"/>
          <w:highlight w:val="none"/>
        </w:rPr>
        <w:t>-项目流</w:t>
      </w:r>
      <w:r>
        <w:rPr>
          <w:rFonts w:hint="eastAsia" w:ascii="仿宋" w:hAnsi="仿宋" w:eastAsia="仿宋" w:cs="仿宋"/>
          <w:color w:val="auto"/>
          <w:spacing w:val="9"/>
          <w:sz w:val="23"/>
          <w:szCs w:val="23"/>
          <w:highlight w:val="none"/>
        </w:rPr>
        <w:t>程</w:t>
      </w:r>
      <w:r>
        <w:rPr>
          <w:rFonts w:hint="eastAsia" w:ascii="仿宋" w:hAnsi="仿宋" w:eastAsia="仿宋" w:cs="仿宋"/>
          <w:color w:val="auto"/>
          <w:spacing w:val="7"/>
          <w:sz w:val="23"/>
          <w:szCs w:val="23"/>
          <w:highlight w:val="none"/>
        </w:rPr>
        <w:t>-上传响应文件”，上传加密的电子投标文件。上传成功后，电子化平台</w:t>
      </w:r>
      <w:r>
        <w:rPr>
          <w:rFonts w:hint="eastAsia" w:ascii="仿宋" w:hAnsi="仿宋" w:eastAsia="仿宋" w:cs="仿宋"/>
          <w:color w:val="auto"/>
          <w:spacing w:val="8"/>
          <w:sz w:val="23"/>
          <w:szCs w:val="23"/>
          <w:highlight w:val="none"/>
        </w:rPr>
        <w:t>将予以记录。</w:t>
      </w:r>
    </w:p>
    <w:p w14:paraId="543CC659">
      <w:pPr>
        <w:spacing w:before="3" w:line="375" w:lineRule="auto"/>
        <w:ind w:left="15" w:right="70" w:firstLine="472"/>
        <w:outlineLvl w:val="9"/>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4</w:t>
      </w:r>
      <w:r>
        <w:rPr>
          <w:rFonts w:hint="eastAsia" w:ascii="仿宋" w:hAnsi="仿宋" w:eastAsia="仿宋" w:cs="仿宋"/>
          <w:color w:val="auto"/>
          <w:spacing w:val="11"/>
          <w:sz w:val="23"/>
          <w:szCs w:val="23"/>
          <w:highlight w:val="none"/>
        </w:rPr>
        <w:t>、不见面开标。本项目采用电子化投标及远程不见面开标方式。投标人须使用</w:t>
      </w:r>
      <w:r>
        <w:rPr>
          <w:rFonts w:hint="eastAsia" w:ascii="仿宋" w:hAnsi="仿宋" w:eastAsia="仿宋" w:cs="仿宋"/>
          <w:color w:val="auto"/>
          <w:spacing w:val="28"/>
          <w:sz w:val="23"/>
          <w:szCs w:val="23"/>
          <w:highlight w:val="none"/>
        </w:rPr>
        <w:t>数</w:t>
      </w:r>
      <w:r>
        <w:rPr>
          <w:rFonts w:hint="eastAsia" w:ascii="仿宋" w:hAnsi="仿宋" w:eastAsia="仿宋" w:cs="仿宋"/>
          <w:color w:val="auto"/>
          <w:spacing w:val="20"/>
          <w:sz w:val="23"/>
          <w:szCs w:val="23"/>
          <w:highlight w:val="none"/>
        </w:rPr>
        <w:t>字</w:t>
      </w:r>
      <w:r>
        <w:rPr>
          <w:rFonts w:hint="eastAsia" w:ascii="仿宋" w:hAnsi="仿宋" w:eastAsia="仿宋" w:cs="仿宋"/>
          <w:color w:val="auto"/>
          <w:spacing w:val="14"/>
          <w:sz w:val="23"/>
          <w:szCs w:val="23"/>
          <w:highlight w:val="none"/>
        </w:rPr>
        <w:t>认证证书对电子投标文件进行签章、加密、递交及开标时解密等相关招投标事</w:t>
      </w:r>
      <w:r>
        <w:rPr>
          <w:rFonts w:hint="eastAsia" w:ascii="仿宋" w:hAnsi="仿宋" w:eastAsia="仿宋" w:cs="仿宋"/>
          <w:color w:val="auto"/>
          <w:spacing w:val="28"/>
          <w:sz w:val="23"/>
          <w:szCs w:val="23"/>
          <w:highlight w:val="none"/>
        </w:rPr>
        <w:t>宜</w:t>
      </w: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4"/>
          <w:sz w:val="23"/>
          <w:szCs w:val="23"/>
          <w:highlight w:val="none"/>
        </w:rPr>
        <w:t>开标前，供应商需登录网络开标大厅。开标时，按照工作人员要求进行远程解</w:t>
      </w:r>
      <w:r>
        <w:rPr>
          <w:rFonts w:hint="eastAsia" w:ascii="仿宋" w:hAnsi="仿宋" w:eastAsia="仿宋" w:cs="仿宋"/>
          <w:color w:val="auto"/>
          <w:sz w:val="23"/>
          <w:szCs w:val="23"/>
          <w:highlight w:val="none"/>
        </w:rPr>
        <w:t>密</w:t>
      </w:r>
    </w:p>
    <w:p w14:paraId="001D6572">
      <w:pPr>
        <w:spacing w:line="310" w:lineRule="exact"/>
        <w:ind w:left="493"/>
        <w:outlineLvl w:val="9"/>
        <w:rPr>
          <w:rFonts w:hint="eastAsia" w:ascii="仿宋" w:hAnsi="仿宋" w:eastAsia="仿宋" w:cs="仿宋"/>
          <w:color w:val="auto"/>
          <w:sz w:val="23"/>
          <w:szCs w:val="23"/>
          <w:highlight w:val="none"/>
        </w:rPr>
      </w:pPr>
      <w:r>
        <w:rPr>
          <w:rFonts w:hint="eastAsia" w:ascii="仿宋" w:hAnsi="仿宋" w:eastAsia="仿宋" w:cs="仿宋"/>
          <w:color w:val="auto"/>
          <w:spacing w:val="18"/>
          <w:position w:val="2"/>
          <w:sz w:val="23"/>
          <w:szCs w:val="23"/>
          <w:highlight w:val="none"/>
        </w:rPr>
        <w:t>5</w:t>
      </w:r>
      <w:r>
        <w:rPr>
          <w:rFonts w:hint="eastAsia" w:ascii="仿宋" w:hAnsi="仿宋" w:eastAsia="仿宋" w:cs="仿宋"/>
          <w:color w:val="auto"/>
          <w:spacing w:val="14"/>
          <w:position w:val="2"/>
          <w:sz w:val="23"/>
          <w:szCs w:val="23"/>
          <w:highlight w:val="none"/>
        </w:rPr>
        <w:t>、</w:t>
      </w:r>
      <w:r>
        <w:rPr>
          <w:rFonts w:hint="eastAsia" w:ascii="仿宋" w:hAnsi="仿宋" w:eastAsia="仿宋" w:cs="仿宋"/>
          <w:color w:val="auto"/>
          <w:spacing w:val="9"/>
          <w:position w:val="2"/>
          <w:sz w:val="23"/>
          <w:szCs w:val="23"/>
          <w:highlight w:val="none"/>
        </w:rPr>
        <w:t>投标单位拒绝对电子投标文件进行解密的;</w:t>
      </w:r>
    </w:p>
    <w:p w14:paraId="5B09649E">
      <w:pPr>
        <w:spacing w:before="157" w:line="381" w:lineRule="auto"/>
        <w:ind w:left="15" w:right="103" w:firstLine="505"/>
        <w:outlineLvl w:val="9"/>
        <w:rPr>
          <w:rFonts w:hint="eastAsia" w:ascii="仿宋" w:hAnsi="仿宋" w:eastAsia="仿宋" w:cs="仿宋"/>
          <w:color w:val="auto"/>
          <w:sz w:val="23"/>
          <w:szCs w:val="23"/>
          <w:highlight w:val="none"/>
        </w:rPr>
      </w:pPr>
      <w:r>
        <w:rPr>
          <w:rFonts w:hint="eastAsia" w:ascii="仿宋" w:hAnsi="仿宋" w:eastAsia="仿宋" w:cs="仿宋"/>
          <w:color w:val="auto"/>
          <w:spacing w:val="3"/>
          <w:sz w:val="23"/>
          <w:szCs w:val="23"/>
          <w:highlight w:val="none"/>
        </w:rPr>
        <w:t>因投标单位自身原因(如未带</w:t>
      </w:r>
      <w:r>
        <w:rPr>
          <w:rFonts w:hint="eastAsia" w:ascii="仿宋" w:hAnsi="仿宋" w:eastAsia="仿宋" w:cs="仿宋"/>
          <w:color w:val="auto"/>
          <w:sz w:val="23"/>
          <w:szCs w:val="23"/>
          <w:highlight w:val="none"/>
        </w:rPr>
        <w:t>CA</w:t>
      </w:r>
      <w:r>
        <w:rPr>
          <w:rFonts w:hint="eastAsia" w:ascii="仿宋" w:hAnsi="仿宋" w:eastAsia="仿宋" w:cs="仿宋"/>
          <w:color w:val="auto"/>
          <w:spacing w:val="3"/>
          <w:sz w:val="23"/>
          <w:szCs w:val="23"/>
          <w:highlight w:val="none"/>
        </w:rPr>
        <w:t xml:space="preserve"> 锁、或所带 </w:t>
      </w:r>
      <w:r>
        <w:rPr>
          <w:rFonts w:hint="eastAsia" w:ascii="仿宋" w:hAnsi="仿宋" w:eastAsia="仿宋" w:cs="仿宋"/>
          <w:color w:val="auto"/>
          <w:sz w:val="23"/>
          <w:szCs w:val="23"/>
          <w:highlight w:val="none"/>
        </w:rPr>
        <w:t>CA</w:t>
      </w:r>
      <w:r>
        <w:rPr>
          <w:rFonts w:hint="eastAsia" w:ascii="仿宋" w:hAnsi="仿宋" w:eastAsia="仿宋" w:cs="仿宋"/>
          <w:color w:val="auto"/>
          <w:spacing w:val="3"/>
          <w:sz w:val="23"/>
          <w:szCs w:val="23"/>
          <w:highlight w:val="none"/>
        </w:rPr>
        <w:t xml:space="preserve"> 锁与制作电子投标文件使用</w:t>
      </w:r>
      <w:r>
        <w:rPr>
          <w:rFonts w:hint="eastAsia" w:ascii="仿宋" w:hAnsi="仿宋" w:eastAsia="仿宋" w:cs="仿宋"/>
          <w:color w:val="auto"/>
          <w:spacing w:val="2"/>
          <w:sz w:val="23"/>
          <w:szCs w:val="23"/>
          <w:highlight w:val="none"/>
        </w:rPr>
        <w:t>的</w:t>
      </w:r>
      <w:r>
        <w:rPr>
          <w:rFonts w:hint="eastAsia" w:ascii="仿宋" w:hAnsi="仿宋" w:eastAsia="仿宋" w:cs="仿宋"/>
          <w:color w:val="auto"/>
          <w:sz w:val="23"/>
          <w:szCs w:val="23"/>
          <w:highlight w:val="none"/>
        </w:rPr>
        <w:t xml:space="preserve">CA </w:t>
      </w:r>
      <w:r>
        <w:rPr>
          <w:rFonts w:hint="eastAsia" w:ascii="仿宋" w:hAnsi="仿宋" w:eastAsia="仿宋" w:cs="仿宋"/>
          <w:color w:val="auto"/>
          <w:spacing w:val="16"/>
          <w:sz w:val="23"/>
          <w:szCs w:val="23"/>
          <w:highlight w:val="none"/>
        </w:rPr>
        <w:t>锁</w:t>
      </w:r>
      <w:r>
        <w:rPr>
          <w:rFonts w:hint="eastAsia" w:ascii="仿宋" w:hAnsi="仿宋" w:eastAsia="仿宋" w:cs="仿宋"/>
          <w:color w:val="auto"/>
          <w:spacing w:val="10"/>
          <w:sz w:val="23"/>
          <w:szCs w:val="23"/>
          <w:highlight w:val="none"/>
        </w:rPr>
        <w:t>不一致、或沿用旧版招标文件编制投标文件等情形)导致在规定时间内无法解密投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标文件的，上传的电子投标文件无法打开的都将按照无效处理</w:t>
      </w:r>
      <w:r>
        <w:rPr>
          <w:rFonts w:hint="eastAsia" w:ascii="仿宋" w:hAnsi="仿宋" w:eastAsia="仿宋" w:cs="仿宋"/>
          <w:color w:val="auto"/>
          <w:spacing w:val="8"/>
          <w:sz w:val="23"/>
          <w:szCs w:val="23"/>
          <w:highlight w:val="none"/>
        </w:rPr>
        <w:t>。</w:t>
      </w:r>
    </w:p>
    <w:p w14:paraId="52D262D1">
      <w:pP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br w:type="page"/>
      </w:r>
    </w:p>
    <w:p w14:paraId="2BD2AB28">
      <w:pPr>
        <w:pStyle w:val="113"/>
        <w:rPr>
          <w:rFonts w:hint="eastAsia" w:ascii="仿宋" w:hAnsi="仿宋" w:eastAsia="仿宋" w:cs="仿宋"/>
          <w:color w:val="auto"/>
        </w:rPr>
        <w:sectPr>
          <w:headerReference r:id="rId3" w:type="default"/>
          <w:pgSz w:w="11905" w:h="16838"/>
          <w:pgMar w:top="1417" w:right="1417" w:bottom="1417" w:left="1361" w:header="0" w:footer="992" w:gutter="0"/>
          <w:cols w:space="0" w:num="1"/>
          <w:rtlGutter w:val="0"/>
          <w:docGrid w:linePitch="0" w:charSpace="0"/>
        </w:sectPr>
      </w:pPr>
    </w:p>
    <w:sdt>
      <w:sdtPr>
        <w:rPr>
          <w:rFonts w:hint="eastAsia" w:ascii="仿宋" w:hAnsi="仿宋" w:eastAsia="仿宋" w:cs="仿宋"/>
          <w:snapToGrid w:val="0"/>
          <w:color w:val="auto"/>
          <w:kern w:val="0"/>
          <w:sz w:val="24"/>
          <w:szCs w:val="24"/>
        </w:rPr>
        <w:id w:val="147459847"/>
        <w15:color w:val="DBDBDB"/>
        <w:docPartObj>
          <w:docPartGallery w:val="Table of Contents"/>
          <w:docPartUnique/>
        </w:docPartObj>
      </w:sdtPr>
      <w:sdtEndPr>
        <w:rPr>
          <w:rFonts w:hint="eastAsia" w:ascii="仿宋" w:hAnsi="仿宋" w:eastAsia="仿宋" w:cs="仿宋"/>
          <w:snapToGrid w:val="0"/>
          <w:color w:val="auto"/>
          <w:kern w:val="0"/>
          <w:sz w:val="21"/>
          <w:szCs w:val="21"/>
          <w:highlight w:val="none"/>
        </w:rPr>
      </w:sdtEndPr>
      <w:sdtContent>
        <w:p w14:paraId="1B650935">
          <w:pPr>
            <w:spacing w:before="0" w:beforeLines="0" w:after="0" w:afterLines="0" w:line="600" w:lineRule="auto"/>
            <w:ind w:left="0" w:leftChars="0" w:right="0" w:rightChars="0" w:firstLine="0" w:firstLineChars="0"/>
            <w:jc w:val="center"/>
          </w:pPr>
          <w:r>
            <w:rPr>
              <w:rFonts w:hint="eastAsia" w:ascii="仿宋" w:hAnsi="仿宋" w:eastAsia="仿宋" w:cs="仿宋"/>
              <w:color w:val="auto"/>
              <w:sz w:val="36"/>
              <w:szCs w:val="36"/>
            </w:rPr>
            <w:t>目</w:t>
          </w: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rPr>
            <w:t>录</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p>
        <w:p w14:paraId="7A7179B5">
          <w:pPr>
            <w:pStyle w:val="23"/>
            <w:tabs>
              <w:tab w:val="right" w:leader="dot" w:pos="9071"/>
            </w:tabs>
            <w:spacing w:line="600" w:lineRule="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_Toc8671 </w:instrText>
          </w:r>
          <w:r>
            <w:rPr>
              <w:rFonts w:hint="eastAsia" w:ascii="仿宋" w:hAnsi="仿宋" w:eastAsia="仿宋" w:cs="仿宋"/>
              <w:szCs w:val="28"/>
              <w:highlight w:val="none"/>
            </w:rPr>
            <w:fldChar w:fldCharType="separate"/>
          </w:r>
          <w:r>
            <w:rPr>
              <w:rFonts w:hint="eastAsia" w:ascii="仿宋" w:hAnsi="仿宋" w:eastAsia="仿宋" w:cs="仿宋"/>
              <w:spacing w:val="13"/>
              <w:szCs w:val="31"/>
              <w:highlight w:val="none"/>
            </w:rPr>
            <w:t>第</w:t>
          </w:r>
          <w:r>
            <w:rPr>
              <w:rFonts w:hint="eastAsia" w:ascii="仿宋" w:hAnsi="仿宋" w:eastAsia="仿宋" w:cs="仿宋"/>
              <w:spacing w:val="8"/>
              <w:szCs w:val="31"/>
              <w:highlight w:val="none"/>
            </w:rPr>
            <w:t>一</w:t>
          </w:r>
          <w:r>
            <w:rPr>
              <w:rFonts w:hint="eastAsia" w:ascii="仿宋" w:hAnsi="仿宋" w:eastAsia="仿宋" w:cs="仿宋"/>
              <w:spacing w:val="8"/>
              <w:szCs w:val="31"/>
              <w:highlight w:val="none"/>
              <w:lang w:eastAsia="zh-CN"/>
            </w:rPr>
            <w:t>部分</w:t>
          </w:r>
          <w:r>
            <w:rPr>
              <w:rFonts w:hint="eastAsia" w:ascii="仿宋" w:hAnsi="仿宋" w:eastAsia="仿宋" w:cs="仿宋"/>
              <w:spacing w:val="8"/>
              <w:szCs w:val="31"/>
              <w:highlight w:val="none"/>
              <w:lang w:val="en-US" w:eastAsia="zh-CN"/>
            </w:rPr>
            <w:t xml:space="preserve">  </w:t>
          </w:r>
          <w:r>
            <w:rPr>
              <w:rFonts w:hint="eastAsia" w:ascii="仿宋" w:hAnsi="仿宋" w:eastAsia="仿宋" w:cs="仿宋"/>
              <w:spacing w:val="8"/>
              <w:szCs w:val="31"/>
              <w:highlight w:val="none"/>
            </w:rPr>
            <w:t>招标公告</w:t>
          </w:r>
          <w:r>
            <w:tab/>
          </w:r>
          <w:r>
            <w:fldChar w:fldCharType="begin"/>
          </w:r>
          <w:r>
            <w:instrText xml:space="preserve"> PAGEREF _Toc8671 \h </w:instrText>
          </w:r>
          <w:r>
            <w:fldChar w:fldCharType="separate"/>
          </w:r>
          <w:r>
            <w:t>1</w:t>
          </w:r>
          <w:r>
            <w:fldChar w:fldCharType="end"/>
          </w:r>
          <w:r>
            <w:rPr>
              <w:rFonts w:hint="eastAsia" w:ascii="仿宋" w:hAnsi="仿宋" w:eastAsia="仿宋" w:cs="仿宋"/>
              <w:color w:val="auto"/>
              <w:szCs w:val="28"/>
              <w:highlight w:val="none"/>
            </w:rPr>
            <w:fldChar w:fldCharType="end"/>
          </w:r>
        </w:p>
        <w:p w14:paraId="6A7733B1">
          <w:pPr>
            <w:pStyle w:val="23"/>
            <w:tabs>
              <w:tab w:val="right" w:leader="dot" w:pos="9071"/>
            </w:tabs>
            <w:spacing w:line="600" w:lineRule="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_Toc18599 </w:instrText>
          </w:r>
          <w:r>
            <w:rPr>
              <w:rFonts w:hint="eastAsia" w:ascii="仿宋" w:hAnsi="仿宋" w:eastAsia="仿宋" w:cs="仿宋"/>
              <w:szCs w:val="28"/>
              <w:highlight w:val="none"/>
            </w:rPr>
            <w:fldChar w:fldCharType="separate"/>
          </w:r>
          <w:r>
            <w:rPr>
              <w:rFonts w:hint="eastAsia" w:ascii="仿宋" w:hAnsi="仿宋" w:eastAsia="仿宋" w:cs="仿宋"/>
              <w:bCs/>
              <w:kern w:val="44"/>
              <w:szCs w:val="44"/>
              <w:lang w:val="en-US" w:eastAsia="zh-CN" w:bidi="ar-SA"/>
            </w:rPr>
            <w:t xml:space="preserve">第二部分   </w:t>
          </w:r>
          <w:r>
            <w:rPr>
              <w:rFonts w:hint="eastAsia" w:ascii="仿宋" w:hAnsi="仿宋" w:eastAsia="仿宋" w:cs="仿宋"/>
            </w:rPr>
            <w:t>投标人须知及前附表</w:t>
          </w:r>
          <w:r>
            <w:tab/>
          </w:r>
          <w:r>
            <w:fldChar w:fldCharType="begin"/>
          </w:r>
          <w:r>
            <w:instrText xml:space="preserve"> PAGEREF _Toc18599 \h </w:instrText>
          </w:r>
          <w:r>
            <w:fldChar w:fldCharType="separate"/>
          </w:r>
          <w:r>
            <w:t>6</w:t>
          </w:r>
          <w:r>
            <w:fldChar w:fldCharType="end"/>
          </w:r>
          <w:r>
            <w:rPr>
              <w:rFonts w:hint="eastAsia" w:ascii="仿宋" w:hAnsi="仿宋" w:eastAsia="仿宋" w:cs="仿宋"/>
              <w:color w:val="auto"/>
              <w:szCs w:val="28"/>
              <w:highlight w:val="none"/>
            </w:rPr>
            <w:fldChar w:fldCharType="end"/>
          </w:r>
        </w:p>
        <w:p w14:paraId="2B93DF13">
          <w:pPr>
            <w:pStyle w:val="23"/>
            <w:tabs>
              <w:tab w:val="right" w:leader="dot" w:pos="9071"/>
            </w:tabs>
            <w:spacing w:line="600" w:lineRule="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_Toc8575 </w:instrText>
          </w:r>
          <w:r>
            <w:rPr>
              <w:rFonts w:hint="eastAsia" w:ascii="仿宋" w:hAnsi="仿宋" w:eastAsia="仿宋" w:cs="仿宋"/>
              <w:szCs w:val="28"/>
              <w:highlight w:val="none"/>
            </w:rPr>
            <w:fldChar w:fldCharType="separate"/>
          </w:r>
          <w:r>
            <w:rPr>
              <w:rFonts w:hint="eastAsia" w:ascii="仿宋" w:hAnsi="仿宋" w:eastAsia="仿宋" w:cs="仿宋"/>
            </w:rPr>
            <w:t xml:space="preserve">第三部分 </w:t>
          </w:r>
          <w:r>
            <w:rPr>
              <w:rFonts w:hint="eastAsia" w:ascii="仿宋" w:hAnsi="仿宋" w:eastAsia="仿宋" w:cs="仿宋"/>
              <w:lang w:val="en-US" w:eastAsia="zh-CN"/>
            </w:rPr>
            <w:t xml:space="preserve">  </w:t>
          </w:r>
          <w:r>
            <w:rPr>
              <w:rFonts w:hint="eastAsia" w:ascii="仿宋" w:hAnsi="仿宋" w:eastAsia="仿宋" w:cs="仿宋"/>
            </w:rPr>
            <w:t>商务部分（合同条款及合同格式）</w:t>
          </w:r>
          <w:r>
            <w:tab/>
          </w:r>
          <w:r>
            <w:fldChar w:fldCharType="begin"/>
          </w:r>
          <w:r>
            <w:instrText xml:space="preserve"> PAGEREF _Toc8575 \h </w:instrText>
          </w:r>
          <w:r>
            <w:fldChar w:fldCharType="separate"/>
          </w:r>
          <w:r>
            <w:t>20</w:t>
          </w:r>
          <w:r>
            <w:fldChar w:fldCharType="end"/>
          </w:r>
          <w:r>
            <w:rPr>
              <w:rFonts w:hint="eastAsia" w:ascii="仿宋" w:hAnsi="仿宋" w:eastAsia="仿宋" w:cs="仿宋"/>
              <w:color w:val="auto"/>
              <w:szCs w:val="28"/>
              <w:highlight w:val="none"/>
            </w:rPr>
            <w:fldChar w:fldCharType="end"/>
          </w:r>
        </w:p>
        <w:p w14:paraId="1003A2AB">
          <w:pPr>
            <w:pStyle w:val="23"/>
            <w:tabs>
              <w:tab w:val="right" w:leader="dot" w:pos="9071"/>
            </w:tabs>
            <w:spacing w:line="600" w:lineRule="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_Toc13592 </w:instrText>
          </w:r>
          <w:r>
            <w:rPr>
              <w:rFonts w:hint="eastAsia" w:ascii="仿宋" w:hAnsi="仿宋" w:eastAsia="仿宋" w:cs="仿宋"/>
              <w:szCs w:val="28"/>
              <w:highlight w:val="none"/>
            </w:rPr>
            <w:fldChar w:fldCharType="separate"/>
          </w:r>
          <w:r>
            <w:rPr>
              <w:rFonts w:hint="eastAsia" w:ascii="仿宋" w:hAnsi="仿宋" w:eastAsia="仿宋" w:cs="仿宋"/>
            </w:rPr>
            <w:t xml:space="preserve">第四部分 </w:t>
          </w:r>
          <w:r>
            <w:rPr>
              <w:rFonts w:hint="eastAsia" w:ascii="仿宋" w:hAnsi="仿宋" w:eastAsia="仿宋" w:cs="仿宋"/>
              <w:lang w:val="en-US" w:eastAsia="zh-CN"/>
            </w:rPr>
            <w:t xml:space="preserve">  采</w:t>
          </w:r>
          <w:r>
            <w:rPr>
              <w:rFonts w:hint="eastAsia" w:ascii="仿宋" w:hAnsi="仿宋" w:eastAsia="仿宋" w:cs="仿宋"/>
            </w:rPr>
            <w:t>购内容及要求</w:t>
          </w:r>
          <w:r>
            <w:tab/>
          </w:r>
          <w:r>
            <w:fldChar w:fldCharType="begin"/>
          </w:r>
          <w:r>
            <w:instrText xml:space="preserve"> PAGEREF _Toc13592 \h </w:instrText>
          </w:r>
          <w:r>
            <w:fldChar w:fldCharType="separate"/>
          </w:r>
          <w:r>
            <w:t>34</w:t>
          </w:r>
          <w:r>
            <w:fldChar w:fldCharType="end"/>
          </w:r>
          <w:r>
            <w:rPr>
              <w:rFonts w:hint="eastAsia" w:ascii="仿宋" w:hAnsi="仿宋" w:eastAsia="仿宋" w:cs="仿宋"/>
              <w:color w:val="auto"/>
              <w:szCs w:val="28"/>
              <w:highlight w:val="none"/>
            </w:rPr>
            <w:fldChar w:fldCharType="end"/>
          </w:r>
        </w:p>
        <w:p w14:paraId="1EEDFA33">
          <w:pPr>
            <w:pStyle w:val="23"/>
            <w:tabs>
              <w:tab w:val="right" w:leader="dot" w:pos="9071"/>
            </w:tabs>
            <w:spacing w:line="600" w:lineRule="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_Toc26097 </w:instrText>
          </w:r>
          <w:r>
            <w:rPr>
              <w:rFonts w:hint="eastAsia" w:ascii="仿宋" w:hAnsi="仿宋" w:eastAsia="仿宋" w:cs="仿宋"/>
              <w:szCs w:val="28"/>
              <w:highlight w:val="none"/>
            </w:rPr>
            <w:fldChar w:fldCharType="separate"/>
          </w:r>
          <w:r>
            <w:rPr>
              <w:rFonts w:hint="eastAsia" w:ascii="仿宋" w:hAnsi="仿宋" w:eastAsia="仿宋" w:cs="仿宋"/>
              <w:bCs/>
              <w:kern w:val="44"/>
              <w:szCs w:val="44"/>
              <w:lang w:val="en-US" w:eastAsia="zh-CN" w:bidi="ar-SA"/>
            </w:rPr>
            <w:t xml:space="preserve">第五部分   </w:t>
          </w:r>
          <w:r>
            <w:rPr>
              <w:rFonts w:hint="eastAsia" w:ascii="仿宋" w:hAnsi="仿宋" w:eastAsia="仿宋" w:cs="仿宋"/>
            </w:rPr>
            <w:t>评标办法</w:t>
          </w:r>
          <w:r>
            <w:tab/>
          </w:r>
          <w:r>
            <w:fldChar w:fldCharType="begin"/>
          </w:r>
          <w:r>
            <w:instrText xml:space="preserve"> PAGEREF _Toc26097 \h </w:instrText>
          </w:r>
          <w:r>
            <w:fldChar w:fldCharType="separate"/>
          </w:r>
          <w:r>
            <w:t>48</w:t>
          </w:r>
          <w:r>
            <w:fldChar w:fldCharType="end"/>
          </w:r>
          <w:r>
            <w:rPr>
              <w:rFonts w:hint="eastAsia" w:ascii="仿宋" w:hAnsi="仿宋" w:eastAsia="仿宋" w:cs="仿宋"/>
              <w:color w:val="auto"/>
              <w:szCs w:val="28"/>
              <w:highlight w:val="none"/>
            </w:rPr>
            <w:fldChar w:fldCharType="end"/>
          </w:r>
        </w:p>
        <w:p w14:paraId="0FC57EFC">
          <w:pPr>
            <w:pStyle w:val="23"/>
            <w:tabs>
              <w:tab w:val="right" w:leader="dot" w:pos="9071"/>
            </w:tabs>
            <w:spacing w:line="600" w:lineRule="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_Toc28393 </w:instrText>
          </w:r>
          <w:r>
            <w:rPr>
              <w:rFonts w:hint="eastAsia" w:ascii="仿宋" w:hAnsi="仿宋" w:eastAsia="仿宋" w:cs="仿宋"/>
              <w:szCs w:val="28"/>
              <w:highlight w:val="none"/>
            </w:rPr>
            <w:fldChar w:fldCharType="separate"/>
          </w:r>
          <w:r>
            <w:rPr>
              <w:rFonts w:hint="eastAsia" w:ascii="仿宋" w:hAnsi="仿宋" w:eastAsia="仿宋" w:cs="仿宋"/>
              <w:bCs/>
              <w:kern w:val="44"/>
              <w:szCs w:val="44"/>
              <w:lang w:val="en-US" w:eastAsia="zh-CN" w:bidi="ar-SA"/>
            </w:rPr>
            <w:t xml:space="preserve">第六部分   </w:t>
          </w:r>
          <w:r>
            <w:rPr>
              <w:rFonts w:hint="eastAsia" w:ascii="仿宋" w:hAnsi="仿宋" w:eastAsia="仿宋" w:cs="仿宋"/>
            </w:rPr>
            <w:t>投标文件格式</w:t>
          </w:r>
          <w:r>
            <w:tab/>
          </w:r>
          <w:r>
            <w:fldChar w:fldCharType="begin"/>
          </w:r>
          <w:r>
            <w:instrText xml:space="preserve"> PAGEREF _Toc28393 \h </w:instrText>
          </w:r>
          <w:r>
            <w:fldChar w:fldCharType="separate"/>
          </w:r>
          <w:r>
            <w:t>56</w:t>
          </w:r>
          <w:r>
            <w:fldChar w:fldCharType="end"/>
          </w:r>
          <w:r>
            <w:rPr>
              <w:rFonts w:hint="eastAsia" w:ascii="仿宋" w:hAnsi="仿宋" w:eastAsia="仿宋" w:cs="仿宋"/>
              <w:color w:val="auto"/>
              <w:szCs w:val="28"/>
              <w:highlight w:val="none"/>
            </w:rPr>
            <w:fldChar w:fldCharType="end"/>
          </w:r>
        </w:p>
        <w:p w14:paraId="4FE86C0A">
          <w:pPr>
            <w:spacing w:before="0" w:beforeLines="0" w:after="0" w:afterLines="0" w:line="600" w:lineRule="auto"/>
            <w:ind w:left="0" w:leftChars="0" w:right="0" w:rightChars="0" w:firstLine="0" w:firstLineChars="0"/>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fldChar w:fldCharType="end"/>
          </w:r>
        </w:p>
      </w:sdtContent>
    </w:sdt>
    <w:p w14:paraId="296037F6">
      <w:pPr>
        <w:bidi w:val="0"/>
        <w:rPr>
          <w:rFonts w:hint="eastAsia" w:ascii="仿宋" w:hAnsi="仿宋" w:eastAsia="仿宋" w:cs="仿宋"/>
          <w:snapToGrid w:val="0"/>
          <w:color w:val="auto"/>
          <w:kern w:val="0"/>
          <w:sz w:val="21"/>
          <w:szCs w:val="21"/>
        </w:rPr>
      </w:pPr>
    </w:p>
    <w:p w14:paraId="2CFD1152">
      <w:pPr>
        <w:bidi w:val="0"/>
        <w:rPr>
          <w:rFonts w:hint="eastAsia" w:ascii="仿宋" w:hAnsi="仿宋" w:eastAsia="仿宋" w:cs="仿宋"/>
          <w:color w:val="auto"/>
        </w:rPr>
      </w:pPr>
    </w:p>
    <w:p w14:paraId="12F0A0FC">
      <w:pPr>
        <w:bidi w:val="0"/>
        <w:rPr>
          <w:rFonts w:hint="eastAsia" w:ascii="仿宋" w:hAnsi="仿宋" w:eastAsia="仿宋" w:cs="仿宋"/>
          <w:color w:val="auto"/>
        </w:rPr>
      </w:pPr>
    </w:p>
    <w:p w14:paraId="6E07A542">
      <w:pPr>
        <w:bidi w:val="0"/>
        <w:rPr>
          <w:rFonts w:hint="eastAsia" w:ascii="仿宋" w:hAnsi="仿宋" w:eastAsia="仿宋" w:cs="仿宋"/>
          <w:color w:val="auto"/>
        </w:rPr>
      </w:pPr>
    </w:p>
    <w:p w14:paraId="468588C9">
      <w:pPr>
        <w:bidi w:val="0"/>
        <w:rPr>
          <w:rFonts w:hint="eastAsia" w:ascii="仿宋" w:hAnsi="仿宋" w:eastAsia="仿宋" w:cs="仿宋"/>
          <w:color w:val="auto"/>
        </w:rPr>
      </w:pPr>
    </w:p>
    <w:p w14:paraId="3D52FD06">
      <w:pPr>
        <w:bidi w:val="0"/>
        <w:rPr>
          <w:rFonts w:hint="eastAsia" w:ascii="仿宋" w:hAnsi="仿宋" w:eastAsia="仿宋" w:cs="仿宋"/>
          <w:color w:val="auto"/>
        </w:rPr>
      </w:pPr>
    </w:p>
    <w:p w14:paraId="231E4CB0">
      <w:pPr>
        <w:bidi w:val="0"/>
        <w:rPr>
          <w:rFonts w:hint="eastAsia" w:ascii="仿宋" w:hAnsi="仿宋" w:eastAsia="仿宋" w:cs="仿宋"/>
          <w:color w:val="auto"/>
        </w:rPr>
      </w:pPr>
    </w:p>
    <w:p w14:paraId="68EF84FD">
      <w:pPr>
        <w:bidi w:val="0"/>
        <w:rPr>
          <w:rFonts w:hint="eastAsia" w:ascii="仿宋" w:hAnsi="仿宋" w:eastAsia="仿宋" w:cs="仿宋"/>
          <w:color w:val="auto"/>
        </w:rPr>
      </w:pPr>
    </w:p>
    <w:p w14:paraId="0861B6B2">
      <w:pPr>
        <w:bidi w:val="0"/>
        <w:rPr>
          <w:rFonts w:hint="eastAsia" w:ascii="仿宋" w:hAnsi="仿宋" w:eastAsia="仿宋" w:cs="仿宋"/>
          <w:color w:val="auto"/>
        </w:rPr>
      </w:pPr>
    </w:p>
    <w:p w14:paraId="2D0D3171">
      <w:pPr>
        <w:bidi w:val="0"/>
        <w:rPr>
          <w:rFonts w:hint="eastAsia" w:ascii="仿宋" w:hAnsi="仿宋" w:eastAsia="仿宋" w:cs="仿宋"/>
          <w:color w:val="auto"/>
        </w:rPr>
      </w:pPr>
    </w:p>
    <w:p w14:paraId="0B62FD7F">
      <w:pPr>
        <w:bidi w:val="0"/>
        <w:rPr>
          <w:rFonts w:hint="eastAsia" w:ascii="仿宋" w:hAnsi="仿宋" w:eastAsia="仿宋" w:cs="仿宋"/>
          <w:color w:val="auto"/>
        </w:rPr>
      </w:pPr>
    </w:p>
    <w:p w14:paraId="3F88E722">
      <w:pPr>
        <w:bidi w:val="0"/>
        <w:rPr>
          <w:rFonts w:hint="eastAsia" w:ascii="仿宋" w:hAnsi="仿宋" w:eastAsia="仿宋" w:cs="仿宋"/>
          <w:color w:val="auto"/>
        </w:rPr>
      </w:pPr>
    </w:p>
    <w:p w14:paraId="57E09622">
      <w:pPr>
        <w:bidi w:val="0"/>
        <w:rPr>
          <w:rFonts w:hint="eastAsia" w:ascii="仿宋" w:hAnsi="仿宋" w:eastAsia="仿宋" w:cs="仿宋"/>
          <w:color w:val="auto"/>
        </w:rPr>
      </w:pPr>
    </w:p>
    <w:p w14:paraId="6B53B4BD">
      <w:pPr>
        <w:bidi w:val="0"/>
        <w:rPr>
          <w:rFonts w:hint="eastAsia" w:ascii="仿宋" w:hAnsi="仿宋" w:eastAsia="仿宋" w:cs="仿宋"/>
          <w:color w:val="auto"/>
        </w:rPr>
      </w:pPr>
    </w:p>
    <w:p w14:paraId="46E585A1">
      <w:pPr>
        <w:bidi w:val="0"/>
        <w:rPr>
          <w:rFonts w:hint="eastAsia" w:ascii="仿宋" w:hAnsi="仿宋" w:eastAsia="仿宋" w:cs="仿宋"/>
          <w:color w:val="auto"/>
        </w:rPr>
      </w:pPr>
    </w:p>
    <w:p w14:paraId="217025EB">
      <w:pPr>
        <w:bidi w:val="0"/>
        <w:rPr>
          <w:rFonts w:hint="eastAsia" w:ascii="仿宋" w:hAnsi="仿宋" w:eastAsia="仿宋" w:cs="仿宋"/>
          <w:color w:val="auto"/>
        </w:rPr>
      </w:pPr>
    </w:p>
    <w:p w14:paraId="44F65E07">
      <w:pPr>
        <w:bidi w:val="0"/>
        <w:rPr>
          <w:rFonts w:hint="eastAsia" w:ascii="仿宋" w:hAnsi="仿宋" w:eastAsia="仿宋" w:cs="仿宋"/>
          <w:color w:val="auto"/>
        </w:rPr>
      </w:pPr>
    </w:p>
    <w:p w14:paraId="165DDE59">
      <w:pPr>
        <w:bidi w:val="0"/>
        <w:rPr>
          <w:rFonts w:hint="eastAsia" w:ascii="仿宋" w:hAnsi="仿宋" w:eastAsia="仿宋" w:cs="仿宋"/>
          <w:color w:val="auto"/>
        </w:rPr>
      </w:pPr>
    </w:p>
    <w:p w14:paraId="51469B27">
      <w:pPr>
        <w:bidi w:val="0"/>
        <w:rPr>
          <w:rFonts w:hint="eastAsia" w:ascii="仿宋" w:hAnsi="仿宋" w:eastAsia="仿宋" w:cs="仿宋"/>
          <w:color w:val="auto"/>
        </w:rPr>
      </w:pPr>
    </w:p>
    <w:p w14:paraId="459CF65B">
      <w:pPr>
        <w:bidi w:val="0"/>
        <w:rPr>
          <w:rFonts w:hint="eastAsia" w:ascii="仿宋" w:hAnsi="仿宋" w:eastAsia="仿宋" w:cs="仿宋"/>
          <w:color w:val="auto"/>
        </w:rPr>
      </w:pPr>
    </w:p>
    <w:p w14:paraId="55F229D0">
      <w:pPr>
        <w:tabs>
          <w:tab w:val="center" w:pos="4535"/>
        </w:tabs>
        <w:bidi w:val="0"/>
        <w:jc w:val="left"/>
        <w:rPr>
          <w:rFonts w:hint="eastAsia" w:ascii="仿宋" w:hAnsi="仿宋" w:eastAsia="仿宋" w:cs="仿宋"/>
          <w:color w:val="auto"/>
          <w:lang w:eastAsia="zh-CN"/>
        </w:rPr>
        <w:sectPr>
          <w:footerReference r:id="rId4" w:type="default"/>
          <w:pgSz w:w="11905" w:h="16838"/>
          <w:pgMar w:top="1417" w:right="1417" w:bottom="1417" w:left="1417" w:header="992" w:footer="1077" w:gutter="0"/>
          <w:cols w:space="0" w:num="1"/>
          <w:rtlGutter w:val="0"/>
          <w:docGrid w:linePitch="0" w:charSpace="0"/>
        </w:sectPr>
      </w:pPr>
      <w:r>
        <w:rPr>
          <w:rFonts w:hint="eastAsia" w:ascii="仿宋" w:hAnsi="仿宋" w:eastAsia="仿宋" w:cs="仿宋"/>
          <w:color w:val="auto"/>
          <w:lang w:eastAsia="zh-CN"/>
        </w:rPr>
        <w:tab/>
      </w:r>
    </w:p>
    <w:p w14:paraId="301C1A1C">
      <w:pPr>
        <w:spacing w:before="64" w:line="223" w:lineRule="auto"/>
        <w:ind w:left="3471"/>
        <w:outlineLvl w:val="0"/>
        <w:rPr>
          <w:rFonts w:hint="eastAsia" w:ascii="仿宋" w:hAnsi="仿宋" w:eastAsia="仿宋" w:cs="仿宋"/>
          <w:color w:val="auto"/>
          <w:sz w:val="31"/>
          <w:szCs w:val="31"/>
          <w:highlight w:val="none"/>
        </w:rPr>
      </w:pPr>
      <w:bookmarkStart w:id="35" w:name="_bookmark1"/>
      <w:bookmarkEnd w:id="35"/>
      <w:bookmarkStart w:id="36" w:name="_Toc8671"/>
      <w:r>
        <w:rPr>
          <w:rFonts w:hint="eastAsia" w:ascii="仿宋" w:hAnsi="仿宋" w:eastAsia="仿宋" w:cs="仿宋"/>
          <w:color w:val="auto"/>
          <w:spacing w:val="13"/>
          <w:sz w:val="31"/>
          <w:szCs w:val="31"/>
          <w:highlight w:val="none"/>
        </w:rPr>
        <w:t>第</w:t>
      </w:r>
      <w:r>
        <w:rPr>
          <w:rFonts w:hint="eastAsia" w:ascii="仿宋" w:hAnsi="仿宋" w:eastAsia="仿宋" w:cs="仿宋"/>
          <w:color w:val="auto"/>
          <w:spacing w:val="8"/>
          <w:sz w:val="31"/>
          <w:szCs w:val="31"/>
          <w:highlight w:val="none"/>
        </w:rPr>
        <w:t>一</w:t>
      </w:r>
      <w:r>
        <w:rPr>
          <w:rFonts w:hint="eastAsia" w:ascii="仿宋" w:hAnsi="仿宋" w:eastAsia="仿宋" w:cs="仿宋"/>
          <w:color w:val="auto"/>
          <w:spacing w:val="8"/>
          <w:sz w:val="31"/>
          <w:szCs w:val="31"/>
          <w:highlight w:val="none"/>
          <w:lang w:eastAsia="zh-CN"/>
        </w:rPr>
        <w:t>部分</w:t>
      </w:r>
      <w:r>
        <w:rPr>
          <w:rFonts w:hint="eastAsia" w:ascii="仿宋" w:hAnsi="仿宋" w:eastAsia="仿宋" w:cs="仿宋"/>
          <w:color w:val="auto"/>
          <w:spacing w:val="8"/>
          <w:sz w:val="31"/>
          <w:szCs w:val="31"/>
          <w:highlight w:val="none"/>
        </w:rPr>
        <w:t xml:space="preserve"> 招标公告</w:t>
      </w:r>
      <w:bookmarkEnd w:id="36"/>
    </w:p>
    <w:p w14:paraId="2A6AEAE8">
      <w:pPr>
        <w:spacing w:line="365" w:lineRule="auto"/>
        <w:rPr>
          <w:rFonts w:hint="eastAsia" w:ascii="仿宋" w:hAnsi="仿宋" w:eastAsia="仿宋" w:cs="仿宋"/>
          <w:color w:val="auto"/>
          <w:sz w:val="21"/>
          <w:highlight w:val="none"/>
        </w:rPr>
      </w:pPr>
    </w:p>
    <w:p w14:paraId="329806CE">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项目概况</w:t>
      </w:r>
    </w:p>
    <w:p w14:paraId="625A912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汉滨区第三人民医院2024年度专科、基础医疗设备清单采购项目的潜在投标人应在全国公共资源交易平台 (陕西省.安康市)获取招标文件，并于2024年01月24日14时00分（北京时间）前递交投标文件。</w:t>
      </w:r>
    </w:p>
    <w:p w14:paraId="72FCC009">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一、项目基本情况</w:t>
      </w:r>
    </w:p>
    <w:p w14:paraId="1138423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项目编号：FDDL-2024183</w:t>
      </w:r>
    </w:p>
    <w:p w14:paraId="6BA8E04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项目名称：汉滨区第三人民医院2024年度专科、基础医疗设备清单采购项目</w:t>
      </w:r>
    </w:p>
    <w:p w14:paraId="413B4A6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采购方式：公开招标</w:t>
      </w:r>
    </w:p>
    <w:p w14:paraId="4AD208F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预算金额：1,884,600.00元</w:t>
      </w:r>
    </w:p>
    <w:p w14:paraId="436CC00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采购需求：</w:t>
      </w:r>
    </w:p>
    <w:p w14:paraId="7778607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合同包1(精卫中心投入使用采购基础医疗设备):</w:t>
      </w:r>
    </w:p>
    <w:p w14:paraId="716DD0B0">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合同包预算金额：890,600.00元</w:t>
      </w:r>
    </w:p>
    <w:tbl>
      <w:tblPr>
        <w:tblStyle w:val="30"/>
        <w:tblW w:w="90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4"/>
        <w:gridCol w:w="1144"/>
        <w:gridCol w:w="1677"/>
        <w:gridCol w:w="1492"/>
        <w:gridCol w:w="1434"/>
        <w:gridCol w:w="1526"/>
        <w:gridCol w:w="1199"/>
      </w:tblGrid>
      <w:tr w14:paraId="64D32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9" w:hRule="atLeast"/>
          <w:jc w:val="center"/>
        </w:trPr>
        <w:tc>
          <w:tcPr>
            <w:tcW w:w="624" w:type="dxa"/>
            <w:vAlign w:val="center"/>
          </w:tcPr>
          <w:p w14:paraId="0C2EE048">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品目号</w:t>
            </w:r>
          </w:p>
        </w:tc>
        <w:tc>
          <w:tcPr>
            <w:tcW w:w="1144" w:type="dxa"/>
            <w:vAlign w:val="center"/>
          </w:tcPr>
          <w:p w14:paraId="2599D2DC">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品目</w:t>
            </w:r>
          </w:p>
          <w:p w14:paraId="43879E99">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677" w:type="dxa"/>
            <w:vAlign w:val="center"/>
          </w:tcPr>
          <w:p w14:paraId="5AAC871D">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采购标的</w:t>
            </w:r>
          </w:p>
        </w:tc>
        <w:tc>
          <w:tcPr>
            <w:tcW w:w="1492" w:type="dxa"/>
            <w:vAlign w:val="center"/>
          </w:tcPr>
          <w:p w14:paraId="692C07BB">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p w14:paraId="56A4D9F0">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1434" w:type="dxa"/>
            <w:vAlign w:val="center"/>
          </w:tcPr>
          <w:p w14:paraId="054072E2">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技术规格、参数及要求</w:t>
            </w:r>
          </w:p>
        </w:tc>
        <w:tc>
          <w:tcPr>
            <w:tcW w:w="1526" w:type="dxa"/>
            <w:vAlign w:val="center"/>
          </w:tcPr>
          <w:p w14:paraId="525E905F">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品目预算(元)</w:t>
            </w:r>
          </w:p>
        </w:tc>
        <w:tc>
          <w:tcPr>
            <w:tcW w:w="1199" w:type="dxa"/>
            <w:vAlign w:val="center"/>
          </w:tcPr>
          <w:p w14:paraId="641C68FD">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最高限价(元)</w:t>
            </w:r>
          </w:p>
        </w:tc>
      </w:tr>
      <w:tr w14:paraId="549B1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8" w:hRule="atLeast"/>
          <w:jc w:val="center"/>
        </w:trPr>
        <w:tc>
          <w:tcPr>
            <w:tcW w:w="624" w:type="dxa"/>
            <w:vAlign w:val="center"/>
          </w:tcPr>
          <w:p w14:paraId="357592B0">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144" w:type="dxa"/>
            <w:vAlign w:val="center"/>
          </w:tcPr>
          <w:p w14:paraId="74F89EF6">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病房护理及医院设备</w:t>
            </w:r>
          </w:p>
        </w:tc>
        <w:tc>
          <w:tcPr>
            <w:tcW w:w="1677" w:type="dxa"/>
            <w:vAlign w:val="center"/>
          </w:tcPr>
          <w:p w14:paraId="40E1311F">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精卫中心投入使用采购基础医疗设备</w:t>
            </w:r>
          </w:p>
        </w:tc>
        <w:tc>
          <w:tcPr>
            <w:tcW w:w="1492" w:type="dxa"/>
            <w:vAlign w:val="center"/>
          </w:tcPr>
          <w:p w14:paraId="5961B6ED">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193(台)</w:t>
            </w:r>
          </w:p>
        </w:tc>
        <w:tc>
          <w:tcPr>
            <w:tcW w:w="1434" w:type="dxa"/>
            <w:vAlign w:val="center"/>
          </w:tcPr>
          <w:p w14:paraId="428B754D">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详见采购</w:t>
            </w:r>
          </w:p>
          <w:p w14:paraId="6620D144">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文件</w:t>
            </w:r>
          </w:p>
        </w:tc>
        <w:tc>
          <w:tcPr>
            <w:tcW w:w="1526" w:type="dxa"/>
            <w:vAlign w:val="center"/>
          </w:tcPr>
          <w:p w14:paraId="2AD7736C">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890,600.00</w:t>
            </w:r>
          </w:p>
        </w:tc>
        <w:tc>
          <w:tcPr>
            <w:tcW w:w="1199" w:type="dxa"/>
            <w:vAlign w:val="center"/>
          </w:tcPr>
          <w:p w14:paraId="6E7FFFC5">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14:paraId="4E11C73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 本合同包不接受联合体投标</w:t>
      </w:r>
    </w:p>
    <w:p w14:paraId="1FA9F08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 合同履行期限：合同签订之日起30天内完成所有的设备供货及安装、调试。</w:t>
      </w:r>
    </w:p>
    <w:p w14:paraId="64CF840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合同包2(新增专科医疗设备):</w:t>
      </w:r>
    </w:p>
    <w:p w14:paraId="127FC6C5">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合同包预算金额：994,000.00元</w:t>
      </w:r>
    </w:p>
    <w:tbl>
      <w:tblPr>
        <w:tblStyle w:val="30"/>
        <w:tblW w:w="915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0"/>
        <w:gridCol w:w="1152"/>
        <w:gridCol w:w="1647"/>
        <w:gridCol w:w="1485"/>
        <w:gridCol w:w="1440"/>
        <w:gridCol w:w="1511"/>
        <w:gridCol w:w="1251"/>
      </w:tblGrid>
      <w:tr w14:paraId="369DB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6" w:hRule="atLeast"/>
          <w:jc w:val="center"/>
        </w:trPr>
        <w:tc>
          <w:tcPr>
            <w:tcW w:w="670" w:type="dxa"/>
            <w:vAlign w:val="center"/>
          </w:tcPr>
          <w:p w14:paraId="711200A7">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品目号</w:t>
            </w:r>
          </w:p>
        </w:tc>
        <w:tc>
          <w:tcPr>
            <w:tcW w:w="1152" w:type="dxa"/>
            <w:vAlign w:val="center"/>
          </w:tcPr>
          <w:p w14:paraId="6793DFFC">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品目</w:t>
            </w:r>
          </w:p>
          <w:p w14:paraId="45BC7A36">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647" w:type="dxa"/>
            <w:vAlign w:val="center"/>
          </w:tcPr>
          <w:p w14:paraId="7EB0385C">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采购标的</w:t>
            </w:r>
          </w:p>
        </w:tc>
        <w:tc>
          <w:tcPr>
            <w:tcW w:w="1485" w:type="dxa"/>
            <w:vAlign w:val="center"/>
          </w:tcPr>
          <w:p w14:paraId="39FD3F7B">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p w14:paraId="388B6588">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1440" w:type="dxa"/>
            <w:vAlign w:val="center"/>
          </w:tcPr>
          <w:p w14:paraId="1F4E6ABB">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技术规格、参数及要求</w:t>
            </w:r>
          </w:p>
        </w:tc>
        <w:tc>
          <w:tcPr>
            <w:tcW w:w="1511" w:type="dxa"/>
            <w:vAlign w:val="center"/>
          </w:tcPr>
          <w:p w14:paraId="22B772E7">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品目预算(元)</w:t>
            </w:r>
          </w:p>
        </w:tc>
        <w:tc>
          <w:tcPr>
            <w:tcW w:w="1251" w:type="dxa"/>
            <w:vAlign w:val="center"/>
          </w:tcPr>
          <w:p w14:paraId="458E0358">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最高限价(元)</w:t>
            </w:r>
          </w:p>
        </w:tc>
      </w:tr>
      <w:tr w14:paraId="6C7FD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7" w:hRule="atLeast"/>
          <w:jc w:val="center"/>
        </w:trPr>
        <w:tc>
          <w:tcPr>
            <w:tcW w:w="670" w:type="dxa"/>
            <w:vAlign w:val="center"/>
          </w:tcPr>
          <w:p w14:paraId="776D04A7">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w:t>
            </w:r>
          </w:p>
        </w:tc>
        <w:tc>
          <w:tcPr>
            <w:tcW w:w="1152" w:type="dxa"/>
            <w:vAlign w:val="center"/>
          </w:tcPr>
          <w:p w14:paraId="32FF333B">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其他医疗设备</w:t>
            </w:r>
          </w:p>
        </w:tc>
        <w:tc>
          <w:tcPr>
            <w:tcW w:w="1647" w:type="dxa"/>
            <w:vAlign w:val="center"/>
          </w:tcPr>
          <w:p w14:paraId="4D452B0B">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新增专科医疗设备</w:t>
            </w:r>
          </w:p>
        </w:tc>
        <w:tc>
          <w:tcPr>
            <w:tcW w:w="1485" w:type="dxa"/>
            <w:vAlign w:val="center"/>
          </w:tcPr>
          <w:p w14:paraId="40A9FB8D">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10(台/套)</w:t>
            </w:r>
          </w:p>
        </w:tc>
        <w:tc>
          <w:tcPr>
            <w:tcW w:w="1440" w:type="dxa"/>
            <w:vAlign w:val="center"/>
          </w:tcPr>
          <w:p w14:paraId="70DBD8C1">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详见采购</w:t>
            </w:r>
          </w:p>
          <w:p w14:paraId="52FBFE90">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文件</w:t>
            </w:r>
          </w:p>
        </w:tc>
        <w:tc>
          <w:tcPr>
            <w:tcW w:w="1511" w:type="dxa"/>
            <w:vAlign w:val="center"/>
          </w:tcPr>
          <w:p w14:paraId="58A080B5">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994,000.00</w:t>
            </w:r>
          </w:p>
        </w:tc>
        <w:tc>
          <w:tcPr>
            <w:tcW w:w="1251" w:type="dxa"/>
            <w:vAlign w:val="center"/>
          </w:tcPr>
          <w:p w14:paraId="75D44A79">
            <w:pPr>
              <w:pStyle w:val="1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14:paraId="59626C8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 本合同包不接受联合体投标</w:t>
      </w:r>
    </w:p>
    <w:p w14:paraId="349DFF8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 合同履行期限：合同签订之日起30天内完成所有的设备供货及安装、调试。</w:t>
      </w:r>
    </w:p>
    <w:p w14:paraId="431414D4">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二、申请人的资格要求：</w:t>
      </w:r>
    </w:p>
    <w:p w14:paraId="2DEFBC87">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1.满足《中华人民共和国政府采购法》第二十二条规定;</w:t>
      </w:r>
    </w:p>
    <w:p w14:paraId="608AE202">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2.落实政府采购政策需满足的资格要求：</w:t>
      </w:r>
    </w:p>
    <w:p w14:paraId="060E453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合同包1(精卫中心投入使用采购基础医疗设备)落实政府采购政策需满足的资格要求如下:</w:t>
      </w:r>
    </w:p>
    <w:p w14:paraId="460CBBB0">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1、《政府采购促进中小企业发展管理办法》（财库〔2020〕46号）、财政部关于进一步加大政府采购支持中小企业力度的通知（财库〔2022〕19号）； </w:t>
      </w:r>
    </w:p>
    <w:p w14:paraId="063452A5">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2、《财政部 司法部关于政府采购支持监狱企业发展有关问题的通知》（财库〔2014〕68号）； </w:t>
      </w:r>
    </w:p>
    <w:p w14:paraId="02601022">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3、《财政部 发展改革委 生态环境部 市场监管总局关于调整优化节能产品 环境标志产品政府采购执行机制的通知》（财库〔2019〕9号）；</w:t>
      </w:r>
    </w:p>
    <w:p w14:paraId="54D00E32">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4、《财政部 国家发展改革委关于印发〈节能产品政府采购实施意见〉的通知》（财库〔2004〕185号）；</w:t>
      </w:r>
    </w:p>
    <w:p w14:paraId="533CE76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5、《环境标志产品政府采购实施的意见》（财库〔2006〕90号）；</w:t>
      </w:r>
    </w:p>
    <w:p w14:paraId="6DD6C1B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6、《三部门联合发布关于促进残疾人就业政府采购政策的通知》（财库〔2017〕141号）；</w:t>
      </w:r>
    </w:p>
    <w:p w14:paraId="452BE2C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7、《关于运用政府采购政策支持乡村产业振兴的通知》（财库〔2021〕19号）；</w:t>
      </w:r>
    </w:p>
    <w:p w14:paraId="66A2341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8、《国务院办公厅关于建立政府强制采购节能产品制度的通知》（国办发〔2007〕51号）；</w:t>
      </w:r>
    </w:p>
    <w:p w14:paraId="14FAC00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9、陕西省财政厅关于印发《陕西省中小企业政府采购信用融资办法》（陕财办采〔2018〕23号）；</w:t>
      </w:r>
    </w:p>
    <w:p w14:paraId="04D9CC2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10、陕西省财政厅《关于进一步加强政府绿色采购有关问题的通知》陕财办采〔2021〕29号。</w:t>
      </w:r>
    </w:p>
    <w:p w14:paraId="60160A8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11、其他需要落实的政府采购政策。</w:t>
      </w:r>
    </w:p>
    <w:p w14:paraId="023294E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合同包2(新增专科医疗设备)落实政府采购政策需满足的资格要求如下:</w:t>
      </w:r>
    </w:p>
    <w:p w14:paraId="25E642F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1、《政府采购促进中小企业发展管理办法》（财库〔2020〕46号）、财政部关于进一步加大政府采购支持中小企业力度的通知（财库〔2022〕19号）； </w:t>
      </w:r>
    </w:p>
    <w:p w14:paraId="5B83747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 xml:space="preserve">2、《财政部 司法部关于政府采购支持监狱企业发展有关问题的通知》（财库〔2014〕68号）； </w:t>
      </w:r>
    </w:p>
    <w:p w14:paraId="6D749E8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3、《财政部 发展改革委 生态环境部 市场监管总局关于调整优化节能产品 环境标志产品政府采购执行机制的通知》（财库〔2019〕9号）；</w:t>
      </w:r>
    </w:p>
    <w:p w14:paraId="2038C78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4、《财政部 国家发展改革委关于印发〈节能产品政府采购实施意见〉的通知》（财库〔2004〕185号）；</w:t>
      </w:r>
    </w:p>
    <w:p w14:paraId="227602D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5、《环境标志产品政府采购实施的意见》（财库〔2006〕90号）；</w:t>
      </w:r>
    </w:p>
    <w:p w14:paraId="2896F5B0">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6、《三部门联合发布关于促进残疾人就业政府采购政策的通知》（财库〔2017〕141号）；</w:t>
      </w:r>
    </w:p>
    <w:p w14:paraId="6641148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7、《关于运用政府采购政策支持乡村产业振兴的通知》（财库〔2021〕19号）；</w:t>
      </w:r>
    </w:p>
    <w:p w14:paraId="371C43A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8、《国务院办公厅关于建立政府强制采购节能产品制度的通知》（国办发〔2007〕51号）；</w:t>
      </w:r>
    </w:p>
    <w:p w14:paraId="208B405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9、陕西省财政厅关于印发《陕西省中小企业政府采购信用融资办法》（陕财办采〔2018〕23号）；</w:t>
      </w:r>
    </w:p>
    <w:p w14:paraId="22ABDDE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10、陕西省财政厅《关于进一步加强政府绿色采购有关问题的通知》陕财办采〔2021〕29号。</w:t>
      </w:r>
    </w:p>
    <w:p w14:paraId="79FEA91D">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11、其他需要落实的政府采购政策</w:t>
      </w:r>
    </w:p>
    <w:p w14:paraId="3EBF3C4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3.本项目的特定资格要求：</w:t>
      </w:r>
    </w:p>
    <w:p w14:paraId="72C80714">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合同包1(精卫中心投入使用采购基础医疗设备)特定资格要求如下:</w:t>
      </w:r>
    </w:p>
    <w:p w14:paraId="37822F3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p>
    <w:p w14:paraId="583FB33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（2）法定代表人或负责人授权书（附法定代表人或负责人身份证复印件）及被授权人身份证；（法定代表人直接参加投标只须提供法定代表人身份证）；</w:t>
      </w:r>
    </w:p>
    <w:p w14:paraId="072D725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（3）投标人为经销商的应出具医疗器械经营许可证或第二类医疗器械经营备案凭证（投标产品须在其经营范围内）；供应商为制造厂家应出具医疗器械生产许可证（投标产品须在其生产范围内）；</w:t>
      </w:r>
    </w:p>
    <w:p w14:paraId="4635C0D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（4）财务状况：提供 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3EC0A1F5">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（5）税收缴纳证明：提供 2024年1月至今内任意一个月的企业依法交纳税收的完税证明材料，依法免税的单位应提供相关证明材料。</w:t>
      </w:r>
    </w:p>
    <w:p w14:paraId="185956F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（6）依法交纳社会保障资金的证明材料：提供社会保障资金缴存单据或社保机构开具的2024年1月至今任意一个月社会保险参保缴费情况证明，依法不需要缴纳社会保障资金的单位应提供相关证明材料；</w:t>
      </w:r>
    </w:p>
    <w:p w14:paraId="083EB102">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（7）参加政府采购活动前3年内在经营活动中没有重大违法记录的书面声明；</w:t>
      </w:r>
    </w:p>
    <w:p w14:paraId="207AE99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2DE77C5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（9）具有履行合同所必需的设备和专业技术能力的书面声明；</w:t>
      </w:r>
    </w:p>
    <w:p w14:paraId="4BDBF74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（10）本项目不接受联合体投标，单位负责人为同一人或者存在直接控股、管理关系的不同供应商，不得参加同一合同项下的政府采购活动。</w:t>
      </w:r>
    </w:p>
    <w:p w14:paraId="3472A17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合同包2(新增专科医疗设备)特定资格要求如下:</w:t>
      </w:r>
    </w:p>
    <w:p w14:paraId="03C4D7C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p>
    <w:p w14:paraId="289EA7D2">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（2）法定代表人或负责人授权书（附法定代表人或负责人身份证复印件）及被授权人身份证；（法定代表人直接参加投标只须提供法定代表人身份证）；</w:t>
      </w:r>
    </w:p>
    <w:p w14:paraId="38E8A10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（3）投标人为经销商的应出具医疗器械经营许可证或第二类医疗器械经营备案凭证（投标产品须在其经营范围内）；供应商为制造厂家应出具医疗器械生产许可证（投标产品须在其生产范围内）；</w:t>
      </w:r>
    </w:p>
    <w:p w14:paraId="46231B17">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（4）财务状况：提供 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3414D647">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（5）税收缴纳证明：提供 2024年1月至今内任意一个月的企业依法交纳税收的完税证明材料，依法免税的单位应提供相关证明材料。</w:t>
      </w:r>
    </w:p>
    <w:p w14:paraId="1CC0B31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（6）依法交纳社会保障资金的证明材料：提供社会保障资金缴存单据或社保机构开具的2024年1月至今任意一个月社会保险参保缴费情况证明，依法不需要缴纳社会保障资金的单位应提供相关证明材料；</w:t>
      </w:r>
    </w:p>
    <w:p w14:paraId="5E6260C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（7）参加政府采购活动前3年内在经营活动中没有重大违法记录的书面声明；</w:t>
      </w:r>
    </w:p>
    <w:p w14:paraId="60276D8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39577BC2">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（9）具有履行合同所必需的设备和专业技术能力的书面声明；</w:t>
      </w:r>
    </w:p>
    <w:p w14:paraId="10985DC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（10）本项目不接受联合体投标，单位负责人为同一人或者存在直接控股、管理关系的不同供应商，不得参加同一合同项下的政府采购活动。</w:t>
      </w:r>
    </w:p>
    <w:p w14:paraId="0E952C35">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三、获取招标文件</w:t>
      </w:r>
    </w:p>
    <w:p w14:paraId="0D539357">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时间：2025年01月04日 至 2025年01月10日 ，每天上午 08:00:00 至 12:00:00 ，下午 12:00:00 至 18:00:00 （北京时间）</w:t>
      </w:r>
    </w:p>
    <w:p w14:paraId="2D3D44F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途径：全国公共资源交易平台 (陕西省.安康市)</w:t>
      </w:r>
    </w:p>
    <w:p w14:paraId="343B444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方式：在线获取</w:t>
      </w:r>
    </w:p>
    <w:p w14:paraId="75DF00F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售价： 0元</w:t>
      </w:r>
    </w:p>
    <w:p w14:paraId="228C33A8">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四、提交投标文件截止时间、开标时间和地点</w:t>
      </w:r>
    </w:p>
    <w:p w14:paraId="72F40DD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时间：2025年01月24日 14时00分00秒 （北京时间）</w:t>
      </w:r>
    </w:p>
    <w:p w14:paraId="6936C864">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提交投标文件地点：全国公共资源交易平台 (陕西省.安康市)</w:t>
      </w:r>
    </w:p>
    <w:p w14:paraId="67EEFCC7">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开标地点：本项目采用电子化投标及远程不见面开标, “不见面开标大厅”登录网址：http://219.145.206.209/BidOpeningHall/bidopeninghallaction/hall/login</w:t>
      </w:r>
    </w:p>
    <w:p w14:paraId="2DD26E0A">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五、公告期限</w:t>
      </w:r>
    </w:p>
    <w:p w14:paraId="2E1E2F4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自本公告发布之日起5个工作日。</w:t>
      </w:r>
    </w:p>
    <w:p w14:paraId="260CC450">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六、其他补充事宜</w:t>
      </w:r>
    </w:p>
    <w:p w14:paraId="70F027F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（1）报名登记：供应商使用捆绑 CA 证书登录安康市公共资源交易中心（http://ak.sxggzyjy.cn/），选择电子交易平台中的陕西政府采购交易系统（http://www.sxggzyjy.cn:9002/TPBidder）进行登录，登录后选择“交易乙方”身份进入供应商界面进行报名。（2）下载文件：供应商报名登记后，在报名期限内登录安康市公共资源交易中心（http://ak.sxggzyjy.cn/），选择“交易乙方”身份进入投标人界面下载磋商文件。（3）本项目采用电子化投标的方式，相关操作流程详见全国公共资源交易平台（陕西省）网站[服务指南-下载专区]中的《陕西省公共资源交易中心政府采购项目投标指南》；（4）电子招标文件技术支持：4009280095、4009980000。</w:t>
      </w:r>
    </w:p>
    <w:p w14:paraId="67EFD4A3">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七、对本次招标提出询问，请按以下方式联系。</w:t>
      </w:r>
    </w:p>
    <w:p w14:paraId="77EFBC20">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1.采购人信息</w:t>
      </w:r>
    </w:p>
    <w:p w14:paraId="1398175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名称：汉滨区第三人民医院</w:t>
      </w:r>
    </w:p>
    <w:p w14:paraId="057A947D">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地址：安康市汉滨区五里镇王台社区</w:t>
      </w:r>
    </w:p>
    <w:p w14:paraId="48C839A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联系方式：18091561166</w:t>
      </w:r>
    </w:p>
    <w:p w14:paraId="2EF14481">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2.采购代理机构信息</w:t>
      </w:r>
    </w:p>
    <w:p w14:paraId="73A062F2">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名称：陕西方得项目管理有限公司</w:t>
      </w:r>
    </w:p>
    <w:p w14:paraId="555559B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地址：安康市汉滨区滨江大道汉江大剧院西区三楼</w:t>
      </w:r>
    </w:p>
    <w:p w14:paraId="19F274CA">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联系方式：13038911990</w:t>
      </w:r>
    </w:p>
    <w:p w14:paraId="74A7B1EA">
      <w:pPr>
        <w:pStyle w:val="28"/>
        <w:keepNext w:val="0"/>
        <w:keepLines w:val="0"/>
        <w:pageBreakBefore w:val="0"/>
        <w:wordWrap/>
        <w:overflowPunct/>
        <w:topLinePunct w:val="0"/>
        <w:bidi w:val="0"/>
        <w:spacing w:line="312" w:lineRule="auto"/>
        <w:ind w:left="0" w:leftChars="0" w:firstLine="0" w:firstLineChars="0"/>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3.项目联系方式</w:t>
      </w:r>
    </w:p>
    <w:p w14:paraId="5865521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项目联系人：沈川红</w:t>
      </w:r>
    </w:p>
    <w:p w14:paraId="5D969DF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电话：13038911990</w:t>
      </w:r>
    </w:p>
    <w:p w14:paraId="15980EC4">
      <w:pPr>
        <w:pStyle w:val="13"/>
        <w:keepNext w:val="0"/>
        <w:keepLines w:val="0"/>
        <w:pageBreakBefore w:val="0"/>
        <w:wordWrap/>
        <w:overflowPunct/>
        <w:topLinePunct w:val="0"/>
        <w:bidi w:val="0"/>
        <w:spacing w:line="312"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陕西方得项目管理有限公司</w:t>
      </w:r>
    </w:p>
    <w:p w14:paraId="4BDF834C">
      <w:pPr>
        <w:pStyle w:val="28"/>
        <w:keepNext w:val="0"/>
        <w:keepLines w:val="0"/>
        <w:pageBreakBefore w:val="0"/>
        <w:wordWrap/>
        <w:overflowPunct/>
        <w:topLinePunct w:val="0"/>
        <w:bidi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2025年01月03日</w:t>
      </w:r>
    </w:p>
    <w:p w14:paraId="38E015CB">
      <w:pPr>
        <w:pStyle w:val="2"/>
        <w:numPr>
          <w:ilvl w:val="0"/>
          <w:numId w:val="0"/>
        </w:numPr>
        <w:spacing w:line="240" w:lineRule="auto"/>
        <w:jc w:val="center"/>
        <w:rPr>
          <w:rFonts w:hint="eastAsia" w:ascii="仿宋" w:hAnsi="仿宋" w:eastAsia="仿宋" w:cs="仿宋"/>
          <w:color w:val="auto"/>
        </w:rPr>
      </w:pPr>
      <w:bookmarkStart w:id="37" w:name="_Toc18599"/>
      <w:bookmarkStart w:id="38" w:name="_Toc32336"/>
      <w:r>
        <w:rPr>
          <w:rFonts w:hint="eastAsia" w:ascii="仿宋" w:hAnsi="仿宋" w:eastAsia="仿宋" w:cs="仿宋"/>
          <w:b/>
          <w:bCs/>
          <w:color w:val="auto"/>
          <w:kern w:val="44"/>
          <w:sz w:val="44"/>
          <w:szCs w:val="44"/>
          <w:lang w:val="en-US" w:eastAsia="zh-CN" w:bidi="ar-SA"/>
        </w:rPr>
        <w:t xml:space="preserve">第二部分 </w:t>
      </w:r>
      <w:r>
        <w:rPr>
          <w:rFonts w:hint="eastAsia" w:ascii="仿宋" w:hAnsi="仿宋" w:eastAsia="仿宋" w:cs="仿宋"/>
          <w:color w:val="auto"/>
        </w:rPr>
        <w:t>投标人须知及前附表</w:t>
      </w:r>
      <w:bookmarkEnd w:id="5"/>
      <w:bookmarkEnd w:id="6"/>
      <w:bookmarkEnd w:id="37"/>
      <w:bookmarkEnd w:id="38"/>
    </w:p>
    <w:p w14:paraId="1E2B6F3D">
      <w:pPr>
        <w:pStyle w:val="2"/>
        <w:numPr>
          <w:ilvl w:val="0"/>
          <w:numId w:val="0"/>
        </w:numPr>
        <w:spacing w:line="240" w:lineRule="auto"/>
        <w:jc w:val="both"/>
        <w:rPr>
          <w:rFonts w:hint="eastAsia" w:ascii="仿宋" w:hAnsi="仿宋" w:eastAsia="仿宋" w:cs="仿宋"/>
          <w:b/>
          <w:bCs/>
          <w:color w:val="auto"/>
          <w:sz w:val="10"/>
          <w:szCs w:val="10"/>
        </w:rPr>
      </w:pPr>
      <w:bookmarkStart w:id="39" w:name="_Toc7530"/>
      <w:bookmarkStart w:id="40" w:name="_Toc23134"/>
      <w:bookmarkStart w:id="41" w:name="_Toc19750"/>
      <w:bookmarkStart w:id="42" w:name="_Toc26475"/>
      <w:r>
        <w:rPr>
          <w:rFonts w:hint="eastAsia" w:ascii="仿宋" w:hAnsi="仿宋" w:eastAsia="仿宋" w:cs="仿宋"/>
          <w:b/>
          <w:color w:val="auto"/>
          <w:sz w:val="28"/>
          <w:szCs w:val="30"/>
        </w:rPr>
        <w:t>一、投标人须知前附表</w:t>
      </w:r>
      <w:bookmarkEnd w:id="39"/>
      <w:bookmarkEnd w:id="40"/>
      <w:bookmarkEnd w:id="41"/>
      <w:bookmarkEnd w:id="42"/>
    </w:p>
    <w:p w14:paraId="52F12BCA">
      <w:pPr>
        <w:spacing w:afterLines="50"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本表关于招标货物和服务的具体要求是对投标人须知的具体补充和修改，如有矛盾，应以本表为准。</w:t>
      </w:r>
    </w:p>
    <w:tbl>
      <w:tblPr>
        <w:tblStyle w:val="30"/>
        <w:tblW w:w="95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37"/>
        <w:gridCol w:w="8651"/>
      </w:tblGrid>
      <w:tr w14:paraId="19B1A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937" w:type="dxa"/>
            <w:noWrap w:val="0"/>
            <w:vAlign w:val="bottom"/>
          </w:tcPr>
          <w:p w14:paraId="419A1D30">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序</w:t>
            </w:r>
            <w:r>
              <w:rPr>
                <w:rFonts w:hint="eastAsia" w:ascii="仿宋" w:hAnsi="仿宋" w:eastAsia="仿宋" w:cs="仿宋"/>
                <w:b/>
                <w:bCs w:val="0"/>
                <w:color w:val="auto"/>
                <w:sz w:val="24"/>
                <w:szCs w:val="24"/>
                <w:highlight w:val="none"/>
              </w:rPr>
              <w:t>号</w:t>
            </w:r>
          </w:p>
        </w:tc>
        <w:tc>
          <w:tcPr>
            <w:tcW w:w="8651" w:type="dxa"/>
            <w:noWrap w:val="0"/>
            <w:vAlign w:val="bottom"/>
          </w:tcPr>
          <w:p w14:paraId="31D26FEB">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4DD2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2" w:hRule="atLeast"/>
          <w:jc w:val="center"/>
        </w:trPr>
        <w:tc>
          <w:tcPr>
            <w:tcW w:w="937" w:type="dxa"/>
            <w:noWrap w:val="0"/>
            <w:vAlign w:val="center"/>
          </w:tcPr>
          <w:p w14:paraId="4FD4861E">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w:t>
            </w:r>
          </w:p>
        </w:tc>
        <w:tc>
          <w:tcPr>
            <w:tcW w:w="8651" w:type="dxa"/>
            <w:noWrap w:val="0"/>
            <w:vAlign w:val="center"/>
          </w:tcPr>
          <w:p w14:paraId="020AC7D5">
            <w:pPr>
              <w:spacing w:before="158"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汉滨区第三人民医院</w:t>
            </w:r>
          </w:p>
          <w:p w14:paraId="3959348D">
            <w:pPr>
              <w:spacing w:before="158"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汉滨区五里镇五里村二组</w:t>
            </w:r>
          </w:p>
          <w:p w14:paraId="74561CA3">
            <w:pPr>
              <w:spacing w:before="158"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李女士</w:t>
            </w:r>
          </w:p>
          <w:p w14:paraId="49147768">
            <w:pPr>
              <w:keepNext w:val="0"/>
              <w:keepLines w:val="0"/>
              <w:pageBreakBefore w:val="0"/>
              <w:widowControl/>
              <w:kinsoku/>
              <w:topLinePunct w:val="0"/>
              <w:autoSpaceDE/>
              <w:autoSpaceDN/>
              <w:bidi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18091561166</w:t>
            </w:r>
          </w:p>
        </w:tc>
      </w:tr>
      <w:tr w14:paraId="75CE0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2" w:hRule="atLeast"/>
          <w:jc w:val="center"/>
        </w:trPr>
        <w:tc>
          <w:tcPr>
            <w:tcW w:w="937" w:type="dxa"/>
            <w:noWrap w:val="0"/>
            <w:vAlign w:val="center"/>
          </w:tcPr>
          <w:p w14:paraId="7B5DA78F">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w:t>
            </w:r>
          </w:p>
        </w:tc>
        <w:tc>
          <w:tcPr>
            <w:tcW w:w="8651" w:type="dxa"/>
            <w:noWrap w:val="0"/>
            <w:vAlign w:val="center"/>
          </w:tcPr>
          <w:p w14:paraId="3D85C889">
            <w:pPr>
              <w:spacing w:before="158" w:line="360" w:lineRule="auto"/>
              <w:ind w:left="1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名称：陕西方得项目管理有限公司</w:t>
            </w:r>
          </w:p>
          <w:p w14:paraId="5E285EEF">
            <w:pPr>
              <w:spacing w:before="158" w:line="360" w:lineRule="auto"/>
              <w:ind w:left="1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地址：陕西省安康市汉滨区滨江大道汉江大剧院西区三楼</w:t>
            </w:r>
          </w:p>
          <w:p w14:paraId="7B16E676">
            <w:pPr>
              <w:spacing w:before="158" w:line="360" w:lineRule="auto"/>
              <w:ind w:left="11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联系人：沈</w:t>
            </w:r>
            <w:r>
              <w:rPr>
                <w:rFonts w:hint="eastAsia" w:ascii="仿宋" w:hAnsi="仿宋" w:eastAsia="仿宋" w:cs="仿宋"/>
                <w:color w:val="auto"/>
                <w:sz w:val="24"/>
                <w:szCs w:val="24"/>
                <w:highlight w:val="none"/>
                <w:lang w:eastAsia="zh-CN"/>
              </w:rPr>
              <w:t>川红</w:t>
            </w:r>
          </w:p>
          <w:p w14:paraId="5B9F611E">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color w:val="auto"/>
                <w:sz w:val="24"/>
                <w:szCs w:val="24"/>
                <w:highlight w:val="none"/>
                <w:u w:val="single"/>
                <w:lang w:val="en-US" w:eastAsia="zh-CN"/>
              </w:rPr>
            </w:pPr>
            <w:r>
              <w:rPr>
                <w:rFonts w:hint="eastAsia" w:ascii="仿宋" w:hAnsi="仿宋" w:eastAsia="仿宋" w:cs="仿宋"/>
                <w:color w:val="auto"/>
                <w:sz w:val="24"/>
                <w:szCs w:val="24"/>
                <w:highlight w:val="none"/>
              </w:rPr>
              <w:t>电话：13038911990</w:t>
            </w:r>
          </w:p>
        </w:tc>
      </w:tr>
      <w:tr w14:paraId="55E3D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7" w:hRule="exact"/>
          <w:jc w:val="center"/>
        </w:trPr>
        <w:tc>
          <w:tcPr>
            <w:tcW w:w="937" w:type="dxa"/>
            <w:noWrap w:val="0"/>
            <w:vAlign w:val="center"/>
          </w:tcPr>
          <w:p w14:paraId="37EB7AAB">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3</w:t>
            </w:r>
          </w:p>
        </w:tc>
        <w:tc>
          <w:tcPr>
            <w:tcW w:w="8651" w:type="dxa"/>
            <w:noWrap w:val="0"/>
            <w:vAlign w:val="center"/>
          </w:tcPr>
          <w:p w14:paraId="039DF416">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b/>
                <w:bCs/>
                <w:color w:val="auto"/>
                <w:sz w:val="24"/>
                <w:szCs w:val="24"/>
                <w:highlight w:val="none"/>
                <w:lang w:val="en-US" w:eastAsia="zh-CN"/>
              </w:rPr>
              <w:t>采购内容：</w:t>
            </w:r>
            <w:r>
              <w:rPr>
                <w:rFonts w:hint="eastAsia" w:ascii="仿宋" w:hAnsi="仿宋" w:eastAsia="仿宋" w:cs="仿宋"/>
                <w:color w:val="auto"/>
                <w:spacing w:val="9"/>
                <w:sz w:val="24"/>
                <w:szCs w:val="24"/>
                <w:highlight w:val="none"/>
                <w:lang w:val="en-US" w:eastAsia="zh-CN"/>
              </w:rPr>
              <w:t>汉滨区第三人民医院2024年度专科、基础医疗设备清单采购项目</w:t>
            </w:r>
          </w:p>
          <w:p w14:paraId="2C3D59FB">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lang w:val="en-US" w:eastAsia="zh-CN"/>
              </w:rPr>
              <w:t>二标段新增专科医疗设备</w:t>
            </w:r>
            <w:r>
              <w:rPr>
                <w:rFonts w:hint="eastAsia" w:ascii="仿宋" w:hAnsi="仿宋" w:eastAsia="仿宋" w:cs="仿宋"/>
                <w:color w:val="auto"/>
                <w:spacing w:val="9"/>
                <w:sz w:val="24"/>
                <w:szCs w:val="24"/>
                <w:highlight w:val="none"/>
              </w:rPr>
              <w:t>，简要</w:t>
            </w:r>
            <w:r>
              <w:rPr>
                <w:rFonts w:hint="eastAsia" w:ascii="仿宋" w:hAnsi="仿宋" w:eastAsia="仿宋" w:cs="仿宋"/>
                <w:color w:val="auto"/>
                <w:spacing w:val="11"/>
                <w:sz w:val="24"/>
                <w:szCs w:val="24"/>
                <w:highlight w:val="none"/>
              </w:rPr>
              <w:t>技术要求、用途：</w:t>
            </w:r>
            <w:r>
              <w:rPr>
                <w:rFonts w:hint="eastAsia" w:ascii="仿宋" w:hAnsi="仿宋" w:eastAsia="仿宋" w:cs="仿宋"/>
                <w:color w:val="auto"/>
                <w:spacing w:val="11"/>
                <w:sz w:val="24"/>
                <w:szCs w:val="24"/>
                <w:highlight w:val="none"/>
                <w:lang w:eastAsia="zh-CN"/>
              </w:rPr>
              <w:t>自用</w:t>
            </w:r>
            <w:r>
              <w:rPr>
                <w:rFonts w:hint="eastAsia" w:ascii="仿宋" w:hAnsi="仿宋" w:eastAsia="仿宋" w:cs="仿宋"/>
                <w:color w:val="auto"/>
                <w:spacing w:val="9"/>
                <w:sz w:val="24"/>
                <w:szCs w:val="24"/>
                <w:highlight w:val="none"/>
              </w:rPr>
              <w:t>；技术要求详见采购</w:t>
            </w:r>
          </w:p>
          <w:p w14:paraId="6C6D6F3C">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9"/>
                <w:sz w:val="24"/>
                <w:szCs w:val="24"/>
                <w:highlight w:val="none"/>
              </w:rPr>
              <w:t>文件第三部分内容</w:t>
            </w:r>
            <w:r>
              <w:rPr>
                <w:rFonts w:hint="eastAsia" w:ascii="仿宋" w:hAnsi="仿宋" w:eastAsia="仿宋" w:cs="仿宋"/>
                <w:color w:val="auto"/>
                <w:spacing w:val="8"/>
                <w:sz w:val="24"/>
                <w:szCs w:val="24"/>
                <w:highlight w:val="none"/>
              </w:rPr>
              <w:t>。</w:t>
            </w:r>
          </w:p>
        </w:tc>
      </w:tr>
      <w:tr w14:paraId="3C524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2" w:hRule="exact"/>
          <w:jc w:val="center"/>
        </w:trPr>
        <w:tc>
          <w:tcPr>
            <w:tcW w:w="937" w:type="dxa"/>
            <w:noWrap w:val="0"/>
            <w:vAlign w:val="center"/>
          </w:tcPr>
          <w:p w14:paraId="7B6C0B95">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4</w:t>
            </w:r>
          </w:p>
        </w:tc>
        <w:tc>
          <w:tcPr>
            <w:tcW w:w="8651" w:type="dxa"/>
            <w:noWrap w:val="0"/>
            <w:vAlign w:val="center"/>
          </w:tcPr>
          <w:p w14:paraId="35D1BB00">
            <w:pPr>
              <w:widowControl/>
              <w:spacing w:line="360" w:lineRule="auto"/>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项目所属行业：</w:t>
            </w:r>
            <w:r>
              <w:rPr>
                <w:rFonts w:hint="eastAsia" w:ascii="仿宋" w:hAnsi="仿宋" w:eastAsia="仿宋" w:cs="仿宋"/>
                <w:b/>
                <w:color w:val="auto"/>
                <w:sz w:val="24"/>
                <w:szCs w:val="24"/>
                <w:highlight w:val="none"/>
                <w:u w:val="single"/>
                <w:lang w:val="en-US" w:eastAsia="zh-CN"/>
              </w:rPr>
              <w:t>工业</w:t>
            </w:r>
          </w:p>
        </w:tc>
      </w:tr>
      <w:tr w14:paraId="46FAF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noWrap w:val="0"/>
            <w:vAlign w:val="center"/>
          </w:tcPr>
          <w:p w14:paraId="1D740911">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5</w:t>
            </w:r>
          </w:p>
        </w:tc>
        <w:tc>
          <w:tcPr>
            <w:tcW w:w="8651" w:type="dxa"/>
            <w:noWrap w:val="0"/>
            <w:vAlign w:val="center"/>
          </w:tcPr>
          <w:p w14:paraId="46BC6C99">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本项目非面向中小企业采购</w:t>
            </w:r>
          </w:p>
        </w:tc>
      </w:tr>
      <w:tr w14:paraId="1A56D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noWrap w:val="0"/>
            <w:vAlign w:val="center"/>
          </w:tcPr>
          <w:p w14:paraId="29E7386E">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6</w:t>
            </w:r>
          </w:p>
        </w:tc>
        <w:tc>
          <w:tcPr>
            <w:tcW w:w="8651" w:type="dxa"/>
            <w:noWrap w:val="0"/>
            <w:vAlign w:val="center"/>
          </w:tcPr>
          <w:p w14:paraId="64F503A3">
            <w:pPr>
              <w:keepNext w:val="0"/>
              <w:keepLines w:val="0"/>
              <w:pageBreakBefore w:val="0"/>
              <w:kinsoku/>
              <w:topLinePunct w:val="0"/>
              <w:autoSpaceDE/>
              <w:autoSpaceDN/>
              <w:bidi w:val="0"/>
              <w:spacing w:line="360" w:lineRule="auto"/>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single"/>
              </w:rPr>
              <w:t>天</w:t>
            </w:r>
          </w:p>
        </w:tc>
      </w:tr>
      <w:tr w14:paraId="53FE2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tcBorders>
              <w:top w:val="single" w:color="auto" w:sz="6" w:space="0"/>
              <w:bottom w:val="single" w:color="auto" w:sz="4" w:space="0"/>
            </w:tcBorders>
            <w:noWrap w:val="0"/>
            <w:vAlign w:val="center"/>
          </w:tcPr>
          <w:p w14:paraId="3D33DF3B">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7</w:t>
            </w:r>
          </w:p>
        </w:tc>
        <w:tc>
          <w:tcPr>
            <w:tcW w:w="8651" w:type="dxa"/>
            <w:tcBorders>
              <w:top w:val="single" w:color="auto" w:sz="6" w:space="0"/>
              <w:bottom w:val="single" w:color="auto" w:sz="4" w:space="0"/>
            </w:tcBorders>
            <w:noWrap w:val="0"/>
            <w:vAlign w:val="center"/>
          </w:tcPr>
          <w:p w14:paraId="340D12F2">
            <w:pPr>
              <w:keepNext w:val="0"/>
              <w:keepLines w:val="0"/>
              <w:pageBreakBefore w:val="0"/>
              <w:kinsoku/>
              <w:topLinePunct w:val="0"/>
              <w:autoSpaceDE/>
              <w:autoSpaceDN/>
              <w:bidi w:val="0"/>
              <w:spacing w:line="360" w:lineRule="auto"/>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 xml:space="preserve">投标语言： </w:t>
            </w:r>
            <w:r>
              <w:rPr>
                <w:rFonts w:hint="eastAsia" w:ascii="仿宋" w:hAnsi="仿宋" w:eastAsia="仿宋" w:cs="仿宋"/>
                <w:color w:val="auto"/>
                <w:sz w:val="24"/>
                <w:szCs w:val="24"/>
                <w:highlight w:val="none"/>
                <w:u w:val="single"/>
              </w:rPr>
              <w:t>中文</w:t>
            </w:r>
          </w:p>
        </w:tc>
      </w:tr>
      <w:tr w14:paraId="7C396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tcBorders>
              <w:top w:val="single" w:color="auto" w:sz="6" w:space="0"/>
              <w:bottom w:val="single" w:color="auto" w:sz="4" w:space="0"/>
            </w:tcBorders>
            <w:noWrap w:val="0"/>
            <w:vAlign w:val="center"/>
          </w:tcPr>
          <w:p w14:paraId="0A670C97">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8</w:t>
            </w:r>
          </w:p>
        </w:tc>
        <w:tc>
          <w:tcPr>
            <w:tcW w:w="8651" w:type="dxa"/>
            <w:tcBorders>
              <w:top w:val="single" w:color="auto" w:sz="6" w:space="0"/>
              <w:bottom w:val="single" w:color="auto" w:sz="4" w:space="0"/>
            </w:tcBorders>
            <w:noWrap w:val="0"/>
            <w:vAlign w:val="center"/>
          </w:tcPr>
          <w:p w14:paraId="15EBDAF9">
            <w:pPr>
              <w:keepNext w:val="0"/>
              <w:keepLines w:val="0"/>
              <w:pageBreakBefore w:val="0"/>
              <w:kinsoku/>
              <w:topLinePunct w:val="0"/>
              <w:autoSpaceDE/>
              <w:autoSpaceDN/>
              <w:bidi w:val="0"/>
              <w:spacing w:line="360" w:lineRule="auto"/>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投标报价：人民币报价。</w:t>
            </w:r>
          </w:p>
        </w:tc>
      </w:tr>
      <w:tr w14:paraId="2F3EF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937" w:type="dxa"/>
            <w:tcBorders>
              <w:top w:val="single" w:color="auto" w:sz="6" w:space="0"/>
              <w:bottom w:val="single" w:color="auto" w:sz="4" w:space="0"/>
            </w:tcBorders>
            <w:noWrap w:val="0"/>
            <w:vAlign w:val="center"/>
          </w:tcPr>
          <w:p w14:paraId="0F5F4CA4">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9</w:t>
            </w:r>
          </w:p>
        </w:tc>
        <w:tc>
          <w:tcPr>
            <w:tcW w:w="8651" w:type="dxa"/>
            <w:tcBorders>
              <w:top w:val="single" w:color="auto" w:sz="6" w:space="0"/>
              <w:bottom w:val="single" w:color="auto" w:sz="4" w:space="0"/>
            </w:tcBorders>
            <w:noWrap w:val="0"/>
            <w:vAlign w:val="center"/>
          </w:tcPr>
          <w:p w14:paraId="52BE4317">
            <w:pPr>
              <w:keepNext w:val="0"/>
              <w:keepLines w:val="0"/>
              <w:pageBreakBefore w:val="0"/>
              <w:kinsoku/>
              <w:topLinePunct w:val="0"/>
              <w:autoSpaceDE/>
              <w:autoSpaceDN/>
              <w:bidi w:val="0"/>
              <w:spacing w:line="360" w:lineRule="auto"/>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评标方法：</w:t>
            </w:r>
            <w:r>
              <w:rPr>
                <w:rFonts w:hint="eastAsia" w:ascii="仿宋" w:hAnsi="仿宋" w:eastAsia="仿宋" w:cs="仿宋"/>
                <w:color w:val="auto"/>
                <w:sz w:val="24"/>
                <w:szCs w:val="24"/>
                <w:highlight w:val="none"/>
                <w:u w:val="single"/>
              </w:rPr>
              <w:t>综合评分法，不保证最低价成交。</w:t>
            </w:r>
          </w:p>
        </w:tc>
      </w:tr>
      <w:tr w14:paraId="37950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937" w:type="dxa"/>
            <w:tcBorders>
              <w:top w:val="single" w:color="auto" w:sz="6" w:space="0"/>
              <w:bottom w:val="single" w:color="auto" w:sz="4" w:space="0"/>
            </w:tcBorders>
            <w:noWrap w:val="0"/>
            <w:vAlign w:val="center"/>
          </w:tcPr>
          <w:p w14:paraId="2A027678">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10</w:t>
            </w:r>
          </w:p>
        </w:tc>
        <w:tc>
          <w:tcPr>
            <w:tcW w:w="8651" w:type="dxa"/>
            <w:tcBorders>
              <w:top w:val="single" w:color="auto" w:sz="6" w:space="0"/>
              <w:bottom w:val="single" w:color="auto" w:sz="4" w:space="0"/>
            </w:tcBorders>
            <w:noWrap w:val="0"/>
            <w:vAlign w:val="center"/>
          </w:tcPr>
          <w:p w14:paraId="249EEC3C">
            <w:pPr>
              <w:keepNext w:val="0"/>
              <w:keepLines w:val="0"/>
              <w:pageBreakBefore w:val="0"/>
              <w:kinsoku/>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中标服务费</w:t>
            </w:r>
            <w:r>
              <w:rPr>
                <w:rFonts w:hint="eastAsia" w:ascii="仿宋" w:hAnsi="仿宋" w:eastAsia="仿宋" w:cs="仿宋"/>
                <w:color w:val="auto"/>
                <w:sz w:val="24"/>
                <w:szCs w:val="24"/>
                <w:highlight w:val="none"/>
                <w:lang w:eastAsia="zh-CN"/>
              </w:rPr>
              <w:t>：参照《国家计委关于印发〈招标代理服务收费管理暂行办法〉的通知》(计价格〔2002〕1980号) 、《国家发展改革委员会办公厅关于招标代理服务收费有关问题的通知》(发改办价格〔2003〕857 号)以及《国家发展改革委关于降低部分建设项目收费标准规范收费行为等有关问题的通知》(发改价格〔2011〕534 号)规定，本项目代理服务费由中标单位在领取中标通知书前，向陕西方得项目管理有限公司交纳招标服务费。</w:t>
            </w:r>
          </w:p>
        </w:tc>
      </w:tr>
      <w:tr w14:paraId="6645D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2" w:hRule="atLeast"/>
          <w:jc w:val="center"/>
        </w:trPr>
        <w:tc>
          <w:tcPr>
            <w:tcW w:w="937" w:type="dxa"/>
            <w:tcBorders>
              <w:top w:val="single" w:color="auto" w:sz="4" w:space="0"/>
            </w:tcBorders>
            <w:noWrap w:val="0"/>
            <w:vAlign w:val="center"/>
          </w:tcPr>
          <w:p w14:paraId="6C576A03">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11</w:t>
            </w:r>
          </w:p>
        </w:tc>
        <w:tc>
          <w:tcPr>
            <w:tcW w:w="8651" w:type="dxa"/>
            <w:tcBorders>
              <w:top w:val="single" w:color="auto" w:sz="4" w:space="0"/>
            </w:tcBorders>
            <w:noWrap w:val="0"/>
            <w:vAlign w:val="center"/>
          </w:tcPr>
          <w:p w14:paraId="6B42D39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pacing w:val="9"/>
                <w:sz w:val="24"/>
                <w:szCs w:val="24"/>
                <w:highlight w:val="none"/>
                <w:lang w:val="en-US" w:eastAsia="zh-CN"/>
              </w:rPr>
              <w:t>2025年01月24日 14时00分00秒</w:t>
            </w:r>
            <w:r>
              <w:rPr>
                <w:rFonts w:hint="eastAsia" w:ascii="仿宋" w:hAnsi="仿宋" w:eastAsia="仿宋" w:cs="仿宋"/>
                <w:color w:val="auto"/>
                <w:sz w:val="24"/>
                <w:szCs w:val="24"/>
                <w:highlight w:val="none"/>
              </w:rPr>
              <w:t>(北京时间)。</w:t>
            </w:r>
          </w:p>
          <w:p w14:paraId="62A3A14C">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提交：本项目采用电子</w:t>
            </w:r>
            <w:r>
              <w:rPr>
                <w:rFonts w:hint="eastAsia" w:ascii="仿宋" w:hAnsi="仿宋" w:eastAsia="仿宋" w:cs="仿宋"/>
                <w:color w:val="auto"/>
                <w:sz w:val="24"/>
                <w:szCs w:val="24"/>
                <w:highlight w:val="none"/>
                <w:lang w:val="en-US" w:eastAsia="zh-CN"/>
              </w:rPr>
              <w:t>化</w:t>
            </w:r>
            <w:r>
              <w:rPr>
                <w:rFonts w:hint="eastAsia" w:ascii="仿宋" w:hAnsi="仿宋" w:eastAsia="仿宋" w:cs="仿宋"/>
                <w:color w:val="auto"/>
                <w:sz w:val="24"/>
                <w:szCs w:val="24"/>
                <w:highlight w:val="none"/>
                <w:lang w:eastAsia="zh-CN"/>
              </w:rPr>
              <w:t>投标，投标响应</w:t>
            </w:r>
            <w:r>
              <w:rPr>
                <w:rFonts w:hint="eastAsia" w:ascii="仿宋" w:hAnsi="仿宋" w:eastAsia="仿宋" w:cs="仿宋"/>
                <w:color w:val="auto"/>
                <w:sz w:val="24"/>
                <w:szCs w:val="24"/>
                <w:highlight w:val="none"/>
              </w:rPr>
              <w:t>文件（扩展名为“.SXSTF”）</w:t>
            </w:r>
            <w:r>
              <w:rPr>
                <w:rFonts w:hint="eastAsia" w:ascii="仿宋" w:hAnsi="仿宋" w:eastAsia="仿宋" w:cs="仿宋"/>
                <w:color w:val="auto"/>
                <w:sz w:val="24"/>
                <w:szCs w:val="24"/>
                <w:highlight w:val="none"/>
                <w:lang w:eastAsia="zh-CN"/>
              </w:rPr>
              <w:t>于开标截止时间前任意时间段登录“全国公共资源交易平台（陕西省</w:t>
            </w:r>
            <w:r>
              <w:rPr>
                <w:rFonts w:hint="eastAsia" w:ascii="仿宋" w:hAnsi="仿宋" w:eastAsia="仿宋" w:cs="仿宋"/>
                <w:color w:val="auto"/>
                <w:sz w:val="24"/>
                <w:szCs w:val="24"/>
                <w:highlight w:val="none"/>
                <w:lang w:val="en-US" w:eastAsia="zh-CN"/>
              </w:rPr>
              <w:t xml:space="preserve"> .安康市</w:t>
            </w:r>
            <w:r>
              <w:rPr>
                <w:rFonts w:hint="eastAsia" w:ascii="仿宋" w:hAnsi="仿宋" w:eastAsia="仿宋" w:cs="仿宋"/>
                <w:color w:val="auto"/>
                <w:sz w:val="24"/>
                <w:szCs w:val="24"/>
                <w:highlight w:val="none"/>
                <w:lang w:eastAsia="zh-CN"/>
              </w:rPr>
              <w:t>）”网站进行提交，逾期系统将拒绝接收。</w:t>
            </w:r>
          </w:p>
        </w:tc>
      </w:tr>
      <w:tr w14:paraId="1D628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6" w:hRule="atLeast"/>
          <w:jc w:val="center"/>
        </w:trPr>
        <w:tc>
          <w:tcPr>
            <w:tcW w:w="937" w:type="dxa"/>
            <w:tcBorders>
              <w:top w:val="single" w:color="auto" w:sz="4" w:space="0"/>
            </w:tcBorders>
            <w:noWrap w:val="0"/>
            <w:vAlign w:val="center"/>
          </w:tcPr>
          <w:p w14:paraId="1A3A3FE2">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12</w:t>
            </w:r>
          </w:p>
        </w:tc>
        <w:tc>
          <w:tcPr>
            <w:tcW w:w="8651" w:type="dxa"/>
            <w:tcBorders>
              <w:top w:val="single" w:color="auto" w:sz="4" w:space="0"/>
            </w:tcBorders>
            <w:noWrap w:val="0"/>
            <w:vAlign w:val="center"/>
          </w:tcPr>
          <w:p w14:paraId="4A82B28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pacing w:val="9"/>
                <w:sz w:val="24"/>
                <w:szCs w:val="24"/>
                <w:highlight w:val="none"/>
                <w:lang w:val="en-US" w:eastAsia="zh-CN"/>
              </w:rPr>
              <w:t>2025年01月24日 14时00分00秒</w:t>
            </w:r>
            <w:r>
              <w:rPr>
                <w:rFonts w:hint="eastAsia" w:ascii="仿宋" w:hAnsi="仿宋" w:eastAsia="仿宋" w:cs="仿宋"/>
                <w:color w:val="auto"/>
                <w:sz w:val="24"/>
                <w:szCs w:val="24"/>
                <w:highlight w:val="none"/>
              </w:rPr>
              <w:t>(北京时间)。</w:t>
            </w:r>
          </w:p>
          <w:p w14:paraId="0E75DB3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开标地点：</w:t>
            </w:r>
            <w:r>
              <w:rPr>
                <w:rFonts w:hint="eastAsia" w:ascii="仿宋" w:hAnsi="仿宋" w:eastAsia="仿宋" w:cs="仿宋"/>
                <w:color w:val="auto"/>
                <w:sz w:val="24"/>
                <w:szCs w:val="24"/>
                <w:highlight w:val="none"/>
                <w:lang w:val="en-US" w:eastAsia="zh-CN"/>
              </w:rPr>
              <w:t>安康市公共资源交易中心</w:t>
            </w:r>
            <w:r>
              <w:rPr>
                <w:rFonts w:hint="eastAsia" w:ascii="仿宋" w:hAnsi="仿宋" w:eastAsia="仿宋" w:cs="仿宋"/>
                <w:color w:val="auto"/>
                <w:kern w:val="1"/>
                <w:sz w:val="24"/>
                <w:szCs w:val="24"/>
                <w:highlight w:val="none"/>
                <w:lang w:val="en-US" w:eastAsia="zh-CN"/>
              </w:rPr>
              <w:t>不见面开标大厅。</w:t>
            </w:r>
          </w:p>
        </w:tc>
      </w:tr>
      <w:tr w14:paraId="05635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37" w:type="dxa"/>
            <w:tcBorders>
              <w:top w:val="single" w:color="auto" w:sz="4" w:space="0"/>
            </w:tcBorders>
            <w:noWrap w:val="0"/>
            <w:vAlign w:val="center"/>
          </w:tcPr>
          <w:p w14:paraId="27103B36">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13</w:t>
            </w:r>
          </w:p>
        </w:tc>
        <w:tc>
          <w:tcPr>
            <w:tcW w:w="8651" w:type="dxa"/>
            <w:tcBorders>
              <w:top w:val="single" w:color="auto" w:sz="4" w:space="0"/>
            </w:tcBorders>
            <w:noWrap w:val="0"/>
            <w:vAlign w:val="center"/>
          </w:tcPr>
          <w:p w14:paraId="50A1D8B0">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项目采用电子化投标方式（不见面开标系统）。投标人须使用数字认证证书对电子投标文件进行签章、加密、递交及开标时解密等相关招投标事宜。开标时请务必带数字认证证书，如因投标单位自身原因未携带数字认证证书造成无法解投标文件，按无效投标对待。</w:t>
            </w:r>
          </w:p>
          <w:p w14:paraId="0E26F812">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制作电子投标文件。投标人须在“全国公共资源交易中心平合(陕西省)http:/www.sxggzyjy.cn/的“服务指南”栏目“下载专区”中，免费下载“陕西省公共资源交易平台政府采购电子标书制作工具)”，并升级至最新版本，使用该客户端制作电子投标文件，制作扩展名为“. SXSTF”的电子投标文件。”</w:t>
            </w:r>
          </w:p>
          <w:p w14:paraId="683CDD2D">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3、递交电子投标文件。登录全国公共资源交易中心平台(陕西省)http:/www.sxggzyjy.cn/),选择“电子交易平台一陕西政府采购交易系统- 企业端”进行登录，登录后选择“交易乙方”身份进入，进入菜单“采购业务-我的项目一项目流程- -上传响应文件”，上传加密的电子投标文件。上传成功后，电子化平台将予以记录。</w:t>
            </w:r>
          </w:p>
          <w:p w14:paraId="60CF5F64">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4、开标签到</w:t>
            </w:r>
          </w:p>
          <w:p w14:paraId="34313185">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14:paraId="73E0885E">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5、注意事项</w:t>
            </w:r>
          </w:p>
          <w:p w14:paraId="36E26F2F">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2973837C">
            <w:pPr>
              <w:keepNext w:val="0"/>
              <w:keepLines w:val="0"/>
              <w:pageBreakBefore w:val="0"/>
              <w:kinsoku/>
              <w:topLinePunct w:val="0"/>
              <w:autoSpaceDE/>
              <w:autoSpaceDN/>
              <w:bidi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（2）建议投标人在开标前半小时登录不见面开标大厅，并及时签到（开标前30分钟即可签到），遇到问题及时联系客服4009280095。</w:t>
            </w:r>
          </w:p>
          <w:p w14:paraId="1D655D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（3）及时关注右侧公告及互动栏目信息。</w:t>
            </w:r>
          </w:p>
        </w:tc>
      </w:tr>
      <w:tr w14:paraId="02054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5" w:hRule="atLeast"/>
          <w:jc w:val="center"/>
        </w:trPr>
        <w:tc>
          <w:tcPr>
            <w:tcW w:w="937" w:type="dxa"/>
            <w:noWrap w:val="0"/>
            <w:vAlign w:val="center"/>
          </w:tcPr>
          <w:p w14:paraId="51651602">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14</w:t>
            </w:r>
          </w:p>
        </w:tc>
        <w:tc>
          <w:tcPr>
            <w:tcW w:w="8651" w:type="dxa"/>
            <w:noWrap w:val="0"/>
            <w:vAlign w:val="center"/>
          </w:tcPr>
          <w:p w14:paraId="441C0BB7">
            <w:pPr>
              <w:keepNext w:val="0"/>
              <w:keepLines w:val="0"/>
              <w:pageBreakBefore w:val="0"/>
              <w:kinsoku/>
              <w:topLinePunct w:val="0"/>
              <w:autoSpaceDE/>
              <w:autoSpaceDN/>
              <w:bidi w:val="0"/>
              <w:spacing w:line="360" w:lineRule="auto"/>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1.在《安康市公共资源交易中心》投标截止日前上传加密的电子投标文件（扩展名为“.SXSTF”）。</w:t>
            </w:r>
          </w:p>
          <w:p w14:paraId="1B12727F">
            <w:pPr>
              <w:keepNext w:val="0"/>
              <w:keepLines w:val="0"/>
              <w:pageBreakBefore w:val="0"/>
              <w:kinsoku/>
              <w:topLinePunct w:val="0"/>
              <w:autoSpaceDE/>
              <w:autoSpaceDN/>
              <w:bidi w:val="0"/>
              <w:spacing w:line="360" w:lineRule="auto"/>
              <w:ind w:firstLine="482"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2.项目中标后由中标供应商在领取中标通知书时提供一正二副纸质投标文件用于备案。</w:t>
            </w:r>
          </w:p>
        </w:tc>
      </w:tr>
      <w:tr w14:paraId="7542D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jc w:val="center"/>
        </w:trPr>
        <w:tc>
          <w:tcPr>
            <w:tcW w:w="937" w:type="dxa"/>
            <w:noWrap w:val="0"/>
            <w:vAlign w:val="center"/>
          </w:tcPr>
          <w:p w14:paraId="5E4FF116">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15</w:t>
            </w:r>
          </w:p>
        </w:tc>
        <w:tc>
          <w:tcPr>
            <w:tcW w:w="8651" w:type="dxa"/>
            <w:noWrap w:val="0"/>
            <w:vAlign w:val="center"/>
          </w:tcPr>
          <w:p w14:paraId="56A405E9">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bCs w:val="0"/>
                <w:color w:val="auto"/>
                <w:kern w:val="0"/>
                <w:sz w:val="24"/>
                <w:szCs w:val="24"/>
                <w:highlight w:val="none"/>
                <w:lang w:val="en-US" w:eastAsia="zh-Hans"/>
              </w:rPr>
            </w:pPr>
            <w:r>
              <w:rPr>
                <w:rFonts w:hint="eastAsia" w:ascii="仿宋" w:hAnsi="仿宋" w:eastAsia="仿宋" w:cs="仿宋"/>
                <w:b/>
                <w:bCs w:val="0"/>
                <w:color w:val="auto"/>
                <w:sz w:val="24"/>
                <w:szCs w:val="24"/>
                <w:highlight w:val="none"/>
              </w:rPr>
              <w:t>技术偏离表不得</w:t>
            </w:r>
            <w:r>
              <w:rPr>
                <w:rFonts w:hint="eastAsia" w:ascii="仿宋" w:hAnsi="仿宋" w:eastAsia="仿宋" w:cs="仿宋"/>
                <w:b/>
                <w:bCs w:val="0"/>
                <w:color w:val="auto"/>
                <w:sz w:val="24"/>
                <w:szCs w:val="24"/>
                <w:highlight w:val="none"/>
                <w:lang w:val="en-US" w:eastAsia="zh-CN"/>
              </w:rPr>
              <w:t>完全</w:t>
            </w:r>
            <w:r>
              <w:rPr>
                <w:rFonts w:hint="eastAsia" w:ascii="仿宋" w:hAnsi="仿宋" w:eastAsia="仿宋" w:cs="仿宋"/>
                <w:b/>
                <w:bCs w:val="0"/>
                <w:color w:val="auto"/>
                <w:sz w:val="24"/>
                <w:szCs w:val="24"/>
                <w:highlight w:val="none"/>
              </w:rPr>
              <w:t>复制粘贴招标文件技术参数要求，否则视为</w:t>
            </w:r>
            <w:r>
              <w:rPr>
                <w:rFonts w:hint="eastAsia" w:ascii="仿宋" w:hAnsi="仿宋" w:eastAsia="仿宋" w:cs="仿宋"/>
                <w:b/>
                <w:bCs w:val="0"/>
                <w:color w:val="auto"/>
                <w:kern w:val="0"/>
                <w:sz w:val="24"/>
                <w:szCs w:val="24"/>
                <w:highlight w:val="none"/>
                <w:lang w:val="en-US" w:eastAsia="zh-CN"/>
              </w:rPr>
              <w:t>未</w:t>
            </w:r>
            <w:r>
              <w:rPr>
                <w:rFonts w:hint="eastAsia" w:ascii="仿宋" w:hAnsi="仿宋" w:eastAsia="仿宋" w:cs="仿宋"/>
                <w:b/>
                <w:bCs w:val="0"/>
                <w:color w:val="auto"/>
                <w:kern w:val="0"/>
                <w:sz w:val="24"/>
                <w:szCs w:val="24"/>
                <w:highlight w:val="none"/>
                <w:lang w:val="en-US" w:eastAsia="zh-Hans"/>
              </w:rPr>
              <w:t>实质性响应</w:t>
            </w:r>
          </w:p>
          <w:p w14:paraId="152516F6">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lang w:val="en-US" w:eastAsia="zh-CN"/>
              </w:rPr>
              <w:t>招标文件，为</w:t>
            </w:r>
            <w:r>
              <w:rPr>
                <w:rFonts w:hint="eastAsia" w:ascii="仿宋" w:hAnsi="仿宋" w:eastAsia="仿宋" w:cs="仿宋"/>
                <w:b/>
                <w:bCs w:val="0"/>
                <w:color w:val="auto"/>
                <w:sz w:val="24"/>
                <w:szCs w:val="24"/>
                <w:highlight w:val="none"/>
              </w:rPr>
              <w:t>无效投标。</w:t>
            </w:r>
          </w:p>
          <w:p w14:paraId="0CFA6B4E">
            <w:pPr>
              <w:keepNext w:val="0"/>
              <w:keepLines w:val="0"/>
              <w:pageBreakBefore w:val="0"/>
              <w:widowControl/>
              <w:tabs>
                <w:tab w:val="left" w:pos="1620"/>
              </w:tabs>
              <w:kinsoku/>
              <w:wordWrap w:val="0"/>
              <w:topLinePunct w:val="0"/>
              <w:autoSpaceDE/>
              <w:autoSpaceDN/>
              <w:bidi w:val="0"/>
              <w:spacing w:line="360" w:lineRule="auto"/>
              <w:ind w:right="-197" w:rightChars="-94"/>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技术偏离表响应内容须提供相关</w:t>
            </w:r>
            <w:r>
              <w:rPr>
                <w:rFonts w:hint="eastAsia" w:ascii="仿宋" w:hAnsi="仿宋" w:eastAsia="仿宋" w:cs="仿宋"/>
                <w:b/>
                <w:color w:val="auto"/>
                <w:sz w:val="24"/>
                <w:szCs w:val="24"/>
                <w:highlight w:val="none"/>
                <w:lang w:eastAsia="zh-CN"/>
              </w:rPr>
              <w:t>佐证</w:t>
            </w:r>
            <w:r>
              <w:rPr>
                <w:rFonts w:hint="eastAsia" w:ascii="仿宋" w:hAnsi="仿宋" w:eastAsia="仿宋" w:cs="仿宋"/>
                <w:b/>
                <w:color w:val="auto"/>
                <w:sz w:val="24"/>
                <w:szCs w:val="24"/>
                <w:highlight w:val="none"/>
              </w:rPr>
              <w:t>资料。</w:t>
            </w:r>
          </w:p>
        </w:tc>
      </w:tr>
      <w:tr w14:paraId="17A72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53" w:hRule="atLeast"/>
          <w:jc w:val="center"/>
        </w:trPr>
        <w:tc>
          <w:tcPr>
            <w:tcW w:w="937" w:type="dxa"/>
            <w:noWrap w:val="0"/>
            <w:vAlign w:val="center"/>
          </w:tcPr>
          <w:p w14:paraId="44443CEB">
            <w:pPr>
              <w:keepNext w:val="0"/>
              <w:keepLines w:val="0"/>
              <w:pageBreakBefore w:val="0"/>
              <w:kinsoku/>
              <w:topLinePunct w:val="0"/>
              <w:autoSpaceDE/>
              <w:autoSpaceDN/>
              <w:bidi w:val="0"/>
              <w:spacing w:line="360" w:lineRule="auto"/>
              <w:jc w:val="center"/>
              <w:textAlignment w:val="auto"/>
              <w:rPr>
                <w:rFonts w:hint="eastAsia"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16</w:t>
            </w:r>
          </w:p>
        </w:tc>
        <w:tc>
          <w:tcPr>
            <w:tcW w:w="8651" w:type="dxa"/>
            <w:tcBorders>
              <w:bottom w:val="single" w:color="auto" w:sz="4" w:space="0"/>
            </w:tcBorders>
            <w:noWrap w:val="0"/>
            <w:vAlign w:val="center"/>
          </w:tcPr>
          <w:p w14:paraId="687A1AFB">
            <w:pPr>
              <w:spacing w:line="360" w:lineRule="auto"/>
              <w:rPr>
                <w:rFonts w:hint="eastAsia" w:ascii="仿宋" w:hAnsi="仿宋" w:eastAsia="仿宋" w:cs="仿宋"/>
                <w:b/>
                <w:color w:val="auto"/>
                <w:sz w:val="21"/>
                <w:szCs w:val="21"/>
                <w:highlight w:val="none"/>
                <w:lang w:val="en-US" w:eastAsia="zh-CN" w:bidi="ar-SA"/>
              </w:rPr>
            </w:pPr>
            <w:r>
              <w:rPr>
                <w:rFonts w:hint="eastAsia" w:ascii="仿宋" w:hAnsi="仿宋" w:eastAsia="仿宋" w:cs="仿宋"/>
                <w:b/>
                <w:color w:val="auto"/>
                <w:sz w:val="24"/>
                <w:szCs w:val="24"/>
                <w:highlight w:val="none"/>
                <w:lang w:val="en-US" w:eastAsia="zh-CN" w:bidi="ar-SA"/>
              </w:rPr>
              <w:t>落实的政府采购政策：</w:t>
            </w:r>
          </w:p>
          <w:p w14:paraId="0FD540BE">
            <w:pPr>
              <w:spacing w:line="360" w:lineRule="auto"/>
              <w:ind w:firstLine="241" w:firstLineChars="100"/>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1、对小型或微型企业参加政府采购投标的扶持：</w:t>
            </w:r>
          </w:p>
          <w:p w14:paraId="0300DC98">
            <w:pPr>
              <w:spacing w:line="360" w:lineRule="auto"/>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政府采购促进中小企业发展管理办法》（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14:paraId="4E1D73BE">
            <w:pPr>
              <w:spacing w:line="360" w:lineRule="auto"/>
              <w:ind w:firstLine="241" w:firstLineChars="100"/>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2、对监狱企业、残疾人福利企业的扶持：</w:t>
            </w:r>
          </w:p>
          <w:p w14:paraId="0EA88051">
            <w:pPr>
              <w:pStyle w:val="17"/>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14:paraId="62BDAA95">
            <w:pPr>
              <w:pStyle w:val="17"/>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对同时属于小微企业、监狱企业或残疾人福利性单位的， 不重复享受政策。</w:t>
            </w:r>
          </w:p>
          <w:p w14:paraId="6FAD18F5">
            <w:pPr>
              <w:numPr>
                <w:ilvl w:val="0"/>
                <w:numId w:val="0"/>
              </w:numPr>
              <w:spacing w:line="360"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lang w:val="en-US" w:eastAsia="zh-CN" w:bidi="ar-SA"/>
              </w:rPr>
              <w:t>3、</w:t>
            </w:r>
            <w:r>
              <w:rPr>
                <w:rFonts w:hint="eastAsia" w:ascii="仿宋" w:hAnsi="仿宋" w:eastAsia="仿宋" w:cs="仿宋"/>
                <w:b/>
                <w:bCs/>
                <w:color w:val="auto"/>
                <w:sz w:val="24"/>
                <w:szCs w:val="24"/>
                <w:highlight w:val="none"/>
                <w:lang w:val="en-US" w:eastAsia="zh-CN" w:bidi="ar-SA"/>
              </w:rPr>
              <w:t>对</w:t>
            </w:r>
            <w:r>
              <w:rPr>
                <w:rFonts w:hint="eastAsia" w:ascii="仿宋" w:hAnsi="仿宋" w:eastAsia="仿宋" w:cs="仿宋"/>
                <w:b/>
                <w:color w:val="auto"/>
                <w:sz w:val="24"/>
                <w:szCs w:val="24"/>
                <w:highlight w:val="none"/>
                <w:lang w:val="en-US" w:eastAsia="zh-CN" w:bidi="ar-SA"/>
              </w:rPr>
              <w:t>节能、环保政策的支持</w:t>
            </w:r>
          </w:p>
          <w:p w14:paraId="55E8BDCF">
            <w:pPr>
              <w:spacing w:line="360" w:lineRule="auto"/>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（1）、根据《财政部发展改革委 生态环境部市场监管总局关于调整优化节能产品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14:paraId="620AD242">
            <w:pPr>
              <w:spacing w:line="360" w:lineRule="auto"/>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（2）、根据《财政部发展改革委 生态环境部 市场监管总局关于调整优化节能产品 环境标志产品政府采购执行机制的通知》（财库〔2019〕9号），及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60BAB072">
            <w:pPr>
              <w:pStyle w:val="1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Cs/>
                <w:color w:val="auto"/>
                <w:kern w:val="2"/>
                <w:sz w:val="24"/>
                <w:szCs w:val="24"/>
                <w:highlight w:val="none"/>
                <w:lang w:val="en-US" w:eastAsia="zh-CN" w:bidi="ar-SA"/>
              </w:rPr>
              <w:t>（3）、产品同时属于“非强制采购节能产品”、环境标志产品的，评审时只有其中一项能享受优先待遇（供应商自行选择，并在报价文件中填写相关信息及数据）。</w:t>
            </w:r>
          </w:p>
        </w:tc>
      </w:tr>
      <w:tr w14:paraId="17941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5" w:hRule="atLeast"/>
          <w:jc w:val="center"/>
        </w:trPr>
        <w:tc>
          <w:tcPr>
            <w:tcW w:w="937" w:type="dxa"/>
            <w:noWrap w:val="0"/>
            <w:vAlign w:val="center"/>
          </w:tcPr>
          <w:p w14:paraId="3EF241DA">
            <w:pPr>
              <w:keepNext w:val="0"/>
              <w:keepLines w:val="0"/>
              <w:pageBreakBefore w:val="0"/>
              <w:tabs>
                <w:tab w:val="left" w:pos="360"/>
              </w:tabs>
              <w:kinsoku/>
              <w:topLinePunct w:val="0"/>
              <w:autoSpaceDE/>
              <w:autoSpaceDN/>
              <w:bidi w:val="0"/>
              <w:spacing w:line="360" w:lineRule="auto"/>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17</w:t>
            </w:r>
          </w:p>
        </w:tc>
        <w:tc>
          <w:tcPr>
            <w:tcW w:w="8651" w:type="dxa"/>
            <w:tcBorders>
              <w:bottom w:val="single" w:color="auto" w:sz="4" w:space="0"/>
            </w:tcBorders>
            <w:noWrap w:val="0"/>
            <w:vAlign w:val="center"/>
          </w:tcPr>
          <w:p w14:paraId="2B3CE0D6">
            <w:pPr>
              <w:pStyle w:val="105"/>
              <w:keepNext w:val="0"/>
              <w:keepLines w:val="0"/>
              <w:pageBreakBefore w:val="0"/>
              <w:widowControl w:val="0"/>
              <w:kinsoku/>
              <w:wordWrap/>
              <w:overflowPunct/>
              <w:topLinePunct w:val="0"/>
              <w:autoSpaceDE/>
              <w:autoSpaceDN/>
              <w:bidi w:val="0"/>
              <w:adjustRightInd/>
              <w:snapToGrid/>
              <w:spacing w:line="360" w:lineRule="auto"/>
              <w:ind w:right="163"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www.ccgp-shaanxi.gov.cn/)重要通知专栏中查询了解。</w:t>
            </w:r>
          </w:p>
        </w:tc>
      </w:tr>
      <w:tr w14:paraId="2B931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7" w:hRule="atLeast"/>
          <w:jc w:val="center"/>
        </w:trPr>
        <w:tc>
          <w:tcPr>
            <w:tcW w:w="937" w:type="dxa"/>
            <w:noWrap w:val="0"/>
            <w:vAlign w:val="center"/>
          </w:tcPr>
          <w:p w14:paraId="751AA31F">
            <w:pPr>
              <w:keepNext w:val="0"/>
              <w:keepLines w:val="0"/>
              <w:pageBreakBefore w:val="0"/>
              <w:tabs>
                <w:tab w:val="left" w:pos="360"/>
              </w:tabs>
              <w:kinsoku/>
              <w:topLinePunct w:val="0"/>
              <w:autoSpaceDE/>
              <w:autoSpaceDN/>
              <w:bidi w:val="0"/>
              <w:spacing w:line="360" w:lineRule="auto"/>
              <w:jc w:val="center"/>
              <w:textAlignment w:val="auto"/>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18</w:t>
            </w:r>
          </w:p>
        </w:tc>
        <w:tc>
          <w:tcPr>
            <w:tcW w:w="8651" w:type="dxa"/>
            <w:tcBorders>
              <w:bottom w:val="single" w:color="auto" w:sz="4" w:space="0"/>
            </w:tcBorders>
            <w:noWrap w:val="0"/>
            <w:vAlign w:val="center"/>
          </w:tcPr>
          <w:p w14:paraId="65B65E9E">
            <w:pPr>
              <w:pStyle w:val="105"/>
              <w:keepNext w:val="0"/>
              <w:keepLines w:val="0"/>
              <w:pageBreakBefore w:val="0"/>
              <w:widowControl w:val="0"/>
              <w:kinsoku/>
              <w:wordWrap/>
              <w:overflowPunct/>
              <w:topLinePunct w:val="0"/>
              <w:autoSpaceDE/>
              <w:autoSpaceDN/>
              <w:bidi w:val="0"/>
              <w:adjustRightInd/>
              <w:snapToGrid/>
              <w:spacing w:line="360" w:lineRule="auto"/>
              <w:ind w:right="91"/>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
                <w:color w:val="auto"/>
                <w:sz w:val="24"/>
                <w:szCs w:val="24"/>
                <w:highlight w:val="none"/>
                <w:lang w:val="en-US" w:bidi="ar-SA"/>
              </w:rPr>
              <w:t>供应商注册登记提醒</w:t>
            </w:r>
            <w:r>
              <w:rPr>
                <w:rFonts w:hint="eastAsia" w:ascii="仿宋" w:hAnsi="仿宋" w:eastAsia="仿宋" w:cs="仿宋"/>
                <w:bCs/>
                <w:color w:val="auto"/>
                <w:sz w:val="24"/>
                <w:szCs w:val="24"/>
                <w:highlight w:val="none"/>
                <w:lang w:val="en-US" w:eastAsia="zh-CN" w:bidi="ar-SA"/>
              </w:rPr>
              <w:t>：</w:t>
            </w:r>
          </w:p>
          <w:p w14:paraId="7B378B36">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bidi="ar-SA"/>
              </w:rPr>
              <w:t>根据“陕西省财政厅关于政府采购供应商注册登记有关事项的通知”，如所投本项目的供应商未在陕西省政府采购网（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"http://www.ccgp-shaanxi.gov.cn/"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bidi="ar-SA"/>
              </w:rPr>
              <w:t>http</w:t>
            </w:r>
            <w:r>
              <w:rPr>
                <w:rFonts w:hint="eastAsia" w:ascii="仿宋" w:hAnsi="仿宋" w:eastAsia="仿宋" w:cs="仿宋"/>
                <w:bCs/>
                <w:color w:val="auto"/>
                <w:sz w:val="24"/>
                <w:szCs w:val="24"/>
                <w:highlight w:val="none"/>
                <w:lang w:val="en-US" w:eastAsia="zh-CN" w:bidi="ar-SA"/>
              </w:rPr>
              <w:t>：</w:t>
            </w:r>
            <w:r>
              <w:rPr>
                <w:rFonts w:hint="eastAsia" w:ascii="仿宋" w:hAnsi="仿宋" w:eastAsia="仿宋" w:cs="仿宋"/>
                <w:bCs/>
                <w:color w:val="auto"/>
                <w:sz w:val="24"/>
                <w:szCs w:val="24"/>
                <w:highlight w:val="none"/>
                <w:lang w:val="en-US" w:bidi="ar-SA"/>
              </w:rPr>
              <w:t>//www.ccgp-shaanxi.gov.cn/</w:t>
            </w:r>
            <w:r>
              <w:rPr>
                <w:rFonts w:hint="eastAsia" w:ascii="仿宋" w:hAnsi="仿宋" w:eastAsia="仿宋" w:cs="仿宋"/>
                <w:bCs/>
                <w:color w:val="auto"/>
                <w:sz w:val="24"/>
                <w:szCs w:val="24"/>
                <w:highlight w:val="none"/>
                <w:lang w:val="en-US" w:bidi="ar-SA"/>
              </w:rPr>
              <w:fldChar w:fldCharType="end"/>
            </w:r>
            <w:r>
              <w:rPr>
                <w:rFonts w:hint="eastAsia" w:ascii="仿宋" w:hAnsi="仿宋" w:eastAsia="仿宋" w:cs="仿宋"/>
                <w:bCs/>
                <w:color w:val="auto"/>
                <w:sz w:val="24"/>
                <w:szCs w:val="24"/>
                <w:highlight w:val="none"/>
                <w:lang w:val="en-US" w:bidi="ar-SA"/>
              </w:rPr>
              <w:t>）注册登记加入陕西省政府采购供应商库的，应按要求及时办理注册登记，并接受财政部门监督管理。</w:t>
            </w:r>
          </w:p>
        </w:tc>
      </w:tr>
      <w:tr w14:paraId="5B8AD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7" w:hRule="atLeast"/>
          <w:jc w:val="center"/>
        </w:trPr>
        <w:tc>
          <w:tcPr>
            <w:tcW w:w="937" w:type="dxa"/>
            <w:noWrap w:val="0"/>
            <w:vAlign w:val="center"/>
          </w:tcPr>
          <w:p w14:paraId="5307C660">
            <w:pPr>
              <w:keepNext w:val="0"/>
              <w:keepLines w:val="0"/>
              <w:pageBreakBefore w:val="0"/>
              <w:tabs>
                <w:tab w:val="left" w:pos="360"/>
              </w:tabs>
              <w:kinsoku/>
              <w:topLinePunct w:val="0"/>
              <w:autoSpaceDE/>
              <w:autoSpaceDN/>
              <w:bidi w:val="0"/>
              <w:spacing w:line="360" w:lineRule="auto"/>
              <w:jc w:val="center"/>
              <w:textAlignment w:val="auto"/>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19</w:t>
            </w:r>
          </w:p>
        </w:tc>
        <w:tc>
          <w:tcPr>
            <w:tcW w:w="8651" w:type="dxa"/>
            <w:tcBorders>
              <w:bottom w:val="single" w:color="auto" w:sz="4" w:space="0"/>
            </w:tcBorders>
            <w:noWrap w:val="0"/>
            <w:vAlign w:val="center"/>
          </w:tcPr>
          <w:p w14:paraId="2945634D">
            <w:pPr>
              <w:keepNext w:val="0"/>
              <w:keepLines w:val="0"/>
              <w:pageBreakBefore w:val="0"/>
              <w:tabs>
                <w:tab w:val="left" w:pos="360"/>
              </w:tabs>
              <w:kinsoku/>
              <w:topLinePunct w:val="0"/>
              <w:autoSpaceDE/>
              <w:autoSpaceDN/>
              <w:bidi w:val="0"/>
              <w:spacing w:line="360" w:lineRule="auto"/>
              <w:textAlignment w:val="auto"/>
              <w:rPr>
                <w:rFonts w:hint="eastAsia"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供应商信用信息查询说明：</w:t>
            </w:r>
          </w:p>
          <w:p w14:paraId="4D58E752">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14:paraId="2E9DD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5" w:hRule="atLeast"/>
          <w:jc w:val="center"/>
        </w:trPr>
        <w:tc>
          <w:tcPr>
            <w:tcW w:w="937" w:type="dxa"/>
            <w:noWrap w:val="0"/>
            <w:vAlign w:val="center"/>
          </w:tcPr>
          <w:p w14:paraId="48AA36DD">
            <w:pPr>
              <w:keepNext w:val="0"/>
              <w:keepLines w:val="0"/>
              <w:pageBreakBefore w:val="0"/>
              <w:tabs>
                <w:tab w:val="left" w:pos="360"/>
              </w:tabs>
              <w:kinsoku/>
              <w:topLinePunct w:val="0"/>
              <w:autoSpaceDE/>
              <w:autoSpaceDN/>
              <w:bidi w:val="0"/>
              <w:spacing w:line="360" w:lineRule="auto"/>
              <w:jc w:val="center"/>
              <w:textAlignment w:val="auto"/>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20</w:t>
            </w:r>
          </w:p>
        </w:tc>
        <w:tc>
          <w:tcPr>
            <w:tcW w:w="8651" w:type="dxa"/>
            <w:tcBorders>
              <w:bottom w:val="single" w:color="auto" w:sz="4" w:space="0"/>
            </w:tcBorders>
            <w:noWrap w:val="0"/>
            <w:vAlign w:val="center"/>
          </w:tcPr>
          <w:p w14:paraId="688D943F">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bidi="ar-SA"/>
              </w:rPr>
              <w:t>供应商如放弃本项目投标，应在递交投标（响应）文件截止时间前一日以电子邮件形式发送至</w:t>
            </w:r>
            <w:r>
              <w:rPr>
                <w:rFonts w:hint="eastAsia" w:ascii="仿宋" w:hAnsi="仿宋" w:eastAsia="仿宋" w:cs="仿宋"/>
                <w:b/>
                <w:bCs w:val="0"/>
                <w:color w:val="auto"/>
                <w:sz w:val="24"/>
                <w:szCs w:val="24"/>
                <w:highlight w:val="none"/>
                <w:lang w:val="en-US" w:eastAsia="zh-CN" w:bidi="ar-SA"/>
              </w:rPr>
              <w:t>1198395655@qq.com</w:t>
            </w:r>
            <w:r>
              <w:rPr>
                <w:rFonts w:hint="eastAsia" w:ascii="仿宋" w:hAnsi="仿宋" w:eastAsia="仿宋" w:cs="仿宋"/>
                <w:bCs/>
                <w:color w:val="auto"/>
                <w:sz w:val="24"/>
                <w:szCs w:val="24"/>
                <w:highlight w:val="none"/>
                <w:lang w:val="en-US" w:eastAsia="zh-CN" w:bidi="ar-SA"/>
              </w:rPr>
              <w:t>告知采购代理机构，否则采购代理机构可向财政部门反映情况并提供相应佐证。供应商一年内累计出现三次该情形，将被监管部门记录为失信行为。</w:t>
            </w:r>
          </w:p>
        </w:tc>
      </w:tr>
      <w:tr w14:paraId="2BF3E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9" w:hRule="atLeast"/>
          <w:jc w:val="center"/>
        </w:trPr>
        <w:tc>
          <w:tcPr>
            <w:tcW w:w="937" w:type="dxa"/>
            <w:noWrap w:val="0"/>
            <w:vAlign w:val="center"/>
          </w:tcPr>
          <w:p w14:paraId="0C48C7AE">
            <w:pPr>
              <w:keepNext w:val="0"/>
              <w:keepLines w:val="0"/>
              <w:pageBreakBefore w:val="0"/>
              <w:tabs>
                <w:tab w:val="left" w:pos="360"/>
              </w:tabs>
              <w:kinsoku/>
              <w:topLinePunct w:val="0"/>
              <w:autoSpaceDE/>
              <w:autoSpaceDN/>
              <w:bidi w:val="0"/>
              <w:spacing w:line="360" w:lineRule="auto"/>
              <w:jc w:val="center"/>
              <w:textAlignment w:val="auto"/>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21</w:t>
            </w:r>
          </w:p>
        </w:tc>
        <w:tc>
          <w:tcPr>
            <w:tcW w:w="8651" w:type="dxa"/>
            <w:tcBorders>
              <w:bottom w:val="single" w:color="auto" w:sz="4" w:space="0"/>
            </w:tcBorders>
            <w:noWrap w:val="0"/>
            <w:vAlign w:val="center"/>
          </w:tcPr>
          <w:p w14:paraId="3B905C12">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14:paraId="0F157D54">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二、投 标 人 须 知</w:t>
      </w:r>
    </w:p>
    <w:p w14:paraId="0B7D8825">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 适用范围</w:t>
      </w:r>
    </w:p>
    <w:p w14:paraId="57AEC5F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本招标文件仅适用于本次公开招标采购项目。</w:t>
      </w:r>
    </w:p>
    <w:p w14:paraId="74EFBC4D">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2、名词解释</w:t>
      </w:r>
    </w:p>
    <w:p w14:paraId="0305C40A">
      <w:pPr>
        <w:spacing w:line="360" w:lineRule="auto"/>
        <w:ind w:firstLine="240" w:firstLineChars="100"/>
        <w:rPr>
          <w:rFonts w:hint="eastAsia" w:ascii="仿宋" w:hAnsi="仿宋" w:eastAsia="仿宋" w:cs="仿宋"/>
          <w:color w:val="auto"/>
          <w:sz w:val="24"/>
          <w:lang w:eastAsia="zh-CN"/>
        </w:rPr>
      </w:pPr>
      <w:r>
        <w:rPr>
          <w:rFonts w:hint="eastAsia" w:ascii="仿宋" w:hAnsi="仿宋" w:eastAsia="仿宋" w:cs="仿宋"/>
          <w:color w:val="auto"/>
          <w:sz w:val="24"/>
        </w:rPr>
        <w:t>2.1、采购人：</w:t>
      </w:r>
      <w:r>
        <w:rPr>
          <w:rFonts w:hint="eastAsia" w:ascii="仿宋" w:hAnsi="仿宋" w:eastAsia="仿宋" w:cs="仿宋"/>
          <w:color w:val="auto"/>
          <w:sz w:val="24"/>
          <w:lang w:eastAsia="zh-CN"/>
        </w:rPr>
        <w:t>汉滨区第三人民医院</w:t>
      </w:r>
    </w:p>
    <w:p w14:paraId="69CA4869">
      <w:pPr>
        <w:spacing w:line="360" w:lineRule="auto"/>
        <w:ind w:firstLine="240" w:firstLineChars="100"/>
        <w:rPr>
          <w:rFonts w:hint="eastAsia" w:ascii="仿宋" w:hAnsi="仿宋" w:eastAsia="仿宋" w:cs="仿宋"/>
          <w:color w:val="auto"/>
          <w:sz w:val="24"/>
          <w:lang w:eastAsia="zh-CN"/>
        </w:rPr>
      </w:pPr>
      <w:r>
        <w:rPr>
          <w:rFonts w:hint="eastAsia" w:ascii="仿宋" w:hAnsi="仿宋" w:eastAsia="仿宋" w:cs="仿宋"/>
          <w:color w:val="auto"/>
          <w:sz w:val="24"/>
        </w:rPr>
        <w:t>2.2、采购代理机构：</w:t>
      </w:r>
      <w:r>
        <w:rPr>
          <w:rFonts w:hint="eastAsia" w:ascii="仿宋" w:hAnsi="仿宋" w:eastAsia="仿宋" w:cs="仿宋"/>
          <w:color w:val="auto"/>
          <w:sz w:val="24"/>
          <w:lang w:eastAsia="zh-CN"/>
        </w:rPr>
        <w:t>陕西方得项目管理有限公司</w:t>
      </w:r>
    </w:p>
    <w:p w14:paraId="6C4B6A31">
      <w:pPr>
        <w:spacing w:line="360" w:lineRule="auto"/>
        <w:ind w:firstLine="240" w:firstLineChars="100"/>
        <w:rPr>
          <w:rFonts w:hint="eastAsia" w:ascii="仿宋" w:hAnsi="仿宋" w:eastAsia="仿宋" w:cs="仿宋"/>
          <w:color w:val="auto"/>
          <w:sz w:val="24"/>
          <w:u w:val="none"/>
          <w:lang w:val="en-US" w:eastAsia="zh-CN"/>
        </w:rPr>
      </w:pPr>
      <w:r>
        <w:rPr>
          <w:rFonts w:hint="eastAsia" w:ascii="仿宋" w:hAnsi="仿宋" w:eastAsia="仿宋" w:cs="仿宋"/>
          <w:color w:val="auto"/>
          <w:sz w:val="24"/>
        </w:rPr>
        <w:t>2.3、监督管理机构：</w:t>
      </w:r>
      <w:r>
        <w:rPr>
          <w:rFonts w:hint="eastAsia" w:ascii="仿宋" w:hAnsi="仿宋" w:eastAsia="仿宋" w:cs="仿宋"/>
          <w:i w:val="0"/>
          <w:iCs w:val="0"/>
          <w:color w:val="auto"/>
          <w:sz w:val="24"/>
          <w:u w:val="none"/>
          <w:lang w:val="en-US" w:eastAsia="zh-CN"/>
        </w:rPr>
        <w:t>汉滨区财政局</w:t>
      </w:r>
    </w:p>
    <w:p w14:paraId="758809AE">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2.4、投标人：是指响应招标、参加投标竞争的法人、</w:t>
      </w:r>
      <w:r>
        <w:rPr>
          <w:rFonts w:hint="eastAsia" w:ascii="仿宋" w:hAnsi="仿宋" w:eastAsia="仿宋" w:cs="仿宋"/>
          <w:color w:val="auto"/>
          <w:sz w:val="24"/>
          <w:lang w:eastAsia="zh-CN"/>
        </w:rPr>
        <w:t>非法人组织</w:t>
      </w:r>
      <w:r>
        <w:rPr>
          <w:rFonts w:hint="eastAsia" w:ascii="仿宋" w:hAnsi="仿宋" w:eastAsia="仿宋" w:cs="仿宋"/>
          <w:color w:val="auto"/>
          <w:sz w:val="24"/>
        </w:rPr>
        <w:t>或者自然人。</w:t>
      </w:r>
    </w:p>
    <w:p w14:paraId="7181D34A">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2.5、投标人代表：是指参加投标竞争中代表投标人的法定代表人或者是其被授权人，投标人代表是唯一的。</w:t>
      </w:r>
    </w:p>
    <w:p w14:paraId="6C8D33D0">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3、特殊情形</w:t>
      </w:r>
    </w:p>
    <w:p w14:paraId="7DEFCCE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3.1、特殊情形：指具有独立承担民事责任能力的</w:t>
      </w:r>
      <w:r>
        <w:rPr>
          <w:rFonts w:hint="eastAsia" w:ascii="仿宋" w:hAnsi="仿宋" w:eastAsia="仿宋" w:cs="仿宋"/>
          <w:color w:val="auto"/>
          <w:sz w:val="24"/>
          <w:lang w:eastAsia="zh-CN"/>
        </w:rPr>
        <w:t>非法人组织</w:t>
      </w:r>
      <w:r>
        <w:rPr>
          <w:rFonts w:hint="eastAsia" w:ascii="仿宋" w:hAnsi="仿宋" w:eastAsia="仿宋" w:cs="仿宋"/>
          <w:color w:val="auto"/>
          <w:sz w:val="24"/>
        </w:rPr>
        <w:t>或自然人。</w:t>
      </w:r>
    </w:p>
    <w:p w14:paraId="39728E2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3.2、特殊情形规定</w:t>
      </w:r>
    </w:p>
    <w:p w14:paraId="7174120A">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3.2.1、</w:t>
      </w:r>
      <w:r>
        <w:rPr>
          <w:rFonts w:hint="eastAsia" w:ascii="仿宋" w:hAnsi="仿宋" w:eastAsia="仿宋" w:cs="仿宋"/>
          <w:color w:val="auto"/>
          <w:sz w:val="24"/>
          <w:lang w:eastAsia="zh-CN"/>
        </w:rPr>
        <w:t>非法人组织</w:t>
      </w:r>
      <w:r>
        <w:rPr>
          <w:rFonts w:hint="eastAsia" w:ascii="仿宋" w:hAnsi="仿宋" w:eastAsia="仿宋" w:cs="仿宋"/>
          <w:color w:val="auto"/>
          <w:sz w:val="24"/>
        </w:rPr>
        <w:t>：</w:t>
      </w:r>
    </w:p>
    <w:p w14:paraId="5B709A81">
      <w:pPr>
        <w:spacing w:line="360" w:lineRule="auto"/>
        <w:ind w:left="0" w:leftChars="0" w:firstLine="840" w:firstLineChars="350"/>
        <w:rPr>
          <w:rFonts w:hint="eastAsia" w:ascii="仿宋" w:hAnsi="仿宋" w:eastAsia="仿宋" w:cs="仿宋"/>
          <w:color w:val="auto"/>
          <w:sz w:val="24"/>
        </w:rPr>
      </w:pPr>
      <w:r>
        <w:rPr>
          <w:rFonts w:hint="eastAsia" w:ascii="仿宋" w:hAnsi="仿宋" w:eastAsia="仿宋" w:cs="仿宋"/>
          <w:color w:val="auto"/>
          <w:sz w:val="24"/>
        </w:rPr>
        <w:t>①、事业单位参加投标的，应参照本招标文件给出的投标文件格式制作， 其中投标文件要求法人签字处可以是事业单位的法人签章；</w:t>
      </w:r>
    </w:p>
    <w:p w14:paraId="18699063">
      <w:pPr>
        <w:spacing w:line="360" w:lineRule="auto"/>
        <w:ind w:left="0" w:leftChars="0" w:firstLine="840" w:firstLineChars="350"/>
        <w:rPr>
          <w:rFonts w:hint="eastAsia" w:ascii="仿宋" w:hAnsi="仿宋" w:eastAsia="仿宋" w:cs="仿宋"/>
          <w:color w:val="auto"/>
          <w:sz w:val="24"/>
        </w:rPr>
      </w:pPr>
      <w:r>
        <w:rPr>
          <w:rFonts w:hint="eastAsia" w:ascii="仿宋" w:hAnsi="仿宋" w:eastAsia="仿宋" w:cs="仿宋"/>
          <w:color w:val="auto"/>
          <w:sz w:val="24"/>
        </w:rPr>
        <w:t>②、分公司参加投标的（须提供总公司出具的法人授权），应参照本招标文件给出的投标文件格式制作，其中投标文件要求法人签字处可以是分公司的负责人签字；</w:t>
      </w:r>
    </w:p>
    <w:p w14:paraId="165EFD2A">
      <w:pPr>
        <w:spacing w:line="360" w:lineRule="auto"/>
        <w:ind w:left="0" w:leftChars="0" w:firstLine="840" w:firstLineChars="350"/>
        <w:rPr>
          <w:rFonts w:hint="eastAsia" w:ascii="仿宋" w:hAnsi="仿宋" w:eastAsia="仿宋" w:cs="仿宋"/>
          <w:color w:val="auto"/>
          <w:sz w:val="24"/>
        </w:rPr>
      </w:pPr>
      <w:r>
        <w:rPr>
          <w:rFonts w:hint="eastAsia" w:ascii="仿宋" w:hAnsi="仿宋" w:eastAsia="仿宋" w:cs="仿宋"/>
          <w:color w:val="auto"/>
          <w:sz w:val="24"/>
        </w:rPr>
        <w:t>③、个体户参加投标的，应参照本招标文件给出的投标文件格式制作，其中投标文件要求法人签字处可以是其经营者本人签字；</w:t>
      </w:r>
    </w:p>
    <w:p w14:paraId="1AA3124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3.2.2、自然人：自然人投标的，应参照本招标文件给出的投标文件格式制作，其中投标文件要求盖公章处可以是自然人本人的手印；不接受自然人授权他人参加投标。</w:t>
      </w:r>
    </w:p>
    <w:p w14:paraId="7620B649">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4、招标文件</w:t>
      </w:r>
    </w:p>
    <w:p w14:paraId="3B95F576">
      <w:pPr>
        <w:spacing w:line="360" w:lineRule="auto"/>
        <w:rPr>
          <w:rFonts w:hint="eastAsia" w:ascii="仿宋" w:hAnsi="仿宋" w:eastAsia="仿宋" w:cs="仿宋"/>
          <w:color w:val="auto"/>
          <w:sz w:val="24"/>
        </w:rPr>
      </w:pPr>
      <w:r>
        <w:rPr>
          <w:rFonts w:hint="eastAsia" w:ascii="仿宋" w:hAnsi="仿宋" w:eastAsia="仿宋" w:cs="仿宋"/>
          <w:color w:val="auto"/>
          <w:sz w:val="24"/>
        </w:rPr>
        <w:t>4.1 招标文件的组成</w:t>
      </w:r>
    </w:p>
    <w:p w14:paraId="0C638CCA">
      <w:pPr>
        <w:tabs>
          <w:tab w:val="left" w:pos="3165"/>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（1）招标公告</w:t>
      </w:r>
    </w:p>
    <w:p w14:paraId="7D2025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（2）投标人须知及前附表</w:t>
      </w:r>
    </w:p>
    <w:p w14:paraId="69D69C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（3）商务部分（合同条款及合同格式）</w:t>
      </w:r>
    </w:p>
    <w:p w14:paraId="768F9E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（4）采购内容及要求</w:t>
      </w:r>
    </w:p>
    <w:p w14:paraId="29435A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（5）评标办法</w:t>
      </w:r>
    </w:p>
    <w:p w14:paraId="7C7317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（6）投标文件格式</w:t>
      </w:r>
    </w:p>
    <w:p w14:paraId="0AF6F75C">
      <w:pPr>
        <w:spacing w:line="360" w:lineRule="auto"/>
        <w:rPr>
          <w:rFonts w:hint="eastAsia" w:ascii="仿宋" w:hAnsi="仿宋" w:eastAsia="仿宋" w:cs="仿宋"/>
          <w:color w:val="auto"/>
          <w:sz w:val="24"/>
        </w:rPr>
      </w:pPr>
      <w:r>
        <w:rPr>
          <w:rFonts w:hint="eastAsia" w:ascii="仿宋" w:hAnsi="仿宋" w:eastAsia="仿宋" w:cs="仿宋"/>
          <w:color w:val="auto"/>
          <w:sz w:val="24"/>
        </w:rPr>
        <w:t>4.2 招标文件质疑与投诉</w:t>
      </w:r>
    </w:p>
    <w:p w14:paraId="4AB4AFCD">
      <w:pPr>
        <w:spacing w:line="360" w:lineRule="auto"/>
        <w:rPr>
          <w:rFonts w:hint="eastAsia" w:ascii="仿宋" w:hAnsi="仿宋" w:eastAsia="仿宋" w:cs="仿宋"/>
          <w:color w:val="auto"/>
          <w:sz w:val="24"/>
        </w:rPr>
      </w:pPr>
      <w:r>
        <w:rPr>
          <w:rFonts w:hint="eastAsia" w:ascii="仿宋" w:hAnsi="仿宋" w:eastAsia="仿宋" w:cs="仿宋"/>
          <w:color w:val="auto"/>
          <w:sz w:val="24"/>
        </w:rPr>
        <w:t>4.2.1 投标人对本次招标采购活动有疑问的，按照国家《中华人民共和国政府采购法》及中华人民共和国财政部令第94号《政府采购质疑和投诉办法》的规定办理。</w:t>
      </w:r>
    </w:p>
    <w:p w14:paraId="2CE13AB9">
      <w:pPr>
        <w:spacing w:line="360" w:lineRule="auto"/>
        <w:rPr>
          <w:rFonts w:hint="eastAsia" w:ascii="仿宋" w:hAnsi="仿宋" w:eastAsia="仿宋" w:cs="仿宋"/>
          <w:color w:val="auto"/>
          <w:sz w:val="24"/>
        </w:rPr>
      </w:pPr>
      <w:r>
        <w:rPr>
          <w:rFonts w:hint="eastAsia" w:ascii="仿宋" w:hAnsi="仿宋" w:eastAsia="仿宋" w:cs="仿宋"/>
          <w:color w:val="auto"/>
          <w:sz w:val="24"/>
        </w:rPr>
        <w:t>4.2.2供应商在法定质疑期内一次性提出针对同一采购程序环节的质疑。</w:t>
      </w:r>
    </w:p>
    <w:p w14:paraId="019B22D1">
      <w:pPr>
        <w:spacing w:line="360" w:lineRule="auto"/>
        <w:rPr>
          <w:rFonts w:hint="eastAsia" w:ascii="仿宋" w:hAnsi="仿宋" w:eastAsia="仿宋" w:cs="仿宋"/>
          <w:color w:val="auto"/>
          <w:sz w:val="24"/>
        </w:rPr>
      </w:pPr>
      <w:r>
        <w:rPr>
          <w:rFonts w:hint="eastAsia" w:ascii="仿宋" w:hAnsi="仿宋" w:eastAsia="仿宋" w:cs="仿宋"/>
          <w:color w:val="auto"/>
          <w:sz w:val="24"/>
        </w:rPr>
        <w:t>4.2.3 递交质疑函有关说明</w:t>
      </w:r>
    </w:p>
    <w:p w14:paraId="18F7AD5E">
      <w:pPr>
        <w:spacing w:line="360" w:lineRule="auto"/>
        <w:rPr>
          <w:rFonts w:hint="eastAsia" w:ascii="仿宋" w:hAnsi="仿宋" w:eastAsia="仿宋" w:cs="仿宋"/>
          <w:color w:val="auto"/>
          <w:sz w:val="24"/>
        </w:rPr>
      </w:pPr>
      <w:r>
        <w:rPr>
          <w:rFonts w:hint="eastAsia" w:ascii="仿宋" w:hAnsi="仿宋" w:eastAsia="仿宋" w:cs="仿宋"/>
          <w:color w:val="auto"/>
          <w:sz w:val="24"/>
        </w:rPr>
        <w:t>4.2.3.1接收方式：书面形式</w:t>
      </w:r>
    </w:p>
    <w:p w14:paraId="494AA7E9">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4.2.3.2联系部门：政府采购部</w:t>
      </w:r>
      <w:r>
        <w:rPr>
          <w:rFonts w:hint="eastAsia" w:ascii="仿宋" w:hAnsi="仿宋" w:eastAsia="仿宋" w:cs="仿宋"/>
          <w:color w:val="auto"/>
          <w:sz w:val="24"/>
          <w:lang w:eastAsia="zh-CN"/>
        </w:rPr>
        <w:t>门</w:t>
      </w:r>
    </w:p>
    <w:p w14:paraId="06E982B9">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4.2.3.3联系电话：</w:t>
      </w:r>
      <w:r>
        <w:rPr>
          <w:rFonts w:hint="eastAsia" w:ascii="仿宋" w:hAnsi="仿宋" w:eastAsia="仿宋" w:cs="仿宋"/>
          <w:color w:val="auto"/>
          <w:sz w:val="24"/>
          <w:lang w:val="en-US" w:eastAsia="zh-CN"/>
        </w:rPr>
        <w:t>13038911990</w:t>
      </w:r>
    </w:p>
    <w:p w14:paraId="581900C3">
      <w:pPr>
        <w:spacing w:line="360" w:lineRule="auto"/>
        <w:rPr>
          <w:rFonts w:hint="eastAsia" w:ascii="仿宋" w:hAnsi="仿宋" w:eastAsia="仿宋" w:cs="仿宋"/>
          <w:color w:val="auto"/>
          <w:sz w:val="24"/>
        </w:rPr>
      </w:pPr>
      <w:r>
        <w:rPr>
          <w:rFonts w:hint="eastAsia" w:ascii="仿宋" w:hAnsi="仿宋" w:eastAsia="仿宋" w:cs="仿宋"/>
          <w:color w:val="auto"/>
          <w:sz w:val="24"/>
        </w:rPr>
        <w:t>4.2.3.4通讯地址：陕西省安康市汉滨区滨江大道汉江大剧院西区三楼</w:t>
      </w:r>
    </w:p>
    <w:p w14:paraId="4F5D8EE5">
      <w:pPr>
        <w:spacing w:line="360" w:lineRule="auto"/>
        <w:rPr>
          <w:rFonts w:hint="eastAsia" w:ascii="仿宋" w:hAnsi="仿宋" w:eastAsia="仿宋" w:cs="仿宋"/>
          <w:color w:val="auto"/>
          <w:sz w:val="24"/>
        </w:rPr>
      </w:pPr>
      <w:r>
        <w:rPr>
          <w:rFonts w:hint="eastAsia" w:ascii="仿宋" w:hAnsi="仿宋" w:eastAsia="仿宋" w:cs="仿宋"/>
          <w:color w:val="auto"/>
          <w:sz w:val="24"/>
        </w:rPr>
        <w:t>4.3 招标文件的澄清</w:t>
      </w:r>
    </w:p>
    <w:p w14:paraId="60A8486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投标人若对招标文件有疑问，应将要求澄清的问题以书面形式通知招标机构。</w:t>
      </w:r>
    </w:p>
    <w:p w14:paraId="37E49F09">
      <w:pPr>
        <w:spacing w:line="360" w:lineRule="auto"/>
        <w:rPr>
          <w:rFonts w:hint="eastAsia" w:ascii="仿宋" w:hAnsi="仿宋" w:eastAsia="仿宋" w:cs="仿宋"/>
          <w:color w:val="auto"/>
          <w:sz w:val="24"/>
        </w:rPr>
      </w:pPr>
      <w:r>
        <w:rPr>
          <w:rFonts w:hint="eastAsia" w:ascii="仿宋" w:hAnsi="仿宋" w:eastAsia="仿宋" w:cs="仿宋"/>
          <w:color w:val="auto"/>
          <w:sz w:val="24"/>
        </w:rPr>
        <w:t>4.4 招标文件的补充和修改</w:t>
      </w:r>
    </w:p>
    <w:p w14:paraId="7C2AD84E">
      <w:pPr>
        <w:spacing w:line="360" w:lineRule="auto"/>
        <w:rPr>
          <w:rFonts w:hint="eastAsia" w:ascii="仿宋" w:hAnsi="仿宋" w:eastAsia="仿宋" w:cs="仿宋"/>
          <w:color w:val="auto"/>
          <w:sz w:val="24"/>
        </w:rPr>
      </w:pPr>
      <w:r>
        <w:rPr>
          <w:rFonts w:hint="eastAsia" w:ascii="仿宋" w:hAnsi="仿宋" w:eastAsia="仿宋" w:cs="仿宋"/>
          <w:color w:val="auto"/>
          <w:sz w:val="24"/>
        </w:rPr>
        <w:t>4.4.1招标机构可以用书面补充通知的方式对招标文件进行补充和修改。</w:t>
      </w:r>
    </w:p>
    <w:p w14:paraId="490EF428">
      <w:pPr>
        <w:spacing w:line="360" w:lineRule="auto"/>
        <w:rPr>
          <w:rFonts w:hint="eastAsia" w:ascii="仿宋" w:hAnsi="仿宋" w:eastAsia="仿宋" w:cs="仿宋"/>
          <w:color w:val="auto"/>
          <w:sz w:val="24"/>
        </w:rPr>
      </w:pPr>
      <w:r>
        <w:rPr>
          <w:rFonts w:hint="eastAsia" w:ascii="仿宋" w:hAnsi="仿宋" w:eastAsia="仿宋" w:cs="仿宋"/>
          <w:color w:val="auto"/>
          <w:sz w:val="24"/>
        </w:rPr>
        <w:t>4.4.2所颁发的补充通知将于投标截止时间前发往所有购买招标文件的投标人。该补充通知作为招标文件的一部分。投标人在收到该通知后须予以签收确认。</w:t>
      </w:r>
    </w:p>
    <w:p w14:paraId="04A17A7D">
      <w:pPr>
        <w:spacing w:line="360" w:lineRule="auto"/>
        <w:rPr>
          <w:rFonts w:hint="eastAsia" w:ascii="仿宋" w:hAnsi="仿宋" w:eastAsia="仿宋" w:cs="仿宋"/>
          <w:color w:val="auto"/>
          <w:sz w:val="24"/>
        </w:rPr>
      </w:pPr>
      <w:r>
        <w:rPr>
          <w:rFonts w:hint="eastAsia" w:ascii="仿宋" w:hAnsi="仿宋" w:eastAsia="仿宋" w:cs="仿宋"/>
          <w:color w:val="auto"/>
          <w:sz w:val="24"/>
        </w:rPr>
        <w:t>4.4.3 考虑到补充通知的影响，委托人和招标机构可决定推迟投标截止时间。</w:t>
      </w:r>
    </w:p>
    <w:p w14:paraId="3A7D9A08">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5、投标和招标总则</w:t>
      </w:r>
    </w:p>
    <w:p w14:paraId="339C6DE7">
      <w:pPr>
        <w:spacing w:line="360" w:lineRule="auto"/>
        <w:rPr>
          <w:rFonts w:hint="eastAsia" w:ascii="仿宋" w:hAnsi="仿宋" w:eastAsia="仿宋" w:cs="仿宋"/>
          <w:color w:val="auto"/>
          <w:sz w:val="24"/>
        </w:rPr>
      </w:pPr>
      <w:r>
        <w:rPr>
          <w:rFonts w:hint="eastAsia" w:ascii="仿宋" w:hAnsi="仿宋" w:eastAsia="仿宋" w:cs="仿宋"/>
          <w:color w:val="auto"/>
          <w:sz w:val="24"/>
        </w:rPr>
        <w:t>5.1 投标文件的编写</w:t>
      </w:r>
    </w:p>
    <w:p w14:paraId="636D515E">
      <w:pPr>
        <w:spacing w:line="360" w:lineRule="auto"/>
        <w:rPr>
          <w:rFonts w:hint="eastAsia" w:ascii="仿宋" w:hAnsi="仿宋" w:eastAsia="仿宋" w:cs="仿宋"/>
          <w:color w:val="auto"/>
          <w:sz w:val="24"/>
        </w:rPr>
      </w:pPr>
      <w:r>
        <w:rPr>
          <w:rFonts w:hint="eastAsia" w:ascii="仿宋" w:hAnsi="仿宋" w:eastAsia="仿宋" w:cs="仿宋"/>
          <w:color w:val="auto"/>
          <w:sz w:val="24"/>
        </w:rPr>
        <w:t>5.1.1投标人应仔细阅读招标文件的所有内容，并按照招标文件的“投标文件格式”规定及要求的内容和格式，提交完整的投标文件。</w:t>
      </w:r>
    </w:p>
    <w:p w14:paraId="6A145934">
      <w:pPr>
        <w:spacing w:line="360" w:lineRule="auto"/>
        <w:rPr>
          <w:rFonts w:hint="eastAsia" w:ascii="仿宋" w:hAnsi="仿宋" w:eastAsia="仿宋" w:cs="仿宋"/>
          <w:color w:val="auto"/>
          <w:sz w:val="24"/>
        </w:rPr>
      </w:pPr>
      <w:r>
        <w:rPr>
          <w:rFonts w:hint="eastAsia" w:ascii="仿宋" w:hAnsi="仿宋" w:eastAsia="仿宋" w:cs="仿宋"/>
          <w:color w:val="auto"/>
          <w:sz w:val="24"/>
        </w:rPr>
        <w:t>5.1.2投标语言和计量单位</w:t>
      </w:r>
    </w:p>
    <w:p w14:paraId="71E32CC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投标文件和来往函件用中文书写（外文函件必须翻译为中文），计量单位应使用中华人民共和国法定计量单位。（除非招标文件中另有规定）。</w:t>
      </w:r>
    </w:p>
    <w:p w14:paraId="797B87FC">
      <w:pPr>
        <w:spacing w:line="360" w:lineRule="auto"/>
        <w:rPr>
          <w:rFonts w:hint="eastAsia" w:ascii="仿宋" w:hAnsi="仿宋" w:eastAsia="仿宋" w:cs="仿宋"/>
          <w:color w:val="auto"/>
          <w:sz w:val="24"/>
        </w:rPr>
      </w:pPr>
      <w:r>
        <w:rPr>
          <w:rFonts w:hint="eastAsia" w:ascii="仿宋" w:hAnsi="仿宋" w:eastAsia="仿宋" w:cs="仿宋"/>
          <w:color w:val="auto"/>
          <w:sz w:val="24"/>
        </w:rPr>
        <w:t>5.1.3投标人应按招标文件规定的投标范围进行投标。</w:t>
      </w:r>
    </w:p>
    <w:p w14:paraId="3D3126C3">
      <w:pPr>
        <w:spacing w:line="360" w:lineRule="auto"/>
        <w:rPr>
          <w:rFonts w:hint="eastAsia" w:ascii="仿宋" w:hAnsi="仿宋" w:eastAsia="仿宋" w:cs="仿宋"/>
          <w:color w:val="auto"/>
          <w:sz w:val="24"/>
        </w:rPr>
      </w:pPr>
      <w:r>
        <w:rPr>
          <w:rFonts w:hint="eastAsia" w:ascii="仿宋" w:hAnsi="仿宋" w:eastAsia="仿宋" w:cs="仿宋"/>
          <w:color w:val="auto"/>
          <w:sz w:val="24"/>
        </w:rPr>
        <w:t>5.1.4投标人应用</w:t>
      </w:r>
      <w:r>
        <w:rPr>
          <w:rFonts w:hint="eastAsia" w:ascii="仿宋" w:hAnsi="仿宋" w:eastAsia="仿宋" w:cs="仿宋"/>
          <w:b/>
          <w:color w:val="auto"/>
          <w:sz w:val="24"/>
        </w:rPr>
        <w:t>人民币投标</w:t>
      </w:r>
      <w:r>
        <w:rPr>
          <w:rFonts w:hint="eastAsia" w:ascii="仿宋" w:hAnsi="仿宋" w:eastAsia="仿宋" w:cs="仿宋"/>
          <w:color w:val="auto"/>
          <w:sz w:val="24"/>
        </w:rPr>
        <w:t>。若由单价计算出的总价与投标总价不一致，以单价计算出的总价作为投标总价。若中文文字形式表示的数值与数字形式表示的数值不一致，以中文文字形式表示的数值为准。</w:t>
      </w:r>
    </w:p>
    <w:p w14:paraId="3EE91BA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5.1.5 采购进口产品时，按照财库〔2007〕119号《政府采购进口产品管理办法》的相关规定实施。 </w:t>
      </w:r>
    </w:p>
    <w:p w14:paraId="4EF0D9B8">
      <w:pPr>
        <w:spacing w:line="360" w:lineRule="auto"/>
        <w:outlineLvl w:val="9"/>
        <w:rPr>
          <w:rFonts w:hint="eastAsia" w:ascii="仿宋" w:hAnsi="仿宋" w:eastAsia="仿宋" w:cs="仿宋"/>
          <w:b/>
          <w:color w:val="auto"/>
          <w:sz w:val="24"/>
        </w:rPr>
      </w:pPr>
      <w:r>
        <w:rPr>
          <w:rFonts w:hint="eastAsia" w:ascii="仿宋" w:hAnsi="仿宋" w:eastAsia="仿宋" w:cs="仿宋"/>
          <w:b/>
          <w:color w:val="auto"/>
          <w:sz w:val="24"/>
        </w:rPr>
        <w:t>5.2  投标文件的组成</w:t>
      </w:r>
    </w:p>
    <w:p w14:paraId="1BB57F63">
      <w:pPr>
        <w:spacing w:line="360" w:lineRule="auto"/>
        <w:rPr>
          <w:rFonts w:hint="eastAsia" w:ascii="仿宋" w:hAnsi="仿宋" w:eastAsia="仿宋" w:cs="仿宋"/>
          <w:color w:val="auto"/>
          <w:sz w:val="24"/>
        </w:rPr>
      </w:pPr>
      <w:r>
        <w:rPr>
          <w:rFonts w:hint="eastAsia" w:ascii="仿宋" w:hAnsi="仿宋" w:eastAsia="仿宋" w:cs="仿宋"/>
          <w:color w:val="auto"/>
          <w:sz w:val="24"/>
        </w:rPr>
        <w:t>5.2.1投标人提交的投标文件至少应包括以下部分：</w:t>
      </w:r>
    </w:p>
    <w:p w14:paraId="1D044AB0">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(一)投标函；</w:t>
      </w:r>
    </w:p>
    <w:p w14:paraId="420E6CE4">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(二)投标报价表；</w:t>
      </w:r>
    </w:p>
    <w:p w14:paraId="2368E18E">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(三)投标报价明细表；</w:t>
      </w:r>
    </w:p>
    <w:p w14:paraId="508A4DEF">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(四)商务条款偏离表；</w:t>
      </w:r>
    </w:p>
    <w:p w14:paraId="2AA645D3">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(五)技术规格偏离表；</w:t>
      </w:r>
    </w:p>
    <w:p w14:paraId="074150F3">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(六)法定代表人证明书或授权书；</w:t>
      </w:r>
    </w:p>
    <w:p w14:paraId="4A972DDE">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(七)资格证明文件 ；</w:t>
      </w:r>
    </w:p>
    <w:p w14:paraId="41890053">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(八)具有履行合同所必需的设备和专业技术能力的书面声明；</w:t>
      </w:r>
    </w:p>
    <w:p w14:paraId="1FD860E1">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(九)参加政府采购活动前三年内，在经营活动中没有重大违法记录书面声明；</w:t>
      </w:r>
    </w:p>
    <w:p w14:paraId="1F8A5544">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(十)项目整体实施方案 ；</w:t>
      </w:r>
    </w:p>
    <w:p w14:paraId="33A2683C">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(十一)项目业绩表；</w:t>
      </w:r>
    </w:p>
    <w:p w14:paraId="389F1CAE">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(十二)培训、售后服务承诺；</w:t>
      </w:r>
    </w:p>
    <w:p w14:paraId="4622922B">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(十三)陕西省政府采购供应商拒绝政府采购领域商业贿赂承诺书；</w:t>
      </w:r>
    </w:p>
    <w:p w14:paraId="505AA8D0">
      <w:pPr>
        <w:numPr>
          <w:ilvl w:val="0"/>
          <w:numId w:val="0"/>
        </w:numPr>
        <w:spacing w:line="480" w:lineRule="auto"/>
        <w:ind w:left="1287" w:leftChars="0" w:hanging="720" w:firstLineChars="0"/>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kern w:val="2"/>
          <w:sz w:val="24"/>
          <w:szCs w:val="24"/>
          <w:highlight w:val="none"/>
          <w:lang w:val="en-US" w:eastAsia="zh-CN" w:bidi="ar-SA"/>
        </w:rPr>
        <w:t>(十四)其他证明材料；</w:t>
      </w:r>
    </w:p>
    <w:p w14:paraId="3EE0F317">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bCs/>
          <w:color w:val="auto"/>
          <w:sz w:val="28"/>
          <w:u w:val="single"/>
        </w:rPr>
        <w:t xml:space="preserve"> 缺以上任一项的投标将被视为无效投标 </w:t>
      </w:r>
      <w:r>
        <w:rPr>
          <w:rFonts w:hint="eastAsia" w:ascii="仿宋" w:hAnsi="仿宋" w:eastAsia="仿宋" w:cs="仿宋"/>
          <w:color w:val="auto"/>
          <w:sz w:val="24"/>
        </w:rPr>
        <w:t>。</w:t>
      </w:r>
    </w:p>
    <w:p w14:paraId="43B1FC3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5.2.2投标人在满足“</w:t>
      </w:r>
      <w:r>
        <w:rPr>
          <w:rFonts w:hint="eastAsia" w:ascii="仿宋" w:hAnsi="仿宋" w:eastAsia="仿宋" w:cs="仿宋"/>
          <w:color w:val="auto"/>
          <w:sz w:val="24"/>
          <w:lang w:eastAsia="zh-CN"/>
        </w:rPr>
        <w:t>用户需求书（采购内容及要求）</w:t>
      </w:r>
      <w:r>
        <w:rPr>
          <w:rFonts w:hint="eastAsia" w:ascii="仿宋" w:hAnsi="仿宋" w:eastAsia="仿宋" w:cs="仿宋"/>
          <w:color w:val="auto"/>
          <w:sz w:val="24"/>
        </w:rPr>
        <w:t>”中对设备的整体要求的前提下，对设备中的软硬件配置提出合理化建议。</w:t>
      </w:r>
    </w:p>
    <w:p w14:paraId="28E0BC80">
      <w:pPr>
        <w:spacing w:line="360" w:lineRule="auto"/>
        <w:rPr>
          <w:rFonts w:hint="eastAsia" w:ascii="仿宋" w:hAnsi="仿宋" w:eastAsia="仿宋" w:cs="仿宋"/>
          <w:color w:val="auto"/>
          <w:sz w:val="24"/>
        </w:rPr>
      </w:pPr>
      <w:r>
        <w:rPr>
          <w:rFonts w:hint="eastAsia" w:ascii="仿宋" w:hAnsi="仿宋" w:eastAsia="仿宋" w:cs="仿宋"/>
          <w:color w:val="auto"/>
          <w:sz w:val="24"/>
        </w:rPr>
        <w:t>5.3  投标</w:t>
      </w:r>
    </w:p>
    <w:p w14:paraId="16155D83">
      <w:pPr>
        <w:spacing w:line="360" w:lineRule="auto"/>
        <w:ind w:firstLine="482" w:firstLineChars="200"/>
        <w:rPr>
          <w:rFonts w:hint="eastAsia" w:ascii="仿宋" w:hAnsi="仿宋" w:eastAsia="仿宋" w:cs="仿宋"/>
          <w:b/>
          <w:bCs/>
          <w:color w:val="auto"/>
          <w:kern w:val="1"/>
          <w:sz w:val="24"/>
          <w:lang w:eastAsia="zh-CN"/>
        </w:rPr>
      </w:pPr>
      <w:r>
        <w:rPr>
          <w:rFonts w:hint="eastAsia" w:ascii="仿宋" w:hAnsi="仿宋" w:eastAsia="仿宋" w:cs="仿宋"/>
          <w:b/>
          <w:bCs/>
          <w:color w:val="auto"/>
          <w:kern w:val="1"/>
          <w:sz w:val="24"/>
          <w:lang w:eastAsia="zh-CN"/>
        </w:rPr>
        <w:t>5.3.1 本项目采用电子化和远程不见面开标（投标单位远程开标，无需到场），“不见面开标大厅”登录网址：</w:t>
      </w:r>
    </w:p>
    <w:p w14:paraId="6943255B">
      <w:pPr>
        <w:spacing w:line="360" w:lineRule="auto"/>
        <w:ind w:firstLine="482" w:firstLineChars="200"/>
        <w:rPr>
          <w:rFonts w:hint="eastAsia" w:ascii="仿宋" w:hAnsi="仿宋" w:eastAsia="仿宋" w:cs="仿宋"/>
          <w:color w:val="auto"/>
          <w:kern w:val="1"/>
          <w:sz w:val="24"/>
          <w:lang w:val="en-US" w:eastAsia="zh-CN"/>
        </w:rPr>
      </w:pPr>
      <w:r>
        <w:rPr>
          <w:rFonts w:hint="eastAsia" w:ascii="仿宋" w:hAnsi="仿宋" w:eastAsia="仿宋" w:cs="仿宋"/>
          <w:b/>
          <w:bCs/>
          <w:color w:val="auto"/>
          <w:kern w:val="1"/>
          <w:sz w:val="24"/>
          <w:lang w:eastAsia="zh-CN"/>
        </w:rPr>
        <w:fldChar w:fldCharType="begin"/>
      </w:r>
      <w:r>
        <w:rPr>
          <w:rFonts w:hint="eastAsia" w:ascii="仿宋" w:hAnsi="仿宋" w:eastAsia="仿宋" w:cs="仿宋"/>
          <w:b/>
          <w:bCs/>
          <w:color w:val="auto"/>
          <w:kern w:val="1"/>
          <w:sz w:val="24"/>
          <w:lang w:eastAsia="zh-CN"/>
        </w:rPr>
        <w:instrText xml:space="preserve"> HYPERLINK "http://219.145.206.209/BidOpeningHall/bidopeninghallaction/hall/login" </w:instrText>
      </w:r>
      <w:r>
        <w:rPr>
          <w:rFonts w:hint="eastAsia" w:ascii="仿宋" w:hAnsi="仿宋" w:eastAsia="仿宋" w:cs="仿宋"/>
          <w:b/>
          <w:bCs/>
          <w:color w:val="auto"/>
          <w:kern w:val="1"/>
          <w:sz w:val="24"/>
          <w:lang w:eastAsia="zh-CN"/>
        </w:rPr>
        <w:fldChar w:fldCharType="separate"/>
      </w:r>
      <w:r>
        <w:rPr>
          <w:rStyle w:val="41"/>
          <w:rFonts w:hint="eastAsia" w:ascii="仿宋" w:hAnsi="仿宋" w:eastAsia="仿宋" w:cs="仿宋"/>
          <w:b/>
          <w:bCs/>
          <w:color w:val="auto"/>
          <w:kern w:val="1"/>
          <w:sz w:val="24"/>
          <w:lang w:eastAsia="zh-CN"/>
        </w:rPr>
        <w:t>http://219.145.206.209/BidOpeningHall/bidopeninghallaction/hall/login</w:t>
      </w:r>
      <w:r>
        <w:rPr>
          <w:rFonts w:hint="eastAsia" w:ascii="仿宋" w:hAnsi="仿宋" w:eastAsia="仿宋" w:cs="仿宋"/>
          <w:b/>
          <w:bCs/>
          <w:color w:val="auto"/>
          <w:kern w:val="1"/>
          <w:sz w:val="24"/>
          <w:lang w:eastAsia="zh-CN"/>
        </w:rPr>
        <w:fldChar w:fldCharType="end"/>
      </w:r>
    </w:p>
    <w:p w14:paraId="2CD0B394">
      <w:pPr>
        <w:spacing w:line="360" w:lineRule="auto"/>
        <w:ind w:firstLine="480" w:firstLineChars="200"/>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5.3.2  纸质版</w:t>
      </w:r>
      <w:r>
        <w:rPr>
          <w:rFonts w:hint="eastAsia" w:ascii="仿宋" w:hAnsi="仿宋" w:eastAsia="仿宋" w:cs="仿宋"/>
          <w:color w:val="auto"/>
          <w:kern w:val="1"/>
          <w:sz w:val="24"/>
        </w:rPr>
        <w:t>响</w:t>
      </w:r>
      <w:r>
        <w:rPr>
          <w:rFonts w:hint="eastAsia" w:ascii="仿宋" w:hAnsi="仿宋" w:eastAsia="仿宋" w:cs="仿宋"/>
          <w:color w:val="auto"/>
          <w:kern w:val="1"/>
          <w:sz w:val="24"/>
          <w:lang w:val="en-US" w:eastAsia="zh-CN"/>
        </w:rPr>
        <w:t>应文件仅需中标投标人提交，在领取中标通知书时提供用于备案。</w:t>
      </w:r>
    </w:p>
    <w:p w14:paraId="41511EF0">
      <w:pPr>
        <w:spacing w:line="360" w:lineRule="auto"/>
        <w:ind w:firstLine="480" w:firstLineChars="200"/>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5.3.3  纸质版</w:t>
      </w:r>
      <w:r>
        <w:rPr>
          <w:rFonts w:hint="eastAsia" w:ascii="仿宋" w:hAnsi="仿宋" w:eastAsia="仿宋" w:cs="仿宋"/>
          <w:color w:val="auto"/>
          <w:kern w:val="1"/>
          <w:sz w:val="24"/>
          <w:lang w:eastAsia="zh-CN"/>
        </w:rPr>
        <w:t>投标文件一式叁份，其中正本壹份，副本贰份。在每一份文件上要注明“正本”或“副本”字样。</w:t>
      </w:r>
    </w:p>
    <w:p w14:paraId="1BAD4DEA">
      <w:pPr>
        <w:spacing w:line="360" w:lineRule="auto"/>
        <w:ind w:firstLine="480" w:firstLineChars="200"/>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5.3.4  投标文件的正本需打印，并由法定代表人或经正式授权的代表在投标文件上签字。投标文件的副本可采用正本的复印件。</w:t>
      </w:r>
    </w:p>
    <w:p w14:paraId="30D75318">
      <w:pPr>
        <w:spacing w:line="360" w:lineRule="auto"/>
        <w:ind w:firstLine="480" w:firstLineChars="200"/>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5.3.5  投标人名称应当填写全称，同时加盖公章。</w:t>
      </w:r>
    </w:p>
    <w:p w14:paraId="0B97A386">
      <w:pPr>
        <w:spacing w:line="360" w:lineRule="auto"/>
        <w:ind w:firstLine="480" w:firstLineChars="200"/>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 xml:space="preserve">5.3.6  纸质版投标文件不得随意涂改和增删，应当跟开标时上传的电子投标文件一致。          </w:t>
      </w:r>
    </w:p>
    <w:p w14:paraId="247E468B">
      <w:pPr>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kern w:val="1"/>
          <w:sz w:val="24"/>
          <w:lang w:val="en-US" w:eastAsia="zh-CN"/>
        </w:rPr>
        <w:t>5.3.7  投标人应当按照招标文件中提供的统一格式制作投标文件，投标文件中应当有目录。 纸质版投标文件</w:t>
      </w:r>
      <w:r>
        <w:rPr>
          <w:rFonts w:hint="eastAsia" w:ascii="仿宋" w:hAnsi="仿宋" w:eastAsia="仿宋" w:cs="仿宋"/>
          <w:color w:val="auto"/>
          <w:kern w:val="1"/>
          <w:sz w:val="24"/>
          <w:lang w:val="zh-CN" w:eastAsia="zh-CN"/>
        </w:rPr>
        <w:t>必须工整、规范、统一、清晰，采用A4幅面纸胶装成册、标注页码。</w:t>
      </w:r>
    </w:p>
    <w:p w14:paraId="77A3D133">
      <w:pPr>
        <w:pStyle w:val="13"/>
        <w:spacing w:line="360" w:lineRule="auto"/>
        <w:ind w:firstLine="480" w:firstLineChars="200"/>
        <w:rPr>
          <w:rFonts w:hint="eastAsia" w:ascii="仿宋" w:hAnsi="仿宋" w:eastAsia="仿宋" w:cs="仿宋"/>
          <w:color w:val="auto"/>
        </w:rPr>
      </w:pPr>
      <w:bookmarkStart w:id="43" w:name="_Toc8985"/>
      <w:r>
        <w:rPr>
          <w:rFonts w:hint="eastAsia" w:ascii="仿宋" w:hAnsi="仿宋" w:eastAsia="仿宋" w:cs="仿宋"/>
          <w:color w:val="auto"/>
        </w:rPr>
        <w:t>5.3</w:t>
      </w:r>
      <w:r>
        <w:rPr>
          <w:rFonts w:hint="eastAsia" w:ascii="仿宋" w:hAnsi="仿宋" w:eastAsia="仿宋" w:cs="仿宋"/>
          <w:color w:val="auto"/>
          <w:lang w:val="en-US" w:eastAsia="zh-CN"/>
        </w:rPr>
        <w:t>.8</w:t>
      </w:r>
      <w:r>
        <w:rPr>
          <w:rFonts w:hint="eastAsia" w:ascii="仿宋" w:hAnsi="仿宋" w:eastAsia="仿宋" w:cs="仿宋"/>
          <w:color w:val="auto"/>
        </w:rPr>
        <w:t xml:space="preserve">  投标人应对投标货物提供完整的详细的技术说明，如果投标人对指定的技术要求建议做任何改动，应在投标文件中清楚的说明。投标人投标的内容与招标文件的技术、商务要求有偏离时，无论这种偏离是否有利于买方，投标人都应该按照附件的格式如实填写技术偏离表和商务条款偏离表。商务条款不可负偏离，否则视为无效投标。</w:t>
      </w:r>
    </w:p>
    <w:p w14:paraId="44CF718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5.3.</w:t>
      </w: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 投标人应按照要求提交资格文件，并对这些资格文件的真实性负责。</w:t>
      </w:r>
    </w:p>
    <w:p w14:paraId="08579C1B">
      <w:pPr>
        <w:spacing w:line="360" w:lineRule="auto"/>
        <w:ind w:firstLine="480" w:firstLineChars="200"/>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5.3.10 若投标人对文件理解有误，产生的后果由投标人自行承担。</w:t>
      </w:r>
      <w:bookmarkEnd w:id="43"/>
      <w:bookmarkStart w:id="44" w:name="_Toc437438177"/>
      <w:bookmarkEnd w:id="44"/>
    </w:p>
    <w:p w14:paraId="5C1FB3E7">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5.4  投标的有效期</w:t>
      </w:r>
      <w:r>
        <w:rPr>
          <w:rFonts w:hint="eastAsia" w:ascii="仿宋" w:hAnsi="仿宋" w:eastAsia="仿宋" w:cs="仿宋"/>
          <w:color w:val="auto"/>
          <w:sz w:val="24"/>
          <w:lang w:eastAsia="zh-CN"/>
        </w:rPr>
        <w:t>：</w:t>
      </w:r>
    </w:p>
    <w:p w14:paraId="31FA7E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从投标截止日期起，投标有效期为</w:t>
      </w:r>
      <w:r>
        <w:rPr>
          <w:rFonts w:hint="eastAsia" w:ascii="仿宋" w:hAnsi="仿宋" w:eastAsia="仿宋" w:cs="仿宋"/>
          <w:color w:val="auto"/>
          <w:sz w:val="24"/>
          <w:u w:val="single"/>
          <w:lang w:val="en-US" w:eastAsia="zh-CN"/>
        </w:rPr>
        <w:t>90</w:t>
      </w:r>
      <w:r>
        <w:rPr>
          <w:rFonts w:hint="eastAsia" w:ascii="仿宋" w:hAnsi="仿宋" w:eastAsia="仿宋" w:cs="仿宋"/>
          <w:color w:val="auto"/>
          <w:sz w:val="24"/>
        </w:rPr>
        <w:t>天。在特殊情况下，招标机构可于投标有效期满之前要求投标人同意延长有效期，要求与答复均以书面形式。</w:t>
      </w:r>
    </w:p>
    <w:p w14:paraId="3BE14709">
      <w:pPr>
        <w:spacing w:line="360" w:lineRule="auto"/>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投标文件的修改：</w:t>
      </w:r>
    </w:p>
    <w:p w14:paraId="34097E9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在规定的时间内，投标人可以修改其投标文件的内容，但必须以书面形式通知招标机构。在招标规定的修改截止时间后，投标人不可以修改其投标文件的内容。</w:t>
      </w:r>
    </w:p>
    <w:p w14:paraId="63D003E1">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5.</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投标的撤回</w:t>
      </w:r>
      <w:r>
        <w:rPr>
          <w:rFonts w:hint="eastAsia" w:ascii="仿宋" w:hAnsi="仿宋" w:eastAsia="仿宋" w:cs="仿宋"/>
          <w:color w:val="auto"/>
          <w:sz w:val="24"/>
          <w:lang w:eastAsia="zh-CN"/>
        </w:rPr>
        <w:t>：</w:t>
      </w:r>
    </w:p>
    <w:p w14:paraId="36BE02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在投标截止时间前投标人可以撤回其投标，但在投标截止后不允许撤回投标。</w:t>
      </w:r>
    </w:p>
    <w:p w14:paraId="25B70A3A">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5.</w:t>
      </w: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 招标过程及评审</w:t>
      </w:r>
      <w:r>
        <w:rPr>
          <w:rFonts w:hint="eastAsia" w:ascii="仿宋" w:hAnsi="仿宋" w:eastAsia="仿宋" w:cs="仿宋"/>
          <w:color w:val="auto"/>
          <w:sz w:val="24"/>
          <w:lang w:eastAsia="zh-CN"/>
        </w:rPr>
        <w:t>：</w:t>
      </w:r>
    </w:p>
    <w:p w14:paraId="79D5B79C">
      <w:pPr>
        <w:spacing w:line="360" w:lineRule="auto"/>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7</w:t>
      </w:r>
      <w:r>
        <w:rPr>
          <w:rFonts w:hint="eastAsia" w:ascii="仿宋" w:hAnsi="仿宋" w:eastAsia="仿宋" w:cs="仿宋"/>
          <w:color w:val="auto"/>
          <w:sz w:val="24"/>
        </w:rPr>
        <w:t>.1招标机构将在招标公告中规定的时间和地点接受投标。</w:t>
      </w:r>
    </w:p>
    <w:p w14:paraId="76158015">
      <w:pPr>
        <w:spacing w:line="360" w:lineRule="auto"/>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7</w:t>
      </w:r>
      <w:r>
        <w:rPr>
          <w:rFonts w:hint="eastAsia" w:ascii="仿宋" w:hAnsi="仿宋" w:eastAsia="仿宋" w:cs="仿宋"/>
          <w:color w:val="auto"/>
          <w:sz w:val="24"/>
        </w:rPr>
        <w:t>.2评标委员会只对确定为实质上响应招标文件要求的投标进行评审。</w:t>
      </w:r>
    </w:p>
    <w:p w14:paraId="4A4DF0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7</w:t>
      </w:r>
      <w:r>
        <w:rPr>
          <w:rFonts w:hint="eastAsia" w:ascii="仿宋" w:hAnsi="仿宋" w:eastAsia="仿宋" w:cs="仿宋"/>
          <w:color w:val="auto"/>
          <w:sz w:val="24"/>
        </w:rPr>
        <w:t>.3实质上没有响应招标文件要求的投标文件将视为无效投标。出现但不限于下列情况之一的，其投标将视为无效投标：</w:t>
      </w:r>
    </w:p>
    <w:p w14:paraId="3409BA8E">
      <w:pPr>
        <w:numPr>
          <w:ilvl w:val="0"/>
          <w:numId w:val="2"/>
        </w:numPr>
        <w:spacing w:line="360" w:lineRule="auto"/>
        <w:ind w:left="425" w:leftChars="0" w:hanging="5" w:firstLineChars="0"/>
        <w:rPr>
          <w:rFonts w:hint="eastAsia" w:ascii="仿宋" w:hAnsi="仿宋" w:eastAsia="仿宋" w:cs="仿宋"/>
          <w:color w:val="auto"/>
          <w:sz w:val="24"/>
        </w:rPr>
      </w:pPr>
      <w:r>
        <w:rPr>
          <w:rFonts w:hint="eastAsia" w:ascii="仿宋" w:hAnsi="仿宋" w:eastAsia="仿宋" w:cs="仿宋"/>
          <w:color w:val="auto"/>
          <w:sz w:val="24"/>
        </w:rPr>
        <w:t>投标文件不完整的；</w:t>
      </w:r>
    </w:p>
    <w:p w14:paraId="6771CCF8">
      <w:pPr>
        <w:numPr>
          <w:ilvl w:val="0"/>
          <w:numId w:val="2"/>
        </w:numPr>
        <w:spacing w:line="360" w:lineRule="auto"/>
        <w:ind w:left="425" w:leftChars="0" w:hanging="5" w:firstLineChars="0"/>
        <w:rPr>
          <w:rFonts w:hint="eastAsia" w:ascii="仿宋" w:hAnsi="仿宋" w:eastAsia="仿宋" w:cs="仿宋"/>
          <w:color w:val="auto"/>
          <w:sz w:val="24"/>
        </w:rPr>
      </w:pPr>
      <w:r>
        <w:rPr>
          <w:rFonts w:hint="eastAsia" w:ascii="仿宋" w:hAnsi="仿宋" w:eastAsia="仿宋" w:cs="仿宋"/>
          <w:color w:val="auto"/>
          <w:sz w:val="24"/>
        </w:rPr>
        <w:t>投标文件无法人代表签字或签字人未被法人授权的；</w:t>
      </w:r>
    </w:p>
    <w:p w14:paraId="08B86EBF">
      <w:pPr>
        <w:numPr>
          <w:ilvl w:val="0"/>
          <w:numId w:val="2"/>
        </w:numPr>
        <w:spacing w:line="360" w:lineRule="auto"/>
        <w:ind w:left="425" w:leftChars="0" w:hanging="5" w:firstLineChars="0"/>
        <w:rPr>
          <w:rFonts w:hint="eastAsia" w:ascii="仿宋" w:hAnsi="仿宋" w:eastAsia="仿宋" w:cs="仿宋"/>
          <w:color w:val="auto"/>
          <w:sz w:val="24"/>
        </w:rPr>
      </w:pPr>
      <w:r>
        <w:rPr>
          <w:rFonts w:hint="eastAsia" w:ascii="仿宋" w:hAnsi="仿宋" w:eastAsia="仿宋" w:cs="仿宋"/>
          <w:color w:val="auto"/>
          <w:sz w:val="24"/>
        </w:rPr>
        <w:t>投标有效期不足的；</w:t>
      </w:r>
    </w:p>
    <w:p w14:paraId="58577652">
      <w:pPr>
        <w:numPr>
          <w:ilvl w:val="0"/>
          <w:numId w:val="2"/>
        </w:numPr>
        <w:spacing w:line="360" w:lineRule="auto"/>
        <w:ind w:left="425" w:leftChars="0" w:hanging="5" w:firstLineChars="0"/>
        <w:rPr>
          <w:rFonts w:hint="eastAsia" w:ascii="仿宋" w:hAnsi="仿宋" w:eastAsia="仿宋" w:cs="仿宋"/>
          <w:color w:val="auto"/>
          <w:sz w:val="24"/>
        </w:rPr>
      </w:pPr>
      <w:r>
        <w:rPr>
          <w:rFonts w:hint="eastAsia" w:ascii="仿宋" w:hAnsi="仿宋" w:eastAsia="仿宋" w:cs="仿宋"/>
          <w:color w:val="auto"/>
          <w:sz w:val="24"/>
        </w:rPr>
        <w:t>投标文件附有招标方不能接受条件的；</w:t>
      </w:r>
    </w:p>
    <w:p w14:paraId="3485DAAD">
      <w:pPr>
        <w:numPr>
          <w:ilvl w:val="0"/>
          <w:numId w:val="2"/>
        </w:numPr>
        <w:spacing w:line="360" w:lineRule="auto"/>
        <w:ind w:left="425" w:leftChars="0" w:hanging="5" w:firstLineChars="0"/>
        <w:rPr>
          <w:rFonts w:hint="eastAsia" w:ascii="仿宋" w:hAnsi="仿宋" w:eastAsia="仿宋" w:cs="仿宋"/>
          <w:color w:val="auto"/>
          <w:sz w:val="24"/>
        </w:rPr>
      </w:pPr>
      <w:r>
        <w:rPr>
          <w:rFonts w:hint="eastAsia" w:ascii="仿宋" w:hAnsi="仿宋" w:eastAsia="仿宋" w:cs="仿宋"/>
          <w:color w:val="auto"/>
          <w:sz w:val="24"/>
        </w:rPr>
        <w:t>投标总价超出项目预算或明显高于市场价格的；</w:t>
      </w:r>
    </w:p>
    <w:p w14:paraId="0E00FD22">
      <w:pPr>
        <w:numPr>
          <w:ilvl w:val="0"/>
          <w:numId w:val="2"/>
        </w:numPr>
        <w:spacing w:line="360" w:lineRule="auto"/>
        <w:ind w:left="425" w:leftChars="0" w:hanging="5" w:firstLineChars="0"/>
        <w:rPr>
          <w:rFonts w:hint="eastAsia" w:ascii="仿宋" w:hAnsi="仿宋" w:eastAsia="仿宋" w:cs="仿宋"/>
          <w:color w:val="auto"/>
          <w:sz w:val="24"/>
        </w:rPr>
      </w:pPr>
      <w:r>
        <w:rPr>
          <w:rFonts w:hint="eastAsia" w:ascii="仿宋" w:hAnsi="仿宋" w:eastAsia="仿宋" w:cs="仿宋"/>
          <w:color w:val="auto"/>
          <w:sz w:val="24"/>
        </w:rPr>
        <w:t>按招标文件要求其他不符合招标方要求的。</w:t>
      </w:r>
    </w:p>
    <w:p w14:paraId="7084FA7E">
      <w:pPr>
        <w:spacing w:line="360" w:lineRule="auto"/>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7</w:t>
      </w:r>
      <w:r>
        <w:rPr>
          <w:rFonts w:hint="eastAsia" w:ascii="仿宋" w:hAnsi="仿宋" w:eastAsia="仿宋" w:cs="仿宋"/>
          <w:color w:val="auto"/>
          <w:sz w:val="24"/>
        </w:rPr>
        <w:t>.4 评标委员会将按已定的原则及方法进行评审，详见评标办法。</w:t>
      </w:r>
    </w:p>
    <w:p w14:paraId="463B4EC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7</w:t>
      </w:r>
      <w:r>
        <w:rPr>
          <w:rFonts w:hint="eastAsia" w:ascii="仿宋" w:hAnsi="仿宋" w:eastAsia="仿宋" w:cs="仿宋"/>
          <w:color w:val="auto"/>
          <w:sz w:val="24"/>
        </w:rPr>
        <w:t>.5评标委员会在确定中标候选人以前有权按照有关法规拒绝任何或全部投标，对此造成对投标人的影响不负任何责任，不做任何解释。</w:t>
      </w:r>
    </w:p>
    <w:p w14:paraId="45F26A95">
      <w:pPr>
        <w:spacing w:line="360" w:lineRule="auto"/>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7</w:t>
      </w:r>
      <w:r>
        <w:rPr>
          <w:rFonts w:hint="eastAsia" w:ascii="仿宋" w:hAnsi="仿宋" w:eastAsia="仿宋" w:cs="仿宋"/>
          <w:color w:val="auto"/>
          <w:sz w:val="24"/>
        </w:rPr>
        <w:t>.6 确定中标人后，由招标机构发出中标通知书，中标人应</w:t>
      </w:r>
      <w:r>
        <w:rPr>
          <w:rFonts w:hint="eastAsia" w:ascii="仿宋" w:hAnsi="仿宋" w:eastAsia="仿宋" w:cs="仿宋"/>
          <w:color w:val="auto"/>
          <w:sz w:val="24"/>
          <w:lang w:val="en-US" w:eastAsia="zh-CN"/>
        </w:rPr>
        <w:t>25</w:t>
      </w:r>
      <w:r>
        <w:rPr>
          <w:rFonts w:hint="eastAsia" w:ascii="仿宋" w:hAnsi="仿宋" w:eastAsia="仿宋" w:cs="仿宋"/>
          <w:color w:val="auto"/>
          <w:sz w:val="24"/>
        </w:rPr>
        <w:t>日内与采购人签约。</w:t>
      </w:r>
    </w:p>
    <w:p w14:paraId="49D78169">
      <w:pPr>
        <w:spacing w:line="360" w:lineRule="auto"/>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7</w:t>
      </w:r>
      <w:r>
        <w:rPr>
          <w:rFonts w:hint="eastAsia" w:ascii="仿宋" w:hAnsi="仿宋" w:eastAsia="仿宋" w:cs="仿宋"/>
          <w:color w:val="auto"/>
          <w:sz w:val="24"/>
        </w:rPr>
        <w:t>.7招标机构没有义务向未中标的投标人解释不中标的理由。</w:t>
      </w:r>
    </w:p>
    <w:p w14:paraId="1C1045F1">
      <w:pPr>
        <w:spacing w:line="360" w:lineRule="auto"/>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8</w:t>
      </w:r>
      <w:r>
        <w:rPr>
          <w:rFonts w:hint="eastAsia" w:ascii="仿宋" w:hAnsi="仿宋" w:eastAsia="仿宋" w:cs="仿宋"/>
          <w:color w:val="auto"/>
          <w:sz w:val="24"/>
        </w:rPr>
        <w:t xml:space="preserve">  招标、评标过程的保密性。</w:t>
      </w:r>
    </w:p>
    <w:p w14:paraId="5E1E097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8</w:t>
      </w:r>
      <w:r>
        <w:rPr>
          <w:rFonts w:hint="eastAsia" w:ascii="仿宋" w:hAnsi="仿宋" w:eastAsia="仿宋" w:cs="仿宋"/>
          <w:color w:val="auto"/>
          <w:sz w:val="24"/>
        </w:rPr>
        <w:t>.1接受投标后，直至中标商与买方签订合同后止，凡与招标、审查、澄清、评价、比较、授标意见有关的内容，任何人均不得向投标人及与评审无关的其他人透露。</w:t>
      </w:r>
    </w:p>
    <w:p w14:paraId="1E52CBB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8</w:t>
      </w:r>
      <w:r>
        <w:rPr>
          <w:rFonts w:hint="eastAsia" w:ascii="仿宋" w:hAnsi="仿宋" w:eastAsia="仿宋" w:cs="仿宋"/>
          <w:color w:val="auto"/>
          <w:sz w:val="24"/>
        </w:rPr>
        <w:t>.2从投标截止日起到确定中标人止，投标人不得与参加招标、评审的有关人员私下接触。在评审过程中，如果投标人试图在投标文件审查、澄清、比较及推荐中标人方面</w:t>
      </w:r>
      <w:r>
        <w:rPr>
          <w:rFonts w:hint="eastAsia" w:ascii="仿宋" w:hAnsi="仿宋" w:eastAsia="仿宋" w:cs="仿宋"/>
          <w:color w:val="auto"/>
          <w:sz w:val="24"/>
          <w:lang w:eastAsia="zh-CN"/>
        </w:rPr>
        <w:t>对</w:t>
      </w:r>
      <w:r>
        <w:rPr>
          <w:rFonts w:hint="eastAsia" w:ascii="仿宋" w:hAnsi="仿宋" w:eastAsia="仿宋" w:cs="仿宋"/>
          <w:color w:val="auto"/>
          <w:sz w:val="24"/>
        </w:rPr>
        <w:t>参与评审的有关人员和买方施加任何影响，其投标将被拒绝。</w:t>
      </w:r>
    </w:p>
    <w:p w14:paraId="3658E2E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8</w:t>
      </w:r>
      <w:r>
        <w:rPr>
          <w:rFonts w:hint="eastAsia" w:ascii="仿宋" w:hAnsi="仿宋" w:eastAsia="仿宋" w:cs="仿宋"/>
          <w:color w:val="auto"/>
          <w:sz w:val="24"/>
        </w:rPr>
        <w:t>.3提供</w:t>
      </w:r>
      <w:r>
        <w:rPr>
          <w:rFonts w:hint="eastAsia" w:ascii="仿宋" w:hAnsi="仿宋" w:eastAsia="仿宋" w:cs="仿宋"/>
          <w:color w:val="auto"/>
          <w:sz w:val="24"/>
          <w:lang w:val="en-US" w:eastAsia="zh-CN"/>
        </w:rPr>
        <w:t>核心产品为</w:t>
      </w:r>
      <w:r>
        <w:rPr>
          <w:rFonts w:hint="eastAsia" w:ascii="仿宋" w:hAnsi="仿宋" w:eastAsia="仿宋" w:cs="仿宋"/>
          <w:color w:val="auto"/>
          <w:sz w:val="24"/>
        </w:rPr>
        <w:t>相同品牌产品且通过资格审查、符合性审查的不同投标人参加本项目，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14:paraId="671C2508">
      <w:pPr>
        <w:pStyle w:val="17"/>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2"/>
          <w:sz w:val="24"/>
          <w:szCs w:val="24"/>
          <w:lang w:val="en-US" w:eastAsia="zh-CN" w:bidi="ar-SA"/>
        </w:rPr>
        <w:t>5.9 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14:paraId="3361EC89">
      <w:pPr>
        <w:spacing w:line="360" w:lineRule="auto"/>
        <w:rPr>
          <w:rFonts w:hint="eastAsia" w:ascii="仿宋" w:hAnsi="仿宋" w:eastAsia="仿宋" w:cs="仿宋"/>
          <w:color w:val="auto"/>
          <w:sz w:val="24"/>
        </w:rPr>
      </w:pPr>
      <w:r>
        <w:rPr>
          <w:rFonts w:hint="eastAsia" w:ascii="仿宋" w:hAnsi="仿宋" w:eastAsia="仿宋" w:cs="仿宋"/>
          <w:b/>
          <w:bCs/>
          <w:color w:val="auto"/>
          <w:sz w:val="24"/>
        </w:rPr>
        <w:t>6、签约及中标服务费</w:t>
      </w:r>
    </w:p>
    <w:p w14:paraId="7C693A8E">
      <w:pPr>
        <w:spacing w:line="360" w:lineRule="auto"/>
        <w:rPr>
          <w:rFonts w:hint="eastAsia" w:ascii="仿宋" w:hAnsi="仿宋" w:eastAsia="仿宋" w:cs="仿宋"/>
          <w:color w:val="auto"/>
          <w:sz w:val="24"/>
        </w:rPr>
      </w:pPr>
      <w:r>
        <w:rPr>
          <w:rFonts w:hint="eastAsia" w:ascii="仿宋" w:hAnsi="仿宋" w:eastAsia="仿宋" w:cs="仿宋"/>
          <w:color w:val="auto"/>
          <w:sz w:val="24"/>
        </w:rPr>
        <w:t>6.1 中标人须向招标机构缴纳足额中标服务费并领取中标通知书。</w:t>
      </w:r>
    </w:p>
    <w:p w14:paraId="29635EC2">
      <w:pPr>
        <w:spacing w:line="360" w:lineRule="auto"/>
        <w:rPr>
          <w:rFonts w:hint="eastAsia" w:ascii="仿宋" w:hAnsi="仿宋" w:eastAsia="仿宋" w:cs="仿宋"/>
          <w:color w:val="auto"/>
          <w:sz w:val="24"/>
        </w:rPr>
      </w:pPr>
      <w:r>
        <w:rPr>
          <w:rFonts w:hint="eastAsia" w:ascii="仿宋" w:hAnsi="仿宋" w:eastAsia="仿宋" w:cs="仿宋"/>
          <w:color w:val="auto"/>
          <w:sz w:val="24"/>
        </w:rPr>
        <w:t>6.2 中标人应持中标通知书，在</w:t>
      </w:r>
      <w:r>
        <w:rPr>
          <w:rFonts w:hint="eastAsia" w:ascii="仿宋" w:hAnsi="仿宋" w:eastAsia="仿宋" w:cs="仿宋"/>
          <w:color w:val="auto"/>
          <w:sz w:val="24"/>
          <w:lang w:val="en-US" w:eastAsia="zh-CN"/>
        </w:rPr>
        <w:t>25</w:t>
      </w:r>
      <w:r>
        <w:rPr>
          <w:rFonts w:hint="eastAsia" w:ascii="仿宋" w:hAnsi="仿宋" w:eastAsia="仿宋" w:cs="仿宋"/>
          <w:color w:val="auto"/>
          <w:sz w:val="24"/>
        </w:rPr>
        <w:t>日内与采购人签定合同。</w:t>
      </w:r>
      <w:r>
        <w:rPr>
          <w:rFonts w:hint="eastAsia" w:ascii="仿宋" w:hAnsi="仿宋" w:eastAsia="仿宋" w:cs="仿宋"/>
          <w:b/>
          <w:bCs/>
          <w:color w:val="auto"/>
          <w:sz w:val="24"/>
          <w:u w:val="single"/>
        </w:rPr>
        <w:t>合同签订后请将合同复印件一份送至代理机构或将扫描件发至采购代理机构邮箱：</w:t>
      </w:r>
      <w:r>
        <w:rPr>
          <w:rFonts w:hint="eastAsia" w:ascii="仿宋" w:hAnsi="仿宋" w:eastAsia="仿宋" w:cs="仿宋"/>
          <w:b/>
          <w:bCs/>
          <w:color w:val="auto"/>
          <w:sz w:val="24"/>
          <w:u w:val="single"/>
          <w:lang w:val="en-US" w:eastAsia="zh-CN"/>
        </w:rPr>
        <w:t>1198395655@qq.com</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"mailto:1084249351@qq.com，以便及时归档）。" </w:instrText>
      </w:r>
      <w:r>
        <w:rPr>
          <w:rFonts w:hint="eastAsia" w:ascii="仿宋" w:hAnsi="仿宋" w:eastAsia="仿宋" w:cs="仿宋"/>
          <w:color w:val="auto"/>
        </w:rPr>
        <w:fldChar w:fldCharType="separate"/>
      </w:r>
      <w:r>
        <w:rPr>
          <w:rStyle w:val="41"/>
          <w:rFonts w:hint="eastAsia" w:ascii="仿宋" w:hAnsi="仿宋" w:eastAsia="仿宋" w:cs="仿宋"/>
          <w:b/>
          <w:bCs/>
          <w:color w:val="auto"/>
          <w:sz w:val="24"/>
        </w:rPr>
        <w:t>，以便及时归档。</w:t>
      </w:r>
      <w:r>
        <w:rPr>
          <w:rStyle w:val="41"/>
          <w:rFonts w:hint="eastAsia" w:ascii="仿宋" w:hAnsi="仿宋" w:eastAsia="仿宋" w:cs="仿宋"/>
          <w:b/>
          <w:bCs/>
          <w:color w:val="auto"/>
          <w:sz w:val="24"/>
        </w:rPr>
        <w:fldChar w:fldCharType="end"/>
      </w:r>
    </w:p>
    <w:p w14:paraId="428AECEC">
      <w:pPr>
        <w:spacing w:line="360" w:lineRule="auto"/>
        <w:rPr>
          <w:rFonts w:hint="eastAsia" w:ascii="仿宋" w:hAnsi="仿宋" w:eastAsia="仿宋" w:cs="仿宋"/>
          <w:color w:val="auto"/>
          <w:sz w:val="24"/>
        </w:rPr>
      </w:pPr>
      <w:r>
        <w:rPr>
          <w:rFonts w:hint="eastAsia" w:ascii="仿宋" w:hAnsi="仿宋" w:eastAsia="仿宋" w:cs="仿宋"/>
          <w:color w:val="auto"/>
          <w:sz w:val="24"/>
        </w:rPr>
        <w:t>6.3  中标人须向招标机构按如下标准和规定交纳中标服务费：</w:t>
      </w:r>
    </w:p>
    <w:p w14:paraId="4BCF63F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（1）中标服务费币种与中标通知书中标价的币种相同；</w:t>
      </w:r>
    </w:p>
    <w:p w14:paraId="3C9567E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（2）中标服务费不列在投标报价表中；</w:t>
      </w:r>
    </w:p>
    <w:p w14:paraId="3439753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w:t>
      </w:r>
      <w:r>
        <w:rPr>
          <w:rFonts w:hint="eastAsia" w:ascii="仿宋" w:hAnsi="仿宋" w:eastAsia="仿宋" w:cs="仿宋"/>
          <w:color w:val="auto"/>
          <w:sz w:val="24"/>
          <w:szCs w:val="24"/>
          <w:lang w:val="en-US" w:eastAsia="zh-CN"/>
        </w:rPr>
        <w:t>招标代理服务费</w:t>
      </w:r>
      <w:r>
        <w:rPr>
          <w:rFonts w:hint="eastAsia" w:ascii="仿宋" w:hAnsi="仿宋" w:eastAsia="仿宋" w:cs="仿宋"/>
          <w:color w:val="auto"/>
          <w:sz w:val="24"/>
        </w:rPr>
        <w:t>参照国家计委关于印发《招标代理服务收费管理暂行办法》的通知（计价格〔2002〕1980号）、《国家发展和改革委员会办公厅关于招标代理服务收费有关问题的通知》（发改办价格〔2003〕857号）规定向中标（成交）供应商收取。</w:t>
      </w:r>
    </w:p>
    <w:p w14:paraId="355DF178">
      <w:p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陕西省中小企业政府采购信用融资办法</w:t>
      </w:r>
      <w:r>
        <w:rPr>
          <w:rFonts w:hint="eastAsia" w:ascii="仿宋" w:hAnsi="仿宋" w:eastAsia="仿宋" w:cs="仿宋"/>
          <w:b/>
          <w:bCs/>
          <w:color w:val="auto"/>
          <w:sz w:val="24"/>
          <w:lang w:val="en-US" w:eastAsia="zh-CN"/>
        </w:rPr>
        <w:t>及说明</w:t>
      </w:r>
    </w:p>
    <w:p w14:paraId="3F40E335">
      <w:p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陕西省中小企业政府采购信用融资办法</w:t>
      </w:r>
    </w:p>
    <w:p w14:paraId="58DCA548">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16843F45">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第二条  本办法所称“中小企业”包括中型、小型及微型企业，其划型标准按照《关于印发中小企业划型标准规定的通知》（工信部联企业〔2011〕300号）规定执行。</w:t>
      </w:r>
    </w:p>
    <w:p w14:paraId="654EF126">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22783793">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第四条  开展政府采购信用融资的银行，应当为在陕西省境内注册或设立分支机构，并经财政部门审核且在我省政府采购信息系统搭建服务链接窗口的金融机构。</w:t>
      </w:r>
    </w:p>
    <w:p w14:paraId="79517DE3">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第五条  政府采购信用融资应当坚持“财政引导，市场运行，银企自愿，互惠共赢”的原则。</w:t>
      </w:r>
    </w:p>
    <w:p w14:paraId="3A4C5E1C">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第六条 省财政厅以全省统一的电子化政府采购系统为平台，对接银行信息化系统，推进政府采购中标成交信息、合同信息、融资信息、支付信息和信用信息等信息资源共享。</w:t>
      </w:r>
    </w:p>
    <w:p w14:paraId="508B8BB2">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14:paraId="4ADFBB74">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7A025961">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6346127C">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4C0392FD">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230E7451">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14:paraId="1282896C">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9A24EBB">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3D284BEF">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第十五条 省本级政府采购资金支付时，各采购单位必须将采购资金支付到备案合同中指定的融资银行及收款账号，以保障贷款资金的安全回收。</w:t>
      </w:r>
    </w:p>
    <w:p w14:paraId="55F58F8E">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第十六条 各市县操作程序由各地结合本地实际自行拟定，但应当体现“便捷高效、监管有效、风险可控”的原则。</w:t>
      </w:r>
    </w:p>
    <w:p w14:paraId="2E114789">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18B56F39">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第十八条 本办法由陕西省财政厅负责解释。</w:t>
      </w:r>
    </w:p>
    <w:p w14:paraId="6CBEC780">
      <w:p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供应商融资申请操作手册</w:t>
      </w:r>
    </w:p>
    <w:p w14:paraId="27762518">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14:paraId="66262261">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lang w:val="en-US" w:eastAsia="zh-CN"/>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266FF313">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8.</w:t>
      </w:r>
      <w:r>
        <w:rPr>
          <w:rFonts w:hint="eastAsia" w:ascii="仿宋" w:hAnsi="仿宋" w:eastAsia="仿宋" w:cs="仿宋"/>
          <w:color w:val="auto"/>
          <w:sz w:val="24"/>
        </w:rPr>
        <w:t>4、关于响应文件递交与解密</w:t>
      </w:r>
    </w:p>
    <w:p w14:paraId="16310D0E">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8.</w:t>
      </w:r>
      <w:r>
        <w:rPr>
          <w:rFonts w:hint="eastAsia" w:ascii="仿宋" w:hAnsi="仿宋" w:eastAsia="仿宋" w:cs="仿宋"/>
          <w:color w:val="auto"/>
          <w:sz w:val="24"/>
        </w:rPr>
        <w:t>4.1.文件递交</w:t>
      </w:r>
    </w:p>
    <w:p w14:paraId="58E36BB5">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8.</w:t>
      </w:r>
      <w:r>
        <w:rPr>
          <w:rFonts w:hint="eastAsia" w:ascii="仿宋" w:hAnsi="仿宋" w:eastAsia="仿宋" w:cs="仿宋"/>
          <w:color w:val="auto"/>
          <w:sz w:val="24"/>
        </w:rPr>
        <w:t>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655702EC">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8.</w:t>
      </w:r>
      <w:r>
        <w:rPr>
          <w:rFonts w:hint="eastAsia" w:ascii="仿宋" w:hAnsi="仿宋" w:eastAsia="仿宋" w:cs="仿宋"/>
          <w:color w:val="auto"/>
          <w:sz w:val="24"/>
        </w:rPr>
        <w:t>4.2.文件开启与解密</w:t>
      </w:r>
    </w:p>
    <w:p w14:paraId="339A0D94">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8.</w:t>
      </w:r>
      <w:r>
        <w:rPr>
          <w:rFonts w:hint="eastAsia" w:ascii="仿宋" w:hAnsi="仿宋" w:eastAsia="仿宋" w:cs="仿宋"/>
          <w:color w:val="auto"/>
          <w:sz w:val="24"/>
        </w:rPr>
        <w:t>4.2.1开标时，供应商须使用电子投标文件加密时所用的数字认证证书（CA锁）在开标室的解密机上自行解密电子投标文件。</w:t>
      </w:r>
    </w:p>
    <w:p w14:paraId="38889018">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8.</w:t>
      </w:r>
      <w:r>
        <w:rPr>
          <w:rFonts w:hint="eastAsia" w:ascii="仿宋" w:hAnsi="仿宋" w:eastAsia="仿宋" w:cs="仿宋"/>
          <w:color w:val="auto"/>
          <w:sz w:val="24"/>
        </w:rPr>
        <w:t>4.2.2电子开标失败时，由于投标人（含供应商、投标人、竞买人等）自身问题，电脑遭遇网络堵塞、病毒入侵、硬件故障或者数字证书遗失、遗忘等原因导致不能正常参与电子交易活动的，后果由投标人承担。</w:t>
      </w:r>
    </w:p>
    <w:p w14:paraId="5BA8CBE8">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8.</w:t>
      </w:r>
      <w:r>
        <w:rPr>
          <w:rFonts w:hint="eastAsia" w:ascii="仿宋" w:hAnsi="仿宋" w:eastAsia="仿宋" w:cs="仿宋"/>
          <w:color w:val="auto"/>
          <w:sz w:val="24"/>
        </w:rPr>
        <w:t>4.2.3在开标环节出现下列情况之一的，其电子投标文件视为无效文件：</w:t>
      </w:r>
    </w:p>
    <w:p w14:paraId="7213277E">
      <w:pPr>
        <w:spacing w:line="360" w:lineRule="auto"/>
        <w:rPr>
          <w:rFonts w:hint="eastAsia" w:ascii="仿宋" w:hAnsi="仿宋" w:eastAsia="仿宋" w:cs="仿宋"/>
          <w:color w:val="auto"/>
          <w:sz w:val="24"/>
        </w:rPr>
      </w:pPr>
      <w:r>
        <w:rPr>
          <w:rFonts w:hint="eastAsia" w:ascii="仿宋" w:hAnsi="仿宋" w:eastAsia="仿宋" w:cs="仿宋"/>
          <w:color w:val="auto"/>
          <w:sz w:val="24"/>
        </w:rPr>
        <w:t>a.供应商拒绝对电子投标文件进行解密的；</w:t>
      </w:r>
    </w:p>
    <w:p w14:paraId="16D60DD0">
      <w:pPr>
        <w:spacing w:line="360" w:lineRule="auto"/>
        <w:rPr>
          <w:rFonts w:hint="eastAsia" w:ascii="仿宋" w:hAnsi="仿宋" w:eastAsia="仿宋" w:cs="仿宋"/>
          <w:color w:val="auto"/>
          <w:sz w:val="24"/>
        </w:rPr>
      </w:pPr>
      <w:r>
        <w:rPr>
          <w:rFonts w:hint="eastAsia" w:ascii="仿宋" w:hAnsi="仿宋" w:eastAsia="仿宋" w:cs="仿宋"/>
          <w:color w:val="auto"/>
          <w:sz w:val="24"/>
        </w:rPr>
        <w:t>b.因供应商自身原因（如未带CA锁、或所带CA锁与制作电子投标文件使用的CA锁不一致、或沿用旧版招标文件编制投标文件等情形），导致在规定时间内无法解密投标文件的；</w:t>
      </w:r>
    </w:p>
    <w:p w14:paraId="6C71FC20">
      <w:pPr>
        <w:spacing w:line="360" w:lineRule="auto"/>
        <w:rPr>
          <w:rFonts w:hint="eastAsia" w:ascii="仿宋" w:hAnsi="仿宋" w:eastAsia="仿宋" w:cs="仿宋"/>
          <w:color w:val="auto"/>
          <w:sz w:val="24"/>
        </w:rPr>
      </w:pPr>
      <w:r>
        <w:rPr>
          <w:rFonts w:hint="eastAsia" w:ascii="仿宋" w:hAnsi="仿宋" w:eastAsia="仿宋" w:cs="仿宋"/>
          <w:color w:val="auto"/>
          <w:sz w:val="24"/>
        </w:rPr>
        <w:t>c.上传的电子投标文件无法打开的；</w:t>
      </w:r>
    </w:p>
    <w:p w14:paraId="195D0046">
      <w:pPr>
        <w:spacing w:line="360" w:lineRule="auto"/>
        <w:rPr>
          <w:rFonts w:hint="eastAsia" w:ascii="仿宋" w:hAnsi="仿宋" w:eastAsia="仿宋" w:cs="仿宋"/>
          <w:color w:val="auto"/>
          <w:sz w:val="24"/>
        </w:rPr>
      </w:pPr>
      <w:r>
        <w:rPr>
          <w:rFonts w:hint="eastAsia" w:ascii="仿宋" w:hAnsi="仿宋" w:eastAsia="仿宋" w:cs="仿宋"/>
          <w:color w:val="auto"/>
          <w:sz w:val="24"/>
        </w:rPr>
        <w:t>d.政府采购法律法规规定的其他无效情形。</w:t>
      </w:r>
    </w:p>
    <w:p w14:paraId="327EC95D">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8.</w:t>
      </w:r>
      <w:r>
        <w:rPr>
          <w:rFonts w:hint="eastAsia" w:ascii="仿宋" w:hAnsi="仿宋" w:eastAsia="仿宋" w:cs="仿宋"/>
          <w:color w:val="auto"/>
          <w:sz w:val="24"/>
        </w:rPr>
        <w:t>4.2.4特殊情形下的应急处置</w:t>
      </w:r>
    </w:p>
    <w:p w14:paraId="068F392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参照《安康市公共资源交易平台电子化交易应急处置管理办法（试行）》第五条出现以下情形的，可延续电子开评标流程：</w:t>
      </w:r>
    </w:p>
    <w:p w14:paraId="0B29E6E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14:paraId="671AE1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出现电子交易系统和网络异常情况，导致代理机构无法进行正常开评标时，代理机构要及时联系交易中心信息技术保障人员迅速判断、及时排除系统信息故障。首先可尝试使用无线、移动数据等其它应急网络继续开评标。若更换网络或简单维修后，仍无法正常进行的，应联系电子政务办，将电子政务外网转换为内网运行。故障在2小时内可修复的，可延续电子开标评标流程。</w:t>
      </w:r>
    </w:p>
    <w:p w14:paraId="00CD6BC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（三）交易中心出现临时停电断电的紧急情况，代理机构应及时通知交易中心的后勤保障服务人员，迅速查找停电原因，进行修理尽快恢复供电。故障在2小时内可修复的，可延续电子开标评标流程。</w:t>
      </w:r>
    </w:p>
    <w:p w14:paraId="43F01D7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第六条 2小时内无法修复的，由代理机构根据招标人意见，可按照以下解决方案进行。</w:t>
      </w:r>
    </w:p>
    <w:p w14:paraId="7F92EE6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14:paraId="32CBF14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14:paraId="14C1F68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14:paraId="533948E1">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8.</w:t>
      </w:r>
      <w:r>
        <w:rPr>
          <w:rFonts w:hint="eastAsia" w:ascii="仿宋" w:hAnsi="仿宋" w:eastAsia="仿宋" w:cs="仿宋"/>
          <w:color w:val="auto"/>
          <w:sz w:val="24"/>
        </w:rPr>
        <w:t>4.2.5延时情况说明由代理机构将突发情况的原因、经过、解决措施，延时时间等进行详细准确的书面记录，再由招标人和代理机构等相关人员签字确认。</w:t>
      </w:r>
    </w:p>
    <w:p w14:paraId="202F546C">
      <w:pPr>
        <w:rPr>
          <w:rFonts w:hint="eastAsia" w:ascii="仿宋" w:hAnsi="仿宋" w:eastAsia="仿宋" w:cs="仿宋"/>
          <w:color w:val="auto"/>
        </w:rPr>
      </w:pPr>
      <w:r>
        <w:rPr>
          <w:rFonts w:hint="eastAsia" w:ascii="仿宋" w:hAnsi="仿宋" w:eastAsia="仿宋" w:cs="仿宋"/>
          <w:color w:val="auto"/>
          <w:sz w:val="24"/>
          <w:lang w:eastAsia="zh-CN"/>
        </w:rPr>
        <w:t>8.</w:t>
      </w:r>
      <w:r>
        <w:rPr>
          <w:rFonts w:hint="eastAsia" w:ascii="仿宋" w:hAnsi="仿宋" w:eastAsia="仿宋" w:cs="仿宋"/>
          <w:color w:val="auto"/>
          <w:sz w:val="24"/>
        </w:rPr>
        <w:t>4.2.6采购代理机构将在开标会议现场做开标记录。</w:t>
      </w:r>
    </w:p>
    <w:p w14:paraId="32346F1F">
      <w:pPr>
        <w:pStyle w:val="2"/>
        <w:rPr>
          <w:rFonts w:hint="eastAsia" w:ascii="仿宋" w:hAnsi="仿宋" w:eastAsia="仿宋" w:cs="仿宋"/>
          <w:color w:val="auto"/>
        </w:rPr>
      </w:pPr>
      <w:bookmarkStart w:id="45" w:name="_Toc6882"/>
    </w:p>
    <w:p w14:paraId="4DFBDD3D">
      <w:pPr>
        <w:rPr>
          <w:rFonts w:hint="eastAsia" w:ascii="仿宋" w:hAnsi="仿宋" w:eastAsia="仿宋" w:cs="仿宋"/>
          <w:color w:val="auto"/>
        </w:rPr>
      </w:pPr>
    </w:p>
    <w:p w14:paraId="2766A46A">
      <w:pPr>
        <w:pStyle w:val="28"/>
        <w:rPr>
          <w:rFonts w:hint="eastAsia" w:ascii="仿宋" w:hAnsi="仿宋" w:eastAsia="仿宋" w:cs="仿宋"/>
          <w:color w:val="auto"/>
        </w:rPr>
      </w:pPr>
    </w:p>
    <w:p w14:paraId="31F6EB19">
      <w:pPr>
        <w:pStyle w:val="13"/>
        <w:rPr>
          <w:rFonts w:hint="eastAsia" w:ascii="仿宋" w:hAnsi="仿宋" w:eastAsia="仿宋" w:cs="仿宋"/>
          <w:color w:val="auto"/>
        </w:rPr>
      </w:pPr>
    </w:p>
    <w:p w14:paraId="1032AFB5">
      <w:pPr>
        <w:pStyle w:val="28"/>
        <w:rPr>
          <w:rFonts w:hint="eastAsia" w:ascii="仿宋" w:hAnsi="仿宋" w:eastAsia="仿宋" w:cs="仿宋"/>
          <w:color w:val="auto"/>
        </w:rPr>
      </w:pPr>
    </w:p>
    <w:p w14:paraId="3DED9560">
      <w:pPr>
        <w:pStyle w:val="13"/>
        <w:rPr>
          <w:rFonts w:hint="eastAsia" w:ascii="仿宋" w:hAnsi="仿宋" w:eastAsia="仿宋" w:cs="仿宋"/>
          <w:color w:val="auto"/>
        </w:rPr>
      </w:pPr>
    </w:p>
    <w:p w14:paraId="4D85906C">
      <w:pPr>
        <w:pStyle w:val="28"/>
        <w:rPr>
          <w:rFonts w:hint="eastAsia" w:ascii="仿宋" w:hAnsi="仿宋" w:eastAsia="仿宋" w:cs="仿宋"/>
          <w:color w:val="auto"/>
        </w:rPr>
      </w:pPr>
    </w:p>
    <w:p w14:paraId="0C7C8BBD">
      <w:pPr>
        <w:pStyle w:val="13"/>
        <w:rPr>
          <w:rFonts w:hint="eastAsia" w:ascii="仿宋" w:hAnsi="仿宋" w:eastAsia="仿宋" w:cs="仿宋"/>
          <w:color w:val="auto"/>
        </w:rPr>
      </w:pPr>
    </w:p>
    <w:p w14:paraId="7BA8CA56">
      <w:pPr>
        <w:pStyle w:val="28"/>
        <w:rPr>
          <w:rFonts w:hint="eastAsia" w:ascii="仿宋" w:hAnsi="仿宋" w:eastAsia="仿宋" w:cs="仿宋"/>
          <w:color w:val="auto"/>
        </w:rPr>
      </w:pPr>
    </w:p>
    <w:p w14:paraId="4981D635">
      <w:pPr>
        <w:pStyle w:val="13"/>
        <w:rPr>
          <w:rFonts w:hint="eastAsia" w:ascii="仿宋" w:hAnsi="仿宋" w:eastAsia="仿宋" w:cs="仿宋"/>
          <w:color w:val="auto"/>
        </w:rPr>
      </w:pPr>
    </w:p>
    <w:p w14:paraId="2721BA69">
      <w:pPr>
        <w:pStyle w:val="28"/>
        <w:rPr>
          <w:rFonts w:hint="eastAsia" w:ascii="仿宋" w:hAnsi="仿宋" w:eastAsia="仿宋" w:cs="仿宋"/>
          <w:color w:val="auto"/>
        </w:rPr>
      </w:pPr>
    </w:p>
    <w:p w14:paraId="702614AE">
      <w:pPr>
        <w:pStyle w:val="13"/>
        <w:rPr>
          <w:rFonts w:hint="eastAsia" w:ascii="仿宋" w:hAnsi="仿宋" w:eastAsia="仿宋" w:cs="仿宋"/>
          <w:color w:val="auto"/>
        </w:rPr>
      </w:pPr>
    </w:p>
    <w:p w14:paraId="047AA28D">
      <w:pPr>
        <w:pStyle w:val="28"/>
        <w:rPr>
          <w:rFonts w:hint="eastAsia" w:ascii="仿宋" w:hAnsi="仿宋" w:eastAsia="仿宋" w:cs="仿宋"/>
          <w:color w:val="auto"/>
        </w:rPr>
      </w:pPr>
    </w:p>
    <w:p w14:paraId="645CEBC8">
      <w:pPr>
        <w:pStyle w:val="13"/>
        <w:rPr>
          <w:rFonts w:hint="eastAsia" w:ascii="仿宋" w:hAnsi="仿宋" w:eastAsia="仿宋" w:cs="仿宋"/>
          <w:color w:val="auto"/>
        </w:rPr>
      </w:pPr>
    </w:p>
    <w:p w14:paraId="5CEE5621">
      <w:pPr>
        <w:pStyle w:val="28"/>
        <w:rPr>
          <w:rFonts w:hint="eastAsia" w:ascii="仿宋" w:hAnsi="仿宋" w:eastAsia="仿宋" w:cs="仿宋"/>
          <w:color w:val="auto"/>
        </w:rPr>
      </w:pPr>
    </w:p>
    <w:p w14:paraId="198C11D3">
      <w:pPr>
        <w:pStyle w:val="13"/>
        <w:rPr>
          <w:rFonts w:hint="eastAsia" w:ascii="仿宋" w:hAnsi="仿宋" w:eastAsia="仿宋" w:cs="仿宋"/>
          <w:color w:val="auto"/>
        </w:rPr>
      </w:pPr>
    </w:p>
    <w:p w14:paraId="24288F85">
      <w:pPr>
        <w:pStyle w:val="28"/>
        <w:rPr>
          <w:rFonts w:hint="eastAsia" w:ascii="仿宋" w:hAnsi="仿宋" w:eastAsia="仿宋" w:cs="仿宋"/>
          <w:color w:val="auto"/>
        </w:rPr>
      </w:pPr>
    </w:p>
    <w:p w14:paraId="7DE1B6E2">
      <w:pPr>
        <w:pStyle w:val="13"/>
        <w:rPr>
          <w:rFonts w:hint="eastAsia"/>
        </w:rPr>
      </w:pPr>
    </w:p>
    <w:p w14:paraId="0BBA631A">
      <w:pPr>
        <w:pStyle w:val="2"/>
        <w:jc w:val="center"/>
        <w:rPr>
          <w:rFonts w:hint="eastAsia" w:ascii="仿宋" w:hAnsi="仿宋" w:eastAsia="仿宋" w:cs="仿宋"/>
          <w:color w:val="auto"/>
        </w:rPr>
      </w:pPr>
      <w:bookmarkStart w:id="46" w:name="_Toc8575"/>
      <w:r>
        <w:rPr>
          <w:rFonts w:hint="eastAsia" w:ascii="仿宋" w:hAnsi="仿宋" w:eastAsia="仿宋" w:cs="仿宋"/>
          <w:color w:val="auto"/>
        </w:rPr>
        <w:t>第三部分 商务部分（合同条款及合同格式）</w:t>
      </w:r>
      <w:bookmarkEnd w:id="45"/>
      <w:bookmarkEnd w:id="46"/>
    </w:p>
    <w:p w14:paraId="01E7DD5C">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（说明：本合同作为合同的基本格式，不作为最终合同，</w:t>
      </w:r>
      <w:r>
        <w:rPr>
          <w:rFonts w:hint="eastAsia" w:ascii="仿宋" w:hAnsi="仿宋" w:eastAsia="仿宋" w:cs="仿宋"/>
          <w:b/>
          <w:bCs/>
          <w:color w:val="auto"/>
          <w:sz w:val="24"/>
          <w:lang w:val="en-US" w:eastAsia="zh-CN"/>
        </w:rPr>
        <w:t>买方</w:t>
      </w:r>
      <w:r>
        <w:rPr>
          <w:rFonts w:hint="eastAsia" w:ascii="仿宋" w:hAnsi="仿宋" w:eastAsia="仿宋" w:cs="仿宋"/>
          <w:b/>
          <w:bCs/>
          <w:color w:val="auto"/>
          <w:sz w:val="24"/>
        </w:rPr>
        <w:t>有权在签订合同时对合同的相关条款及内容作进一步的细化和修改。）</w:t>
      </w:r>
    </w:p>
    <w:p w14:paraId="162331CC">
      <w:pPr>
        <w:spacing w:line="360" w:lineRule="auto"/>
        <w:rPr>
          <w:rFonts w:hint="eastAsia" w:ascii="仿宋" w:hAnsi="仿宋" w:eastAsia="仿宋" w:cs="仿宋"/>
          <w:b/>
          <w:bCs/>
          <w:color w:val="auto"/>
          <w:sz w:val="24"/>
        </w:rPr>
      </w:pPr>
    </w:p>
    <w:p w14:paraId="03219D28">
      <w:pPr>
        <w:spacing w:line="360" w:lineRule="auto"/>
        <w:rPr>
          <w:rFonts w:hint="eastAsia" w:ascii="仿宋" w:hAnsi="仿宋" w:eastAsia="仿宋" w:cs="仿宋"/>
          <w:b/>
          <w:bCs/>
          <w:color w:val="auto"/>
          <w:sz w:val="24"/>
        </w:rPr>
      </w:pPr>
    </w:p>
    <w:p w14:paraId="271EFFB6">
      <w:pPr>
        <w:spacing w:line="360" w:lineRule="auto"/>
        <w:rPr>
          <w:rFonts w:hint="eastAsia" w:ascii="仿宋" w:hAnsi="仿宋" w:eastAsia="仿宋" w:cs="仿宋"/>
          <w:b/>
          <w:bCs/>
          <w:color w:val="auto"/>
          <w:sz w:val="24"/>
        </w:rPr>
      </w:pPr>
    </w:p>
    <w:p w14:paraId="7AEAEA0D">
      <w:pPr>
        <w:spacing w:line="360" w:lineRule="auto"/>
        <w:rPr>
          <w:rFonts w:hint="eastAsia" w:ascii="仿宋" w:hAnsi="仿宋" w:eastAsia="仿宋" w:cs="仿宋"/>
          <w:b/>
          <w:bCs/>
          <w:color w:val="auto"/>
          <w:sz w:val="24"/>
        </w:rPr>
      </w:pPr>
    </w:p>
    <w:p w14:paraId="6CC88CF6">
      <w:pPr>
        <w:spacing w:line="360" w:lineRule="auto"/>
        <w:rPr>
          <w:rFonts w:hint="eastAsia" w:ascii="仿宋" w:hAnsi="仿宋" w:eastAsia="仿宋" w:cs="仿宋"/>
          <w:b/>
          <w:bCs/>
          <w:color w:val="auto"/>
          <w:sz w:val="24"/>
        </w:rPr>
      </w:pPr>
    </w:p>
    <w:p w14:paraId="3456ADEE">
      <w:pPr>
        <w:spacing w:line="360" w:lineRule="auto"/>
        <w:rPr>
          <w:rFonts w:hint="eastAsia" w:ascii="仿宋" w:hAnsi="仿宋" w:eastAsia="仿宋" w:cs="仿宋"/>
          <w:b/>
          <w:bCs/>
          <w:color w:val="auto"/>
          <w:sz w:val="24"/>
        </w:rPr>
      </w:pPr>
    </w:p>
    <w:p w14:paraId="4EE5A4EC">
      <w:pPr>
        <w:spacing w:line="360" w:lineRule="auto"/>
        <w:rPr>
          <w:rFonts w:hint="eastAsia" w:ascii="仿宋" w:hAnsi="仿宋" w:eastAsia="仿宋" w:cs="仿宋"/>
          <w:b/>
          <w:bCs/>
          <w:color w:val="auto"/>
          <w:sz w:val="24"/>
        </w:rPr>
      </w:pPr>
    </w:p>
    <w:p w14:paraId="259B8279">
      <w:pPr>
        <w:spacing w:line="360" w:lineRule="auto"/>
        <w:rPr>
          <w:rFonts w:hint="eastAsia" w:ascii="仿宋" w:hAnsi="仿宋" w:eastAsia="仿宋" w:cs="仿宋"/>
          <w:b/>
          <w:bCs/>
          <w:color w:val="auto"/>
          <w:sz w:val="24"/>
        </w:rPr>
      </w:pPr>
    </w:p>
    <w:p w14:paraId="300D6742">
      <w:pPr>
        <w:pStyle w:val="13"/>
        <w:rPr>
          <w:rFonts w:hint="eastAsia" w:ascii="仿宋" w:hAnsi="仿宋" w:eastAsia="仿宋" w:cs="仿宋"/>
          <w:color w:val="auto"/>
        </w:rPr>
      </w:pPr>
    </w:p>
    <w:p w14:paraId="392F0DA4">
      <w:pPr>
        <w:pStyle w:val="48"/>
        <w:rPr>
          <w:rFonts w:hint="eastAsia" w:ascii="仿宋" w:hAnsi="仿宋" w:eastAsia="仿宋" w:cs="仿宋"/>
          <w:b/>
          <w:bCs/>
          <w:color w:val="auto"/>
          <w:sz w:val="24"/>
        </w:rPr>
      </w:pPr>
    </w:p>
    <w:p w14:paraId="3E94B673">
      <w:pPr>
        <w:pStyle w:val="48"/>
        <w:rPr>
          <w:rFonts w:hint="eastAsia" w:ascii="仿宋" w:hAnsi="仿宋" w:eastAsia="仿宋" w:cs="仿宋"/>
          <w:b/>
          <w:bCs/>
          <w:color w:val="auto"/>
          <w:sz w:val="24"/>
        </w:rPr>
      </w:pPr>
    </w:p>
    <w:p w14:paraId="415DDAB7">
      <w:pPr>
        <w:pStyle w:val="13"/>
        <w:rPr>
          <w:rFonts w:hint="eastAsia" w:ascii="仿宋" w:hAnsi="仿宋" w:eastAsia="仿宋" w:cs="仿宋"/>
          <w:b/>
          <w:bCs/>
          <w:color w:val="auto"/>
          <w:sz w:val="40"/>
        </w:rPr>
      </w:pPr>
    </w:p>
    <w:p w14:paraId="0CA0F907">
      <w:pPr>
        <w:rPr>
          <w:rFonts w:hint="eastAsia" w:ascii="仿宋" w:hAnsi="仿宋" w:eastAsia="仿宋" w:cs="仿宋"/>
          <w:color w:val="auto"/>
        </w:rPr>
      </w:pPr>
      <w:r>
        <w:rPr>
          <w:rFonts w:hint="eastAsia" w:ascii="仿宋" w:hAnsi="仿宋" w:eastAsia="仿宋" w:cs="仿宋"/>
          <w:color w:val="auto"/>
        </w:rPr>
        <w:br w:type="page"/>
      </w:r>
    </w:p>
    <w:p w14:paraId="02C40D60">
      <w:pPr>
        <w:spacing w:line="360" w:lineRule="auto"/>
        <w:jc w:val="center"/>
        <w:rPr>
          <w:rFonts w:hint="eastAsia" w:ascii="仿宋" w:hAnsi="仿宋" w:eastAsia="仿宋" w:cs="仿宋"/>
          <w:b/>
          <w:bCs/>
          <w:color w:val="auto"/>
          <w:sz w:val="10"/>
          <w:szCs w:val="10"/>
        </w:rPr>
      </w:pPr>
      <w:r>
        <w:rPr>
          <w:rFonts w:hint="eastAsia" w:ascii="仿宋" w:hAnsi="仿宋" w:eastAsia="仿宋" w:cs="仿宋"/>
          <w:b/>
          <w:bCs/>
          <w:color w:val="auto"/>
          <w:sz w:val="40"/>
        </w:rPr>
        <w:t>商务部分</w:t>
      </w:r>
    </w:p>
    <w:p w14:paraId="252CFB69">
      <w:pPr>
        <w:spacing w:line="360" w:lineRule="auto"/>
        <w:ind w:firstLine="551" w:firstLineChars="196"/>
        <w:rPr>
          <w:rFonts w:hint="eastAsia" w:ascii="仿宋" w:hAnsi="仿宋" w:eastAsia="仿宋" w:cs="仿宋"/>
          <w:b/>
          <w:bCs/>
          <w:color w:val="auto"/>
          <w:sz w:val="28"/>
        </w:rPr>
      </w:pPr>
      <w:r>
        <w:rPr>
          <w:rFonts w:hint="eastAsia" w:ascii="仿宋" w:hAnsi="仿宋" w:eastAsia="仿宋" w:cs="仿宋"/>
          <w:b/>
          <w:bCs/>
          <w:color w:val="auto"/>
          <w:sz w:val="28"/>
        </w:rPr>
        <w:t>一、合同专用条款</w:t>
      </w:r>
    </w:p>
    <w:p w14:paraId="17DCCE8B">
      <w:pPr>
        <w:spacing w:line="360" w:lineRule="auto"/>
        <w:ind w:firstLine="480"/>
        <w:rPr>
          <w:rFonts w:hint="eastAsia" w:ascii="仿宋" w:hAnsi="仿宋" w:eastAsia="仿宋" w:cs="仿宋"/>
          <w:color w:val="auto"/>
        </w:rPr>
      </w:pPr>
      <w:r>
        <w:rPr>
          <w:rFonts w:hint="eastAsia" w:ascii="仿宋" w:hAnsi="仿宋" w:eastAsia="仿宋" w:cs="仿宋"/>
          <w:b/>
          <w:bCs/>
          <w:color w:val="auto"/>
          <w:sz w:val="24"/>
        </w:rPr>
        <w:t>本表关于招标货物和服务的具体要求是对本合同条款的具体补充和修改，如有矛盾，应以本条款为准。</w:t>
      </w:r>
    </w:p>
    <w:tbl>
      <w:tblPr>
        <w:tblStyle w:val="30"/>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7741"/>
      </w:tblGrid>
      <w:tr w14:paraId="3D7E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8" w:type="dxa"/>
            <w:vAlign w:val="center"/>
          </w:tcPr>
          <w:p w14:paraId="06206E1F">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 号</w:t>
            </w:r>
          </w:p>
        </w:tc>
        <w:tc>
          <w:tcPr>
            <w:tcW w:w="7741" w:type="dxa"/>
            <w:vAlign w:val="center"/>
          </w:tcPr>
          <w:p w14:paraId="64EF2FFB">
            <w:pPr>
              <w:jc w:val="center"/>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rPr>
              <w:t>内      容</w:t>
            </w:r>
          </w:p>
        </w:tc>
      </w:tr>
      <w:tr w14:paraId="0EDA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8" w:type="dxa"/>
            <w:vAlign w:val="center"/>
          </w:tcPr>
          <w:p w14:paraId="04A5A3ED">
            <w:pPr>
              <w:numPr>
                <w:ilvl w:val="0"/>
                <w:numId w:val="0"/>
              </w:numPr>
              <w:tabs>
                <w:tab w:val="left" w:pos="600"/>
              </w:tabs>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w:t>
            </w:r>
          </w:p>
        </w:tc>
        <w:tc>
          <w:tcPr>
            <w:tcW w:w="7741" w:type="dxa"/>
            <w:vAlign w:val="center"/>
          </w:tcPr>
          <w:p w14:paraId="72D7C007">
            <w:pPr>
              <w:spacing w:line="240" w:lineRule="auto"/>
              <w:jc w:val="both"/>
              <w:outlineLvl w:val="9"/>
              <w:rPr>
                <w:rFonts w:hint="eastAsia" w:ascii="仿宋" w:hAnsi="仿宋" w:eastAsia="仿宋" w:cs="仿宋"/>
                <w:b/>
                <w:bCs/>
                <w:color w:val="auto"/>
                <w:sz w:val="24"/>
                <w:szCs w:val="24"/>
              </w:rPr>
            </w:pPr>
            <w:r>
              <w:rPr>
                <w:rFonts w:hint="eastAsia" w:ascii="仿宋" w:hAnsi="仿宋" w:eastAsia="仿宋" w:cs="仿宋"/>
                <w:b/>
                <w:bCs/>
                <w:color w:val="auto"/>
                <w:sz w:val="24"/>
              </w:rPr>
              <w:t>买方</w:t>
            </w:r>
            <w:r>
              <w:rPr>
                <w:rFonts w:hint="eastAsia" w:ascii="仿宋" w:hAnsi="仿宋" w:eastAsia="仿宋" w:cs="仿宋"/>
                <w:b/>
                <w:bCs/>
                <w:color w:val="auto"/>
                <w:sz w:val="24"/>
                <w:lang w:eastAsia="zh-CN"/>
              </w:rPr>
              <w:t>（采购人）</w:t>
            </w:r>
            <w:r>
              <w:rPr>
                <w:rFonts w:hint="eastAsia" w:ascii="仿宋" w:hAnsi="仿宋" w:eastAsia="仿宋" w:cs="仿宋"/>
                <w:b/>
                <w:bCs/>
                <w:color w:val="auto"/>
                <w:sz w:val="24"/>
              </w:rPr>
              <w:t>名称</w:t>
            </w:r>
            <w:r>
              <w:rPr>
                <w:rFonts w:hint="eastAsia" w:ascii="仿宋" w:hAnsi="仿宋" w:eastAsia="仿宋" w:cs="仿宋"/>
                <w:b/>
                <w:bCs/>
                <w:color w:val="auto"/>
                <w:sz w:val="24"/>
                <w:lang w:eastAsia="zh-CN"/>
              </w:rPr>
              <w:t>：汉滨区第三人民医院</w:t>
            </w:r>
          </w:p>
        </w:tc>
      </w:tr>
      <w:tr w14:paraId="3C36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78" w:type="dxa"/>
            <w:vAlign w:val="center"/>
          </w:tcPr>
          <w:p w14:paraId="4E8588C7">
            <w:pPr>
              <w:numPr>
                <w:ilvl w:val="0"/>
                <w:numId w:val="0"/>
              </w:numPr>
              <w:tabs>
                <w:tab w:val="left" w:pos="600"/>
              </w:tabs>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w:t>
            </w:r>
          </w:p>
        </w:tc>
        <w:tc>
          <w:tcPr>
            <w:tcW w:w="7741" w:type="dxa"/>
            <w:vAlign w:val="center"/>
          </w:tcPr>
          <w:p w14:paraId="1161FAFA">
            <w:pPr>
              <w:spacing w:line="360" w:lineRule="auto"/>
              <w:jc w:val="both"/>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卖方（供应商）名称：</w:t>
            </w:r>
          </w:p>
        </w:tc>
      </w:tr>
      <w:tr w14:paraId="5122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78" w:type="dxa"/>
            <w:vAlign w:val="center"/>
          </w:tcPr>
          <w:p w14:paraId="515AE925">
            <w:pPr>
              <w:numPr>
                <w:ilvl w:val="0"/>
                <w:numId w:val="0"/>
              </w:numPr>
              <w:tabs>
                <w:tab w:val="left" w:pos="600"/>
              </w:tabs>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w:t>
            </w:r>
          </w:p>
        </w:tc>
        <w:tc>
          <w:tcPr>
            <w:tcW w:w="7741" w:type="dxa"/>
            <w:vAlign w:val="center"/>
          </w:tcPr>
          <w:p w14:paraId="59032C85">
            <w:pPr>
              <w:spacing w:line="360" w:lineRule="auto"/>
              <w:jc w:val="both"/>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交货期：合同签订之日起30天内完成所有的设备供货及安装、调试。</w:t>
            </w:r>
          </w:p>
        </w:tc>
      </w:tr>
      <w:tr w14:paraId="668B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78" w:type="dxa"/>
            <w:vAlign w:val="center"/>
          </w:tcPr>
          <w:p w14:paraId="377A959D">
            <w:pPr>
              <w:spacing w:line="240" w:lineRule="auto"/>
              <w:jc w:val="center"/>
              <w:outlineLvl w:val="9"/>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4</w:t>
            </w:r>
          </w:p>
        </w:tc>
        <w:tc>
          <w:tcPr>
            <w:tcW w:w="7741" w:type="dxa"/>
            <w:vAlign w:val="center"/>
          </w:tcPr>
          <w:p w14:paraId="6F187CC3">
            <w:pPr>
              <w:spacing w:line="360" w:lineRule="auto"/>
              <w:jc w:val="both"/>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质量要求：供货方应保证其提供的货物是全新的、未使用过的，必须符合国家现行的相关设计、安全、质量标准。</w:t>
            </w:r>
          </w:p>
        </w:tc>
      </w:tr>
      <w:tr w14:paraId="6C90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78" w:type="dxa"/>
            <w:vAlign w:val="center"/>
          </w:tcPr>
          <w:p w14:paraId="508B4F00">
            <w:pPr>
              <w:numPr>
                <w:ilvl w:val="0"/>
                <w:numId w:val="0"/>
              </w:numPr>
              <w:tabs>
                <w:tab w:val="left" w:pos="600"/>
              </w:tabs>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p>
        </w:tc>
        <w:tc>
          <w:tcPr>
            <w:tcW w:w="7741" w:type="dxa"/>
            <w:vAlign w:val="center"/>
          </w:tcPr>
          <w:p w14:paraId="24EB0CC1">
            <w:pPr>
              <w:spacing w:line="360" w:lineRule="auto"/>
              <w:jc w:val="both"/>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质保期及售后服务：自调试验收合格之日起算，设备免费质保期为一年。质保期内提供免费上门专业技术服务。</w:t>
            </w:r>
          </w:p>
        </w:tc>
      </w:tr>
      <w:tr w14:paraId="5E5E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78" w:type="dxa"/>
            <w:vAlign w:val="center"/>
          </w:tcPr>
          <w:p w14:paraId="25A0F909">
            <w:pPr>
              <w:numPr>
                <w:ilvl w:val="0"/>
                <w:numId w:val="0"/>
              </w:numPr>
              <w:tabs>
                <w:tab w:val="left" w:pos="600"/>
              </w:tabs>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w:t>
            </w:r>
          </w:p>
        </w:tc>
        <w:tc>
          <w:tcPr>
            <w:tcW w:w="7741" w:type="dxa"/>
            <w:vAlign w:val="center"/>
          </w:tcPr>
          <w:p w14:paraId="0DF014CD">
            <w:pPr>
              <w:spacing w:line="360" w:lineRule="auto"/>
              <w:jc w:val="both"/>
              <w:outlineLvl w:val="9"/>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支付方式：所有设备由中标方负责供货、运输、安装</w:t>
            </w:r>
            <w:r>
              <w:rPr>
                <w:rFonts w:hint="eastAsia" w:ascii="仿宋" w:hAnsi="仿宋" w:eastAsia="仿宋" w:cs="仿宋"/>
                <w:b/>
                <w:bCs/>
                <w:color w:val="auto"/>
                <w:sz w:val="24"/>
                <w:highlight w:val="none"/>
                <w:lang w:val="en-US" w:eastAsia="zh-CN"/>
              </w:rPr>
              <w:t xml:space="preserve">到位，经验收合格后支付总货款50%，验收合格后30天内付款50%。 </w:t>
            </w:r>
          </w:p>
        </w:tc>
      </w:tr>
      <w:tr w14:paraId="2311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1178" w:type="dxa"/>
            <w:vAlign w:val="center"/>
          </w:tcPr>
          <w:p w14:paraId="6451858E">
            <w:pPr>
              <w:numPr>
                <w:ilvl w:val="0"/>
                <w:numId w:val="0"/>
              </w:numPr>
              <w:tabs>
                <w:tab w:val="left" w:pos="600"/>
              </w:tabs>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w:t>
            </w:r>
          </w:p>
        </w:tc>
        <w:tc>
          <w:tcPr>
            <w:tcW w:w="7741" w:type="dxa"/>
            <w:vAlign w:val="center"/>
          </w:tcPr>
          <w:p w14:paraId="71D1E503">
            <w:pPr>
              <w:spacing w:line="360" w:lineRule="auto"/>
              <w:jc w:val="both"/>
              <w:outlineLvl w:val="9"/>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违约条款：</w:t>
            </w:r>
          </w:p>
          <w:p w14:paraId="6760A5E5">
            <w:pPr>
              <w:spacing w:line="360" w:lineRule="auto"/>
              <w:jc w:val="both"/>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供货方因供应货物</w:t>
            </w:r>
            <w:r>
              <w:rPr>
                <w:rFonts w:hint="eastAsia" w:ascii="仿宋" w:hAnsi="仿宋" w:eastAsia="仿宋" w:cs="仿宋"/>
                <w:b/>
                <w:bCs/>
                <w:color w:val="auto"/>
                <w:sz w:val="24"/>
                <w:highlight w:val="none"/>
                <w:lang w:eastAsia="zh-CN"/>
              </w:rPr>
              <w:t>来源渠道、技术指标、</w:t>
            </w:r>
            <w:r>
              <w:rPr>
                <w:rFonts w:hint="eastAsia" w:ascii="仿宋" w:hAnsi="仿宋" w:eastAsia="仿宋" w:cs="仿宋"/>
                <w:b/>
                <w:bCs/>
                <w:color w:val="auto"/>
                <w:sz w:val="24"/>
                <w:highlight w:val="none"/>
                <w:lang w:val="en-US" w:eastAsia="zh-CN"/>
              </w:rPr>
              <w:t>质量标准、</w:t>
            </w:r>
            <w:r>
              <w:rPr>
                <w:rFonts w:hint="eastAsia" w:ascii="仿宋" w:hAnsi="仿宋" w:eastAsia="仿宋" w:cs="仿宋"/>
                <w:b/>
                <w:bCs/>
                <w:color w:val="auto"/>
                <w:sz w:val="24"/>
                <w:highlight w:val="none"/>
                <w:lang w:eastAsia="zh-CN"/>
              </w:rPr>
              <w:t>规格型号</w:t>
            </w:r>
            <w:r>
              <w:rPr>
                <w:rFonts w:hint="eastAsia" w:ascii="仿宋" w:hAnsi="仿宋" w:eastAsia="仿宋" w:cs="仿宋"/>
                <w:b/>
                <w:bCs/>
                <w:color w:val="auto"/>
                <w:sz w:val="24"/>
                <w:highlight w:val="none"/>
                <w:lang w:val="en-US" w:eastAsia="zh-CN"/>
              </w:rPr>
              <w:t>不符合要求的，由供货方承担全部责任，因此导致延期供货的，每延迟一天由供货方承担总货款1‰违约金；</w:t>
            </w:r>
          </w:p>
          <w:p w14:paraId="364A294E">
            <w:pPr>
              <w:spacing w:line="360" w:lineRule="auto"/>
              <w:jc w:val="both"/>
              <w:outlineLvl w:val="9"/>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（2）采购人按合同约定，由双方商定付款方式及期限。</w:t>
            </w:r>
          </w:p>
        </w:tc>
      </w:tr>
      <w:tr w14:paraId="4C44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178" w:type="dxa"/>
            <w:vAlign w:val="center"/>
          </w:tcPr>
          <w:p w14:paraId="2435CA77">
            <w:pPr>
              <w:tabs>
                <w:tab w:val="left" w:pos="600"/>
              </w:tabs>
              <w:jc w:val="center"/>
              <w:rPr>
                <w:rFonts w:hint="default" w:eastAsia="宋体"/>
                <w:lang w:val="en-US" w:eastAsia="zh-CN"/>
              </w:rPr>
            </w:pPr>
            <w:r>
              <w:rPr>
                <w:rFonts w:hint="eastAsia"/>
                <w:b/>
                <w:bCs/>
                <w:lang w:val="en-US" w:eastAsia="zh-CN"/>
              </w:rPr>
              <w:t>8</w:t>
            </w:r>
          </w:p>
        </w:tc>
        <w:tc>
          <w:tcPr>
            <w:tcW w:w="7741" w:type="dxa"/>
            <w:vAlign w:val="center"/>
          </w:tcPr>
          <w:p w14:paraId="6A330CCC">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交货地点：</w:t>
            </w:r>
            <w:r>
              <w:rPr>
                <w:rFonts w:hint="eastAsia" w:ascii="仿宋" w:hAnsi="仿宋" w:eastAsia="仿宋" w:cs="仿宋"/>
                <w:b/>
                <w:bCs/>
                <w:color w:val="auto"/>
                <w:sz w:val="24"/>
                <w:szCs w:val="24"/>
                <w:lang w:eastAsia="zh-CN"/>
              </w:rPr>
              <w:t>汉滨区第三人民医院</w:t>
            </w:r>
            <w:r>
              <w:rPr>
                <w:rFonts w:hint="eastAsia" w:ascii="仿宋" w:hAnsi="仿宋" w:eastAsia="仿宋" w:cs="仿宋"/>
                <w:b/>
                <w:bCs/>
                <w:color w:val="auto"/>
                <w:sz w:val="24"/>
                <w:szCs w:val="24"/>
                <w:lang w:val="en-US" w:eastAsia="zh-CN"/>
              </w:rPr>
              <w:t>指定地点。</w:t>
            </w:r>
          </w:p>
        </w:tc>
      </w:tr>
      <w:tr w14:paraId="34ED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919" w:type="dxa"/>
            <w:gridSpan w:val="2"/>
            <w:vAlign w:val="center"/>
          </w:tcPr>
          <w:p w14:paraId="0A6E41BF">
            <w:pPr>
              <w:rPr>
                <w:rFonts w:hint="eastAsia" w:ascii="仿宋" w:hAnsi="仿宋" w:eastAsia="仿宋" w:cs="仿宋"/>
                <w:color w:val="auto"/>
                <w:sz w:val="24"/>
                <w:szCs w:val="24"/>
              </w:rPr>
            </w:pPr>
            <w:r>
              <w:rPr>
                <w:rFonts w:hint="eastAsia" w:ascii="仿宋" w:hAnsi="仿宋" w:eastAsia="仿宋" w:cs="仿宋"/>
                <w:b/>
                <w:bCs/>
                <w:color w:val="auto"/>
                <w:sz w:val="24"/>
                <w:szCs w:val="24"/>
              </w:rPr>
              <w:t>注：以上要求不可负偏离，否则视为无效投标。</w:t>
            </w:r>
          </w:p>
        </w:tc>
      </w:tr>
    </w:tbl>
    <w:p w14:paraId="7E921E80">
      <w:pPr>
        <w:spacing w:line="360" w:lineRule="auto"/>
        <w:rPr>
          <w:rFonts w:hint="eastAsia" w:ascii="仿宋" w:hAnsi="仿宋" w:eastAsia="仿宋" w:cs="仿宋"/>
          <w:b/>
          <w:bCs/>
          <w:color w:val="auto"/>
          <w:sz w:val="28"/>
        </w:rPr>
      </w:pPr>
      <w:r>
        <w:rPr>
          <w:rFonts w:hint="eastAsia" w:ascii="仿宋" w:hAnsi="仿宋" w:eastAsia="仿宋" w:cs="仿宋"/>
          <w:b/>
          <w:bCs/>
          <w:color w:val="auto"/>
          <w:sz w:val="28"/>
        </w:rPr>
        <w:t>二、合同通用条款</w:t>
      </w:r>
    </w:p>
    <w:p w14:paraId="15C10E88">
      <w:pPr>
        <w:numPr>
          <w:ilvl w:val="0"/>
          <w:numId w:val="3"/>
        </w:numPr>
        <w:spacing w:line="360" w:lineRule="auto"/>
        <w:rPr>
          <w:rFonts w:hint="eastAsia" w:ascii="仿宋" w:hAnsi="仿宋" w:eastAsia="仿宋" w:cs="仿宋"/>
          <w:b/>
          <w:bCs/>
          <w:color w:val="auto"/>
          <w:sz w:val="24"/>
        </w:rPr>
      </w:pPr>
      <w:r>
        <w:rPr>
          <w:rFonts w:hint="eastAsia" w:ascii="仿宋" w:hAnsi="仿宋" w:eastAsia="仿宋" w:cs="仿宋"/>
          <w:color w:val="auto"/>
          <w:sz w:val="24"/>
        </w:rPr>
        <w:t xml:space="preserve"> </w:t>
      </w:r>
      <w:r>
        <w:rPr>
          <w:rFonts w:hint="eastAsia" w:ascii="仿宋" w:hAnsi="仿宋" w:eastAsia="仿宋" w:cs="仿宋"/>
          <w:b/>
          <w:bCs/>
          <w:color w:val="auto"/>
          <w:sz w:val="24"/>
        </w:rPr>
        <w:t>定义</w:t>
      </w:r>
    </w:p>
    <w:p w14:paraId="33CF2F3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本合同下列术语应解释为：</w:t>
      </w:r>
    </w:p>
    <w:p w14:paraId="62FAA9EB">
      <w:pPr>
        <w:spacing w:line="360" w:lineRule="auto"/>
        <w:ind w:left="838" w:leftChars="285" w:hanging="240" w:hangingChars="100"/>
        <w:rPr>
          <w:rFonts w:hint="eastAsia" w:ascii="仿宋" w:hAnsi="仿宋" w:eastAsia="仿宋" w:cs="仿宋"/>
          <w:color w:val="auto"/>
          <w:sz w:val="24"/>
        </w:rPr>
      </w:pPr>
      <w:r>
        <w:rPr>
          <w:rFonts w:hint="eastAsia" w:ascii="仿宋" w:hAnsi="仿宋" w:eastAsia="仿宋" w:cs="仿宋"/>
          <w:color w:val="auto"/>
          <w:sz w:val="24"/>
        </w:rPr>
        <w:t>1)“合同”系指买卖双方签署的、合同格式中载明的买卖双方所达成的协议，包括所有的附件、附录和上述文件所提到的构成合同的所有文件。</w:t>
      </w:r>
    </w:p>
    <w:p w14:paraId="2FD9B9BC">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     2）“合同价”系指根据本合同规定卖方在正确地完全履行合同义务后买方应支付给卖方的价款。</w:t>
      </w:r>
    </w:p>
    <w:p w14:paraId="5F632B0E">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     3）“货物”系指卖方根据本合同规定须向买方提供的一切产品、硬件设备、软件和其它材料。</w:t>
      </w:r>
    </w:p>
    <w:p w14:paraId="6B2660FD">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     4）“服务”系指根据本合同规定卖方承担与本项目有关的技术开发及服务。如运输、保险以及其它的伴随服务，例如安装、调试、提供技术援助、培训和合同中规定卖方应承担的其他义务。</w:t>
      </w:r>
    </w:p>
    <w:p w14:paraId="11AC84C7">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     5）“合同条款”系指本合同条款。</w:t>
      </w:r>
    </w:p>
    <w:p w14:paraId="136D01B1">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     6）“买方”系指在合同专用条款中指明的购买货物和服务的单位。</w:t>
      </w:r>
    </w:p>
    <w:p w14:paraId="5D98631A">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     7）“卖方”系指在合同专用条款中指明的提供合同项下货物和服务的公司或其他实体。</w:t>
      </w:r>
    </w:p>
    <w:p w14:paraId="719915FC">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     8）“项目现场”系指本合同项下本项目安装、运行的现场，其名称在合同专用条款中指明。      </w:t>
      </w:r>
    </w:p>
    <w:p w14:paraId="4DDC8036">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     9）“天”指日历天数。</w:t>
      </w:r>
    </w:p>
    <w:p w14:paraId="23D78807">
      <w:pPr>
        <w:numPr>
          <w:ilvl w:val="0"/>
          <w:numId w:val="3"/>
        </w:num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 xml:space="preserve"> 适用性</w:t>
      </w:r>
    </w:p>
    <w:p w14:paraId="131280A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本合同条款适用于没有被本合同其他部分的条款所取代的范围。</w:t>
      </w:r>
    </w:p>
    <w:p w14:paraId="40BC6822">
      <w:pPr>
        <w:numPr>
          <w:ilvl w:val="0"/>
          <w:numId w:val="3"/>
        </w:num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 xml:space="preserve"> 标准</w:t>
      </w:r>
    </w:p>
    <w:p w14:paraId="4F6D109D">
      <w:pPr>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3.1  本合同下交付的服务应符合“</w:t>
      </w:r>
      <w:r>
        <w:rPr>
          <w:rFonts w:hint="eastAsia" w:ascii="仿宋" w:hAnsi="仿宋" w:eastAsia="仿宋" w:cs="仿宋"/>
          <w:color w:val="auto"/>
          <w:sz w:val="24"/>
          <w:lang w:eastAsia="zh-CN"/>
        </w:rPr>
        <w:t>用户需求书（采购内容及要求）</w:t>
      </w:r>
      <w:r>
        <w:rPr>
          <w:rFonts w:hint="eastAsia" w:ascii="仿宋" w:hAnsi="仿宋" w:eastAsia="仿宋" w:cs="仿宋"/>
          <w:color w:val="auto"/>
          <w:sz w:val="24"/>
        </w:rPr>
        <w:t>”要求所述的标准。如果没有提及使用标准，则应符合中华人民共和国有关机构发布的最新版本的标准</w:t>
      </w:r>
      <w:r>
        <w:rPr>
          <w:rFonts w:hint="eastAsia" w:ascii="仿宋" w:hAnsi="仿宋" w:eastAsia="仿宋" w:cs="仿宋"/>
          <w:b/>
          <w:bCs/>
          <w:color w:val="auto"/>
          <w:sz w:val="24"/>
        </w:rPr>
        <w:t>。</w:t>
      </w:r>
    </w:p>
    <w:p w14:paraId="082440E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  除非技术规格中另有规定，计量单位均采用中华人民共和国法定计量单位。</w:t>
      </w:r>
    </w:p>
    <w:p w14:paraId="63378738">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4．使用合同文件和资料</w:t>
      </w:r>
    </w:p>
    <w:p w14:paraId="16CEC3F8">
      <w:pPr>
        <w:spacing w:line="360" w:lineRule="auto"/>
        <w:rPr>
          <w:rFonts w:hint="eastAsia" w:ascii="仿宋" w:hAnsi="仿宋" w:eastAsia="仿宋" w:cs="仿宋"/>
          <w:color w:val="auto"/>
          <w:sz w:val="24"/>
        </w:rPr>
      </w:pPr>
      <w:r>
        <w:rPr>
          <w:rFonts w:hint="eastAsia" w:ascii="仿宋" w:hAnsi="仿宋" w:eastAsia="仿宋" w:cs="仿宋"/>
          <w:b/>
          <w:bCs/>
          <w:color w:val="auto"/>
          <w:sz w:val="24"/>
        </w:rPr>
        <w:t xml:space="preserve"> </w:t>
      </w:r>
      <w:r>
        <w:rPr>
          <w:rFonts w:hint="eastAsia" w:ascii="仿宋" w:hAnsi="仿宋" w:eastAsia="仿宋" w:cs="仿宋"/>
          <w:color w:val="auto"/>
          <w:sz w:val="24"/>
        </w:rPr>
        <w:t xml:space="preserve">   4.1卖方不得将由买方或代表买方提供的有关合同或任何合同条文、规格、计划、或资料提供给与履行本合同无关的任何其他人。即使向与履行本合同有关的人员提供，也应注意保密并限于履行合同必须的范围。</w:t>
      </w:r>
    </w:p>
    <w:p w14:paraId="05D68F9E">
      <w:pPr>
        <w:spacing w:line="360" w:lineRule="auto"/>
        <w:ind w:left="360" w:hanging="360" w:hangingChars="150"/>
        <w:rPr>
          <w:rFonts w:hint="eastAsia" w:ascii="仿宋" w:hAnsi="仿宋" w:eastAsia="仿宋" w:cs="仿宋"/>
          <w:color w:val="auto"/>
          <w:sz w:val="24"/>
        </w:rPr>
      </w:pPr>
      <w:r>
        <w:rPr>
          <w:rFonts w:hint="eastAsia" w:ascii="仿宋" w:hAnsi="仿宋" w:eastAsia="仿宋" w:cs="仿宋"/>
          <w:color w:val="auto"/>
          <w:sz w:val="24"/>
        </w:rPr>
        <w:t xml:space="preserve">    4.2除了履行本合同外，卖方不应使用合同条款4.1条所列举的任何文件和资料。</w:t>
      </w:r>
    </w:p>
    <w:p w14:paraId="7489415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4.3除了合同本身以外，合同条款第4.1条所列举的任何文件是买方的财产.如果买方有要求</w:t>
      </w:r>
      <w:r>
        <w:rPr>
          <w:rFonts w:hint="eastAsia" w:ascii="仿宋" w:hAnsi="仿宋" w:eastAsia="仿宋" w:cs="仿宋"/>
          <w:color w:val="auto"/>
          <w:sz w:val="24"/>
          <w:lang w:eastAsia="zh-CN"/>
        </w:rPr>
        <w:t>，</w:t>
      </w:r>
      <w:r>
        <w:rPr>
          <w:rFonts w:hint="eastAsia" w:ascii="仿宋" w:hAnsi="仿宋" w:eastAsia="仿宋" w:cs="仿宋"/>
          <w:color w:val="auto"/>
          <w:sz w:val="24"/>
        </w:rPr>
        <w:t>卖方在完成合同后应将这些文件及全部复制件还给买方。</w:t>
      </w:r>
    </w:p>
    <w:p w14:paraId="5F9F02E4">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5．专利权</w:t>
      </w:r>
    </w:p>
    <w:p w14:paraId="24CBA9B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卖方应保证，买方使用该货物或服务的任何一部分时，免受第三方提出的侵犯其专利权、商标权、著作权或其它知识产权的起诉。</w:t>
      </w:r>
    </w:p>
    <w:p w14:paraId="528E3290">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6．服务</w:t>
      </w:r>
    </w:p>
    <w:p w14:paraId="3EFE21E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卖方（中标人）必须负责系统集成，包括但不限于设计、安装、调试、培训、验收及售后服务。</w:t>
      </w:r>
    </w:p>
    <w:p w14:paraId="0E0B7DFE">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7．伴随服务</w:t>
      </w:r>
    </w:p>
    <w:p w14:paraId="2FF9F811">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    </w:t>
      </w:r>
      <w:r>
        <w:rPr>
          <w:rFonts w:hint="eastAsia" w:ascii="仿宋" w:hAnsi="仿宋" w:eastAsia="仿宋" w:cs="仿宋"/>
          <w:bCs/>
          <w:color w:val="auto"/>
          <w:sz w:val="24"/>
        </w:rPr>
        <w:t>7</w:t>
      </w:r>
      <w:r>
        <w:rPr>
          <w:rFonts w:hint="eastAsia" w:ascii="仿宋" w:hAnsi="仿宋" w:eastAsia="仿宋" w:cs="仿宋"/>
          <w:color w:val="auto"/>
          <w:sz w:val="24"/>
        </w:rPr>
        <w:t>.1卖方可能被要求提供下列货物和服务中的所有服务，包括“合同专用条款”与“</w:t>
      </w:r>
      <w:r>
        <w:rPr>
          <w:rFonts w:hint="eastAsia" w:ascii="仿宋" w:hAnsi="仿宋" w:eastAsia="仿宋" w:cs="仿宋"/>
          <w:color w:val="auto"/>
          <w:sz w:val="24"/>
          <w:lang w:eastAsia="zh-CN"/>
        </w:rPr>
        <w:t>采购内容及要求</w:t>
      </w:r>
      <w:r>
        <w:rPr>
          <w:rFonts w:hint="eastAsia" w:ascii="仿宋" w:hAnsi="仿宋" w:eastAsia="仿宋" w:cs="仿宋"/>
          <w:color w:val="auto"/>
          <w:sz w:val="24"/>
        </w:rPr>
        <w:t>”规定的附加服务：</w:t>
      </w:r>
    </w:p>
    <w:p w14:paraId="0B337591">
      <w:pPr>
        <w:spacing w:line="360" w:lineRule="auto"/>
        <w:ind w:firstLine="465"/>
        <w:rPr>
          <w:rFonts w:hint="eastAsia" w:ascii="仿宋" w:hAnsi="仿宋" w:eastAsia="仿宋" w:cs="仿宋"/>
          <w:color w:val="auto"/>
          <w:sz w:val="24"/>
        </w:rPr>
      </w:pPr>
      <w:r>
        <w:rPr>
          <w:rFonts w:hint="eastAsia" w:ascii="仿宋" w:hAnsi="仿宋" w:eastAsia="仿宋" w:cs="仿宋"/>
          <w:color w:val="auto"/>
          <w:sz w:val="24"/>
        </w:rPr>
        <w:t>（1）实施所供服务的系统集成和试运行；</w:t>
      </w:r>
    </w:p>
    <w:p w14:paraId="564F528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（2）提供货物组装和维修所需的工具；</w:t>
      </w:r>
    </w:p>
    <w:p w14:paraId="055E9D5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（3）为所供本项目提供详细的操作和维护手册；</w:t>
      </w:r>
    </w:p>
    <w:p w14:paraId="29F5FB7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（4）在双方商定的一定期限内对本项目实施运行维护和修理，但前提条件是该服务并不能免除卖方在合同质量保证期内所承担的义务；</w:t>
      </w:r>
    </w:p>
    <w:p w14:paraId="6FF3F7BD">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7.2卖方提供的上述伴随服务均应含在合同总价中，买方不再为其单独一项或数项另外支付费用。</w:t>
      </w:r>
    </w:p>
    <w:p w14:paraId="72027E7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7.3卖方应提供“合同专用条款”和“</w:t>
      </w:r>
      <w:r>
        <w:rPr>
          <w:rFonts w:hint="eastAsia" w:ascii="仿宋" w:hAnsi="仿宋" w:eastAsia="仿宋" w:cs="仿宋"/>
          <w:color w:val="auto"/>
          <w:sz w:val="24"/>
          <w:lang w:eastAsia="zh-CN"/>
        </w:rPr>
        <w:t>用户需求书（采购内容及要求）</w:t>
      </w:r>
      <w:r>
        <w:rPr>
          <w:rFonts w:hint="eastAsia" w:ascii="仿宋" w:hAnsi="仿宋" w:eastAsia="仿宋" w:cs="仿宋"/>
          <w:color w:val="auto"/>
          <w:sz w:val="24"/>
        </w:rPr>
        <w:t>”中规定的所有服务。为履行要求的伴随服务的报价或双方商定的费用应包括在合同价中。</w:t>
      </w:r>
    </w:p>
    <w:p w14:paraId="7C050642">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8．保证</w:t>
      </w:r>
    </w:p>
    <w:p w14:paraId="17FA274D">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8.1在质量保证期内所发现的缺陷，买方应尽快以书面方式通知卖方。</w:t>
      </w:r>
    </w:p>
    <w:p w14:paraId="2AC2147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8.2如果卖方收到通知后在合同规定的时间内没有以合理的速度弥补缺陷，买方可采取必要的补救措施，但其风险和费用将由卖方承担，买方根据合同规定对卖方行使的其他权力不受影响。</w:t>
      </w:r>
    </w:p>
    <w:p w14:paraId="6F7C107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rPr>
        <w:t>8.</w:t>
      </w:r>
      <w:r>
        <w:rPr>
          <w:rFonts w:hint="eastAsia" w:ascii="仿宋" w:hAnsi="仿宋" w:eastAsia="仿宋" w:cs="仿宋"/>
          <w:color w:val="auto"/>
          <w:sz w:val="24"/>
          <w:highlight w:val="none"/>
        </w:rPr>
        <w:t>3卖方对故障或缺陷的处理结果应使买方满意。</w:t>
      </w:r>
    </w:p>
    <w:p w14:paraId="627E808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8.4交货期：合同签订之日起</w:t>
      </w:r>
      <w:r>
        <w:rPr>
          <w:rFonts w:hint="eastAsia" w:ascii="仿宋" w:hAnsi="仿宋" w:eastAsia="仿宋" w:cs="仿宋"/>
          <w:color w:val="auto"/>
          <w:sz w:val="24"/>
          <w:highlight w:val="none"/>
          <w:lang w:val="en-US" w:eastAsia="zh-CN"/>
        </w:rPr>
        <w:t>30天内</w:t>
      </w:r>
      <w:r>
        <w:rPr>
          <w:rFonts w:hint="eastAsia" w:ascii="仿宋" w:hAnsi="仿宋" w:eastAsia="仿宋" w:cs="仿宋"/>
          <w:color w:val="auto"/>
          <w:sz w:val="24"/>
          <w:highlight w:val="none"/>
        </w:rPr>
        <w:t>完成所有的设备供货及安装、调试。</w:t>
      </w:r>
    </w:p>
    <w:p w14:paraId="5E023418">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 xml:space="preserve">  9．索赔 </w:t>
      </w:r>
    </w:p>
    <w:p w14:paraId="25285A04">
      <w:pPr>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9.1如果卖方对偏差负有责任，卖方应按照买方同意的下列一种或几种方式结合起来解决索赔事宜：</w:t>
      </w:r>
    </w:p>
    <w:p w14:paraId="6BD62DC8">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卖方同意退货并用合同规定的货币将货款退还给买方，并承担由此发生的一切损失和费用，包括利息、银行手续费、运费、保险费、检验费、仓储费、装卸费以及为看管和保护退回产品所需的其它必要费用。</w:t>
      </w:r>
    </w:p>
    <w:p w14:paraId="5029FFA4">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（2）根据产品的偏差情况、损坏程度、以及买方所遭受损失的金额，经买卖双方商定降低产品的价格。</w:t>
      </w:r>
    </w:p>
    <w:p w14:paraId="375748B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14:paraId="6EA3235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14:paraId="07881DFF">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10．付款</w:t>
      </w:r>
    </w:p>
    <w:p w14:paraId="33E8F867">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本合同项下的付款方法和条件在“合同专用条款”中有规定。</w:t>
      </w:r>
    </w:p>
    <w:p w14:paraId="7F2833DF">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11．价格</w:t>
      </w:r>
    </w:p>
    <w:p w14:paraId="20D6542F">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卖方在本合同项下提交产品和履行服务的价格在合同中给出。</w:t>
      </w:r>
    </w:p>
    <w:p w14:paraId="61CE2E13">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12．变更指令</w:t>
      </w:r>
    </w:p>
    <w:p w14:paraId="259B3B9D">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12.1买方可以在任何时候书面向卖方发出指令，在本合同的一般范围内变更下述一项或几项：</w:t>
      </w:r>
    </w:p>
    <w:p w14:paraId="33D4FA0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（1）本合同项下提供的产品是专为买方制造时，变更图纸、设计或规格；</w:t>
      </w:r>
    </w:p>
    <w:p w14:paraId="5E0C13F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（2）运输或包装的方法；</w:t>
      </w:r>
    </w:p>
    <w:p w14:paraId="76BF50F7">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（3）交货地点；</w:t>
      </w:r>
    </w:p>
    <w:p w14:paraId="7395BC24">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（4）卖方提供的服务。</w:t>
      </w:r>
    </w:p>
    <w:p w14:paraId="4970F0C2">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14:paraId="056B9984">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13．合同修改</w:t>
      </w:r>
    </w:p>
    <w:p w14:paraId="6E71EC87">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除了合同条款第12条的情况，不应对合同条款进行任何变更或修改，除非双方同意并签订书面的合同修改书。</w:t>
      </w:r>
    </w:p>
    <w:p w14:paraId="751A5E87">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14．转让</w:t>
      </w:r>
    </w:p>
    <w:p w14:paraId="2CA98B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未经买方事先书面同意，卖方不得部分转让或全部转让其应履行的合同义务。</w:t>
      </w:r>
    </w:p>
    <w:p w14:paraId="19B21DAC">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15．分包</w:t>
      </w:r>
    </w:p>
    <w:p w14:paraId="5304C684">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对招标文件中没有明确分包的内容，卖方在未取得买方书面同意的通知，不得擅自进行分包，但分包通知并不能解除卖方履行本合同的任何责任和义务。</w:t>
      </w:r>
    </w:p>
    <w:p w14:paraId="0D40757A">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16．卖方履约延误</w:t>
      </w:r>
    </w:p>
    <w:p w14:paraId="18918B2F">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.1卖方应按照招标文件中规定的时间交货和提供服务。</w:t>
      </w:r>
    </w:p>
    <w:p w14:paraId="39CA266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08781E2">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.3除了合同条款第19条的情况外， 卖方完工延误，将按合同条款第19条的规定被收取误期赔偿费。</w:t>
      </w:r>
    </w:p>
    <w:p w14:paraId="3F04075C">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17．误期赔偿费</w:t>
      </w:r>
    </w:p>
    <w:p w14:paraId="542AC6F0">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14:paraId="15CC5C40">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18．违约终止合同</w:t>
      </w:r>
    </w:p>
    <w:p w14:paraId="3D89550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18.1在买方对卖方违约而采取的任何补救措施不受影响的情况下，买方可向卖方发出书面违约通知书，提出终止部分或全部合同：</w:t>
      </w:r>
    </w:p>
    <w:p w14:paraId="3917850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（1）如果卖方未能在合同规定的期限内或买方根据合同条款规定同总延长的期限内完成部分或全部工程。</w:t>
      </w:r>
    </w:p>
    <w:p w14:paraId="3196567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（2）如果卖方未能履行合同规定的其它任何义务。</w:t>
      </w:r>
    </w:p>
    <w:p w14:paraId="61F80ED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（3）如果买方认为卖方在本合同的竞争和实施过程中有腐败和欺诈行为。为此目的，定义下述条件。</w:t>
      </w:r>
    </w:p>
    <w:p w14:paraId="0D82C2B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（a)“腐败行为”是指提供、给予、接受或索取任何有价值的物品来影响买方在采购过程或合同实施过程中的行为。</w:t>
      </w:r>
    </w:p>
    <w:p w14:paraId="4622C20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（b)“欺诈行为”是指为了影响采购过程或合同实施过程而谎报或隐瞒事实，损害买方利益的行为。</w:t>
      </w:r>
    </w:p>
    <w:p w14:paraId="50C7324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14:paraId="33E42365">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19．不可抗力</w:t>
      </w:r>
    </w:p>
    <w:p w14:paraId="685C356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14:paraId="4BCEE675">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14:paraId="076C5056">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19.3因合同一方迟延履行合同后发生不可抗力的，不能免除迟延履行方的相应责任。</w:t>
      </w:r>
    </w:p>
    <w:p w14:paraId="2502636E">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20．因破产而终止合同</w:t>
      </w:r>
    </w:p>
    <w:p w14:paraId="6AC4FC2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如果卖方破产或无清偿能力，买方可在任何时候以书面形式通知卖方，提出终止合同而不给卖方补偿。该合同的终止将不损害或影响买方已经采取或将要采取的任何行动或补救措施的权力。</w:t>
      </w:r>
    </w:p>
    <w:p w14:paraId="58D6C4DC">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21．因买方的便利而终止合同</w:t>
      </w:r>
    </w:p>
    <w:p w14:paraId="0D80F799">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21.1买方可在任何时候出于自身的便利向卖方发出书面通知全部或部分终止合同，终止通知应明确该终止合同是出于买方的便利，并明确合同终止的程度，以及终止的生效日期。</w:t>
      </w:r>
    </w:p>
    <w:p w14:paraId="594AF342">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22．争议的解决</w:t>
      </w:r>
    </w:p>
    <w:p w14:paraId="4A767E3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仿宋" w:hAnsi="仿宋" w:eastAsia="仿宋" w:cs="仿宋"/>
          <w:b/>
          <w:bCs/>
          <w:color w:val="auto"/>
          <w:sz w:val="24"/>
        </w:rPr>
        <w:t>安康</w:t>
      </w:r>
      <w:r>
        <w:rPr>
          <w:rFonts w:hint="eastAsia" w:ascii="仿宋" w:hAnsi="仿宋" w:eastAsia="仿宋" w:cs="仿宋"/>
          <w:color w:val="auto"/>
          <w:sz w:val="24"/>
        </w:rPr>
        <w:t>仲裁委员会。</w:t>
      </w:r>
    </w:p>
    <w:p w14:paraId="3B5E50E9">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22.2仲裁裁决应为最终裁决，对双方均具有约束力。</w:t>
      </w:r>
    </w:p>
    <w:p w14:paraId="08A24A8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22.3仲裁费除仲裁机关另有裁决外均应由败诉方负担。</w:t>
      </w:r>
    </w:p>
    <w:p w14:paraId="1802D318">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22.4在仲裁期间，除正在进行仲裁的部分外，本合同其它部分应继续执行。</w:t>
      </w:r>
    </w:p>
    <w:p w14:paraId="37ADAC45">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23． 合同语言</w:t>
      </w:r>
    </w:p>
    <w:p w14:paraId="6419F88D">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本合同语言为中文。双方交换的与合同有关的信函均用中文书写。</w:t>
      </w:r>
    </w:p>
    <w:p w14:paraId="31E363C2">
      <w:pPr>
        <w:spacing w:line="360" w:lineRule="auto"/>
        <w:rPr>
          <w:rFonts w:hint="eastAsia" w:ascii="仿宋" w:hAnsi="仿宋" w:eastAsia="仿宋" w:cs="仿宋"/>
          <w:color w:val="auto"/>
          <w:sz w:val="24"/>
        </w:rPr>
      </w:pPr>
      <w:r>
        <w:rPr>
          <w:rFonts w:hint="eastAsia" w:ascii="仿宋" w:hAnsi="仿宋" w:eastAsia="仿宋" w:cs="仿宋"/>
          <w:b/>
          <w:bCs/>
          <w:color w:val="auto"/>
          <w:sz w:val="24"/>
        </w:rPr>
        <w:t>24．适用法律</w:t>
      </w:r>
    </w:p>
    <w:p w14:paraId="0CD82C67">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本合同应按照中华人民共和国的法律进行解释。</w:t>
      </w:r>
    </w:p>
    <w:p w14:paraId="50DBB849">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25．通知</w:t>
      </w:r>
    </w:p>
    <w:p w14:paraId="5E9632B7">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25.1本合同一方给对方的通知应用书面形式传真送到“合同专用条款”中规定的对方的地址。传真需经书面确认。</w:t>
      </w:r>
    </w:p>
    <w:p w14:paraId="106ADA2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25.2通知以送到日期或通知书的生效日期为生效日期，两者中以晚的一个日期为准。</w:t>
      </w:r>
    </w:p>
    <w:p w14:paraId="57E272BB">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26．税款</w:t>
      </w:r>
    </w:p>
    <w:p w14:paraId="3A523BDA">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26.1按照中华人民共和国税法和有关部门的规定，买方需交纳的与本合同有关的一切税旨均应由买方负担。</w:t>
      </w:r>
    </w:p>
    <w:p w14:paraId="6EF3B8E8">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26.2按照中华人民共和国税法和有关部门的规定，卖方需交纳的与本合同有关的一切税旨均应由卖方负担。</w:t>
      </w:r>
    </w:p>
    <w:p w14:paraId="22B1734A">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27．合同生效及其他</w:t>
      </w:r>
    </w:p>
    <w:p w14:paraId="3DD2E341">
      <w:pPr>
        <w:pStyle w:val="13"/>
        <w:spacing w:line="360" w:lineRule="auto"/>
        <w:rPr>
          <w:rFonts w:hint="eastAsia" w:ascii="仿宋" w:hAnsi="仿宋" w:eastAsia="仿宋" w:cs="仿宋"/>
          <w:color w:val="auto"/>
        </w:rPr>
      </w:pPr>
      <w:r>
        <w:rPr>
          <w:rFonts w:hint="eastAsia" w:ascii="仿宋" w:hAnsi="仿宋" w:eastAsia="仿宋" w:cs="仿宋"/>
          <w:color w:val="auto"/>
        </w:rPr>
        <w:t xml:space="preserve">    27.1本合同经买卖双方及招标单位授权代表签字盖章后生效。</w:t>
      </w:r>
    </w:p>
    <w:p w14:paraId="02FCFF05">
      <w:pPr>
        <w:pStyle w:val="13"/>
        <w:spacing w:line="360" w:lineRule="auto"/>
        <w:rPr>
          <w:rFonts w:hint="eastAsia" w:ascii="仿宋" w:hAnsi="仿宋" w:eastAsia="仿宋" w:cs="仿宋"/>
          <w:color w:val="auto"/>
        </w:rPr>
      </w:pPr>
      <w:r>
        <w:rPr>
          <w:rFonts w:hint="eastAsia" w:ascii="仿宋" w:hAnsi="仿宋" w:eastAsia="仿宋" w:cs="仿宋"/>
          <w:color w:val="auto"/>
        </w:rPr>
        <w:t xml:space="preserve">    27.2如需修改合同内容，双方应签署书面修改或补充协议，该修改协议作为本合同的一个组成部分。</w:t>
      </w:r>
    </w:p>
    <w:p w14:paraId="6BC26A3F">
      <w:pPr>
        <w:pStyle w:val="13"/>
        <w:spacing w:line="360" w:lineRule="auto"/>
        <w:rPr>
          <w:rFonts w:hint="eastAsia" w:ascii="仿宋" w:hAnsi="仿宋" w:eastAsia="仿宋" w:cs="仿宋"/>
          <w:color w:val="auto"/>
        </w:rPr>
      </w:pPr>
      <w:r>
        <w:rPr>
          <w:rFonts w:hint="eastAsia" w:ascii="仿宋" w:hAnsi="仿宋" w:eastAsia="仿宋" w:cs="仿宋"/>
          <w:color w:val="auto"/>
        </w:rPr>
        <w:t xml:space="preserve">    27.3本合同具有法律效力，受国家法律保护。</w:t>
      </w:r>
    </w:p>
    <w:p w14:paraId="6BF9B74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27.4本合同一式伍份，买方(使用单位)贰份，卖方贰份，招标代理机构壹份。</w:t>
      </w:r>
    </w:p>
    <w:p w14:paraId="5AC98CAA">
      <w:pPr>
        <w:jc w:val="both"/>
        <w:rPr>
          <w:rFonts w:hint="eastAsia" w:ascii="仿宋" w:hAnsi="仿宋" w:eastAsia="仿宋" w:cs="仿宋"/>
          <w:b/>
          <w:bCs/>
          <w:color w:val="auto"/>
          <w:sz w:val="24"/>
        </w:rPr>
      </w:pPr>
    </w:p>
    <w:p w14:paraId="54D533D6">
      <w:pPr>
        <w:jc w:val="both"/>
        <w:rPr>
          <w:rFonts w:hint="eastAsia" w:ascii="仿宋" w:hAnsi="仿宋" w:eastAsia="仿宋" w:cs="仿宋"/>
          <w:b/>
          <w:bCs/>
          <w:color w:val="auto"/>
          <w:sz w:val="24"/>
        </w:rPr>
      </w:pPr>
      <w:r>
        <w:rPr>
          <w:rFonts w:hint="eastAsia" w:ascii="仿宋" w:hAnsi="仿宋" w:eastAsia="仿宋" w:cs="仿宋"/>
          <w:b/>
          <w:bCs/>
          <w:color w:val="auto"/>
          <w:sz w:val="24"/>
        </w:rPr>
        <w:t>三、合同格式（参考）</w:t>
      </w:r>
    </w:p>
    <w:p w14:paraId="0C865DD7">
      <w:pPr>
        <w:spacing w:line="360" w:lineRule="auto"/>
        <w:rPr>
          <w:rFonts w:hint="eastAsia" w:ascii="仿宋" w:hAnsi="仿宋" w:eastAsia="仿宋" w:cs="仿宋"/>
          <w:color w:val="auto"/>
          <w:sz w:val="24"/>
        </w:rPr>
      </w:pPr>
    </w:p>
    <w:p w14:paraId="1BD76148">
      <w:pPr>
        <w:pStyle w:val="13"/>
        <w:rPr>
          <w:rFonts w:hint="eastAsia"/>
          <w:color w:val="auto"/>
        </w:rPr>
      </w:pPr>
    </w:p>
    <w:p w14:paraId="0DFA8573">
      <w:pPr>
        <w:pStyle w:val="28"/>
        <w:rPr>
          <w:rFonts w:hint="eastAsia"/>
          <w:color w:val="auto"/>
        </w:rPr>
      </w:pPr>
    </w:p>
    <w:p w14:paraId="5567C0CC">
      <w:pPr>
        <w:pStyle w:val="13"/>
        <w:rPr>
          <w:rFonts w:hint="eastAsia"/>
          <w:color w:val="auto"/>
        </w:rPr>
      </w:pPr>
    </w:p>
    <w:p w14:paraId="23428100">
      <w:pPr>
        <w:pStyle w:val="28"/>
        <w:rPr>
          <w:rFonts w:hint="eastAsia"/>
          <w:color w:val="auto"/>
        </w:rPr>
      </w:pPr>
    </w:p>
    <w:p w14:paraId="1F8C6DB5">
      <w:pPr>
        <w:pStyle w:val="13"/>
        <w:rPr>
          <w:rFonts w:hint="eastAsia"/>
          <w:color w:val="auto"/>
        </w:rPr>
      </w:pPr>
    </w:p>
    <w:p w14:paraId="36966D7F">
      <w:pPr>
        <w:pStyle w:val="13"/>
        <w:rPr>
          <w:rFonts w:hint="eastAsia"/>
          <w:color w:val="auto"/>
        </w:rPr>
      </w:pPr>
    </w:p>
    <w:p w14:paraId="25B4B285">
      <w:pPr>
        <w:pStyle w:val="28"/>
        <w:rPr>
          <w:rFonts w:hint="eastAsia"/>
          <w:color w:val="auto"/>
        </w:rPr>
      </w:pPr>
    </w:p>
    <w:p w14:paraId="5AC41E0E">
      <w:pPr>
        <w:pStyle w:val="13"/>
        <w:rPr>
          <w:rFonts w:hint="eastAsia"/>
          <w:color w:val="auto"/>
        </w:rPr>
      </w:pPr>
    </w:p>
    <w:p w14:paraId="5626AF95">
      <w:pPr>
        <w:pStyle w:val="28"/>
        <w:rPr>
          <w:rFonts w:hint="eastAsia"/>
          <w:color w:val="auto"/>
        </w:rPr>
      </w:pPr>
    </w:p>
    <w:p w14:paraId="188B956F">
      <w:pPr>
        <w:pStyle w:val="28"/>
        <w:ind w:left="0" w:leftChars="0" w:firstLine="0" w:firstLineChars="0"/>
        <w:rPr>
          <w:rFonts w:hint="eastAsia"/>
        </w:rPr>
      </w:pPr>
    </w:p>
    <w:p w14:paraId="5D227C3A">
      <w:pPr>
        <w:pStyle w:val="26"/>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color w:val="auto"/>
          <w:sz w:val="36"/>
          <w:szCs w:val="36"/>
          <w:lang w:eastAsia="zh-CN"/>
        </w:rPr>
      </w:pPr>
      <w:bookmarkStart w:id="47" w:name="_coverpage@专业型.doc#2075360808"/>
      <w:r>
        <w:rPr>
          <w:rFonts w:hint="eastAsia" w:ascii="仿宋" w:hAnsi="仿宋" w:eastAsia="仿宋" w:cs="仿宋"/>
          <w:color w:val="auto"/>
          <w:sz w:val="36"/>
          <w:szCs w:val="36"/>
          <w:lang w:eastAsia="zh-CN"/>
        </w:rPr>
        <w:t>汉滨区第三人民医院</w:t>
      </w:r>
    </w:p>
    <w:p w14:paraId="0F7887F3">
      <w:pPr>
        <w:pStyle w:val="26"/>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关于汉滨区第三人民医院2024年度专科、基础医疗设备清单采购项目二标段新增专科医疗设备合同</w:t>
      </w:r>
    </w:p>
    <w:p w14:paraId="42A70598">
      <w:pPr>
        <w:spacing w:line="360" w:lineRule="auto"/>
        <w:jc w:val="left"/>
        <w:rPr>
          <w:rFonts w:hint="eastAsia" w:ascii="仿宋" w:hAnsi="仿宋" w:eastAsia="仿宋" w:cs="仿宋"/>
          <w:b/>
          <w:color w:val="auto"/>
          <w:sz w:val="24"/>
          <w:szCs w:val="24"/>
          <w:u w:val="single"/>
          <w:lang w:eastAsia="zh-CN"/>
        </w:rPr>
      </w:pPr>
      <w:r>
        <w:rPr>
          <w:rFonts w:hint="eastAsia" w:ascii="仿宋" w:hAnsi="仿宋" w:eastAsia="仿宋" w:cs="仿宋"/>
          <w:b/>
          <w:color w:val="auto"/>
          <w:sz w:val="24"/>
          <w:szCs w:val="24"/>
        </w:rPr>
        <w:t>甲方：</w:t>
      </w:r>
      <w:r>
        <w:rPr>
          <w:rFonts w:hint="eastAsia" w:ascii="仿宋" w:hAnsi="仿宋" w:eastAsia="仿宋" w:cs="仿宋"/>
          <w:b/>
          <w:color w:val="auto"/>
          <w:sz w:val="24"/>
          <w:szCs w:val="24"/>
          <w:u w:val="single"/>
          <w:lang w:eastAsia="zh-CN"/>
        </w:rPr>
        <w:t>汉滨区第三人民医院</w:t>
      </w:r>
    </w:p>
    <w:p w14:paraId="15B6297A">
      <w:pPr>
        <w:spacing w:line="360" w:lineRule="auto"/>
        <w:jc w:val="left"/>
        <w:rPr>
          <w:rFonts w:hint="eastAsia" w:ascii="仿宋" w:hAnsi="仿宋" w:eastAsia="仿宋" w:cs="仿宋"/>
          <w:color w:val="auto"/>
          <w:sz w:val="24"/>
          <w:szCs w:val="24"/>
          <w:u w:val="single"/>
        </w:rPr>
      </w:pPr>
      <w:r>
        <w:rPr>
          <w:rFonts w:hint="eastAsia" w:ascii="仿宋" w:hAnsi="仿宋" w:eastAsia="仿宋" w:cs="仿宋"/>
          <w:b/>
          <w:color w:val="auto"/>
          <w:sz w:val="24"/>
          <w:szCs w:val="24"/>
        </w:rPr>
        <w:t>乙方：</w:t>
      </w:r>
      <w:bookmarkEnd w:id="47"/>
    </w:p>
    <w:p w14:paraId="7BB4FD5D">
      <w:pPr>
        <w:pStyle w:val="26"/>
        <w:widowControl/>
        <w:numPr>
          <w:ilvl w:val="0"/>
          <w:numId w:val="0"/>
        </w:numPr>
        <w:spacing w:line="360" w:lineRule="auto"/>
        <w:ind w:leftChars="0"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依据《中华人民共和国合同法》及其他有关法律、法规之规定，就</w:t>
      </w:r>
      <w:r>
        <w:rPr>
          <w:rFonts w:hint="eastAsia" w:ascii="仿宋" w:hAnsi="仿宋" w:eastAsia="仿宋" w:cs="仿宋"/>
          <w:color w:val="auto"/>
          <w:sz w:val="24"/>
          <w:szCs w:val="24"/>
          <w:u w:val="single"/>
          <w:lang w:eastAsia="zh-CN"/>
        </w:rPr>
        <w:t>汉滨区第三人民医院2024年度专科、基础医疗设备</w:t>
      </w:r>
      <w:r>
        <w:rPr>
          <w:rFonts w:hint="eastAsia" w:ascii="仿宋" w:hAnsi="仿宋" w:eastAsia="仿宋" w:cs="仿宋"/>
          <w:color w:val="auto"/>
          <w:sz w:val="24"/>
          <w:szCs w:val="24"/>
          <w:u w:val="single"/>
          <w:lang w:val="en-US" w:eastAsia="zh-CN"/>
        </w:rPr>
        <w:t>清单</w:t>
      </w:r>
      <w:r>
        <w:rPr>
          <w:rFonts w:hint="eastAsia" w:ascii="仿宋" w:hAnsi="仿宋" w:eastAsia="仿宋" w:cs="仿宋"/>
          <w:color w:val="auto"/>
          <w:sz w:val="24"/>
          <w:szCs w:val="24"/>
          <w:u w:val="single"/>
          <w:lang w:eastAsia="zh-CN"/>
        </w:rPr>
        <w:t>采购项目</w:t>
      </w:r>
      <w:r>
        <w:rPr>
          <w:rFonts w:hint="eastAsia" w:ascii="仿宋" w:hAnsi="仿宋" w:eastAsia="仿宋" w:cs="仿宋"/>
          <w:color w:val="auto"/>
          <w:sz w:val="24"/>
          <w:szCs w:val="24"/>
          <w:u w:val="single"/>
          <w:lang w:val="en-US" w:eastAsia="zh-CN"/>
        </w:rPr>
        <w:t xml:space="preserve">    标段  </w:t>
      </w:r>
      <w:r>
        <w:rPr>
          <w:rFonts w:hint="eastAsia" w:ascii="仿宋" w:hAnsi="仿宋" w:eastAsia="仿宋" w:cs="仿宋"/>
          <w:color w:val="auto"/>
          <w:sz w:val="24"/>
          <w:szCs w:val="24"/>
        </w:rPr>
        <w:t>，根据中标结果，甲、乙双方经充分协商一致，在平等互利、提高效率、节约资源的原则下，签订</w:t>
      </w:r>
      <w:r>
        <w:rPr>
          <w:rFonts w:hint="eastAsia" w:ascii="仿宋" w:hAnsi="仿宋" w:eastAsia="仿宋" w:cs="仿宋"/>
          <w:color w:val="auto"/>
          <w:w w:val="80"/>
          <w:sz w:val="24"/>
          <w:szCs w:val="24"/>
          <w:u w:val="single"/>
        </w:rPr>
        <w:t xml:space="preserve"> </w:t>
      </w:r>
      <w:r>
        <w:rPr>
          <w:rFonts w:hint="eastAsia" w:ascii="仿宋" w:hAnsi="仿宋" w:eastAsia="仿宋" w:cs="仿宋"/>
          <w:color w:val="auto"/>
          <w:sz w:val="24"/>
          <w:szCs w:val="24"/>
          <w:u w:val="single"/>
          <w:lang w:eastAsia="zh-CN"/>
        </w:rPr>
        <w:t>汉滨区第三人民医院2024年度专科、基础医疗设备</w:t>
      </w:r>
      <w:r>
        <w:rPr>
          <w:rFonts w:hint="eastAsia" w:ascii="仿宋" w:hAnsi="仿宋" w:eastAsia="仿宋" w:cs="仿宋"/>
          <w:color w:val="auto"/>
          <w:sz w:val="24"/>
          <w:szCs w:val="24"/>
          <w:u w:val="single"/>
          <w:lang w:val="en-US" w:eastAsia="zh-CN"/>
        </w:rPr>
        <w:t>清单</w:t>
      </w:r>
      <w:r>
        <w:rPr>
          <w:rFonts w:hint="eastAsia" w:ascii="仿宋" w:hAnsi="仿宋" w:eastAsia="仿宋" w:cs="仿宋"/>
          <w:color w:val="auto"/>
          <w:sz w:val="24"/>
          <w:szCs w:val="24"/>
          <w:u w:val="single"/>
          <w:lang w:eastAsia="zh-CN"/>
        </w:rPr>
        <w:t>采购项目</w:t>
      </w:r>
      <w:r>
        <w:rPr>
          <w:rFonts w:hint="eastAsia" w:ascii="仿宋" w:hAnsi="仿宋" w:eastAsia="仿宋" w:cs="仿宋"/>
          <w:color w:val="auto"/>
          <w:sz w:val="24"/>
          <w:szCs w:val="24"/>
          <w:u w:val="single"/>
          <w:lang w:val="en-US" w:eastAsia="zh-CN"/>
        </w:rPr>
        <w:t xml:space="preserve">   标段  </w:t>
      </w:r>
      <w:r>
        <w:rPr>
          <w:rFonts w:hint="eastAsia" w:ascii="仿宋" w:hAnsi="仿宋" w:eastAsia="仿宋" w:cs="仿宋"/>
          <w:color w:val="auto"/>
          <w:sz w:val="24"/>
          <w:szCs w:val="24"/>
        </w:rPr>
        <w:t>合同。本合同价款总额为</w:t>
      </w:r>
      <w:r>
        <w:rPr>
          <w:rFonts w:hint="eastAsia" w:ascii="仿宋" w:hAnsi="仿宋" w:eastAsia="仿宋" w:cs="仿宋"/>
          <w:color w:val="auto"/>
          <w:sz w:val="24"/>
          <w:szCs w:val="24"/>
          <w:u w:val="single"/>
        </w:rPr>
        <w:t xml:space="preserve">（人民币）：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.00 元）</w:t>
      </w:r>
      <w:r>
        <w:rPr>
          <w:rFonts w:hint="eastAsia" w:ascii="仿宋" w:hAnsi="仿宋" w:eastAsia="仿宋" w:cs="仿宋"/>
          <w:color w:val="auto"/>
          <w:sz w:val="24"/>
          <w:szCs w:val="24"/>
        </w:rPr>
        <w:t>。以上合同总价包含验收合格之前所有费用。</w:t>
      </w:r>
    </w:p>
    <w:p w14:paraId="0C986792">
      <w:pPr>
        <w:adjustRightInd w:val="0"/>
        <w:spacing w:line="360" w:lineRule="auto"/>
        <w:ind w:firstLine="482" w:firstLineChars="200"/>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一、设备清单及交货期</w:t>
      </w:r>
    </w:p>
    <w:p w14:paraId="18984878">
      <w:pPr>
        <w:adjustRightIn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设备清单：</w:t>
      </w:r>
    </w:p>
    <w:tbl>
      <w:tblPr>
        <w:tblStyle w:val="30"/>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630"/>
        <w:gridCol w:w="1500"/>
        <w:gridCol w:w="1125"/>
        <w:gridCol w:w="1275"/>
        <w:gridCol w:w="1312"/>
      </w:tblGrid>
      <w:tr w14:paraId="1B12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595" w:type="dxa"/>
            <w:tcBorders>
              <w:top w:val="single" w:color="auto" w:sz="4" w:space="0"/>
              <w:left w:val="single" w:color="auto" w:sz="4" w:space="0"/>
              <w:bottom w:val="single" w:color="auto" w:sz="4" w:space="0"/>
              <w:right w:val="single" w:color="auto" w:sz="4" w:space="0"/>
            </w:tcBorders>
            <w:noWrap w:val="0"/>
            <w:vAlign w:val="center"/>
          </w:tcPr>
          <w:p w14:paraId="584C5F8C">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设备名称</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450A58F">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生产厂家</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CD038B6">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规格型号</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2C36F8F">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EE8D2A2">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单位</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35E84A9B">
            <w:pPr>
              <w:widowControl/>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合计（元）</w:t>
            </w:r>
          </w:p>
        </w:tc>
      </w:tr>
      <w:tr w14:paraId="6EC7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595" w:type="dxa"/>
            <w:tcBorders>
              <w:top w:val="single" w:color="auto" w:sz="4" w:space="0"/>
              <w:left w:val="single" w:color="auto" w:sz="4" w:space="0"/>
              <w:bottom w:val="single" w:color="auto" w:sz="4" w:space="0"/>
              <w:right w:val="single" w:color="auto" w:sz="4" w:space="0"/>
            </w:tcBorders>
            <w:noWrap w:val="0"/>
            <w:vAlign w:val="center"/>
          </w:tcPr>
          <w:p w14:paraId="36A72C1A">
            <w:pPr>
              <w:widowControl/>
              <w:adjustRightInd w:val="0"/>
              <w:snapToGrid w:val="0"/>
              <w:spacing w:line="360" w:lineRule="auto"/>
              <w:jc w:val="center"/>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04EE3B78">
            <w:pPr>
              <w:widowControl/>
              <w:adjustRightInd w:val="0"/>
              <w:snapToGrid w:val="0"/>
              <w:spacing w:line="360" w:lineRule="auto"/>
              <w:jc w:val="center"/>
              <w:rPr>
                <w:rFonts w:hint="eastAsia" w:ascii="仿宋" w:hAnsi="仿宋" w:eastAsia="仿宋" w:cs="仿宋"/>
                <w:color w:val="auto"/>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C896D42">
            <w:pPr>
              <w:widowControl/>
              <w:adjustRightInd w:val="0"/>
              <w:snapToGrid w:val="0"/>
              <w:spacing w:line="360" w:lineRule="auto"/>
              <w:jc w:val="center"/>
              <w:rPr>
                <w:rFonts w:hint="eastAsia" w:ascii="仿宋" w:hAnsi="仿宋" w:eastAsia="仿宋" w:cs="仿宋"/>
                <w:color w:val="auto"/>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C8CA1E4">
            <w:pPr>
              <w:widowControl/>
              <w:adjustRightInd w:val="0"/>
              <w:snapToGrid w:val="0"/>
              <w:spacing w:line="360" w:lineRule="auto"/>
              <w:jc w:val="center"/>
              <w:rPr>
                <w:rFonts w:hint="eastAsia" w:ascii="仿宋" w:hAnsi="仿宋" w:eastAsia="仿宋" w:cs="仿宋"/>
                <w:color w:val="auto"/>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EFF55E6">
            <w:pPr>
              <w:widowControl/>
              <w:adjustRightInd w:val="0"/>
              <w:snapToGrid w:val="0"/>
              <w:spacing w:line="360" w:lineRule="auto"/>
              <w:jc w:val="center"/>
              <w:rPr>
                <w:rFonts w:hint="eastAsia" w:ascii="仿宋" w:hAnsi="仿宋" w:eastAsia="仿宋" w:cs="仿宋"/>
                <w:color w:val="auto"/>
                <w:sz w:val="24"/>
                <w:szCs w:val="24"/>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0B7B10FB">
            <w:pPr>
              <w:widowControl/>
              <w:adjustRightInd w:val="0"/>
              <w:snapToGrid w:val="0"/>
              <w:spacing w:line="360" w:lineRule="auto"/>
              <w:jc w:val="center"/>
              <w:rPr>
                <w:rFonts w:hint="eastAsia" w:ascii="仿宋" w:hAnsi="仿宋" w:eastAsia="仿宋" w:cs="仿宋"/>
                <w:color w:val="auto"/>
                <w:sz w:val="24"/>
                <w:szCs w:val="24"/>
              </w:rPr>
            </w:pPr>
          </w:p>
        </w:tc>
      </w:tr>
      <w:tr w14:paraId="4E36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595" w:type="dxa"/>
            <w:tcBorders>
              <w:top w:val="single" w:color="auto" w:sz="4" w:space="0"/>
              <w:left w:val="single" w:color="auto" w:sz="4" w:space="0"/>
              <w:bottom w:val="single" w:color="auto" w:sz="4" w:space="0"/>
              <w:right w:val="single" w:color="auto" w:sz="4" w:space="0"/>
            </w:tcBorders>
            <w:noWrap w:val="0"/>
            <w:vAlign w:val="center"/>
          </w:tcPr>
          <w:p w14:paraId="7021153D">
            <w:pPr>
              <w:widowControl/>
              <w:adjustRightInd w:val="0"/>
              <w:snapToGrid w:val="0"/>
              <w:spacing w:line="360" w:lineRule="auto"/>
              <w:jc w:val="center"/>
              <w:rPr>
                <w:rFonts w:hint="default" w:ascii="仿宋" w:hAnsi="仿宋" w:eastAsia="仿宋" w:cs="仿宋"/>
                <w:color w:val="000000" w:themeColor="text1"/>
                <w:kern w:val="2"/>
                <w:sz w:val="24"/>
                <w:szCs w:val="24"/>
                <w:u w:val="none"/>
                <w:lang w:val="en-US" w:eastAsia="zh-CN" w:bidi="ar-SA"/>
                <w14:textFill>
                  <w14:solidFill>
                    <w14:schemeClr w14:val="tx1"/>
                  </w14:solidFill>
                </w14:textFill>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3AFE772B">
            <w:pPr>
              <w:widowControl/>
              <w:adjustRightInd w:val="0"/>
              <w:snapToGrid w:val="0"/>
              <w:spacing w:line="360" w:lineRule="auto"/>
              <w:jc w:val="center"/>
              <w:rPr>
                <w:rFonts w:hint="eastAsia" w:ascii="仿宋" w:hAnsi="仿宋" w:eastAsia="仿宋" w:cs="仿宋"/>
                <w:color w:val="auto"/>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FD9DE37">
            <w:pPr>
              <w:widowControl/>
              <w:adjustRightInd w:val="0"/>
              <w:snapToGrid w:val="0"/>
              <w:spacing w:line="360" w:lineRule="auto"/>
              <w:jc w:val="center"/>
              <w:rPr>
                <w:rFonts w:hint="eastAsia" w:ascii="仿宋" w:hAnsi="仿宋" w:eastAsia="仿宋" w:cs="仿宋"/>
                <w:color w:val="auto"/>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50DB1CB">
            <w:pPr>
              <w:widowControl/>
              <w:adjustRightInd w:val="0"/>
              <w:snapToGrid w:val="0"/>
              <w:spacing w:line="360" w:lineRule="auto"/>
              <w:jc w:val="center"/>
              <w:rPr>
                <w:rFonts w:hint="eastAsia" w:ascii="仿宋" w:hAnsi="仿宋" w:eastAsia="仿宋" w:cs="仿宋"/>
                <w:color w:val="auto"/>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C3AEC2B">
            <w:pPr>
              <w:widowControl/>
              <w:adjustRightInd w:val="0"/>
              <w:snapToGrid w:val="0"/>
              <w:spacing w:line="360" w:lineRule="auto"/>
              <w:jc w:val="center"/>
              <w:rPr>
                <w:rFonts w:hint="eastAsia" w:ascii="仿宋" w:hAnsi="仿宋" w:eastAsia="仿宋" w:cs="仿宋"/>
                <w:color w:val="auto"/>
                <w:sz w:val="24"/>
                <w:szCs w:val="24"/>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7D3D8D1C">
            <w:pPr>
              <w:widowControl/>
              <w:adjustRightInd w:val="0"/>
              <w:snapToGrid w:val="0"/>
              <w:spacing w:line="360" w:lineRule="auto"/>
              <w:jc w:val="center"/>
              <w:rPr>
                <w:rFonts w:hint="eastAsia" w:ascii="仿宋" w:hAnsi="仿宋" w:eastAsia="仿宋" w:cs="仿宋"/>
                <w:color w:val="auto"/>
                <w:sz w:val="24"/>
                <w:szCs w:val="24"/>
              </w:rPr>
            </w:pPr>
          </w:p>
        </w:tc>
      </w:tr>
      <w:tr w14:paraId="6315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595" w:type="dxa"/>
            <w:tcBorders>
              <w:top w:val="single" w:color="auto" w:sz="4" w:space="0"/>
              <w:left w:val="single" w:color="auto" w:sz="4" w:space="0"/>
              <w:bottom w:val="single" w:color="auto" w:sz="4" w:space="0"/>
              <w:right w:val="single" w:color="auto" w:sz="4" w:space="0"/>
            </w:tcBorders>
            <w:noWrap w:val="0"/>
            <w:vAlign w:val="center"/>
          </w:tcPr>
          <w:p w14:paraId="0873C71E">
            <w:pPr>
              <w:widowControl/>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5530" w:type="dxa"/>
            <w:gridSpan w:val="4"/>
            <w:tcBorders>
              <w:top w:val="single" w:color="auto" w:sz="4" w:space="0"/>
              <w:left w:val="single" w:color="auto" w:sz="4" w:space="0"/>
              <w:bottom w:val="single" w:color="auto" w:sz="4" w:space="0"/>
              <w:right w:val="single" w:color="auto" w:sz="4" w:space="0"/>
            </w:tcBorders>
            <w:noWrap w:val="0"/>
            <w:vAlign w:val="center"/>
          </w:tcPr>
          <w:p w14:paraId="17B1A5D2">
            <w:pPr>
              <w:widowControl/>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78A9D1F2">
            <w:pPr>
              <w:widowControl/>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r>
    </w:tbl>
    <w:p w14:paraId="76EFD4C6">
      <w:pPr>
        <w:adjustRightIn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交货期在合同签订后 </w:t>
      </w:r>
      <w:r>
        <w:rPr>
          <w:rFonts w:hint="eastAsia" w:ascii="仿宋" w:hAnsi="仿宋" w:eastAsia="仿宋" w:cs="仿宋"/>
          <w:color w:val="auto"/>
          <w:kern w:val="0"/>
          <w:sz w:val="24"/>
          <w:szCs w:val="24"/>
          <w:u w:val="single"/>
        </w:rPr>
        <w:t xml:space="preserve"> 30 </w:t>
      </w:r>
      <w:r>
        <w:rPr>
          <w:rFonts w:hint="eastAsia" w:ascii="仿宋" w:hAnsi="仿宋" w:eastAsia="仿宋" w:cs="仿宋"/>
          <w:color w:val="auto"/>
          <w:w w:val="80"/>
          <w:sz w:val="24"/>
          <w:szCs w:val="24"/>
          <w:u w:val="single"/>
        </w:rPr>
        <w:t xml:space="preserve"> </w:t>
      </w:r>
      <w:r>
        <w:rPr>
          <w:rFonts w:hint="eastAsia" w:ascii="仿宋" w:hAnsi="仿宋" w:eastAsia="仿宋" w:cs="仿宋"/>
          <w:color w:val="auto"/>
          <w:sz w:val="24"/>
          <w:szCs w:val="24"/>
        </w:rPr>
        <w:t xml:space="preserve"> 天内</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如因</w:t>
      </w:r>
      <w:r>
        <w:rPr>
          <w:rFonts w:hint="eastAsia" w:ascii="仿宋" w:hAnsi="仿宋" w:eastAsia="仿宋" w:cs="仿宋"/>
          <w:color w:val="auto"/>
          <w:sz w:val="24"/>
          <w:szCs w:val="24"/>
          <w:lang w:val="en-US" w:eastAsia="zh-CN"/>
        </w:rPr>
        <w:t>甲方场地验收不达标或其他特殊原因导致</w:t>
      </w:r>
      <w:r>
        <w:rPr>
          <w:rFonts w:hint="eastAsia" w:ascii="仿宋" w:hAnsi="仿宋" w:eastAsia="仿宋" w:cs="仿宋"/>
          <w:color w:val="auto"/>
          <w:sz w:val="24"/>
          <w:szCs w:val="24"/>
        </w:rPr>
        <w:t>货物无法到场</w:t>
      </w:r>
      <w:r>
        <w:rPr>
          <w:rFonts w:hint="eastAsia" w:ascii="仿宋" w:hAnsi="仿宋" w:eastAsia="仿宋" w:cs="仿宋"/>
          <w:color w:val="auto"/>
          <w:sz w:val="24"/>
          <w:szCs w:val="24"/>
          <w:lang w:val="en-US" w:eastAsia="zh-CN"/>
        </w:rPr>
        <w:t>安装</w:t>
      </w:r>
      <w:r>
        <w:rPr>
          <w:rFonts w:hint="eastAsia" w:ascii="仿宋" w:hAnsi="仿宋" w:eastAsia="仿宋" w:cs="仿宋"/>
          <w:color w:val="auto"/>
          <w:sz w:val="24"/>
          <w:szCs w:val="24"/>
        </w:rPr>
        <w:t>，交货期可顺延。</w:t>
      </w:r>
    </w:p>
    <w:p w14:paraId="01C0B71C">
      <w:pPr>
        <w:adjustRightInd w:val="0"/>
        <w:spacing w:line="360" w:lineRule="auto"/>
        <w:ind w:firstLine="482" w:firstLineChars="200"/>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二、交货及安装地点</w:t>
      </w:r>
      <w:bookmarkStart w:id="48" w:name="_Toc167714038"/>
      <w:bookmarkStart w:id="49" w:name="_Toc167712840"/>
      <w:bookmarkStart w:id="50" w:name="_Toc167715235"/>
    </w:p>
    <w:p w14:paraId="5DA7DE8F">
      <w:pPr>
        <w:adjustRightIn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汉滨区第三人民医院</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汉滨区五里镇五里村二组</w:t>
      </w:r>
      <w:r>
        <w:rPr>
          <w:rFonts w:hint="eastAsia" w:ascii="仿宋" w:hAnsi="仿宋" w:eastAsia="仿宋" w:cs="仿宋"/>
          <w:color w:val="auto"/>
          <w:sz w:val="24"/>
          <w:szCs w:val="24"/>
        </w:rPr>
        <w:t>）</w:t>
      </w:r>
    </w:p>
    <w:p w14:paraId="001611F1">
      <w:pPr>
        <w:adjustRightInd w:val="0"/>
        <w:spacing w:line="360" w:lineRule="auto"/>
        <w:ind w:firstLine="482" w:firstLineChars="200"/>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三、包装、运输及安装、调试、培训要求</w:t>
      </w:r>
    </w:p>
    <w:p w14:paraId="3B0B9DC1">
      <w:pPr>
        <w:tabs>
          <w:tab w:val="left" w:pos="720"/>
        </w:tabs>
        <w:adjustRightIn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乙方负责办理将货物运抵采购人指定交货地点的一切运输事项，完成招标文件中有安装、调试、培训要求的设备的相关工作。培训除非另有说明，凡需要现场安装、装配、启动测试的设备，乙方须提供免费现场安装并义务进行相关设备的基本操作原理、调试、操作使用和保养维修等有关内容的培训。所有费用一次性计入投标总价。</w:t>
      </w:r>
    </w:p>
    <w:p w14:paraId="2F32970A">
      <w:pPr>
        <w:autoSpaceDN w:val="0"/>
        <w:adjustRightIn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乙方须提供货物运至合同规定的最终目的地所需要的包装，以防止货物在转运中损坏或变质。应采取防潮、防晒、防锈、防腐蚀、防震动及防止其它损坏的必要保护措施，从而保护货物能够经受多次搬运、装卸及长途运输。乙方应承担由于其包装或防护措施不妥而引起的货物锈蚀、损坏和丢失等任何损失造成的责任或费用。</w:t>
      </w:r>
    </w:p>
    <w:bookmarkEnd w:id="48"/>
    <w:bookmarkEnd w:id="49"/>
    <w:bookmarkEnd w:id="50"/>
    <w:p w14:paraId="4CD2E31A">
      <w:pPr>
        <w:adjustRightInd w:val="0"/>
        <w:spacing w:line="360" w:lineRule="auto"/>
        <w:ind w:firstLine="482" w:firstLineChars="200"/>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四、验收</w:t>
      </w:r>
    </w:p>
    <w:p w14:paraId="5468A053">
      <w:pPr>
        <w:adjustRightIn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1.设备到货后，供应商负责安装调试，达到正常运行条件后通知甲方验收。</w:t>
      </w:r>
    </w:p>
    <w:p w14:paraId="0B2CED5C">
      <w:pPr>
        <w:adjustRightInd w:val="0"/>
        <w:spacing w:line="360" w:lineRule="auto"/>
        <w:ind w:firstLine="470" w:firstLineChars="196"/>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2.甲方根据合同要求对设备进行验收，确认设备的产地、规格、型号和数量等，必要时可邀请有关专家验收。</w:t>
      </w:r>
    </w:p>
    <w:p w14:paraId="3E4180ED">
      <w:pPr>
        <w:adjustRightInd w:val="0"/>
        <w:spacing w:line="360" w:lineRule="auto"/>
        <w:ind w:firstLine="470" w:firstLineChars="196"/>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3.验收合格后，填写设备交接竣工验收单，并向使用单位提交设备所包含的所有资料（含软、硬件），以便使用单位日后管理和维护。</w:t>
      </w:r>
    </w:p>
    <w:p w14:paraId="43A871EF">
      <w:pPr>
        <w:adjustRightInd w:val="0"/>
        <w:spacing w:line="360" w:lineRule="auto"/>
        <w:ind w:firstLine="470" w:firstLineChars="196"/>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4.验收依据：</w:t>
      </w:r>
    </w:p>
    <w:p w14:paraId="217F9387">
      <w:pPr>
        <w:adjustRightInd w:val="0"/>
        <w:spacing w:line="360" w:lineRule="auto"/>
        <w:ind w:firstLine="470" w:firstLineChars="196"/>
        <w:textAlignment w:val="baseline"/>
        <w:rPr>
          <w:rFonts w:hint="eastAsia" w:ascii="仿宋" w:hAnsi="仿宋" w:eastAsia="仿宋" w:cs="仿宋"/>
          <w:color w:val="auto"/>
          <w:sz w:val="24"/>
          <w:szCs w:val="24"/>
        </w:rPr>
      </w:pPr>
      <w:bookmarkStart w:id="51" w:name="_Toc167715242"/>
      <w:bookmarkStart w:id="52" w:name="_Toc167714045"/>
      <w:bookmarkStart w:id="53" w:name="_Toc167712847"/>
      <w:bookmarkStart w:id="54" w:name="_Toc167712849"/>
      <w:bookmarkStart w:id="55" w:name="_Toc167715244"/>
      <w:bookmarkStart w:id="56" w:name="_Toc167714047"/>
      <w:r>
        <w:rPr>
          <w:rFonts w:hint="eastAsia" w:ascii="仿宋" w:hAnsi="仿宋" w:eastAsia="仿宋" w:cs="仿宋"/>
          <w:color w:val="auto"/>
          <w:sz w:val="24"/>
          <w:szCs w:val="24"/>
        </w:rPr>
        <w:t>（1）合同文本</w:t>
      </w:r>
      <w:bookmarkEnd w:id="51"/>
      <w:bookmarkEnd w:id="52"/>
      <w:bookmarkEnd w:id="53"/>
      <w:r>
        <w:rPr>
          <w:rFonts w:hint="eastAsia" w:ascii="仿宋" w:hAnsi="仿宋" w:eastAsia="仿宋" w:cs="仿宋"/>
          <w:color w:val="auto"/>
          <w:sz w:val="24"/>
          <w:szCs w:val="24"/>
        </w:rPr>
        <w:t>、招标文件、投标文件；</w:t>
      </w:r>
    </w:p>
    <w:p w14:paraId="32416191">
      <w:pPr>
        <w:adjustRightInd w:val="0"/>
        <w:spacing w:line="360" w:lineRule="auto"/>
        <w:ind w:firstLine="470" w:firstLineChars="196"/>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57" w:name="_Toc167715243"/>
      <w:bookmarkStart w:id="58" w:name="_Toc167712848"/>
      <w:bookmarkStart w:id="59" w:name="_Toc167714046"/>
      <w:r>
        <w:rPr>
          <w:rFonts w:hint="eastAsia" w:ascii="仿宋" w:hAnsi="仿宋" w:eastAsia="仿宋" w:cs="仿宋"/>
          <w:color w:val="auto"/>
          <w:sz w:val="24"/>
          <w:szCs w:val="24"/>
        </w:rPr>
        <w:t>）国内相应的标准、规范。</w:t>
      </w:r>
      <w:bookmarkEnd w:id="57"/>
      <w:bookmarkEnd w:id="58"/>
      <w:bookmarkEnd w:id="59"/>
    </w:p>
    <w:p w14:paraId="7628B7A2">
      <w:pPr>
        <w:adjustRightInd w:val="0"/>
        <w:snapToGrid w:val="0"/>
        <w:spacing w:line="360" w:lineRule="auto"/>
        <w:ind w:firstLine="482" w:firstLineChars="200"/>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五、款项结算</w:t>
      </w:r>
    </w:p>
    <w:bookmarkEnd w:id="54"/>
    <w:bookmarkEnd w:id="55"/>
    <w:bookmarkEnd w:id="56"/>
    <w:p w14:paraId="29EE7ABF">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1.合同价款</w:t>
      </w:r>
    </w:p>
    <w:p w14:paraId="0111FFAF">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（1）本合同价款总计：</w:t>
      </w:r>
      <w:r>
        <w:rPr>
          <w:rFonts w:hint="eastAsia" w:ascii="仿宋" w:hAnsi="仿宋" w:eastAsia="仿宋" w:cs="仿宋"/>
          <w:color w:val="auto"/>
          <w:sz w:val="24"/>
          <w:szCs w:val="24"/>
          <w:u w:val="single"/>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.00元）。</w:t>
      </w:r>
      <w:r>
        <w:rPr>
          <w:rFonts w:hint="eastAsia" w:ascii="仿宋" w:hAnsi="仿宋" w:eastAsia="仿宋" w:cs="仿宋"/>
          <w:color w:val="auto"/>
          <w:sz w:val="24"/>
          <w:szCs w:val="24"/>
        </w:rPr>
        <w:t>（以下简称“合同总金额”）。</w:t>
      </w:r>
    </w:p>
    <w:p w14:paraId="262C5AE0">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（2）本合同项下的价款和价外费用均为包含增值税的含税价，上述合同价款已包含本合同项下甲方应支付的所有款项，甲方无需再支出任何其他款项。</w:t>
      </w:r>
    </w:p>
    <w:p w14:paraId="7B1D5B6E">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2.支付方式及支付时间</w:t>
      </w:r>
    </w:p>
    <w:p w14:paraId="460F2CE3">
      <w:pPr>
        <w:pStyle w:val="7"/>
        <w:adjustRightInd w:val="0"/>
        <w:spacing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设备验收合格</w:t>
      </w:r>
      <w:r>
        <w:rPr>
          <w:rFonts w:hint="eastAsia" w:ascii="仿宋" w:hAnsi="仿宋" w:eastAsia="仿宋" w:cs="仿宋"/>
          <w:color w:val="auto"/>
          <w:sz w:val="24"/>
          <w:szCs w:val="24"/>
        </w:rPr>
        <w:t>后，乙方应按合同总金额向甲方开具合法有效的增值税专用发票，在设备到货后，甲方核对验收货物并进行签收，乙方将设备安装调试完成运行后，甲方牵头组织验收并签署验收报告。甲方自取得其上级单位财务授权后，在乙方无任何违约行为且本合同所列产品经验收合格的前提下，向乙方付款。若经甲方查验，发现乙方所交部分或全部货物与本合同第一条所述品牌、规格、型号、产地、制造厂商、数量等项目之一不符的，甲方有权拒绝不符项的货款。</w:t>
      </w:r>
    </w:p>
    <w:p w14:paraId="6A856CCE">
      <w:pPr>
        <w:adjustRightInd w:val="0"/>
        <w:spacing w:line="360" w:lineRule="auto"/>
        <w:ind w:firstLine="480" w:firstLineChars="20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（2）付款方式：所有设备由中标方负责供货、运输、安装</w:t>
      </w:r>
      <w:r>
        <w:rPr>
          <w:rFonts w:hint="eastAsia" w:ascii="仿宋" w:hAnsi="仿宋" w:eastAsia="仿宋" w:cs="仿宋"/>
          <w:color w:val="auto"/>
          <w:sz w:val="24"/>
          <w:szCs w:val="24"/>
          <w:lang w:val="en-US" w:eastAsia="zh-CN"/>
        </w:rPr>
        <w:t xml:space="preserve">到位，经验收合格后支付总货款50%，验收合格后30天内付款50%。 </w:t>
      </w:r>
    </w:p>
    <w:p w14:paraId="478C088E">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（3）支付时，甲方应按照本合同约定将款项划转入乙方如下账户：   </w:t>
      </w:r>
    </w:p>
    <w:p w14:paraId="3320F4F1">
      <w:pPr>
        <w:adjustRightInd w:val="0"/>
        <w:spacing w:line="360" w:lineRule="auto"/>
        <w:ind w:firstLine="480" w:firstLineChars="200"/>
        <w:jc w:val="left"/>
        <w:textAlignment w:val="baseline"/>
        <w:rPr>
          <w:rFonts w:hint="eastAsia" w:ascii="仿宋" w:hAnsi="仿宋" w:eastAsia="仿宋" w:cs="仿宋"/>
          <w:color w:val="auto"/>
          <w:sz w:val="24"/>
          <w:szCs w:val="24"/>
          <w:u w:val="single"/>
        </w:rPr>
      </w:pPr>
      <w:r>
        <w:rPr>
          <w:rFonts w:hint="eastAsia" w:ascii="仿宋" w:hAnsi="仿宋" w:eastAsia="仿宋" w:cs="仿宋"/>
          <w:color w:val="auto"/>
          <w:sz w:val="24"/>
          <w:szCs w:val="24"/>
        </w:rPr>
        <w:t>开户银行：</w:t>
      </w:r>
    </w:p>
    <w:p w14:paraId="3C441AF7">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账户户名：</w:t>
      </w:r>
    </w:p>
    <w:p w14:paraId="6B4BB366">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账    号：</w:t>
      </w:r>
    </w:p>
    <w:p w14:paraId="1AC40FDA">
      <w:pPr>
        <w:adjustRightIn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p w14:paraId="42F891FD">
      <w:pPr>
        <w:adjustRightIn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税    号：</w:t>
      </w:r>
    </w:p>
    <w:p w14:paraId="38B1B739">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上述账户信息如有变更，乙方应在合同约定的相关付款期限前至少提前十个工作日以书面方式通知甲方，通知应加盖乙方公章。</w:t>
      </w:r>
    </w:p>
    <w:p w14:paraId="06C7B773">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3.发票</w:t>
      </w:r>
    </w:p>
    <w:p w14:paraId="6DD359EE">
      <w:pPr>
        <w:adjustRightInd w:val="0"/>
        <w:spacing w:line="360" w:lineRule="auto"/>
        <w:ind w:firstLine="580" w:firstLineChars="242"/>
        <w:jc w:val="left"/>
        <w:textAlignment w:val="baseline"/>
        <w:rPr>
          <w:rFonts w:hint="eastAsia" w:ascii="仿宋" w:hAnsi="仿宋" w:eastAsia="仿宋" w:cs="仿宋"/>
          <w:color w:val="auto"/>
          <w:sz w:val="24"/>
          <w:szCs w:val="24"/>
          <w:highlight w:val="yellow"/>
          <w:u w:val="single"/>
          <w:lang w:val="en-US" w:eastAsia="zh-CN"/>
        </w:rPr>
      </w:pPr>
      <w:r>
        <w:rPr>
          <w:rFonts w:hint="eastAsia" w:ascii="仿宋" w:hAnsi="仿宋" w:eastAsia="仿宋" w:cs="仿宋"/>
          <w:color w:val="auto"/>
          <w:sz w:val="24"/>
          <w:szCs w:val="24"/>
        </w:rPr>
        <w:t>（1）乙方应按合同总金额向甲方开具合法有效的增值税专用发票。</w:t>
      </w:r>
    </w:p>
    <w:p w14:paraId="5722A082">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如乙方向甲方开具的发票无效、虚假、发票类型与合同约定不符，或者乙方发生迟延开具或交付发票的情形，或者乙方出现违反合同约定的其他情形，乙方应当赔偿甲方全部损失，包括但不限于税金、附加税费、罚金、滞纳金。</w:t>
      </w:r>
    </w:p>
    <w:p w14:paraId="1902EDF2">
      <w:pPr>
        <w:adjustRightIn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（3）如发生需要作废发票或开具红字发票等情形，乙方应当根据甲方要求及时开具发票。</w:t>
      </w:r>
    </w:p>
    <w:p w14:paraId="5E0E386A">
      <w:pPr>
        <w:adjustRightInd w:val="0"/>
        <w:spacing w:line="360" w:lineRule="auto"/>
        <w:ind w:firstLine="472" w:firstLineChars="196"/>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六、质量保证</w:t>
      </w:r>
    </w:p>
    <w:p w14:paraId="180D7CF4">
      <w:pPr>
        <w:adjustRightInd w:val="0"/>
        <w:snapToGrid w:val="0"/>
        <w:spacing w:line="360" w:lineRule="auto"/>
        <w:ind w:firstLine="470" w:firstLineChars="196"/>
        <w:textAlignment w:val="baseline"/>
        <w:rPr>
          <w:rFonts w:hint="eastAsia" w:ascii="仿宋" w:hAnsi="仿宋" w:eastAsia="仿宋" w:cs="仿宋"/>
          <w:b/>
          <w:color w:val="auto"/>
          <w:sz w:val="24"/>
          <w:szCs w:val="24"/>
        </w:rPr>
      </w:pPr>
      <w:r>
        <w:rPr>
          <w:rFonts w:hint="eastAsia" w:ascii="仿宋" w:hAnsi="仿宋" w:eastAsia="仿宋" w:cs="仿宋"/>
          <w:color w:val="auto"/>
          <w:sz w:val="24"/>
          <w:szCs w:val="24"/>
        </w:rPr>
        <w:t>1.货物的设计、制造应遵照行业的现行规范和标准。</w:t>
      </w:r>
    </w:p>
    <w:p w14:paraId="02AF08DA">
      <w:pPr>
        <w:adjustRightInd w:val="0"/>
        <w:spacing w:line="360" w:lineRule="auto"/>
        <w:ind w:firstLine="470" w:firstLineChars="196"/>
        <w:textAlignment w:val="baseline"/>
        <w:rPr>
          <w:rFonts w:hint="eastAsia" w:ascii="仿宋" w:hAnsi="仿宋" w:eastAsia="仿宋" w:cs="仿宋"/>
          <w:color w:val="auto"/>
          <w:sz w:val="24"/>
          <w:szCs w:val="24"/>
        </w:rPr>
      </w:pPr>
      <w:bookmarkStart w:id="60" w:name="_Toc167712855"/>
      <w:bookmarkStart w:id="61" w:name="_Toc167714053"/>
      <w:bookmarkStart w:id="62" w:name="_Toc167715250"/>
      <w:r>
        <w:rPr>
          <w:rFonts w:hint="eastAsia" w:ascii="仿宋" w:hAnsi="仿宋" w:eastAsia="仿宋" w:cs="仿宋"/>
          <w:color w:val="auto"/>
          <w:sz w:val="24"/>
          <w:szCs w:val="24"/>
        </w:rPr>
        <w:t>2.所有货物及辅材须是全新未使用过的，是用最新工艺生产的最新产品，质量优良、渠道正当，配置齐全。</w:t>
      </w:r>
      <w:bookmarkEnd w:id="60"/>
      <w:bookmarkEnd w:id="61"/>
      <w:bookmarkEnd w:id="62"/>
    </w:p>
    <w:p w14:paraId="4369EE37">
      <w:pPr>
        <w:pStyle w:val="29"/>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服务期符合招标文件要求</w:t>
      </w:r>
      <w:r>
        <w:rPr>
          <w:rFonts w:hint="eastAsia" w:ascii="仿宋" w:hAnsi="仿宋" w:eastAsia="仿宋" w:cs="仿宋"/>
          <w:bCs/>
          <w:color w:val="auto"/>
          <w:sz w:val="24"/>
          <w:szCs w:val="24"/>
        </w:rPr>
        <w:t>。</w:t>
      </w:r>
      <w:r>
        <w:rPr>
          <w:rFonts w:hint="eastAsia" w:ascii="仿宋" w:hAnsi="仿宋" w:eastAsia="仿宋" w:cs="仿宋"/>
          <w:color w:val="auto"/>
          <w:sz w:val="24"/>
          <w:szCs w:val="24"/>
        </w:rPr>
        <w:t>提供完整的使用手册：安装时院方验收，提供培训计划，提供原厂技术白皮书及相关技术资料、加盖制造商印鉴。</w:t>
      </w:r>
    </w:p>
    <w:p w14:paraId="69220EE6">
      <w:pPr>
        <w:widowControl/>
        <w:spacing w:line="360" w:lineRule="auto"/>
        <w:ind w:firstLine="480" w:firstLineChars="200"/>
        <w:jc w:val="left"/>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r>
        <w:rPr>
          <w:rFonts w:hint="eastAsia" w:ascii="仿宋" w:hAnsi="仿宋" w:eastAsia="仿宋" w:cs="仿宋"/>
          <w:color w:val="auto"/>
          <w:kern w:val="0"/>
          <w:sz w:val="24"/>
          <w:szCs w:val="24"/>
          <w:lang w:val="en-US" w:eastAsia="zh-CN" w:bidi="ar"/>
        </w:rPr>
        <w:t>所有设备验收后质保一年，</w:t>
      </w:r>
      <w:r>
        <w:rPr>
          <w:rFonts w:hint="eastAsia" w:ascii="仿宋" w:hAnsi="仿宋" w:eastAsia="仿宋" w:cs="仿宋"/>
          <w:color w:val="auto"/>
          <w:kern w:val="0"/>
          <w:sz w:val="24"/>
          <w:szCs w:val="24"/>
          <w:lang w:bidi="ar"/>
        </w:rPr>
        <w:t>乙方按照合同约定进行供货、并在质量保修期内承担质量保修责任及保修服务。免费更换问题货物的期限：有完善的售后服务系统，在收到维修服务要求后2小时电话响应，24小时到现场，更换配件若超过48小时，超过48小时应提供合理的解决方案。</w:t>
      </w:r>
    </w:p>
    <w:p w14:paraId="1C1C7054">
      <w:pPr>
        <w:widowControl/>
        <w:tabs>
          <w:tab w:val="left" w:pos="0"/>
        </w:tabs>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5.乙方应告知甲方产品的使用、维护、保养等有关注意事项，并根据要求对院方人员进行培训。</w:t>
      </w:r>
    </w:p>
    <w:p w14:paraId="3FAAC42E">
      <w:pPr>
        <w:widowControl/>
        <w:tabs>
          <w:tab w:val="left" w:pos="0"/>
        </w:tabs>
        <w:spacing w:line="360" w:lineRule="auto"/>
        <w:ind w:firstLine="480" w:firstLineChars="200"/>
        <w:jc w:val="left"/>
        <w:rPr>
          <w:rFonts w:hint="eastAsia" w:ascii="仿宋" w:hAnsi="仿宋" w:eastAsia="仿宋" w:cs="仿宋"/>
          <w:color w:val="auto"/>
          <w:kern w:val="10"/>
          <w:sz w:val="24"/>
          <w:szCs w:val="24"/>
        </w:rPr>
      </w:pPr>
      <w:r>
        <w:rPr>
          <w:rFonts w:hint="eastAsia" w:ascii="仿宋" w:hAnsi="仿宋" w:eastAsia="仿宋" w:cs="仿宋"/>
          <w:color w:val="auto"/>
          <w:sz w:val="24"/>
          <w:szCs w:val="24"/>
        </w:rPr>
        <w:t>6.在质量保期内或使用过程中，如果货物的质量、规格、技术指标等与合同及招、投标文件有任何一项不符，甲方有权向乙方提出索赔。</w:t>
      </w:r>
    </w:p>
    <w:p w14:paraId="771535DD">
      <w:pPr>
        <w:widowControl/>
        <w:tabs>
          <w:tab w:val="left" w:pos="0"/>
        </w:tabs>
        <w:spacing w:line="360" w:lineRule="auto"/>
        <w:ind w:firstLine="480" w:firstLineChars="200"/>
        <w:jc w:val="left"/>
        <w:rPr>
          <w:rFonts w:hint="eastAsia" w:ascii="仿宋" w:hAnsi="仿宋" w:eastAsia="仿宋" w:cs="仿宋"/>
          <w:color w:val="auto"/>
          <w:kern w:val="10"/>
          <w:sz w:val="24"/>
          <w:szCs w:val="24"/>
        </w:rPr>
      </w:pPr>
      <w:r>
        <w:rPr>
          <w:rFonts w:hint="eastAsia" w:ascii="仿宋" w:hAnsi="仿宋" w:eastAsia="仿宋" w:cs="仿宋"/>
          <w:color w:val="auto"/>
          <w:sz w:val="24"/>
          <w:szCs w:val="24"/>
        </w:rPr>
        <w:t>7.质保期</w:t>
      </w:r>
      <w:r>
        <w:rPr>
          <w:rFonts w:hint="eastAsia" w:ascii="仿宋" w:hAnsi="仿宋" w:eastAsia="仿宋" w:cs="仿宋"/>
          <w:color w:val="auto"/>
          <w:kern w:val="10"/>
          <w:sz w:val="24"/>
          <w:szCs w:val="24"/>
        </w:rPr>
        <w:t>内，如货物或零件因非人为因素出现故障造成短期停用1天时，则质保期和免费维修期相应顺延3天。如停用时间累计超过60天则质保期重新计算。</w:t>
      </w:r>
    </w:p>
    <w:p w14:paraId="451AB223">
      <w:pPr>
        <w:widowControl/>
        <w:tabs>
          <w:tab w:val="left" w:pos="0"/>
        </w:tabs>
        <w:spacing w:line="360" w:lineRule="auto"/>
        <w:ind w:firstLine="480" w:firstLineChars="200"/>
        <w:jc w:val="left"/>
        <w:rPr>
          <w:rFonts w:hint="eastAsia" w:ascii="仿宋" w:hAnsi="仿宋" w:eastAsia="仿宋" w:cs="仿宋"/>
          <w:color w:val="auto"/>
          <w:kern w:val="10"/>
          <w:sz w:val="24"/>
          <w:szCs w:val="24"/>
        </w:rPr>
      </w:pPr>
      <w:r>
        <w:rPr>
          <w:rFonts w:hint="eastAsia" w:ascii="仿宋" w:hAnsi="仿宋" w:eastAsia="仿宋" w:cs="仿宋"/>
          <w:color w:val="auto"/>
          <w:kern w:val="10"/>
          <w:sz w:val="24"/>
          <w:szCs w:val="24"/>
        </w:rPr>
        <w:t>8.乙方应有完善的售后服务系统，能提供良好的本地化服务，在产品正常使用寿命内发生的任何产品质量问题，在收到甲方维修服务要求后2小时内电话响应，24小时内到现场，更换配件若超过48小时，应提供合理的解决方案。若乙方未能及时维修，甲方有权自行委托第三方进行维修，相关费用由乙方承担全部。</w:t>
      </w:r>
    </w:p>
    <w:p w14:paraId="5BCEF27E">
      <w:pPr>
        <w:adjustRightIn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kern w:val="10"/>
          <w:sz w:val="24"/>
          <w:szCs w:val="24"/>
        </w:rPr>
        <w:t>9.乙方在质保期内安装的任何零配件，必须是其投标生产厂家原产的或是经其认可的；所有的替代零配件必须是新的未使用和未经修复的,除非最终用户提供书面许可，否则不可使用此范围外的其他（非新的）配件。</w:t>
      </w:r>
      <w:r>
        <w:rPr>
          <w:rFonts w:hint="eastAsia" w:ascii="仿宋" w:hAnsi="仿宋" w:eastAsia="仿宋" w:cs="仿宋"/>
          <w:color w:val="auto"/>
          <w:sz w:val="24"/>
          <w:szCs w:val="24"/>
        </w:rPr>
        <w:t>质量保证期后以优惠价提供上述服务。</w:t>
      </w:r>
    </w:p>
    <w:p w14:paraId="3C773304">
      <w:pPr>
        <w:widowControl/>
        <w:tabs>
          <w:tab w:val="left" w:pos="0"/>
        </w:tabs>
        <w:spacing w:line="360" w:lineRule="auto"/>
        <w:ind w:firstLine="480" w:firstLineChars="200"/>
        <w:jc w:val="left"/>
        <w:rPr>
          <w:rFonts w:hint="eastAsia" w:ascii="仿宋" w:hAnsi="仿宋" w:eastAsia="仿宋" w:cs="仿宋"/>
          <w:color w:val="auto"/>
          <w:kern w:val="10"/>
          <w:sz w:val="24"/>
          <w:szCs w:val="24"/>
        </w:rPr>
      </w:pPr>
      <w:r>
        <w:rPr>
          <w:rFonts w:hint="eastAsia" w:ascii="仿宋" w:hAnsi="仿宋" w:eastAsia="仿宋" w:cs="仿宋"/>
          <w:color w:val="auto"/>
          <w:kern w:val="10"/>
          <w:sz w:val="24"/>
          <w:szCs w:val="24"/>
        </w:rPr>
        <w:t>10.保修期内所有因更换或修理机械设备或部件而导致设备停止使用的时间应从其质保期内扣除。</w:t>
      </w:r>
    </w:p>
    <w:p w14:paraId="73563C78">
      <w:pPr>
        <w:widowControl/>
        <w:tabs>
          <w:tab w:val="left" w:pos="0"/>
        </w:tabs>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10"/>
          <w:sz w:val="24"/>
          <w:szCs w:val="24"/>
        </w:rPr>
        <w:t>11.在</w:t>
      </w:r>
      <w:r>
        <w:rPr>
          <w:rFonts w:hint="eastAsia" w:ascii="仿宋" w:hAnsi="仿宋" w:eastAsia="仿宋" w:cs="仿宋"/>
          <w:color w:val="auto"/>
          <w:sz w:val="24"/>
          <w:szCs w:val="24"/>
        </w:rPr>
        <w:t>产品安装、调试时，乙方应根据招、投标文件要求进行指导配合。</w:t>
      </w:r>
    </w:p>
    <w:p w14:paraId="14E2F133">
      <w:pPr>
        <w:widowControl/>
        <w:tabs>
          <w:tab w:val="left" w:pos="0"/>
        </w:tabs>
        <w:spacing w:line="360" w:lineRule="auto"/>
        <w:ind w:firstLine="480" w:firstLineChars="200"/>
        <w:jc w:val="left"/>
        <w:rPr>
          <w:rFonts w:hint="eastAsia" w:ascii="仿宋" w:hAnsi="仿宋" w:eastAsia="仿宋" w:cs="仿宋"/>
          <w:color w:val="auto"/>
          <w:kern w:val="10"/>
          <w:sz w:val="24"/>
          <w:szCs w:val="24"/>
        </w:rPr>
      </w:pPr>
      <w:r>
        <w:rPr>
          <w:rFonts w:hint="eastAsia" w:ascii="仿宋" w:hAnsi="仿宋" w:eastAsia="仿宋" w:cs="仿宋"/>
          <w:color w:val="auto"/>
          <w:kern w:val="10"/>
          <w:sz w:val="24"/>
          <w:szCs w:val="24"/>
        </w:rPr>
        <w:t>12.乙方应有直接设立的、足够的售后服务机构，并正常经营一年以上，配备有足够的、有相应资质的工程技术人员。设备品质和售后服务由乙方对甲方和最终用户负责。</w:t>
      </w:r>
    </w:p>
    <w:p w14:paraId="627F957D">
      <w:pPr>
        <w:widowControl/>
        <w:tabs>
          <w:tab w:val="left" w:pos="0"/>
        </w:tabs>
        <w:spacing w:line="360" w:lineRule="auto"/>
        <w:ind w:firstLine="480" w:firstLineChars="200"/>
        <w:jc w:val="left"/>
        <w:rPr>
          <w:rFonts w:hint="eastAsia" w:ascii="仿宋" w:hAnsi="仿宋" w:eastAsia="仿宋" w:cs="仿宋"/>
          <w:color w:val="auto"/>
          <w:kern w:val="10"/>
          <w:sz w:val="24"/>
          <w:szCs w:val="24"/>
        </w:rPr>
      </w:pPr>
      <w:r>
        <w:rPr>
          <w:rFonts w:hint="eastAsia" w:ascii="仿宋" w:hAnsi="仿宋" w:eastAsia="仿宋" w:cs="仿宋"/>
          <w:color w:val="auto"/>
          <w:kern w:val="10"/>
          <w:sz w:val="24"/>
          <w:szCs w:val="24"/>
        </w:rPr>
        <w:t>13.在质保期内乙方必须为最终用户提供技术服务热线，负责解答用户在设备使用中遇到的问题，并及时提出解决问题的建议和操作方法。当设备发生非人为因素严重故障时，乙方应当免费在3 日内将补充或者更换的设备运抵发生故障的设备所在地，由此产生的一切相关费用由乙方负担。</w:t>
      </w:r>
    </w:p>
    <w:p w14:paraId="403C6EBB">
      <w:pPr>
        <w:widowControl/>
        <w:tabs>
          <w:tab w:val="left" w:pos="0"/>
        </w:tabs>
        <w:spacing w:line="360" w:lineRule="auto"/>
        <w:ind w:firstLine="480" w:firstLineChars="200"/>
        <w:jc w:val="left"/>
        <w:rPr>
          <w:rFonts w:hint="eastAsia" w:ascii="仿宋" w:hAnsi="仿宋" w:eastAsia="仿宋" w:cs="仿宋"/>
          <w:color w:val="auto"/>
          <w:kern w:val="10"/>
          <w:sz w:val="24"/>
          <w:szCs w:val="24"/>
        </w:rPr>
      </w:pPr>
      <w:r>
        <w:rPr>
          <w:rFonts w:hint="eastAsia" w:ascii="仿宋" w:hAnsi="仿宋" w:eastAsia="仿宋" w:cs="仿宋"/>
          <w:color w:val="auto"/>
          <w:sz w:val="24"/>
          <w:szCs w:val="24"/>
        </w:rPr>
        <w:t>14.如非乙方原因造成的质量问题，乙方有义务根据甲方的要求进行维修或配合维修，如需更换产品或配件，价格按本合同签订时的市场价执行。</w:t>
      </w:r>
    </w:p>
    <w:p w14:paraId="6DA00638">
      <w:pPr>
        <w:adjustRightIn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15.甲方只对乙方提出质量服务要求，所有涉及货物制造商的有关事项均由乙方负责。</w:t>
      </w:r>
    </w:p>
    <w:p w14:paraId="32D595D5">
      <w:pPr>
        <w:pStyle w:val="14"/>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16.乙方所供设备应用软件必须满足甲方临床需求，所有软件（包括但不限于招投标中“必须具备”、“应具备”软件）功能均终身免费向甲方开放、免费维护。</w:t>
      </w:r>
    </w:p>
    <w:p w14:paraId="08E09C64">
      <w:pPr>
        <w:pStyle w:val="14"/>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17.使用耗材为开放式耗材，甲方按有关规定采购使用。耗材供应不限于乙方、不限配套品牌。</w:t>
      </w:r>
    </w:p>
    <w:p w14:paraId="28A2F786">
      <w:pPr>
        <w:adjustRightInd w:val="0"/>
        <w:snapToGrid w:val="0"/>
        <w:spacing w:line="360" w:lineRule="auto"/>
        <w:ind w:firstLine="472" w:firstLineChars="196"/>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七、技术培训</w:t>
      </w:r>
    </w:p>
    <w:p w14:paraId="68C33372">
      <w:pPr>
        <w:adjustRightInd w:val="0"/>
        <w:snapToGrid w:val="0"/>
        <w:spacing w:line="360" w:lineRule="auto"/>
        <w:ind w:firstLine="470" w:firstLineChars="196"/>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1.乙方应就其所提供的设备及操作系统对采购人的技术人员、操作人员和维修人员进行操作和维修方面的培训，培训内容至少应包括安全操作使用和设备维护及设备维修、排除简单故障等。</w:t>
      </w:r>
    </w:p>
    <w:p w14:paraId="608AACE0">
      <w:pPr>
        <w:adjustRightInd w:val="0"/>
        <w:snapToGrid w:val="0"/>
        <w:spacing w:line="360" w:lineRule="auto"/>
        <w:ind w:firstLine="470" w:firstLineChars="196"/>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2.服务承诺：乙方落实标书中的各项售后服务承诺，对采购人需求及时响应。</w:t>
      </w:r>
    </w:p>
    <w:p w14:paraId="1F931A6E">
      <w:pPr>
        <w:adjustRightInd w:val="0"/>
        <w:snapToGrid w:val="0"/>
        <w:spacing w:line="360" w:lineRule="auto"/>
        <w:ind w:firstLine="472" w:firstLineChars="196"/>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八、信息化对接</w:t>
      </w:r>
    </w:p>
    <w:p w14:paraId="1AD363C7">
      <w:pPr>
        <w:adjustRightInd w:val="0"/>
        <w:snapToGrid w:val="0"/>
        <w:spacing w:line="360" w:lineRule="auto"/>
        <w:ind w:firstLine="470" w:firstLineChars="196"/>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乙方负责与医院信息化对接产生的一切费用。</w:t>
      </w:r>
    </w:p>
    <w:p w14:paraId="42FD8B8C">
      <w:pPr>
        <w:adjustRightInd w:val="0"/>
        <w:spacing w:line="360" w:lineRule="auto"/>
        <w:ind w:firstLine="482" w:firstLineChars="200"/>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、违约责任</w:t>
      </w:r>
    </w:p>
    <w:p w14:paraId="1403B7AD">
      <w:pPr>
        <w:widowControl/>
        <w:tabs>
          <w:tab w:val="left" w:pos="0"/>
        </w:tabs>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1.供货方因供应货物</w:t>
      </w:r>
      <w:r>
        <w:rPr>
          <w:rFonts w:hint="eastAsia" w:ascii="仿宋" w:hAnsi="仿宋" w:eastAsia="仿宋" w:cs="仿宋"/>
          <w:color w:val="auto"/>
          <w:sz w:val="24"/>
          <w:szCs w:val="24"/>
        </w:rPr>
        <w:t>来源渠道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技术指标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质量标准、</w:t>
      </w:r>
      <w:r>
        <w:rPr>
          <w:rFonts w:hint="eastAsia" w:ascii="仿宋" w:hAnsi="仿宋" w:eastAsia="仿宋" w:cs="仿宋"/>
          <w:color w:val="auto"/>
          <w:sz w:val="24"/>
          <w:szCs w:val="24"/>
        </w:rPr>
        <w:t>规格型号</w:t>
      </w:r>
      <w:r>
        <w:rPr>
          <w:rFonts w:hint="eastAsia" w:ascii="仿宋" w:hAnsi="仿宋" w:eastAsia="仿宋" w:cs="仿宋"/>
          <w:color w:val="auto"/>
          <w:sz w:val="24"/>
          <w:szCs w:val="24"/>
          <w:lang w:val="en-US" w:eastAsia="zh-CN"/>
        </w:rPr>
        <w:t>不符合要求的，由供货方承担全部责任，因此导致延期供货的，每延迟一天由供货方承担总货款1‰违约金；</w:t>
      </w:r>
    </w:p>
    <w:p w14:paraId="36C2745B">
      <w:pPr>
        <w:widowControl/>
        <w:tabs>
          <w:tab w:val="left" w:pos="0"/>
        </w:tabs>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2.采购人按合同约定支付款项，未按约定期限支付货款的，每延期一天由采购人承担总货款1‰违约金。</w:t>
      </w:r>
    </w:p>
    <w:p w14:paraId="5A55EE8E">
      <w:pPr>
        <w:widowControl/>
        <w:tabs>
          <w:tab w:val="left" w:pos="0"/>
        </w:tabs>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.因乙方所交产品本身质量问题，给甲方或第三人人身、财产造成损害的，乙方承担一切赔偿责任。</w:t>
      </w:r>
    </w:p>
    <w:p w14:paraId="6BF4DB2E">
      <w:pPr>
        <w:widowControl/>
        <w:tabs>
          <w:tab w:val="left" w:pos="0"/>
        </w:tabs>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.对于乙方应向甲方支付的违约金、损失赔偿金，甲方可以直接从合同总价款中扣除。</w:t>
      </w:r>
    </w:p>
    <w:p w14:paraId="74A26B52">
      <w:pPr>
        <w:widowControl/>
        <w:tabs>
          <w:tab w:val="left" w:pos="0"/>
        </w:tabs>
        <w:spacing w:line="360" w:lineRule="auto"/>
        <w:ind w:firstLine="480" w:firstLineChars="200"/>
        <w:jc w:val="left"/>
        <w:rPr>
          <w:rFonts w:hint="eastAsia" w:ascii="仿宋" w:hAnsi="仿宋" w:eastAsia="仿宋" w:cs="仿宋"/>
          <w:color w:val="auto"/>
          <w:kern w:val="10"/>
          <w:sz w:val="24"/>
          <w:szCs w:val="24"/>
        </w:rPr>
      </w:pPr>
      <w:r>
        <w:rPr>
          <w:rFonts w:hint="eastAsia" w:ascii="仿宋" w:hAnsi="仿宋" w:eastAsia="仿宋" w:cs="仿宋"/>
          <w:color w:val="auto"/>
          <w:kern w:val="10"/>
          <w:sz w:val="24"/>
          <w:szCs w:val="24"/>
          <w:lang w:val="en-US" w:eastAsia="zh-CN"/>
        </w:rPr>
        <w:t>5</w:t>
      </w:r>
      <w:r>
        <w:rPr>
          <w:rFonts w:hint="eastAsia" w:ascii="仿宋" w:hAnsi="仿宋" w:eastAsia="仿宋" w:cs="仿宋"/>
          <w:color w:val="auto"/>
          <w:kern w:val="10"/>
          <w:sz w:val="24"/>
          <w:szCs w:val="24"/>
        </w:rPr>
        <w:t xml:space="preserve">.以下情况乙方不承担责任： </w:t>
      </w:r>
    </w:p>
    <w:p w14:paraId="62D773D9">
      <w:pPr>
        <w:widowControl/>
        <w:spacing w:line="360" w:lineRule="auto"/>
        <w:ind w:firstLine="480" w:firstLineChars="200"/>
        <w:jc w:val="left"/>
        <w:rPr>
          <w:rFonts w:hint="eastAsia" w:ascii="仿宋" w:hAnsi="仿宋" w:eastAsia="仿宋" w:cs="仿宋"/>
          <w:color w:val="auto"/>
          <w:kern w:val="10"/>
          <w:sz w:val="24"/>
          <w:szCs w:val="24"/>
        </w:rPr>
      </w:pPr>
      <w:r>
        <w:rPr>
          <w:rFonts w:hint="eastAsia" w:ascii="仿宋" w:hAnsi="仿宋" w:eastAsia="仿宋" w:cs="仿宋"/>
          <w:color w:val="auto"/>
          <w:kern w:val="10"/>
          <w:sz w:val="24"/>
          <w:szCs w:val="24"/>
        </w:rPr>
        <w:t>（1）因不可抗力导致无法按时供货的；</w:t>
      </w:r>
    </w:p>
    <w:p w14:paraId="594E9C55">
      <w:pPr>
        <w:widowControl/>
        <w:spacing w:line="360" w:lineRule="auto"/>
        <w:ind w:firstLine="480" w:firstLineChars="200"/>
        <w:jc w:val="left"/>
        <w:rPr>
          <w:rFonts w:hint="eastAsia" w:ascii="仿宋" w:hAnsi="仿宋" w:eastAsia="仿宋" w:cs="仿宋"/>
          <w:color w:val="auto"/>
          <w:kern w:val="10"/>
          <w:sz w:val="24"/>
          <w:szCs w:val="24"/>
        </w:rPr>
      </w:pPr>
      <w:r>
        <w:rPr>
          <w:rFonts w:hint="eastAsia" w:ascii="仿宋" w:hAnsi="仿宋" w:eastAsia="仿宋" w:cs="仿宋"/>
          <w:color w:val="auto"/>
          <w:kern w:val="10"/>
          <w:sz w:val="24"/>
          <w:szCs w:val="24"/>
        </w:rPr>
        <w:t>（2）因院方原因未及时验收的。</w:t>
      </w:r>
    </w:p>
    <w:p w14:paraId="6AE6F6E5">
      <w:pPr>
        <w:adjustRightInd w:val="0"/>
        <w:spacing w:line="360" w:lineRule="auto"/>
        <w:ind w:firstLine="482" w:firstLineChars="200"/>
        <w:jc w:val="left"/>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十</w:t>
      </w:r>
      <w:r>
        <w:rPr>
          <w:rFonts w:hint="eastAsia" w:ascii="仿宋" w:hAnsi="仿宋" w:eastAsia="仿宋" w:cs="仿宋"/>
          <w:b/>
          <w:color w:val="auto"/>
          <w:sz w:val="24"/>
          <w:szCs w:val="24"/>
        </w:rPr>
        <w:t>、本合同自双方签订之日起生效，正本一式肆份，甲、乙双方各执贰份。</w:t>
      </w:r>
    </w:p>
    <w:p w14:paraId="11A53A46">
      <w:pPr>
        <w:adjustRightInd w:val="0"/>
        <w:snapToGrid w:val="0"/>
        <w:spacing w:line="360" w:lineRule="auto"/>
        <w:ind w:firstLine="482" w:firstLineChars="200"/>
        <w:rPr>
          <w:rFonts w:hint="eastAsia" w:ascii="仿宋" w:hAnsi="仿宋" w:eastAsia="仿宋" w:cs="仿宋"/>
          <w:b/>
          <w:color w:val="auto"/>
          <w:sz w:val="24"/>
          <w:szCs w:val="24"/>
        </w:rPr>
      </w:pPr>
    </w:p>
    <w:p w14:paraId="1F00DBA3">
      <w:pPr>
        <w:adjustRightInd w:val="0"/>
        <w:snapToGrid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甲方</w:t>
      </w:r>
      <w:r>
        <w:rPr>
          <w:rFonts w:hint="eastAsia" w:ascii="仿宋" w:hAnsi="仿宋" w:eastAsia="仿宋" w:cs="仿宋"/>
          <w:color w:val="auto"/>
          <w:sz w:val="24"/>
          <w:szCs w:val="24"/>
        </w:rPr>
        <w:t>（章）：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汉滨区第三人民医院</w:t>
      </w:r>
      <w:r>
        <w:rPr>
          <w:rFonts w:hint="eastAsia" w:ascii="仿宋" w:hAnsi="仿宋" w:eastAsia="仿宋" w:cs="仿宋"/>
          <w:color w:val="auto"/>
          <w:sz w:val="24"/>
          <w:szCs w:val="24"/>
          <w:u w:val="single"/>
        </w:rPr>
        <w:t xml:space="preserve">    </w:t>
      </w:r>
    </w:p>
    <w:p w14:paraId="79E4C28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lang w:eastAsia="zh-CN"/>
        </w:rPr>
        <w:t>汉滨区五里镇五里村二组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73430EB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法定代表人或授权代理人（签字）：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E39B04F">
      <w:pPr>
        <w:pStyle w:val="13"/>
        <w:spacing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经办人签字：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BBF05B5">
      <w:pPr>
        <w:pStyle w:val="13"/>
        <w:spacing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p>
    <w:p w14:paraId="2DD8A37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    月    日</w:t>
      </w:r>
    </w:p>
    <w:p w14:paraId="310816FC">
      <w:pPr>
        <w:adjustRightInd w:val="0"/>
        <w:snapToGrid w:val="0"/>
        <w:spacing w:line="360" w:lineRule="auto"/>
        <w:ind w:left="5600" w:hanging="4800" w:hangingChars="2000"/>
        <w:rPr>
          <w:rFonts w:hint="eastAsia" w:ascii="仿宋" w:hAnsi="仿宋" w:eastAsia="仿宋" w:cs="仿宋"/>
          <w:color w:val="auto"/>
          <w:sz w:val="24"/>
          <w:szCs w:val="24"/>
        </w:rPr>
      </w:pPr>
    </w:p>
    <w:p w14:paraId="1E49E789">
      <w:pPr>
        <w:adjustRightInd w:val="0"/>
        <w:spacing w:line="360" w:lineRule="auto"/>
        <w:ind w:firstLine="482" w:firstLineChars="20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018424CD">
      <w:pPr>
        <w:adjustRightInd w:val="0"/>
        <w:spacing w:line="360" w:lineRule="auto"/>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注册地址：</w:t>
      </w:r>
      <w:r>
        <w:rPr>
          <w:rFonts w:hint="eastAsia" w:ascii="仿宋" w:hAnsi="仿宋" w:eastAsia="仿宋" w:cs="仿宋"/>
          <w:color w:val="auto"/>
          <w:sz w:val="24"/>
          <w:szCs w:val="24"/>
          <w:u w:val="single"/>
          <w:lang w:val="en-US" w:eastAsia="zh-CN"/>
        </w:rPr>
        <w:t xml:space="preserve">                        </w:t>
      </w:r>
    </w:p>
    <w:p w14:paraId="1908774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法人授权代表：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BDB1213">
      <w:pPr>
        <w:adjustRightInd w:val="0"/>
        <w:snapToGrid w:val="0"/>
        <w:spacing w:line="360" w:lineRule="auto"/>
        <w:ind w:left="4879" w:leftChars="266" w:hanging="4320" w:hangingChars="180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联系电话： </w:t>
      </w:r>
      <w:r>
        <w:rPr>
          <w:rFonts w:hint="eastAsia" w:ascii="仿宋" w:hAnsi="仿宋" w:eastAsia="仿宋" w:cs="仿宋"/>
          <w:color w:val="auto"/>
          <w:sz w:val="24"/>
          <w:szCs w:val="24"/>
          <w:u w:val="single"/>
        </w:rPr>
        <w:t xml:space="preserve">                  </w:t>
      </w:r>
    </w:p>
    <w:p w14:paraId="203E1FE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签订时间：</w:t>
      </w:r>
      <w:r>
        <w:rPr>
          <w:rFonts w:hint="eastAsia" w:ascii="仿宋" w:hAnsi="仿宋" w:eastAsia="仿宋" w:cs="仿宋"/>
          <w:color w:val="auto"/>
          <w:sz w:val="24"/>
          <w:szCs w:val="24"/>
          <w:u w:val="single"/>
        </w:rPr>
        <w:t xml:space="preserve">  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   月   日</w:t>
      </w:r>
    </w:p>
    <w:p w14:paraId="0FECC462">
      <w:pPr>
        <w:outlineLvl w:val="9"/>
        <w:rPr>
          <w:rFonts w:hint="eastAsia" w:ascii="仿宋" w:hAnsi="仿宋" w:eastAsia="仿宋" w:cs="仿宋"/>
          <w:color w:val="auto"/>
          <w:sz w:val="24"/>
          <w:szCs w:val="24"/>
        </w:rPr>
      </w:pPr>
    </w:p>
    <w:p w14:paraId="3BDC6A86">
      <w:pPr>
        <w:rPr>
          <w:rFonts w:hint="eastAsia" w:ascii="仿宋" w:hAnsi="仿宋" w:eastAsia="仿宋" w:cs="仿宋"/>
          <w:b/>
          <w:bCs/>
          <w:color w:val="auto"/>
          <w:sz w:val="24"/>
          <w:szCs w:val="24"/>
          <w:lang w:eastAsia="zh-CN"/>
        </w:rPr>
      </w:pPr>
    </w:p>
    <w:p w14:paraId="44AEDB22">
      <w:pPr>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附件</w:t>
      </w:r>
      <w:r>
        <w:rPr>
          <w:rFonts w:hint="eastAsia" w:ascii="仿宋" w:hAnsi="仿宋" w:eastAsia="仿宋" w:cs="仿宋"/>
          <w:b/>
          <w:bCs/>
          <w:color w:val="auto"/>
          <w:sz w:val="24"/>
          <w:szCs w:val="24"/>
          <w:lang w:val="en-US" w:eastAsia="zh-CN"/>
        </w:rPr>
        <w:t xml:space="preserve">1.                        </w:t>
      </w:r>
      <w:r>
        <w:rPr>
          <w:rFonts w:hint="eastAsia" w:ascii="仿宋" w:hAnsi="仿宋" w:eastAsia="仿宋" w:cs="仿宋"/>
          <w:b/>
          <w:bCs/>
          <w:color w:val="auto"/>
          <w:sz w:val="24"/>
          <w:szCs w:val="24"/>
          <w:lang w:eastAsia="zh-CN"/>
        </w:rPr>
        <w:t>设备</w:t>
      </w:r>
      <w:r>
        <w:rPr>
          <w:rFonts w:hint="eastAsia" w:ascii="仿宋" w:hAnsi="仿宋" w:eastAsia="仿宋" w:cs="仿宋"/>
          <w:b/>
          <w:bCs/>
          <w:color w:val="auto"/>
          <w:sz w:val="24"/>
          <w:szCs w:val="24"/>
        </w:rPr>
        <w:t>验收合格单</w:t>
      </w:r>
    </w:p>
    <w:tbl>
      <w:tblPr>
        <w:tblStyle w:val="3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5"/>
        <w:gridCol w:w="601"/>
        <w:gridCol w:w="1731"/>
        <w:gridCol w:w="889"/>
        <w:gridCol w:w="919"/>
        <w:gridCol w:w="990"/>
        <w:gridCol w:w="958"/>
        <w:gridCol w:w="1466"/>
      </w:tblGrid>
      <w:tr w14:paraId="5DAB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35" w:type="dxa"/>
            <w:gridSpan w:val="2"/>
            <w:vMerge w:val="restart"/>
            <w:noWrap w:val="0"/>
            <w:vAlign w:val="center"/>
          </w:tcPr>
          <w:p w14:paraId="761CB131">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供货商名称</w:t>
            </w:r>
          </w:p>
        </w:tc>
        <w:tc>
          <w:tcPr>
            <w:tcW w:w="2332" w:type="dxa"/>
            <w:gridSpan w:val="2"/>
            <w:vMerge w:val="restart"/>
            <w:noWrap w:val="0"/>
            <w:vAlign w:val="center"/>
          </w:tcPr>
          <w:p w14:paraId="641A428A">
            <w:pPr>
              <w:jc w:val="center"/>
              <w:rPr>
                <w:rFonts w:hint="eastAsia" w:ascii="仿宋" w:hAnsi="仿宋" w:eastAsia="仿宋" w:cs="仿宋"/>
                <w:color w:val="auto"/>
                <w:sz w:val="24"/>
                <w:szCs w:val="24"/>
                <w:vertAlign w:val="baseline"/>
                <w:lang w:eastAsia="zh-CN"/>
              </w:rPr>
            </w:pPr>
          </w:p>
        </w:tc>
        <w:tc>
          <w:tcPr>
            <w:tcW w:w="1808" w:type="dxa"/>
            <w:gridSpan w:val="2"/>
            <w:vMerge w:val="restart"/>
            <w:noWrap w:val="0"/>
            <w:vAlign w:val="center"/>
          </w:tcPr>
          <w:p w14:paraId="764B202B">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供货商负责人</w:t>
            </w:r>
          </w:p>
        </w:tc>
        <w:tc>
          <w:tcPr>
            <w:tcW w:w="3414" w:type="dxa"/>
            <w:gridSpan w:val="3"/>
            <w:noWrap w:val="0"/>
            <w:vAlign w:val="top"/>
          </w:tcPr>
          <w:p w14:paraId="7002851E">
            <w:pP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姓名：</w:t>
            </w:r>
          </w:p>
        </w:tc>
      </w:tr>
      <w:tr w14:paraId="3F4C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35" w:type="dxa"/>
            <w:gridSpan w:val="2"/>
            <w:vMerge w:val="continue"/>
            <w:noWrap w:val="0"/>
            <w:vAlign w:val="center"/>
          </w:tcPr>
          <w:p w14:paraId="4CDBB3ED">
            <w:pPr>
              <w:jc w:val="center"/>
              <w:rPr>
                <w:rFonts w:hint="eastAsia" w:ascii="仿宋" w:hAnsi="仿宋" w:eastAsia="仿宋" w:cs="仿宋"/>
                <w:color w:val="auto"/>
                <w:sz w:val="24"/>
                <w:szCs w:val="24"/>
                <w:vertAlign w:val="baseline"/>
                <w:lang w:eastAsia="zh-CN"/>
              </w:rPr>
            </w:pPr>
          </w:p>
        </w:tc>
        <w:tc>
          <w:tcPr>
            <w:tcW w:w="2332" w:type="dxa"/>
            <w:gridSpan w:val="2"/>
            <w:vMerge w:val="continue"/>
            <w:noWrap w:val="0"/>
            <w:vAlign w:val="center"/>
          </w:tcPr>
          <w:p w14:paraId="5A948B67">
            <w:pPr>
              <w:jc w:val="center"/>
              <w:rPr>
                <w:rFonts w:hint="eastAsia" w:ascii="仿宋" w:hAnsi="仿宋" w:eastAsia="仿宋" w:cs="仿宋"/>
                <w:color w:val="auto"/>
                <w:sz w:val="24"/>
                <w:szCs w:val="24"/>
                <w:vertAlign w:val="baseline"/>
                <w:lang w:eastAsia="zh-CN"/>
              </w:rPr>
            </w:pPr>
          </w:p>
        </w:tc>
        <w:tc>
          <w:tcPr>
            <w:tcW w:w="1808" w:type="dxa"/>
            <w:gridSpan w:val="2"/>
            <w:vMerge w:val="continue"/>
            <w:noWrap w:val="0"/>
            <w:vAlign w:val="center"/>
          </w:tcPr>
          <w:p w14:paraId="3534644F">
            <w:pPr>
              <w:jc w:val="center"/>
              <w:rPr>
                <w:rFonts w:hint="eastAsia" w:ascii="仿宋" w:hAnsi="仿宋" w:eastAsia="仿宋" w:cs="仿宋"/>
                <w:color w:val="auto"/>
                <w:sz w:val="24"/>
                <w:szCs w:val="24"/>
                <w:vertAlign w:val="baseline"/>
                <w:lang w:eastAsia="zh-CN"/>
              </w:rPr>
            </w:pPr>
          </w:p>
        </w:tc>
        <w:tc>
          <w:tcPr>
            <w:tcW w:w="3414" w:type="dxa"/>
            <w:gridSpan w:val="3"/>
            <w:noWrap w:val="0"/>
            <w:vAlign w:val="top"/>
          </w:tcPr>
          <w:p w14:paraId="49C9EBF4">
            <w:pP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电话：</w:t>
            </w:r>
          </w:p>
        </w:tc>
      </w:tr>
      <w:tr w14:paraId="7544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935" w:type="dxa"/>
            <w:gridSpan w:val="2"/>
            <w:noWrap w:val="0"/>
            <w:vAlign w:val="center"/>
          </w:tcPr>
          <w:p w14:paraId="6764226A">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安装工程师</w:t>
            </w:r>
          </w:p>
        </w:tc>
        <w:tc>
          <w:tcPr>
            <w:tcW w:w="2332" w:type="dxa"/>
            <w:gridSpan w:val="2"/>
            <w:noWrap w:val="0"/>
            <w:vAlign w:val="center"/>
          </w:tcPr>
          <w:p w14:paraId="0898F873">
            <w:pPr>
              <w:jc w:val="center"/>
              <w:rPr>
                <w:rFonts w:hint="eastAsia" w:ascii="仿宋" w:hAnsi="仿宋" w:eastAsia="仿宋" w:cs="仿宋"/>
                <w:color w:val="auto"/>
                <w:sz w:val="24"/>
                <w:szCs w:val="24"/>
                <w:vertAlign w:val="baseline"/>
                <w:lang w:eastAsia="zh-CN"/>
              </w:rPr>
            </w:pPr>
          </w:p>
        </w:tc>
        <w:tc>
          <w:tcPr>
            <w:tcW w:w="1808" w:type="dxa"/>
            <w:gridSpan w:val="2"/>
            <w:noWrap w:val="0"/>
            <w:vAlign w:val="center"/>
          </w:tcPr>
          <w:p w14:paraId="2A4CE77E">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eastAsia="zh-CN"/>
              </w:rPr>
              <w:t>电话</w:t>
            </w:r>
          </w:p>
        </w:tc>
        <w:tc>
          <w:tcPr>
            <w:tcW w:w="3414" w:type="dxa"/>
            <w:gridSpan w:val="3"/>
            <w:noWrap w:val="0"/>
            <w:vAlign w:val="top"/>
          </w:tcPr>
          <w:p w14:paraId="7C22C15D">
            <w:pPr>
              <w:rPr>
                <w:rFonts w:hint="eastAsia" w:ascii="仿宋" w:hAnsi="仿宋" w:eastAsia="仿宋" w:cs="仿宋"/>
                <w:color w:val="auto"/>
                <w:sz w:val="24"/>
                <w:szCs w:val="24"/>
                <w:vertAlign w:val="baseline"/>
                <w:lang w:eastAsia="zh-CN"/>
              </w:rPr>
            </w:pPr>
          </w:p>
        </w:tc>
      </w:tr>
      <w:tr w14:paraId="4BD9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35" w:type="dxa"/>
            <w:gridSpan w:val="2"/>
            <w:noWrap w:val="0"/>
            <w:vAlign w:val="center"/>
          </w:tcPr>
          <w:p w14:paraId="14E6B6E0">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安装地点</w:t>
            </w:r>
          </w:p>
        </w:tc>
        <w:tc>
          <w:tcPr>
            <w:tcW w:w="2332" w:type="dxa"/>
            <w:gridSpan w:val="2"/>
            <w:noWrap w:val="0"/>
            <w:vAlign w:val="center"/>
          </w:tcPr>
          <w:p w14:paraId="2235387E">
            <w:pPr>
              <w:jc w:val="center"/>
              <w:rPr>
                <w:rFonts w:hint="eastAsia" w:ascii="仿宋" w:hAnsi="仿宋" w:eastAsia="仿宋" w:cs="仿宋"/>
                <w:color w:val="auto"/>
                <w:sz w:val="24"/>
                <w:szCs w:val="24"/>
                <w:vertAlign w:val="baseline"/>
                <w:lang w:eastAsia="zh-CN"/>
              </w:rPr>
            </w:pPr>
          </w:p>
        </w:tc>
        <w:tc>
          <w:tcPr>
            <w:tcW w:w="1808" w:type="dxa"/>
            <w:gridSpan w:val="2"/>
            <w:noWrap w:val="0"/>
            <w:vAlign w:val="center"/>
          </w:tcPr>
          <w:p w14:paraId="10C7A301">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完工日期</w:t>
            </w:r>
          </w:p>
        </w:tc>
        <w:tc>
          <w:tcPr>
            <w:tcW w:w="3414" w:type="dxa"/>
            <w:gridSpan w:val="3"/>
            <w:noWrap w:val="0"/>
            <w:vAlign w:val="top"/>
          </w:tcPr>
          <w:p w14:paraId="0CFC6860">
            <w:pPr>
              <w:rPr>
                <w:rFonts w:hint="eastAsia" w:ascii="仿宋" w:hAnsi="仿宋" w:eastAsia="仿宋" w:cs="仿宋"/>
                <w:color w:val="auto"/>
                <w:sz w:val="24"/>
                <w:szCs w:val="24"/>
                <w:vertAlign w:val="baseline"/>
                <w:lang w:eastAsia="zh-CN"/>
              </w:rPr>
            </w:pPr>
          </w:p>
        </w:tc>
      </w:tr>
      <w:tr w14:paraId="3281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489" w:type="dxa"/>
            <w:gridSpan w:val="9"/>
            <w:noWrap w:val="0"/>
            <w:vAlign w:val="top"/>
          </w:tcPr>
          <w:p w14:paraId="457407CE">
            <w:pPr>
              <w:rPr>
                <w:rFonts w:hint="eastAsia"/>
                <w:lang w:eastAsia="zh-CN"/>
              </w:rPr>
            </w:pPr>
            <w:r>
              <w:rPr>
                <w:rFonts w:hint="eastAsia" w:ascii="仿宋" w:hAnsi="仿宋" w:eastAsia="仿宋" w:cs="仿宋"/>
                <w:color w:val="auto"/>
                <w:sz w:val="24"/>
                <w:szCs w:val="24"/>
                <w:vertAlign w:val="baseline"/>
                <w:lang w:eastAsia="zh-CN"/>
              </w:rPr>
              <w:t>验收设备清单：包括</w:t>
            </w:r>
            <w:r>
              <w:rPr>
                <w:rFonts w:hint="eastAsia" w:ascii="仿宋" w:hAnsi="仿宋" w:eastAsia="仿宋" w:cs="仿宋"/>
                <w:color w:val="auto"/>
                <w:sz w:val="24"/>
                <w:szCs w:val="24"/>
                <w:vertAlign w:val="baseline"/>
                <w:lang w:val="en-US" w:eastAsia="zh-CN"/>
              </w:rPr>
              <w:t>品名、规格、型号、数量、单价、总价</w:t>
            </w:r>
            <w:r>
              <w:rPr>
                <w:rFonts w:hint="eastAsia" w:ascii="仿宋" w:hAnsi="仿宋" w:eastAsia="仿宋" w:cs="仿宋"/>
                <w:color w:val="auto"/>
                <w:sz w:val="24"/>
                <w:szCs w:val="24"/>
                <w:vertAlign w:val="baseline"/>
                <w:lang w:eastAsia="zh-CN"/>
              </w:rPr>
              <w:t>（可附表，但验收人必须在附表签字）</w:t>
            </w:r>
          </w:p>
        </w:tc>
      </w:tr>
      <w:tr w14:paraId="45C7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noWrap w:val="0"/>
            <w:vAlign w:val="center"/>
          </w:tcPr>
          <w:p w14:paraId="6A3E8E22">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序号</w:t>
            </w:r>
          </w:p>
        </w:tc>
        <w:tc>
          <w:tcPr>
            <w:tcW w:w="1666" w:type="dxa"/>
            <w:gridSpan w:val="2"/>
            <w:noWrap w:val="0"/>
            <w:vAlign w:val="center"/>
          </w:tcPr>
          <w:p w14:paraId="71FA2E78">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设备名称</w:t>
            </w:r>
          </w:p>
        </w:tc>
        <w:tc>
          <w:tcPr>
            <w:tcW w:w="1731" w:type="dxa"/>
            <w:noWrap w:val="0"/>
            <w:vAlign w:val="center"/>
          </w:tcPr>
          <w:p w14:paraId="46B7FE2A">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规格型号及性能参数</w:t>
            </w:r>
          </w:p>
        </w:tc>
        <w:tc>
          <w:tcPr>
            <w:tcW w:w="889" w:type="dxa"/>
            <w:noWrap w:val="0"/>
            <w:vAlign w:val="center"/>
          </w:tcPr>
          <w:p w14:paraId="78906740">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单位</w:t>
            </w:r>
          </w:p>
        </w:tc>
        <w:tc>
          <w:tcPr>
            <w:tcW w:w="919" w:type="dxa"/>
            <w:noWrap w:val="0"/>
            <w:vAlign w:val="center"/>
          </w:tcPr>
          <w:p w14:paraId="0E563A01">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数量</w:t>
            </w:r>
          </w:p>
        </w:tc>
        <w:tc>
          <w:tcPr>
            <w:tcW w:w="990" w:type="dxa"/>
            <w:noWrap w:val="0"/>
            <w:vAlign w:val="center"/>
          </w:tcPr>
          <w:p w14:paraId="2883E379">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单价（元）</w:t>
            </w:r>
          </w:p>
        </w:tc>
        <w:tc>
          <w:tcPr>
            <w:tcW w:w="958" w:type="dxa"/>
            <w:noWrap w:val="0"/>
            <w:vAlign w:val="center"/>
          </w:tcPr>
          <w:p w14:paraId="46B8C288">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合计（元）</w:t>
            </w:r>
          </w:p>
        </w:tc>
        <w:tc>
          <w:tcPr>
            <w:tcW w:w="1466" w:type="dxa"/>
            <w:noWrap w:val="0"/>
            <w:vAlign w:val="center"/>
          </w:tcPr>
          <w:p w14:paraId="3CFBD394">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安装详细地点</w:t>
            </w:r>
          </w:p>
        </w:tc>
      </w:tr>
      <w:tr w14:paraId="5C9B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70" w:type="dxa"/>
            <w:noWrap w:val="0"/>
            <w:vAlign w:val="top"/>
          </w:tcPr>
          <w:p w14:paraId="77BF824E">
            <w:pPr>
              <w:rPr>
                <w:rFonts w:hint="eastAsia" w:ascii="仿宋" w:hAnsi="仿宋" w:eastAsia="仿宋" w:cs="仿宋"/>
                <w:color w:val="auto"/>
                <w:sz w:val="24"/>
                <w:szCs w:val="24"/>
                <w:vertAlign w:val="baseline"/>
                <w:lang w:eastAsia="zh-CN"/>
              </w:rPr>
            </w:pPr>
          </w:p>
        </w:tc>
        <w:tc>
          <w:tcPr>
            <w:tcW w:w="1666" w:type="dxa"/>
            <w:gridSpan w:val="2"/>
            <w:noWrap w:val="0"/>
            <w:vAlign w:val="top"/>
          </w:tcPr>
          <w:p w14:paraId="7669AAED">
            <w:pPr>
              <w:rPr>
                <w:rFonts w:hint="eastAsia" w:ascii="仿宋" w:hAnsi="仿宋" w:eastAsia="仿宋" w:cs="仿宋"/>
                <w:color w:val="auto"/>
                <w:sz w:val="24"/>
                <w:szCs w:val="24"/>
                <w:vertAlign w:val="baseline"/>
                <w:lang w:eastAsia="zh-CN"/>
              </w:rPr>
            </w:pPr>
          </w:p>
        </w:tc>
        <w:tc>
          <w:tcPr>
            <w:tcW w:w="1731" w:type="dxa"/>
            <w:noWrap w:val="0"/>
            <w:vAlign w:val="top"/>
          </w:tcPr>
          <w:p w14:paraId="14D5D54A">
            <w:pPr>
              <w:rPr>
                <w:rFonts w:hint="eastAsia" w:ascii="仿宋" w:hAnsi="仿宋" w:eastAsia="仿宋" w:cs="仿宋"/>
                <w:color w:val="auto"/>
                <w:sz w:val="24"/>
                <w:szCs w:val="24"/>
                <w:vertAlign w:val="baseline"/>
                <w:lang w:eastAsia="zh-CN"/>
              </w:rPr>
            </w:pPr>
          </w:p>
        </w:tc>
        <w:tc>
          <w:tcPr>
            <w:tcW w:w="889" w:type="dxa"/>
            <w:noWrap w:val="0"/>
            <w:vAlign w:val="top"/>
          </w:tcPr>
          <w:p w14:paraId="314A64B4">
            <w:pPr>
              <w:rPr>
                <w:rFonts w:hint="eastAsia" w:ascii="仿宋" w:hAnsi="仿宋" w:eastAsia="仿宋" w:cs="仿宋"/>
                <w:color w:val="auto"/>
                <w:sz w:val="24"/>
                <w:szCs w:val="24"/>
                <w:vertAlign w:val="baseline"/>
                <w:lang w:eastAsia="zh-CN"/>
              </w:rPr>
            </w:pPr>
          </w:p>
        </w:tc>
        <w:tc>
          <w:tcPr>
            <w:tcW w:w="919" w:type="dxa"/>
            <w:noWrap w:val="0"/>
            <w:vAlign w:val="top"/>
          </w:tcPr>
          <w:p w14:paraId="3951392F">
            <w:pPr>
              <w:rPr>
                <w:rFonts w:hint="eastAsia" w:ascii="仿宋" w:hAnsi="仿宋" w:eastAsia="仿宋" w:cs="仿宋"/>
                <w:color w:val="auto"/>
                <w:sz w:val="24"/>
                <w:szCs w:val="24"/>
                <w:vertAlign w:val="baseline"/>
                <w:lang w:eastAsia="zh-CN"/>
              </w:rPr>
            </w:pPr>
          </w:p>
        </w:tc>
        <w:tc>
          <w:tcPr>
            <w:tcW w:w="990" w:type="dxa"/>
            <w:noWrap w:val="0"/>
            <w:vAlign w:val="top"/>
          </w:tcPr>
          <w:p w14:paraId="75CEDE82">
            <w:pPr>
              <w:rPr>
                <w:rFonts w:hint="eastAsia" w:ascii="仿宋" w:hAnsi="仿宋" w:eastAsia="仿宋" w:cs="仿宋"/>
                <w:color w:val="auto"/>
                <w:sz w:val="24"/>
                <w:szCs w:val="24"/>
                <w:vertAlign w:val="baseline"/>
                <w:lang w:eastAsia="zh-CN"/>
              </w:rPr>
            </w:pPr>
          </w:p>
        </w:tc>
        <w:tc>
          <w:tcPr>
            <w:tcW w:w="958" w:type="dxa"/>
            <w:noWrap w:val="0"/>
            <w:vAlign w:val="top"/>
          </w:tcPr>
          <w:p w14:paraId="1F99FFE6">
            <w:pPr>
              <w:rPr>
                <w:rFonts w:hint="eastAsia" w:ascii="仿宋" w:hAnsi="仿宋" w:eastAsia="仿宋" w:cs="仿宋"/>
                <w:color w:val="auto"/>
                <w:sz w:val="24"/>
                <w:szCs w:val="24"/>
                <w:vertAlign w:val="baseline"/>
                <w:lang w:eastAsia="zh-CN"/>
              </w:rPr>
            </w:pPr>
          </w:p>
        </w:tc>
        <w:tc>
          <w:tcPr>
            <w:tcW w:w="1466" w:type="dxa"/>
            <w:noWrap w:val="0"/>
            <w:vAlign w:val="top"/>
          </w:tcPr>
          <w:p w14:paraId="2D16DBD5">
            <w:pPr>
              <w:rPr>
                <w:rFonts w:hint="eastAsia" w:ascii="仿宋" w:hAnsi="仿宋" w:eastAsia="仿宋" w:cs="仿宋"/>
                <w:color w:val="auto"/>
                <w:sz w:val="24"/>
                <w:szCs w:val="24"/>
                <w:vertAlign w:val="baseline"/>
                <w:lang w:eastAsia="zh-CN"/>
              </w:rPr>
            </w:pPr>
          </w:p>
        </w:tc>
      </w:tr>
      <w:tr w14:paraId="6A3A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70" w:type="dxa"/>
            <w:noWrap w:val="0"/>
            <w:vAlign w:val="top"/>
          </w:tcPr>
          <w:p w14:paraId="04790CB0">
            <w:pPr>
              <w:rPr>
                <w:rFonts w:hint="eastAsia" w:ascii="仿宋" w:hAnsi="仿宋" w:eastAsia="仿宋" w:cs="仿宋"/>
                <w:color w:val="auto"/>
                <w:sz w:val="24"/>
                <w:szCs w:val="24"/>
                <w:vertAlign w:val="baseline"/>
                <w:lang w:eastAsia="zh-CN"/>
              </w:rPr>
            </w:pPr>
          </w:p>
        </w:tc>
        <w:tc>
          <w:tcPr>
            <w:tcW w:w="1666" w:type="dxa"/>
            <w:gridSpan w:val="2"/>
            <w:noWrap w:val="0"/>
            <w:vAlign w:val="top"/>
          </w:tcPr>
          <w:p w14:paraId="48B8BCEC">
            <w:pPr>
              <w:rPr>
                <w:rFonts w:hint="eastAsia" w:ascii="仿宋" w:hAnsi="仿宋" w:eastAsia="仿宋" w:cs="仿宋"/>
                <w:color w:val="auto"/>
                <w:sz w:val="24"/>
                <w:szCs w:val="24"/>
                <w:vertAlign w:val="baseline"/>
                <w:lang w:eastAsia="zh-CN"/>
              </w:rPr>
            </w:pPr>
          </w:p>
        </w:tc>
        <w:tc>
          <w:tcPr>
            <w:tcW w:w="1731" w:type="dxa"/>
            <w:noWrap w:val="0"/>
            <w:vAlign w:val="top"/>
          </w:tcPr>
          <w:p w14:paraId="07F1A85B">
            <w:pPr>
              <w:rPr>
                <w:rFonts w:hint="eastAsia" w:ascii="仿宋" w:hAnsi="仿宋" w:eastAsia="仿宋" w:cs="仿宋"/>
                <w:color w:val="auto"/>
                <w:sz w:val="24"/>
                <w:szCs w:val="24"/>
                <w:vertAlign w:val="baseline"/>
                <w:lang w:eastAsia="zh-CN"/>
              </w:rPr>
            </w:pPr>
          </w:p>
        </w:tc>
        <w:tc>
          <w:tcPr>
            <w:tcW w:w="889" w:type="dxa"/>
            <w:noWrap w:val="0"/>
            <w:vAlign w:val="top"/>
          </w:tcPr>
          <w:p w14:paraId="17AD4150">
            <w:pPr>
              <w:rPr>
                <w:rFonts w:hint="eastAsia" w:ascii="仿宋" w:hAnsi="仿宋" w:eastAsia="仿宋" w:cs="仿宋"/>
                <w:color w:val="auto"/>
                <w:sz w:val="24"/>
                <w:szCs w:val="24"/>
                <w:vertAlign w:val="baseline"/>
                <w:lang w:eastAsia="zh-CN"/>
              </w:rPr>
            </w:pPr>
          </w:p>
        </w:tc>
        <w:tc>
          <w:tcPr>
            <w:tcW w:w="919" w:type="dxa"/>
            <w:noWrap w:val="0"/>
            <w:vAlign w:val="top"/>
          </w:tcPr>
          <w:p w14:paraId="36092510">
            <w:pPr>
              <w:rPr>
                <w:rFonts w:hint="eastAsia" w:ascii="仿宋" w:hAnsi="仿宋" w:eastAsia="仿宋" w:cs="仿宋"/>
                <w:color w:val="auto"/>
                <w:sz w:val="24"/>
                <w:szCs w:val="24"/>
                <w:vertAlign w:val="baseline"/>
                <w:lang w:eastAsia="zh-CN"/>
              </w:rPr>
            </w:pPr>
          </w:p>
        </w:tc>
        <w:tc>
          <w:tcPr>
            <w:tcW w:w="990" w:type="dxa"/>
            <w:noWrap w:val="0"/>
            <w:vAlign w:val="top"/>
          </w:tcPr>
          <w:p w14:paraId="59228CDD">
            <w:pPr>
              <w:rPr>
                <w:rFonts w:hint="eastAsia" w:ascii="仿宋" w:hAnsi="仿宋" w:eastAsia="仿宋" w:cs="仿宋"/>
                <w:color w:val="auto"/>
                <w:sz w:val="24"/>
                <w:szCs w:val="24"/>
                <w:vertAlign w:val="baseline"/>
                <w:lang w:eastAsia="zh-CN"/>
              </w:rPr>
            </w:pPr>
          </w:p>
        </w:tc>
        <w:tc>
          <w:tcPr>
            <w:tcW w:w="958" w:type="dxa"/>
            <w:noWrap w:val="0"/>
            <w:vAlign w:val="top"/>
          </w:tcPr>
          <w:p w14:paraId="3CD2FA7E">
            <w:pPr>
              <w:rPr>
                <w:rFonts w:hint="eastAsia" w:ascii="仿宋" w:hAnsi="仿宋" w:eastAsia="仿宋" w:cs="仿宋"/>
                <w:color w:val="auto"/>
                <w:sz w:val="24"/>
                <w:szCs w:val="24"/>
                <w:vertAlign w:val="baseline"/>
                <w:lang w:eastAsia="zh-CN"/>
              </w:rPr>
            </w:pPr>
          </w:p>
        </w:tc>
        <w:tc>
          <w:tcPr>
            <w:tcW w:w="1466" w:type="dxa"/>
            <w:noWrap w:val="0"/>
            <w:vAlign w:val="top"/>
          </w:tcPr>
          <w:p w14:paraId="0AC5A7E7">
            <w:pPr>
              <w:rPr>
                <w:rFonts w:hint="eastAsia" w:ascii="仿宋" w:hAnsi="仿宋" w:eastAsia="仿宋" w:cs="仿宋"/>
                <w:color w:val="auto"/>
                <w:sz w:val="24"/>
                <w:szCs w:val="24"/>
                <w:vertAlign w:val="baseline"/>
                <w:lang w:eastAsia="zh-CN"/>
              </w:rPr>
            </w:pPr>
          </w:p>
        </w:tc>
      </w:tr>
      <w:tr w14:paraId="7547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156" w:type="dxa"/>
            <w:gridSpan w:val="5"/>
            <w:noWrap w:val="0"/>
            <w:vAlign w:val="top"/>
          </w:tcPr>
          <w:p w14:paraId="352A3E1F">
            <w:pPr>
              <w:jc w:val="left"/>
              <w:rPr>
                <w:rFonts w:hint="eastAsia" w:ascii="仿宋" w:hAnsi="仿宋" w:eastAsia="仿宋" w:cs="仿宋"/>
                <w:color w:val="auto"/>
                <w:sz w:val="24"/>
                <w:szCs w:val="24"/>
                <w:vertAlign w:val="baseline"/>
                <w:lang w:eastAsia="zh-CN"/>
              </w:rPr>
            </w:pPr>
          </w:p>
        </w:tc>
        <w:tc>
          <w:tcPr>
            <w:tcW w:w="1909" w:type="dxa"/>
            <w:gridSpan w:val="2"/>
            <w:noWrap w:val="0"/>
            <w:vAlign w:val="top"/>
          </w:tcPr>
          <w:p w14:paraId="273DA6E8">
            <w:pP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合计：</w:t>
            </w:r>
          </w:p>
        </w:tc>
        <w:tc>
          <w:tcPr>
            <w:tcW w:w="2424" w:type="dxa"/>
            <w:gridSpan w:val="2"/>
            <w:noWrap w:val="0"/>
            <w:vAlign w:val="top"/>
          </w:tcPr>
          <w:p w14:paraId="163E9F6A">
            <w:pPr>
              <w:rPr>
                <w:rFonts w:hint="eastAsia" w:ascii="仿宋" w:hAnsi="仿宋" w:eastAsia="仿宋" w:cs="仿宋"/>
                <w:color w:val="auto"/>
                <w:sz w:val="24"/>
                <w:szCs w:val="24"/>
                <w:vertAlign w:val="baseline"/>
                <w:lang w:eastAsia="zh-CN"/>
              </w:rPr>
            </w:pPr>
          </w:p>
        </w:tc>
      </w:tr>
      <w:tr w14:paraId="6B27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870" w:type="dxa"/>
            <w:noWrap w:val="0"/>
            <w:vAlign w:val="center"/>
          </w:tcPr>
          <w:p w14:paraId="378A751E">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验收意见</w:t>
            </w:r>
          </w:p>
        </w:tc>
        <w:tc>
          <w:tcPr>
            <w:tcW w:w="8619" w:type="dxa"/>
            <w:gridSpan w:val="8"/>
            <w:noWrap w:val="0"/>
            <w:vAlign w:val="top"/>
          </w:tcPr>
          <w:p w14:paraId="66A8849B">
            <w:pP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vertAlign w:val="baseline"/>
                <w:lang w:val="en-US" w:eastAsia="zh-CN"/>
              </w:rPr>
              <w:t xml:space="preserve">   以上设备经供应商安装调试完成，现经我单位按照合同要求进行验收，意见如下：设备的品牌、外观、规格、数量、配件</w:t>
            </w:r>
            <w:r>
              <w:rPr>
                <w:rFonts w:hint="eastAsia" w:ascii="仿宋" w:hAnsi="仿宋" w:eastAsia="仿宋" w:cs="仿宋"/>
                <w:color w:val="auto"/>
                <w:sz w:val="24"/>
                <w:szCs w:val="24"/>
                <w:u w:val="single"/>
                <w:vertAlign w:val="baseline"/>
                <w:lang w:val="en-US" w:eastAsia="zh-CN"/>
              </w:rPr>
              <w:t>（是、否）</w:t>
            </w:r>
            <w:r>
              <w:rPr>
                <w:rFonts w:hint="eastAsia" w:ascii="仿宋" w:hAnsi="仿宋" w:eastAsia="仿宋" w:cs="仿宋"/>
                <w:color w:val="auto"/>
                <w:sz w:val="24"/>
                <w:szCs w:val="24"/>
                <w:vertAlign w:val="baseline"/>
                <w:lang w:val="en-US" w:eastAsia="zh-CN"/>
              </w:rPr>
              <w:t>正确，经安装调试后设备运行</w:t>
            </w:r>
            <w:r>
              <w:rPr>
                <w:rFonts w:hint="eastAsia" w:ascii="仿宋" w:hAnsi="仿宋" w:eastAsia="仿宋" w:cs="仿宋"/>
                <w:color w:val="auto"/>
                <w:sz w:val="24"/>
                <w:szCs w:val="24"/>
                <w:u w:val="single"/>
                <w:vertAlign w:val="baseline"/>
                <w:lang w:val="en-US" w:eastAsia="zh-CN"/>
              </w:rPr>
              <w:t>（是、否）</w:t>
            </w:r>
            <w:r>
              <w:rPr>
                <w:rFonts w:hint="eastAsia" w:ascii="仿宋" w:hAnsi="仿宋" w:eastAsia="仿宋" w:cs="仿宋"/>
                <w:color w:val="auto"/>
                <w:sz w:val="24"/>
                <w:szCs w:val="24"/>
                <w:u w:val="none"/>
                <w:vertAlign w:val="baseline"/>
                <w:lang w:val="en-US" w:eastAsia="zh-CN"/>
              </w:rPr>
              <w:t>正常，技术资料</w:t>
            </w:r>
            <w:r>
              <w:rPr>
                <w:rFonts w:hint="eastAsia" w:ascii="仿宋" w:hAnsi="仿宋" w:eastAsia="仿宋" w:cs="仿宋"/>
                <w:color w:val="auto"/>
                <w:sz w:val="24"/>
                <w:szCs w:val="24"/>
                <w:u w:val="single"/>
                <w:vertAlign w:val="baseline"/>
                <w:lang w:val="en-US" w:eastAsia="zh-CN"/>
              </w:rPr>
              <w:t>（是、否）</w:t>
            </w:r>
            <w:r>
              <w:rPr>
                <w:rFonts w:hint="eastAsia" w:ascii="仿宋" w:hAnsi="仿宋" w:eastAsia="仿宋" w:cs="仿宋"/>
                <w:color w:val="auto"/>
                <w:sz w:val="24"/>
                <w:szCs w:val="24"/>
                <w:u w:val="none"/>
                <w:vertAlign w:val="baseline"/>
                <w:lang w:val="en-US" w:eastAsia="zh-CN"/>
              </w:rPr>
              <w:t>齐全，验收</w:t>
            </w:r>
            <w:r>
              <w:rPr>
                <w:rFonts w:hint="eastAsia" w:ascii="仿宋" w:hAnsi="仿宋" w:eastAsia="仿宋" w:cs="仿宋"/>
                <w:color w:val="auto"/>
                <w:sz w:val="24"/>
                <w:szCs w:val="24"/>
                <w:u w:val="single"/>
                <w:vertAlign w:val="baseline"/>
                <w:lang w:val="en-US" w:eastAsia="zh-CN"/>
              </w:rPr>
              <w:t>（是、否）</w:t>
            </w:r>
            <w:r>
              <w:rPr>
                <w:rFonts w:hint="eastAsia" w:ascii="仿宋" w:hAnsi="仿宋" w:eastAsia="仿宋" w:cs="仿宋"/>
                <w:color w:val="auto"/>
                <w:sz w:val="24"/>
                <w:szCs w:val="24"/>
                <w:u w:val="none"/>
                <w:vertAlign w:val="baseline"/>
                <w:lang w:val="en-US" w:eastAsia="zh-CN"/>
              </w:rPr>
              <w:t>合格。</w:t>
            </w:r>
          </w:p>
          <w:p w14:paraId="58354F91">
            <w:pPr>
              <w:rPr>
                <w:rFonts w:hint="eastAsia" w:ascii="仿宋" w:hAnsi="仿宋" w:eastAsia="仿宋" w:cs="仿宋"/>
                <w:color w:val="auto"/>
                <w:sz w:val="24"/>
                <w:szCs w:val="24"/>
                <w:u w:val="none"/>
                <w:vertAlign w:val="baseline"/>
                <w:lang w:val="en-US" w:eastAsia="zh-CN"/>
              </w:rPr>
            </w:pPr>
          </w:p>
          <w:p w14:paraId="36C32542">
            <w:pPr>
              <w:ind w:firstLine="240" w:firstLineChars="100"/>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采购单位验收人签名：</w:t>
            </w:r>
          </w:p>
          <w:p w14:paraId="2B7623E3">
            <w:pPr>
              <w:ind w:firstLine="240" w:firstLineChars="100"/>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采购单位科室主任/护士长签名：</w:t>
            </w:r>
          </w:p>
          <w:p w14:paraId="6E20CDBD">
            <w:pP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 xml:space="preserve">                    </w:t>
            </w:r>
          </w:p>
          <w:p w14:paraId="1927206D">
            <w:pPr>
              <w:ind w:firstLine="1200" w:firstLineChars="500"/>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 xml:space="preserve">               验收日期：     年  月  日</w:t>
            </w:r>
          </w:p>
          <w:p w14:paraId="56D4751C">
            <w:pPr>
              <w:rPr>
                <w:rFonts w:hint="eastAsia" w:ascii="仿宋" w:hAnsi="仿宋" w:eastAsia="仿宋" w:cs="仿宋"/>
                <w:color w:val="auto"/>
                <w:sz w:val="24"/>
                <w:szCs w:val="24"/>
                <w:u w:val="none"/>
                <w:vertAlign w:val="baseline"/>
                <w:lang w:val="en-US" w:eastAsia="zh-CN"/>
              </w:rPr>
            </w:pPr>
          </w:p>
        </w:tc>
      </w:tr>
      <w:tr w14:paraId="3524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870" w:type="dxa"/>
            <w:noWrap w:val="0"/>
            <w:vAlign w:val="top"/>
          </w:tcPr>
          <w:p w14:paraId="48868A87">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备注</w:t>
            </w:r>
          </w:p>
        </w:tc>
        <w:tc>
          <w:tcPr>
            <w:tcW w:w="8619" w:type="dxa"/>
            <w:gridSpan w:val="8"/>
            <w:noWrap w:val="0"/>
            <w:vAlign w:val="top"/>
          </w:tcPr>
          <w:p w14:paraId="2DE3B8EC">
            <w:pPr>
              <w:rPr>
                <w:rFonts w:hint="eastAsia" w:ascii="仿宋" w:hAnsi="仿宋" w:eastAsia="仿宋" w:cs="仿宋"/>
                <w:color w:val="auto"/>
                <w:sz w:val="24"/>
                <w:szCs w:val="24"/>
                <w:vertAlign w:val="baseline"/>
                <w:lang w:eastAsia="zh-CN"/>
              </w:rPr>
            </w:pPr>
          </w:p>
        </w:tc>
      </w:tr>
    </w:tbl>
    <w:p w14:paraId="14A68D4A">
      <w:pPr>
        <w:outlineLvl w:val="9"/>
        <w:rPr>
          <w:rFonts w:hint="eastAsia" w:ascii="仿宋" w:hAnsi="仿宋" w:eastAsia="仿宋" w:cs="仿宋"/>
          <w:color w:val="auto"/>
        </w:rPr>
      </w:pPr>
    </w:p>
    <w:p w14:paraId="56BDEF36">
      <w:pPr>
        <w:numPr>
          <w:ilvl w:val="1"/>
          <w:numId w:val="0"/>
        </w:numPr>
        <w:jc w:val="both"/>
        <w:outlineLvl w:val="9"/>
        <w:rPr>
          <w:rFonts w:hint="eastAsia" w:ascii="仿宋" w:hAnsi="仿宋" w:eastAsia="仿宋" w:cs="仿宋"/>
          <w:color w:val="auto"/>
        </w:rPr>
      </w:pPr>
    </w:p>
    <w:p w14:paraId="4C3C072F">
      <w:pPr>
        <w:outlineLvl w:val="9"/>
        <w:rPr>
          <w:rFonts w:hint="eastAsia" w:ascii="仿宋" w:hAnsi="仿宋" w:eastAsia="仿宋" w:cs="仿宋"/>
          <w:color w:val="auto"/>
        </w:rPr>
      </w:pPr>
    </w:p>
    <w:p w14:paraId="44AA489E">
      <w:pPr>
        <w:pStyle w:val="13"/>
        <w:outlineLvl w:val="9"/>
        <w:rPr>
          <w:rFonts w:hint="eastAsia" w:ascii="仿宋" w:hAnsi="仿宋" w:eastAsia="仿宋" w:cs="仿宋"/>
          <w:color w:val="auto"/>
          <w:lang w:eastAsia="zh-CN"/>
        </w:rPr>
      </w:pPr>
    </w:p>
    <w:p w14:paraId="7376CCF5">
      <w:pPr>
        <w:rPr>
          <w:rFonts w:hint="eastAsia" w:ascii="仿宋" w:hAnsi="仿宋" w:eastAsia="仿宋" w:cs="仿宋"/>
          <w:color w:val="auto"/>
          <w:lang w:eastAsia="zh-CN"/>
        </w:rPr>
      </w:pPr>
    </w:p>
    <w:p w14:paraId="3737C063">
      <w:pPr>
        <w:pStyle w:val="15"/>
        <w:rPr>
          <w:rFonts w:hint="eastAsia" w:ascii="仿宋" w:hAnsi="仿宋" w:eastAsia="仿宋" w:cs="仿宋"/>
          <w:color w:val="auto"/>
          <w:lang w:eastAsia="zh-CN"/>
        </w:rPr>
      </w:pPr>
    </w:p>
    <w:p w14:paraId="74674339">
      <w:pPr>
        <w:rPr>
          <w:rFonts w:hint="eastAsia" w:ascii="仿宋" w:hAnsi="仿宋" w:eastAsia="仿宋" w:cs="仿宋"/>
          <w:color w:val="auto"/>
          <w:lang w:eastAsia="zh-CN"/>
        </w:rPr>
      </w:pPr>
    </w:p>
    <w:p w14:paraId="0A8BE6C0">
      <w:pPr>
        <w:pStyle w:val="15"/>
        <w:rPr>
          <w:rFonts w:hint="eastAsia" w:ascii="仿宋" w:hAnsi="仿宋" w:eastAsia="仿宋" w:cs="仿宋"/>
          <w:color w:val="auto"/>
          <w:lang w:eastAsia="zh-CN"/>
        </w:rPr>
      </w:pPr>
    </w:p>
    <w:p w14:paraId="534DAD98">
      <w:pPr>
        <w:rPr>
          <w:rFonts w:hint="eastAsia" w:ascii="仿宋" w:hAnsi="仿宋" w:eastAsia="仿宋" w:cs="仿宋"/>
          <w:color w:val="auto"/>
          <w:lang w:eastAsia="zh-CN"/>
        </w:rPr>
      </w:pPr>
    </w:p>
    <w:p w14:paraId="58AA7B09">
      <w:pPr>
        <w:pStyle w:val="15"/>
        <w:rPr>
          <w:rFonts w:hint="eastAsia" w:ascii="仿宋" w:hAnsi="仿宋" w:eastAsia="仿宋" w:cs="仿宋"/>
          <w:color w:val="auto"/>
          <w:lang w:eastAsia="zh-CN"/>
        </w:rPr>
      </w:pPr>
    </w:p>
    <w:p w14:paraId="5F0714C2">
      <w:pPr>
        <w:rPr>
          <w:rFonts w:hint="eastAsia" w:ascii="仿宋" w:hAnsi="仿宋" w:eastAsia="仿宋" w:cs="仿宋"/>
          <w:color w:val="auto"/>
          <w:lang w:eastAsia="zh-CN"/>
        </w:rPr>
      </w:pPr>
    </w:p>
    <w:p w14:paraId="4C4ED129">
      <w:pPr>
        <w:rPr>
          <w:rFonts w:hint="eastAsia" w:ascii="仿宋" w:hAnsi="仿宋" w:eastAsia="仿宋" w:cs="仿宋"/>
          <w:color w:val="auto"/>
          <w:lang w:eastAsia="zh-CN"/>
        </w:rPr>
      </w:pPr>
    </w:p>
    <w:p w14:paraId="5FBE694C">
      <w:pPr>
        <w:pStyle w:val="15"/>
        <w:rPr>
          <w:rFonts w:hint="eastAsia" w:ascii="仿宋" w:hAnsi="仿宋" w:eastAsia="仿宋" w:cs="仿宋"/>
          <w:color w:val="auto"/>
          <w:lang w:eastAsia="zh-CN"/>
        </w:rPr>
      </w:pPr>
    </w:p>
    <w:p w14:paraId="663C6F83">
      <w:pPr>
        <w:rPr>
          <w:rFonts w:hint="eastAsia" w:ascii="仿宋" w:hAnsi="仿宋" w:eastAsia="仿宋" w:cs="仿宋"/>
          <w:color w:val="auto"/>
          <w:lang w:eastAsia="zh-CN"/>
        </w:rPr>
      </w:pPr>
    </w:p>
    <w:p w14:paraId="06EAC60A">
      <w:pPr>
        <w:pStyle w:val="15"/>
        <w:rPr>
          <w:rFonts w:hint="eastAsia" w:ascii="仿宋" w:hAnsi="仿宋" w:eastAsia="仿宋" w:cs="仿宋"/>
          <w:color w:val="auto"/>
          <w:lang w:eastAsia="zh-CN"/>
        </w:rPr>
      </w:pPr>
    </w:p>
    <w:p w14:paraId="54F51AAD">
      <w:pPr>
        <w:pStyle w:val="2"/>
        <w:jc w:val="center"/>
        <w:rPr>
          <w:rFonts w:hint="eastAsia" w:ascii="仿宋" w:hAnsi="仿宋" w:eastAsia="仿宋" w:cs="仿宋"/>
          <w:color w:val="auto"/>
        </w:rPr>
      </w:pPr>
      <w:bookmarkStart w:id="63" w:name="_Toc2224"/>
      <w:bookmarkStart w:id="64" w:name="_Toc13592"/>
      <w:r>
        <w:rPr>
          <w:rFonts w:hint="eastAsia" w:ascii="仿宋" w:hAnsi="仿宋" w:eastAsia="仿宋" w:cs="仿宋"/>
          <w:color w:val="auto"/>
        </w:rPr>
        <w:t xml:space="preserve">第四部分 </w:t>
      </w:r>
      <w:r>
        <w:rPr>
          <w:rFonts w:hint="eastAsia" w:ascii="仿宋" w:hAnsi="仿宋" w:eastAsia="仿宋" w:cs="仿宋"/>
          <w:color w:val="auto"/>
          <w:lang w:val="en-US" w:eastAsia="zh-CN"/>
        </w:rPr>
        <w:t>采</w:t>
      </w:r>
      <w:r>
        <w:rPr>
          <w:rFonts w:hint="eastAsia" w:ascii="仿宋" w:hAnsi="仿宋" w:eastAsia="仿宋" w:cs="仿宋"/>
          <w:color w:val="auto"/>
        </w:rPr>
        <w:t>购内容及要求</w:t>
      </w:r>
      <w:bookmarkEnd w:id="63"/>
      <w:bookmarkEnd w:id="64"/>
    </w:p>
    <w:p w14:paraId="3C9FE3C3">
      <w:pPr>
        <w:rPr>
          <w:rFonts w:hint="eastAsia" w:ascii="仿宋" w:hAnsi="仿宋" w:eastAsia="仿宋" w:cs="仿宋"/>
          <w:b/>
          <w:bCs/>
          <w:color w:val="auto"/>
          <w:kern w:val="0"/>
          <w:sz w:val="32"/>
          <w:szCs w:val="32"/>
          <w:u w:val="single"/>
        </w:rPr>
      </w:pPr>
      <w:r>
        <w:rPr>
          <w:rFonts w:hint="eastAsia" w:ascii="仿宋" w:hAnsi="仿宋" w:eastAsia="仿宋" w:cs="仿宋"/>
          <w:b/>
          <w:bCs/>
          <w:color w:val="auto"/>
          <w:kern w:val="0"/>
          <w:sz w:val="32"/>
          <w:szCs w:val="32"/>
          <w:u w:val="single"/>
        </w:rPr>
        <w:br w:type="page"/>
      </w:r>
    </w:p>
    <w:p w14:paraId="5780BB4C">
      <w:pPr>
        <w:spacing w:line="360" w:lineRule="auto"/>
        <w:jc w:val="center"/>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汉滨区第三人民2024年度专科、基础医疗</w:t>
      </w:r>
    </w:p>
    <w:p w14:paraId="06B38191">
      <w:pPr>
        <w:spacing w:line="360" w:lineRule="auto"/>
        <w:jc w:val="center"/>
        <w:rPr>
          <w:rFonts w:hint="eastAsia" w:ascii="仿宋" w:hAnsi="仿宋" w:eastAsia="仿宋" w:cs="仿宋"/>
        </w:rPr>
      </w:pPr>
      <w:r>
        <w:rPr>
          <w:rFonts w:hint="eastAsia" w:ascii="仿宋" w:hAnsi="仿宋" w:eastAsia="仿宋" w:cs="仿宋"/>
          <w:b/>
          <w:bCs/>
          <w:sz w:val="32"/>
          <w:szCs w:val="40"/>
          <w:lang w:val="en-US" w:eastAsia="zh-CN"/>
        </w:rPr>
        <w:t>设备清单采购项目招标参数</w:t>
      </w:r>
    </w:p>
    <w:p w14:paraId="634764EF">
      <w:pPr>
        <w:spacing w:before="234" w:line="223" w:lineRule="auto"/>
        <w:ind w:left="126"/>
        <w:rPr>
          <w:rFonts w:hint="eastAsia" w:ascii="仿宋" w:hAnsi="仿宋" w:eastAsia="仿宋" w:cs="仿宋"/>
          <w:sz w:val="24"/>
          <w:szCs w:val="24"/>
          <w:highlight w:val="none"/>
        </w:rPr>
      </w:pPr>
      <w:r>
        <w:rPr>
          <w:rFonts w:ascii="楷体" w:hAnsi="楷体" w:eastAsia="楷体" w:cs="楷体"/>
          <w:b/>
          <w:bCs/>
          <w:spacing w:val="-4"/>
          <w:sz w:val="24"/>
          <w:szCs w:val="24"/>
        </w:rPr>
        <w:t>一、采购清单</w:t>
      </w:r>
    </w:p>
    <w:p w14:paraId="52D52570">
      <w:pPr>
        <w:spacing w:before="56"/>
        <w:rPr>
          <w:rFonts w:hint="eastAsia" w:ascii="仿宋" w:hAnsi="仿宋" w:eastAsia="仿宋" w:cs="仿宋"/>
          <w:sz w:val="24"/>
          <w:szCs w:val="24"/>
          <w:highlight w:val="none"/>
        </w:rPr>
      </w:pPr>
    </w:p>
    <w:tbl>
      <w:tblPr>
        <w:tblStyle w:val="115"/>
        <w:tblW w:w="9017"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2335"/>
        <w:gridCol w:w="867"/>
        <w:gridCol w:w="950"/>
        <w:gridCol w:w="1533"/>
        <w:gridCol w:w="1720"/>
        <w:gridCol w:w="867"/>
      </w:tblGrid>
      <w:tr w14:paraId="78F92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45" w:type="dxa"/>
            <w:vAlign w:val="top"/>
          </w:tcPr>
          <w:p w14:paraId="1C359DE0">
            <w:pPr>
              <w:spacing w:before="195" w:line="225" w:lineRule="auto"/>
              <w:ind w:left="117"/>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2335" w:type="dxa"/>
            <w:vAlign w:val="top"/>
          </w:tcPr>
          <w:p w14:paraId="78EDF466">
            <w:pPr>
              <w:spacing w:before="195" w:line="236" w:lineRule="auto"/>
              <w:ind w:left="66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名称</w:t>
            </w:r>
          </w:p>
        </w:tc>
        <w:tc>
          <w:tcPr>
            <w:tcW w:w="867" w:type="dxa"/>
            <w:vAlign w:val="top"/>
          </w:tcPr>
          <w:p w14:paraId="10324610">
            <w:pPr>
              <w:spacing w:before="195" w:line="225" w:lineRule="auto"/>
              <w:ind w:left="198"/>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单位</w:t>
            </w:r>
          </w:p>
        </w:tc>
        <w:tc>
          <w:tcPr>
            <w:tcW w:w="950" w:type="dxa"/>
            <w:vAlign w:val="top"/>
          </w:tcPr>
          <w:p w14:paraId="6A7A626D">
            <w:pPr>
              <w:spacing w:before="196" w:line="234" w:lineRule="auto"/>
              <w:ind w:left="144"/>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数量</w:t>
            </w:r>
          </w:p>
        </w:tc>
        <w:tc>
          <w:tcPr>
            <w:tcW w:w="1533" w:type="dxa"/>
            <w:vAlign w:val="top"/>
          </w:tcPr>
          <w:p w14:paraId="57D7EB9B">
            <w:pPr>
              <w:spacing w:before="41" w:line="223" w:lineRule="auto"/>
              <w:ind w:left="732" w:right="170" w:hanging="547"/>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预算单价/</w:t>
            </w:r>
          </w:p>
          <w:p w14:paraId="1F396457">
            <w:pPr>
              <w:spacing w:before="41" w:line="223" w:lineRule="auto"/>
              <w:ind w:left="732" w:right="170" w:hanging="547"/>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万</w:t>
            </w:r>
            <w:r>
              <w:rPr>
                <w:rFonts w:hint="eastAsia" w:ascii="仿宋" w:hAnsi="仿宋" w:eastAsia="仿宋" w:cs="仿宋"/>
                <w:sz w:val="24"/>
                <w:szCs w:val="24"/>
                <w:highlight w:val="none"/>
              </w:rPr>
              <w:t>元</w:t>
            </w:r>
          </w:p>
        </w:tc>
        <w:tc>
          <w:tcPr>
            <w:tcW w:w="1720" w:type="dxa"/>
            <w:vAlign w:val="top"/>
          </w:tcPr>
          <w:p w14:paraId="1F9F562C">
            <w:pPr>
              <w:spacing w:before="41" w:line="223" w:lineRule="auto"/>
              <w:ind w:right="169"/>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预算总价/</w:t>
            </w:r>
          </w:p>
          <w:p w14:paraId="2F6204C8">
            <w:pPr>
              <w:spacing w:before="41" w:line="223" w:lineRule="auto"/>
              <w:ind w:right="169"/>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万</w:t>
            </w:r>
            <w:r>
              <w:rPr>
                <w:rFonts w:hint="eastAsia" w:ascii="仿宋" w:hAnsi="仿宋" w:eastAsia="仿宋" w:cs="仿宋"/>
                <w:sz w:val="24"/>
                <w:szCs w:val="24"/>
                <w:highlight w:val="none"/>
              </w:rPr>
              <w:t>元</w:t>
            </w:r>
          </w:p>
        </w:tc>
        <w:tc>
          <w:tcPr>
            <w:tcW w:w="867" w:type="dxa"/>
            <w:vAlign w:val="top"/>
          </w:tcPr>
          <w:p w14:paraId="5523A69B">
            <w:pPr>
              <w:spacing w:before="194" w:line="227" w:lineRule="auto"/>
              <w:ind w:left="26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备注</w:t>
            </w:r>
          </w:p>
        </w:tc>
      </w:tr>
      <w:tr w14:paraId="4D98E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45" w:type="dxa"/>
            <w:vAlign w:val="center"/>
          </w:tcPr>
          <w:p w14:paraId="4AEEBC06">
            <w:pPr>
              <w:spacing w:before="195" w:line="236"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1</w:t>
            </w:r>
          </w:p>
        </w:tc>
        <w:tc>
          <w:tcPr>
            <w:tcW w:w="2335" w:type="dxa"/>
            <w:vAlign w:val="center"/>
          </w:tcPr>
          <w:p w14:paraId="493A3A40">
            <w:pPr>
              <w:keepNext w:val="0"/>
              <w:keepLines w:val="0"/>
              <w:widowControl/>
              <w:suppressLineNumbers w:val="0"/>
              <w:jc w:val="center"/>
              <w:textAlignment w:val="center"/>
              <w:rPr>
                <w:rFonts w:hint="eastAsia" w:ascii="仿宋" w:hAnsi="仿宋" w:eastAsia="仿宋" w:cs="仿宋"/>
                <w:spacing w:val="-3"/>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胰岛素泵</w:t>
            </w:r>
          </w:p>
        </w:tc>
        <w:tc>
          <w:tcPr>
            <w:tcW w:w="867" w:type="dxa"/>
            <w:vAlign w:val="center"/>
          </w:tcPr>
          <w:p w14:paraId="0E7598F5">
            <w:pPr>
              <w:spacing w:before="163" w:line="232"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w:t>
            </w:r>
          </w:p>
        </w:tc>
        <w:tc>
          <w:tcPr>
            <w:tcW w:w="950" w:type="dxa"/>
            <w:vAlign w:val="center"/>
          </w:tcPr>
          <w:p w14:paraId="6568181B">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2</w:t>
            </w:r>
          </w:p>
        </w:tc>
        <w:tc>
          <w:tcPr>
            <w:tcW w:w="1533" w:type="dxa"/>
            <w:vAlign w:val="center"/>
          </w:tcPr>
          <w:p w14:paraId="7DB56241">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3</w:t>
            </w:r>
          </w:p>
        </w:tc>
        <w:tc>
          <w:tcPr>
            <w:tcW w:w="1720" w:type="dxa"/>
            <w:vAlign w:val="center"/>
          </w:tcPr>
          <w:p w14:paraId="7FF895E1">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6</w:t>
            </w:r>
          </w:p>
        </w:tc>
        <w:tc>
          <w:tcPr>
            <w:tcW w:w="867" w:type="dxa"/>
            <w:vAlign w:val="top"/>
          </w:tcPr>
          <w:p w14:paraId="3B441F95">
            <w:pPr>
              <w:rPr>
                <w:rFonts w:hint="eastAsia" w:ascii="仿宋" w:hAnsi="仿宋" w:eastAsia="仿宋" w:cs="仿宋"/>
                <w:sz w:val="24"/>
                <w:szCs w:val="24"/>
                <w:highlight w:val="none"/>
              </w:rPr>
            </w:pPr>
          </w:p>
        </w:tc>
      </w:tr>
      <w:tr w14:paraId="28E1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45" w:type="dxa"/>
            <w:vAlign w:val="center"/>
          </w:tcPr>
          <w:p w14:paraId="7DA60E90">
            <w:pPr>
              <w:spacing w:before="195" w:line="236"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2</w:t>
            </w:r>
          </w:p>
        </w:tc>
        <w:tc>
          <w:tcPr>
            <w:tcW w:w="2335" w:type="dxa"/>
            <w:vAlign w:val="center"/>
          </w:tcPr>
          <w:p w14:paraId="7F9DBE38">
            <w:pPr>
              <w:keepNext w:val="0"/>
              <w:keepLines w:val="0"/>
              <w:widowControl/>
              <w:suppressLineNumbers w:val="0"/>
              <w:jc w:val="center"/>
              <w:textAlignment w:val="center"/>
              <w:rPr>
                <w:rFonts w:hint="eastAsia" w:ascii="仿宋" w:hAnsi="仿宋" w:eastAsia="仿宋" w:cs="仿宋"/>
                <w:spacing w:val="-3"/>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体外冲击波碎石机</w:t>
            </w:r>
          </w:p>
        </w:tc>
        <w:tc>
          <w:tcPr>
            <w:tcW w:w="867" w:type="dxa"/>
            <w:vAlign w:val="center"/>
          </w:tcPr>
          <w:p w14:paraId="0E294E4A">
            <w:pPr>
              <w:spacing w:before="163" w:line="232" w:lineRule="auto"/>
              <w:ind w:left="342"/>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台</w:t>
            </w:r>
          </w:p>
        </w:tc>
        <w:tc>
          <w:tcPr>
            <w:tcW w:w="950" w:type="dxa"/>
            <w:vAlign w:val="center"/>
          </w:tcPr>
          <w:p w14:paraId="7CE12D14">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vAlign w:val="center"/>
          </w:tcPr>
          <w:p w14:paraId="01A8837F">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30</w:t>
            </w:r>
          </w:p>
        </w:tc>
        <w:tc>
          <w:tcPr>
            <w:tcW w:w="1720" w:type="dxa"/>
            <w:vAlign w:val="center"/>
          </w:tcPr>
          <w:p w14:paraId="6E1D92D1">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30</w:t>
            </w:r>
          </w:p>
        </w:tc>
        <w:tc>
          <w:tcPr>
            <w:tcW w:w="867" w:type="dxa"/>
            <w:vAlign w:val="top"/>
          </w:tcPr>
          <w:p w14:paraId="081D2D18">
            <w:pPr>
              <w:rPr>
                <w:rFonts w:hint="eastAsia" w:ascii="仿宋" w:hAnsi="仿宋" w:eastAsia="仿宋" w:cs="仿宋"/>
                <w:sz w:val="24"/>
                <w:szCs w:val="24"/>
                <w:highlight w:val="none"/>
              </w:rPr>
            </w:pPr>
          </w:p>
        </w:tc>
      </w:tr>
      <w:tr w14:paraId="4F2E6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45" w:type="dxa"/>
            <w:vAlign w:val="center"/>
          </w:tcPr>
          <w:p w14:paraId="7AB51B28">
            <w:pPr>
              <w:spacing w:before="195" w:line="236"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3</w:t>
            </w:r>
          </w:p>
        </w:tc>
        <w:tc>
          <w:tcPr>
            <w:tcW w:w="2335" w:type="dxa"/>
            <w:vAlign w:val="center"/>
          </w:tcPr>
          <w:p w14:paraId="4A9443F4">
            <w:pPr>
              <w:keepNext w:val="0"/>
              <w:keepLines w:val="0"/>
              <w:widowControl/>
              <w:suppressLineNumbers w:val="0"/>
              <w:jc w:val="center"/>
              <w:textAlignment w:val="center"/>
              <w:rPr>
                <w:rFonts w:hint="eastAsia" w:ascii="仿宋" w:hAnsi="仿宋" w:eastAsia="仿宋" w:cs="仿宋"/>
                <w:spacing w:val="-3"/>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超乳手柄（含针头）</w:t>
            </w:r>
          </w:p>
        </w:tc>
        <w:tc>
          <w:tcPr>
            <w:tcW w:w="867" w:type="dxa"/>
            <w:vAlign w:val="center"/>
          </w:tcPr>
          <w:p w14:paraId="08E5BB65">
            <w:pPr>
              <w:spacing w:before="163" w:line="232" w:lineRule="auto"/>
              <w:ind w:left="342"/>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台</w:t>
            </w:r>
          </w:p>
        </w:tc>
        <w:tc>
          <w:tcPr>
            <w:tcW w:w="950" w:type="dxa"/>
            <w:vAlign w:val="center"/>
          </w:tcPr>
          <w:p w14:paraId="2EBEA70D">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vAlign w:val="center"/>
          </w:tcPr>
          <w:p w14:paraId="491FF710">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6</w:t>
            </w:r>
          </w:p>
        </w:tc>
        <w:tc>
          <w:tcPr>
            <w:tcW w:w="1720" w:type="dxa"/>
            <w:vAlign w:val="center"/>
          </w:tcPr>
          <w:p w14:paraId="69CA272A">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6</w:t>
            </w:r>
          </w:p>
        </w:tc>
        <w:tc>
          <w:tcPr>
            <w:tcW w:w="867" w:type="dxa"/>
            <w:vAlign w:val="top"/>
          </w:tcPr>
          <w:p w14:paraId="1945F820">
            <w:pPr>
              <w:rPr>
                <w:rFonts w:hint="eastAsia" w:ascii="仿宋" w:hAnsi="仿宋" w:eastAsia="仿宋" w:cs="仿宋"/>
                <w:sz w:val="24"/>
                <w:szCs w:val="24"/>
                <w:highlight w:val="none"/>
              </w:rPr>
            </w:pPr>
          </w:p>
        </w:tc>
      </w:tr>
      <w:tr w14:paraId="40BD8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45" w:type="dxa"/>
            <w:vAlign w:val="center"/>
          </w:tcPr>
          <w:p w14:paraId="7EF240B9">
            <w:pPr>
              <w:spacing w:before="195" w:line="236"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4</w:t>
            </w:r>
          </w:p>
        </w:tc>
        <w:tc>
          <w:tcPr>
            <w:tcW w:w="2335" w:type="dxa"/>
            <w:vAlign w:val="center"/>
          </w:tcPr>
          <w:p w14:paraId="1B4EAF7B">
            <w:pPr>
              <w:keepNext w:val="0"/>
              <w:keepLines w:val="0"/>
              <w:widowControl/>
              <w:suppressLineNumbers w:val="0"/>
              <w:jc w:val="center"/>
              <w:textAlignment w:val="center"/>
              <w:rPr>
                <w:rFonts w:hint="eastAsia" w:ascii="仿宋" w:hAnsi="仿宋" w:eastAsia="仿宋" w:cs="仿宋"/>
                <w:spacing w:val="-3"/>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测听室</w:t>
            </w:r>
          </w:p>
        </w:tc>
        <w:tc>
          <w:tcPr>
            <w:tcW w:w="867" w:type="dxa"/>
            <w:vAlign w:val="center"/>
          </w:tcPr>
          <w:p w14:paraId="0118970D">
            <w:pPr>
              <w:spacing w:before="163" w:line="232" w:lineRule="auto"/>
              <w:ind w:left="342"/>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间</w:t>
            </w:r>
          </w:p>
        </w:tc>
        <w:tc>
          <w:tcPr>
            <w:tcW w:w="950" w:type="dxa"/>
            <w:vAlign w:val="center"/>
          </w:tcPr>
          <w:p w14:paraId="792B6484">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vAlign w:val="center"/>
          </w:tcPr>
          <w:p w14:paraId="7AE2B016">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5</w:t>
            </w:r>
          </w:p>
        </w:tc>
        <w:tc>
          <w:tcPr>
            <w:tcW w:w="1720" w:type="dxa"/>
            <w:vAlign w:val="center"/>
          </w:tcPr>
          <w:p w14:paraId="4716DC95">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5</w:t>
            </w:r>
          </w:p>
        </w:tc>
        <w:tc>
          <w:tcPr>
            <w:tcW w:w="867" w:type="dxa"/>
            <w:vAlign w:val="top"/>
          </w:tcPr>
          <w:p w14:paraId="72C6AEF3">
            <w:pPr>
              <w:rPr>
                <w:rFonts w:hint="eastAsia" w:ascii="仿宋" w:hAnsi="仿宋" w:eastAsia="仿宋" w:cs="仿宋"/>
                <w:sz w:val="24"/>
                <w:szCs w:val="24"/>
                <w:highlight w:val="none"/>
              </w:rPr>
            </w:pPr>
          </w:p>
        </w:tc>
      </w:tr>
      <w:tr w14:paraId="3F36D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5" w:type="dxa"/>
            <w:vAlign w:val="center"/>
          </w:tcPr>
          <w:p w14:paraId="7C254825">
            <w:pPr>
              <w:spacing w:before="195" w:line="236"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5</w:t>
            </w:r>
          </w:p>
        </w:tc>
        <w:tc>
          <w:tcPr>
            <w:tcW w:w="2335" w:type="dxa"/>
            <w:vAlign w:val="center"/>
          </w:tcPr>
          <w:p w14:paraId="1FA20E5B">
            <w:pPr>
              <w:keepNext w:val="0"/>
              <w:keepLines w:val="0"/>
              <w:widowControl/>
              <w:suppressLineNumbers w:val="0"/>
              <w:jc w:val="center"/>
              <w:textAlignment w:val="center"/>
              <w:rPr>
                <w:rFonts w:hint="eastAsia" w:ascii="仿宋" w:hAnsi="仿宋" w:eastAsia="仿宋" w:cs="仿宋"/>
                <w:spacing w:val="-3"/>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动态心电图记录盒</w:t>
            </w:r>
          </w:p>
        </w:tc>
        <w:tc>
          <w:tcPr>
            <w:tcW w:w="867" w:type="dxa"/>
            <w:vAlign w:val="center"/>
          </w:tcPr>
          <w:p w14:paraId="7ADEBFE3">
            <w:pPr>
              <w:spacing w:before="163" w:line="232" w:lineRule="auto"/>
              <w:ind w:left="342"/>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w:t>
            </w:r>
          </w:p>
        </w:tc>
        <w:tc>
          <w:tcPr>
            <w:tcW w:w="950" w:type="dxa"/>
            <w:vAlign w:val="center"/>
          </w:tcPr>
          <w:p w14:paraId="063E2366">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2</w:t>
            </w:r>
          </w:p>
        </w:tc>
        <w:tc>
          <w:tcPr>
            <w:tcW w:w="1533" w:type="dxa"/>
            <w:vAlign w:val="center"/>
          </w:tcPr>
          <w:p w14:paraId="6E4C0102">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1.7</w:t>
            </w:r>
          </w:p>
        </w:tc>
        <w:tc>
          <w:tcPr>
            <w:tcW w:w="1720" w:type="dxa"/>
            <w:vAlign w:val="center"/>
          </w:tcPr>
          <w:p w14:paraId="49351858">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3.4</w:t>
            </w:r>
          </w:p>
        </w:tc>
        <w:tc>
          <w:tcPr>
            <w:tcW w:w="867" w:type="dxa"/>
            <w:vAlign w:val="top"/>
          </w:tcPr>
          <w:p w14:paraId="364CC231">
            <w:pPr>
              <w:rPr>
                <w:rFonts w:hint="eastAsia" w:ascii="仿宋" w:hAnsi="仿宋" w:eastAsia="仿宋" w:cs="仿宋"/>
                <w:sz w:val="24"/>
                <w:szCs w:val="24"/>
                <w:highlight w:val="none"/>
              </w:rPr>
            </w:pPr>
          </w:p>
        </w:tc>
      </w:tr>
      <w:tr w14:paraId="27015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45" w:type="dxa"/>
            <w:vAlign w:val="center"/>
          </w:tcPr>
          <w:p w14:paraId="23561425">
            <w:pPr>
              <w:spacing w:before="195" w:line="236"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6</w:t>
            </w:r>
          </w:p>
        </w:tc>
        <w:tc>
          <w:tcPr>
            <w:tcW w:w="2335" w:type="dxa"/>
            <w:vAlign w:val="center"/>
          </w:tcPr>
          <w:p w14:paraId="0937AFC2">
            <w:pPr>
              <w:keepNext w:val="0"/>
              <w:keepLines w:val="0"/>
              <w:widowControl/>
              <w:suppressLineNumbers w:val="0"/>
              <w:jc w:val="center"/>
              <w:textAlignment w:val="center"/>
              <w:rPr>
                <w:rFonts w:hint="eastAsia" w:ascii="仿宋" w:hAnsi="仿宋" w:eastAsia="仿宋" w:cs="仿宋"/>
                <w:spacing w:val="-3"/>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射频温控热凝仪</w:t>
            </w:r>
          </w:p>
        </w:tc>
        <w:tc>
          <w:tcPr>
            <w:tcW w:w="867" w:type="dxa"/>
            <w:vAlign w:val="center"/>
          </w:tcPr>
          <w:p w14:paraId="1C4D506C">
            <w:pPr>
              <w:spacing w:before="163" w:line="232" w:lineRule="auto"/>
              <w:ind w:left="342"/>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w:t>
            </w:r>
          </w:p>
        </w:tc>
        <w:tc>
          <w:tcPr>
            <w:tcW w:w="950" w:type="dxa"/>
            <w:vAlign w:val="center"/>
          </w:tcPr>
          <w:p w14:paraId="033E064D">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vAlign w:val="center"/>
          </w:tcPr>
          <w:p w14:paraId="4D4DCBC0">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30</w:t>
            </w:r>
          </w:p>
        </w:tc>
        <w:tc>
          <w:tcPr>
            <w:tcW w:w="1720" w:type="dxa"/>
            <w:vAlign w:val="center"/>
          </w:tcPr>
          <w:p w14:paraId="44E79ADD">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30</w:t>
            </w:r>
          </w:p>
        </w:tc>
        <w:tc>
          <w:tcPr>
            <w:tcW w:w="867" w:type="dxa"/>
            <w:vAlign w:val="top"/>
          </w:tcPr>
          <w:p w14:paraId="4A5B598D">
            <w:pPr>
              <w:rPr>
                <w:rFonts w:hint="eastAsia" w:ascii="仿宋" w:hAnsi="仿宋" w:eastAsia="仿宋" w:cs="仿宋"/>
                <w:sz w:val="24"/>
                <w:szCs w:val="24"/>
                <w:highlight w:val="none"/>
              </w:rPr>
            </w:pPr>
          </w:p>
        </w:tc>
      </w:tr>
      <w:tr w14:paraId="6753B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45" w:type="dxa"/>
            <w:vAlign w:val="center"/>
          </w:tcPr>
          <w:p w14:paraId="1438D5AF">
            <w:pPr>
              <w:spacing w:before="195" w:line="236"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7</w:t>
            </w:r>
          </w:p>
        </w:tc>
        <w:tc>
          <w:tcPr>
            <w:tcW w:w="2335" w:type="dxa"/>
            <w:vAlign w:val="center"/>
          </w:tcPr>
          <w:p w14:paraId="1B407F23">
            <w:pPr>
              <w:keepNext w:val="0"/>
              <w:keepLines w:val="0"/>
              <w:widowControl/>
              <w:suppressLineNumbers w:val="0"/>
              <w:jc w:val="center"/>
              <w:textAlignment w:val="center"/>
              <w:rPr>
                <w:rFonts w:hint="eastAsia" w:ascii="仿宋" w:hAnsi="仿宋" w:eastAsia="仿宋" w:cs="仿宋"/>
                <w:spacing w:val="-3"/>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皮肤毛发观察仪</w:t>
            </w:r>
            <w:r>
              <w:rPr>
                <w:rFonts w:hint="eastAsia" w:ascii="仿宋" w:hAnsi="仿宋" w:eastAsia="仿宋" w:cs="仿宋"/>
                <w:i w:val="0"/>
                <w:iCs w:val="0"/>
                <w:color w:val="000000"/>
                <w:kern w:val="0"/>
                <w:sz w:val="24"/>
                <w:szCs w:val="24"/>
                <w:highlight w:val="none"/>
                <w:u w:val="none"/>
                <w:lang w:val="en-US" w:eastAsia="zh-CN" w:bidi="ar"/>
              </w:rPr>
              <w:br w:type="textWrapping"/>
            </w:r>
            <w:r>
              <w:rPr>
                <w:rStyle w:val="118"/>
                <w:rFonts w:hint="eastAsia" w:ascii="仿宋" w:hAnsi="仿宋" w:eastAsia="仿宋" w:cs="仿宋"/>
                <w:sz w:val="24"/>
                <w:szCs w:val="24"/>
                <w:highlight w:val="none"/>
                <w:lang w:val="en-US" w:eastAsia="zh-CN" w:bidi="ar"/>
              </w:rPr>
              <w:t>（皮肤镜）</w:t>
            </w:r>
          </w:p>
        </w:tc>
        <w:tc>
          <w:tcPr>
            <w:tcW w:w="867" w:type="dxa"/>
            <w:vAlign w:val="center"/>
          </w:tcPr>
          <w:p w14:paraId="3B10C865">
            <w:pPr>
              <w:spacing w:before="163" w:line="232" w:lineRule="auto"/>
              <w:ind w:left="342"/>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台</w:t>
            </w:r>
          </w:p>
        </w:tc>
        <w:tc>
          <w:tcPr>
            <w:tcW w:w="950" w:type="dxa"/>
            <w:vAlign w:val="center"/>
          </w:tcPr>
          <w:p w14:paraId="796985C5">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vAlign w:val="center"/>
          </w:tcPr>
          <w:p w14:paraId="03CDC72E">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9</w:t>
            </w:r>
          </w:p>
        </w:tc>
        <w:tc>
          <w:tcPr>
            <w:tcW w:w="1720" w:type="dxa"/>
            <w:vAlign w:val="center"/>
          </w:tcPr>
          <w:p w14:paraId="5E7EDF61">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9</w:t>
            </w:r>
          </w:p>
        </w:tc>
        <w:tc>
          <w:tcPr>
            <w:tcW w:w="867" w:type="dxa"/>
            <w:vAlign w:val="top"/>
          </w:tcPr>
          <w:p w14:paraId="33CF8175">
            <w:pPr>
              <w:rPr>
                <w:rFonts w:hint="eastAsia" w:ascii="仿宋" w:hAnsi="仿宋" w:eastAsia="仿宋" w:cs="仿宋"/>
                <w:sz w:val="24"/>
                <w:szCs w:val="24"/>
                <w:highlight w:val="none"/>
              </w:rPr>
            </w:pPr>
          </w:p>
        </w:tc>
      </w:tr>
      <w:tr w14:paraId="41E6E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745" w:type="dxa"/>
            <w:vAlign w:val="center"/>
          </w:tcPr>
          <w:p w14:paraId="46ABBA9C">
            <w:pPr>
              <w:spacing w:before="195" w:line="236" w:lineRule="auto"/>
              <w:jc w:val="center"/>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8</w:t>
            </w:r>
          </w:p>
        </w:tc>
        <w:tc>
          <w:tcPr>
            <w:tcW w:w="2335" w:type="dxa"/>
            <w:vAlign w:val="center"/>
          </w:tcPr>
          <w:p w14:paraId="4E8DD0E1">
            <w:pPr>
              <w:keepNext w:val="0"/>
              <w:keepLines w:val="0"/>
              <w:widowControl/>
              <w:suppressLineNumbers w:val="0"/>
              <w:jc w:val="center"/>
              <w:textAlignment w:val="center"/>
              <w:rPr>
                <w:rFonts w:hint="eastAsia" w:ascii="仿宋" w:hAnsi="仿宋" w:eastAsia="仿宋" w:cs="仿宋"/>
                <w:spacing w:val="-3"/>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盆底康复治疗系统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（诊断+治疗）</w:t>
            </w:r>
          </w:p>
        </w:tc>
        <w:tc>
          <w:tcPr>
            <w:tcW w:w="867" w:type="dxa"/>
            <w:vAlign w:val="center"/>
          </w:tcPr>
          <w:p w14:paraId="1E054951">
            <w:pPr>
              <w:spacing w:before="163" w:line="232" w:lineRule="auto"/>
              <w:ind w:left="342"/>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台</w:t>
            </w:r>
          </w:p>
        </w:tc>
        <w:tc>
          <w:tcPr>
            <w:tcW w:w="950" w:type="dxa"/>
            <w:vAlign w:val="center"/>
          </w:tcPr>
          <w:p w14:paraId="72A4C02F">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533" w:type="dxa"/>
            <w:vAlign w:val="center"/>
          </w:tcPr>
          <w:p w14:paraId="4A27E90E">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10</w:t>
            </w:r>
          </w:p>
        </w:tc>
        <w:tc>
          <w:tcPr>
            <w:tcW w:w="1720" w:type="dxa"/>
            <w:vAlign w:val="center"/>
          </w:tcPr>
          <w:p w14:paraId="4AE8045B">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10</w:t>
            </w:r>
          </w:p>
        </w:tc>
        <w:tc>
          <w:tcPr>
            <w:tcW w:w="867" w:type="dxa"/>
            <w:vAlign w:val="top"/>
          </w:tcPr>
          <w:p w14:paraId="75B3D537">
            <w:pPr>
              <w:rPr>
                <w:rFonts w:hint="eastAsia" w:ascii="仿宋" w:hAnsi="仿宋" w:eastAsia="仿宋" w:cs="仿宋"/>
                <w:sz w:val="24"/>
                <w:szCs w:val="24"/>
                <w:highlight w:val="none"/>
              </w:rPr>
            </w:pPr>
          </w:p>
        </w:tc>
      </w:tr>
      <w:tr w14:paraId="72625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30" w:type="dxa"/>
            <w:gridSpan w:val="5"/>
            <w:vAlign w:val="top"/>
          </w:tcPr>
          <w:p w14:paraId="77B6AAF0">
            <w:pPr>
              <w:spacing w:before="163" w:line="232" w:lineRule="auto"/>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总预算</w:t>
            </w:r>
          </w:p>
        </w:tc>
        <w:tc>
          <w:tcPr>
            <w:tcW w:w="1720" w:type="dxa"/>
            <w:shd w:val="clear" w:color="auto" w:fill="auto"/>
            <w:vAlign w:val="center"/>
          </w:tcPr>
          <w:p w14:paraId="2FAC8A54">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highlight w:val="none"/>
                <w:u w:val="none"/>
                <w:lang w:val="en-US" w:eastAsia="en-US" w:bidi="ar-SA"/>
              </w:rPr>
            </w:pPr>
            <w:r>
              <w:rPr>
                <w:rFonts w:hint="eastAsia" w:ascii="仿宋" w:hAnsi="仿宋" w:eastAsia="仿宋" w:cs="仿宋"/>
                <w:b w:val="0"/>
                <w:bCs w:val="0"/>
                <w:i w:val="0"/>
                <w:iCs w:val="0"/>
                <w:color w:val="000000"/>
                <w:kern w:val="0"/>
                <w:sz w:val="24"/>
                <w:szCs w:val="24"/>
                <w:highlight w:val="none"/>
                <w:u w:val="none"/>
                <w:lang w:val="en-US" w:eastAsia="zh-CN" w:bidi="ar"/>
              </w:rPr>
              <w:t>99.4</w:t>
            </w:r>
          </w:p>
        </w:tc>
        <w:tc>
          <w:tcPr>
            <w:tcW w:w="867" w:type="dxa"/>
            <w:vAlign w:val="top"/>
          </w:tcPr>
          <w:p w14:paraId="08B8599F">
            <w:pPr>
              <w:rPr>
                <w:rFonts w:hint="eastAsia" w:ascii="仿宋" w:hAnsi="仿宋" w:eastAsia="仿宋" w:cs="仿宋"/>
                <w:b w:val="0"/>
                <w:bCs w:val="0"/>
                <w:sz w:val="24"/>
                <w:szCs w:val="24"/>
                <w:highlight w:val="none"/>
              </w:rPr>
            </w:pPr>
          </w:p>
        </w:tc>
      </w:tr>
    </w:tbl>
    <w:p w14:paraId="30368EC4">
      <w:pPr>
        <w:pStyle w:val="13"/>
        <w:spacing w:line="265" w:lineRule="auto"/>
        <w:rPr>
          <w:rFonts w:hint="eastAsia" w:ascii="仿宋" w:hAnsi="仿宋" w:eastAsia="仿宋" w:cs="仿宋"/>
          <w:sz w:val="24"/>
          <w:szCs w:val="24"/>
          <w:highlight w:val="none"/>
        </w:rPr>
      </w:pPr>
    </w:p>
    <w:p w14:paraId="041A4635">
      <w:pPr>
        <w:spacing w:before="78" w:line="227" w:lineRule="auto"/>
        <w:ind w:left="123"/>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二、技术参数</w:t>
      </w:r>
    </w:p>
    <w:p w14:paraId="5D3B1567">
      <w:pPr>
        <w:spacing w:before="53"/>
        <w:rPr>
          <w:rFonts w:hint="eastAsia" w:ascii="仿宋" w:hAnsi="仿宋" w:eastAsia="仿宋" w:cs="仿宋"/>
          <w:sz w:val="24"/>
          <w:szCs w:val="24"/>
          <w:highlight w:val="none"/>
        </w:rPr>
      </w:pPr>
    </w:p>
    <w:tbl>
      <w:tblPr>
        <w:tblStyle w:val="115"/>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0"/>
      </w:tblGrid>
      <w:tr w14:paraId="030CF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040" w:type="dxa"/>
            <w:vAlign w:val="center"/>
          </w:tcPr>
          <w:p w14:paraId="6D916000">
            <w:pPr>
              <w:widowControl/>
              <w:numPr>
                <w:ilvl w:val="0"/>
                <w:numId w:val="0"/>
              </w:numPr>
              <w:spacing w:line="480" w:lineRule="exact"/>
              <w:ind w:left="0" w:leftChars="0" w:firstLine="0" w:firstLineChars="0"/>
              <w:jc w:val="left"/>
              <w:rPr>
                <w:rFonts w:hint="eastAsia" w:ascii="仿宋" w:hAnsi="仿宋" w:eastAsia="仿宋" w:cs="仿宋"/>
                <w:b/>
                <w:bCs/>
                <w:spacing w:val="-3"/>
                <w:sz w:val="24"/>
                <w:szCs w:val="24"/>
                <w:highlight w:val="none"/>
              </w:rPr>
            </w:pPr>
            <w:r>
              <w:rPr>
                <w:rFonts w:hint="eastAsia" w:ascii="仿宋" w:hAnsi="仿宋" w:eastAsia="仿宋" w:cs="仿宋"/>
                <w:b/>
                <w:bCs/>
                <w:kern w:val="0"/>
                <w:sz w:val="24"/>
                <w:szCs w:val="24"/>
                <w:highlight w:val="none"/>
                <w:lang w:val="en-US" w:eastAsia="zh-CN"/>
              </w:rPr>
              <w:t>一、胰岛素泵：</w:t>
            </w:r>
          </w:p>
        </w:tc>
      </w:tr>
      <w:tr w14:paraId="6E941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040" w:type="dxa"/>
            <w:tcBorders>
              <w:bottom w:val="single" w:color="auto" w:sz="4" w:space="0"/>
            </w:tcBorders>
            <w:vAlign w:val="top"/>
          </w:tcPr>
          <w:p w14:paraId="1FFDCADF">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 xml:space="preserve">1、储药器≥2mlL </w:t>
            </w:r>
          </w:p>
        </w:tc>
      </w:tr>
      <w:tr w14:paraId="72C9D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040" w:type="dxa"/>
            <w:tcBorders>
              <w:top w:val="single" w:color="auto" w:sz="4" w:space="0"/>
            </w:tcBorders>
            <w:vAlign w:val="top"/>
          </w:tcPr>
          <w:p w14:paraId="7A63170E">
            <w:pPr>
              <w:widowControl/>
              <w:numPr>
                <w:ilvl w:val="0"/>
                <w:numId w:val="0"/>
              </w:numPr>
              <w:autoSpaceDE w:val="0"/>
              <w:autoSpaceDN w:val="0"/>
              <w:adjustRightInd w:val="0"/>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2、胰岛素浓度</w:t>
            </w:r>
          </w:p>
        </w:tc>
      </w:tr>
      <w:tr w14:paraId="2B029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040" w:type="dxa"/>
            <w:tcBorders>
              <w:top w:val="single" w:color="auto" w:sz="4" w:space="0"/>
              <w:bottom w:val="single" w:color="auto" w:sz="4" w:space="0"/>
            </w:tcBorders>
            <w:vAlign w:val="top"/>
          </w:tcPr>
          <w:p w14:paraId="3811C5C0">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3、三餐大剂量输注方式</w:t>
            </w:r>
          </w:p>
        </w:tc>
      </w:tr>
      <w:tr w14:paraId="019B2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0" w:type="dxa"/>
            <w:tcBorders>
              <w:top w:val="single" w:color="auto" w:sz="4" w:space="0"/>
              <w:bottom w:val="single" w:color="auto" w:sz="4" w:space="0"/>
            </w:tcBorders>
            <w:vAlign w:val="top"/>
          </w:tcPr>
          <w:p w14:paraId="27772A8F">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4、基础量调节范围</w:t>
            </w:r>
          </w:p>
        </w:tc>
      </w:tr>
      <w:tr w14:paraId="13A0C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040" w:type="dxa"/>
            <w:tcBorders>
              <w:top w:val="single" w:color="auto" w:sz="4" w:space="0"/>
              <w:bottom w:val="single" w:color="auto" w:sz="4" w:space="0"/>
            </w:tcBorders>
            <w:vAlign w:val="top"/>
          </w:tcPr>
          <w:p w14:paraId="00B0CF0B">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5、大剂量调节范围</w:t>
            </w:r>
          </w:p>
        </w:tc>
      </w:tr>
      <w:tr w14:paraId="40DD6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9040" w:type="dxa"/>
            <w:tcBorders>
              <w:top w:val="single" w:color="auto" w:sz="4" w:space="0"/>
              <w:bottom w:val="single" w:color="auto" w:sz="4" w:space="0"/>
            </w:tcBorders>
            <w:vAlign w:val="top"/>
          </w:tcPr>
          <w:p w14:paraId="72FEEE5D">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6、大剂量计算器</w:t>
            </w:r>
          </w:p>
        </w:tc>
      </w:tr>
      <w:tr w14:paraId="3D0E1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0" w:type="dxa"/>
            <w:tcBorders>
              <w:top w:val="single" w:color="auto" w:sz="4" w:space="0"/>
              <w:bottom w:val="single" w:color="auto" w:sz="4" w:space="0"/>
            </w:tcBorders>
            <w:vAlign w:val="top"/>
          </w:tcPr>
          <w:p w14:paraId="4BC926BD">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7、胰岛素自动分配功能</w:t>
            </w:r>
          </w:p>
        </w:tc>
      </w:tr>
      <w:tr w14:paraId="52DA7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3455B00">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8、基础率分段3种预设，最多可设置48段；</w:t>
            </w:r>
          </w:p>
        </w:tc>
      </w:tr>
      <w:tr w14:paraId="76E20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F3EBD60">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9、临时基础率</w:t>
            </w:r>
          </w:p>
        </w:tc>
      </w:tr>
      <w:tr w14:paraId="084DA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0" w:type="dxa"/>
            <w:tcBorders>
              <w:top w:val="single" w:color="auto" w:sz="4" w:space="0"/>
              <w:bottom w:val="single" w:color="auto" w:sz="4" w:space="0"/>
            </w:tcBorders>
            <w:vAlign w:val="top"/>
          </w:tcPr>
          <w:p w14:paraId="0E67215C">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10、胰岛素泵专用锂电池70、75mAh,可重复充电±300、200次；</w:t>
            </w:r>
          </w:p>
        </w:tc>
      </w:tr>
      <w:tr w14:paraId="27A42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2B18739">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11、胰岛素泵控制器</w:t>
            </w:r>
          </w:p>
        </w:tc>
      </w:tr>
      <w:tr w14:paraId="52C3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B53A374">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12、胰岛素泵大剂量输注误差 ≤±5%；</w:t>
            </w:r>
          </w:p>
        </w:tc>
      </w:tr>
      <w:tr w14:paraId="5CB65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192D7D5">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13、基础率输注误差  ≤0.4%；</w:t>
            </w:r>
          </w:p>
        </w:tc>
      </w:tr>
      <w:tr w14:paraId="7C7C5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3AA2D0E">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14、自检功能：双处理器相互检查，至少每2秒一次自检；</w:t>
            </w:r>
          </w:p>
        </w:tc>
      </w:tr>
      <w:tr w14:paraId="32867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477572A">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15、防水：胰岛素泵体IPX4防水标准,可防溅水；</w:t>
            </w:r>
          </w:p>
        </w:tc>
      </w:tr>
      <w:tr w14:paraId="6A839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0FA8D48">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16、助针器：有，无痛进针；</w:t>
            </w:r>
          </w:p>
        </w:tc>
      </w:tr>
      <w:tr w14:paraId="4B0A7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3A2FC8F">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17、时间格式：12/24小时制；</w:t>
            </w:r>
          </w:p>
        </w:tc>
      </w:tr>
      <w:tr w14:paraId="54A62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0" w:type="dxa"/>
            <w:tcBorders>
              <w:top w:val="single" w:color="auto" w:sz="4" w:space="0"/>
              <w:bottom w:val="single" w:color="auto" w:sz="4" w:space="0"/>
            </w:tcBorders>
            <w:vAlign w:val="top"/>
          </w:tcPr>
          <w:p w14:paraId="25AE4D47">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18、报警方式：音频/震动/灯光/显示；</w:t>
            </w:r>
          </w:p>
        </w:tc>
      </w:tr>
      <w:tr w14:paraId="16E1F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6A4FAC9">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19、安全系统：最大餐前大剂量限制/最大日总量限制/每小时最大基础量限制/低药量报警/输注系统阻塞报警/低电量报警/泵故障报警；</w:t>
            </w:r>
          </w:p>
        </w:tc>
      </w:tr>
      <w:tr w14:paraId="7F98B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F76B00D">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20、售后服务：3年免费保修,终身维护。厂家与总经销双重服务，24小时800/400热线电话全真人接听，全国省级城市售后服务网点直接面对客户；</w:t>
            </w:r>
          </w:p>
        </w:tc>
      </w:tr>
      <w:tr w14:paraId="569B0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ADAD591">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21、历史记录无限（自备SD卡）；</w:t>
            </w:r>
          </w:p>
        </w:tc>
      </w:tr>
      <w:tr w14:paraId="26418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E7DE369">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22、键盘锁定功能</w:t>
            </w:r>
          </w:p>
        </w:tc>
      </w:tr>
      <w:tr w14:paraId="1EE68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6C4C204">
            <w:pPr>
              <w:widowControl/>
              <w:numPr>
                <w:ilvl w:val="0"/>
                <w:numId w:val="0"/>
              </w:numPr>
              <w:spacing w:line="480" w:lineRule="exact"/>
              <w:ind w:left="420" w:leftChars="0" w:firstLine="240" w:firstLineChars="1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23、耗材：储药器，皮下留置针（针长度6mm,9mm），底板（3M抗过敏胶布），无导管；</w:t>
            </w:r>
          </w:p>
        </w:tc>
      </w:tr>
      <w:tr w14:paraId="2F8EC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93910DD">
            <w:pPr>
              <w:numPr>
                <w:ilvl w:val="0"/>
                <w:numId w:val="0"/>
              </w:numPr>
              <w:spacing w:line="360" w:lineRule="auto"/>
              <w:ind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rPr>
              <w:t>24、控制器内置血糖测试模块，可测指尖血糖（倍稳II型测试条）；</w:t>
            </w:r>
          </w:p>
        </w:tc>
      </w:tr>
      <w:tr w14:paraId="020B8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E984508">
            <w:pPr>
              <w:widowControl/>
              <w:numPr>
                <w:ilvl w:val="0"/>
                <w:numId w:val="0"/>
              </w:numPr>
              <w:spacing w:line="480" w:lineRule="exact"/>
              <w:ind w:left="0" w:leftChars="0" w:firstLine="0" w:firstLineChars="0"/>
              <w:jc w:val="left"/>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二、体外冲击波碎石机：</w:t>
            </w:r>
          </w:p>
        </w:tc>
      </w:tr>
      <w:tr w14:paraId="677E3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4A29484">
            <w:pPr>
              <w:widowControl/>
              <w:numPr>
                <w:ilvl w:val="0"/>
                <w:numId w:val="0"/>
              </w:numPr>
              <w:spacing w:line="480" w:lineRule="exact"/>
              <w:ind w:left="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（一）碎石机参数</w:t>
            </w:r>
          </w:p>
        </w:tc>
      </w:tr>
      <w:tr w14:paraId="56E87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A28437C">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1、碎石系统</w:t>
            </w:r>
          </w:p>
        </w:tc>
      </w:tr>
      <w:tr w14:paraId="05867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0B6BF00">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★⑴冲击波生器：有透镜折射式电磁冲击波源（一体化电磁盘），可与液电式冲击波源兼容互选，并提供医疗器械产品注册证证明。</w:t>
            </w:r>
          </w:p>
        </w:tc>
      </w:tr>
      <w:tr w14:paraId="3B18C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0CF47FA">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★⑵第二焦点高度≥140mm,并提供医疗器械产品注册证或检测报告证明。</w:t>
            </w:r>
          </w:p>
        </w:tc>
      </w:tr>
      <w:tr w14:paraId="522BC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DB313F7">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⑶第二焦点冲击波压力场参数：脉冲前沿≤ 0.5μS、脉宽≤ 1μS；</w:t>
            </w:r>
          </w:p>
        </w:tc>
      </w:tr>
      <w:tr w14:paraId="58BDC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53C84BA">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⑷焦斑范围：径向±7.5mm，轴向-40mm～55mm；</w:t>
            </w:r>
          </w:p>
        </w:tc>
      </w:tr>
      <w:tr w14:paraId="6F5E7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06933D21">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⑸压缩声压峰值最大值：≥60Mpa，提供检测报告证明；</w:t>
            </w:r>
          </w:p>
        </w:tc>
      </w:tr>
      <w:tr w14:paraId="0CE23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32D2488E">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⑹高压放电范围：≤16KV；</w:t>
            </w:r>
          </w:p>
        </w:tc>
      </w:tr>
      <w:tr w14:paraId="428DA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7C0B5438">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⑺高压脉冲电容储能范围：53J～128J</w:t>
            </w:r>
          </w:p>
        </w:tc>
      </w:tr>
      <w:tr w14:paraId="2617C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6CDD49E2">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(8)具备冲击波高频高压系统，保证冲击波能量的稳定性。</w:t>
            </w:r>
          </w:p>
        </w:tc>
      </w:tr>
      <w:tr w14:paraId="31712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440CE57F">
            <w:pPr>
              <w:widowControl/>
              <w:numPr>
                <w:ilvl w:val="0"/>
                <w:numId w:val="0"/>
              </w:numPr>
              <w:spacing w:line="480" w:lineRule="exact"/>
              <w:ind w:left="0" w:leftChars="0" w:firstLine="480" w:firstLineChars="2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2.全数字彩色多普勒超声诊断系统</w:t>
            </w:r>
          </w:p>
        </w:tc>
      </w:tr>
      <w:tr w14:paraId="1DC3F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5F517EBE">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（1）主要技术参数要求</w:t>
            </w:r>
          </w:p>
        </w:tc>
      </w:tr>
      <w:tr w14:paraId="67F2E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6BAA13E5">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①成像模式： B、2B、4B、B/M、M、PW、B+CPA、B+DPA、B+PW、三同步（B+CFM+PW、B+CPA+PW）成像模式；B模式旋转：0°，90°，180°，270°可连续旋转。</w:t>
            </w:r>
          </w:p>
        </w:tc>
      </w:tr>
      <w:tr w14:paraId="24F56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7D3DC46B">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②腹部凸阵探头：探头阵元数≥192阵元探头、基波频率2-6.1MHz可视可调（基波频率 ≥5段）、谐波频率3-6.8 MHz可视可调（谐波频率≥4段）, 分辨率：侧向分辨率≤1mm；轴向分辨率≤0.5mm 。(提供制造商盖章图片证明)。</w:t>
            </w:r>
          </w:p>
        </w:tc>
      </w:tr>
      <w:tr w14:paraId="30FC8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2DA264F5">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★③动态范围：180dB（20-180dB可视可调;步进≤4 dB）。（提供制造商盖章图片证明）。</w:t>
            </w:r>
          </w:p>
        </w:tc>
      </w:tr>
      <w:tr w14:paraId="70716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2BF1E850">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④彩色频率：≥5段；频谱多普勒频率：≥4 段； 可视可调。</w:t>
            </w:r>
          </w:p>
        </w:tc>
      </w:tr>
      <w:tr w14:paraId="096FA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3D891F96">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★⑤PW：最大显示血流测量速度25m/s、最低可分辨血流测量速度：0.1mm/s；取样宽度及位置范围：宽度1mm至20mm，分级可调。(提供制造商盖章图片证明)。</w:t>
            </w:r>
          </w:p>
        </w:tc>
      </w:tr>
      <w:tr w14:paraId="0162A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3453A4DB">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⑥彩色自动偏转：在偏转彩色取样框方向时，彩条同时自动翻转，以保证血管超声彩色血流图颜色的一致性。</w:t>
            </w:r>
          </w:p>
        </w:tc>
      </w:tr>
      <w:tr w14:paraId="0DBD7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7AA706D3">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⑦具有多普勒信号去除功能，在彩色模式下，能在实时、冻结的图像上一键快速独立去除多普勒信号，便于在二维与彩色之间快速对比；实时频谱自动跟踪包络功能，实时自动频谱包络、自由选定区域频谱包络、PSV/EDV两点测量可选，测量后自动分析显示：PSV、EDV、MNV、RI、S/D、ACC等≥10个数据。</w:t>
            </w:r>
          </w:p>
        </w:tc>
      </w:tr>
      <w:tr w14:paraId="3B923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7FFB22EC">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⑧各探头二维模式、彩色模式、频谱模式的声功率可独立调节，范围0%-100%，调节步长均≤5%；二维/彩色双实时对比成像，在二维模式下，一键进入二维/彩色双实时对比成像。</w:t>
            </w:r>
          </w:p>
        </w:tc>
      </w:tr>
      <w:tr w14:paraId="3CC2D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43739131">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⑨具备一键全屏显示功能，只需按一次按键即可全屏只显示图像区域，不再显示其他参数信息，排除其他不必要的干扰因素，集中观察图像；彩色方向能量图模式下可支持一键操作血流图谱反转功能（如蓝变红及红变蓝）的独立按键（非触摸屏操作）。</w:t>
            </w:r>
          </w:p>
        </w:tc>
      </w:tr>
      <w:tr w14:paraId="55646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126ABE99">
            <w:pPr>
              <w:widowControl/>
              <w:numPr>
                <w:ilvl w:val="0"/>
                <w:numId w:val="0"/>
              </w:numPr>
              <w:spacing w:line="480" w:lineRule="exact"/>
              <w:ind w:left="420" w:leftChars="0" w:firstLine="240" w:firstLineChars="1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⑩具备系统功能激活列表，显示各种功能的激活状态、激活时间，使用天数等，还可通过在此界面直接选择导入激活文件进行功能升级激活。（提供图片证明）。</w:t>
            </w:r>
          </w:p>
        </w:tc>
      </w:tr>
      <w:tr w14:paraId="27106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30CD9B9">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★⑪自定义按键：≥5个，用户均可对任一按键进行自定义设置特定功能，如测量设置、检查模式、彩色开/关、报告等特定功能；TGC物理滑杆增益调节≥8段，具备TGC曲线指示功能，曲线显示方式≥3种可选。</w:t>
            </w:r>
          </w:p>
        </w:tc>
      </w:tr>
      <w:tr w14:paraId="25887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12A7572">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⑫配碎石机物理特性：碎石机专用软件、具有定位中线与动态测量功能，方便碎石定位及测量，同时具有穿刺引导线与穿刺软件包，可同时做穿刺引导；主机结构钢材外壳，屏蔽辐射，增强抗干扰能力。</w:t>
            </w:r>
          </w:p>
        </w:tc>
      </w:tr>
      <w:tr w14:paraId="0F3DD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C18E3E7">
            <w:pPr>
              <w:widowControl/>
              <w:numPr>
                <w:ilvl w:val="0"/>
                <w:numId w:val="0"/>
              </w:numPr>
              <w:spacing w:line="480" w:lineRule="exact"/>
              <w:ind w:left="0"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（2）基本配置要求：</w:t>
            </w:r>
          </w:p>
        </w:tc>
      </w:tr>
      <w:tr w14:paraId="033EA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563AFBD">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①全数字彩色多谱勒主机：1台；</w:t>
            </w:r>
          </w:p>
        </w:tc>
      </w:tr>
      <w:tr w14:paraId="48EBE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1D040CF">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②探头： 凸阵探头(碎石专用探头)  2只；</w:t>
            </w:r>
          </w:p>
        </w:tc>
      </w:tr>
      <w:tr w14:paraId="1990D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7DD29A5">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③显示器: 17英寸液晶显示器 1台；</w:t>
            </w:r>
          </w:p>
        </w:tc>
      </w:tr>
      <w:tr w14:paraId="59386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3D16E3D">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④技术文件：仪器操作说明书、安装指南等；</w:t>
            </w:r>
          </w:p>
        </w:tc>
      </w:tr>
      <w:tr w14:paraId="1311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267F91F">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3.B超定位系统</w:t>
            </w:r>
          </w:p>
          <w:p w14:paraId="2B40C063">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（一）环冲击波源锥形多角度运动B超探头定位装置，具有电子自动测距功能，第二焦点距离电子数字直接显示；</w:t>
            </w:r>
          </w:p>
          <w:p w14:paraId="5F7DEDB1">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⑵探头轴心延线与碎石焦点径向误差≤2 mm；</w:t>
            </w:r>
          </w:p>
          <w:p w14:paraId="5661FDAF">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⑶探头表面与碎石焦点测距误差≤2 mm；</w:t>
            </w:r>
          </w:p>
          <w:p w14:paraId="376E899E">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⑷电动的探头升降范围：25-125mm。</w:t>
            </w:r>
          </w:p>
          <w:p w14:paraId="6D9288C7">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（二）操作系统</w:t>
            </w:r>
          </w:p>
          <w:p w14:paraId="4B357224">
            <w:pPr>
              <w:widowControl/>
              <w:numPr>
                <w:ilvl w:val="0"/>
                <w:numId w:val="0"/>
              </w:numPr>
              <w:spacing w:line="480" w:lineRule="exact"/>
              <w:ind w:left="420"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★⑴整机配置独立的数控MCU系统、彩屏触摸屏控制台、摇杆运动控制系统，冲击波参数及运；</w:t>
            </w:r>
          </w:p>
          <w:p w14:paraId="00F07EC8">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行状态实时显示，带给用户舒适高效的操作体验；</w:t>
            </w:r>
          </w:p>
          <w:p w14:paraId="065E23DF">
            <w:pPr>
              <w:widowControl/>
              <w:numPr>
                <w:ilvl w:val="0"/>
                <w:numId w:val="0"/>
              </w:numPr>
              <w:spacing w:line="480" w:lineRule="exact"/>
              <w:ind w:left="420"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⑵碎石触发频率范围：60～120次/分钟(1～2HZ) ；</w:t>
            </w:r>
          </w:p>
          <w:p w14:paraId="1AE16766">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⑶自动排气，恒温超温保护自动循环装置。</w:t>
            </w:r>
          </w:p>
          <w:p w14:paraId="6CA180C4">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（三）机械参数</w:t>
            </w:r>
          </w:p>
          <w:p w14:paraId="6A8A8B1A">
            <w:pPr>
              <w:widowControl/>
              <w:numPr>
                <w:ilvl w:val="0"/>
                <w:numId w:val="0"/>
              </w:numPr>
              <w:spacing w:line="480" w:lineRule="exact"/>
              <w:ind w:left="420"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★⑴波源头采用导轨式滑道，波源转动角度范围：≥15°。</w:t>
            </w:r>
          </w:p>
          <w:p w14:paraId="0DA2B5B3">
            <w:pPr>
              <w:widowControl/>
              <w:numPr>
                <w:ilvl w:val="0"/>
                <w:numId w:val="0"/>
              </w:numPr>
              <w:spacing w:line="480" w:lineRule="exact"/>
              <w:ind w:left="420"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★⑵治疗头三维运动幅度  升降：≥100mm、横向：≥80mm、纵向：≥80mm。</w:t>
            </w:r>
          </w:p>
          <w:p w14:paraId="4D844FBB">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⑶测量与显示误差≤2mm</w:t>
            </w:r>
          </w:p>
          <w:p w14:paraId="05D9F02B">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⑷治疗床有效载荷 ≥130Kg。</w:t>
            </w:r>
          </w:p>
          <w:p w14:paraId="67C5A281">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（四）配置要求</w:t>
            </w:r>
          </w:p>
          <w:p w14:paraId="486B9854">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主机治疗床…………………………1台</w:t>
            </w:r>
          </w:p>
          <w:p w14:paraId="6F9D9774">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床边控制盒（10寸触控屏摇杆操作） ………………… 1台</w:t>
            </w:r>
          </w:p>
          <w:p w14:paraId="209BDD04">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冲击波源(电磁式声学透镜聚焦)…………………………1套</w:t>
            </w:r>
          </w:p>
          <w:p w14:paraId="68302B11">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电容箱(真空高压脉冲触发) ……………………………1套</w:t>
            </w:r>
          </w:p>
          <w:p w14:paraId="53F948A7">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冲击波高频高压发生器………………………1套</w:t>
            </w:r>
          </w:p>
          <w:p w14:paraId="1DE1A2EB">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水处理系统 ………………………………1套</w:t>
            </w:r>
          </w:p>
          <w:p w14:paraId="541A4B34">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全数字彩色多普勒超声诊断系统..........1套</w:t>
            </w:r>
          </w:p>
          <w:p w14:paraId="1F9929B6">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B超定位装置……………………………1套</w:t>
            </w:r>
          </w:p>
          <w:p w14:paraId="7D51BDED">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硅胶水囊………………………………3个</w:t>
            </w:r>
          </w:p>
          <w:p w14:paraId="3ECC95EA">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工具箱………………………………1套</w:t>
            </w:r>
          </w:p>
          <w:p w14:paraId="707208FF">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（五）技术服务要求</w:t>
            </w:r>
          </w:p>
          <w:p w14:paraId="3FA6DE3E">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（1）维修响应时间：维修人员一小时内响应，24小时内到达现场。</w:t>
            </w:r>
          </w:p>
          <w:p w14:paraId="4B2C80F6">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（2）供货方保证质保期内设备开机率≥95％，提供全套技术资料、操作手册、维修手册。</w:t>
            </w:r>
          </w:p>
          <w:p w14:paraId="001A848C">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（3）提供专用安装、维修工具和日常维修工具。</w:t>
            </w:r>
          </w:p>
        </w:tc>
      </w:tr>
      <w:tr w14:paraId="353B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040" w:type="dxa"/>
            <w:tcBorders>
              <w:top w:val="single" w:color="auto" w:sz="4" w:space="0"/>
              <w:bottom w:val="single" w:color="auto" w:sz="4" w:space="0"/>
            </w:tcBorders>
            <w:vAlign w:val="top"/>
          </w:tcPr>
          <w:p w14:paraId="10943C81">
            <w:pPr>
              <w:widowControl/>
              <w:numPr>
                <w:ilvl w:val="0"/>
                <w:numId w:val="0"/>
              </w:numPr>
              <w:spacing w:line="480" w:lineRule="exact"/>
              <w:ind w:left="0" w:leftChars="0" w:firstLine="0" w:firstLineChars="0"/>
              <w:jc w:val="left"/>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三、超乳手柄</w:t>
            </w:r>
          </w:p>
        </w:tc>
      </w:tr>
      <w:tr w14:paraId="18273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BFBDD3F">
            <w:pPr>
              <w:widowControl/>
              <w:numPr>
                <w:ilvl w:val="0"/>
                <w:numId w:val="0"/>
              </w:numPr>
              <w:spacing w:line="48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1、超声乳化手柄频率</w:t>
            </w:r>
            <w:r>
              <w:rPr>
                <w:rFonts w:hint="eastAsia" w:ascii="仿宋" w:hAnsi="仿宋" w:eastAsia="仿宋" w:cs="仿宋"/>
                <w:kern w:val="0"/>
                <w:sz w:val="24"/>
                <w:szCs w:val="24"/>
                <w:highlight w:val="none"/>
                <w:lang w:val="en-US" w:eastAsia="zh-CN"/>
              </w:rPr>
              <w:t>≥40KHz；</w:t>
            </w:r>
          </w:p>
        </w:tc>
      </w:tr>
      <w:tr w14:paraId="24706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2954603">
            <w:pPr>
              <w:widowControl/>
              <w:numPr>
                <w:ilvl w:val="0"/>
                <w:numId w:val="0"/>
              </w:numPr>
              <w:spacing w:line="48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kern w:val="0"/>
                <w:sz w:val="24"/>
                <w:szCs w:val="24"/>
                <w:highlight w:val="none"/>
                <w:lang w:val="en-US" w:eastAsia="zh-CN"/>
              </w:rPr>
              <w:t>超声乳化能量输出方式：线性、连续、脉冲至少三种方式；</w:t>
            </w:r>
          </w:p>
        </w:tc>
      </w:tr>
      <w:tr w14:paraId="6DE8A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743C6AD">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3、注吸负压范围：0～750mmHg；</w:t>
            </w:r>
          </w:p>
        </w:tc>
      </w:tr>
      <w:tr w14:paraId="77875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D6A2429">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4、可重复使用，耐高温消毒；</w:t>
            </w:r>
          </w:p>
        </w:tc>
      </w:tr>
      <w:tr w14:paraId="3DE6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CD27A3A">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5、配套包含有：超乳手柄1个，超乳针头1个，注吸手柄1个，注吸针头1个，针头套帽2个，测试腔2个，消毒盒1个。</w:t>
            </w:r>
          </w:p>
        </w:tc>
      </w:tr>
      <w:tr w14:paraId="3C2D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6352101">
            <w:pPr>
              <w:widowControl/>
              <w:numPr>
                <w:ilvl w:val="0"/>
                <w:numId w:val="0"/>
              </w:numPr>
              <w:spacing w:line="480" w:lineRule="exact"/>
              <w:ind w:left="0" w:leftChars="0" w:firstLine="0" w:firstLineChars="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四、测听室：</w:t>
            </w:r>
          </w:p>
        </w:tc>
      </w:tr>
      <w:tr w14:paraId="300CA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B826B3C">
            <w:pPr>
              <w:widowControl/>
              <w:numPr>
                <w:ilvl w:val="0"/>
                <w:numId w:val="0"/>
              </w:numPr>
              <w:spacing w:line="480" w:lineRule="exact"/>
              <w:ind w:left="0" w:leftChars="0" w:firstLine="240" w:firstLineChars="1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（一）、隔音室技术参数：</w:t>
            </w:r>
          </w:p>
        </w:tc>
      </w:tr>
      <w:tr w14:paraId="13591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C86A2D2">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1、外径尺寸：≥1500×1500×2380（长×宽×高）；</w:t>
            </w:r>
          </w:p>
        </w:tc>
      </w:tr>
      <w:tr w14:paraId="2F66E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CD0BDE2">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2、性能标准：隔声室产品符合JJF1191-2019《测听室声学特性校准规范》，GB/T16296.2-2016《声学测听方法第2部分：用纯音及窄带测试信号的声场测听》，GB50325-2020《民用建筑工程室内环境污染控制规范》隔声室房间外环境噪声声压级≤60dB(A)，室内本底噪声≤25dB(A)。</w:t>
            </w:r>
          </w:p>
        </w:tc>
      </w:tr>
      <w:tr w14:paraId="5CDBF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5BB372E">
            <w:pPr>
              <w:widowControl/>
              <w:numPr>
                <w:ilvl w:val="0"/>
                <w:numId w:val="0"/>
              </w:numPr>
              <w:spacing w:line="480" w:lineRule="exact"/>
              <w:ind w:left="0" w:leftChars="0" w:firstLine="240" w:firstLineChars="1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（二）、技术参数：</w:t>
            </w:r>
          </w:p>
        </w:tc>
      </w:tr>
      <w:tr w14:paraId="7E6A4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E3A0A09">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1、隔声墙体采用双层超薄阻尼隔音墙，该墙体厚度小，隔音量大，在保证隔音效果的同时，最大限度的节省空间，提高操作测听环境的面积；墙体内外全钢悬浮结构，采用≥2.0mm优质钢板冲压、复合构成，外表静电喷涂，颜色为白色。</w:t>
            </w:r>
          </w:p>
        </w:tc>
      </w:tr>
      <w:tr w14:paraId="7C5B9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8A626A6">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2、双层隔音门，全钢结构，德国声闸专利技术，磁控式双声闸密封结构，磁条采用双气囊结构，标准规格：≥810×1880mm。</w:t>
            </w:r>
          </w:p>
        </w:tc>
      </w:tr>
      <w:tr w14:paraId="05433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040" w:type="dxa"/>
            <w:tcBorders>
              <w:top w:val="single" w:color="auto" w:sz="4" w:space="0"/>
              <w:bottom w:val="single" w:color="auto" w:sz="4" w:space="0"/>
            </w:tcBorders>
            <w:vAlign w:val="top"/>
          </w:tcPr>
          <w:p w14:paraId="21EE2444">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3、隔声模块化专利技术，工厂定做隔声、隔音模块，现场组装，安装快速，可拆卸可搬迁。</w:t>
            </w:r>
          </w:p>
        </w:tc>
      </w:tr>
      <w:tr w14:paraId="2535E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040" w:type="dxa"/>
            <w:tcBorders>
              <w:top w:val="single" w:color="auto" w:sz="4" w:space="0"/>
              <w:bottom w:val="single" w:color="auto" w:sz="4" w:space="0"/>
            </w:tcBorders>
            <w:vAlign w:val="top"/>
          </w:tcPr>
          <w:p w14:paraId="3E1FE13F">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★4、隔音材料：内部采用聚酯纤维棉作为隔音材料，不得使用玻璃棉。并提第三方环保及防火测试报告。</w:t>
            </w:r>
          </w:p>
        </w:tc>
      </w:tr>
      <w:tr w14:paraId="2F47D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FD6FEB6">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5、减振浮筑底板，采用隔声阻尼减振浮筑底板，在隔声底板上均匀安装阻尼减振器，以消除大楼的固体传声。减振浮筑底板隔声量≥50dB(A)</w:t>
            </w:r>
          </w:p>
        </w:tc>
      </w:tr>
      <w:tr w14:paraId="37166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8668412">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6、隔、吸音墙体、顶板，内装饰板采用金属板制造的穿孔吸音板，吸声系数达到0.8以上，墙体、顶板隔声量≥50dB(A)</w:t>
            </w:r>
          </w:p>
        </w:tc>
      </w:tr>
      <w:tr w14:paraId="78528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4C825C6">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★7、双层隔声窗采用加强型三玻两空玻璃隔音窗技术，两层中空层，中空层之间采用吸声层可根据客户需求采用单透玻璃，采用大视窗等，隔音窗隔声量≥50dB(A)</w:t>
            </w:r>
          </w:p>
        </w:tc>
      </w:tr>
      <w:tr w14:paraId="08787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943C1EB">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8、室内照明系统，采用无声、无电磁干扰LED照明≥36W 。</w:t>
            </w:r>
          </w:p>
        </w:tc>
      </w:tr>
      <w:tr w14:paraId="3A8FC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DBA0FD3">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9、电源： 220V 50HZ允许功率 3.8KW，外部装有一个电源插头，内部根据仪器需要可安装2个电源插座。</w:t>
            </w:r>
          </w:p>
        </w:tc>
      </w:tr>
      <w:tr w14:paraId="2D689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6F10BD0">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10、10通道信号转接系统：</w:t>
            </w:r>
            <w:r>
              <w:rPr>
                <w:rFonts w:hint="eastAsia" w:ascii="仿宋" w:hAnsi="仿宋" w:eastAsia="仿宋" w:cs="仿宋"/>
                <w:kern w:val="0"/>
                <w:sz w:val="24"/>
                <w:szCs w:val="24"/>
                <w:highlight w:val="none"/>
                <w:lang w:val="en-US" w:eastAsia="zh-CN"/>
              </w:rPr>
              <w:t>高保真线路板设计，6.5mm信号转接插座，防止信号失真和漏声；配备常规转换口便于工作站连接。</w:t>
            </w:r>
          </w:p>
        </w:tc>
      </w:tr>
      <w:tr w14:paraId="1FB26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8DA60A8">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★11、通风要求：主动式有源通风系统；采用阻抗式进气消声器和阻抗式排气消声器组合，具有良好的空气流通性，换气量≥120m3/小时，消音处理，消音量大于35dB，消声通风专利技术。</w:t>
            </w:r>
          </w:p>
        </w:tc>
      </w:tr>
      <w:tr w14:paraId="23A72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040" w:type="dxa"/>
            <w:tcBorders>
              <w:top w:val="single" w:color="auto" w:sz="4" w:space="0"/>
              <w:bottom w:val="single" w:color="auto" w:sz="4" w:space="0"/>
            </w:tcBorders>
            <w:vAlign w:val="top"/>
          </w:tcPr>
          <w:p w14:paraId="23EDFB2C">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12、地面材料及要求：采用防潮吸音地毯。</w:t>
            </w:r>
          </w:p>
        </w:tc>
      </w:tr>
      <w:tr w14:paraId="587A2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5EFCF23">
            <w:pPr>
              <w:widowControl/>
              <w:numPr>
                <w:ilvl w:val="0"/>
                <w:numId w:val="0"/>
              </w:numPr>
              <w:spacing w:line="480" w:lineRule="exact"/>
              <w:ind w:firstLine="480" w:firstLineChars="20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kern w:val="0"/>
                <w:sz w:val="24"/>
                <w:szCs w:val="24"/>
                <w:highlight w:val="none"/>
                <w:lang w:val="en-US" w:eastAsia="zh-CN"/>
              </w:rPr>
              <w:t>★13、包安装，须出具国家认可的检验合格证书方可验收。</w:t>
            </w:r>
          </w:p>
        </w:tc>
      </w:tr>
      <w:tr w14:paraId="7BE11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FCD6631">
            <w:pPr>
              <w:widowControl/>
              <w:numPr>
                <w:ilvl w:val="0"/>
                <w:numId w:val="0"/>
              </w:numPr>
              <w:spacing w:line="480" w:lineRule="exact"/>
              <w:ind w:left="0" w:leftChars="0" w:firstLine="0" w:firstLineChars="0"/>
              <w:jc w:val="left"/>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五、动态心电图记录盒：</w:t>
            </w:r>
          </w:p>
        </w:tc>
      </w:tr>
      <w:tr w14:paraId="67A7E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0FC819A">
            <w:pPr>
              <w:widowControl/>
              <w:numPr>
                <w:ilvl w:val="0"/>
                <w:numId w:val="0"/>
              </w:numPr>
              <w:spacing w:line="480" w:lineRule="exact"/>
              <w:ind w:left="240" w:leftChars="0" w:hanging="240" w:hangingChars="1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szCs w:val="24"/>
                <w:highlight w:val="none"/>
                <w:lang w:val="en-US" w:eastAsia="zh-CN"/>
              </w:rPr>
              <w:t>采集盒:</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1.1 重量≤50 克，方便受检者佩戴。</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1.2 存储方式及容量 :mircoSD 卡存储，容量≥1G。</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1.3 采集盒为彩色屏幕显示波形，可以查看电极连接情况及病人信息。</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1.4 具有事件按钮，可以准确记录事件发生的时间。</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1.5 可同时支持 microSD 卡拔插方式和 USB2.0 高速直接数据读取方式。</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1.6 仅需要一节 7 号(AAA)电池就可以实现 24 小时数据监测。</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1.7 电源管理，电池欠压检测提示，长时间空闲状态或记录结束 30 分钟后将自动 关闭电源。</w:t>
            </w:r>
          </w:p>
        </w:tc>
      </w:tr>
      <w:tr w14:paraId="630EB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C441F88">
            <w:pPr>
              <w:widowControl/>
              <w:numPr>
                <w:ilvl w:val="0"/>
                <w:numId w:val="0"/>
              </w:numPr>
              <w:spacing w:line="480" w:lineRule="exact"/>
              <w:ind w:left="240" w:leftChars="0" w:hanging="240" w:hanging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bidi="ar-SA"/>
              </w:rPr>
              <w:t>2、</w:t>
            </w:r>
            <w:r>
              <w:rPr>
                <w:rFonts w:hint="eastAsia" w:ascii="仿宋" w:hAnsi="仿宋" w:eastAsia="仿宋" w:cs="仿宋"/>
                <w:kern w:val="0"/>
                <w:sz w:val="24"/>
                <w:szCs w:val="24"/>
                <w:highlight w:val="none"/>
                <w:lang w:val="en-US" w:eastAsia="zh-CN"/>
              </w:rPr>
              <w:t>信号处理</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2.1 频率响应:0.05~60Hz；</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2.2 输入阻抗:≥20MΩ；</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2.3 输入回路电流:≤0.1uA ；</w:t>
            </w:r>
          </w:p>
          <w:p w14:paraId="29DA5E83">
            <w:pPr>
              <w:widowControl/>
              <w:numPr>
                <w:ilvl w:val="0"/>
                <w:numId w:val="0"/>
              </w:numPr>
              <w:spacing w:line="480" w:lineRule="exact"/>
              <w:ind w:left="239" w:leftChars="114"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2.4 噪声电平:≤50μVp-p；</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2.5 极化电压:±300mV；</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2.6 共模抑制比(CMRR):≥100dB；</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2.7 时间常数:≥3.2s；</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2.8 增益: 0.5、1、2；</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2.9 记录通道:12 通道；</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2.10 采样率: 128、256、512、1024Hz，默认为 128Hz；</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2.11 A/D 转换精度:8、12、14、16、18 位可调，默认为 16 位；</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2.12 起搏检测:多通道同时检测；</w:t>
            </w:r>
          </w:p>
        </w:tc>
      </w:tr>
      <w:tr w14:paraId="72744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D94F347">
            <w:pPr>
              <w:widowControl/>
              <w:numPr>
                <w:ilvl w:val="0"/>
                <w:numId w:val="0"/>
              </w:numPr>
              <w:spacing w:line="480" w:lineRule="exact"/>
              <w:ind w:left="240" w:leftChars="0" w:hanging="240" w:hangingChars="1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bidi="ar-SA"/>
              </w:rPr>
              <w:t>3、</w:t>
            </w:r>
            <w:r>
              <w:rPr>
                <w:rFonts w:hint="eastAsia" w:ascii="仿宋" w:hAnsi="仿宋" w:eastAsia="仿宋" w:cs="仿宋"/>
                <w:kern w:val="0"/>
                <w:sz w:val="24"/>
                <w:szCs w:val="24"/>
                <w:highlight w:val="none"/>
                <w:lang w:val="en-US" w:eastAsia="zh-CN"/>
              </w:rPr>
              <w:t>电脑工作站</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 xml:space="preserve">  3.1 软件同时兼容 3/12 导联记录盒；</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 xml:space="preserve">  3.2 根据用户需要，配置软件界面工作流程功能；</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 xml:space="preserve">  3.3 心电波形自学习功能，实现模板高效匹配；</w:t>
            </w:r>
          </w:p>
          <w:p w14:paraId="60181A1A">
            <w:pPr>
              <w:widowControl/>
              <w:numPr>
                <w:ilvl w:val="0"/>
                <w:numId w:val="0"/>
              </w:numPr>
              <w:spacing w:line="48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3.4 具有反混淆分析功能，模扳聚类后可将模扳的内的心电波形叠加,并能根据形态差异分辨出所需要的心搏并加以修改，可浏览、分析、修改波形； </w:t>
            </w:r>
          </w:p>
          <w:p w14:paraId="1E55FFF9">
            <w:pPr>
              <w:widowControl/>
              <w:numPr>
                <w:ilvl w:val="0"/>
                <w:numId w:val="0"/>
              </w:numPr>
              <w:spacing w:line="480" w:lineRule="exact"/>
              <w:ind w:left="479" w:leftChars="228" w:firstLine="0" w:firstLine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3.5 心电图编辑窗口的具有自动播放功能，播放速度可调；                            3.6 软件对记录的所有动态心电图数据的 ST 段变化进行统计总结，显示 ST 段</w:t>
            </w:r>
          </w:p>
          <w:p w14:paraId="7D2A75F1">
            <w:pPr>
              <w:widowControl/>
              <w:numPr>
                <w:ilvl w:val="0"/>
                <w:numId w:val="0"/>
              </w:numPr>
              <w:spacing w:line="480" w:lineRule="exact"/>
              <w:ind w:left="269" w:leftChars="128" w:firstLine="0" w:firstLine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变 化的趋势，ST 测量不准确时，可以进行 ST 段重分析 ；</w:t>
            </w:r>
          </w:p>
          <w:p w14:paraId="2C9C4B07">
            <w:pPr>
              <w:widowControl/>
              <w:numPr>
                <w:ilvl w:val="0"/>
                <w:numId w:val="0"/>
              </w:numPr>
              <w:spacing w:line="48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3.7 可快速的查找各个时间点心电图和 ST 段变化，可修改/添加 ST 事3.8可以</w:t>
            </w:r>
          </w:p>
          <w:p w14:paraId="4572B5A1">
            <w:pPr>
              <w:widowControl/>
              <w:numPr>
                <w:ilvl w:val="0"/>
                <w:numId w:val="0"/>
              </w:numPr>
              <w:spacing w:line="480" w:lineRule="exact"/>
              <w:ind w:leftChars="-10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对 AOO、VOO、AAI、VVI、DDD 等十六种起搏器进行分析，具备起搏脉冲 检测功能</w:t>
            </w:r>
          </w:p>
          <w:p w14:paraId="17D48395">
            <w:pPr>
              <w:widowControl/>
              <w:numPr>
                <w:ilvl w:val="0"/>
                <w:numId w:val="0"/>
              </w:numPr>
              <w:spacing w:line="480" w:lineRule="exact"/>
              <w:ind w:leftChars="-10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，起博采样率达 10000 点/秒；</w:t>
            </w:r>
          </w:p>
          <w:p w14:paraId="7D7217F3">
            <w:pPr>
              <w:widowControl/>
              <w:numPr>
                <w:ilvl w:val="0"/>
                <w:numId w:val="0"/>
              </w:numPr>
              <w:spacing w:line="48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3.9 心率变异分析:从 R-R 间期散点图、时域趋势图、频域趋势图、时域趋势表、 </w:t>
            </w:r>
          </w:p>
          <w:p w14:paraId="464C9519">
            <w:pPr>
              <w:widowControl/>
              <w:numPr>
                <w:ilvl w:val="0"/>
                <w:numId w:val="0"/>
              </w:numPr>
              <w:spacing w:line="480" w:lineRule="exact"/>
              <w:ind w:leftChars="-10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频域趋势表、长时程心率变异、心率变异三维图七方面进行分析，分析全面到位；</w:t>
            </w:r>
          </w:p>
          <w:p w14:paraId="594F8227">
            <w:pPr>
              <w:widowControl/>
              <w:numPr>
                <w:ilvl w:val="0"/>
                <w:numId w:val="0"/>
              </w:numPr>
              <w:spacing w:line="48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3.10 具有专门的房扑、房颤分析功能及心率震荡分析功能，可以预测心梗患者的</w:t>
            </w:r>
          </w:p>
          <w:p w14:paraId="4DFE8F61">
            <w:pPr>
              <w:widowControl/>
              <w:numPr>
                <w:ilvl w:val="0"/>
                <w:numId w:val="0"/>
              </w:numPr>
              <w:spacing w:line="480" w:lineRule="exact"/>
              <w:ind w:leftChars="-100"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死亡危险。</w:t>
            </w:r>
          </w:p>
        </w:tc>
      </w:tr>
      <w:tr w14:paraId="36655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24ACF53">
            <w:pPr>
              <w:widowControl/>
              <w:numPr>
                <w:ilvl w:val="0"/>
                <w:numId w:val="0"/>
              </w:numPr>
              <w:spacing w:line="480" w:lineRule="exact"/>
              <w:ind w:left="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★4.1、通过FDA认证</w:t>
            </w:r>
          </w:p>
        </w:tc>
      </w:tr>
      <w:tr w14:paraId="43BCD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BFCBFB2">
            <w:pPr>
              <w:widowControl/>
              <w:numPr>
                <w:ilvl w:val="0"/>
                <w:numId w:val="0"/>
              </w:numPr>
              <w:spacing w:line="480" w:lineRule="exact"/>
              <w:ind w:left="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★4.2、生产企业通过ISO13485质量管理体系和ISO14001环境管理体系认证。</w:t>
            </w:r>
          </w:p>
        </w:tc>
      </w:tr>
      <w:tr w14:paraId="64296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4FEFC57">
            <w:pPr>
              <w:widowControl/>
              <w:numPr>
                <w:ilvl w:val="0"/>
                <w:numId w:val="0"/>
              </w:numPr>
              <w:spacing w:line="480" w:lineRule="exact"/>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bidi="ar-SA"/>
              </w:rPr>
              <w:t>六、</w:t>
            </w:r>
            <w:r>
              <w:rPr>
                <w:rFonts w:hint="eastAsia" w:ascii="仿宋" w:hAnsi="仿宋" w:eastAsia="仿宋" w:cs="仿宋"/>
                <w:b/>
                <w:bCs/>
                <w:color w:val="auto"/>
                <w:kern w:val="0"/>
                <w:sz w:val="24"/>
                <w:szCs w:val="24"/>
                <w:highlight w:val="none"/>
                <w:lang w:val="en-US" w:eastAsia="zh-CN"/>
              </w:rPr>
              <w:t>射频温控热凝器：</w:t>
            </w:r>
          </w:p>
        </w:tc>
      </w:tr>
      <w:tr w14:paraId="1892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52F1A87">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1.显示屏：≥10寸高亮、高分辩率触控</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4K强化玻璃触控显示屏，中文操作界面，内置一键式模式控制模块，操作简单方便。</w:t>
            </w:r>
          </w:p>
        </w:tc>
      </w:tr>
      <w:tr w14:paraId="404C1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3E0E88F">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color w:val="auto"/>
                <w:sz w:val="24"/>
                <w:szCs w:val="24"/>
                <w:highlight w:val="none"/>
              </w:rPr>
              <w:t>2．热凝器功率：</w:t>
            </w:r>
            <w:r>
              <w:rPr>
                <w:rFonts w:hint="eastAsia" w:ascii="仿宋" w:hAnsi="仿宋" w:eastAsia="仿宋" w:cs="仿宋"/>
                <w:b w:val="0"/>
                <w:color w:val="auto"/>
                <w:sz w:val="24"/>
                <w:szCs w:val="24"/>
                <w:highlight w:val="none"/>
                <w:lang w:eastAsia="zh-CN"/>
              </w:rPr>
              <w:t>不大于</w:t>
            </w:r>
            <w:r>
              <w:rPr>
                <w:rFonts w:hint="eastAsia" w:ascii="仿宋" w:hAnsi="仿宋" w:eastAsia="仿宋" w:cs="仿宋"/>
                <w:b w:val="0"/>
                <w:color w:val="auto"/>
                <w:sz w:val="24"/>
                <w:szCs w:val="24"/>
                <w:highlight w:val="none"/>
                <w:lang w:val="en-US" w:eastAsia="zh-CN"/>
              </w:rPr>
              <w:t xml:space="preserve">38 </w:t>
            </w:r>
            <w:r>
              <w:rPr>
                <w:rFonts w:hint="eastAsia" w:ascii="仿宋" w:hAnsi="仿宋" w:eastAsia="仿宋" w:cs="仿宋"/>
                <w:b w:val="0"/>
                <w:color w:val="auto"/>
                <w:sz w:val="24"/>
                <w:szCs w:val="24"/>
                <w:highlight w:val="none"/>
              </w:rPr>
              <w:t>W</w:t>
            </w:r>
          </w:p>
        </w:tc>
      </w:tr>
      <w:tr w14:paraId="043E5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00AE0E7">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3.智能连续输出和智能脉冲输出，自动提供合适功率输出，提供一键式治疗模式，临床操作简单方便；</w:t>
            </w:r>
          </w:p>
        </w:tc>
      </w:tr>
      <w:tr w14:paraId="264D7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40" w:type="dxa"/>
            <w:tcBorders>
              <w:top w:val="single" w:color="auto" w:sz="4" w:space="0"/>
              <w:bottom w:val="single" w:color="auto" w:sz="4" w:space="0"/>
            </w:tcBorders>
            <w:vAlign w:val="center"/>
          </w:tcPr>
          <w:p w14:paraId="40A6B376">
            <w:pPr>
              <w:widowControl/>
              <w:numPr>
                <w:ilvl w:val="0"/>
                <w:numId w:val="0"/>
              </w:numPr>
              <w:spacing w:line="240" w:lineRule="auto"/>
              <w:ind w:left="0" w:leftChars="0" w:firstLine="480" w:firstLineChars="20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color w:val="auto"/>
                <w:sz w:val="24"/>
                <w:szCs w:val="24"/>
                <w:highlight w:val="none"/>
                <w:lang w:val="en-US" w:eastAsia="zh-CN"/>
              </w:rPr>
              <w:t>4.配置同厂家穿刺针和手术电极，保证手术安全和疗效。（提供注册证证明材料）</w:t>
            </w:r>
          </w:p>
        </w:tc>
      </w:tr>
      <w:tr w14:paraId="6D72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960394F">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lang w:val="en-US" w:eastAsia="zh-CN"/>
              </w:rPr>
              <w:t>5.电极可适配其他厂家穿刺针，供临床多个选择。</w:t>
            </w:r>
          </w:p>
        </w:tc>
      </w:tr>
      <w:tr w14:paraId="1A104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ED287FD">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lang w:val="en-US" w:eastAsia="zh-CN"/>
              </w:rPr>
              <w:t>6.主机有2个电极接口，电极单独输出，为了手术安全，设备必须配有负极板连接器。</w:t>
            </w:r>
          </w:p>
        </w:tc>
      </w:tr>
      <w:tr w14:paraId="65476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2DE59C2">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7.具有自动切换单极、双极多种治疗模式，每通道必须单独连接一根电极，并分别控制每个电极的参数保证治疗的安全。</w:t>
            </w:r>
          </w:p>
        </w:tc>
      </w:tr>
      <w:tr w14:paraId="6DA08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F77AF14">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8．射频热凝输出方式：</w:t>
            </w:r>
          </w:p>
        </w:tc>
      </w:tr>
      <w:tr w14:paraId="4FE5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4C1358C">
            <w:pPr>
              <w:widowControl/>
              <w:numPr>
                <w:ilvl w:val="0"/>
                <w:numId w:val="0"/>
              </w:numPr>
              <w:spacing w:line="24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1、自动连续输出，一键式选择治疗模式；</w:t>
            </w:r>
          </w:p>
        </w:tc>
      </w:tr>
      <w:tr w14:paraId="3C832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DD7A0B6">
            <w:pPr>
              <w:widowControl/>
              <w:numPr>
                <w:ilvl w:val="0"/>
                <w:numId w:val="0"/>
              </w:numPr>
              <w:spacing w:line="24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2、自动脉冲输出，一键式切换治疗模式；</w:t>
            </w:r>
          </w:p>
        </w:tc>
      </w:tr>
      <w:tr w14:paraId="2DCC1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BD21085">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color w:val="auto"/>
                <w:sz w:val="24"/>
                <w:szCs w:val="24"/>
                <w:highlight w:val="none"/>
              </w:rPr>
              <w:t>9．射频输出频率：460kHz</w:t>
            </w:r>
            <w:r>
              <w:rPr>
                <w:rFonts w:hint="eastAsia" w:ascii="仿宋" w:hAnsi="仿宋" w:eastAsia="仿宋" w:cs="仿宋"/>
                <w:b w:val="0"/>
                <w:color w:val="auto"/>
                <w:sz w:val="24"/>
                <w:szCs w:val="24"/>
                <w:highlight w:val="none"/>
                <w:u w:val="single"/>
                <w:lang w:val="en-US" w:eastAsia="zh-CN"/>
              </w:rPr>
              <w:t>+</w:t>
            </w:r>
            <w:r>
              <w:rPr>
                <w:rFonts w:hint="eastAsia" w:ascii="仿宋" w:hAnsi="仿宋" w:eastAsia="仿宋" w:cs="仿宋"/>
                <w:b w:val="0"/>
                <w:color w:val="auto"/>
                <w:sz w:val="24"/>
                <w:szCs w:val="24"/>
                <w:highlight w:val="none"/>
                <w:lang w:val="en-US" w:eastAsia="zh-CN"/>
              </w:rPr>
              <w:t>5%</w:t>
            </w:r>
          </w:p>
        </w:tc>
      </w:tr>
      <w:tr w14:paraId="0F4F5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9887E9E">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10．热凝器恒温热凝时间范围和精度：</w:t>
            </w:r>
          </w:p>
        </w:tc>
      </w:tr>
      <w:tr w14:paraId="02B6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7CF2F33">
            <w:pPr>
              <w:widowControl/>
              <w:numPr>
                <w:ilvl w:val="0"/>
                <w:numId w:val="0"/>
              </w:numPr>
              <w:spacing w:line="240" w:lineRule="auto"/>
              <w:ind w:firstLine="566" w:firstLineChars="236"/>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热凝时间范围为10s-600s，步长为1s；</w:t>
            </w:r>
          </w:p>
        </w:tc>
      </w:tr>
      <w:tr w14:paraId="02909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D90FE32">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11.连续射频输出恒温热凝温度：设定范围应为35℃-95℃，步长为0.1℃；</w:t>
            </w:r>
          </w:p>
        </w:tc>
      </w:tr>
      <w:tr w14:paraId="0CCD9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040" w:type="dxa"/>
            <w:tcBorders>
              <w:top w:val="single" w:color="auto" w:sz="4" w:space="0"/>
              <w:bottom w:val="single" w:color="auto" w:sz="4" w:space="0"/>
            </w:tcBorders>
            <w:vAlign w:val="center"/>
          </w:tcPr>
          <w:p w14:paraId="5EBBD771">
            <w:pPr>
              <w:widowControl/>
              <w:numPr>
                <w:ilvl w:val="0"/>
                <w:numId w:val="0"/>
              </w:numPr>
              <w:spacing w:line="240" w:lineRule="auto"/>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color w:val="auto"/>
                <w:sz w:val="24"/>
                <w:szCs w:val="24"/>
                <w:highlight w:val="none"/>
                <w:lang w:val="en-US" w:eastAsia="zh-CN"/>
              </w:rPr>
              <w:t>12.脉冲射频输出恒温热凝温度：</w:t>
            </w:r>
          </w:p>
        </w:tc>
      </w:tr>
      <w:tr w14:paraId="2FC8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81266D9">
            <w:pPr>
              <w:widowControl/>
              <w:numPr>
                <w:ilvl w:val="0"/>
                <w:numId w:val="0"/>
              </w:numPr>
              <w:spacing w:line="240" w:lineRule="auto"/>
              <w:ind w:firstLine="566" w:firstLineChars="236"/>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设定范围应为35℃-50℃，步长为0.1℃； 高电压可调（0-99V），脉宽可调。</w:t>
            </w:r>
          </w:p>
        </w:tc>
      </w:tr>
      <w:tr w14:paraId="2764E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7BC3961">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13．热凝器的负载阻抗范围：50Ω-2000Ω。</w:t>
            </w:r>
          </w:p>
        </w:tc>
      </w:tr>
      <w:tr w14:paraId="57D1E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936B9B2">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14．电刺激定位</w:t>
            </w:r>
          </w:p>
        </w:tc>
      </w:tr>
      <w:tr w14:paraId="6C9AB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33CF876">
            <w:pPr>
              <w:widowControl/>
              <w:numPr>
                <w:ilvl w:val="0"/>
                <w:numId w:val="0"/>
              </w:numPr>
              <w:spacing w:line="240" w:lineRule="auto"/>
              <w:ind w:firstLine="566" w:firstLineChars="236"/>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14.1 电压刺激定位</w:t>
            </w:r>
          </w:p>
        </w:tc>
      </w:tr>
      <w:tr w14:paraId="5352E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7F62CFE">
            <w:pPr>
              <w:widowControl/>
              <w:numPr>
                <w:ilvl w:val="0"/>
                <w:numId w:val="0"/>
              </w:numPr>
              <w:spacing w:line="240" w:lineRule="auto"/>
              <w:ind w:left="1347" w:leftChars="470" w:hanging="360" w:hangingChars="15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a) 刺激电压的脉冲频率分为单次脉冲（Single Pulse）和多次脉冲1Hz ～200Hz内，自定义多档可调节；</w:t>
            </w:r>
          </w:p>
        </w:tc>
      </w:tr>
      <w:tr w14:paraId="494C5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0C12EC1">
            <w:pPr>
              <w:widowControl/>
              <w:numPr>
                <w:ilvl w:val="0"/>
                <w:numId w:val="0"/>
              </w:numPr>
              <w:spacing w:line="240" w:lineRule="auto"/>
              <w:ind w:firstLine="991" w:firstLineChars="413"/>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b) 刺激电压的脉冲宽度分为0.1ms～3.0ms，自定义多档可调；</w:t>
            </w:r>
          </w:p>
        </w:tc>
      </w:tr>
      <w:tr w14:paraId="3A9F8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67466F6">
            <w:pPr>
              <w:widowControl/>
              <w:numPr>
                <w:ilvl w:val="0"/>
                <w:numId w:val="0"/>
              </w:numPr>
              <w:spacing w:line="240" w:lineRule="auto"/>
              <w:ind w:firstLine="991" w:firstLineChars="413"/>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c) 刺激电压的脉冲幅度为0 V～10V，步长为0.1V；</w:t>
            </w:r>
          </w:p>
        </w:tc>
      </w:tr>
      <w:tr w14:paraId="0F40E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F0071CC">
            <w:pPr>
              <w:widowControl/>
              <w:numPr>
                <w:ilvl w:val="0"/>
                <w:numId w:val="0"/>
              </w:numPr>
              <w:spacing w:line="240" w:lineRule="auto"/>
              <w:ind w:firstLine="566" w:firstLineChars="236"/>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14.2 电流刺激定位</w:t>
            </w:r>
          </w:p>
        </w:tc>
      </w:tr>
      <w:tr w14:paraId="260AB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CFE4C84">
            <w:pPr>
              <w:widowControl/>
              <w:numPr>
                <w:ilvl w:val="0"/>
                <w:numId w:val="0"/>
              </w:numPr>
              <w:spacing w:line="240" w:lineRule="auto"/>
              <w:ind w:left="1347" w:leftChars="470" w:hanging="360" w:hangingChars="15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a) 刺激电流的脉冲频率分为单次脉冲（Single Pulse）和多次脉冲1Hz ～200Hz内，自定义多档可调节；</w:t>
            </w:r>
          </w:p>
        </w:tc>
      </w:tr>
      <w:tr w14:paraId="212D4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40" w:type="dxa"/>
            <w:tcBorders>
              <w:top w:val="single" w:color="auto" w:sz="4" w:space="0"/>
              <w:bottom w:val="single" w:color="auto" w:sz="4" w:space="0"/>
            </w:tcBorders>
            <w:vAlign w:val="center"/>
          </w:tcPr>
          <w:p w14:paraId="197C5A1C">
            <w:pPr>
              <w:widowControl/>
              <w:numPr>
                <w:ilvl w:val="0"/>
                <w:numId w:val="0"/>
              </w:numPr>
              <w:spacing w:line="240" w:lineRule="auto"/>
              <w:ind w:left="0" w:leftChars="0" w:firstLine="991" w:firstLineChars="413"/>
              <w:jc w:val="both"/>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b) 刺激电流的脉冲宽度分为0.1ms～3.0ms，自定义多档可调；</w:t>
            </w:r>
          </w:p>
        </w:tc>
      </w:tr>
      <w:tr w14:paraId="4E1BF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6D4AE6E">
            <w:pPr>
              <w:widowControl/>
              <w:numPr>
                <w:ilvl w:val="0"/>
                <w:numId w:val="0"/>
              </w:numPr>
              <w:spacing w:line="240" w:lineRule="auto"/>
              <w:ind w:firstLine="991" w:firstLineChars="413"/>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c) 刺激电流范围：</w:t>
            </w:r>
          </w:p>
        </w:tc>
      </w:tr>
      <w:tr w14:paraId="262EE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0" w:type="dxa"/>
            <w:tcBorders>
              <w:top w:val="single" w:color="auto" w:sz="4" w:space="0"/>
              <w:bottom w:val="single" w:color="auto" w:sz="4" w:space="0"/>
            </w:tcBorders>
            <w:vAlign w:val="top"/>
          </w:tcPr>
          <w:p w14:paraId="6DD4D48C">
            <w:pPr>
              <w:widowControl/>
              <w:numPr>
                <w:ilvl w:val="0"/>
                <w:numId w:val="0"/>
              </w:numPr>
              <w:spacing w:line="240" w:lineRule="auto"/>
              <w:ind w:firstLine="991" w:firstLineChars="413"/>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—负载阻抗为50Ω-1000Ω：0mA-10mA；步长为0.1mA；</w:t>
            </w:r>
          </w:p>
        </w:tc>
      </w:tr>
      <w:tr w14:paraId="47576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E571807">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color w:val="auto"/>
                <w:sz w:val="24"/>
                <w:szCs w:val="24"/>
                <w:highlight w:val="none"/>
              </w:rPr>
              <w:t>15．电生理阻抗定位的测量范围：0Ω-2000Ω；（人体最高电阻抗不超过2000Ω）</w:t>
            </w:r>
          </w:p>
        </w:tc>
      </w:tr>
      <w:tr w14:paraId="5A779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0" w:type="dxa"/>
            <w:tcBorders>
              <w:top w:val="single" w:color="auto" w:sz="4" w:space="0"/>
              <w:bottom w:val="single" w:color="auto" w:sz="4" w:space="0"/>
            </w:tcBorders>
            <w:vAlign w:val="top"/>
          </w:tcPr>
          <w:p w14:paraId="5359D8CA">
            <w:pPr>
              <w:widowControl/>
              <w:numPr>
                <w:ilvl w:val="0"/>
                <w:numId w:val="0"/>
              </w:numPr>
              <w:spacing w:line="24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val="0"/>
                <w:bCs/>
                <w:color w:val="auto"/>
                <w:sz w:val="24"/>
                <w:szCs w:val="24"/>
                <w:highlight w:val="none"/>
              </w:rPr>
              <w:t>16．系统自测试程序:自动检测主机、电极和导线的工作状态；手控开关：可由手控开关控制热凝、电刺激的启动或停止；自动报警功能：电极前端温度传感器故障、超预置温度等状态自动报警；</w:t>
            </w:r>
          </w:p>
        </w:tc>
      </w:tr>
      <w:tr w14:paraId="473B9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FD33ADA">
            <w:pPr>
              <w:widowControl/>
              <w:numPr>
                <w:ilvl w:val="0"/>
                <w:numId w:val="0"/>
              </w:numPr>
              <w:spacing w:line="480" w:lineRule="exact"/>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七、皮肤毛发观察仪：</w:t>
            </w:r>
          </w:p>
        </w:tc>
      </w:tr>
      <w:tr w14:paraId="24FA0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B1BAF59">
            <w:pPr>
              <w:widowControl/>
              <w:numPr>
                <w:ilvl w:val="0"/>
                <w:numId w:val="0"/>
              </w:numPr>
              <w:spacing w:line="480" w:lineRule="exact"/>
              <w:ind w:left="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（一）、探头技术参数</w:t>
            </w:r>
          </w:p>
        </w:tc>
      </w:tr>
      <w:tr w14:paraId="29D13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B6F5BE8">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★体表摄像机：</w:t>
            </w:r>
          </w:p>
        </w:tc>
      </w:tr>
      <w:tr w14:paraId="5EE2B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F4F5F31">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1、聚焦范围：300mm-500mm；</w:t>
            </w:r>
          </w:p>
        </w:tc>
      </w:tr>
      <w:tr w14:paraId="5FB51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A65714F">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2、光学变焦：≥16倍，数字变焦：≥8倍；</w:t>
            </w:r>
          </w:p>
        </w:tc>
      </w:tr>
      <w:tr w14:paraId="1DA00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1C7BC52">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3、聚焦方式：自动聚焦、手动聚焦；</w:t>
            </w:r>
          </w:p>
        </w:tc>
      </w:tr>
      <w:tr w14:paraId="4EBD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7273C1C">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4、光源类型：LED白光+荧光，光源亮度可调；</w:t>
            </w:r>
          </w:p>
        </w:tc>
      </w:tr>
      <w:tr w14:paraId="48EAF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8101522">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5、白光光源照射强度≥1000Lux；</w:t>
            </w:r>
          </w:p>
        </w:tc>
      </w:tr>
      <w:tr w14:paraId="217F9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5099F17">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6、荧光输出峰值波长：370±15nm；</w:t>
            </w:r>
          </w:p>
        </w:tc>
      </w:tr>
      <w:tr w14:paraId="2AE2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1BA0841">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7、荧光辐照强度≥1.5mw/cm²；</w:t>
            </w:r>
          </w:p>
        </w:tc>
      </w:tr>
      <w:tr w14:paraId="49D9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98ACA01">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★8、镜头功能： 放大、缩小、焦远、焦近、红＋、红－、调光、白平衡；</w:t>
            </w:r>
          </w:p>
        </w:tc>
      </w:tr>
      <w:tr w14:paraId="2FD5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996F93C">
            <w:pPr>
              <w:widowControl/>
              <w:numPr>
                <w:ilvl w:val="0"/>
                <w:numId w:val="0"/>
              </w:numPr>
              <w:spacing w:line="480" w:lineRule="exact"/>
              <w:ind w:left="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（二）、手持探头参数</w:t>
            </w:r>
          </w:p>
        </w:tc>
      </w:tr>
      <w:tr w14:paraId="30B58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30020DD">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1、放大倍率：20×-50×,200×；</w:t>
            </w:r>
          </w:p>
        </w:tc>
      </w:tr>
      <w:tr w14:paraId="144A1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FF3509E">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2、成像分辨率：≥130万像素；</w:t>
            </w:r>
          </w:p>
        </w:tc>
      </w:tr>
      <w:tr w14:paraId="14357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389A1A0">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3、最大帧速：≥30fps；</w:t>
            </w:r>
          </w:p>
        </w:tc>
      </w:tr>
      <w:tr w14:paraId="28CE3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9B4D599">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4、照 明：内置LED冷光源；</w:t>
            </w:r>
          </w:p>
        </w:tc>
      </w:tr>
      <w:tr w14:paraId="4DEB7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5C7363C">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5、镜头自带偏光实时放大，支持偏振、非偏振</w:t>
            </w:r>
          </w:p>
        </w:tc>
      </w:tr>
      <w:tr w14:paraId="43602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8B72A8B">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6、配备一次性隔离垫，杜绝交叉感染。</w:t>
            </w:r>
          </w:p>
        </w:tc>
      </w:tr>
      <w:tr w14:paraId="3981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1586A83">
            <w:pPr>
              <w:widowControl/>
              <w:numPr>
                <w:ilvl w:val="0"/>
                <w:numId w:val="0"/>
              </w:numPr>
              <w:spacing w:line="480" w:lineRule="exact"/>
              <w:ind w:left="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（三）、软件功能</w:t>
            </w:r>
          </w:p>
        </w:tc>
      </w:tr>
      <w:tr w14:paraId="51D8D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1B85259">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1、具有实时显示、采集、预览、删除、恢复、同屏显示、图像对比皮肤分析、报告打印等功能；</w:t>
            </w:r>
          </w:p>
        </w:tc>
      </w:tr>
      <w:tr w14:paraId="58042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462C1D1">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2、高清显示：具有图像高清实时动态显示、高清冻结观察功能；</w:t>
            </w:r>
          </w:p>
        </w:tc>
      </w:tr>
      <w:tr w14:paraId="3D4C2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BA37B51">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3、图像处理：具有图像亮度对比度调节、标注、测量、增强滤波等图像处理功能；</w:t>
            </w:r>
          </w:p>
        </w:tc>
      </w:tr>
      <w:tr w14:paraId="3741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258326AB">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4、录像功能：支持多种不同采样频率的动态图像连续录像和回放功能；</w:t>
            </w:r>
          </w:p>
        </w:tc>
      </w:tr>
      <w:tr w14:paraId="2CB0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B0D00D9">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★5、专业分析模块：“三分法”、“七分法”、“模式法”、“ABCD法”、“Menzies”分析法等多种分析模块，全面支持对黑素瘤、色素痣、血管、鳞屑类皮损等病变的分析；</w:t>
            </w:r>
          </w:p>
        </w:tc>
      </w:tr>
      <w:tr w14:paraId="0BAD4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60EDB03">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6、风险提示：有绿、黄、红三种颜色提示；</w:t>
            </w:r>
          </w:p>
        </w:tc>
      </w:tr>
      <w:tr w14:paraId="30A62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FA56ECE">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7、根据放大倍率，自动计算视野面积；</w:t>
            </w:r>
          </w:p>
        </w:tc>
      </w:tr>
      <w:tr w14:paraId="58F4A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ABCEF6A">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8、具有终毛、中毛、毳毛分别用不同颜色标识和显示功能；</w:t>
            </w:r>
          </w:p>
        </w:tc>
      </w:tr>
      <w:tr w14:paraId="1612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224C28B">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9、自动计算毛发总量、密度，终毛、中毛、毳毛数量和百分比；</w:t>
            </w:r>
          </w:p>
        </w:tc>
      </w:tr>
      <w:tr w14:paraId="6EC4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4C60868">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★10、自动计算视野内的毛发平均直径；单根毛发长度和直径测量功能，测量数据自动植入报告单；</w:t>
            </w:r>
          </w:p>
        </w:tc>
      </w:tr>
      <w:tr w14:paraId="2AF29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020411B5">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11、具有毛囊计数和分析功能；毛发分析数据以饼图、柱状图方式展现，并自动植入报告单；</w:t>
            </w:r>
          </w:p>
        </w:tc>
      </w:tr>
      <w:tr w14:paraId="06C15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B3651FD">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★12、具有不同时期检查数据的趋势分析功能，并可以生成报告单进行打印；</w:t>
            </w:r>
          </w:p>
        </w:tc>
      </w:tr>
      <w:tr w14:paraId="5A467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A90B973">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13、模板可自定义：图谱、病例库可自定义添加，具有病例存档、查询和关键字搜索等方便快捷；</w:t>
            </w:r>
          </w:p>
        </w:tc>
      </w:tr>
      <w:tr w14:paraId="6AFE4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C0A01EB">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★14、报告格式：具有多种皮肤、毛发、荧光专用报告格式，并可根据临床需要进行编辑和修改。</w:t>
            </w:r>
          </w:p>
        </w:tc>
      </w:tr>
      <w:tr w14:paraId="78542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8BD22B5">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15、内置多种皮肤、毛发诊断术语及参考图谱，并可与当前检查病例图像进行同屏对比，辅助检查医生做出准确判断；</w:t>
            </w:r>
          </w:p>
        </w:tc>
      </w:tr>
      <w:tr w14:paraId="6AAF6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370B3484">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16、扩展功能：可连接医院综合管理系统，实现资源共享和远程会诊。</w:t>
            </w:r>
          </w:p>
        </w:tc>
      </w:tr>
      <w:tr w14:paraId="508AF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663F9CAC">
            <w:pPr>
              <w:widowControl/>
              <w:numPr>
                <w:ilvl w:val="0"/>
                <w:numId w:val="0"/>
              </w:numPr>
              <w:spacing w:line="480" w:lineRule="exact"/>
              <w:ind w:left="0" w:leftChars="0"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（四）、硬件配置</w:t>
            </w:r>
          </w:p>
        </w:tc>
      </w:tr>
      <w:tr w14:paraId="5C7E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1F03317D">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1、高清体表摄像机1套；</w:t>
            </w:r>
          </w:p>
        </w:tc>
      </w:tr>
      <w:tr w14:paraId="2EAE1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07C80D15">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2、品牌电脑：双核CPU、4G内存、1TB硬盘、23.5"液晶显示；</w:t>
            </w:r>
          </w:p>
        </w:tc>
      </w:tr>
      <w:tr w14:paraId="78732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0242B70C">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3、彩色联供喷墨打印机；</w:t>
            </w:r>
          </w:p>
        </w:tc>
      </w:tr>
      <w:tr w14:paraId="4CB84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641B7F60">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4、豪华医用操作台；</w:t>
            </w:r>
          </w:p>
        </w:tc>
      </w:tr>
      <w:tr w14:paraId="16720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48444325">
            <w:pPr>
              <w:widowControl/>
              <w:numPr>
                <w:ilvl w:val="0"/>
                <w:numId w:val="0"/>
              </w:numPr>
              <w:spacing w:line="480" w:lineRule="exact"/>
              <w:ind w:left="420" w:leftChars="0"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5、免费提供与医院信息化对接。</w:t>
            </w:r>
          </w:p>
        </w:tc>
      </w:tr>
      <w:tr w14:paraId="1F327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46DBAE80">
            <w:pPr>
              <w:widowControl/>
              <w:numPr>
                <w:ilvl w:val="0"/>
                <w:numId w:val="0"/>
              </w:numPr>
              <w:spacing w:line="480" w:lineRule="exact"/>
              <w:ind w:left="0" w:leftChars="0" w:firstLine="0" w:firstLineChars="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rPr>
              <w:t>八、盆底康复诊疗系统：</w:t>
            </w:r>
          </w:p>
        </w:tc>
      </w:tr>
      <w:tr w14:paraId="1859A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78A37303">
            <w:pPr>
              <w:widowControl/>
              <w:numPr>
                <w:ilvl w:val="0"/>
                <w:numId w:val="0"/>
              </w:numPr>
              <w:spacing w:line="480" w:lineRule="exact"/>
              <w:ind w:left="0" w:leftChars="0" w:firstLine="241" w:firstLineChars="1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rPr>
              <w:t>（一）、妇科治疗仪参数：</w:t>
            </w:r>
          </w:p>
        </w:tc>
      </w:tr>
      <w:tr w14:paraId="0F3D3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45EEB7F8">
            <w:pPr>
              <w:widowControl/>
              <w:numPr>
                <w:ilvl w:val="0"/>
                <w:numId w:val="0"/>
              </w:numPr>
              <w:spacing w:line="360" w:lineRule="auto"/>
              <w:ind w:left="0" w:leftChars="0" w:firstLine="720" w:firstLineChars="3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工作环境条件</w:t>
            </w:r>
            <w:r>
              <w:rPr>
                <w:rFonts w:hint="eastAsia" w:ascii="仿宋" w:hAnsi="仿宋" w:eastAsia="仿宋" w:cs="仿宋"/>
                <w:sz w:val="24"/>
                <w:szCs w:val="24"/>
                <w:highlight w:val="none"/>
                <w:lang w:eastAsia="zh-CN"/>
              </w:rPr>
              <w:t>：</w:t>
            </w:r>
          </w:p>
        </w:tc>
      </w:tr>
      <w:tr w14:paraId="3DF28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7F65FFA3">
            <w:pPr>
              <w:widowControl/>
              <w:numPr>
                <w:ilvl w:val="0"/>
                <w:numId w:val="0"/>
              </w:numPr>
              <w:spacing w:line="360" w:lineRule="auto"/>
              <w:ind w:left="0" w:leftChars="0" w:firstLine="720" w:firstLineChars="3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a)环境温度：+5℃～+40℃；</w:t>
            </w:r>
          </w:p>
        </w:tc>
      </w:tr>
      <w:tr w14:paraId="67410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692F095B">
            <w:pPr>
              <w:widowControl/>
              <w:numPr>
                <w:ilvl w:val="0"/>
                <w:numId w:val="0"/>
              </w:numPr>
              <w:spacing w:line="420" w:lineRule="exact"/>
              <w:ind w:left="0" w:leftChars="0" w:firstLine="720" w:firstLineChars="3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b)相对湿度：30%～75%；</w:t>
            </w:r>
          </w:p>
        </w:tc>
      </w:tr>
      <w:tr w14:paraId="34BED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49B9D51D">
            <w:pPr>
              <w:widowControl/>
              <w:numPr>
                <w:ilvl w:val="0"/>
                <w:numId w:val="0"/>
              </w:numPr>
              <w:spacing w:line="420" w:lineRule="exact"/>
              <w:ind w:left="0" w:leftChars="0" w:firstLine="720" w:firstLineChars="3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c)大气压力：700hPa～1060hPa；</w:t>
            </w:r>
          </w:p>
        </w:tc>
      </w:tr>
      <w:tr w14:paraId="013B6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65E5CD77">
            <w:pPr>
              <w:widowControl/>
              <w:numPr>
                <w:ilvl w:val="0"/>
                <w:numId w:val="0"/>
              </w:numPr>
              <w:spacing w:line="420" w:lineRule="exact"/>
              <w:ind w:left="0" w:leftChars="0" w:firstLine="720" w:firstLineChars="3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d)电源：AC 220V±22V，50Hz±1Hz。</w:t>
            </w:r>
          </w:p>
        </w:tc>
      </w:tr>
      <w:tr w14:paraId="6047C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3E3A7AE0">
            <w:pPr>
              <w:widowControl/>
              <w:numPr>
                <w:ilvl w:val="0"/>
                <w:numId w:val="0"/>
              </w:numPr>
              <w:spacing w:line="360" w:lineRule="auto"/>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主要参数指标</w:t>
            </w:r>
          </w:p>
        </w:tc>
      </w:tr>
      <w:tr w14:paraId="2851E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shd w:val="clear" w:color="auto" w:fill="auto"/>
            <w:vAlign w:val="top"/>
          </w:tcPr>
          <w:p w14:paraId="6C36EC1C">
            <w:pPr>
              <w:widowControl/>
              <w:numPr>
                <w:ilvl w:val="0"/>
                <w:numId w:val="0"/>
              </w:numPr>
              <w:spacing w:line="360" w:lineRule="auto"/>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0"/>
                <w:sz w:val="24"/>
                <w:szCs w:val="24"/>
                <w:highlight w:val="none"/>
              </w:rPr>
              <w:t>2.1</w:t>
            </w:r>
            <w:r>
              <w:rPr>
                <w:rFonts w:hint="eastAsia" w:ascii="仿宋" w:hAnsi="仿宋" w:eastAsia="仿宋" w:cs="仿宋"/>
                <w:color w:val="000000"/>
                <w:kern w:val="0"/>
                <w:sz w:val="24"/>
                <w:szCs w:val="24"/>
                <w:highlight w:val="none"/>
                <w:lang w:eastAsia="zh-CN"/>
              </w:rPr>
              <w:t>、理疗</w:t>
            </w:r>
            <w:r>
              <w:rPr>
                <w:rFonts w:hint="eastAsia" w:ascii="仿宋" w:hAnsi="仿宋" w:eastAsia="仿宋" w:cs="仿宋"/>
                <w:color w:val="000000"/>
                <w:kern w:val="0"/>
                <w:sz w:val="24"/>
                <w:szCs w:val="24"/>
                <w:highlight w:val="none"/>
              </w:rPr>
              <w:t>仪的输出脉冲频率为660Hz±66Hz。</w:t>
            </w:r>
          </w:p>
        </w:tc>
      </w:tr>
      <w:tr w14:paraId="30E54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F35CBBE">
            <w:pPr>
              <w:widowControl/>
              <w:numPr>
                <w:ilvl w:val="0"/>
                <w:numId w:val="0"/>
              </w:numPr>
              <w:spacing w:line="48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rPr>
              <w:t>2.2</w:t>
            </w:r>
            <w:r>
              <w:rPr>
                <w:rFonts w:hint="eastAsia" w:ascii="仿宋" w:hAnsi="仿宋" w:eastAsia="仿宋" w:cs="仿宋"/>
                <w:color w:val="000000"/>
                <w:kern w:val="0"/>
                <w:sz w:val="24"/>
                <w:szCs w:val="24"/>
                <w:highlight w:val="none"/>
                <w:lang w:eastAsia="zh-CN"/>
              </w:rPr>
              <w:t>、理疗</w:t>
            </w:r>
            <w:r>
              <w:rPr>
                <w:rFonts w:hint="eastAsia" w:ascii="仿宋" w:hAnsi="仿宋" w:eastAsia="仿宋" w:cs="仿宋"/>
                <w:color w:val="000000"/>
                <w:kern w:val="0"/>
                <w:sz w:val="24"/>
                <w:szCs w:val="24"/>
                <w:highlight w:val="none"/>
              </w:rPr>
              <w:t>仪的输出脉冲调制频率应符合下表</w:t>
            </w:r>
          </w:p>
        </w:tc>
      </w:tr>
      <w:tr w14:paraId="6ED55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1" w:hRule="atLeast"/>
        </w:trPr>
        <w:tc>
          <w:tcPr>
            <w:tcW w:w="9040" w:type="dxa"/>
            <w:tcBorders>
              <w:top w:val="single" w:color="auto" w:sz="4" w:space="0"/>
              <w:bottom w:val="single" w:color="auto" w:sz="4" w:space="0"/>
            </w:tcBorders>
            <w:vAlign w:val="top"/>
          </w:tcPr>
          <w:tbl>
            <w:tblPr>
              <w:tblStyle w:val="30"/>
              <w:tblpPr w:leftFromText="180" w:rightFromText="180" w:vertAnchor="text" w:horzAnchor="page" w:tblpXSpec="center" w:tblpY="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220"/>
              <w:gridCol w:w="1260"/>
            </w:tblGrid>
            <w:tr w14:paraId="3E64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6D19BD9C">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理疗</w:t>
                  </w:r>
                  <w:r>
                    <w:rPr>
                      <w:rFonts w:hint="eastAsia" w:ascii="仿宋" w:hAnsi="仿宋" w:eastAsia="仿宋" w:cs="仿宋"/>
                      <w:sz w:val="24"/>
                      <w:szCs w:val="24"/>
                      <w:highlight w:val="none"/>
                    </w:rPr>
                    <w:t>模式</w:t>
                  </w:r>
                </w:p>
              </w:tc>
              <w:tc>
                <w:tcPr>
                  <w:tcW w:w="5220" w:type="dxa"/>
                  <w:noWrap w:val="0"/>
                  <w:vAlign w:val="top"/>
                </w:tcPr>
                <w:p w14:paraId="467EBD89">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要求</w:t>
                  </w:r>
                </w:p>
              </w:tc>
              <w:tc>
                <w:tcPr>
                  <w:tcW w:w="1260" w:type="dxa"/>
                  <w:noWrap w:val="0"/>
                  <w:vAlign w:val="top"/>
                </w:tcPr>
                <w:p w14:paraId="7E32C3A3">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调制频率</w:t>
                  </w:r>
                </w:p>
              </w:tc>
            </w:tr>
            <w:tr w14:paraId="701A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8A4E75E">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盆腔炎</w:t>
                  </w:r>
                </w:p>
              </w:tc>
              <w:tc>
                <w:tcPr>
                  <w:tcW w:w="5220" w:type="dxa"/>
                  <w:noWrap w:val="0"/>
                  <w:vAlign w:val="top"/>
                </w:tcPr>
                <w:p w14:paraId="6E8335D5">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慢性盆腔炎患者在</w:t>
                  </w:r>
                  <w:r>
                    <w:rPr>
                      <w:rFonts w:hint="eastAsia" w:ascii="仿宋" w:hAnsi="仿宋" w:eastAsia="仿宋" w:cs="仿宋"/>
                      <w:sz w:val="24"/>
                      <w:szCs w:val="24"/>
                      <w:highlight w:val="none"/>
                      <w:lang w:eastAsia="zh-CN"/>
                    </w:rPr>
                    <w:t>导师</w:t>
                  </w:r>
                  <w:r>
                    <w:rPr>
                      <w:rFonts w:hint="eastAsia" w:ascii="仿宋" w:hAnsi="仿宋" w:eastAsia="仿宋" w:cs="仿宋"/>
                      <w:sz w:val="24"/>
                      <w:szCs w:val="24"/>
                      <w:highlight w:val="none"/>
                    </w:rPr>
                    <w:t>指导下使用此模式</w:t>
                  </w:r>
                </w:p>
              </w:tc>
              <w:tc>
                <w:tcPr>
                  <w:tcW w:w="1260" w:type="dxa"/>
                  <w:noWrap w:val="0"/>
                  <w:vAlign w:val="top"/>
                </w:tcPr>
                <w:p w14:paraId="5E23DD0A">
                  <w:pPr>
                    <w:spacing w:before="50" w:after="5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2.5 Hz</w:t>
                  </w:r>
                </w:p>
              </w:tc>
            </w:tr>
            <w:tr w14:paraId="3EE1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6FCC49BA">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镇痛</w:t>
                  </w:r>
                </w:p>
              </w:tc>
              <w:tc>
                <w:tcPr>
                  <w:tcW w:w="5220" w:type="dxa"/>
                  <w:noWrap w:val="0"/>
                  <w:vAlign w:val="top"/>
                </w:tcPr>
                <w:p w14:paraId="098293C8">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需要镇痛的患者在</w:t>
                  </w:r>
                  <w:r>
                    <w:rPr>
                      <w:rFonts w:hint="eastAsia" w:ascii="仿宋" w:hAnsi="仿宋" w:eastAsia="仿宋" w:cs="仿宋"/>
                      <w:sz w:val="24"/>
                      <w:szCs w:val="24"/>
                      <w:highlight w:val="none"/>
                      <w:lang w:eastAsia="zh-CN"/>
                    </w:rPr>
                    <w:t>导师</w:t>
                  </w:r>
                  <w:r>
                    <w:rPr>
                      <w:rFonts w:hint="eastAsia" w:ascii="仿宋" w:hAnsi="仿宋" w:eastAsia="仿宋" w:cs="仿宋"/>
                      <w:sz w:val="24"/>
                      <w:szCs w:val="24"/>
                      <w:highlight w:val="none"/>
                    </w:rPr>
                    <w:t>指导下使用此模式</w:t>
                  </w:r>
                </w:p>
              </w:tc>
              <w:tc>
                <w:tcPr>
                  <w:tcW w:w="1260" w:type="dxa"/>
                  <w:noWrap w:val="0"/>
                  <w:vAlign w:val="top"/>
                </w:tcPr>
                <w:p w14:paraId="54DED17B">
                  <w:pPr>
                    <w:spacing w:before="50" w:after="5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 Hz</w:t>
                  </w:r>
                </w:p>
              </w:tc>
            </w:tr>
            <w:tr w14:paraId="2A23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5E11D17">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尿潴留</w:t>
                  </w:r>
                </w:p>
              </w:tc>
              <w:tc>
                <w:tcPr>
                  <w:tcW w:w="5220" w:type="dxa"/>
                  <w:noWrap w:val="0"/>
                  <w:vAlign w:val="top"/>
                </w:tcPr>
                <w:p w14:paraId="7F33D257">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尿潴留患者在</w:t>
                  </w:r>
                  <w:r>
                    <w:rPr>
                      <w:rFonts w:hint="eastAsia" w:ascii="仿宋" w:hAnsi="仿宋" w:eastAsia="仿宋" w:cs="仿宋"/>
                      <w:sz w:val="24"/>
                      <w:szCs w:val="24"/>
                      <w:highlight w:val="none"/>
                      <w:lang w:eastAsia="zh-CN"/>
                    </w:rPr>
                    <w:t>导师</w:t>
                  </w:r>
                  <w:r>
                    <w:rPr>
                      <w:rFonts w:hint="eastAsia" w:ascii="仿宋" w:hAnsi="仿宋" w:eastAsia="仿宋" w:cs="仿宋"/>
                      <w:sz w:val="24"/>
                      <w:szCs w:val="24"/>
                      <w:highlight w:val="none"/>
                    </w:rPr>
                    <w:t>指导下使用此模式</w:t>
                  </w:r>
                </w:p>
              </w:tc>
              <w:tc>
                <w:tcPr>
                  <w:tcW w:w="1260" w:type="dxa"/>
                  <w:noWrap w:val="0"/>
                  <w:vAlign w:val="top"/>
                </w:tcPr>
                <w:p w14:paraId="3D3CDAC5">
                  <w:pPr>
                    <w:spacing w:before="50" w:after="5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0.8Hz</w:t>
                  </w:r>
                </w:p>
              </w:tc>
            </w:tr>
            <w:tr w14:paraId="531D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01C6501E">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术后恢复</w:t>
                  </w:r>
                </w:p>
              </w:tc>
              <w:tc>
                <w:tcPr>
                  <w:tcW w:w="5220" w:type="dxa"/>
                  <w:noWrap w:val="0"/>
                  <w:vAlign w:val="top"/>
                </w:tcPr>
                <w:p w14:paraId="1C32A8E0">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手术后恢复患者在</w:t>
                  </w:r>
                  <w:r>
                    <w:rPr>
                      <w:rFonts w:hint="eastAsia" w:ascii="仿宋" w:hAnsi="仿宋" w:eastAsia="仿宋" w:cs="仿宋"/>
                      <w:sz w:val="24"/>
                      <w:szCs w:val="24"/>
                      <w:highlight w:val="none"/>
                      <w:lang w:eastAsia="zh-CN"/>
                    </w:rPr>
                    <w:t>导师</w:t>
                  </w:r>
                  <w:r>
                    <w:rPr>
                      <w:rFonts w:hint="eastAsia" w:ascii="仿宋" w:hAnsi="仿宋" w:eastAsia="仿宋" w:cs="仿宋"/>
                      <w:sz w:val="24"/>
                      <w:szCs w:val="24"/>
                      <w:highlight w:val="none"/>
                    </w:rPr>
                    <w:t>指导下使用此模式</w:t>
                  </w:r>
                </w:p>
              </w:tc>
              <w:tc>
                <w:tcPr>
                  <w:tcW w:w="1260" w:type="dxa"/>
                  <w:noWrap w:val="0"/>
                  <w:vAlign w:val="top"/>
                </w:tcPr>
                <w:p w14:paraId="49A5B0F2">
                  <w:pPr>
                    <w:spacing w:before="50" w:after="5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0.8Hz</w:t>
                  </w:r>
                </w:p>
              </w:tc>
            </w:tr>
            <w:tr w14:paraId="34AA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236FE474">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术后促恢复</w:t>
                  </w:r>
                </w:p>
              </w:tc>
              <w:tc>
                <w:tcPr>
                  <w:tcW w:w="5220" w:type="dxa"/>
                  <w:noWrap w:val="0"/>
                  <w:vAlign w:val="top"/>
                </w:tcPr>
                <w:p w14:paraId="4FC403AE">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术后肠麻痹患者在</w:t>
                  </w:r>
                  <w:r>
                    <w:rPr>
                      <w:rFonts w:hint="eastAsia" w:ascii="仿宋" w:hAnsi="仿宋" w:eastAsia="仿宋" w:cs="仿宋"/>
                      <w:sz w:val="24"/>
                      <w:szCs w:val="24"/>
                      <w:highlight w:val="none"/>
                      <w:lang w:eastAsia="zh-CN"/>
                    </w:rPr>
                    <w:t>导师</w:t>
                  </w:r>
                  <w:r>
                    <w:rPr>
                      <w:rFonts w:hint="eastAsia" w:ascii="仿宋" w:hAnsi="仿宋" w:eastAsia="仿宋" w:cs="仿宋"/>
                      <w:sz w:val="24"/>
                      <w:szCs w:val="24"/>
                      <w:highlight w:val="none"/>
                    </w:rPr>
                    <w:t>指导下使用此模式</w:t>
                  </w:r>
                </w:p>
              </w:tc>
              <w:tc>
                <w:tcPr>
                  <w:tcW w:w="1260" w:type="dxa"/>
                  <w:noWrap w:val="0"/>
                  <w:vAlign w:val="top"/>
                </w:tcPr>
                <w:p w14:paraId="2E8A84DB">
                  <w:pPr>
                    <w:spacing w:before="50" w:after="5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2.5Hz</w:t>
                  </w:r>
                </w:p>
              </w:tc>
            </w:tr>
            <w:tr w14:paraId="4207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BE9BAB9">
                  <w:pPr>
                    <w:spacing w:before="50" w:after="50"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乳腺</w:t>
                  </w:r>
                  <w:r>
                    <w:rPr>
                      <w:rFonts w:hint="eastAsia" w:ascii="仿宋" w:hAnsi="仿宋" w:eastAsia="仿宋" w:cs="仿宋"/>
                      <w:sz w:val="24"/>
                      <w:szCs w:val="24"/>
                      <w:highlight w:val="none"/>
                      <w:lang w:eastAsia="zh-CN"/>
                    </w:rPr>
                    <w:t>理疗</w:t>
                  </w:r>
                </w:p>
              </w:tc>
              <w:tc>
                <w:tcPr>
                  <w:tcW w:w="5220" w:type="dxa"/>
                  <w:noWrap w:val="0"/>
                  <w:vAlign w:val="top"/>
                </w:tcPr>
                <w:p w14:paraId="59F100EA">
                  <w:pPr>
                    <w:spacing w:before="50" w:after="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乳腺增生、乳痛症辅助</w:t>
                  </w:r>
                  <w:r>
                    <w:rPr>
                      <w:rFonts w:hint="eastAsia" w:ascii="仿宋" w:hAnsi="仿宋" w:eastAsia="仿宋" w:cs="仿宋"/>
                      <w:sz w:val="24"/>
                      <w:szCs w:val="24"/>
                      <w:highlight w:val="none"/>
                      <w:lang w:eastAsia="zh-CN"/>
                    </w:rPr>
                    <w:t>理疗</w:t>
                  </w:r>
                  <w:r>
                    <w:rPr>
                      <w:rFonts w:hint="eastAsia" w:ascii="仿宋" w:hAnsi="仿宋" w:eastAsia="仿宋" w:cs="仿宋"/>
                      <w:sz w:val="24"/>
                      <w:szCs w:val="24"/>
                      <w:highlight w:val="none"/>
                    </w:rPr>
                    <w:t>使用此模式</w:t>
                  </w:r>
                </w:p>
              </w:tc>
              <w:tc>
                <w:tcPr>
                  <w:tcW w:w="1260" w:type="dxa"/>
                  <w:noWrap w:val="0"/>
                  <w:vAlign w:val="top"/>
                </w:tcPr>
                <w:p w14:paraId="1041DE2F">
                  <w:pPr>
                    <w:spacing w:before="50" w:after="5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2.5Hz</w:t>
                  </w:r>
                </w:p>
              </w:tc>
            </w:tr>
          </w:tbl>
          <w:p w14:paraId="2BBBB682">
            <w:pPr>
              <w:widowControl/>
              <w:numPr>
                <w:ilvl w:val="0"/>
                <w:numId w:val="0"/>
              </w:numPr>
              <w:spacing w:line="480" w:lineRule="exact"/>
              <w:ind w:left="420" w:leftChars="0" w:firstLine="240" w:firstLineChars="100"/>
              <w:jc w:val="left"/>
              <w:rPr>
                <w:rFonts w:hint="eastAsia" w:ascii="仿宋" w:hAnsi="仿宋" w:eastAsia="仿宋" w:cs="仿宋"/>
                <w:kern w:val="0"/>
                <w:sz w:val="24"/>
                <w:szCs w:val="24"/>
                <w:highlight w:val="none"/>
              </w:rPr>
            </w:pPr>
          </w:p>
        </w:tc>
      </w:tr>
      <w:tr w14:paraId="6975E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47A51CE">
            <w:pPr>
              <w:widowControl/>
              <w:numPr>
                <w:ilvl w:val="0"/>
                <w:numId w:val="0"/>
              </w:numPr>
              <w:spacing w:line="360" w:lineRule="auto"/>
              <w:ind w:left="420" w:leftChars="0" w:firstLine="480" w:firstLineChars="200"/>
              <w:jc w:val="left"/>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rPr>
              <w:t>2.3</w:t>
            </w:r>
            <w:r>
              <w:rPr>
                <w:rFonts w:hint="eastAsia" w:ascii="仿宋" w:hAnsi="仿宋" w:eastAsia="仿宋" w:cs="仿宋"/>
                <w:color w:val="000000"/>
                <w:kern w:val="0"/>
                <w:sz w:val="24"/>
                <w:szCs w:val="24"/>
                <w:highlight w:val="none"/>
                <w:lang w:eastAsia="zh-CN"/>
              </w:rPr>
              <w:t>、理疗</w:t>
            </w:r>
            <w:r>
              <w:rPr>
                <w:rFonts w:hint="eastAsia" w:ascii="仿宋" w:hAnsi="仿宋" w:eastAsia="仿宋" w:cs="仿宋"/>
                <w:color w:val="000000"/>
                <w:kern w:val="0"/>
                <w:sz w:val="24"/>
                <w:szCs w:val="24"/>
                <w:highlight w:val="none"/>
              </w:rPr>
              <w:t>模式要求以及</w:t>
            </w:r>
            <w:r>
              <w:rPr>
                <w:rFonts w:hint="eastAsia" w:ascii="仿宋" w:hAnsi="仿宋" w:eastAsia="仿宋" w:cs="仿宋"/>
                <w:color w:val="000000"/>
                <w:kern w:val="0"/>
                <w:sz w:val="24"/>
                <w:szCs w:val="24"/>
                <w:highlight w:val="none"/>
                <w:lang w:eastAsia="zh-CN"/>
              </w:rPr>
              <w:t>理疗</w:t>
            </w:r>
            <w:r>
              <w:rPr>
                <w:rFonts w:hint="eastAsia" w:ascii="仿宋" w:hAnsi="仿宋" w:eastAsia="仿宋" w:cs="仿宋"/>
                <w:color w:val="000000"/>
                <w:kern w:val="0"/>
                <w:sz w:val="24"/>
                <w:szCs w:val="24"/>
                <w:highlight w:val="none"/>
              </w:rPr>
              <w:t>强度要求患者应在</w:t>
            </w:r>
            <w:r>
              <w:rPr>
                <w:rFonts w:hint="eastAsia" w:ascii="仿宋" w:hAnsi="仿宋" w:eastAsia="仿宋" w:cs="仿宋"/>
                <w:color w:val="000000"/>
                <w:kern w:val="0"/>
                <w:sz w:val="24"/>
                <w:szCs w:val="24"/>
                <w:highlight w:val="none"/>
                <w:lang w:eastAsia="zh-CN"/>
              </w:rPr>
              <w:t>导师</w:t>
            </w:r>
            <w:r>
              <w:rPr>
                <w:rFonts w:hint="eastAsia" w:ascii="仿宋" w:hAnsi="仿宋" w:eastAsia="仿宋" w:cs="仿宋"/>
                <w:color w:val="000000"/>
                <w:kern w:val="0"/>
                <w:sz w:val="24"/>
                <w:szCs w:val="24"/>
                <w:highlight w:val="none"/>
              </w:rPr>
              <w:t>的指导下使用对应病情的</w:t>
            </w:r>
            <w:r>
              <w:rPr>
                <w:rFonts w:hint="eastAsia" w:ascii="仿宋" w:hAnsi="仿宋" w:eastAsia="仿宋" w:cs="仿宋"/>
                <w:color w:val="000000"/>
                <w:kern w:val="0"/>
                <w:sz w:val="24"/>
                <w:szCs w:val="24"/>
                <w:highlight w:val="none"/>
                <w:lang w:eastAsia="zh-CN"/>
              </w:rPr>
              <w:t>理疗</w:t>
            </w:r>
            <w:r>
              <w:rPr>
                <w:rFonts w:hint="eastAsia" w:ascii="仿宋" w:hAnsi="仿宋" w:eastAsia="仿宋" w:cs="仿宋"/>
                <w:color w:val="000000"/>
                <w:kern w:val="0"/>
                <w:sz w:val="24"/>
                <w:szCs w:val="24"/>
                <w:highlight w:val="none"/>
              </w:rPr>
              <w:t>模式，初次</w:t>
            </w:r>
            <w:r>
              <w:rPr>
                <w:rFonts w:hint="eastAsia" w:ascii="仿宋" w:hAnsi="仿宋" w:eastAsia="仿宋" w:cs="仿宋"/>
                <w:color w:val="000000"/>
                <w:kern w:val="0"/>
                <w:sz w:val="24"/>
                <w:szCs w:val="24"/>
                <w:highlight w:val="none"/>
                <w:lang w:eastAsia="zh-CN"/>
              </w:rPr>
              <w:t>理疗</w:t>
            </w:r>
            <w:r>
              <w:rPr>
                <w:rFonts w:hint="eastAsia" w:ascii="仿宋" w:hAnsi="仿宋" w:eastAsia="仿宋" w:cs="仿宋"/>
                <w:color w:val="000000"/>
                <w:kern w:val="0"/>
                <w:sz w:val="24"/>
                <w:szCs w:val="24"/>
                <w:highlight w:val="none"/>
              </w:rPr>
              <w:t>时</w:t>
            </w:r>
            <w:r>
              <w:rPr>
                <w:rFonts w:hint="eastAsia" w:ascii="仿宋" w:hAnsi="仿宋" w:eastAsia="仿宋" w:cs="仿宋"/>
                <w:color w:val="000000"/>
                <w:kern w:val="0"/>
                <w:sz w:val="24"/>
                <w:szCs w:val="24"/>
                <w:highlight w:val="none"/>
                <w:lang w:eastAsia="zh-CN"/>
              </w:rPr>
              <w:t>理疗</w:t>
            </w:r>
            <w:r>
              <w:rPr>
                <w:rFonts w:hint="eastAsia" w:ascii="仿宋" w:hAnsi="仿宋" w:eastAsia="仿宋" w:cs="仿宋"/>
                <w:color w:val="000000"/>
                <w:kern w:val="0"/>
                <w:sz w:val="24"/>
                <w:szCs w:val="24"/>
                <w:highlight w:val="none"/>
              </w:rPr>
              <w:t>时间应控制在20分钟以内，再次</w:t>
            </w:r>
            <w:r>
              <w:rPr>
                <w:rFonts w:hint="eastAsia" w:ascii="仿宋" w:hAnsi="仿宋" w:eastAsia="仿宋" w:cs="仿宋"/>
                <w:color w:val="000000"/>
                <w:kern w:val="0"/>
                <w:sz w:val="24"/>
                <w:szCs w:val="24"/>
                <w:highlight w:val="none"/>
                <w:lang w:eastAsia="zh-CN"/>
              </w:rPr>
              <w:t>理疗</w:t>
            </w:r>
            <w:r>
              <w:rPr>
                <w:rFonts w:hint="eastAsia" w:ascii="仿宋" w:hAnsi="仿宋" w:eastAsia="仿宋" w:cs="仿宋"/>
                <w:color w:val="000000"/>
                <w:kern w:val="0"/>
                <w:sz w:val="24"/>
                <w:szCs w:val="24"/>
                <w:highlight w:val="none"/>
              </w:rPr>
              <w:t>时时间可根据患者的承受能力慢慢增加；由于因人而异，调节强度值应以患者舒适度为准。</w:t>
            </w:r>
          </w:p>
        </w:tc>
      </w:tr>
      <w:tr w14:paraId="55572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4192768">
            <w:pPr>
              <w:keepLines/>
              <w:widowControl/>
              <w:numPr>
                <w:ilvl w:val="0"/>
                <w:numId w:val="0"/>
              </w:numPr>
              <w:spacing w:before="50" w:after="50" w:line="288" w:lineRule="auto"/>
              <w:ind w:left="420" w:leftChars="0" w:firstLine="480" w:firstLineChars="200"/>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时间设定：10min、15min、20min、25min、30min可调；</w:t>
            </w:r>
          </w:p>
        </w:tc>
      </w:tr>
      <w:tr w14:paraId="23C40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8351904">
            <w:pPr>
              <w:keepLines/>
              <w:widowControl/>
              <w:numPr>
                <w:ilvl w:val="0"/>
                <w:numId w:val="0"/>
              </w:numPr>
              <w:spacing w:before="50" w:after="50" w:line="288" w:lineRule="auto"/>
              <w:ind w:left="420" w:leftChars="0" w:firstLine="480" w:firstLineChars="200"/>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功能选择键：可选择相应输出模式。</w:t>
            </w:r>
          </w:p>
        </w:tc>
      </w:tr>
      <w:tr w14:paraId="3E68B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0DAE6C0">
            <w:pPr>
              <w:widowControl/>
              <w:numPr>
                <w:ilvl w:val="0"/>
                <w:numId w:val="0"/>
              </w:numPr>
              <w:spacing w:before="156" w:beforeLines="50" w:line="480" w:lineRule="exact"/>
              <w:ind w:left="0" w:leftChars="0" w:firstLine="241" w:firstLineChars="100"/>
              <w:jc w:val="left"/>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eastAsia="zh-CN"/>
              </w:rPr>
              <w:t>（二）、盆地刺激反馈仪参数：</w:t>
            </w:r>
          </w:p>
        </w:tc>
      </w:tr>
      <w:tr w14:paraId="22CC2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6354352">
            <w:pPr>
              <w:widowControl/>
              <w:numPr>
                <w:ilvl w:val="0"/>
                <w:numId w:val="0"/>
              </w:numPr>
              <w:spacing w:line="480" w:lineRule="exact"/>
              <w:ind w:left="241" w:leftChars="0" w:hanging="241" w:hangingChars="100"/>
              <w:jc w:val="left"/>
              <w:rPr>
                <w:rFonts w:hint="eastAsia" w:ascii="仿宋" w:hAnsi="仿宋" w:eastAsia="仿宋" w:cs="仿宋"/>
                <w:kern w:val="0"/>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反馈阈值应为：6uV-999uV；在中心频点120Hz测量时误差应不大于标称值的±10%；</w:t>
            </w:r>
          </w:p>
        </w:tc>
      </w:tr>
      <w:tr w14:paraId="10653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71E9108">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在的输入端叠加一组幅值为100μV（峰-谷值）的工频正弦信号时，反馈指示不应改变；</w:t>
            </w:r>
          </w:p>
        </w:tc>
      </w:tr>
      <w:tr w14:paraId="6B2A5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F7470F6">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示值准确度：误差不大于±10%或±2μV，两者取较大值；</w:t>
            </w:r>
          </w:p>
        </w:tc>
      </w:tr>
      <w:tr w14:paraId="174C2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467F8265">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分辨率（测试灵敏度）：小于0.2μV（r.m.s）；</w:t>
            </w:r>
          </w:p>
        </w:tc>
      </w:tr>
      <w:tr w14:paraId="7F251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1DF64939">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系统噪声：小于1μV（r.m.s）；</w:t>
            </w:r>
          </w:p>
        </w:tc>
      </w:tr>
      <w:tr w14:paraId="07C14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65876F5">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通频带：仪器的通频带应不窄于20Hz～500Hz（-3dB），不包括陷波波段；</w:t>
            </w:r>
          </w:p>
        </w:tc>
      </w:tr>
      <w:tr w14:paraId="32D96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762CB71">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差模输入阻抗：大于5MΩ。</w:t>
            </w:r>
          </w:p>
        </w:tc>
      </w:tr>
      <w:tr w14:paraId="3E40D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0FD206C">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共模抑制比：大于100dB；</w:t>
            </w:r>
          </w:p>
        </w:tc>
      </w:tr>
      <w:tr w14:paraId="71DEE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6FCAAFC4">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仪器应有50Hz陷波滤波器，衰减后幅值应不大于5μV（峰-谷值）；</w:t>
            </w:r>
          </w:p>
        </w:tc>
      </w:tr>
      <w:tr w14:paraId="16A2C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7A851875">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肌电图/电位图：可以切换采集信号的肌电图、电位图显示模式；同时在采集信号窗口的下方可以显示采集信号的实时值、平均值、最大值、最小值；</w:t>
            </w:r>
          </w:p>
        </w:tc>
      </w:tr>
      <w:tr w14:paraId="6EDE5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3AE3D2C2">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暂停扫描：软件开启后默认对肌电信号进行扫描，此键可以暂停信号扫描；</w:t>
            </w:r>
          </w:p>
        </w:tc>
      </w:tr>
      <w:tr w14:paraId="7B972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vAlign w:val="top"/>
          </w:tcPr>
          <w:p w14:paraId="532D410B">
            <w:pPr>
              <w:widowControl/>
              <w:numPr>
                <w:ilvl w:val="0"/>
                <w:numId w:val="0"/>
              </w:numPr>
              <w:spacing w:line="4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评估模式：能对采集的患者的肌电信号进行评估分析、出具报告；</w:t>
            </w:r>
          </w:p>
        </w:tc>
      </w:tr>
      <w:tr w14:paraId="22719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9040" w:type="dxa"/>
            <w:tcBorders>
              <w:top w:val="single" w:color="auto" w:sz="4" w:space="0"/>
              <w:bottom w:val="single" w:color="auto" w:sz="4" w:space="0"/>
            </w:tcBorders>
            <w:shd w:val="clear" w:color="auto" w:fill="auto"/>
            <w:vAlign w:val="top"/>
          </w:tcPr>
          <w:p w14:paraId="44770892">
            <w:pPr>
              <w:widowControl/>
              <w:numPr>
                <w:ilvl w:val="0"/>
                <w:numId w:val="0"/>
              </w:numPr>
              <w:spacing w:line="40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报告输出：在进行完评估模式后，点击报告输出，即可对之前所做的评估进行输出报告；</w:t>
            </w:r>
          </w:p>
        </w:tc>
      </w:tr>
      <w:tr w14:paraId="20378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0" w:type="auto"/>
            <w:shd w:val="clear" w:color="auto" w:fill="auto"/>
            <w:vAlign w:val="top"/>
          </w:tcPr>
          <w:p w14:paraId="6B9B1615">
            <w:pPr>
              <w:widowControl/>
              <w:numPr>
                <w:ilvl w:val="0"/>
                <w:numId w:val="0"/>
              </w:numPr>
              <w:spacing w:line="40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病历管理：可以对之前存储的病例信息进行查阅、管理；</w:t>
            </w:r>
          </w:p>
        </w:tc>
      </w:tr>
      <w:tr w14:paraId="7970A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0" w:type="auto"/>
            <w:shd w:val="clear" w:color="auto" w:fill="auto"/>
            <w:vAlign w:val="top"/>
          </w:tcPr>
          <w:p w14:paraId="746DF704">
            <w:pPr>
              <w:widowControl/>
              <w:numPr>
                <w:ilvl w:val="0"/>
                <w:numId w:val="0"/>
              </w:numPr>
              <w:spacing w:line="40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电刺激的技术参数要求：在额定500Ω的负载电阻进行测量时，满足以下指标：</w:t>
            </w:r>
          </w:p>
        </w:tc>
      </w:tr>
      <w:tr w14:paraId="129F7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0" w:type="auto"/>
            <w:shd w:val="clear" w:color="auto" w:fill="auto"/>
            <w:vAlign w:val="top"/>
          </w:tcPr>
          <w:p w14:paraId="1D1BC9DB">
            <w:pPr>
              <w:widowControl/>
              <w:numPr>
                <w:ilvl w:val="0"/>
                <w:numId w:val="0"/>
              </w:numPr>
              <w:spacing w:line="40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电脉冲的输出频率应在1–79Hz之间可调；</w:t>
            </w:r>
          </w:p>
        </w:tc>
      </w:tr>
      <w:tr w14:paraId="3EFF7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0" w:type="auto"/>
            <w:shd w:val="clear" w:color="auto" w:fill="auto"/>
            <w:vAlign w:val="top"/>
          </w:tcPr>
          <w:p w14:paraId="21398A31">
            <w:pPr>
              <w:widowControl/>
              <w:numPr>
                <w:ilvl w:val="0"/>
                <w:numId w:val="0"/>
              </w:numPr>
              <w:spacing w:line="40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电脉冲的输出脉冲宽度：0.16±0.04ms；</w:t>
            </w:r>
          </w:p>
        </w:tc>
      </w:tr>
      <w:tr w14:paraId="64F36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0" w:type="auto"/>
            <w:shd w:val="clear" w:color="auto" w:fill="auto"/>
            <w:vAlign w:val="top"/>
          </w:tcPr>
          <w:p w14:paraId="1BA73373">
            <w:pPr>
              <w:widowControl/>
              <w:numPr>
                <w:ilvl w:val="0"/>
                <w:numId w:val="0"/>
              </w:numPr>
              <w:spacing w:line="40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电脉冲输出脉冲幅度即单个脉冲的最大值为：26V（ 1-99级连续可调），其最小输出设定值，必须不超过最大设定值的2%；</w:t>
            </w:r>
          </w:p>
        </w:tc>
      </w:tr>
      <w:tr w14:paraId="3B094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0" w:type="auto"/>
            <w:shd w:val="clear" w:color="auto" w:fill="auto"/>
            <w:vAlign w:val="top"/>
          </w:tcPr>
          <w:p w14:paraId="586460CE">
            <w:pPr>
              <w:widowControl/>
              <w:numPr>
                <w:ilvl w:val="0"/>
                <w:numId w:val="0"/>
              </w:numPr>
              <w:spacing w:line="40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直流分量为0。</w:t>
            </w:r>
          </w:p>
        </w:tc>
      </w:tr>
      <w:tr w14:paraId="0884A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0" w:type="auto"/>
            <w:shd w:val="clear" w:color="auto" w:fill="auto"/>
            <w:vAlign w:val="top"/>
          </w:tcPr>
          <w:p w14:paraId="0BE67780">
            <w:pPr>
              <w:widowControl/>
              <w:numPr>
                <w:ilvl w:val="0"/>
                <w:numId w:val="0"/>
              </w:numPr>
              <w:spacing w:line="40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负载阻抗对电刺激技术参数的影响：当负载阻抗变化时，电脉冲的输出脉冲宽度、脉冲重复频率偏差不大于±15％；幅度值偏差不大于±30％。</w:t>
            </w:r>
          </w:p>
        </w:tc>
      </w:tr>
      <w:tr w14:paraId="32C36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0" w:type="auto"/>
            <w:shd w:val="clear" w:color="auto" w:fill="auto"/>
            <w:vAlign w:val="top"/>
          </w:tcPr>
          <w:p w14:paraId="02F3D4F6">
            <w:pPr>
              <w:widowControl/>
              <w:numPr>
                <w:ilvl w:val="0"/>
                <w:numId w:val="0"/>
              </w:numPr>
              <w:spacing w:line="40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中心频率：Fm为120HZ；</w:t>
            </w:r>
          </w:p>
        </w:tc>
      </w:tr>
      <w:tr w14:paraId="06866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0" w:type="auto"/>
            <w:shd w:val="clear" w:color="auto" w:fill="auto"/>
            <w:vAlign w:val="top"/>
          </w:tcPr>
          <w:p w14:paraId="6B650E85">
            <w:pPr>
              <w:widowControl/>
              <w:numPr>
                <w:ilvl w:val="0"/>
                <w:numId w:val="0"/>
              </w:numPr>
              <w:spacing w:line="40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测试点：（20Hz，5μV）、（20Hz，初始相应反馈阈）、（20Hz，测试上限）、（FmHz，5μV)、（FmHz，初始相应反馈阈）、（FmHz，测试上限）、（500Hz，5μV）、（500Hz，初始相应反馈阈）、（500Hz，测试上限）</w:t>
            </w:r>
          </w:p>
        </w:tc>
      </w:tr>
      <w:tr w14:paraId="26FB5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0" w:type="auto"/>
            <w:shd w:val="clear" w:color="auto" w:fill="auto"/>
            <w:vAlign w:val="top"/>
          </w:tcPr>
          <w:p w14:paraId="2244E74D">
            <w:pPr>
              <w:widowControl/>
              <w:numPr>
                <w:ilvl w:val="0"/>
                <w:numId w:val="0"/>
              </w:numPr>
              <w:spacing w:line="48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AD采样率：</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2048 Hz，采样位数：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16位。</w:t>
            </w:r>
          </w:p>
        </w:tc>
      </w:tr>
    </w:tbl>
    <w:p w14:paraId="34ED1E24">
      <w:pPr>
        <w:pStyle w:val="13"/>
        <w:spacing w:line="466" w:lineRule="auto"/>
        <w:rPr>
          <w:rFonts w:hint="eastAsia" w:ascii="仿宋" w:hAnsi="仿宋" w:eastAsia="仿宋" w:cs="仿宋"/>
          <w:sz w:val="24"/>
          <w:szCs w:val="24"/>
          <w:highlight w:val="none"/>
        </w:rPr>
      </w:pPr>
    </w:p>
    <w:p w14:paraId="1562A09B">
      <w:pPr>
        <w:rPr>
          <w:rFonts w:hint="eastAsia" w:ascii="仿宋" w:hAnsi="仿宋" w:eastAsia="仿宋" w:cs="仿宋"/>
          <w:sz w:val="24"/>
          <w:szCs w:val="24"/>
          <w:highlight w:val="none"/>
        </w:rPr>
      </w:pPr>
    </w:p>
    <w:p w14:paraId="4EE10999">
      <w:pPr>
        <w:rPr>
          <w:rFonts w:hint="eastAsia" w:ascii="仿宋" w:hAnsi="仿宋" w:eastAsia="仿宋" w:cs="仿宋"/>
          <w:color w:val="auto"/>
          <w:sz w:val="24"/>
          <w:szCs w:val="24"/>
          <w:highlight w:val="none"/>
        </w:rPr>
      </w:pPr>
    </w:p>
    <w:p w14:paraId="6A6A3BCE">
      <w:pPr>
        <w:pStyle w:val="13"/>
        <w:rPr>
          <w:rFonts w:hint="eastAsia" w:ascii="仿宋" w:hAnsi="仿宋" w:eastAsia="仿宋" w:cs="仿宋"/>
          <w:color w:val="auto"/>
          <w:sz w:val="24"/>
          <w:szCs w:val="24"/>
          <w:highlight w:val="none"/>
        </w:rPr>
      </w:pPr>
    </w:p>
    <w:p w14:paraId="39826C2B">
      <w:pPr>
        <w:rPr>
          <w:rFonts w:hint="eastAsia" w:ascii="仿宋" w:hAnsi="仿宋" w:eastAsia="仿宋" w:cs="仿宋"/>
          <w:color w:val="auto"/>
        </w:rPr>
      </w:pPr>
    </w:p>
    <w:p w14:paraId="5ADC6E5C">
      <w:pPr>
        <w:pStyle w:val="13"/>
        <w:rPr>
          <w:rFonts w:hint="eastAsia" w:ascii="仿宋" w:hAnsi="仿宋" w:eastAsia="仿宋" w:cs="仿宋"/>
          <w:color w:val="auto"/>
        </w:rPr>
      </w:pPr>
    </w:p>
    <w:p w14:paraId="72738E37">
      <w:pPr>
        <w:rPr>
          <w:rFonts w:hint="eastAsia" w:ascii="仿宋" w:hAnsi="仿宋" w:eastAsia="仿宋" w:cs="仿宋"/>
          <w:color w:val="auto"/>
        </w:rPr>
      </w:pPr>
    </w:p>
    <w:p w14:paraId="393A6DFD">
      <w:pPr>
        <w:pStyle w:val="13"/>
        <w:rPr>
          <w:rFonts w:hint="eastAsia" w:ascii="仿宋" w:hAnsi="仿宋" w:eastAsia="仿宋" w:cs="仿宋"/>
          <w:color w:val="auto"/>
        </w:rPr>
      </w:pPr>
    </w:p>
    <w:p w14:paraId="38616B64">
      <w:pPr>
        <w:rPr>
          <w:rFonts w:hint="eastAsia" w:ascii="仿宋" w:hAnsi="仿宋" w:eastAsia="仿宋" w:cs="仿宋"/>
          <w:color w:val="auto"/>
        </w:rPr>
      </w:pPr>
    </w:p>
    <w:p w14:paraId="2620B501">
      <w:pPr>
        <w:pStyle w:val="13"/>
        <w:rPr>
          <w:rFonts w:hint="eastAsia" w:ascii="仿宋" w:hAnsi="仿宋" w:eastAsia="仿宋" w:cs="仿宋"/>
          <w:color w:val="auto"/>
        </w:rPr>
      </w:pPr>
    </w:p>
    <w:p w14:paraId="317101C0">
      <w:pPr>
        <w:rPr>
          <w:rFonts w:hint="eastAsia" w:ascii="仿宋" w:hAnsi="仿宋" w:eastAsia="仿宋" w:cs="仿宋"/>
          <w:color w:val="auto"/>
        </w:rPr>
      </w:pPr>
    </w:p>
    <w:p w14:paraId="3BAD4655">
      <w:pPr>
        <w:pStyle w:val="2"/>
        <w:numPr>
          <w:ilvl w:val="0"/>
          <w:numId w:val="0"/>
        </w:numPr>
        <w:spacing w:line="240" w:lineRule="auto"/>
        <w:jc w:val="both"/>
        <w:rPr>
          <w:rFonts w:hint="eastAsia" w:ascii="仿宋" w:hAnsi="仿宋" w:eastAsia="仿宋" w:cs="仿宋"/>
          <w:b/>
          <w:bCs/>
          <w:color w:val="auto"/>
          <w:kern w:val="44"/>
          <w:sz w:val="44"/>
          <w:szCs w:val="44"/>
          <w:lang w:val="en-US" w:eastAsia="zh-CN" w:bidi="ar-SA"/>
        </w:rPr>
      </w:pPr>
      <w:bookmarkStart w:id="65" w:name="_Toc14514"/>
    </w:p>
    <w:p w14:paraId="09284EB9">
      <w:pPr>
        <w:pStyle w:val="2"/>
        <w:numPr>
          <w:ilvl w:val="0"/>
          <w:numId w:val="0"/>
        </w:numPr>
        <w:spacing w:line="240" w:lineRule="auto"/>
        <w:jc w:val="both"/>
        <w:rPr>
          <w:rFonts w:hint="eastAsia" w:ascii="仿宋" w:hAnsi="仿宋" w:eastAsia="仿宋" w:cs="仿宋"/>
          <w:b/>
          <w:bCs/>
          <w:color w:val="auto"/>
          <w:kern w:val="44"/>
          <w:sz w:val="44"/>
          <w:szCs w:val="44"/>
          <w:lang w:val="en-US" w:eastAsia="zh-CN" w:bidi="ar-SA"/>
        </w:rPr>
      </w:pPr>
    </w:p>
    <w:p w14:paraId="426FB5EE">
      <w:pPr>
        <w:pStyle w:val="2"/>
        <w:numPr>
          <w:ilvl w:val="0"/>
          <w:numId w:val="0"/>
        </w:numPr>
        <w:spacing w:line="240" w:lineRule="auto"/>
        <w:jc w:val="both"/>
        <w:rPr>
          <w:rFonts w:hint="eastAsia" w:ascii="仿宋" w:hAnsi="仿宋" w:eastAsia="仿宋" w:cs="仿宋"/>
          <w:b/>
          <w:bCs/>
          <w:color w:val="auto"/>
          <w:kern w:val="44"/>
          <w:sz w:val="44"/>
          <w:szCs w:val="44"/>
          <w:lang w:val="en-US" w:eastAsia="zh-CN" w:bidi="ar-SA"/>
        </w:rPr>
      </w:pPr>
    </w:p>
    <w:p w14:paraId="21C49588">
      <w:pPr>
        <w:pStyle w:val="2"/>
        <w:numPr>
          <w:ilvl w:val="0"/>
          <w:numId w:val="0"/>
        </w:numPr>
        <w:spacing w:line="240" w:lineRule="auto"/>
        <w:jc w:val="both"/>
        <w:rPr>
          <w:rFonts w:hint="eastAsia" w:ascii="仿宋" w:hAnsi="仿宋" w:eastAsia="仿宋" w:cs="仿宋"/>
          <w:b/>
          <w:bCs/>
          <w:color w:val="auto"/>
          <w:kern w:val="44"/>
          <w:sz w:val="44"/>
          <w:szCs w:val="44"/>
          <w:lang w:val="en-US" w:eastAsia="zh-CN" w:bidi="ar-SA"/>
        </w:rPr>
      </w:pPr>
    </w:p>
    <w:p w14:paraId="12B5DF63">
      <w:pPr>
        <w:pStyle w:val="2"/>
        <w:numPr>
          <w:ilvl w:val="0"/>
          <w:numId w:val="0"/>
        </w:numPr>
        <w:spacing w:line="240" w:lineRule="auto"/>
        <w:jc w:val="both"/>
        <w:rPr>
          <w:rFonts w:hint="eastAsia" w:ascii="仿宋" w:hAnsi="仿宋" w:eastAsia="仿宋" w:cs="仿宋"/>
          <w:b/>
          <w:bCs/>
          <w:color w:val="auto"/>
          <w:kern w:val="44"/>
          <w:sz w:val="44"/>
          <w:szCs w:val="44"/>
          <w:lang w:val="en-US" w:eastAsia="zh-CN" w:bidi="ar-SA"/>
        </w:rPr>
      </w:pPr>
    </w:p>
    <w:p w14:paraId="01B742A8">
      <w:pPr>
        <w:pStyle w:val="2"/>
        <w:numPr>
          <w:ilvl w:val="0"/>
          <w:numId w:val="0"/>
        </w:numPr>
        <w:spacing w:line="240" w:lineRule="auto"/>
        <w:jc w:val="both"/>
        <w:rPr>
          <w:rFonts w:hint="eastAsia" w:ascii="仿宋" w:hAnsi="仿宋" w:eastAsia="仿宋" w:cs="仿宋"/>
          <w:b/>
          <w:bCs/>
          <w:color w:val="auto"/>
          <w:sz w:val="24"/>
        </w:rPr>
      </w:pPr>
    </w:p>
    <w:bookmarkEnd w:id="65"/>
    <w:p w14:paraId="5B22F5B8">
      <w:pPr>
        <w:snapToGrid w:val="0"/>
        <w:spacing w:line="360" w:lineRule="auto"/>
        <w:ind w:firstLine="420" w:firstLineChars="200"/>
        <w:rPr>
          <w:rFonts w:hint="eastAsia" w:ascii="仿宋" w:hAnsi="仿宋" w:eastAsia="仿宋" w:cs="仿宋"/>
          <w:color w:val="auto"/>
        </w:rPr>
      </w:pPr>
    </w:p>
    <w:p w14:paraId="2E0106C7">
      <w:pPr>
        <w:snapToGrid w:val="0"/>
        <w:spacing w:line="360" w:lineRule="auto"/>
        <w:ind w:firstLine="480" w:firstLineChars="200"/>
        <w:rPr>
          <w:rFonts w:hint="eastAsia" w:ascii="仿宋" w:hAnsi="仿宋" w:eastAsia="仿宋" w:cs="仿宋"/>
          <w:color w:val="auto"/>
          <w:sz w:val="24"/>
        </w:rPr>
      </w:pPr>
    </w:p>
    <w:p w14:paraId="2E59F966">
      <w:pPr>
        <w:pStyle w:val="2"/>
        <w:numPr>
          <w:ilvl w:val="0"/>
          <w:numId w:val="0"/>
        </w:numPr>
        <w:spacing w:line="240" w:lineRule="auto"/>
        <w:jc w:val="center"/>
        <w:rPr>
          <w:rFonts w:hint="eastAsia" w:ascii="仿宋" w:hAnsi="仿宋" w:eastAsia="仿宋" w:cs="仿宋"/>
          <w:color w:val="auto"/>
        </w:rPr>
      </w:pPr>
      <w:bookmarkStart w:id="66" w:name="_Toc26097"/>
      <w:r>
        <w:rPr>
          <w:rFonts w:hint="eastAsia" w:ascii="仿宋" w:hAnsi="仿宋" w:eastAsia="仿宋" w:cs="仿宋"/>
          <w:b/>
          <w:bCs/>
          <w:color w:val="auto"/>
          <w:kern w:val="44"/>
          <w:sz w:val="44"/>
          <w:szCs w:val="44"/>
          <w:lang w:val="en-US" w:eastAsia="zh-CN" w:bidi="ar-SA"/>
        </w:rPr>
        <w:t>第五部分</w:t>
      </w:r>
      <w:r>
        <w:rPr>
          <w:rFonts w:hint="eastAsia" w:ascii="仿宋" w:hAnsi="仿宋" w:eastAsia="仿宋" w:cs="仿宋"/>
          <w:color w:val="auto"/>
        </w:rPr>
        <w:t>评标办法</w:t>
      </w:r>
      <w:bookmarkEnd w:id="66"/>
    </w:p>
    <w:p w14:paraId="09E32E54">
      <w:pPr>
        <w:numPr>
          <w:ilvl w:val="0"/>
          <w:numId w:val="4"/>
        </w:num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 xml:space="preserve"> 评标委员会</w:t>
      </w:r>
    </w:p>
    <w:p w14:paraId="39DFF341">
      <w:pPr>
        <w:numPr>
          <w:ilvl w:val="0"/>
          <w:numId w:val="0"/>
        </w:num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1.1招标机构将按照《中华人民共和国政府采购法》、《中华人民共和国招标投标法》及有关规定组建评标委员会。 </w:t>
      </w:r>
    </w:p>
    <w:p w14:paraId="2930709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1.2评标委员会由招标人代表及有关技术、经济等方面的专家组成。</w:t>
      </w:r>
    </w:p>
    <w:p w14:paraId="5769C50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1.3评标委员会负责评标工作，对投标文件进行审查和评估，并向招标方提交书面评标报告。</w:t>
      </w:r>
    </w:p>
    <w:p w14:paraId="30B3A513">
      <w:pPr>
        <w:snapToGrid w:val="0"/>
        <w:spacing w:line="360" w:lineRule="auto"/>
        <w:rPr>
          <w:rFonts w:hint="eastAsia" w:ascii="仿宋" w:hAnsi="仿宋" w:eastAsia="仿宋" w:cs="仿宋"/>
          <w:b/>
          <w:bCs/>
          <w:color w:val="auto"/>
          <w:sz w:val="24"/>
          <w:u w:val="single"/>
          <w:lang w:eastAsia="zh-CN"/>
        </w:rPr>
      </w:pPr>
      <w:r>
        <w:rPr>
          <w:rFonts w:hint="eastAsia" w:ascii="仿宋" w:hAnsi="仿宋" w:eastAsia="仿宋" w:cs="仿宋"/>
          <w:color w:val="auto"/>
          <w:sz w:val="24"/>
        </w:rPr>
        <w:t>1.4评标方法：</w:t>
      </w:r>
      <w:r>
        <w:rPr>
          <w:rFonts w:hint="eastAsia" w:ascii="仿宋" w:hAnsi="仿宋" w:eastAsia="仿宋" w:cs="仿宋"/>
          <w:b/>
          <w:bCs/>
          <w:color w:val="auto"/>
          <w:sz w:val="24"/>
          <w:u w:val="single"/>
        </w:rPr>
        <w:t>综合评分法。</w:t>
      </w:r>
    </w:p>
    <w:p w14:paraId="17B4315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1.5投标文件的澄清</w:t>
      </w:r>
    </w:p>
    <w:p w14:paraId="2B0D6D7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4A005EFF">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rPr>
        <w:t xml:space="preserve">2. </w:t>
      </w:r>
      <w:r>
        <w:rPr>
          <w:rFonts w:hint="eastAsia" w:ascii="仿宋" w:hAnsi="仿宋" w:eastAsia="仿宋" w:cs="仿宋"/>
          <w:b/>
          <w:bCs/>
          <w:color w:val="auto"/>
          <w:sz w:val="24"/>
          <w:highlight w:val="none"/>
        </w:rPr>
        <w:t xml:space="preserve"> 投标文件的初审（资格审查及符合性检查）</w:t>
      </w:r>
    </w:p>
    <w:p w14:paraId="6E98A942">
      <w:pPr>
        <w:spacing w:line="360" w:lineRule="auto"/>
        <w:ind w:firstLine="480" w:firstLineChars="200"/>
        <w:rPr>
          <w:rFonts w:hint="eastAsia" w:ascii="仿宋" w:hAnsi="仿宋" w:eastAsia="仿宋" w:cs="仿宋"/>
          <w:b w:val="0"/>
          <w:bCs/>
          <w:color w:val="auto"/>
          <w:kern w:val="1"/>
          <w:sz w:val="24"/>
          <w:highlight w:val="none"/>
          <w:lang w:val="en-US" w:eastAsia="zh-CN"/>
        </w:rPr>
      </w:pPr>
      <w:r>
        <w:rPr>
          <w:rFonts w:hint="eastAsia" w:ascii="仿宋" w:hAnsi="仿宋" w:eastAsia="仿宋" w:cs="仿宋"/>
          <w:color w:val="auto"/>
          <w:sz w:val="24"/>
          <w:highlight w:val="none"/>
        </w:rPr>
        <w:t>2.1</w:t>
      </w:r>
      <w:r>
        <w:rPr>
          <w:rFonts w:hint="eastAsia" w:ascii="仿宋" w:hAnsi="仿宋" w:eastAsia="仿宋" w:cs="仿宋"/>
          <w:b w:val="0"/>
          <w:bCs/>
          <w:color w:val="auto"/>
          <w:kern w:val="1"/>
          <w:sz w:val="24"/>
          <w:highlight w:val="none"/>
          <w:lang w:eastAsia="zh-CN"/>
        </w:rPr>
        <w:t>根据</w:t>
      </w:r>
      <w:r>
        <w:rPr>
          <w:rFonts w:hint="eastAsia" w:ascii="仿宋" w:hAnsi="仿宋" w:eastAsia="仿宋" w:cs="仿宋"/>
          <w:b w:val="0"/>
          <w:bCs/>
          <w:color w:val="auto"/>
          <w:kern w:val="1"/>
          <w:sz w:val="24"/>
          <w:highlight w:val="none"/>
          <w:lang w:val="en-US" w:eastAsia="zh-CN"/>
        </w:rPr>
        <w:t>《中华人民共和国政府采购法》第二十三条 ，由采购人或采购人委托的采购代理机构对供应商的资格进行审查，内容如下：</w:t>
      </w:r>
    </w:p>
    <w:p w14:paraId="159FD2F8">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p>
    <w:p w14:paraId="0EC206F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（2）法定代表人或负责人授权书（附法定代表人或负责人身份证复印件）及被授权人身份证；（法定代表人直接参加投标只须提供法定代表人身份证）；</w:t>
      </w:r>
    </w:p>
    <w:p w14:paraId="07960D1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（3）投标人为经销商的应出具医疗器械经营许可证或第二类医疗器械经营备案凭证（投标产品须在其经营范围内</w:t>
      </w:r>
      <w:r>
        <w:rPr>
          <w:rFonts w:hint="eastAsia" w:ascii="仿宋" w:hAnsi="仿宋" w:eastAsia="仿宋" w:cs="仿宋"/>
          <w:color w:val="auto"/>
          <w:spacing w:val="9"/>
          <w:sz w:val="24"/>
          <w:szCs w:val="24"/>
          <w:highlight w:val="none"/>
          <w:lang w:val="en-US" w:eastAsia="zh-CN"/>
        </w:rPr>
        <w:t>）；供应商为制造厂家应出具医疗器械生产许可证（投标产品须在其生产范围内）；</w:t>
      </w:r>
    </w:p>
    <w:p w14:paraId="3E3EDC9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（4）财务状况：提供 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06876641">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（5）税收缴纳证明：提供 2024年1月至今内任意一个月的企业依法交纳税收的完税证明材料，依法免税的单位应提供相关证明材料。</w:t>
      </w:r>
    </w:p>
    <w:p w14:paraId="0E171972">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（6）依法交纳社会保障资金的证明材料：提供社会保障资金缴存单据或社保机构开具的2024年1月至今任意一个月社会保险参保缴费情况证明，依法不需要缴纳社会保障资金的单位应提供相关证明材料；</w:t>
      </w:r>
    </w:p>
    <w:p w14:paraId="4059E64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（7）参加政府采购活动前3年内在经营活动中没有重大违法记录的书面声明；</w:t>
      </w:r>
    </w:p>
    <w:p w14:paraId="79C714D4">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18AAF6AE">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（9）具有履行合同所必需的设备和专业技术能力的书面声明；</w:t>
      </w:r>
    </w:p>
    <w:p w14:paraId="378B6BBE">
      <w:pPr>
        <w:keepNext w:val="0"/>
        <w:keepLines w:val="0"/>
        <w:pageBreakBefore w:val="0"/>
        <w:widowControl/>
        <w:wordWrap/>
        <w:overflowPunct/>
        <w:topLinePunct w:val="0"/>
        <w:bidi w:val="0"/>
        <w:spacing w:line="440" w:lineRule="exact"/>
        <w:ind w:firstLine="474" w:firstLineChars="184"/>
        <w:jc w:val="left"/>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highlight w:val="none"/>
          <w:lang w:val="en-US" w:eastAsia="zh-CN"/>
        </w:rPr>
        <w:t>（10）本项目不接受联合体投标，单位负责人为同一人或者存在直接控股、管理关系的不同供应商，不得参加同一合同项下的政府采购活动。</w:t>
      </w:r>
    </w:p>
    <w:p w14:paraId="6AA3BFD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2.2投标文件符合性审查</w:t>
      </w:r>
    </w:p>
    <w:p w14:paraId="4DDAF115">
      <w:pPr>
        <w:pageBreakBefore w:val="0"/>
        <w:wordWrap/>
        <w:topLinePunct w:val="0"/>
        <w:bidi w:val="0"/>
        <w:spacing w:line="360" w:lineRule="auto"/>
        <w:ind w:firstLine="480" w:firstLineChars="200"/>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依据招标文件的规定，对资格合格者投标文件的完整性、有效性和对招标文件的响应程度进行审查，以确定是否对招标文件的实质性内容做出响应，包含但不限于以下内容：</w:t>
      </w:r>
    </w:p>
    <w:tbl>
      <w:tblPr>
        <w:tblStyle w:val="30"/>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40"/>
        <w:gridCol w:w="8526"/>
      </w:tblGrid>
      <w:tr w14:paraId="500A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5"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EC4207D">
            <w:pPr>
              <w:pageBreakBefore w:val="0"/>
              <w:wordWrap/>
              <w:topLinePunct w:val="0"/>
              <w:bidi w:val="0"/>
              <w:spacing w:line="360" w:lineRule="auto"/>
              <w:jc w:val="center"/>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序号</w:t>
            </w:r>
          </w:p>
        </w:tc>
        <w:tc>
          <w:tcPr>
            <w:tcW w:w="8526" w:type="dxa"/>
            <w:tcBorders>
              <w:top w:val="single" w:color="auto" w:sz="4" w:space="0"/>
              <w:left w:val="single" w:color="auto" w:sz="4" w:space="0"/>
              <w:bottom w:val="single" w:color="auto" w:sz="4" w:space="0"/>
              <w:right w:val="single" w:color="auto" w:sz="4" w:space="0"/>
            </w:tcBorders>
            <w:vAlign w:val="center"/>
          </w:tcPr>
          <w:p w14:paraId="32EE7D3B">
            <w:pPr>
              <w:pageBreakBefore w:val="0"/>
              <w:wordWrap/>
              <w:topLinePunct w:val="0"/>
              <w:bidi w:val="0"/>
              <w:spacing w:line="360" w:lineRule="auto"/>
              <w:jc w:val="center"/>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审查因素</w:t>
            </w:r>
          </w:p>
        </w:tc>
      </w:tr>
      <w:tr w14:paraId="4AAE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jc w:val="center"/>
        </w:trPr>
        <w:tc>
          <w:tcPr>
            <w:tcW w:w="640" w:type="dxa"/>
            <w:tcBorders>
              <w:top w:val="single" w:color="auto" w:sz="4" w:space="0"/>
              <w:left w:val="single" w:color="auto" w:sz="4" w:space="0"/>
              <w:right w:val="single" w:color="auto" w:sz="4" w:space="0"/>
            </w:tcBorders>
            <w:vAlign w:val="center"/>
          </w:tcPr>
          <w:p w14:paraId="4AC7EFFB">
            <w:pPr>
              <w:pageBreakBefore w:val="0"/>
              <w:wordWrap/>
              <w:topLinePunct w:val="0"/>
              <w:bidi w:val="0"/>
              <w:spacing w:line="360" w:lineRule="auto"/>
              <w:jc w:val="center"/>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1</w:t>
            </w:r>
          </w:p>
        </w:tc>
        <w:tc>
          <w:tcPr>
            <w:tcW w:w="8526" w:type="dxa"/>
            <w:tcBorders>
              <w:top w:val="single" w:color="auto" w:sz="4" w:space="0"/>
              <w:left w:val="single" w:color="auto" w:sz="4" w:space="0"/>
              <w:bottom w:val="single" w:color="auto" w:sz="4" w:space="0"/>
              <w:right w:val="single" w:color="auto" w:sz="4" w:space="0"/>
            </w:tcBorders>
            <w:vAlign w:val="center"/>
          </w:tcPr>
          <w:p w14:paraId="261338B1">
            <w:pPr>
              <w:pageBreakBefore w:val="0"/>
              <w:wordWrap/>
              <w:topLinePunct w:val="0"/>
              <w:bidi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Hans"/>
              </w:rPr>
              <w:t>投标文件项目名称、项目编号与招标文件不一致</w:t>
            </w:r>
            <w:r>
              <w:rPr>
                <w:rFonts w:hint="eastAsia" w:ascii="仿宋" w:hAnsi="仿宋" w:eastAsia="仿宋" w:cs="仿宋"/>
                <w:color w:val="auto"/>
                <w:kern w:val="0"/>
                <w:sz w:val="24"/>
                <w:szCs w:val="24"/>
                <w:lang w:val="en-US" w:eastAsia="zh-CN"/>
              </w:rPr>
              <w:t>；</w:t>
            </w:r>
          </w:p>
        </w:tc>
      </w:tr>
      <w:tr w14:paraId="6251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jc w:val="center"/>
        </w:trPr>
        <w:tc>
          <w:tcPr>
            <w:tcW w:w="640" w:type="dxa"/>
            <w:tcBorders>
              <w:top w:val="single" w:color="auto" w:sz="4" w:space="0"/>
              <w:left w:val="single" w:color="auto" w:sz="4" w:space="0"/>
              <w:right w:val="single" w:color="auto" w:sz="4" w:space="0"/>
            </w:tcBorders>
            <w:vAlign w:val="center"/>
          </w:tcPr>
          <w:p w14:paraId="5456EFCB">
            <w:pPr>
              <w:pageBreakBefore w:val="0"/>
              <w:wordWrap/>
              <w:topLinePunct w:val="0"/>
              <w:bidi w:val="0"/>
              <w:spacing w:line="360" w:lineRule="auto"/>
              <w:jc w:val="center"/>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2</w:t>
            </w:r>
          </w:p>
        </w:tc>
        <w:tc>
          <w:tcPr>
            <w:tcW w:w="8526" w:type="dxa"/>
            <w:tcBorders>
              <w:top w:val="single" w:color="auto" w:sz="4" w:space="0"/>
              <w:left w:val="single" w:color="auto" w:sz="4" w:space="0"/>
              <w:bottom w:val="single" w:color="auto" w:sz="4" w:space="0"/>
              <w:right w:val="single" w:color="auto" w:sz="4" w:space="0"/>
            </w:tcBorders>
            <w:vAlign w:val="center"/>
          </w:tcPr>
          <w:p w14:paraId="64F0CFA1">
            <w:pPr>
              <w:pageBreakBefore w:val="0"/>
              <w:wordWrap/>
              <w:topLinePunct w:val="0"/>
              <w:bidi w:val="0"/>
              <w:spacing w:line="36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投标文件无投标人公章、无法定代表人签字或签字人无法定代表人有效授权书的；</w:t>
            </w:r>
          </w:p>
        </w:tc>
      </w:tr>
      <w:tr w14:paraId="440E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jc w:val="center"/>
        </w:trPr>
        <w:tc>
          <w:tcPr>
            <w:tcW w:w="640" w:type="dxa"/>
            <w:tcBorders>
              <w:left w:val="single" w:color="auto" w:sz="4" w:space="0"/>
              <w:right w:val="single" w:color="auto" w:sz="4" w:space="0"/>
            </w:tcBorders>
            <w:vAlign w:val="center"/>
          </w:tcPr>
          <w:p w14:paraId="7531FE5B">
            <w:pPr>
              <w:pageBreakBefore w:val="0"/>
              <w:wordWrap/>
              <w:topLinePunct w:val="0"/>
              <w:bidi w:val="0"/>
              <w:spacing w:line="360" w:lineRule="auto"/>
              <w:jc w:val="center"/>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3</w:t>
            </w:r>
          </w:p>
        </w:tc>
        <w:tc>
          <w:tcPr>
            <w:tcW w:w="8526" w:type="dxa"/>
            <w:tcBorders>
              <w:top w:val="single" w:color="auto" w:sz="4" w:space="0"/>
              <w:left w:val="single" w:color="auto" w:sz="4" w:space="0"/>
              <w:bottom w:val="single" w:color="auto" w:sz="4" w:space="0"/>
              <w:right w:val="single" w:color="auto" w:sz="4" w:space="0"/>
            </w:tcBorders>
            <w:vAlign w:val="center"/>
          </w:tcPr>
          <w:p w14:paraId="1A24329C">
            <w:pPr>
              <w:pageBreakBefore w:val="0"/>
              <w:wordWrap/>
              <w:topLinePunct w:val="0"/>
              <w:bidi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Hans"/>
              </w:rPr>
              <w:t>未出现有多个报价，且未超出招标预算金额</w:t>
            </w:r>
            <w:r>
              <w:rPr>
                <w:rFonts w:hint="eastAsia" w:ascii="仿宋" w:hAnsi="仿宋" w:eastAsia="仿宋" w:cs="仿宋"/>
                <w:color w:val="auto"/>
                <w:kern w:val="0"/>
                <w:sz w:val="24"/>
                <w:szCs w:val="24"/>
                <w:lang w:val="en-US" w:eastAsia="zh-CN"/>
              </w:rPr>
              <w:t>；</w:t>
            </w:r>
          </w:p>
        </w:tc>
      </w:tr>
      <w:tr w14:paraId="2FCC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jc w:val="center"/>
        </w:trPr>
        <w:tc>
          <w:tcPr>
            <w:tcW w:w="640" w:type="dxa"/>
            <w:tcBorders>
              <w:left w:val="single" w:color="auto" w:sz="4" w:space="0"/>
              <w:right w:val="single" w:color="auto" w:sz="4" w:space="0"/>
            </w:tcBorders>
            <w:vAlign w:val="center"/>
          </w:tcPr>
          <w:p w14:paraId="1D40C7B1">
            <w:pPr>
              <w:pageBreakBefore w:val="0"/>
              <w:wordWrap/>
              <w:topLinePunct w:val="0"/>
              <w:bidi w:val="0"/>
              <w:spacing w:line="360" w:lineRule="auto"/>
              <w:jc w:val="center"/>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4</w:t>
            </w:r>
          </w:p>
        </w:tc>
        <w:tc>
          <w:tcPr>
            <w:tcW w:w="8526" w:type="dxa"/>
            <w:tcBorders>
              <w:top w:val="single" w:color="auto" w:sz="4" w:space="0"/>
              <w:left w:val="single" w:color="auto" w:sz="4" w:space="0"/>
              <w:bottom w:val="single" w:color="auto" w:sz="4" w:space="0"/>
              <w:right w:val="single" w:color="auto" w:sz="4" w:space="0"/>
            </w:tcBorders>
            <w:vAlign w:val="center"/>
          </w:tcPr>
          <w:p w14:paraId="54154450">
            <w:pPr>
              <w:pageBreakBefore w:val="0"/>
              <w:wordWrap/>
              <w:topLinePunct w:val="0"/>
              <w:bidi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Hans"/>
              </w:rPr>
              <w:t>交货期不符合招标文件要求</w:t>
            </w:r>
            <w:r>
              <w:rPr>
                <w:rFonts w:hint="eastAsia" w:ascii="仿宋" w:hAnsi="仿宋" w:eastAsia="仿宋" w:cs="仿宋"/>
                <w:color w:val="auto"/>
                <w:kern w:val="0"/>
                <w:sz w:val="24"/>
                <w:szCs w:val="24"/>
                <w:lang w:val="en-US" w:eastAsia="zh-CN"/>
              </w:rPr>
              <w:t>；</w:t>
            </w:r>
          </w:p>
        </w:tc>
      </w:tr>
      <w:tr w14:paraId="12ED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atLeast"/>
          <w:jc w:val="center"/>
        </w:trPr>
        <w:tc>
          <w:tcPr>
            <w:tcW w:w="640" w:type="dxa"/>
            <w:tcBorders>
              <w:left w:val="single" w:color="auto" w:sz="4" w:space="0"/>
              <w:right w:val="single" w:color="auto" w:sz="4" w:space="0"/>
            </w:tcBorders>
            <w:vAlign w:val="center"/>
          </w:tcPr>
          <w:p w14:paraId="2F6786B6">
            <w:pPr>
              <w:pageBreakBefore w:val="0"/>
              <w:wordWrap/>
              <w:topLinePunct w:val="0"/>
              <w:bidi w:val="0"/>
              <w:spacing w:line="360" w:lineRule="auto"/>
              <w:jc w:val="center"/>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5</w:t>
            </w:r>
          </w:p>
        </w:tc>
        <w:tc>
          <w:tcPr>
            <w:tcW w:w="8526" w:type="dxa"/>
            <w:tcBorders>
              <w:top w:val="single" w:color="auto" w:sz="4" w:space="0"/>
              <w:left w:val="single" w:color="auto" w:sz="4" w:space="0"/>
              <w:bottom w:val="single" w:color="auto" w:sz="4" w:space="0"/>
              <w:right w:val="single" w:color="auto" w:sz="4" w:space="0"/>
            </w:tcBorders>
            <w:vAlign w:val="center"/>
          </w:tcPr>
          <w:p w14:paraId="0BA6C832">
            <w:pPr>
              <w:pageBreakBefore w:val="0"/>
              <w:wordWrap/>
              <w:topLinePunct w:val="0"/>
              <w:bidi w:val="0"/>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Hans"/>
              </w:rPr>
              <w:t>投标有效期不符合招标文件要求</w:t>
            </w:r>
            <w:r>
              <w:rPr>
                <w:rFonts w:hint="eastAsia" w:ascii="仿宋" w:hAnsi="仿宋" w:eastAsia="仿宋" w:cs="仿宋"/>
                <w:color w:val="auto"/>
                <w:kern w:val="0"/>
                <w:sz w:val="24"/>
                <w:szCs w:val="24"/>
                <w:lang w:val="en-US" w:eastAsia="zh-CN"/>
              </w:rPr>
              <w:t>；</w:t>
            </w:r>
          </w:p>
        </w:tc>
      </w:tr>
      <w:tr w14:paraId="58AA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7" w:hRule="atLeast"/>
          <w:jc w:val="center"/>
        </w:trPr>
        <w:tc>
          <w:tcPr>
            <w:tcW w:w="640" w:type="dxa"/>
            <w:tcBorders>
              <w:left w:val="single" w:color="auto" w:sz="4" w:space="0"/>
              <w:right w:val="single" w:color="auto" w:sz="4" w:space="0"/>
            </w:tcBorders>
            <w:vAlign w:val="center"/>
          </w:tcPr>
          <w:p w14:paraId="536F190F">
            <w:pPr>
              <w:pageBreakBefore w:val="0"/>
              <w:wordWrap/>
              <w:topLinePunct w:val="0"/>
              <w:bidi w:val="0"/>
              <w:spacing w:line="360" w:lineRule="auto"/>
              <w:jc w:val="center"/>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6</w:t>
            </w:r>
          </w:p>
        </w:tc>
        <w:tc>
          <w:tcPr>
            <w:tcW w:w="8526" w:type="dxa"/>
            <w:tcBorders>
              <w:top w:val="single" w:color="auto" w:sz="4" w:space="0"/>
              <w:left w:val="single" w:color="auto" w:sz="4" w:space="0"/>
              <w:bottom w:val="single" w:color="auto" w:sz="4" w:space="0"/>
              <w:right w:val="single" w:color="auto" w:sz="4" w:space="0"/>
            </w:tcBorders>
            <w:vAlign w:val="center"/>
          </w:tcPr>
          <w:p w14:paraId="70A5B490">
            <w:pPr>
              <w:pageBreakBefore w:val="0"/>
              <w:wordWrap/>
              <w:topLinePunct w:val="0"/>
              <w:bidi w:val="0"/>
              <w:spacing w:line="36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投标产品的技术参数、规格、性能指标与磋商文件要求无重大负偏差的；</w:t>
            </w:r>
          </w:p>
        </w:tc>
      </w:tr>
      <w:tr w14:paraId="05B4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8" w:hRule="atLeast"/>
          <w:jc w:val="center"/>
        </w:trPr>
        <w:tc>
          <w:tcPr>
            <w:tcW w:w="640" w:type="dxa"/>
            <w:tcBorders>
              <w:left w:val="single" w:color="auto" w:sz="4" w:space="0"/>
              <w:right w:val="single" w:color="auto" w:sz="4" w:space="0"/>
            </w:tcBorders>
            <w:vAlign w:val="center"/>
          </w:tcPr>
          <w:p w14:paraId="1142A96D">
            <w:pPr>
              <w:pageBreakBefore w:val="0"/>
              <w:wordWrap/>
              <w:topLinePunct w:val="0"/>
              <w:bidi w:val="0"/>
              <w:spacing w:line="360" w:lineRule="auto"/>
              <w:jc w:val="center"/>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7</w:t>
            </w:r>
          </w:p>
        </w:tc>
        <w:tc>
          <w:tcPr>
            <w:tcW w:w="8526" w:type="dxa"/>
            <w:tcBorders>
              <w:top w:val="single" w:color="auto" w:sz="4" w:space="0"/>
              <w:left w:val="single" w:color="auto" w:sz="4" w:space="0"/>
              <w:bottom w:val="single" w:color="auto" w:sz="4" w:space="0"/>
              <w:right w:val="single" w:color="auto" w:sz="4" w:space="0"/>
            </w:tcBorders>
            <w:vAlign w:val="center"/>
          </w:tcPr>
          <w:p w14:paraId="31DCA152">
            <w:pPr>
              <w:pageBreakBefore w:val="0"/>
              <w:wordWrap/>
              <w:topLinePunct w:val="0"/>
              <w:bidi w:val="0"/>
              <w:spacing w:line="36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其他情况：出现法律法规或招标文件明确规定的其他被视为“无效投标”的情形。</w:t>
            </w:r>
          </w:p>
        </w:tc>
      </w:tr>
      <w:tr w14:paraId="08F1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jc w:val="center"/>
        </w:trPr>
        <w:tc>
          <w:tcPr>
            <w:tcW w:w="9166" w:type="dxa"/>
            <w:gridSpan w:val="2"/>
            <w:tcBorders>
              <w:left w:val="single" w:color="auto" w:sz="4" w:space="0"/>
              <w:bottom w:val="single" w:color="auto" w:sz="4" w:space="0"/>
              <w:right w:val="single" w:color="auto" w:sz="4" w:space="0"/>
            </w:tcBorders>
            <w:vAlign w:val="center"/>
          </w:tcPr>
          <w:p w14:paraId="247568AF">
            <w:pPr>
              <w:pageBreakBefore w:val="0"/>
              <w:wordWrap/>
              <w:topLinePunct w:val="0"/>
              <w:bidi w:val="0"/>
              <w:spacing w:line="360" w:lineRule="auto"/>
              <w:ind w:firstLine="480" w:firstLineChars="200"/>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备注：符合性审查不合格的供应商不得进入下一评审环节。</w:t>
            </w:r>
          </w:p>
        </w:tc>
      </w:tr>
    </w:tbl>
    <w:p w14:paraId="05989CFA">
      <w:pPr>
        <w:spacing w:line="360" w:lineRule="auto"/>
        <w:ind w:firstLine="482" w:firstLineChars="200"/>
        <w:rPr>
          <w:rFonts w:hint="eastAsia" w:ascii="仿宋" w:hAnsi="仿宋" w:eastAsia="仿宋" w:cs="仿宋"/>
          <w:b/>
          <w:bCs/>
          <w:color w:val="auto"/>
          <w:kern w:val="1"/>
          <w:sz w:val="24"/>
        </w:rPr>
      </w:pPr>
      <w:bookmarkStart w:id="67" w:name="_Toc2228"/>
      <w:bookmarkStart w:id="68" w:name="_Toc10719"/>
      <w:bookmarkStart w:id="69" w:name="_Toc16630"/>
      <w:bookmarkStart w:id="70" w:name="_Toc3291"/>
      <w:r>
        <w:rPr>
          <w:rFonts w:hint="eastAsia" w:ascii="仿宋" w:hAnsi="仿宋" w:eastAsia="仿宋" w:cs="仿宋"/>
          <w:b/>
          <w:bCs/>
          <w:color w:val="auto"/>
          <w:kern w:val="1"/>
          <w:sz w:val="24"/>
          <w:lang w:val="en-US" w:eastAsia="zh-CN"/>
        </w:rPr>
        <w:t>4.</w:t>
      </w:r>
      <w:r>
        <w:rPr>
          <w:rFonts w:hint="eastAsia" w:ascii="仿宋" w:hAnsi="仿宋" w:eastAsia="仿宋" w:cs="仿宋"/>
          <w:b/>
          <w:bCs/>
          <w:color w:val="auto"/>
          <w:kern w:val="1"/>
          <w:sz w:val="24"/>
        </w:rPr>
        <w:t>落实政府采购政策</w:t>
      </w:r>
      <w:bookmarkEnd w:id="67"/>
      <w:bookmarkEnd w:id="68"/>
      <w:bookmarkEnd w:id="69"/>
      <w:bookmarkEnd w:id="70"/>
    </w:p>
    <w:p w14:paraId="20BD11F5">
      <w:pPr>
        <w:spacing w:line="360" w:lineRule="auto"/>
        <w:ind w:firstLine="420"/>
        <w:rPr>
          <w:rFonts w:hint="eastAsia" w:ascii="仿宋" w:hAnsi="仿宋" w:eastAsia="仿宋" w:cs="仿宋"/>
          <w:b w:val="0"/>
          <w:bCs w:val="0"/>
          <w:color w:val="auto"/>
          <w:kern w:val="1"/>
          <w:sz w:val="24"/>
        </w:rPr>
      </w:pPr>
      <w:r>
        <w:rPr>
          <w:rFonts w:hint="eastAsia" w:ascii="仿宋" w:hAnsi="仿宋" w:eastAsia="仿宋" w:cs="仿宋"/>
          <w:b w:val="0"/>
          <w:bCs w:val="0"/>
          <w:color w:val="auto"/>
          <w:kern w:val="1"/>
          <w:sz w:val="24"/>
          <w:lang w:val="en-US" w:eastAsia="zh-CN"/>
        </w:rPr>
        <w:t>4.1</w:t>
      </w:r>
      <w:r>
        <w:rPr>
          <w:rFonts w:hint="eastAsia" w:ascii="仿宋" w:hAnsi="仿宋" w:eastAsia="仿宋" w:cs="仿宋"/>
          <w:b w:val="0"/>
          <w:bCs w:val="0"/>
          <w:color w:val="auto"/>
          <w:kern w:val="1"/>
          <w:sz w:val="24"/>
        </w:rPr>
        <w:t>中小企业政府采购政策</w:t>
      </w:r>
    </w:p>
    <w:p w14:paraId="4AC424FD">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4.1.1</w:t>
      </w:r>
      <w:r>
        <w:rPr>
          <w:rFonts w:hint="eastAsia" w:ascii="仿宋" w:hAnsi="仿宋" w:eastAsia="仿宋" w:cs="仿宋"/>
          <w:color w:val="auto"/>
          <w:kern w:val="1"/>
          <w:sz w:val="24"/>
        </w:rPr>
        <w:t>本项目执行</w:t>
      </w:r>
      <w:r>
        <w:rPr>
          <w:rFonts w:hint="eastAsia" w:ascii="仿宋" w:hAnsi="仿宋" w:eastAsia="仿宋" w:cs="仿宋"/>
          <w:color w:val="auto"/>
          <w:kern w:val="1"/>
          <w:sz w:val="24"/>
          <w:lang w:eastAsia="zh-CN"/>
        </w:rPr>
        <w:t>《政府采购促进中小企业发展管理办法》（财库〔2020〕46号）、财政部关于进一步加大政府采购支持中小企业力度的通知（财库〔2022〕19号）</w:t>
      </w:r>
      <w:r>
        <w:rPr>
          <w:rFonts w:hint="eastAsia" w:ascii="仿宋" w:hAnsi="仿宋" w:eastAsia="仿宋" w:cs="仿宋"/>
          <w:color w:val="auto"/>
          <w:kern w:val="1"/>
          <w:sz w:val="24"/>
        </w:rPr>
        <w:t>，对符合政府采购关于中小企业扶持政策的小微企业投标人的报价给予</w:t>
      </w:r>
      <w:r>
        <w:rPr>
          <w:rFonts w:hint="eastAsia" w:ascii="仿宋" w:hAnsi="仿宋" w:eastAsia="仿宋" w:cs="仿宋"/>
          <w:color w:val="auto"/>
          <w:kern w:val="1"/>
          <w:sz w:val="24"/>
          <w:lang w:eastAsia="zh-CN"/>
        </w:rPr>
        <w:t>10%</w:t>
      </w:r>
      <w:r>
        <w:rPr>
          <w:rFonts w:hint="eastAsia" w:ascii="仿宋" w:hAnsi="仿宋" w:eastAsia="仿宋" w:cs="仿宋"/>
          <w:color w:val="auto"/>
          <w:kern w:val="1"/>
          <w:sz w:val="24"/>
        </w:rPr>
        <w:t>的扣除，用扣除后的价格参与评审。</w:t>
      </w:r>
    </w:p>
    <w:p w14:paraId="329333E1">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4.1.</w:t>
      </w:r>
      <w:r>
        <w:rPr>
          <w:rFonts w:hint="eastAsia" w:ascii="仿宋" w:hAnsi="仿宋" w:eastAsia="仿宋" w:cs="仿宋"/>
          <w:color w:val="auto"/>
          <w:kern w:val="1"/>
          <w:sz w:val="24"/>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14:paraId="3FD02143">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4.1.3</w:t>
      </w:r>
      <w:r>
        <w:rPr>
          <w:rFonts w:hint="eastAsia" w:ascii="仿宋" w:hAnsi="仿宋" w:eastAsia="仿宋" w:cs="仿宋"/>
          <w:color w:val="auto"/>
          <w:kern w:val="1"/>
          <w:sz w:val="24"/>
        </w:rPr>
        <w:t>投标人提供的货物、工程或者服务符合下列情形的，享受前款办法规定的中小企业扶持政策：</w:t>
      </w:r>
    </w:p>
    <w:p w14:paraId="72353025">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rPr>
        <w:t>（1）在货物采购项目中，货物由中小企业制造，即货物由中小企业生产且使用该中小企业商号或者注册商标；</w:t>
      </w:r>
    </w:p>
    <w:p w14:paraId="087C3279">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rPr>
        <w:t>（2）在工程采购项目中，工程由中小企业承建，即工程施工单位为中小企业；</w:t>
      </w:r>
    </w:p>
    <w:p w14:paraId="0BC8898F">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rPr>
        <w:t>（3）在服务采购项目中，服务由中小企业承接，即提供服务的人员为中小企业依照《中华人民共和国劳动法》订立劳动合同的从业人员。</w:t>
      </w:r>
    </w:p>
    <w:p w14:paraId="3E42238A">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rPr>
        <w:t>在货物采购项目中，投标人提供的货物既有中小企业制造货物，也有大型企业制造货物的，不享受本办法规定的中小企业扶持政策。</w:t>
      </w:r>
    </w:p>
    <w:p w14:paraId="76EB3328">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rPr>
        <w:t>以联合体形式参加政府采购活动，联合体各方均为中小企业的，联合体视同中小企业。其中，联合体各方均为小微企业的，联合体视同小微企业。</w:t>
      </w:r>
    </w:p>
    <w:p w14:paraId="263DF6D9">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4.1.</w:t>
      </w:r>
      <w:r>
        <w:rPr>
          <w:rFonts w:hint="eastAsia" w:ascii="仿宋" w:hAnsi="仿宋" w:eastAsia="仿宋" w:cs="仿宋"/>
          <w:color w:val="auto"/>
          <w:kern w:val="1"/>
          <w:sz w:val="24"/>
        </w:rPr>
        <w:t>4政府采购监督检查、投诉处理及政府采购行政处罚中对中小企业的认定，由货物制造商或者工程、服务投标人注册登记所在地的县级以上人民政府中小企业主管部门负责。</w:t>
      </w:r>
    </w:p>
    <w:p w14:paraId="3677BE57">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4.1.</w:t>
      </w:r>
      <w:r>
        <w:rPr>
          <w:rFonts w:hint="eastAsia" w:ascii="仿宋" w:hAnsi="仿宋" w:eastAsia="仿宋" w:cs="仿宋"/>
          <w:color w:val="auto"/>
          <w:kern w:val="1"/>
          <w:sz w:val="24"/>
        </w:rPr>
        <w:t>5投标人需根据</w:t>
      </w:r>
      <w:r>
        <w:rPr>
          <w:rFonts w:hint="eastAsia" w:ascii="仿宋" w:hAnsi="仿宋" w:eastAsia="仿宋" w:cs="仿宋"/>
          <w:color w:val="auto"/>
          <w:kern w:val="1"/>
          <w:sz w:val="24"/>
          <w:lang w:eastAsia="zh-CN"/>
        </w:rPr>
        <w:t>《政府采购促进中小企业发展管理办法》（财库〔2020〕46号）、财政部关于进一步加大政府采购支持中小企业力度的通知（财库〔2022〕19号）</w:t>
      </w:r>
      <w:r>
        <w:rPr>
          <w:rFonts w:hint="eastAsia" w:ascii="仿宋" w:hAnsi="仿宋" w:eastAsia="仿宋" w:cs="仿宋"/>
          <w:color w:val="auto"/>
          <w:kern w:val="1"/>
          <w:sz w:val="24"/>
        </w:rPr>
        <w:t>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14:paraId="75549931">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4.1.</w:t>
      </w:r>
      <w:r>
        <w:rPr>
          <w:rFonts w:hint="eastAsia" w:ascii="仿宋" w:hAnsi="仿宋" w:eastAsia="仿宋" w:cs="仿宋"/>
          <w:color w:val="auto"/>
          <w:kern w:val="1"/>
          <w:sz w:val="24"/>
        </w:rPr>
        <w:t>6投标人应对其出具的《中小企业声明函》真实性负责，投标人出具的《中小企业声明函》内容不实的，属于提供虚假材料谋取中标。</w:t>
      </w:r>
    </w:p>
    <w:p w14:paraId="68681A43">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4.2</w:t>
      </w:r>
      <w:r>
        <w:rPr>
          <w:rFonts w:hint="eastAsia" w:ascii="仿宋" w:hAnsi="仿宋" w:eastAsia="仿宋" w:cs="仿宋"/>
          <w:color w:val="auto"/>
          <w:kern w:val="1"/>
          <w:sz w:val="24"/>
        </w:rPr>
        <w:t>监狱企业政策</w:t>
      </w:r>
    </w:p>
    <w:p w14:paraId="5A4745CD">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4.2.</w:t>
      </w:r>
      <w:r>
        <w:rPr>
          <w:rFonts w:hint="eastAsia" w:ascii="仿宋" w:hAnsi="仿宋" w:eastAsia="仿宋" w:cs="仿宋"/>
          <w:color w:val="auto"/>
          <w:kern w:val="1"/>
          <w:sz w:val="24"/>
        </w:rPr>
        <w:t>1符合《财政部司法部关于政府采购支持监狱企业发展有关问题的通知》（财库〔2014〕68号）的监狱和戒毒企业，提供省级以上监狱管理局、戒毒管理局（含新疆生产建设兵团）出具属于监狱、戒毒企业的证明的，视同小型、微型企业享受</w:t>
      </w:r>
      <w:r>
        <w:rPr>
          <w:rFonts w:hint="eastAsia" w:ascii="仿宋" w:hAnsi="仿宋" w:eastAsia="仿宋" w:cs="仿宋"/>
          <w:color w:val="auto"/>
          <w:kern w:val="1"/>
          <w:sz w:val="24"/>
          <w:lang w:eastAsia="zh-CN"/>
        </w:rPr>
        <w:t>10%</w:t>
      </w:r>
      <w:r>
        <w:rPr>
          <w:rFonts w:hint="eastAsia" w:ascii="仿宋" w:hAnsi="仿宋" w:eastAsia="仿宋" w:cs="仿宋"/>
          <w:color w:val="auto"/>
          <w:kern w:val="1"/>
          <w:sz w:val="24"/>
        </w:rPr>
        <w:t>的价格扣除，监狱、戒毒企业属于小型、微型企业的，不重复享受价格优惠政策。</w:t>
      </w:r>
    </w:p>
    <w:p w14:paraId="7F43AF89">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4.2.</w:t>
      </w:r>
      <w:r>
        <w:rPr>
          <w:rFonts w:hint="eastAsia" w:ascii="仿宋" w:hAnsi="仿宋" w:eastAsia="仿宋" w:cs="仿宋"/>
          <w:color w:val="auto"/>
          <w:kern w:val="1"/>
          <w:sz w:val="24"/>
        </w:rPr>
        <w:t>2投标人为监狱企业且所投货物全部由监狱企业制造的，应当提供由省级以上监狱管理局、戒毒管理局出具的属于监狱企业的证明文件，未提供或出具证明文件的单位不符合要求的，不视为小型微型企业。</w:t>
      </w:r>
    </w:p>
    <w:p w14:paraId="768EACCA">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4.3</w:t>
      </w:r>
      <w:r>
        <w:rPr>
          <w:rFonts w:hint="eastAsia" w:ascii="仿宋" w:hAnsi="仿宋" w:eastAsia="仿宋" w:cs="仿宋"/>
          <w:color w:val="auto"/>
          <w:kern w:val="1"/>
          <w:sz w:val="24"/>
        </w:rPr>
        <w:t>残疾人福利性单位政策</w:t>
      </w:r>
    </w:p>
    <w:p w14:paraId="01813596">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4.3.</w:t>
      </w:r>
      <w:r>
        <w:rPr>
          <w:rFonts w:hint="eastAsia" w:ascii="仿宋" w:hAnsi="仿宋" w:eastAsia="仿宋" w:cs="仿宋"/>
          <w:color w:val="auto"/>
          <w:kern w:val="1"/>
          <w:sz w:val="24"/>
        </w:rPr>
        <w:t>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w:t>
      </w:r>
      <w:r>
        <w:rPr>
          <w:rFonts w:hint="eastAsia" w:ascii="仿宋" w:hAnsi="仿宋" w:eastAsia="仿宋" w:cs="仿宋"/>
          <w:color w:val="auto"/>
          <w:kern w:val="1"/>
          <w:sz w:val="24"/>
          <w:lang w:eastAsia="zh-CN"/>
        </w:rPr>
        <w:t>10%</w:t>
      </w:r>
      <w:r>
        <w:rPr>
          <w:rFonts w:hint="eastAsia" w:ascii="仿宋" w:hAnsi="仿宋" w:eastAsia="仿宋" w:cs="仿宋"/>
          <w:color w:val="auto"/>
          <w:kern w:val="1"/>
          <w:sz w:val="24"/>
        </w:rPr>
        <w:t>的价格扣除。残疾人福利性单位属于小型、微型企业的，不重复享受价格优惠政策。</w:t>
      </w:r>
    </w:p>
    <w:p w14:paraId="2AC895C1">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4.3.</w:t>
      </w:r>
      <w:r>
        <w:rPr>
          <w:rFonts w:hint="eastAsia" w:ascii="仿宋" w:hAnsi="仿宋" w:eastAsia="仿宋" w:cs="仿宋"/>
          <w:color w:val="auto"/>
          <w:kern w:val="1"/>
          <w:sz w:val="24"/>
        </w:rPr>
        <w:t>2投标人为残疾人福利性单位且所投货物全部由残疾人福利性单位制造的，应当提供《残疾人福利性单位声明函》，未提供的不视为小型</w:t>
      </w:r>
      <w:r>
        <w:rPr>
          <w:rFonts w:hint="eastAsia" w:ascii="仿宋" w:hAnsi="仿宋" w:eastAsia="仿宋" w:cs="仿宋"/>
          <w:color w:val="auto"/>
          <w:kern w:val="1"/>
          <w:sz w:val="24"/>
          <w:lang w:eastAsia="zh-CN"/>
        </w:rPr>
        <w:t>、</w:t>
      </w:r>
      <w:r>
        <w:rPr>
          <w:rFonts w:hint="eastAsia" w:ascii="仿宋" w:hAnsi="仿宋" w:eastAsia="仿宋" w:cs="仿宋"/>
          <w:color w:val="auto"/>
          <w:kern w:val="1"/>
          <w:sz w:val="24"/>
        </w:rPr>
        <w:t>微型企业。</w:t>
      </w:r>
    </w:p>
    <w:p w14:paraId="6B98A300">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4.4</w:t>
      </w:r>
      <w:r>
        <w:rPr>
          <w:rFonts w:hint="eastAsia" w:ascii="仿宋" w:hAnsi="仿宋" w:eastAsia="仿宋" w:cs="仿宋"/>
          <w:color w:val="auto"/>
          <w:kern w:val="1"/>
          <w:sz w:val="24"/>
        </w:rPr>
        <w:t>节能环境标志产品政策</w:t>
      </w:r>
    </w:p>
    <w:p w14:paraId="6DBE96E0">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4.4.1</w:t>
      </w:r>
      <w:r>
        <w:rPr>
          <w:rFonts w:hint="eastAsia" w:ascii="仿宋" w:hAnsi="仿宋" w:eastAsia="仿宋" w:cs="仿宋"/>
          <w:color w:val="auto"/>
          <w:kern w:val="1"/>
          <w:sz w:val="24"/>
        </w:rPr>
        <w:t>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14:paraId="39532084">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4.4.</w:t>
      </w:r>
      <w:r>
        <w:rPr>
          <w:rFonts w:hint="eastAsia" w:ascii="仿宋" w:hAnsi="仿宋" w:eastAsia="仿宋" w:cs="仿宋"/>
          <w:color w:val="auto"/>
          <w:kern w:val="1"/>
          <w:sz w:val="24"/>
        </w:rPr>
        <w:t>2投标人可以提供所投产品经国家确定的认证机构出具的、处于有效期之内的节能产品、环境标志产品认证证书扫描件。采购代理机构通过中国政府采购网（</w:t>
      </w:r>
      <w:r>
        <w:rPr>
          <w:rFonts w:hint="eastAsia" w:ascii="仿宋" w:hAnsi="仿宋" w:eastAsia="仿宋" w:cs="仿宋"/>
          <w:color w:val="auto"/>
          <w:kern w:val="1"/>
          <w:sz w:val="24"/>
        </w:rPr>
        <w:fldChar w:fldCharType="begin"/>
      </w:r>
      <w:r>
        <w:rPr>
          <w:rFonts w:hint="eastAsia" w:ascii="仿宋" w:hAnsi="仿宋" w:eastAsia="仿宋" w:cs="仿宋"/>
          <w:color w:val="auto"/>
          <w:kern w:val="1"/>
          <w:sz w:val="24"/>
        </w:rPr>
        <w:instrText xml:space="preserve"> HYPERLINK "http://www.ccgp.gov.cn/" </w:instrText>
      </w:r>
      <w:r>
        <w:rPr>
          <w:rFonts w:hint="eastAsia" w:ascii="仿宋" w:hAnsi="仿宋" w:eastAsia="仿宋" w:cs="仿宋"/>
          <w:color w:val="auto"/>
          <w:kern w:val="1"/>
          <w:sz w:val="24"/>
        </w:rPr>
        <w:fldChar w:fldCharType="separate"/>
      </w:r>
      <w:r>
        <w:rPr>
          <w:rFonts w:hint="eastAsia" w:ascii="仿宋" w:hAnsi="仿宋" w:eastAsia="仿宋" w:cs="仿宋"/>
          <w:color w:val="auto"/>
          <w:kern w:val="1"/>
          <w:sz w:val="24"/>
        </w:rPr>
        <w:t>http：//www.ccgp.gov.cn/</w:t>
      </w:r>
      <w:r>
        <w:rPr>
          <w:rFonts w:hint="eastAsia" w:ascii="仿宋" w:hAnsi="仿宋" w:eastAsia="仿宋" w:cs="仿宋"/>
          <w:color w:val="auto"/>
          <w:kern w:val="1"/>
          <w:sz w:val="24"/>
        </w:rPr>
        <w:fldChar w:fldCharType="end"/>
      </w:r>
      <w:r>
        <w:rPr>
          <w:rFonts w:hint="eastAsia" w:ascii="仿宋" w:hAnsi="仿宋" w:eastAsia="仿宋" w:cs="仿宋"/>
          <w:color w:val="auto"/>
          <w:kern w:val="1"/>
          <w:sz w:val="24"/>
        </w:rPr>
        <w:t>）对获证产品信息进行核对。</w:t>
      </w:r>
    </w:p>
    <w:p w14:paraId="38525BB8">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4.4.</w:t>
      </w:r>
      <w:r>
        <w:rPr>
          <w:rFonts w:hint="eastAsia" w:ascii="仿宋" w:hAnsi="仿宋" w:eastAsia="仿宋" w:cs="仿宋"/>
          <w:color w:val="auto"/>
          <w:kern w:val="1"/>
          <w:sz w:val="24"/>
        </w:rPr>
        <w:t>3投标人所投产品属于下列情形之一的，本应属于优先采购的，不再享受优先采购政策；属于强制采购的，则按无效投标文件处理：</w:t>
      </w:r>
    </w:p>
    <w:p w14:paraId="6CB403E7">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rPr>
        <w:t>（1）未提供认证证书扫描件或经核对认证证书存在信息有误的；</w:t>
      </w:r>
    </w:p>
    <w:p w14:paraId="1F27C138">
      <w:pPr>
        <w:spacing w:line="360" w:lineRule="auto"/>
        <w:ind w:firstLine="420"/>
        <w:rPr>
          <w:rFonts w:hint="eastAsia" w:ascii="仿宋" w:hAnsi="仿宋" w:eastAsia="仿宋" w:cs="仿宋"/>
          <w:color w:val="auto"/>
          <w:kern w:val="1"/>
          <w:sz w:val="24"/>
        </w:rPr>
      </w:pPr>
      <w:r>
        <w:rPr>
          <w:rFonts w:hint="eastAsia" w:ascii="仿宋" w:hAnsi="仿宋" w:eastAsia="仿宋" w:cs="仿宋"/>
          <w:color w:val="auto"/>
          <w:kern w:val="1"/>
          <w:sz w:val="24"/>
        </w:rPr>
        <w:t>（2）认证证书已过期。</w:t>
      </w:r>
    </w:p>
    <w:p w14:paraId="0B3304B6">
      <w:pPr>
        <w:spacing w:line="360" w:lineRule="auto"/>
        <w:ind w:firstLine="420"/>
        <w:rPr>
          <w:rFonts w:hint="eastAsia" w:ascii="仿宋" w:hAnsi="仿宋" w:eastAsia="仿宋" w:cs="仿宋"/>
          <w:b w:val="0"/>
          <w:bCs w:val="0"/>
          <w:color w:val="auto"/>
          <w:kern w:val="1"/>
          <w:sz w:val="24"/>
        </w:rPr>
      </w:pPr>
      <w:r>
        <w:rPr>
          <w:rFonts w:hint="eastAsia" w:ascii="仿宋" w:hAnsi="仿宋" w:eastAsia="仿宋" w:cs="仿宋"/>
          <w:color w:val="auto"/>
          <w:kern w:val="1"/>
          <w:sz w:val="24"/>
          <w:lang w:val="en-US" w:eastAsia="zh-CN"/>
        </w:rPr>
        <w:t>4.4.</w:t>
      </w:r>
      <w:r>
        <w:rPr>
          <w:rFonts w:hint="eastAsia" w:ascii="仿宋" w:hAnsi="仿宋" w:eastAsia="仿宋" w:cs="仿宋"/>
          <w:color w:val="auto"/>
          <w:kern w:val="1"/>
          <w:sz w:val="24"/>
        </w:rPr>
        <w:t>4享受中小企业政府采购扶持政策的投标人，可以同时享受节能产品、环境标志产品优先采购政策。</w:t>
      </w:r>
    </w:p>
    <w:p w14:paraId="78F25C34">
      <w:pPr>
        <w:spacing w:line="360" w:lineRule="auto"/>
        <w:ind w:firstLine="420"/>
        <w:outlineLvl w:val="9"/>
        <w:rPr>
          <w:rFonts w:hint="eastAsia" w:ascii="仿宋" w:hAnsi="仿宋" w:eastAsia="仿宋" w:cs="仿宋"/>
          <w:b/>
          <w:color w:val="auto"/>
          <w:sz w:val="24"/>
        </w:rPr>
      </w:pPr>
      <w:r>
        <w:rPr>
          <w:rFonts w:hint="eastAsia" w:ascii="仿宋" w:hAnsi="仿宋" w:eastAsia="仿宋" w:cs="仿宋"/>
          <w:b w:val="0"/>
          <w:bCs w:val="0"/>
          <w:color w:val="auto"/>
          <w:kern w:val="1"/>
          <w:sz w:val="24"/>
          <w:lang w:val="en-US" w:eastAsia="zh-CN"/>
        </w:rPr>
        <w:t>4.4.5 鼓励中标（成交）供应商在提供</w:t>
      </w:r>
      <w:r>
        <w:rPr>
          <w:rFonts w:hint="eastAsia" w:ascii="仿宋" w:hAnsi="仿宋" w:eastAsia="仿宋" w:cs="仿宋"/>
          <w:b w:val="0"/>
          <w:bCs w:val="0"/>
          <w:color w:val="auto"/>
          <w:sz w:val="24"/>
        </w:rPr>
        <w:t>货物（产品）包装</w:t>
      </w:r>
      <w:r>
        <w:rPr>
          <w:rFonts w:hint="eastAsia" w:ascii="仿宋" w:hAnsi="仿宋" w:eastAsia="仿宋" w:cs="仿宋"/>
          <w:b w:val="0"/>
          <w:bCs w:val="0"/>
          <w:color w:val="auto"/>
          <w:sz w:val="24"/>
          <w:lang w:eastAsia="zh-CN"/>
        </w:rPr>
        <w:t>、运输按照</w:t>
      </w:r>
      <w:r>
        <w:rPr>
          <w:rFonts w:hint="eastAsia" w:ascii="仿宋" w:hAnsi="仿宋" w:eastAsia="仿宋" w:cs="仿宋"/>
          <w:color w:val="auto"/>
          <w:sz w:val="24"/>
        </w:rPr>
        <w:t>《商品包装政府采购需求标准（试行）》（财办库〔2020〕）123号）</w:t>
      </w:r>
      <w:r>
        <w:rPr>
          <w:rFonts w:hint="eastAsia" w:ascii="仿宋" w:hAnsi="仿宋" w:eastAsia="仿宋" w:cs="仿宋"/>
          <w:color w:val="auto"/>
          <w:sz w:val="24"/>
          <w:lang w:eastAsia="zh-CN"/>
        </w:rPr>
        <w:t>、</w:t>
      </w:r>
      <w:r>
        <w:rPr>
          <w:rFonts w:hint="eastAsia" w:ascii="仿宋" w:hAnsi="仿宋" w:eastAsia="仿宋" w:cs="仿宋"/>
          <w:color w:val="auto"/>
          <w:sz w:val="24"/>
        </w:rPr>
        <w:t>《快递包装政府采购需求标准（试行）》（财办库〔2020〕）123号）规定的环保要求进行包装。</w:t>
      </w:r>
    </w:p>
    <w:p w14:paraId="1AB5B5D4">
      <w:pPr>
        <w:spacing w:line="360" w:lineRule="auto"/>
        <w:ind w:firstLine="241" w:firstLineChars="100"/>
        <w:rPr>
          <w:rFonts w:hint="eastAsia" w:ascii="仿宋" w:hAnsi="仿宋" w:eastAsia="仿宋" w:cs="仿宋"/>
          <w:b/>
          <w:color w:val="auto"/>
          <w:spacing w:val="4"/>
          <w:sz w:val="24"/>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w:t>
      </w:r>
      <w:r>
        <w:rPr>
          <w:rFonts w:hint="eastAsia" w:ascii="仿宋" w:hAnsi="仿宋" w:eastAsia="仿宋" w:cs="仿宋"/>
          <w:b/>
          <w:color w:val="auto"/>
          <w:spacing w:val="4"/>
          <w:sz w:val="24"/>
        </w:rPr>
        <w:t>对于符合政策性优惠的，其评标价按照以下规则进行计算调整。</w:t>
      </w:r>
      <w:r>
        <w:rPr>
          <w:rFonts w:hint="eastAsia" w:ascii="仿宋" w:hAnsi="仿宋" w:eastAsia="仿宋" w:cs="仿宋"/>
          <w:b/>
          <w:color w:val="auto"/>
          <w:spacing w:val="4"/>
          <w:sz w:val="24"/>
          <w:lang w:val="en-US" w:eastAsia="zh-CN"/>
        </w:rPr>
        <w:t>若该项目是专门面向中小企业采购的，则不享受价格扣除。</w:t>
      </w:r>
    </w:p>
    <w:p w14:paraId="312EA016">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.1</w:t>
      </w:r>
      <w:r>
        <w:rPr>
          <w:rFonts w:hint="eastAsia" w:ascii="仿宋" w:hAnsi="仿宋" w:eastAsia="仿宋" w:cs="仿宋"/>
          <w:color w:val="auto"/>
          <w:spacing w:val="4"/>
          <w:sz w:val="24"/>
          <w:lang w:eastAsia="zh-CN"/>
        </w:rPr>
        <w:t>符合（财库〔2020〕46号）、（财库〔2022〕19号）</w:t>
      </w:r>
      <w:r>
        <w:rPr>
          <w:rFonts w:hint="eastAsia" w:ascii="仿宋" w:hAnsi="仿宋" w:eastAsia="仿宋" w:cs="仿宋"/>
          <w:color w:val="auto"/>
          <w:spacing w:val="4"/>
          <w:sz w:val="24"/>
        </w:rPr>
        <w:t>文件规定的小微企业</w:t>
      </w:r>
      <w:r>
        <w:rPr>
          <w:rFonts w:hint="eastAsia" w:ascii="仿宋" w:hAnsi="仿宋" w:eastAsia="仿宋" w:cs="仿宋"/>
          <w:color w:val="auto"/>
          <w:sz w:val="24"/>
        </w:rPr>
        <w:t>单位</w:t>
      </w:r>
      <w:r>
        <w:rPr>
          <w:rFonts w:hint="eastAsia" w:ascii="仿宋" w:hAnsi="仿宋" w:eastAsia="仿宋" w:cs="仿宋"/>
          <w:color w:val="auto"/>
          <w:spacing w:val="4"/>
          <w:sz w:val="24"/>
        </w:rPr>
        <w:t>的评标价计算规则：</w:t>
      </w:r>
    </w:p>
    <w:p w14:paraId="30A183F9">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.1.1对符合规定的小型和微型企业（非联合体投标）报价给予</w:t>
      </w:r>
      <w:r>
        <w:rPr>
          <w:rFonts w:hint="eastAsia" w:ascii="仿宋" w:hAnsi="仿宋" w:eastAsia="仿宋" w:cs="仿宋"/>
          <w:color w:val="auto"/>
          <w:spacing w:val="4"/>
          <w:sz w:val="24"/>
          <w:lang w:eastAsia="zh-CN"/>
        </w:rPr>
        <w:t>10%</w:t>
      </w:r>
      <w:r>
        <w:rPr>
          <w:rFonts w:hint="eastAsia" w:ascii="仿宋" w:hAnsi="仿宋" w:eastAsia="仿宋" w:cs="仿宋"/>
          <w:color w:val="auto"/>
          <w:spacing w:val="4"/>
          <w:sz w:val="24"/>
        </w:rPr>
        <w:t>的扣除，用扣除后的价格参加评审。</w:t>
      </w:r>
    </w:p>
    <w:p w14:paraId="423953D5">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rPr>
        <w:t>其评标价=投标报价*（1-</w:t>
      </w:r>
      <w:r>
        <w:rPr>
          <w:rFonts w:hint="eastAsia" w:ascii="仿宋" w:hAnsi="仿宋" w:eastAsia="仿宋" w:cs="仿宋"/>
          <w:color w:val="auto"/>
          <w:spacing w:val="4"/>
          <w:sz w:val="24"/>
          <w:lang w:eastAsia="zh-CN"/>
        </w:rPr>
        <w:t>10%</w:t>
      </w:r>
      <w:r>
        <w:rPr>
          <w:rFonts w:hint="eastAsia" w:ascii="仿宋" w:hAnsi="仿宋" w:eastAsia="仿宋" w:cs="仿宋"/>
          <w:color w:val="auto"/>
          <w:spacing w:val="4"/>
          <w:sz w:val="24"/>
        </w:rPr>
        <w:t>）</w:t>
      </w:r>
    </w:p>
    <w:p w14:paraId="664148DC">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.1.2对于联合协议或者分包意向协议约定小微企业的合同份额占到合同总金额30%以上的，对联合体或者大中型企业的报价给予</w:t>
      </w:r>
      <w:r>
        <w:rPr>
          <w:rFonts w:hint="eastAsia" w:ascii="仿宋" w:hAnsi="仿宋" w:eastAsia="仿宋" w:cs="仿宋"/>
          <w:color w:val="auto"/>
          <w:spacing w:val="4"/>
          <w:sz w:val="24"/>
          <w:lang w:eastAsia="zh-CN"/>
        </w:rPr>
        <w:t>4%</w:t>
      </w:r>
      <w:r>
        <w:rPr>
          <w:rFonts w:hint="eastAsia" w:ascii="仿宋" w:hAnsi="仿宋" w:eastAsia="仿宋" w:cs="仿宋"/>
          <w:color w:val="auto"/>
          <w:spacing w:val="4"/>
          <w:sz w:val="24"/>
        </w:rPr>
        <w:t>的扣除，用扣除后的价格参加评审。</w:t>
      </w:r>
    </w:p>
    <w:p w14:paraId="712FFED1">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rPr>
        <w:t>其评标价=投标报价*（1-</w:t>
      </w:r>
      <w:r>
        <w:rPr>
          <w:rFonts w:hint="eastAsia" w:ascii="仿宋" w:hAnsi="仿宋" w:eastAsia="仿宋" w:cs="仿宋"/>
          <w:color w:val="auto"/>
          <w:spacing w:val="4"/>
          <w:sz w:val="24"/>
          <w:lang w:eastAsia="zh-CN"/>
        </w:rPr>
        <w:t>4%</w:t>
      </w:r>
      <w:r>
        <w:rPr>
          <w:rFonts w:hint="eastAsia" w:ascii="仿宋" w:hAnsi="仿宋" w:eastAsia="仿宋" w:cs="仿宋"/>
          <w:color w:val="auto"/>
          <w:spacing w:val="4"/>
          <w:sz w:val="24"/>
        </w:rPr>
        <w:t>）</w:t>
      </w:r>
    </w:p>
    <w:p w14:paraId="6FF10495">
      <w:pPr>
        <w:spacing w:line="360" w:lineRule="auto"/>
        <w:ind w:firstLine="495"/>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.1.3确认为小微企业（含小型、微型企业，下同）投标的，应当同时符合以下条件：</w:t>
      </w:r>
    </w:p>
    <w:p w14:paraId="5C700B67">
      <w:pPr>
        <w:spacing w:line="360" w:lineRule="auto"/>
        <w:ind w:left="1"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.1.3.1符合国务院有关部门根据企业从业人员、营业收入、资产总额等指标制定的中小企业划型标准（工信部联企业〔2011〕300号）；</w:t>
      </w:r>
    </w:p>
    <w:p w14:paraId="5C3046B0">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 xml:space="preserve">.1.3.2在货物采购项目中，货物由中小企业制造，即货物由中小企业生产且使用该中小企业商号或者注册商标； </w:t>
      </w:r>
    </w:p>
    <w:p w14:paraId="581BB88E">
      <w:pPr>
        <w:spacing w:line="360" w:lineRule="auto"/>
        <w:ind w:left="1143" w:leftChars="249" w:hanging="620" w:hangingChars="250"/>
        <w:rPr>
          <w:rFonts w:hint="eastAsia" w:ascii="仿宋" w:hAnsi="仿宋" w:eastAsia="仿宋" w:cs="仿宋"/>
          <w:color w:val="auto"/>
          <w:sz w:val="24"/>
          <w:lang w:eastAsia="zh-CN"/>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.1.3.3投标时须</w:t>
      </w:r>
      <w:r>
        <w:rPr>
          <w:rFonts w:hint="eastAsia" w:ascii="仿宋" w:hAnsi="仿宋" w:eastAsia="仿宋" w:cs="仿宋"/>
          <w:color w:val="auto"/>
          <w:sz w:val="24"/>
        </w:rPr>
        <w:t>提供《中小企业声明函》</w:t>
      </w:r>
      <w:r>
        <w:rPr>
          <w:rFonts w:hint="eastAsia" w:ascii="仿宋" w:hAnsi="仿宋" w:eastAsia="仿宋" w:cs="仿宋"/>
          <w:color w:val="auto"/>
          <w:sz w:val="24"/>
          <w:lang w:eastAsia="zh-CN"/>
        </w:rPr>
        <w:t>；</w:t>
      </w:r>
    </w:p>
    <w:p w14:paraId="4BA1DAC9">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.2符合（财库〔2017〕141号）文件规定的残疾人福利性单位的评标价计算规则：</w:t>
      </w:r>
    </w:p>
    <w:p w14:paraId="294BD625">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仿宋" w:hAnsi="仿宋" w:eastAsia="仿宋" w:cs="仿宋"/>
          <w:color w:val="auto"/>
          <w:spacing w:val="4"/>
          <w:sz w:val="24"/>
          <w:lang w:eastAsia="zh-CN"/>
        </w:rPr>
        <w:t>10%</w:t>
      </w:r>
      <w:r>
        <w:rPr>
          <w:rFonts w:hint="eastAsia" w:ascii="仿宋" w:hAnsi="仿宋" w:eastAsia="仿宋" w:cs="仿宋"/>
          <w:color w:val="auto"/>
          <w:spacing w:val="4"/>
          <w:sz w:val="24"/>
        </w:rPr>
        <w:t>的扣除，用扣除后的价格参加评审。</w:t>
      </w:r>
    </w:p>
    <w:p w14:paraId="7535D920">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rPr>
        <w:t>其评标价=投标报价*（1-</w:t>
      </w:r>
      <w:r>
        <w:rPr>
          <w:rFonts w:hint="eastAsia" w:ascii="仿宋" w:hAnsi="仿宋" w:eastAsia="仿宋" w:cs="仿宋"/>
          <w:color w:val="auto"/>
          <w:spacing w:val="4"/>
          <w:sz w:val="24"/>
          <w:lang w:eastAsia="zh-CN"/>
        </w:rPr>
        <w:t>10%</w:t>
      </w:r>
      <w:r>
        <w:rPr>
          <w:rFonts w:hint="eastAsia" w:ascii="仿宋" w:hAnsi="仿宋" w:eastAsia="仿宋" w:cs="仿宋"/>
          <w:color w:val="auto"/>
          <w:spacing w:val="4"/>
          <w:sz w:val="24"/>
        </w:rPr>
        <w:t>）</w:t>
      </w:r>
    </w:p>
    <w:p w14:paraId="6105BC3F">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.2.2对于联合协议或者分包意向协议约定残疾人福利性单位的合同份额占到合同总金额30%以上的，对联合体或者大中型企业的报价给予</w:t>
      </w:r>
      <w:r>
        <w:rPr>
          <w:rFonts w:hint="eastAsia" w:ascii="仿宋" w:hAnsi="仿宋" w:eastAsia="仿宋" w:cs="仿宋"/>
          <w:color w:val="auto"/>
          <w:spacing w:val="4"/>
          <w:sz w:val="24"/>
          <w:lang w:eastAsia="zh-CN"/>
        </w:rPr>
        <w:t>4%</w:t>
      </w:r>
      <w:r>
        <w:rPr>
          <w:rFonts w:hint="eastAsia" w:ascii="仿宋" w:hAnsi="仿宋" w:eastAsia="仿宋" w:cs="仿宋"/>
          <w:color w:val="auto"/>
          <w:spacing w:val="4"/>
          <w:sz w:val="24"/>
        </w:rPr>
        <w:t>的扣除，用扣除后的价格参加评审。</w:t>
      </w:r>
    </w:p>
    <w:p w14:paraId="7AFB39E4">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rPr>
        <w:t>其评标价=投标报价*（1-</w:t>
      </w:r>
      <w:r>
        <w:rPr>
          <w:rFonts w:hint="eastAsia" w:ascii="仿宋" w:hAnsi="仿宋" w:eastAsia="仿宋" w:cs="仿宋"/>
          <w:color w:val="auto"/>
          <w:spacing w:val="4"/>
          <w:sz w:val="24"/>
          <w:lang w:eastAsia="zh-CN"/>
        </w:rPr>
        <w:t>4%</w:t>
      </w:r>
      <w:r>
        <w:rPr>
          <w:rFonts w:hint="eastAsia" w:ascii="仿宋" w:hAnsi="仿宋" w:eastAsia="仿宋" w:cs="仿宋"/>
          <w:color w:val="auto"/>
          <w:spacing w:val="4"/>
          <w:sz w:val="24"/>
        </w:rPr>
        <w:t>）</w:t>
      </w:r>
    </w:p>
    <w:p w14:paraId="572D66AA">
      <w:pPr>
        <w:spacing w:line="360" w:lineRule="auto"/>
        <w:ind w:left="1019" w:leftChars="249" w:hanging="496" w:hanging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.2.3确认为残疾人福利性单位投标的，应当同时符合以下条件：</w:t>
      </w:r>
    </w:p>
    <w:p w14:paraId="2D4C483A">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.2.3.1符合（财库〔2017〕141号）文件相关规定。</w:t>
      </w:r>
    </w:p>
    <w:p w14:paraId="75E73B3B">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.2.3.2投标时提供本单位制造的货物、承担的工程或者服务（以下简称产品），或者提供其他残疾人福利性单位制造的货物（不包括使用非残疾人福利性单位注册商标的货物）。</w:t>
      </w:r>
    </w:p>
    <w:p w14:paraId="07F8269C">
      <w:pPr>
        <w:spacing w:line="360" w:lineRule="auto"/>
        <w:ind w:left="1019" w:leftChars="249" w:hanging="496" w:hanging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.2.3.3投标人须提供《残疾人福利性单位声明函》。</w:t>
      </w:r>
    </w:p>
    <w:p w14:paraId="7AFD3BAB">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.3符合（财库〔2014〕68号）文件规定的监狱企业的评标价计算规则：</w:t>
      </w:r>
    </w:p>
    <w:p w14:paraId="5C432719">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仿宋" w:hAnsi="仿宋" w:eastAsia="仿宋" w:cs="仿宋"/>
          <w:color w:val="auto"/>
          <w:spacing w:val="4"/>
          <w:sz w:val="24"/>
          <w:lang w:eastAsia="zh-CN"/>
        </w:rPr>
        <w:t>10%</w:t>
      </w:r>
      <w:r>
        <w:rPr>
          <w:rFonts w:hint="eastAsia" w:ascii="仿宋" w:hAnsi="仿宋" w:eastAsia="仿宋" w:cs="仿宋"/>
          <w:color w:val="auto"/>
          <w:spacing w:val="4"/>
          <w:sz w:val="24"/>
        </w:rPr>
        <w:t>的扣除，用扣除后的价格参加评审。</w:t>
      </w:r>
    </w:p>
    <w:p w14:paraId="785BA052">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rPr>
        <w:t>其评标价=投标报价*（1-</w:t>
      </w:r>
      <w:r>
        <w:rPr>
          <w:rFonts w:hint="eastAsia" w:ascii="仿宋" w:hAnsi="仿宋" w:eastAsia="仿宋" w:cs="仿宋"/>
          <w:color w:val="auto"/>
          <w:spacing w:val="4"/>
          <w:sz w:val="24"/>
          <w:lang w:eastAsia="zh-CN"/>
        </w:rPr>
        <w:t>10%</w:t>
      </w:r>
      <w:r>
        <w:rPr>
          <w:rFonts w:hint="eastAsia" w:ascii="仿宋" w:hAnsi="仿宋" w:eastAsia="仿宋" w:cs="仿宋"/>
          <w:color w:val="auto"/>
          <w:spacing w:val="4"/>
          <w:sz w:val="24"/>
        </w:rPr>
        <w:t>）</w:t>
      </w:r>
    </w:p>
    <w:p w14:paraId="4C5830D8">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.3.2对于联合协议或者分包意向协议约定监狱企业的合同份额占到合同总金额30%以上的，对联合体或者大中型企业的报价给予</w:t>
      </w:r>
      <w:r>
        <w:rPr>
          <w:rFonts w:hint="eastAsia" w:ascii="仿宋" w:hAnsi="仿宋" w:eastAsia="仿宋" w:cs="仿宋"/>
          <w:color w:val="auto"/>
          <w:spacing w:val="4"/>
          <w:sz w:val="24"/>
          <w:lang w:eastAsia="zh-CN"/>
        </w:rPr>
        <w:t>4%</w:t>
      </w:r>
      <w:r>
        <w:rPr>
          <w:rFonts w:hint="eastAsia" w:ascii="仿宋" w:hAnsi="仿宋" w:eastAsia="仿宋" w:cs="仿宋"/>
          <w:color w:val="auto"/>
          <w:spacing w:val="4"/>
          <w:sz w:val="24"/>
        </w:rPr>
        <w:t>的扣除，用扣除后的价格参加评审。</w:t>
      </w:r>
    </w:p>
    <w:p w14:paraId="3918E12E">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rPr>
        <w:t>其评标价=投标报价*（1-</w:t>
      </w:r>
      <w:r>
        <w:rPr>
          <w:rFonts w:hint="eastAsia" w:ascii="仿宋" w:hAnsi="仿宋" w:eastAsia="仿宋" w:cs="仿宋"/>
          <w:color w:val="auto"/>
          <w:spacing w:val="4"/>
          <w:sz w:val="24"/>
          <w:lang w:eastAsia="zh-CN"/>
        </w:rPr>
        <w:t>4%</w:t>
      </w:r>
      <w:r>
        <w:rPr>
          <w:rFonts w:hint="eastAsia" w:ascii="仿宋" w:hAnsi="仿宋" w:eastAsia="仿宋" w:cs="仿宋"/>
          <w:color w:val="auto"/>
          <w:spacing w:val="4"/>
          <w:sz w:val="24"/>
        </w:rPr>
        <w:t>）</w:t>
      </w:r>
    </w:p>
    <w:p w14:paraId="3BC90D03">
      <w:pPr>
        <w:spacing w:line="360" w:lineRule="auto"/>
        <w:ind w:left="1019" w:leftChars="249" w:hanging="496" w:hanging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.3.3确认为监狱企业投标的，应当同时符合以下条件：</w:t>
      </w:r>
    </w:p>
    <w:p w14:paraId="47D723E4">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.3.3.1符合（财库〔2014〕68号）文件相关规定。</w:t>
      </w:r>
    </w:p>
    <w:p w14:paraId="7FACE9C3">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.3.3.2投标时提供本单位生产的货物，或者提供其他监狱企业生产的货物。</w:t>
      </w:r>
    </w:p>
    <w:p w14:paraId="17963834">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.3.3.3投标人须提供由省级以上监狱管理局、戒毒管理局（含新疆生产建设兵团）出具的属于监狱企业的证明文件。</w:t>
      </w:r>
    </w:p>
    <w:p w14:paraId="53DEAB88">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.4符合</w:t>
      </w:r>
      <w:r>
        <w:rPr>
          <w:rFonts w:hint="eastAsia" w:ascii="仿宋" w:hAnsi="仿宋" w:eastAsia="仿宋" w:cs="仿宋"/>
          <w:color w:val="auto"/>
          <w:spacing w:val="4"/>
          <w:sz w:val="24"/>
          <w:lang w:eastAsia="zh-CN"/>
        </w:rPr>
        <w:t>（财库〔2021〕19号）</w:t>
      </w:r>
      <w:r>
        <w:rPr>
          <w:rFonts w:hint="eastAsia" w:ascii="仿宋" w:hAnsi="仿宋" w:eastAsia="仿宋" w:cs="仿宋"/>
          <w:color w:val="auto"/>
          <w:spacing w:val="4"/>
          <w:sz w:val="24"/>
        </w:rPr>
        <w:t>文件规定的来自贫困地区提供农副产品的评标价计算规则：</w:t>
      </w:r>
    </w:p>
    <w:p w14:paraId="53D250F6">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.4.1在政府采购活动中，对于来自贫困地区提供农副产品的投标人，报价给予5%的扣除，用扣除后的价格参加评审。</w:t>
      </w:r>
    </w:p>
    <w:p w14:paraId="18AA3E35">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rPr>
        <w:t>其评标价=投标报价*（1-5%）</w:t>
      </w:r>
    </w:p>
    <w:p w14:paraId="4B491BAE">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.4.2确认为来自贫困地区提供农副产品的投标人，应当同时符合以下条件：</w:t>
      </w:r>
    </w:p>
    <w:p w14:paraId="0FFB3E6C">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.4.2.1符合</w:t>
      </w:r>
      <w:r>
        <w:rPr>
          <w:rFonts w:hint="eastAsia" w:ascii="仿宋" w:hAnsi="仿宋" w:eastAsia="仿宋" w:cs="仿宋"/>
          <w:color w:val="auto"/>
          <w:spacing w:val="4"/>
          <w:sz w:val="24"/>
          <w:lang w:eastAsia="zh-CN"/>
        </w:rPr>
        <w:t>（财库〔2021〕19号）</w:t>
      </w:r>
      <w:r>
        <w:rPr>
          <w:rFonts w:hint="eastAsia" w:ascii="仿宋" w:hAnsi="仿宋" w:eastAsia="仿宋" w:cs="仿宋"/>
          <w:color w:val="auto"/>
          <w:spacing w:val="4"/>
          <w:sz w:val="24"/>
        </w:rPr>
        <w:t>文件相关规定，在 832个国家级贫困县域内注册的企业、农民专业合作社、家庭农场等出产的农副产品。</w:t>
      </w:r>
    </w:p>
    <w:p w14:paraId="5CCC1C70">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.4.2.2投标时提供本单位生产的货物，或者提供其他贫困地区生产的货物。</w:t>
      </w:r>
    </w:p>
    <w:p w14:paraId="79DEBD51">
      <w:pPr>
        <w:spacing w:line="360" w:lineRule="auto"/>
        <w:ind w:left="1019" w:leftChars="249" w:hanging="496" w:hanging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.4.2.3投标人须提供相关证明文件。</w:t>
      </w:r>
    </w:p>
    <w:p w14:paraId="115196D8">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.5符合节能产品文件规定的评标价计算规则：</w:t>
      </w:r>
    </w:p>
    <w:p w14:paraId="1FEBC5F3">
      <w:pPr>
        <w:spacing w:line="360" w:lineRule="auto"/>
        <w:ind w:firstLine="496" w:firstLineChars="20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5.1投标货物涉及提供的所有投标产品进入“节能产品政府采购品目清单”（相关证书的颁发机构应来自《参与实施政府采购节能产品认证机构名录》）的，其评标价=投标报价*（1-3%）；（不是所有投标产品的不享受此项优惠）。</w:t>
      </w:r>
    </w:p>
    <w:p w14:paraId="114B802F">
      <w:pPr>
        <w:spacing w:line="360" w:lineRule="auto"/>
        <w:ind w:firstLine="520" w:firstLineChars="210"/>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.6符合环境标志产品文件规定的评标价计算规则：</w:t>
      </w:r>
    </w:p>
    <w:p w14:paraId="6C8CCF0A">
      <w:pPr>
        <w:spacing w:line="360" w:lineRule="auto"/>
        <w:ind w:firstLine="520" w:firstLineChars="210"/>
        <w:rPr>
          <w:rFonts w:hint="eastAsia" w:ascii="仿宋" w:hAnsi="仿宋" w:eastAsia="仿宋" w:cs="仿宋"/>
          <w:color w:val="auto"/>
          <w:lang w:eastAsia="zh-CN"/>
        </w:rPr>
      </w:pPr>
      <w:r>
        <w:rPr>
          <w:rFonts w:hint="eastAsia" w:ascii="仿宋" w:hAnsi="仿宋" w:eastAsia="仿宋" w:cs="仿宋"/>
          <w:color w:val="auto"/>
          <w:spacing w:val="4"/>
          <w:sz w:val="24"/>
          <w:lang w:val="en-US" w:eastAsia="zh-CN"/>
        </w:rPr>
        <w:t>5</w:t>
      </w:r>
      <w:r>
        <w:rPr>
          <w:rFonts w:hint="eastAsia" w:ascii="仿宋" w:hAnsi="仿宋" w:eastAsia="仿宋" w:cs="仿宋"/>
          <w:color w:val="auto"/>
          <w:spacing w:val="4"/>
          <w:sz w:val="24"/>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2115299F">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6.</w:t>
      </w:r>
      <w:r>
        <w:rPr>
          <w:rFonts w:hint="eastAsia" w:ascii="仿宋" w:hAnsi="仿宋" w:eastAsia="仿宋" w:cs="仿宋"/>
          <w:b/>
          <w:bCs/>
          <w:color w:val="auto"/>
          <w:sz w:val="24"/>
        </w:rPr>
        <w:t xml:space="preserve"> 中标人的确定</w:t>
      </w:r>
    </w:p>
    <w:p w14:paraId="116460F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6.1 评标委员会根据评标办法的规定对投标人进行评审排序，推荐综合得分最高的前三名为中标候选人，如果二个投标人得分相同时，取投标价格低者。</w:t>
      </w:r>
    </w:p>
    <w:p w14:paraId="54B92BB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6.2 招标代理机构应在评标结束后2个工作日内，将评标报告送达采购人定标。</w:t>
      </w:r>
    </w:p>
    <w:p w14:paraId="22AD860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6.3 采购人</w:t>
      </w:r>
      <w:r>
        <w:rPr>
          <w:rFonts w:hint="eastAsia" w:ascii="仿宋" w:hAnsi="仿宋" w:eastAsia="仿宋" w:cs="仿宋"/>
          <w:color w:val="auto"/>
          <w:sz w:val="24"/>
          <w:lang w:eastAsia="zh-CN"/>
        </w:rPr>
        <w:t>应自</w:t>
      </w:r>
      <w:r>
        <w:rPr>
          <w:rFonts w:hint="eastAsia" w:ascii="仿宋" w:hAnsi="仿宋" w:eastAsia="仿宋" w:cs="仿宋"/>
          <w:color w:val="auto"/>
          <w:sz w:val="24"/>
        </w:rPr>
        <w:t>收到评标报告</w:t>
      </w:r>
      <w:r>
        <w:rPr>
          <w:rFonts w:hint="eastAsia" w:ascii="仿宋" w:hAnsi="仿宋" w:eastAsia="仿宋" w:cs="仿宋"/>
          <w:color w:val="auto"/>
          <w:sz w:val="24"/>
          <w:lang w:eastAsia="zh-CN"/>
        </w:rPr>
        <w:t>之日起</w:t>
      </w:r>
      <w:r>
        <w:rPr>
          <w:rFonts w:hint="eastAsia" w:ascii="仿宋" w:hAnsi="仿宋" w:eastAsia="仿宋" w:cs="仿宋"/>
          <w:color w:val="auto"/>
          <w:sz w:val="24"/>
        </w:rPr>
        <w:t>5个工作日内，</w:t>
      </w:r>
      <w:r>
        <w:rPr>
          <w:rFonts w:hint="eastAsia" w:ascii="仿宋" w:hAnsi="仿宋" w:eastAsia="仿宋" w:cs="仿宋"/>
          <w:color w:val="auto"/>
          <w:sz w:val="24"/>
          <w:lang w:eastAsia="zh-CN"/>
        </w:rPr>
        <w:t>在评标报告确定的中标候选人名单中按顺序确定中标人。</w:t>
      </w:r>
      <w:r>
        <w:rPr>
          <w:rFonts w:hint="eastAsia" w:ascii="仿宋" w:hAnsi="仿宋" w:eastAsia="仿宋" w:cs="仿宋"/>
          <w:color w:val="auto"/>
          <w:sz w:val="24"/>
        </w:rPr>
        <w:t>也可以书面授权评标委员会评标后直接确定中标人，同时复函采购代理机构。</w:t>
      </w:r>
    </w:p>
    <w:p w14:paraId="1182AA17">
      <w:pPr>
        <w:widowControl/>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"http://lilun.caigou2003.com/recijiedu/2539165.html" \t "http://www.caigou2003.com/zhengcaizixun/baozhiwenzhang/_blank" </w:instrText>
      </w:r>
      <w:r>
        <w:rPr>
          <w:rFonts w:hint="eastAsia" w:ascii="仿宋" w:hAnsi="仿宋" w:eastAsia="仿宋" w:cs="仿宋"/>
          <w:color w:val="auto"/>
          <w:sz w:val="24"/>
        </w:rPr>
        <w:fldChar w:fldCharType="separate"/>
      </w:r>
      <w:r>
        <w:rPr>
          <w:rFonts w:hint="eastAsia" w:ascii="仿宋" w:hAnsi="仿宋" w:eastAsia="仿宋" w:cs="仿宋"/>
          <w:color w:val="auto"/>
          <w:sz w:val="24"/>
        </w:rPr>
        <w:t>评标委员会</w:t>
      </w:r>
      <w:r>
        <w:rPr>
          <w:rFonts w:hint="eastAsia" w:ascii="仿宋" w:hAnsi="仿宋" w:eastAsia="仿宋" w:cs="仿宋"/>
          <w:color w:val="auto"/>
          <w:sz w:val="24"/>
        </w:rPr>
        <w:fldChar w:fldCharType="end"/>
      </w:r>
      <w:r>
        <w:rPr>
          <w:rFonts w:hint="eastAsia" w:ascii="仿宋" w:hAnsi="仿宋" w:eastAsia="仿宋" w:cs="仿宋"/>
          <w:color w:val="auto"/>
          <w:sz w:val="24"/>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"http://lilun.caigou2003.com/recijiedu/2539165.html" \t "http://www.caigou2003.com/zhengcaizixun/baozhiwenzhang/_blank" </w:instrText>
      </w:r>
      <w:r>
        <w:rPr>
          <w:rFonts w:hint="eastAsia" w:ascii="仿宋" w:hAnsi="仿宋" w:eastAsia="仿宋" w:cs="仿宋"/>
          <w:color w:val="auto"/>
          <w:sz w:val="24"/>
        </w:rPr>
        <w:fldChar w:fldCharType="separate"/>
      </w:r>
      <w:r>
        <w:rPr>
          <w:rFonts w:hint="eastAsia" w:ascii="仿宋" w:hAnsi="仿宋" w:eastAsia="仿宋" w:cs="仿宋"/>
          <w:color w:val="auto"/>
          <w:sz w:val="24"/>
        </w:rPr>
        <w:t>评标委员会</w:t>
      </w:r>
      <w:r>
        <w:rPr>
          <w:rFonts w:hint="eastAsia" w:ascii="仿宋" w:hAnsi="仿宋" w:eastAsia="仿宋" w:cs="仿宋"/>
          <w:color w:val="auto"/>
          <w:sz w:val="24"/>
        </w:rPr>
        <w:fldChar w:fldCharType="end"/>
      </w:r>
      <w:r>
        <w:rPr>
          <w:rFonts w:hint="eastAsia" w:ascii="仿宋" w:hAnsi="仿宋" w:eastAsia="仿宋" w:cs="仿宋"/>
          <w:color w:val="auto"/>
          <w:sz w:val="24"/>
        </w:rPr>
        <w:t>应当将其作为无效投标处理。</w:t>
      </w:r>
    </w:p>
    <w:p w14:paraId="668427CC">
      <w:pPr>
        <w:pStyle w:val="1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评审内容及分值构成：</w:t>
      </w:r>
    </w:p>
    <w:tbl>
      <w:tblPr>
        <w:tblStyle w:val="3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92"/>
        <w:gridCol w:w="6973"/>
      </w:tblGrid>
      <w:tr w14:paraId="666B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0BBB48A2">
            <w:pPr>
              <w:spacing w:line="360" w:lineRule="auto"/>
              <w:jc w:val="center"/>
              <w:rPr>
                <w:rFonts w:hint="eastAsia" w:ascii="仿宋" w:hAnsi="仿宋" w:eastAsia="仿宋" w:cs="仿宋"/>
                <w:color w:val="auto"/>
              </w:rPr>
            </w:pPr>
            <w:r>
              <w:rPr>
                <w:rFonts w:hint="eastAsia" w:ascii="仿宋" w:hAnsi="仿宋" w:eastAsia="仿宋" w:cs="仿宋"/>
                <w:color w:val="auto"/>
              </w:rPr>
              <w:t>评标</w:t>
            </w:r>
          </w:p>
          <w:p w14:paraId="6384C15B">
            <w:pPr>
              <w:spacing w:line="360" w:lineRule="auto"/>
              <w:jc w:val="center"/>
              <w:rPr>
                <w:rFonts w:hint="eastAsia" w:ascii="仿宋" w:hAnsi="仿宋" w:eastAsia="仿宋" w:cs="仿宋"/>
                <w:color w:val="auto"/>
              </w:rPr>
            </w:pPr>
            <w:r>
              <w:rPr>
                <w:rFonts w:hint="eastAsia" w:ascii="仿宋" w:hAnsi="仿宋" w:eastAsia="仿宋" w:cs="仿宋"/>
                <w:color w:val="auto"/>
              </w:rPr>
              <w:t>因素</w:t>
            </w:r>
          </w:p>
        </w:tc>
        <w:tc>
          <w:tcPr>
            <w:tcW w:w="792" w:type="dxa"/>
            <w:tcBorders>
              <w:top w:val="single" w:color="auto" w:sz="4" w:space="0"/>
              <w:left w:val="single" w:color="auto" w:sz="4" w:space="0"/>
              <w:right w:val="single" w:color="auto" w:sz="4" w:space="0"/>
            </w:tcBorders>
            <w:noWrap w:val="0"/>
            <w:vAlign w:val="center"/>
          </w:tcPr>
          <w:p w14:paraId="079E16CB">
            <w:pPr>
              <w:spacing w:line="360" w:lineRule="auto"/>
              <w:jc w:val="center"/>
              <w:rPr>
                <w:rFonts w:hint="eastAsia" w:ascii="仿宋" w:hAnsi="仿宋" w:eastAsia="仿宋" w:cs="仿宋"/>
                <w:color w:val="auto"/>
              </w:rPr>
            </w:pPr>
            <w:r>
              <w:rPr>
                <w:rFonts w:hint="eastAsia" w:ascii="仿宋" w:hAnsi="仿宋" w:eastAsia="仿宋" w:cs="仿宋"/>
                <w:color w:val="auto"/>
              </w:rPr>
              <w:t>权值%</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70351EE1">
            <w:pPr>
              <w:spacing w:line="360" w:lineRule="auto"/>
              <w:jc w:val="center"/>
              <w:rPr>
                <w:rFonts w:hint="eastAsia" w:ascii="仿宋" w:hAnsi="仿宋" w:eastAsia="仿宋" w:cs="仿宋"/>
                <w:color w:val="auto"/>
              </w:rPr>
            </w:pPr>
            <w:r>
              <w:rPr>
                <w:rFonts w:hint="eastAsia" w:ascii="仿宋" w:hAnsi="仿宋" w:eastAsia="仿宋" w:cs="仿宋"/>
                <w:color w:val="auto"/>
              </w:rPr>
              <w:t>评价要素</w:t>
            </w:r>
          </w:p>
        </w:tc>
      </w:tr>
      <w:tr w14:paraId="52A0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14A09177">
            <w:pPr>
              <w:spacing w:line="360" w:lineRule="auto"/>
              <w:jc w:val="center"/>
              <w:rPr>
                <w:rFonts w:hint="eastAsia" w:ascii="仿宋" w:hAnsi="仿宋" w:eastAsia="仿宋" w:cs="仿宋"/>
                <w:color w:val="auto"/>
              </w:rPr>
            </w:pPr>
            <w:r>
              <w:rPr>
                <w:rFonts w:hint="eastAsia" w:ascii="仿宋" w:hAnsi="仿宋" w:eastAsia="仿宋" w:cs="仿宋"/>
                <w:color w:val="auto"/>
              </w:rPr>
              <w:t>价格</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EC1509C">
            <w:pPr>
              <w:spacing w:line="360" w:lineRule="auto"/>
              <w:jc w:val="center"/>
              <w:rPr>
                <w:rFonts w:hint="eastAsia" w:ascii="仿宋" w:hAnsi="仿宋" w:eastAsia="仿宋" w:cs="仿宋"/>
                <w:color w:val="auto"/>
              </w:rPr>
            </w:pPr>
            <w:r>
              <w:rPr>
                <w:rFonts w:hint="eastAsia" w:ascii="仿宋" w:hAnsi="仿宋" w:eastAsia="仿宋" w:cs="仿宋"/>
                <w:color w:val="auto"/>
              </w:rPr>
              <w:t>30</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0A2A6A78">
            <w:pPr>
              <w:spacing w:line="360" w:lineRule="auto"/>
              <w:rPr>
                <w:rFonts w:hint="eastAsia" w:ascii="仿宋" w:hAnsi="仿宋" w:eastAsia="仿宋" w:cs="仿宋"/>
                <w:color w:val="auto"/>
                <w:highlight w:val="none"/>
                <w:lang w:val="zh-CN"/>
              </w:rPr>
            </w:pPr>
            <w:r>
              <w:rPr>
                <w:rFonts w:hint="eastAsia" w:ascii="仿宋" w:hAnsi="仿宋" w:eastAsia="仿宋" w:cs="仿宋"/>
                <w:color w:val="auto"/>
                <w:lang w:val="zh-CN"/>
              </w:rPr>
              <w:t>满足招标文件要求且投标价格最低的投标报价为评标基准价，其价格分为满分。其他投标供应商的价格分统一按照下列公式计算：投标报价得分=（</w:t>
            </w:r>
            <w:r>
              <w:rPr>
                <w:rFonts w:hint="eastAsia" w:ascii="仿宋" w:hAnsi="仿宋" w:eastAsia="仿宋" w:cs="仿宋"/>
                <w:color w:val="auto"/>
                <w:highlight w:val="none"/>
                <w:lang w:val="zh-CN"/>
              </w:rPr>
              <w:t>评标基准价/投标报价）×价格权值%×100</w:t>
            </w:r>
          </w:p>
          <w:p w14:paraId="0EFEEC19">
            <w:pPr>
              <w:spacing w:line="360" w:lineRule="auto"/>
              <w:rPr>
                <w:rFonts w:hint="eastAsia" w:ascii="仿宋" w:hAnsi="仿宋" w:eastAsia="仿宋" w:cs="仿宋"/>
                <w:color w:val="auto"/>
              </w:rPr>
            </w:pPr>
            <w:r>
              <w:rPr>
                <w:rFonts w:hint="eastAsia" w:ascii="仿宋" w:hAnsi="仿宋" w:eastAsia="仿宋" w:cs="仿宋"/>
                <w:color w:val="auto"/>
                <w:highlight w:val="none"/>
                <w:lang w:val="zh-CN"/>
              </w:rPr>
              <w:t>符合政策性优惠的，按照招标文件中第五部分，第</w:t>
            </w:r>
            <w:r>
              <w:rPr>
                <w:rFonts w:hint="eastAsia" w:ascii="仿宋" w:hAnsi="仿宋" w:eastAsia="仿宋" w:cs="仿宋"/>
                <w:color w:val="auto"/>
                <w:highlight w:val="none"/>
              </w:rPr>
              <w:t>5</w:t>
            </w:r>
            <w:r>
              <w:rPr>
                <w:rFonts w:hint="eastAsia" w:ascii="仿宋" w:hAnsi="仿宋" w:eastAsia="仿宋" w:cs="仿宋"/>
                <w:color w:val="auto"/>
                <w:highlight w:val="none"/>
                <w:lang w:val="zh-CN"/>
              </w:rPr>
              <w:t>条执行。</w:t>
            </w:r>
          </w:p>
        </w:tc>
      </w:tr>
      <w:tr w14:paraId="14F4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74C7E4C6">
            <w:pPr>
              <w:spacing w:line="360" w:lineRule="auto"/>
              <w:jc w:val="center"/>
              <w:rPr>
                <w:rFonts w:hint="eastAsia" w:ascii="仿宋" w:hAnsi="仿宋" w:eastAsia="仿宋" w:cs="仿宋"/>
                <w:color w:val="auto"/>
                <w:lang w:val="zh-CN"/>
              </w:rPr>
            </w:pPr>
            <w:r>
              <w:rPr>
                <w:rFonts w:hint="eastAsia" w:ascii="仿宋" w:hAnsi="仿宋" w:eastAsia="仿宋" w:cs="仿宋"/>
                <w:color w:val="auto"/>
                <w:lang w:val="zh-CN"/>
              </w:rPr>
              <w:t>商务响应</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4FAFF1BB">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62D181B4">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经过有效性和符合性审核合格的单位，对付款、服务期、质量、验收、服务等方面进行响应，按响应程度赋</w:t>
            </w:r>
            <w:r>
              <w:rPr>
                <w:rFonts w:hint="eastAsia" w:ascii="仿宋" w:hAnsi="仿宋" w:eastAsia="仿宋" w:cs="仿宋"/>
                <w:color w:val="auto"/>
                <w:highlight w:val="none"/>
                <w:lang w:val="en-US" w:eastAsia="zh-CN"/>
              </w:rPr>
              <w:t>0-3</w:t>
            </w:r>
            <w:r>
              <w:rPr>
                <w:rFonts w:hint="eastAsia" w:ascii="仿宋" w:hAnsi="仿宋" w:eastAsia="仿宋" w:cs="仿宋"/>
                <w:color w:val="auto"/>
                <w:highlight w:val="none"/>
                <w:lang w:val="zh-CN"/>
              </w:rPr>
              <w:t>分。</w:t>
            </w:r>
          </w:p>
        </w:tc>
      </w:tr>
      <w:tr w14:paraId="28CC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0775FF09">
            <w:pPr>
              <w:spacing w:line="360"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投标产品技术指标及功能评审内容</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42B3D5EE">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349A781B">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依据各投标人响应的投标产品参数要求等情况进行评审：满足全部参数要求的计 30 分；标注“★ ”项为关键参数，每一项负偏离扣 </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分，其他每一项负偏离扣 1 分，扣完为止。</w:t>
            </w:r>
          </w:p>
          <w:p w14:paraId="41F678E2">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备注：提供佐证材料（包括但不限于产品技术说明书、国家认可的第三方检测报告、产品官方网站截图等相关证明材料），予以证明参数的技术响应性，若有提供虚假参数及材 料应标的，经查实将按照有关法律规定进行严肃处理。</w:t>
            </w:r>
          </w:p>
        </w:tc>
      </w:tr>
      <w:tr w14:paraId="4C0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053BBE72">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产品</w:t>
            </w:r>
          </w:p>
          <w:p w14:paraId="031F4541">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选型</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47A4E00">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val="en-US" w:eastAsia="zh-CN"/>
              </w:rPr>
              <w:t>3</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4A16CA89">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针对本项目所投设备选型合理、功能齐全，规格、型号，配套设施完整，技术资料齐全，并附有详细的配件清单，①配置齐全；②完全满足采购需求；③提供产品备品备件价目表， 并承诺质保期后的维修仍然按照备品备件表内价格收取费用。</w:t>
            </w:r>
          </w:p>
          <w:p w14:paraId="07D6D5B3">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 xml:space="preserve">每项满分 </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 xml:space="preserve"> 分，缺项不得分，每有一项内容存在缺陷，扣 0.5-1 分。</w:t>
            </w:r>
          </w:p>
        </w:tc>
      </w:tr>
      <w:tr w14:paraId="0359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660A3E48">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质量保证</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0D43E86D">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51CA56D6">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投标产品货源渠道正规（不限于授权书等）；符合国家的标准和有关规定，有完备可靠的质量保证措施；提供完整的资料证明文件（如产品彩页、技术白皮书、国家认可的第三方检验报告、产品技术说明书等），得</w:t>
            </w:r>
            <w:r>
              <w:rPr>
                <w:rFonts w:hint="eastAsia" w:ascii="仿宋" w:hAnsi="仿宋" w:eastAsia="仿宋" w:cs="仿宋"/>
                <w:color w:val="auto"/>
                <w:lang w:val="en-US" w:eastAsia="zh-CN"/>
              </w:rPr>
              <w:t>6</w:t>
            </w:r>
            <w:r>
              <w:rPr>
                <w:rFonts w:hint="eastAsia" w:ascii="仿宋" w:hAnsi="仿宋" w:eastAsia="仿宋" w:cs="仿宋"/>
                <w:color w:val="auto"/>
                <w:lang w:val="zh-CN" w:eastAsia="zh-CN"/>
              </w:rPr>
              <w:t>分；</w:t>
            </w:r>
          </w:p>
          <w:p w14:paraId="22DB1E9F">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有质量保证措施，经过有关部门检测。能保证使用单位正常使用和维护，提供部分资料证明文件，得</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分；</w:t>
            </w:r>
          </w:p>
          <w:p w14:paraId="050411FA">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能保证使用单位正常使用和维护。提供部分资料证明文件，得</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分；</w:t>
            </w:r>
          </w:p>
          <w:p w14:paraId="7554DA46">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未提供相关资料证明文件得 0 分。</w:t>
            </w:r>
          </w:p>
        </w:tc>
      </w:tr>
      <w:tr w14:paraId="70B0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5AE779B4">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履约能力</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634B6A46">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52DB8248">
            <w:pPr>
              <w:spacing w:line="360" w:lineRule="auto"/>
              <w:jc w:val="both"/>
              <w:rPr>
                <w:rFonts w:hint="eastAsia" w:ascii="仿宋" w:hAnsi="仿宋" w:eastAsia="仿宋" w:cs="仿宋"/>
                <w:color w:val="auto"/>
                <w:lang w:val="zh-CN" w:eastAsia="zh-CN"/>
              </w:rPr>
            </w:pPr>
            <w:r>
              <w:rPr>
                <w:rFonts w:hint="eastAsia" w:ascii="仿宋" w:hAnsi="仿宋" w:eastAsia="仿宋" w:cs="仿宋"/>
                <w:color w:val="auto"/>
                <w:lang w:val="zh-CN" w:eastAsia="zh-CN"/>
              </w:rPr>
              <w:t>拟投入本项目的技术人员配备，内容包括：①人员配备及职责分工；②相关人员资质证书；③提供相关人员近半年本单位社保缴纳证明等。</w:t>
            </w:r>
          </w:p>
          <w:p w14:paraId="517F66C3">
            <w:pPr>
              <w:spacing w:line="360" w:lineRule="auto"/>
              <w:jc w:val="both"/>
              <w:rPr>
                <w:rFonts w:hint="eastAsia" w:ascii="仿宋" w:hAnsi="仿宋" w:eastAsia="仿宋" w:cs="仿宋"/>
                <w:color w:val="auto"/>
                <w:lang w:val="zh-CN" w:eastAsia="zh-CN"/>
              </w:rPr>
            </w:pPr>
            <w:r>
              <w:rPr>
                <w:rFonts w:hint="eastAsia" w:ascii="仿宋" w:hAnsi="仿宋" w:eastAsia="仿宋" w:cs="仿宋"/>
                <w:color w:val="auto"/>
                <w:lang w:val="zh-CN" w:eastAsia="zh-CN"/>
              </w:rPr>
              <w:t xml:space="preserve">人员配备全面合理，责任制度明确符合本项目采购需求， 能有效保障本项目实施。每项满分 </w:t>
            </w:r>
            <w:r>
              <w:rPr>
                <w:rFonts w:hint="eastAsia" w:ascii="仿宋" w:hAnsi="仿宋" w:eastAsia="仿宋" w:cs="仿宋"/>
                <w:color w:val="auto"/>
                <w:lang w:val="en-US" w:eastAsia="zh-CN"/>
              </w:rPr>
              <w:t>2</w:t>
            </w:r>
            <w:r>
              <w:rPr>
                <w:rFonts w:hint="eastAsia" w:ascii="仿宋" w:hAnsi="仿宋" w:eastAsia="仿宋" w:cs="仿宋"/>
                <w:color w:val="auto"/>
                <w:lang w:val="zh-CN" w:eastAsia="zh-CN"/>
              </w:rPr>
              <w:t xml:space="preserve"> 分，缺项不得分，每项内容存在缺陷，扣 </w:t>
            </w:r>
            <w:r>
              <w:rPr>
                <w:rFonts w:hint="eastAsia" w:ascii="仿宋" w:hAnsi="仿宋" w:eastAsia="仿宋" w:cs="仿宋"/>
                <w:color w:val="auto"/>
                <w:lang w:val="en-US" w:eastAsia="zh-CN"/>
              </w:rPr>
              <w:t>0.5-1</w:t>
            </w:r>
            <w:r>
              <w:rPr>
                <w:rFonts w:hint="eastAsia" w:ascii="仿宋" w:hAnsi="仿宋" w:eastAsia="仿宋" w:cs="仿宋"/>
                <w:color w:val="auto"/>
                <w:lang w:val="zh-CN" w:eastAsia="zh-CN"/>
              </w:rPr>
              <w:t>分。</w:t>
            </w:r>
          </w:p>
        </w:tc>
      </w:tr>
      <w:tr w14:paraId="0B83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exac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1FB7647D">
            <w:pPr>
              <w:spacing w:line="360" w:lineRule="auto"/>
              <w:jc w:val="center"/>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供货</w:t>
            </w:r>
          </w:p>
          <w:p w14:paraId="1439FA43">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zh-CN" w:eastAsia="zh-CN" w:bidi="ar-SA"/>
              </w:rPr>
              <w:t>方案</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B84365D">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10</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32C168E8">
            <w:pPr>
              <w:pStyle w:val="117"/>
              <w:spacing w:before="37" w:line="349" w:lineRule="auto"/>
              <w:ind w:right="106"/>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提供详细具体的供货方案，内容包括：①备货、供货进度； ②产品安装调试；③验收组织；④工作保障措施；⑤包装运输等。</w:t>
            </w:r>
          </w:p>
          <w:p w14:paraId="2A779502">
            <w:pPr>
              <w:pStyle w:val="117"/>
              <w:spacing w:before="37" w:line="346" w:lineRule="auto"/>
              <w:ind w:right="106"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方案各项内容全面详细、阐述条理清晰详尽、符合本项 目采购需求，能有效保障本项目实施。</w:t>
            </w:r>
          </w:p>
          <w:p w14:paraId="47CB4718">
            <w:pPr>
              <w:spacing w:line="360" w:lineRule="auto"/>
              <w:ind w:firstLine="420" w:firstLineChars="200"/>
              <w:jc w:val="both"/>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lang w:val="zh-CN" w:eastAsia="zh-CN"/>
              </w:rPr>
              <w:t>方案详细完整、具体可行的计</w:t>
            </w:r>
            <w:r>
              <w:rPr>
                <w:rFonts w:hint="eastAsia" w:ascii="仿宋" w:hAnsi="仿宋" w:eastAsia="仿宋" w:cs="仿宋"/>
                <w:color w:val="auto"/>
                <w:lang w:val="en-US" w:eastAsia="zh-CN"/>
              </w:rPr>
              <w:t>5.1</w:t>
            </w:r>
            <w:r>
              <w:rPr>
                <w:rFonts w:hint="eastAsia" w:ascii="仿宋" w:hAnsi="仿宋" w:eastAsia="仿宋" w:cs="仿宋"/>
                <w:color w:val="auto"/>
                <w:lang w:val="zh-CN" w:eastAsia="zh-CN"/>
              </w:rPr>
              <w:t>～1</w:t>
            </w:r>
            <w:r>
              <w:rPr>
                <w:rFonts w:hint="eastAsia" w:ascii="仿宋" w:hAnsi="仿宋" w:eastAsia="仿宋" w:cs="仿宋"/>
                <w:color w:val="auto"/>
                <w:lang w:val="en-US" w:eastAsia="zh-CN"/>
              </w:rPr>
              <w:t>0</w:t>
            </w:r>
            <w:r>
              <w:rPr>
                <w:rFonts w:hint="eastAsia" w:ascii="仿宋" w:hAnsi="仿宋" w:eastAsia="仿宋" w:cs="仿宋"/>
                <w:color w:val="auto"/>
                <w:lang w:val="zh-CN" w:eastAsia="zh-CN"/>
              </w:rPr>
              <w:t>分；方案基本详细、可行性一般的计1～</w:t>
            </w:r>
            <w:r>
              <w:rPr>
                <w:rFonts w:hint="eastAsia" w:ascii="仿宋" w:hAnsi="仿宋" w:eastAsia="仿宋" w:cs="仿宋"/>
                <w:color w:val="auto"/>
                <w:lang w:val="en-US" w:eastAsia="zh-CN"/>
              </w:rPr>
              <w:t>5</w:t>
            </w:r>
            <w:r>
              <w:rPr>
                <w:rFonts w:hint="eastAsia" w:ascii="仿宋" w:hAnsi="仿宋" w:eastAsia="仿宋" w:cs="仿宋"/>
                <w:color w:val="auto"/>
                <w:lang w:val="zh-CN" w:eastAsia="zh-CN"/>
              </w:rPr>
              <w:t>分，未提供不得分。</w:t>
            </w:r>
          </w:p>
        </w:tc>
      </w:tr>
      <w:tr w14:paraId="2816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75842483">
            <w:pPr>
              <w:spacing w:line="360" w:lineRule="auto"/>
              <w:jc w:val="center"/>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应急</w:t>
            </w:r>
          </w:p>
          <w:p w14:paraId="17C232DB">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zh-CN" w:eastAsia="zh-CN" w:bidi="ar-SA"/>
              </w:rPr>
              <w:t>方案</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058C369">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2</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5AC37D98">
            <w:pPr>
              <w:pStyle w:val="117"/>
              <w:spacing w:before="37" w:line="344" w:lineRule="auto"/>
              <w:ind w:right="109"/>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提供针对本项目的应急方案，内容包括：①预防机制；②突发事件；③应急响应；④后期处置等。</w:t>
            </w:r>
          </w:p>
          <w:p w14:paraId="4C5DAB03">
            <w:pPr>
              <w:pStyle w:val="117"/>
              <w:spacing w:before="38" w:line="346" w:lineRule="auto"/>
              <w:ind w:right="106"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方案各项内容全面详细、阐述条理清晰、针对性强，实 施性科学合理。</w:t>
            </w:r>
          </w:p>
          <w:p w14:paraId="49A0C9B0">
            <w:pPr>
              <w:spacing w:line="360" w:lineRule="auto"/>
              <w:ind w:firstLine="420" w:firstLineChars="200"/>
              <w:jc w:val="both"/>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按响应程度赋</w:t>
            </w:r>
            <w:r>
              <w:rPr>
                <w:rFonts w:hint="eastAsia" w:ascii="仿宋" w:hAnsi="仿宋" w:eastAsia="仿宋" w:cs="仿宋"/>
                <w:color w:val="auto"/>
                <w:kern w:val="2"/>
                <w:sz w:val="21"/>
                <w:szCs w:val="24"/>
                <w:highlight w:val="none"/>
                <w:lang w:val="en-US" w:eastAsia="zh-CN" w:bidi="ar-SA"/>
              </w:rPr>
              <w:t>1-2</w:t>
            </w:r>
            <w:r>
              <w:rPr>
                <w:rFonts w:hint="eastAsia" w:ascii="仿宋" w:hAnsi="仿宋" w:eastAsia="仿宋" w:cs="仿宋"/>
                <w:color w:val="auto"/>
                <w:kern w:val="2"/>
                <w:sz w:val="21"/>
                <w:szCs w:val="24"/>
                <w:highlight w:val="none"/>
                <w:lang w:val="zh-CN" w:eastAsia="zh-CN" w:bidi="ar-SA"/>
              </w:rPr>
              <w:t>分，缺项不得分。</w:t>
            </w:r>
          </w:p>
        </w:tc>
      </w:tr>
      <w:tr w14:paraId="5B06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exact"/>
          <w:jc w:val="center"/>
        </w:trPr>
        <w:tc>
          <w:tcPr>
            <w:tcW w:w="1274" w:type="dxa"/>
            <w:vMerge w:val="restart"/>
            <w:tcBorders>
              <w:top w:val="single" w:color="auto" w:sz="4" w:space="0"/>
              <w:left w:val="single" w:color="auto" w:sz="4" w:space="0"/>
              <w:right w:val="single" w:color="auto" w:sz="4" w:space="0"/>
            </w:tcBorders>
            <w:noWrap w:val="0"/>
            <w:vAlign w:val="center"/>
          </w:tcPr>
          <w:p w14:paraId="35CFAF36">
            <w:pPr>
              <w:spacing w:line="360" w:lineRule="auto"/>
              <w:jc w:val="center"/>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售后</w:t>
            </w:r>
          </w:p>
          <w:p w14:paraId="20ABC5A2">
            <w:pPr>
              <w:spacing w:line="360" w:lineRule="auto"/>
              <w:jc w:val="center"/>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及培训</w:t>
            </w:r>
          </w:p>
          <w:p w14:paraId="1F933199">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zh-CN" w:eastAsia="zh-CN" w:bidi="ar-SA"/>
              </w:rPr>
              <w:t>方案</w:t>
            </w:r>
          </w:p>
        </w:tc>
        <w:tc>
          <w:tcPr>
            <w:tcW w:w="792" w:type="dxa"/>
            <w:vMerge w:val="restart"/>
            <w:tcBorders>
              <w:top w:val="single" w:color="auto" w:sz="4" w:space="0"/>
              <w:left w:val="single" w:color="auto" w:sz="4" w:space="0"/>
              <w:right w:val="single" w:color="auto" w:sz="4" w:space="0"/>
            </w:tcBorders>
            <w:noWrap w:val="0"/>
            <w:vAlign w:val="center"/>
          </w:tcPr>
          <w:p w14:paraId="38046EC3">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8</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35A23A6D">
            <w:pPr>
              <w:pStyle w:val="117"/>
              <w:spacing w:before="38" w:line="219" w:lineRule="auto"/>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售后服务方案（6 分）</w:t>
            </w:r>
          </w:p>
          <w:p w14:paraId="4159E4A3">
            <w:pPr>
              <w:pStyle w:val="117"/>
              <w:spacing w:before="182" w:line="350" w:lineRule="auto"/>
              <w:ind w:right="152" w:firstLine="420" w:firstLineChars="200"/>
              <w:jc w:val="both"/>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内容包括：①售后服务体系；②人员配置；③服务内容；④ 项目交付采购人后出现故障的响应时间、解决故障时间；⑤ 补救措施；⑥定期巡检维护方案等。</w:t>
            </w:r>
          </w:p>
          <w:p w14:paraId="1FA4076C">
            <w:pPr>
              <w:pStyle w:val="117"/>
              <w:spacing w:before="35" w:line="346" w:lineRule="auto"/>
              <w:ind w:right="106"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售后服务方案各项内容全面详细、阐述条理清晰、针对性、可实施性强，能够向采购人提供专业的售后服务。</w:t>
            </w:r>
          </w:p>
          <w:p w14:paraId="07A5DCB4">
            <w:pPr>
              <w:pStyle w:val="117"/>
              <w:spacing w:before="33" w:line="347" w:lineRule="auto"/>
              <w:ind w:right="167"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按响应程度赋</w:t>
            </w:r>
            <w:r>
              <w:rPr>
                <w:rFonts w:hint="eastAsia" w:ascii="仿宋" w:hAnsi="仿宋" w:eastAsia="仿宋" w:cs="仿宋"/>
                <w:color w:val="auto"/>
                <w:kern w:val="2"/>
                <w:sz w:val="21"/>
                <w:szCs w:val="24"/>
                <w:highlight w:val="none"/>
                <w:lang w:val="en-US" w:eastAsia="zh-CN" w:bidi="ar-SA"/>
              </w:rPr>
              <w:t>1-6</w:t>
            </w:r>
            <w:r>
              <w:rPr>
                <w:rFonts w:hint="eastAsia" w:ascii="仿宋" w:hAnsi="仿宋" w:eastAsia="仿宋" w:cs="仿宋"/>
                <w:color w:val="auto"/>
                <w:kern w:val="2"/>
                <w:sz w:val="21"/>
                <w:szCs w:val="24"/>
                <w:highlight w:val="none"/>
                <w:lang w:val="zh-CN" w:eastAsia="zh-CN" w:bidi="ar-SA"/>
              </w:rPr>
              <w:t>分，缺项不得分。</w:t>
            </w:r>
          </w:p>
        </w:tc>
      </w:tr>
      <w:tr w14:paraId="4FE9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exact"/>
          <w:jc w:val="center"/>
        </w:trPr>
        <w:tc>
          <w:tcPr>
            <w:tcW w:w="1274" w:type="dxa"/>
            <w:vMerge w:val="continue"/>
            <w:tcBorders>
              <w:left w:val="single" w:color="auto" w:sz="4" w:space="0"/>
              <w:bottom w:val="single" w:color="auto" w:sz="4" w:space="0"/>
              <w:right w:val="single" w:color="auto" w:sz="4" w:space="0"/>
            </w:tcBorders>
            <w:noWrap w:val="0"/>
            <w:vAlign w:val="center"/>
          </w:tcPr>
          <w:p w14:paraId="2063230F">
            <w:pPr>
              <w:spacing w:line="360" w:lineRule="auto"/>
              <w:jc w:val="center"/>
              <w:rPr>
                <w:rFonts w:hint="eastAsia" w:ascii="仿宋" w:hAnsi="仿宋" w:eastAsia="仿宋" w:cs="仿宋"/>
                <w:color w:val="auto"/>
                <w:kern w:val="2"/>
                <w:sz w:val="21"/>
                <w:szCs w:val="24"/>
                <w:highlight w:val="none"/>
                <w:lang w:val="zh-CN" w:eastAsia="zh-CN" w:bidi="ar-SA"/>
              </w:rPr>
            </w:pPr>
          </w:p>
        </w:tc>
        <w:tc>
          <w:tcPr>
            <w:tcW w:w="792" w:type="dxa"/>
            <w:vMerge w:val="continue"/>
            <w:tcBorders>
              <w:left w:val="single" w:color="auto" w:sz="4" w:space="0"/>
              <w:bottom w:val="single" w:color="auto" w:sz="4" w:space="0"/>
              <w:right w:val="single" w:color="auto" w:sz="4" w:space="0"/>
            </w:tcBorders>
            <w:noWrap w:val="0"/>
            <w:vAlign w:val="center"/>
          </w:tcPr>
          <w:p w14:paraId="323AB9ED">
            <w:pPr>
              <w:spacing w:line="360" w:lineRule="auto"/>
              <w:jc w:val="center"/>
              <w:rPr>
                <w:rFonts w:hint="eastAsia" w:ascii="仿宋" w:hAnsi="仿宋" w:eastAsia="仿宋" w:cs="仿宋"/>
                <w:color w:val="auto"/>
                <w:kern w:val="2"/>
                <w:sz w:val="21"/>
                <w:szCs w:val="24"/>
                <w:highlight w:val="none"/>
                <w:lang w:val="en-US" w:eastAsia="zh-CN" w:bidi="ar-SA"/>
              </w:rPr>
            </w:pPr>
          </w:p>
        </w:tc>
        <w:tc>
          <w:tcPr>
            <w:tcW w:w="6973" w:type="dxa"/>
            <w:tcBorders>
              <w:top w:val="single" w:color="auto" w:sz="4" w:space="0"/>
              <w:left w:val="single" w:color="auto" w:sz="4" w:space="0"/>
              <w:bottom w:val="single" w:color="auto" w:sz="4" w:space="0"/>
              <w:right w:val="single" w:color="auto" w:sz="4" w:space="0"/>
            </w:tcBorders>
            <w:noWrap w:val="0"/>
            <w:vAlign w:val="center"/>
          </w:tcPr>
          <w:p w14:paraId="76F03842">
            <w:pPr>
              <w:pStyle w:val="117"/>
              <w:spacing w:before="31" w:line="220" w:lineRule="auto"/>
              <w:ind w:left="115"/>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培训方案（</w:t>
            </w:r>
            <w:r>
              <w:rPr>
                <w:rFonts w:hint="eastAsia" w:ascii="仿宋" w:hAnsi="仿宋" w:eastAsia="仿宋" w:cs="仿宋"/>
                <w:color w:val="auto"/>
                <w:kern w:val="2"/>
                <w:sz w:val="21"/>
                <w:szCs w:val="24"/>
                <w:highlight w:val="none"/>
                <w:lang w:val="en-US" w:eastAsia="zh-CN" w:bidi="ar-SA"/>
              </w:rPr>
              <w:t>2</w:t>
            </w:r>
            <w:bookmarkStart w:id="95" w:name="_GoBack"/>
            <w:bookmarkEnd w:id="95"/>
            <w:r>
              <w:rPr>
                <w:rFonts w:hint="eastAsia" w:ascii="仿宋" w:hAnsi="仿宋" w:eastAsia="仿宋" w:cs="仿宋"/>
                <w:color w:val="auto"/>
                <w:kern w:val="2"/>
                <w:sz w:val="21"/>
                <w:szCs w:val="24"/>
                <w:highlight w:val="none"/>
                <w:lang w:val="zh-CN" w:eastAsia="zh-CN" w:bidi="ar-SA"/>
              </w:rPr>
              <w:t xml:space="preserve"> 分）</w:t>
            </w:r>
          </w:p>
          <w:p w14:paraId="35807C93">
            <w:pPr>
              <w:pStyle w:val="117"/>
              <w:spacing w:before="181" w:line="345" w:lineRule="auto"/>
              <w:ind w:right="106"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内容包括：①培训人数；②培训时间；③培训内容；④培训方式等。</w:t>
            </w:r>
          </w:p>
          <w:p w14:paraId="1F064D14">
            <w:pPr>
              <w:pStyle w:val="117"/>
              <w:spacing w:before="36" w:line="343" w:lineRule="auto"/>
              <w:ind w:right="146" w:firstLine="420" w:firstLineChars="20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培训方案各项内容全面详细、阐述条理清晰、针对性、 可实施性强，能够向采购人提供专业的培训服务。</w:t>
            </w:r>
          </w:p>
          <w:p w14:paraId="57343C37">
            <w:pPr>
              <w:spacing w:line="360" w:lineRule="auto"/>
              <w:ind w:firstLine="420" w:firstLineChars="200"/>
              <w:jc w:val="both"/>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kern w:val="2"/>
                <w:sz w:val="21"/>
                <w:szCs w:val="24"/>
                <w:highlight w:val="none"/>
                <w:lang w:val="zh-CN" w:eastAsia="zh-CN" w:bidi="ar-SA"/>
              </w:rPr>
              <w:t>按响应程度赋</w:t>
            </w:r>
            <w:r>
              <w:rPr>
                <w:rFonts w:hint="eastAsia" w:ascii="仿宋" w:hAnsi="仿宋" w:eastAsia="仿宋" w:cs="仿宋"/>
                <w:color w:val="auto"/>
                <w:kern w:val="2"/>
                <w:sz w:val="21"/>
                <w:szCs w:val="24"/>
                <w:highlight w:val="none"/>
                <w:lang w:val="en-US" w:eastAsia="zh-CN" w:bidi="ar-SA"/>
              </w:rPr>
              <w:t>1-2</w:t>
            </w:r>
            <w:r>
              <w:rPr>
                <w:rFonts w:hint="eastAsia" w:ascii="仿宋" w:hAnsi="仿宋" w:eastAsia="仿宋" w:cs="仿宋"/>
                <w:color w:val="auto"/>
                <w:kern w:val="2"/>
                <w:sz w:val="21"/>
                <w:szCs w:val="24"/>
                <w:highlight w:val="none"/>
                <w:lang w:val="zh-CN" w:eastAsia="zh-CN" w:bidi="ar-SA"/>
              </w:rPr>
              <w:t>分，缺项不得分。</w:t>
            </w:r>
          </w:p>
        </w:tc>
      </w:tr>
      <w:tr w14:paraId="08CD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14:paraId="133FEE97">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zh-CN" w:eastAsia="zh-CN" w:bidi="ar-SA"/>
              </w:rPr>
              <w:t>业绩</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18E4E7DC">
            <w:pPr>
              <w:spacing w:line="360"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2</w:t>
            </w:r>
          </w:p>
        </w:tc>
        <w:tc>
          <w:tcPr>
            <w:tcW w:w="6973" w:type="dxa"/>
            <w:tcBorders>
              <w:top w:val="single" w:color="auto" w:sz="4" w:space="0"/>
              <w:left w:val="single" w:color="auto" w:sz="4" w:space="0"/>
              <w:bottom w:val="single" w:color="auto" w:sz="4" w:space="0"/>
              <w:right w:val="single" w:color="auto" w:sz="4" w:space="0"/>
            </w:tcBorders>
            <w:noWrap w:val="0"/>
            <w:vAlign w:val="center"/>
          </w:tcPr>
          <w:p w14:paraId="4F365B97">
            <w:pPr>
              <w:spacing w:line="360" w:lineRule="auto"/>
              <w:ind w:firstLine="42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rPr>
              <w:t>提供所投核心产品 2021 年 1 月 1 日至今项目业绩，投标文件中附有其业绩证明材料，业绩以完整合同复印件为依据， 每提供一个计 1 分，满分 2 分。</w:t>
            </w:r>
          </w:p>
        </w:tc>
      </w:tr>
      <w:tr w14:paraId="78CB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039" w:type="dxa"/>
            <w:gridSpan w:val="3"/>
            <w:tcBorders>
              <w:top w:val="single" w:color="auto" w:sz="4" w:space="0"/>
              <w:left w:val="single" w:color="auto" w:sz="4" w:space="0"/>
              <w:bottom w:val="single" w:color="auto" w:sz="4" w:space="0"/>
              <w:right w:val="single" w:color="auto" w:sz="4" w:space="0"/>
            </w:tcBorders>
            <w:noWrap w:val="0"/>
            <w:vAlign w:val="center"/>
          </w:tcPr>
          <w:p w14:paraId="7901067F">
            <w:pPr>
              <w:spacing w:line="360" w:lineRule="auto"/>
              <w:jc w:val="both"/>
              <w:rPr>
                <w:rFonts w:hint="eastAsia" w:ascii="仿宋" w:hAnsi="仿宋" w:eastAsia="仿宋" w:cs="仿宋"/>
                <w:color w:val="auto"/>
                <w:lang w:val="en-US" w:eastAsia="zh-CN"/>
              </w:rPr>
            </w:pPr>
            <w:r>
              <w:rPr>
                <w:rFonts w:hint="eastAsia" w:ascii="仿宋" w:hAnsi="仿宋" w:eastAsia="仿宋" w:cs="仿宋"/>
                <w:b/>
                <w:bCs/>
                <w:spacing w:val="-1"/>
                <w:sz w:val="24"/>
                <w:szCs w:val="24"/>
              </w:rPr>
              <w:t>备注：缺陷是指内容不合理、虽有内容但不完善、内容表述前后不一致、</w:t>
            </w:r>
            <w:r>
              <w:rPr>
                <w:rFonts w:hint="eastAsia" w:ascii="仿宋" w:hAnsi="仿宋" w:eastAsia="仿宋" w:cs="仿宋"/>
                <w:sz w:val="24"/>
                <w:szCs w:val="24"/>
              </w:rPr>
              <w:t xml:space="preserve"> </w:t>
            </w:r>
            <w:r>
              <w:rPr>
                <w:rFonts w:hint="eastAsia" w:ascii="仿宋" w:hAnsi="仿宋" w:eastAsia="仿宋" w:cs="仿宋"/>
                <w:b/>
                <w:bCs/>
                <w:spacing w:val="6"/>
                <w:sz w:val="24"/>
                <w:szCs w:val="24"/>
              </w:rPr>
              <w:t>套用其他项目方案或与项目需求不匹配及其他不利于项目实施的任意一种情</w:t>
            </w:r>
            <w:bookmarkStart w:id="71" w:name="bookmark6"/>
            <w:bookmarkEnd w:id="71"/>
            <w:r>
              <w:rPr>
                <w:rFonts w:hint="eastAsia" w:ascii="仿宋" w:hAnsi="仿宋" w:eastAsia="仿宋" w:cs="仿宋"/>
                <w:b/>
                <w:bCs/>
                <w:spacing w:val="-8"/>
                <w:sz w:val="24"/>
                <w:szCs w:val="24"/>
              </w:rPr>
              <w:t>形。</w:t>
            </w:r>
          </w:p>
        </w:tc>
      </w:tr>
    </w:tbl>
    <w:p w14:paraId="0A12D44B">
      <w:pPr>
        <w:rPr>
          <w:rFonts w:hint="eastAsia" w:ascii="仿宋" w:hAnsi="仿宋" w:eastAsia="仿宋" w:cs="仿宋"/>
          <w:color w:val="auto"/>
          <w:lang w:val="en-US" w:eastAsia="zh-CN"/>
        </w:rPr>
      </w:pPr>
    </w:p>
    <w:p w14:paraId="5303AA99">
      <w:pPr>
        <w:rPr>
          <w:rFonts w:hint="eastAsia" w:ascii="仿宋" w:hAnsi="仿宋" w:eastAsia="仿宋" w:cs="仿宋"/>
          <w:color w:val="auto"/>
        </w:rPr>
      </w:pPr>
    </w:p>
    <w:p w14:paraId="492804A1">
      <w:pPr>
        <w:pStyle w:val="13"/>
        <w:rPr>
          <w:rFonts w:hint="eastAsia" w:ascii="仿宋" w:hAnsi="仿宋" w:eastAsia="仿宋" w:cs="仿宋"/>
          <w:color w:val="auto"/>
        </w:rPr>
      </w:pPr>
    </w:p>
    <w:p w14:paraId="12377C39">
      <w:pPr>
        <w:pStyle w:val="13"/>
        <w:rPr>
          <w:rFonts w:hint="eastAsia" w:ascii="仿宋" w:hAnsi="仿宋" w:eastAsia="仿宋" w:cs="仿宋"/>
          <w:color w:val="auto"/>
        </w:rPr>
      </w:pPr>
    </w:p>
    <w:p w14:paraId="224B4D11">
      <w:pPr>
        <w:pStyle w:val="13"/>
        <w:rPr>
          <w:rFonts w:hint="eastAsia" w:ascii="仿宋" w:hAnsi="仿宋" w:eastAsia="仿宋" w:cs="仿宋"/>
          <w:color w:val="auto"/>
        </w:rPr>
      </w:pPr>
    </w:p>
    <w:p w14:paraId="19E78DC8">
      <w:pPr>
        <w:spacing w:line="360" w:lineRule="auto"/>
        <w:rPr>
          <w:rFonts w:hint="eastAsia" w:ascii="仿宋" w:hAnsi="仿宋" w:eastAsia="仿宋" w:cs="仿宋"/>
          <w:b/>
          <w:bCs/>
          <w:color w:val="auto"/>
          <w:sz w:val="24"/>
        </w:rPr>
      </w:pPr>
    </w:p>
    <w:p w14:paraId="3BD4FDB6">
      <w:pPr>
        <w:pStyle w:val="2"/>
        <w:numPr>
          <w:ilvl w:val="0"/>
          <w:numId w:val="0"/>
        </w:numPr>
        <w:jc w:val="center"/>
        <w:rPr>
          <w:rFonts w:hint="eastAsia" w:ascii="仿宋" w:hAnsi="仿宋" w:eastAsia="仿宋" w:cs="仿宋"/>
          <w:color w:val="auto"/>
        </w:rPr>
      </w:pPr>
      <w:bookmarkStart w:id="72" w:name="_Toc30420"/>
      <w:bookmarkStart w:id="73" w:name="_Toc28393"/>
      <w:r>
        <w:rPr>
          <w:rFonts w:hint="eastAsia" w:ascii="仿宋" w:hAnsi="仿宋" w:eastAsia="仿宋" w:cs="仿宋"/>
          <w:b/>
          <w:bCs/>
          <w:color w:val="auto"/>
          <w:kern w:val="44"/>
          <w:sz w:val="44"/>
          <w:szCs w:val="44"/>
          <w:lang w:val="en-US" w:eastAsia="zh-CN" w:bidi="ar-SA"/>
        </w:rPr>
        <w:t xml:space="preserve">第六部分 </w:t>
      </w:r>
      <w:r>
        <w:rPr>
          <w:rFonts w:hint="eastAsia" w:ascii="仿宋" w:hAnsi="仿宋" w:eastAsia="仿宋" w:cs="仿宋"/>
          <w:color w:val="auto"/>
        </w:rPr>
        <w:t>投标文件格式</w:t>
      </w:r>
      <w:bookmarkEnd w:id="72"/>
      <w:bookmarkEnd w:id="73"/>
      <w:bookmarkStart w:id="74" w:name="_Toc60421812"/>
    </w:p>
    <w:p w14:paraId="317600CC">
      <w:pPr>
        <w:spacing w:line="360" w:lineRule="auto"/>
        <w:jc w:val="left"/>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eastAsia="zh-CN"/>
        </w:rPr>
        <w:t>标段</w:t>
      </w:r>
      <w:r>
        <w:rPr>
          <w:rFonts w:hint="eastAsia" w:ascii="仿宋" w:hAnsi="仿宋" w:eastAsia="仿宋" w:cs="仿宋"/>
          <w:b/>
          <w:bCs/>
          <w:color w:val="auto"/>
          <w:kern w:val="0"/>
          <w:sz w:val="36"/>
          <w:szCs w:val="36"/>
        </w:rPr>
        <w:t>编号：</w:t>
      </w:r>
      <w:r>
        <w:rPr>
          <w:rFonts w:hint="eastAsia" w:ascii="仿宋" w:hAnsi="仿宋" w:eastAsia="仿宋" w:cs="仿宋"/>
          <w:b/>
          <w:bCs/>
          <w:color w:val="auto"/>
          <w:kern w:val="0"/>
          <w:sz w:val="36"/>
          <w:szCs w:val="36"/>
          <w:lang w:val="en-US" w:eastAsia="zh-CN"/>
        </w:rPr>
        <w:t xml:space="preserve"> </w:t>
      </w:r>
    </w:p>
    <w:p w14:paraId="623E5E7F">
      <w:pPr>
        <w:rPr>
          <w:rFonts w:hint="eastAsia"/>
        </w:rPr>
      </w:pPr>
    </w:p>
    <w:p w14:paraId="3FB1727D">
      <w:pPr>
        <w:rPr>
          <w:rFonts w:hint="eastAsia"/>
        </w:rPr>
      </w:pPr>
    </w:p>
    <w:p w14:paraId="37222FAE">
      <w:pPr>
        <w:rPr>
          <w:rFonts w:hint="eastAsia" w:ascii="仿宋" w:hAnsi="仿宋" w:eastAsia="仿宋" w:cs="仿宋"/>
          <w:color w:val="auto"/>
        </w:rPr>
      </w:pPr>
    </w:p>
    <w:p w14:paraId="73F842D0">
      <w:pPr>
        <w:jc w:val="center"/>
        <w:rPr>
          <w:rFonts w:hint="eastAsia" w:ascii="仿宋" w:hAnsi="仿宋" w:eastAsia="仿宋" w:cs="仿宋"/>
          <w:b/>
          <w:color w:val="auto"/>
          <w:sz w:val="72"/>
          <w:szCs w:val="72"/>
          <w:lang w:eastAsia="zh-CN"/>
        </w:rPr>
      </w:pPr>
      <w:r>
        <w:rPr>
          <w:rFonts w:hint="eastAsia" w:ascii="仿宋" w:hAnsi="仿宋" w:eastAsia="仿宋" w:cs="仿宋"/>
          <w:b/>
          <w:bCs/>
          <w:color w:val="auto"/>
          <w:sz w:val="40"/>
          <w:szCs w:val="48"/>
          <w:lang w:eastAsia="zh-CN"/>
        </w:rPr>
        <w:t>汉滨区第三人民医院2024年度专科、基础医疗设备清单采购项目二标段新增专科医疗设备</w:t>
      </w:r>
    </w:p>
    <w:p w14:paraId="00EE7D85">
      <w:pPr>
        <w:jc w:val="center"/>
        <w:rPr>
          <w:rFonts w:hint="eastAsia" w:ascii="仿宋" w:hAnsi="仿宋" w:eastAsia="仿宋" w:cs="仿宋"/>
          <w:b/>
          <w:color w:val="auto"/>
          <w:sz w:val="72"/>
          <w:szCs w:val="72"/>
        </w:rPr>
      </w:pPr>
    </w:p>
    <w:p w14:paraId="354CAB6A">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投  标  文  件</w:t>
      </w:r>
    </w:p>
    <w:p w14:paraId="42F0D973">
      <w:pPr>
        <w:rPr>
          <w:rFonts w:hint="eastAsia" w:ascii="仿宋" w:hAnsi="仿宋" w:eastAsia="仿宋" w:cs="仿宋"/>
          <w:b/>
          <w:color w:val="auto"/>
          <w:sz w:val="30"/>
          <w:szCs w:val="30"/>
        </w:rPr>
      </w:pPr>
    </w:p>
    <w:p w14:paraId="3536DF99">
      <w:pPr>
        <w:rPr>
          <w:rFonts w:hint="eastAsia" w:ascii="仿宋" w:hAnsi="仿宋" w:eastAsia="仿宋" w:cs="仿宋"/>
          <w:b/>
          <w:color w:val="auto"/>
          <w:sz w:val="30"/>
          <w:szCs w:val="30"/>
        </w:rPr>
      </w:pPr>
    </w:p>
    <w:p w14:paraId="13700527">
      <w:pPr>
        <w:rPr>
          <w:rFonts w:hint="eastAsia" w:ascii="仿宋" w:hAnsi="仿宋" w:eastAsia="仿宋" w:cs="仿宋"/>
          <w:color w:val="auto"/>
        </w:rPr>
      </w:pPr>
    </w:p>
    <w:p w14:paraId="1CA73995">
      <w:pPr>
        <w:pStyle w:val="5"/>
        <w:rPr>
          <w:rFonts w:hint="eastAsia"/>
        </w:rPr>
      </w:pPr>
    </w:p>
    <w:p w14:paraId="0544C3E9">
      <w:pPr>
        <w:rPr>
          <w:rFonts w:hint="eastAsia"/>
        </w:rPr>
      </w:pPr>
    </w:p>
    <w:p w14:paraId="4152DE18">
      <w:pPr>
        <w:rPr>
          <w:rFonts w:hint="eastAsia"/>
        </w:rPr>
      </w:pPr>
    </w:p>
    <w:p w14:paraId="17E1B8F6">
      <w:pPr>
        <w:rPr>
          <w:rFonts w:hint="eastAsia"/>
        </w:rPr>
      </w:pPr>
    </w:p>
    <w:p w14:paraId="1D6C40A0">
      <w:pPr>
        <w:ind w:firstLine="720"/>
        <w:rPr>
          <w:rFonts w:hint="eastAsia" w:ascii="仿宋" w:hAnsi="仿宋" w:eastAsia="仿宋" w:cs="仿宋"/>
          <w:b/>
          <w:color w:val="auto"/>
          <w:sz w:val="36"/>
          <w:szCs w:val="36"/>
        </w:rPr>
      </w:pPr>
    </w:p>
    <w:p w14:paraId="547A406F">
      <w:pPr>
        <w:spacing w:line="480" w:lineRule="auto"/>
        <w:ind w:firstLine="964" w:firstLineChars="300"/>
        <w:rPr>
          <w:rFonts w:hint="eastAsia" w:ascii="仿宋" w:hAnsi="仿宋" w:eastAsia="仿宋" w:cs="仿宋"/>
          <w:b/>
          <w:bCs/>
          <w:color w:val="auto"/>
          <w:sz w:val="32"/>
          <w:szCs w:val="32"/>
          <w:u w:val="single"/>
        </w:rPr>
      </w:pPr>
      <w:r>
        <w:rPr>
          <w:rFonts w:hint="eastAsia" w:ascii="仿宋" w:hAnsi="仿宋" w:eastAsia="仿宋" w:cs="仿宋"/>
          <w:b/>
          <w:color w:val="auto"/>
          <w:sz w:val="32"/>
          <w:szCs w:val="32"/>
        </w:rPr>
        <w:t>投 标 单 位：</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 xml:space="preserve">                       </w:t>
      </w:r>
    </w:p>
    <w:p w14:paraId="198DEC64">
      <w:pPr>
        <w:spacing w:line="480" w:lineRule="auto"/>
        <w:ind w:firstLine="964" w:firstLineChars="300"/>
        <w:rPr>
          <w:rFonts w:hint="eastAsia" w:ascii="仿宋" w:hAnsi="仿宋" w:eastAsia="仿宋" w:cs="仿宋"/>
          <w:b/>
          <w:bCs/>
          <w:color w:val="auto"/>
          <w:sz w:val="32"/>
          <w:szCs w:val="32"/>
          <w:u w:val="single"/>
        </w:rPr>
      </w:pPr>
      <w:r>
        <w:rPr>
          <w:rFonts w:hint="eastAsia" w:ascii="仿宋" w:hAnsi="仿宋" w:eastAsia="仿宋" w:cs="仿宋"/>
          <w:b/>
          <w:color w:val="auto"/>
          <w:sz w:val="32"/>
          <w:szCs w:val="32"/>
        </w:rPr>
        <w:t>采购代理机构：</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w:t>
      </w:r>
    </w:p>
    <w:p w14:paraId="673EB0E1">
      <w:pPr>
        <w:spacing w:line="480" w:lineRule="auto"/>
        <w:ind w:firstLine="964" w:firstLineChars="300"/>
        <w:rPr>
          <w:rFonts w:hint="eastAsia" w:ascii="仿宋" w:hAnsi="仿宋" w:eastAsia="仿宋" w:cs="仿宋"/>
          <w:b/>
          <w:bCs/>
          <w:color w:val="auto"/>
          <w:sz w:val="28"/>
          <w:szCs w:val="28"/>
        </w:rPr>
      </w:pPr>
      <w:r>
        <w:rPr>
          <w:rFonts w:hint="eastAsia" w:ascii="仿宋" w:hAnsi="仿宋" w:eastAsia="仿宋" w:cs="仿宋"/>
          <w:b/>
          <w:color w:val="auto"/>
          <w:sz w:val="32"/>
          <w:szCs w:val="32"/>
        </w:rPr>
        <w:t>时        间：</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 xml:space="preserve">     </w:t>
      </w:r>
    </w:p>
    <w:p w14:paraId="7EB84AAF">
      <w:pPr>
        <w:tabs>
          <w:tab w:val="left" w:pos="883"/>
        </w:tabs>
        <w:spacing w:before="38"/>
        <w:ind w:right="720"/>
        <w:jc w:val="center"/>
        <w:rPr>
          <w:rFonts w:hint="eastAsia" w:ascii="仿宋" w:hAnsi="仿宋" w:eastAsia="仿宋" w:cs="仿宋"/>
          <w:b/>
          <w:color w:val="auto"/>
          <w:sz w:val="44"/>
        </w:rPr>
      </w:pPr>
    </w:p>
    <w:p w14:paraId="15149646">
      <w:pPr>
        <w:tabs>
          <w:tab w:val="left" w:pos="883"/>
        </w:tabs>
        <w:spacing w:before="38"/>
        <w:ind w:right="720"/>
        <w:jc w:val="center"/>
        <w:rPr>
          <w:rFonts w:hint="eastAsia" w:ascii="仿宋" w:hAnsi="仿宋" w:eastAsia="仿宋" w:cs="仿宋"/>
          <w:b/>
          <w:color w:val="auto"/>
          <w:sz w:val="44"/>
        </w:rPr>
      </w:pPr>
    </w:p>
    <w:p w14:paraId="4B9ECA76">
      <w:pPr>
        <w:tabs>
          <w:tab w:val="left" w:pos="883"/>
        </w:tabs>
        <w:spacing w:before="38"/>
        <w:ind w:right="720"/>
        <w:jc w:val="center"/>
        <w:rPr>
          <w:rFonts w:hint="eastAsia" w:ascii="仿宋" w:hAnsi="仿宋" w:eastAsia="仿宋" w:cs="仿宋"/>
          <w:b/>
          <w:color w:val="auto"/>
          <w:sz w:val="44"/>
        </w:rPr>
      </w:pPr>
    </w:p>
    <w:p w14:paraId="79184AB1">
      <w:pPr>
        <w:tabs>
          <w:tab w:val="left" w:pos="883"/>
        </w:tabs>
        <w:spacing w:before="38"/>
        <w:ind w:right="720"/>
        <w:jc w:val="center"/>
        <w:rPr>
          <w:rFonts w:hint="eastAsia" w:ascii="仿宋" w:hAnsi="仿宋" w:eastAsia="仿宋" w:cs="仿宋"/>
          <w:b/>
          <w:color w:val="auto"/>
          <w:sz w:val="44"/>
        </w:rPr>
      </w:pPr>
      <w:r>
        <w:rPr>
          <w:rFonts w:hint="eastAsia" w:ascii="仿宋" w:hAnsi="仿宋" w:eastAsia="仿宋" w:cs="仿宋"/>
          <w:b/>
          <w:color w:val="auto"/>
          <w:sz w:val="44"/>
        </w:rPr>
        <w:t>目</w:t>
      </w:r>
      <w:r>
        <w:rPr>
          <w:rFonts w:hint="eastAsia" w:ascii="仿宋" w:hAnsi="仿宋" w:eastAsia="仿宋" w:cs="仿宋"/>
          <w:b/>
          <w:color w:val="auto"/>
          <w:sz w:val="44"/>
        </w:rPr>
        <w:tab/>
      </w:r>
      <w:r>
        <w:rPr>
          <w:rFonts w:hint="eastAsia" w:ascii="仿宋" w:hAnsi="仿宋" w:eastAsia="仿宋" w:cs="仿宋"/>
          <w:b/>
          <w:color w:val="auto"/>
          <w:sz w:val="44"/>
        </w:rPr>
        <w:t>录</w:t>
      </w:r>
    </w:p>
    <w:p w14:paraId="1F060148">
      <w:pPr>
        <w:pStyle w:val="13"/>
        <w:rPr>
          <w:rFonts w:hint="eastAsia"/>
          <w:color w:val="auto"/>
        </w:rPr>
      </w:pPr>
    </w:p>
    <w:p w14:paraId="37943A61">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bookmarkStart w:id="75" w:name="_Toc60421813"/>
      <w:r>
        <w:rPr>
          <w:rFonts w:hint="eastAsia" w:ascii="仿宋" w:hAnsi="仿宋" w:eastAsia="仿宋" w:cs="仿宋"/>
          <w:color w:val="auto"/>
          <w:kern w:val="2"/>
          <w:sz w:val="24"/>
          <w:szCs w:val="24"/>
          <w:highlight w:val="none"/>
          <w:lang w:val="en-US" w:eastAsia="zh-CN" w:bidi="ar-SA"/>
        </w:rPr>
        <w:t>(一)投标函（格式）；</w:t>
      </w:r>
    </w:p>
    <w:p w14:paraId="20AF69E7">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(二)投标报价表（格式）；</w:t>
      </w:r>
    </w:p>
    <w:p w14:paraId="501ACAAF">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(三)投标报价明细表；</w:t>
      </w:r>
    </w:p>
    <w:p w14:paraId="54CE0BD3">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(四)商务条款偏离表（格式）；</w:t>
      </w:r>
    </w:p>
    <w:p w14:paraId="2A453B9C">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(五)技术规格偏离表（格式）；</w:t>
      </w:r>
    </w:p>
    <w:p w14:paraId="7F06BFDA">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(六)法定代表人证明书或授权书（格式）；</w:t>
      </w:r>
    </w:p>
    <w:p w14:paraId="5048B71E">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(七)资格证明文件 ；</w:t>
      </w:r>
    </w:p>
    <w:p w14:paraId="5AACF872">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(八)具有履行合同所必需的设备和专业技术能力的书面声明；</w:t>
      </w:r>
    </w:p>
    <w:p w14:paraId="352E3146">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(九)参加政府采购活动前三年内，在经营活动中没有重大违法记录书面声明（格式）；</w:t>
      </w:r>
    </w:p>
    <w:p w14:paraId="07BAF0B1">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(十)项目整体实施方案 ；</w:t>
      </w:r>
    </w:p>
    <w:p w14:paraId="33540560">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(十一)项目业绩表（格式）；</w:t>
      </w:r>
    </w:p>
    <w:p w14:paraId="418CD59D">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(十二)培训、售后服务承诺（格式）；</w:t>
      </w:r>
    </w:p>
    <w:p w14:paraId="57DF80CA">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(十三)陕西省政府采购供应商拒绝政府采购领域商业贿赂承诺书（格式）；</w:t>
      </w:r>
    </w:p>
    <w:p w14:paraId="3E4F1057">
      <w:pPr>
        <w:numPr>
          <w:ilvl w:val="0"/>
          <w:numId w:val="0"/>
        </w:numPr>
        <w:spacing w:line="480" w:lineRule="auto"/>
        <w:ind w:left="1287" w:leftChars="0" w:hanging="7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(十四)其他证明材料；</w:t>
      </w:r>
    </w:p>
    <w:p w14:paraId="4E8FF624">
      <w:pPr>
        <w:numPr>
          <w:ilvl w:val="0"/>
          <w:numId w:val="0"/>
        </w:numPr>
        <w:spacing w:line="480" w:lineRule="auto"/>
        <w:ind w:firstLine="1200" w:firstLineChars="500"/>
        <w:rPr>
          <w:rFonts w:hint="eastAsia" w:ascii="仿宋" w:hAnsi="仿宋" w:eastAsia="仿宋" w:cs="仿宋"/>
          <w:b/>
          <w:color w:val="auto"/>
          <w:sz w:val="28"/>
          <w:szCs w:val="28"/>
          <w:highlight w:val="yellow"/>
        </w:rPr>
      </w:pPr>
      <w:r>
        <w:rPr>
          <w:rFonts w:hint="eastAsia" w:ascii="仿宋" w:hAnsi="仿宋" w:eastAsia="仿宋" w:cs="仿宋"/>
          <w:color w:val="auto"/>
          <w:kern w:val="2"/>
          <w:sz w:val="24"/>
          <w:szCs w:val="24"/>
          <w:highlight w:val="none"/>
          <w:lang w:val="en-US" w:eastAsia="zh-CN" w:bidi="ar-SA"/>
        </w:rPr>
        <w:t>附件（格式）；</w:t>
      </w:r>
      <w:r>
        <w:rPr>
          <w:rFonts w:hint="eastAsia" w:ascii="仿宋" w:hAnsi="仿宋" w:eastAsia="仿宋" w:cs="仿宋"/>
          <w:b/>
          <w:color w:val="auto"/>
          <w:sz w:val="28"/>
          <w:szCs w:val="28"/>
          <w:highlight w:val="none"/>
        </w:rPr>
        <w:br w:type="page"/>
      </w:r>
    </w:p>
    <w:p w14:paraId="2CFEF2E7">
      <w:pPr>
        <w:spacing w:line="360" w:lineRule="auto"/>
        <w:jc w:val="center"/>
        <w:outlineLvl w:val="1"/>
        <w:rPr>
          <w:rFonts w:hint="eastAsia" w:ascii="仿宋" w:hAnsi="仿宋" w:eastAsia="仿宋" w:cs="仿宋"/>
          <w:b/>
          <w:color w:val="auto"/>
          <w:sz w:val="24"/>
        </w:rPr>
      </w:pPr>
      <w:r>
        <w:rPr>
          <w:rFonts w:hint="eastAsia" w:ascii="仿宋" w:hAnsi="仿宋" w:eastAsia="仿宋" w:cs="仿宋"/>
          <w:b/>
          <w:color w:val="auto"/>
          <w:sz w:val="28"/>
          <w:szCs w:val="28"/>
        </w:rPr>
        <w:t>一、投标函</w:t>
      </w:r>
    </w:p>
    <w:p w14:paraId="71F5E277">
      <w:pPr>
        <w:spacing w:line="360" w:lineRule="auto"/>
        <w:jc w:val="center"/>
        <w:rPr>
          <w:rFonts w:hint="eastAsia" w:ascii="仿宋" w:hAnsi="仿宋" w:eastAsia="仿宋" w:cs="仿宋"/>
          <w:b/>
          <w:bCs/>
          <w:color w:val="auto"/>
          <w:sz w:val="28"/>
        </w:rPr>
      </w:pPr>
      <w:r>
        <w:rPr>
          <w:rFonts w:hint="eastAsia" w:ascii="仿宋" w:hAnsi="仿宋" w:eastAsia="仿宋" w:cs="仿宋"/>
          <w:b/>
          <w:bCs/>
          <w:color w:val="auto"/>
          <w:sz w:val="28"/>
        </w:rPr>
        <w:t>投  标  函</w:t>
      </w:r>
    </w:p>
    <w:p w14:paraId="34D4C982">
      <w:pPr>
        <w:spacing w:line="360" w:lineRule="auto"/>
        <w:jc w:val="center"/>
        <w:rPr>
          <w:rFonts w:hint="eastAsia" w:ascii="仿宋" w:hAnsi="仿宋" w:eastAsia="仿宋" w:cs="仿宋"/>
          <w:b/>
          <w:bCs/>
          <w:color w:val="auto"/>
          <w:sz w:val="28"/>
        </w:rPr>
      </w:pPr>
    </w:p>
    <w:p w14:paraId="2AE476F4">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致：</w:t>
      </w:r>
      <w:r>
        <w:rPr>
          <w:rFonts w:hint="eastAsia" w:ascii="仿宋" w:hAnsi="仿宋" w:eastAsia="仿宋" w:cs="仿宋"/>
          <w:color w:val="auto"/>
          <w:sz w:val="24"/>
          <w:lang w:eastAsia="zh-CN"/>
        </w:rPr>
        <w:t>陕西方得项目管理有限公司</w:t>
      </w:r>
    </w:p>
    <w:p w14:paraId="0218F62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我方确认收到贵方提供</w:t>
      </w:r>
      <w:r>
        <w:rPr>
          <w:rFonts w:hint="eastAsia" w:ascii="仿宋" w:hAnsi="仿宋" w:eastAsia="仿宋" w:cs="仿宋"/>
          <w:b/>
          <w:bCs/>
          <w:color w:val="auto"/>
          <w:sz w:val="24"/>
          <w:u w:val="single"/>
        </w:rPr>
        <w:t xml:space="preserve">   </w:t>
      </w:r>
      <w:r>
        <w:rPr>
          <w:rFonts w:hint="eastAsia" w:ascii="仿宋" w:hAnsi="仿宋" w:eastAsia="仿宋" w:cs="仿宋"/>
          <w:i/>
          <w:iCs/>
          <w:color w:val="auto"/>
          <w:sz w:val="24"/>
          <w:u w:val="single"/>
        </w:rPr>
        <w:t>（项目编号）   （项目名称）</w:t>
      </w:r>
      <w:r>
        <w:rPr>
          <w:rFonts w:hint="eastAsia" w:ascii="仿宋" w:hAnsi="仿宋" w:eastAsia="仿宋" w:cs="仿宋"/>
          <w:i/>
          <w:iCs/>
          <w:color w:val="auto"/>
          <w:sz w:val="24"/>
          <w:u w:val="single"/>
          <w:lang w:val="en-US" w:eastAsia="zh-CN"/>
        </w:rPr>
        <w:t xml:space="preserve">  </w:t>
      </w:r>
      <w:r>
        <w:rPr>
          <w:rFonts w:hint="eastAsia" w:ascii="仿宋" w:hAnsi="仿宋" w:eastAsia="仿宋" w:cs="仿宋"/>
          <w:color w:val="auto"/>
          <w:sz w:val="24"/>
        </w:rPr>
        <w:t>招标文件的全部内容，我方：</w:t>
      </w:r>
      <w:r>
        <w:rPr>
          <w:rFonts w:hint="eastAsia" w:ascii="仿宋" w:hAnsi="仿宋" w:eastAsia="仿宋" w:cs="仿宋"/>
          <w:color w:val="auto"/>
          <w:sz w:val="24"/>
          <w:u w:val="single"/>
        </w:rPr>
        <w:t>（</w:t>
      </w:r>
      <w:r>
        <w:rPr>
          <w:rFonts w:hint="eastAsia" w:ascii="仿宋" w:hAnsi="仿宋" w:eastAsia="仿宋" w:cs="仿宋"/>
          <w:i/>
          <w:iCs/>
          <w:color w:val="auto"/>
          <w:sz w:val="24"/>
          <w:u w:val="single"/>
        </w:rPr>
        <w:t>投标人名称</w:t>
      </w:r>
      <w:r>
        <w:rPr>
          <w:rFonts w:hint="eastAsia" w:ascii="仿宋" w:hAnsi="仿宋" w:eastAsia="仿宋" w:cs="仿宋"/>
          <w:color w:val="auto"/>
          <w:sz w:val="24"/>
          <w:u w:val="single"/>
        </w:rPr>
        <w:t>）</w:t>
      </w:r>
      <w:r>
        <w:rPr>
          <w:rFonts w:hint="eastAsia" w:ascii="仿宋" w:hAnsi="仿宋" w:eastAsia="仿宋" w:cs="仿宋"/>
          <w:color w:val="auto"/>
          <w:sz w:val="24"/>
        </w:rPr>
        <w:t>作为投标者正式授权</w:t>
      </w:r>
      <w:r>
        <w:rPr>
          <w:rFonts w:hint="eastAsia" w:ascii="仿宋" w:hAnsi="仿宋" w:eastAsia="仿宋" w:cs="仿宋"/>
          <w:color w:val="auto"/>
          <w:sz w:val="24"/>
          <w:u w:val="single"/>
        </w:rPr>
        <w:t xml:space="preserve">                          </w:t>
      </w:r>
      <w:r>
        <w:rPr>
          <w:rFonts w:hint="eastAsia" w:ascii="仿宋" w:hAnsi="仿宋" w:eastAsia="仿宋" w:cs="仿宋"/>
          <w:i/>
          <w:iCs/>
          <w:color w:val="auto"/>
          <w:sz w:val="24"/>
          <w:u w:val="single"/>
        </w:rPr>
        <w:t xml:space="preserve">（授权代表全名、职务）    </w:t>
      </w:r>
      <w:r>
        <w:rPr>
          <w:rFonts w:hint="eastAsia" w:ascii="仿宋" w:hAnsi="仿宋" w:eastAsia="仿宋" w:cs="仿宋"/>
          <w:color w:val="auto"/>
          <w:sz w:val="24"/>
        </w:rPr>
        <w:t>代表我方进行有关本投标的一切事宜。</w:t>
      </w:r>
    </w:p>
    <w:p w14:paraId="70182A2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提交电子投标文件（扩展名为“.SXSTF”）</w:t>
      </w:r>
      <w:r>
        <w:rPr>
          <w:rFonts w:hint="eastAsia" w:ascii="仿宋" w:hAnsi="仿宋" w:eastAsia="仿宋" w:cs="仿宋"/>
          <w:color w:val="auto"/>
          <w:sz w:val="24"/>
          <w:lang w:eastAsia="zh-CN"/>
        </w:rPr>
        <w:t>，</w:t>
      </w:r>
      <w:r>
        <w:rPr>
          <w:rFonts w:hint="eastAsia" w:ascii="仿宋" w:hAnsi="仿宋" w:eastAsia="仿宋" w:cs="仿宋"/>
          <w:color w:val="auto"/>
          <w:sz w:val="24"/>
        </w:rPr>
        <w:t>包括如下等内容：</w:t>
      </w:r>
    </w:p>
    <w:p w14:paraId="137052E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(一)投标函（格式）；</w:t>
      </w:r>
    </w:p>
    <w:p w14:paraId="09BC3A6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(二)投标报价表（格式）；</w:t>
      </w:r>
    </w:p>
    <w:p w14:paraId="4EDD9C5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(三)投标报价明细表；</w:t>
      </w:r>
    </w:p>
    <w:p w14:paraId="471D448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(四)商务条款偏离表（格式）；</w:t>
      </w:r>
    </w:p>
    <w:p w14:paraId="0D1C2EE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(五)技术规格偏离表（格式）；</w:t>
      </w:r>
    </w:p>
    <w:p w14:paraId="348FF0C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(六)法定代表人证明书或授权书（格式） 项目整体实施方案；</w:t>
      </w:r>
    </w:p>
    <w:p w14:paraId="1502377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(七)资格证明文件 ；</w:t>
      </w:r>
    </w:p>
    <w:p w14:paraId="2837309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(八)具有履行合同所必需的设备和专业技术能力的书面声明；</w:t>
      </w:r>
    </w:p>
    <w:p w14:paraId="77D7F74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(九)参加政府采购活动前三年内，在经营活动中没有重大违法记录书面声明（格式）；</w:t>
      </w:r>
    </w:p>
    <w:p w14:paraId="7B5ADF5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(十)项目整体实施方案 ；</w:t>
      </w:r>
    </w:p>
    <w:p w14:paraId="0AD351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(十一)项目业绩表（格式）；</w:t>
      </w:r>
    </w:p>
    <w:p w14:paraId="3505F7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(十二)培训、售后服务承诺（格式）；</w:t>
      </w:r>
    </w:p>
    <w:p w14:paraId="21771E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(十三)陕西省政府采购供应商拒绝政府采购领域商业贿赂承诺书（格式）；</w:t>
      </w:r>
    </w:p>
    <w:p w14:paraId="2B38B7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287" w:leftChars="0" w:hanging="72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(十四)其他证明材料；</w:t>
      </w:r>
    </w:p>
    <w:p w14:paraId="15B055DF">
      <w:pPr>
        <w:keepNext w:val="0"/>
        <w:keepLines w:val="0"/>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附件（格式）；</w:t>
      </w:r>
      <w:r>
        <w:rPr>
          <w:rFonts w:hint="eastAsia" w:ascii="仿宋" w:hAnsi="仿宋" w:eastAsia="仿宋" w:cs="仿宋"/>
          <w:color w:val="auto"/>
          <w:sz w:val="24"/>
        </w:rPr>
        <w:t xml:space="preserve">   </w:t>
      </w:r>
    </w:p>
    <w:p w14:paraId="64CF1520">
      <w:pPr>
        <w:keepNext w:val="0"/>
        <w:keepLines w:val="0"/>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仿宋" w:hAnsi="仿宋" w:eastAsia="仿宋" w:cs="仿宋"/>
          <w:color w:val="auto"/>
          <w:sz w:val="24"/>
        </w:rPr>
      </w:pPr>
      <w:r>
        <w:rPr>
          <w:rFonts w:hint="eastAsia" w:ascii="仿宋" w:hAnsi="仿宋" w:eastAsia="仿宋" w:cs="仿宋"/>
          <w:color w:val="auto"/>
          <w:sz w:val="24"/>
        </w:rPr>
        <w:t>我方已完全明白招标文件的所有条款要求，并重申以下几点。</w:t>
      </w:r>
    </w:p>
    <w:p w14:paraId="0A1879BF">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我方决定参加：</w:t>
      </w:r>
      <w:r>
        <w:rPr>
          <w:rFonts w:hint="eastAsia" w:ascii="仿宋" w:hAnsi="仿宋" w:eastAsia="仿宋" w:cs="仿宋"/>
          <w:i/>
          <w:iCs/>
          <w:color w:val="auto"/>
          <w:sz w:val="24"/>
          <w:u w:val="single"/>
        </w:rPr>
        <w:t xml:space="preserve">     （项目编号）    （项目名称）</w:t>
      </w:r>
      <w:r>
        <w:rPr>
          <w:rFonts w:hint="eastAsia" w:ascii="仿宋" w:hAnsi="仿宋" w:eastAsia="仿宋" w:cs="仿宋"/>
          <w:color w:val="auto"/>
          <w:sz w:val="24"/>
        </w:rPr>
        <w:t>的投标。</w:t>
      </w:r>
    </w:p>
    <w:p w14:paraId="0938E8BF">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全部有关货物及服务的投标总价为：</w:t>
      </w:r>
      <w:r>
        <w:rPr>
          <w:rFonts w:hint="eastAsia" w:ascii="仿宋" w:hAnsi="仿宋" w:eastAsia="仿宋" w:cs="仿宋"/>
          <w:color w:val="auto"/>
          <w:sz w:val="24"/>
          <w:u w:val="single"/>
        </w:rPr>
        <w:t xml:space="preserve">  （大、小写）。</w:t>
      </w:r>
    </w:p>
    <w:p w14:paraId="46723A17">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本投标文件的有效期在投标截止日后</w:t>
      </w:r>
      <w:r>
        <w:rPr>
          <w:rFonts w:hint="eastAsia" w:ascii="仿宋" w:hAnsi="仿宋" w:eastAsia="仿宋" w:cs="仿宋"/>
          <w:color w:val="auto"/>
          <w:sz w:val="24"/>
          <w:u w:val="single"/>
        </w:rPr>
        <w:t xml:space="preserve">  </w:t>
      </w:r>
      <w:r>
        <w:rPr>
          <w:rFonts w:hint="eastAsia" w:ascii="仿宋" w:hAnsi="仿宋" w:eastAsia="仿宋" w:cs="仿宋"/>
          <w:color w:val="auto"/>
          <w:sz w:val="24"/>
        </w:rPr>
        <w:t>天有效，如中标，有效期将延至合同终止日为止。</w:t>
      </w:r>
    </w:p>
    <w:p w14:paraId="79C630AA">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我方已详细研究了招标文件的所有内容包括修正文（如果有）和所有已提供的参考资料以及有关附件并完全明白，我方放弃在此方面提出含糊意见或误解的一切权力。</w:t>
      </w:r>
    </w:p>
    <w:p w14:paraId="23D04A94">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我方明白</w:t>
      </w:r>
      <w:r>
        <w:rPr>
          <w:rFonts w:hint="eastAsia" w:ascii="仿宋" w:hAnsi="仿宋" w:eastAsia="仿宋" w:cs="仿宋"/>
          <w:color w:val="auto"/>
          <w:sz w:val="24"/>
          <w:lang w:val="en-US" w:eastAsia="zh-CN"/>
        </w:rPr>
        <w:t>不得</w:t>
      </w:r>
      <w:r>
        <w:rPr>
          <w:rFonts w:hint="eastAsia" w:ascii="仿宋" w:hAnsi="仿宋" w:eastAsia="仿宋" w:cs="仿宋"/>
          <w:color w:val="auto"/>
          <w:sz w:val="24"/>
        </w:rPr>
        <w:t>在规定的开标时间和日期之后、投标有效期之内撤回投标。</w:t>
      </w:r>
    </w:p>
    <w:p w14:paraId="3FDF691C">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我方同意按照贵方可能提出的要求而提供与投标有关的任何其它数据或信息。</w:t>
      </w:r>
    </w:p>
    <w:p w14:paraId="4D60CC9A">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我方理解贵方不一定接受最低标价或任何贵方可能收到的投标。</w:t>
      </w:r>
    </w:p>
    <w:p w14:paraId="535D12F9">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我方如果中标，将保证履行招标文件及其补充文件中的全部责任和义务，按质、按量、按期完成《合同书》中的全部任务。</w:t>
      </w:r>
    </w:p>
    <w:p w14:paraId="179555DF">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如我方中标，我方将在收到中标通知书之前，</w:t>
      </w:r>
      <w:r>
        <w:rPr>
          <w:rFonts w:hint="eastAsia" w:ascii="仿宋" w:hAnsi="仿宋" w:eastAsia="仿宋" w:cs="仿宋"/>
          <w:color w:val="auto"/>
          <w:sz w:val="24"/>
          <w:lang w:eastAsia="zh-CN"/>
        </w:rPr>
        <w:t>参照</w:t>
      </w:r>
      <w:r>
        <w:rPr>
          <w:rFonts w:hint="eastAsia" w:ascii="仿宋" w:hAnsi="仿宋" w:eastAsia="仿宋" w:cs="仿宋"/>
          <w:color w:val="auto"/>
          <w:sz w:val="24"/>
        </w:rPr>
        <w:t>国家计委〔2002〕1980号、</w:t>
      </w:r>
      <w:r>
        <w:rPr>
          <w:rFonts w:hint="eastAsia" w:ascii="仿宋" w:hAnsi="仿宋" w:eastAsia="仿宋" w:cs="仿宋"/>
          <w:color w:val="auto"/>
          <w:sz w:val="24"/>
          <w:lang w:eastAsia="zh-CN"/>
        </w:rPr>
        <w:t>发改委</w:t>
      </w:r>
      <w:r>
        <w:rPr>
          <w:rFonts w:hint="eastAsia" w:ascii="仿宋" w:hAnsi="仿宋" w:eastAsia="仿宋" w:cs="仿宋"/>
          <w:color w:val="auto"/>
          <w:sz w:val="24"/>
        </w:rPr>
        <w:t>〔2003〕857号文件规定标准向</w:t>
      </w:r>
      <w:r>
        <w:rPr>
          <w:rFonts w:hint="eastAsia" w:ascii="仿宋" w:hAnsi="仿宋" w:eastAsia="仿宋" w:cs="仿宋"/>
          <w:color w:val="auto"/>
          <w:sz w:val="24"/>
          <w:lang w:eastAsia="zh-CN"/>
        </w:rPr>
        <w:t>陕西方得项目管理有限公司</w:t>
      </w:r>
      <w:r>
        <w:rPr>
          <w:rFonts w:hint="eastAsia" w:ascii="仿宋" w:hAnsi="仿宋" w:eastAsia="仿宋" w:cs="仿宋"/>
          <w:color w:val="auto"/>
          <w:sz w:val="24"/>
        </w:rPr>
        <w:t>交纳中标服务费。</w:t>
      </w:r>
    </w:p>
    <w:p w14:paraId="21BDD387">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所有与本招标有关的函件请发往下列地址：</w:t>
      </w:r>
    </w:p>
    <w:p w14:paraId="7159C050">
      <w:pPr>
        <w:rPr>
          <w:rFonts w:hint="eastAsia" w:ascii="仿宋" w:hAnsi="仿宋" w:eastAsia="仿宋" w:cs="仿宋"/>
          <w:color w:val="auto"/>
          <w:szCs w:val="21"/>
        </w:rPr>
      </w:pPr>
    </w:p>
    <w:p w14:paraId="28BE0E4A">
      <w:pPr>
        <w:spacing w:line="480" w:lineRule="auto"/>
        <w:ind w:firstLine="1132" w:firstLineChars="472"/>
        <w:rPr>
          <w:rFonts w:hint="eastAsia" w:ascii="仿宋" w:hAnsi="仿宋" w:eastAsia="仿宋" w:cs="仿宋"/>
          <w:color w:val="auto"/>
          <w:sz w:val="24"/>
        </w:rPr>
      </w:pPr>
      <w:r>
        <w:rPr>
          <w:rFonts w:hint="eastAsia" w:ascii="仿宋" w:hAnsi="仿宋" w:eastAsia="仿宋" w:cs="仿宋"/>
          <w:color w:val="auto"/>
          <w:sz w:val="24"/>
        </w:rPr>
        <w:t>投标人名称(加盖公章)：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440A331B">
      <w:pPr>
        <w:spacing w:line="480" w:lineRule="auto"/>
        <w:ind w:firstLine="1132" w:firstLineChars="472"/>
        <w:rPr>
          <w:rFonts w:hint="eastAsia" w:ascii="仿宋" w:hAnsi="仿宋" w:eastAsia="仿宋" w:cs="仿宋"/>
          <w:color w:val="auto"/>
          <w:sz w:val="24"/>
        </w:rPr>
      </w:pPr>
      <w:r>
        <w:rPr>
          <w:rFonts w:hint="eastAsia" w:ascii="仿宋" w:hAnsi="仿宋" w:eastAsia="仿宋" w:cs="仿宋"/>
          <w:color w:val="auto"/>
          <w:sz w:val="24"/>
        </w:rPr>
        <w:t xml:space="preserve">联系地址：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 xml:space="preserve">                        </w:t>
      </w:r>
    </w:p>
    <w:p w14:paraId="602099D2">
      <w:pPr>
        <w:spacing w:line="480" w:lineRule="auto"/>
        <w:ind w:firstLine="1132" w:firstLineChars="472"/>
        <w:rPr>
          <w:rFonts w:hint="eastAsia" w:ascii="仿宋" w:hAnsi="仿宋" w:eastAsia="仿宋" w:cs="仿宋"/>
          <w:color w:val="auto"/>
          <w:sz w:val="24"/>
        </w:rPr>
      </w:pPr>
      <w:r>
        <w:rPr>
          <w:rFonts w:hint="eastAsia" w:ascii="仿宋" w:hAnsi="仿宋" w:eastAsia="仿宋" w:cs="仿宋"/>
          <w:color w:val="auto"/>
          <w:sz w:val="24"/>
        </w:rPr>
        <w:t>投标人授权代表职务：</w:t>
      </w:r>
      <w:r>
        <w:rPr>
          <w:rFonts w:hint="eastAsia" w:ascii="仿宋" w:hAnsi="仿宋" w:eastAsia="仿宋" w:cs="仿宋"/>
          <w:color w:val="auto"/>
          <w:sz w:val="24"/>
          <w:u w:val="single"/>
        </w:rPr>
        <w:t xml:space="preserve">                  </w:t>
      </w:r>
    </w:p>
    <w:p w14:paraId="4C93C721">
      <w:pPr>
        <w:spacing w:line="480" w:lineRule="auto"/>
        <w:ind w:firstLine="1132" w:firstLineChars="472"/>
        <w:rPr>
          <w:rFonts w:hint="eastAsia" w:ascii="仿宋" w:hAnsi="仿宋" w:eastAsia="仿宋" w:cs="仿宋"/>
          <w:color w:val="auto"/>
          <w:sz w:val="24"/>
        </w:rPr>
      </w:pPr>
      <w:r>
        <w:rPr>
          <w:rFonts w:hint="eastAsia" w:ascii="仿宋" w:hAnsi="仿宋" w:eastAsia="仿宋" w:cs="仿宋"/>
          <w:color w:val="auto"/>
          <w:sz w:val="24"/>
        </w:rPr>
        <w:t xml:space="preserve">投标人授权代表签字： </w:t>
      </w:r>
      <w:r>
        <w:rPr>
          <w:rFonts w:hint="eastAsia" w:ascii="仿宋" w:hAnsi="仿宋" w:eastAsia="仿宋" w:cs="仿宋"/>
          <w:color w:val="auto"/>
          <w:sz w:val="24"/>
          <w:u w:val="single"/>
        </w:rPr>
        <w:t xml:space="preserve">                 </w:t>
      </w:r>
    </w:p>
    <w:p w14:paraId="4BD20F52">
      <w:pPr>
        <w:spacing w:line="480" w:lineRule="auto"/>
        <w:ind w:firstLine="1132" w:firstLineChars="472"/>
        <w:rPr>
          <w:rFonts w:hint="eastAsia" w:ascii="仿宋" w:hAnsi="仿宋" w:eastAsia="仿宋" w:cs="仿宋"/>
          <w:color w:val="auto"/>
          <w:sz w:val="24"/>
          <w:u w:val="single"/>
        </w:rPr>
      </w:pPr>
      <w:r>
        <w:rPr>
          <w:rFonts w:hint="eastAsia" w:ascii="仿宋" w:hAnsi="仿宋" w:eastAsia="仿宋" w:cs="仿宋"/>
          <w:color w:val="auto"/>
          <w:sz w:val="24"/>
        </w:rPr>
        <w:t xml:space="preserve">联系电话： </w:t>
      </w:r>
      <w:r>
        <w:rPr>
          <w:rFonts w:hint="eastAsia" w:ascii="仿宋" w:hAnsi="仿宋" w:eastAsia="仿宋" w:cs="仿宋"/>
          <w:color w:val="auto"/>
          <w:sz w:val="24"/>
          <w:u w:val="single"/>
        </w:rPr>
        <w:t xml:space="preserve">                           </w:t>
      </w:r>
    </w:p>
    <w:p w14:paraId="6590A8FB">
      <w:pPr>
        <w:spacing w:line="480" w:lineRule="auto"/>
        <w:ind w:firstLine="1132" w:firstLineChars="472"/>
        <w:rPr>
          <w:rFonts w:hint="eastAsia" w:ascii="仿宋" w:hAnsi="仿宋" w:eastAsia="仿宋" w:cs="仿宋"/>
          <w:color w:val="auto"/>
          <w:sz w:val="24"/>
        </w:rPr>
      </w:pPr>
      <w:r>
        <w:rPr>
          <w:rFonts w:hint="eastAsia" w:ascii="仿宋" w:hAnsi="仿宋" w:eastAsia="仿宋" w:cs="仿宋"/>
          <w:color w:val="auto"/>
          <w:sz w:val="24"/>
        </w:rPr>
        <w:t>电子邮件：</w:t>
      </w:r>
      <w:r>
        <w:rPr>
          <w:rFonts w:hint="eastAsia" w:ascii="仿宋" w:hAnsi="仿宋" w:eastAsia="仿宋" w:cs="仿宋"/>
          <w:color w:val="auto"/>
          <w:sz w:val="24"/>
          <w:u w:val="single"/>
        </w:rPr>
        <w:t xml:space="preserve">                            </w:t>
      </w:r>
    </w:p>
    <w:p w14:paraId="2402A1D3">
      <w:pPr>
        <w:spacing w:line="480" w:lineRule="auto"/>
        <w:ind w:firstLine="1132" w:firstLineChars="472"/>
        <w:rPr>
          <w:rFonts w:hint="eastAsia" w:ascii="仿宋" w:hAnsi="仿宋" w:eastAsia="仿宋" w:cs="仿宋"/>
          <w:color w:val="auto"/>
          <w:sz w:val="24"/>
          <w:u w:val="single"/>
        </w:rPr>
      </w:pPr>
      <w:r>
        <w:rPr>
          <w:rFonts w:hint="eastAsia" w:ascii="仿宋" w:hAnsi="仿宋" w:eastAsia="仿宋" w:cs="仿宋"/>
          <w:color w:val="auto"/>
          <w:sz w:val="24"/>
        </w:rPr>
        <w:t>传 真：</w:t>
      </w:r>
      <w:r>
        <w:rPr>
          <w:rFonts w:hint="eastAsia" w:ascii="仿宋" w:hAnsi="仿宋" w:eastAsia="仿宋" w:cs="仿宋"/>
          <w:color w:val="auto"/>
          <w:sz w:val="24"/>
          <w:u w:val="single"/>
        </w:rPr>
        <w:t xml:space="preserve">                               </w:t>
      </w:r>
    </w:p>
    <w:p w14:paraId="58B5E0FC">
      <w:pPr>
        <w:spacing w:line="480" w:lineRule="auto"/>
        <w:ind w:firstLine="1132" w:firstLineChars="472"/>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453B53C7">
      <w:pPr>
        <w:pStyle w:val="58"/>
        <w:tabs>
          <w:tab w:val="left" w:pos="1660"/>
        </w:tabs>
        <w:spacing w:before="160"/>
        <w:ind w:left="420" w:leftChars="200" w:firstLine="0" w:firstLineChars="0"/>
        <w:rPr>
          <w:rFonts w:hint="eastAsia" w:ascii="仿宋" w:hAnsi="仿宋" w:eastAsia="仿宋" w:cs="仿宋"/>
          <w:color w:val="auto"/>
          <w:sz w:val="28"/>
          <w:szCs w:val="28"/>
        </w:rPr>
        <w:sectPr>
          <w:headerReference r:id="rId5" w:type="default"/>
          <w:footerReference r:id="rId6" w:type="default"/>
          <w:pgSz w:w="11850" w:h="16783"/>
          <w:pgMar w:top="1417" w:right="1417" w:bottom="1417" w:left="1417" w:header="851" w:footer="992" w:gutter="0"/>
          <w:pgNumType w:fmt="decimal" w:start="1"/>
          <w:cols w:space="720" w:num="1"/>
          <w:docGrid w:linePitch="286" w:charSpace="0"/>
        </w:sectPr>
      </w:pPr>
    </w:p>
    <w:bookmarkEnd w:id="75"/>
    <w:p w14:paraId="7C49FE48">
      <w:pPr>
        <w:numPr>
          <w:ilvl w:val="1"/>
          <w:numId w:val="0"/>
        </w:numPr>
        <w:jc w:val="center"/>
        <w:outlineLvl w:val="1"/>
        <w:rPr>
          <w:rFonts w:hint="eastAsia" w:ascii="仿宋" w:hAnsi="仿宋" w:eastAsia="仿宋" w:cs="仿宋"/>
          <w:b/>
          <w:bCs/>
          <w:color w:val="auto"/>
          <w:sz w:val="28"/>
          <w:szCs w:val="28"/>
        </w:rPr>
      </w:pPr>
      <w:bookmarkStart w:id="76" w:name="_Toc60421814"/>
      <w:r>
        <w:rPr>
          <w:rFonts w:hint="eastAsia" w:ascii="仿宋" w:hAnsi="仿宋" w:eastAsia="仿宋" w:cs="仿宋"/>
          <w:b/>
          <w:bCs/>
          <w:color w:val="auto"/>
          <w:sz w:val="28"/>
          <w:szCs w:val="28"/>
        </w:rPr>
        <w:t>二、投标报价表</w:t>
      </w:r>
    </w:p>
    <w:p w14:paraId="2B05E6F0">
      <w:pPr>
        <w:spacing w:line="360" w:lineRule="auto"/>
        <w:jc w:val="center"/>
        <w:rPr>
          <w:rFonts w:hint="eastAsia" w:ascii="仿宋" w:hAnsi="仿宋" w:eastAsia="仿宋" w:cs="仿宋"/>
          <w:b/>
          <w:color w:val="auto"/>
          <w:sz w:val="28"/>
          <w:szCs w:val="21"/>
        </w:rPr>
      </w:pPr>
      <w:r>
        <w:rPr>
          <w:rFonts w:hint="eastAsia" w:ascii="仿宋" w:hAnsi="仿宋" w:eastAsia="仿宋" w:cs="仿宋"/>
          <w:b/>
          <w:color w:val="auto"/>
          <w:sz w:val="28"/>
          <w:szCs w:val="21"/>
        </w:rPr>
        <w:t>投标报价表</w:t>
      </w:r>
    </w:p>
    <w:p w14:paraId="78111F7A">
      <w:pPr>
        <w:widowControl/>
        <w:spacing w:line="360" w:lineRule="auto"/>
        <w:ind w:firstLine="960" w:firstLineChars="400"/>
        <w:jc w:val="left"/>
        <w:rPr>
          <w:rFonts w:hint="eastAsia" w:ascii="仿宋" w:hAnsi="仿宋" w:eastAsia="仿宋" w:cs="仿宋"/>
          <w:color w:val="auto"/>
          <w:sz w:val="24"/>
        </w:rPr>
      </w:pPr>
      <w:r>
        <w:rPr>
          <w:rFonts w:hint="eastAsia" w:ascii="仿宋" w:hAnsi="仿宋" w:eastAsia="仿宋" w:cs="仿宋"/>
          <w:color w:val="auto"/>
          <w:sz w:val="24"/>
        </w:rPr>
        <w:t xml:space="preserve">项目名称：  </w:t>
      </w:r>
      <w:r>
        <w:rPr>
          <w:rFonts w:hint="eastAsia" w:ascii="仿宋" w:hAnsi="仿宋" w:eastAsia="仿宋" w:cs="仿宋"/>
          <w:color w:val="auto"/>
          <w:sz w:val="24"/>
          <w:u w:val="single"/>
        </w:rPr>
        <w:t xml:space="preserve">                      </w:t>
      </w:r>
    </w:p>
    <w:p w14:paraId="161049F5">
      <w:pPr>
        <w:widowControl/>
        <w:spacing w:line="360" w:lineRule="auto"/>
        <w:ind w:left="210" w:firstLine="720" w:firstLineChars="300"/>
        <w:jc w:val="left"/>
        <w:rPr>
          <w:rFonts w:hint="eastAsia" w:ascii="仿宋" w:hAnsi="仿宋" w:eastAsia="仿宋" w:cs="仿宋"/>
          <w:color w:val="auto"/>
          <w:sz w:val="24"/>
          <w:u w:val="single"/>
        </w:rPr>
      </w:pPr>
      <w:r>
        <w:rPr>
          <w:rFonts w:hint="eastAsia" w:ascii="仿宋" w:hAnsi="仿宋" w:eastAsia="仿宋" w:cs="仿宋"/>
          <w:color w:val="auto"/>
          <w:sz w:val="24"/>
        </w:rPr>
        <w:t xml:space="preserve">项目编号：  </w:t>
      </w:r>
      <w:r>
        <w:rPr>
          <w:rFonts w:hint="eastAsia" w:ascii="仿宋" w:hAnsi="仿宋" w:eastAsia="仿宋" w:cs="仿宋"/>
          <w:color w:val="auto"/>
          <w:sz w:val="24"/>
          <w:u w:val="single"/>
        </w:rPr>
        <w:t xml:space="preserve">                      </w:t>
      </w:r>
    </w:p>
    <w:tbl>
      <w:tblPr>
        <w:tblStyle w:val="30"/>
        <w:tblW w:w="12436"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4"/>
        <w:gridCol w:w="1605"/>
        <w:gridCol w:w="1398"/>
        <w:gridCol w:w="893"/>
        <w:gridCol w:w="1281"/>
        <w:gridCol w:w="1895"/>
        <w:gridCol w:w="1496"/>
        <w:gridCol w:w="1299"/>
        <w:gridCol w:w="1223"/>
        <w:gridCol w:w="712"/>
      </w:tblGrid>
      <w:tr w14:paraId="48CF81A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875" w:hRule="atLeast"/>
          <w:jc w:val="center"/>
        </w:trPr>
        <w:tc>
          <w:tcPr>
            <w:tcW w:w="634" w:type="dxa"/>
            <w:vAlign w:val="center"/>
          </w:tcPr>
          <w:p w14:paraId="611955F0">
            <w:pPr>
              <w:widowControl/>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605" w:type="dxa"/>
            <w:vAlign w:val="center"/>
          </w:tcPr>
          <w:p w14:paraId="07EE3E47">
            <w:pPr>
              <w:widowControl/>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398" w:type="dxa"/>
            <w:vAlign w:val="center"/>
          </w:tcPr>
          <w:p w14:paraId="0970675D">
            <w:pPr>
              <w:widowControl/>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型号和规格</w:t>
            </w:r>
          </w:p>
        </w:tc>
        <w:tc>
          <w:tcPr>
            <w:tcW w:w="893" w:type="dxa"/>
            <w:vAlign w:val="center"/>
          </w:tcPr>
          <w:p w14:paraId="20336977">
            <w:pPr>
              <w:widowControl/>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281" w:type="dxa"/>
            <w:vAlign w:val="center"/>
          </w:tcPr>
          <w:p w14:paraId="57A6D326">
            <w:pPr>
              <w:widowControl/>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单价(元)</w:t>
            </w:r>
          </w:p>
        </w:tc>
        <w:tc>
          <w:tcPr>
            <w:tcW w:w="1895" w:type="dxa"/>
            <w:vAlign w:val="center"/>
          </w:tcPr>
          <w:p w14:paraId="65050E02">
            <w:pPr>
              <w:widowControl/>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投标总价(元)</w:t>
            </w:r>
          </w:p>
        </w:tc>
        <w:tc>
          <w:tcPr>
            <w:tcW w:w="1496" w:type="dxa"/>
            <w:vAlign w:val="center"/>
          </w:tcPr>
          <w:p w14:paraId="692B15E3">
            <w:pPr>
              <w:widowControl/>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制造商名称</w:t>
            </w:r>
          </w:p>
        </w:tc>
        <w:tc>
          <w:tcPr>
            <w:tcW w:w="1299" w:type="dxa"/>
            <w:vAlign w:val="center"/>
          </w:tcPr>
          <w:p w14:paraId="730B4751">
            <w:pPr>
              <w:widowControl/>
              <w:spacing w:line="24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质保期</w:t>
            </w:r>
          </w:p>
        </w:tc>
        <w:tc>
          <w:tcPr>
            <w:tcW w:w="1223" w:type="dxa"/>
            <w:vAlign w:val="center"/>
          </w:tcPr>
          <w:p w14:paraId="758349C6">
            <w:pPr>
              <w:widowControl/>
              <w:spacing w:line="240" w:lineRule="auto"/>
              <w:jc w:val="center"/>
              <w:rPr>
                <w:rFonts w:hint="eastAsia" w:ascii="仿宋" w:hAnsi="仿宋" w:eastAsia="仿宋" w:cs="仿宋"/>
                <w:color w:val="auto"/>
                <w:sz w:val="24"/>
                <w:lang w:eastAsia="zh-CN"/>
              </w:rPr>
            </w:pPr>
            <w:r>
              <w:rPr>
                <w:rFonts w:hint="eastAsia" w:ascii="仿宋" w:hAnsi="仿宋" w:eastAsia="仿宋" w:cs="仿宋"/>
                <w:b/>
                <w:color w:val="auto"/>
                <w:sz w:val="24"/>
                <w:lang w:val="en-US" w:eastAsia="zh-CN"/>
              </w:rPr>
              <w:t>交货期</w:t>
            </w:r>
          </w:p>
        </w:tc>
        <w:tc>
          <w:tcPr>
            <w:tcW w:w="712" w:type="dxa"/>
            <w:vAlign w:val="center"/>
          </w:tcPr>
          <w:p w14:paraId="0F8DC21D">
            <w:pPr>
              <w:widowControl/>
              <w:spacing w:line="24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备注</w:t>
            </w:r>
          </w:p>
        </w:tc>
      </w:tr>
      <w:tr w14:paraId="72BF78D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34" w:type="dxa"/>
          </w:tcPr>
          <w:p w14:paraId="55311A58">
            <w:pPr>
              <w:widowControl/>
              <w:spacing w:line="360" w:lineRule="auto"/>
              <w:rPr>
                <w:rFonts w:hint="eastAsia" w:ascii="仿宋" w:hAnsi="仿宋" w:eastAsia="仿宋" w:cs="仿宋"/>
                <w:color w:val="auto"/>
                <w:sz w:val="24"/>
              </w:rPr>
            </w:pPr>
          </w:p>
        </w:tc>
        <w:tc>
          <w:tcPr>
            <w:tcW w:w="1605" w:type="dxa"/>
          </w:tcPr>
          <w:p w14:paraId="7919F4C8">
            <w:pPr>
              <w:widowControl/>
              <w:spacing w:line="360" w:lineRule="auto"/>
              <w:rPr>
                <w:rFonts w:hint="eastAsia" w:ascii="仿宋" w:hAnsi="仿宋" w:eastAsia="仿宋" w:cs="仿宋"/>
                <w:color w:val="auto"/>
                <w:sz w:val="24"/>
              </w:rPr>
            </w:pPr>
          </w:p>
        </w:tc>
        <w:tc>
          <w:tcPr>
            <w:tcW w:w="1398" w:type="dxa"/>
          </w:tcPr>
          <w:p w14:paraId="70D8C00D">
            <w:pPr>
              <w:widowControl/>
              <w:spacing w:line="360" w:lineRule="auto"/>
              <w:rPr>
                <w:rFonts w:hint="eastAsia" w:ascii="仿宋" w:hAnsi="仿宋" w:eastAsia="仿宋" w:cs="仿宋"/>
                <w:color w:val="auto"/>
                <w:sz w:val="24"/>
              </w:rPr>
            </w:pPr>
          </w:p>
        </w:tc>
        <w:tc>
          <w:tcPr>
            <w:tcW w:w="893" w:type="dxa"/>
          </w:tcPr>
          <w:p w14:paraId="203D20AB">
            <w:pPr>
              <w:widowControl/>
              <w:spacing w:line="360" w:lineRule="auto"/>
              <w:rPr>
                <w:rFonts w:hint="eastAsia" w:ascii="仿宋" w:hAnsi="仿宋" w:eastAsia="仿宋" w:cs="仿宋"/>
                <w:color w:val="auto"/>
                <w:sz w:val="24"/>
              </w:rPr>
            </w:pPr>
          </w:p>
        </w:tc>
        <w:tc>
          <w:tcPr>
            <w:tcW w:w="1281" w:type="dxa"/>
          </w:tcPr>
          <w:p w14:paraId="7686A693">
            <w:pPr>
              <w:widowControl/>
              <w:spacing w:line="360" w:lineRule="auto"/>
              <w:rPr>
                <w:rFonts w:hint="eastAsia" w:ascii="仿宋" w:hAnsi="仿宋" w:eastAsia="仿宋" w:cs="仿宋"/>
                <w:color w:val="auto"/>
                <w:sz w:val="24"/>
              </w:rPr>
            </w:pPr>
          </w:p>
        </w:tc>
        <w:tc>
          <w:tcPr>
            <w:tcW w:w="1895" w:type="dxa"/>
          </w:tcPr>
          <w:p w14:paraId="5D679366">
            <w:pPr>
              <w:widowControl/>
              <w:spacing w:line="360" w:lineRule="auto"/>
              <w:rPr>
                <w:rFonts w:hint="eastAsia" w:ascii="仿宋" w:hAnsi="仿宋" w:eastAsia="仿宋" w:cs="仿宋"/>
                <w:color w:val="auto"/>
                <w:sz w:val="24"/>
              </w:rPr>
            </w:pPr>
          </w:p>
        </w:tc>
        <w:tc>
          <w:tcPr>
            <w:tcW w:w="1496" w:type="dxa"/>
          </w:tcPr>
          <w:p w14:paraId="4DEBE844">
            <w:pPr>
              <w:widowControl/>
              <w:spacing w:line="360" w:lineRule="auto"/>
              <w:rPr>
                <w:rFonts w:hint="eastAsia" w:ascii="仿宋" w:hAnsi="仿宋" w:eastAsia="仿宋" w:cs="仿宋"/>
                <w:color w:val="auto"/>
                <w:sz w:val="24"/>
              </w:rPr>
            </w:pPr>
          </w:p>
        </w:tc>
        <w:tc>
          <w:tcPr>
            <w:tcW w:w="1299" w:type="dxa"/>
          </w:tcPr>
          <w:p w14:paraId="22653C56">
            <w:pPr>
              <w:widowControl/>
              <w:spacing w:line="360" w:lineRule="auto"/>
              <w:rPr>
                <w:rFonts w:hint="eastAsia" w:ascii="仿宋" w:hAnsi="仿宋" w:eastAsia="仿宋" w:cs="仿宋"/>
                <w:color w:val="auto"/>
                <w:sz w:val="24"/>
              </w:rPr>
            </w:pPr>
          </w:p>
        </w:tc>
        <w:tc>
          <w:tcPr>
            <w:tcW w:w="1223" w:type="dxa"/>
          </w:tcPr>
          <w:p w14:paraId="61395812">
            <w:pPr>
              <w:widowControl/>
              <w:spacing w:line="360" w:lineRule="auto"/>
              <w:rPr>
                <w:rFonts w:hint="eastAsia" w:ascii="仿宋" w:hAnsi="仿宋" w:eastAsia="仿宋" w:cs="仿宋"/>
                <w:color w:val="auto"/>
                <w:sz w:val="24"/>
              </w:rPr>
            </w:pPr>
          </w:p>
        </w:tc>
        <w:tc>
          <w:tcPr>
            <w:tcW w:w="712" w:type="dxa"/>
          </w:tcPr>
          <w:p w14:paraId="3CE68134">
            <w:pPr>
              <w:widowControl/>
              <w:spacing w:line="360" w:lineRule="auto"/>
              <w:rPr>
                <w:rFonts w:hint="eastAsia" w:ascii="仿宋" w:hAnsi="仿宋" w:eastAsia="仿宋" w:cs="仿宋"/>
                <w:color w:val="auto"/>
                <w:sz w:val="24"/>
              </w:rPr>
            </w:pPr>
          </w:p>
        </w:tc>
      </w:tr>
      <w:tr w14:paraId="7B85B73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34" w:type="dxa"/>
          </w:tcPr>
          <w:p w14:paraId="4F50C10C">
            <w:pPr>
              <w:widowControl/>
              <w:spacing w:line="360" w:lineRule="auto"/>
              <w:rPr>
                <w:rFonts w:hint="eastAsia" w:ascii="仿宋" w:hAnsi="仿宋" w:eastAsia="仿宋" w:cs="仿宋"/>
                <w:color w:val="auto"/>
                <w:sz w:val="24"/>
              </w:rPr>
            </w:pPr>
          </w:p>
        </w:tc>
        <w:tc>
          <w:tcPr>
            <w:tcW w:w="1605" w:type="dxa"/>
          </w:tcPr>
          <w:p w14:paraId="0DAAE4C0">
            <w:pPr>
              <w:widowControl/>
              <w:spacing w:line="360" w:lineRule="auto"/>
              <w:rPr>
                <w:rFonts w:hint="eastAsia" w:ascii="仿宋" w:hAnsi="仿宋" w:eastAsia="仿宋" w:cs="仿宋"/>
                <w:color w:val="auto"/>
                <w:sz w:val="24"/>
              </w:rPr>
            </w:pPr>
          </w:p>
        </w:tc>
        <w:tc>
          <w:tcPr>
            <w:tcW w:w="1398" w:type="dxa"/>
          </w:tcPr>
          <w:p w14:paraId="59F22DE5">
            <w:pPr>
              <w:widowControl/>
              <w:spacing w:line="360" w:lineRule="auto"/>
              <w:rPr>
                <w:rFonts w:hint="eastAsia" w:ascii="仿宋" w:hAnsi="仿宋" w:eastAsia="仿宋" w:cs="仿宋"/>
                <w:color w:val="auto"/>
                <w:sz w:val="24"/>
              </w:rPr>
            </w:pPr>
          </w:p>
        </w:tc>
        <w:tc>
          <w:tcPr>
            <w:tcW w:w="893" w:type="dxa"/>
          </w:tcPr>
          <w:p w14:paraId="3769626B">
            <w:pPr>
              <w:widowControl/>
              <w:spacing w:line="360" w:lineRule="auto"/>
              <w:rPr>
                <w:rFonts w:hint="eastAsia" w:ascii="仿宋" w:hAnsi="仿宋" w:eastAsia="仿宋" w:cs="仿宋"/>
                <w:color w:val="auto"/>
                <w:sz w:val="24"/>
              </w:rPr>
            </w:pPr>
          </w:p>
        </w:tc>
        <w:tc>
          <w:tcPr>
            <w:tcW w:w="1281" w:type="dxa"/>
          </w:tcPr>
          <w:p w14:paraId="463423A3">
            <w:pPr>
              <w:widowControl/>
              <w:spacing w:line="360" w:lineRule="auto"/>
              <w:rPr>
                <w:rFonts w:hint="eastAsia" w:ascii="仿宋" w:hAnsi="仿宋" w:eastAsia="仿宋" w:cs="仿宋"/>
                <w:color w:val="auto"/>
                <w:sz w:val="24"/>
              </w:rPr>
            </w:pPr>
          </w:p>
        </w:tc>
        <w:tc>
          <w:tcPr>
            <w:tcW w:w="1895" w:type="dxa"/>
          </w:tcPr>
          <w:p w14:paraId="4FA8D4B4">
            <w:pPr>
              <w:widowControl/>
              <w:spacing w:line="360" w:lineRule="auto"/>
              <w:rPr>
                <w:rFonts w:hint="eastAsia" w:ascii="仿宋" w:hAnsi="仿宋" w:eastAsia="仿宋" w:cs="仿宋"/>
                <w:color w:val="auto"/>
                <w:sz w:val="24"/>
              </w:rPr>
            </w:pPr>
          </w:p>
        </w:tc>
        <w:tc>
          <w:tcPr>
            <w:tcW w:w="1496" w:type="dxa"/>
          </w:tcPr>
          <w:p w14:paraId="05A3CE16">
            <w:pPr>
              <w:widowControl/>
              <w:spacing w:line="360" w:lineRule="auto"/>
              <w:rPr>
                <w:rFonts w:hint="eastAsia" w:ascii="仿宋" w:hAnsi="仿宋" w:eastAsia="仿宋" w:cs="仿宋"/>
                <w:color w:val="auto"/>
                <w:sz w:val="24"/>
              </w:rPr>
            </w:pPr>
          </w:p>
        </w:tc>
        <w:tc>
          <w:tcPr>
            <w:tcW w:w="1299" w:type="dxa"/>
          </w:tcPr>
          <w:p w14:paraId="2FB57E0C">
            <w:pPr>
              <w:widowControl/>
              <w:spacing w:line="360" w:lineRule="auto"/>
              <w:rPr>
                <w:rFonts w:hint="eastAsia" w:ascii="仿宋" w:hAnsi="仿宋" w:eastAsia="仿宋" w:cs="仿宋"/>
                <w:color w:val="auto"/>
                <w:sz w:val="24"/>
              </w:rPr>
            </w:pPr>
          </w:p>
        </w:tc>
        <w:tc>
          <w:tcPr>
            <w:tcW w:w="1223" w:type="dxa"/>
          </w:tcPr>
          <w:p w14:paraId="1D9B345C">
            <w:pPr>
              <w:widowControl/>
              <w:spacing w:line="360" w:lineRule="auto"/>
              <w:rPr>
                <w:rFonts w:hint="eastAsia" w:ascii="仿宋" w:hAnsi="仿宋" w:eastAsia="仿宋" w:cs="仿宋"/>
                <w:color w:val="auto"/>
                <w:sz w:val="24"/>
              </w:rPr>
            </w:pPr>
          </w:p>
        </w:tc>
        <w:tc>
          <w:tcPr>
            <w:tcW w:w="712" w:type="dxa"/>
          </w:tcPr>
          <w:p w14:paraId="6E3F6134">
            <w:pPr>
              <w:widowControl/>
              <w:spacing w:line="360" w:lineRule="auto"/>
              <w:rPr>
                <w:rFonts w:hint="eastAsia" w:ascii="仿宋" w:hAnsi="仿宋" w:eastAsia="仿宋" w:cs="仿宋"/>
                <w:color w:val="auto"/>
                <w:sz w:val="24"/>
              </w:rPr>
            </w:pPr>
          </w:p>
        </w:tc>
      </w:tr>
      <w:tr w14:paraId="4B912EC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34" w:type="dxa"/>
          </w:tcPr>
          <w:p w14:paraId="1ADB668B">
            <w:pPr>
              <w:widowControl/>
              <w:spacing w:line="360" w:lineRule="auto"/>
              <w:rPr>
                <w:rFonts w:hint="eastAsia" w:ascii="仿宋" w:hAnsi="仿宋" w:eastAsia="仿宋" w:cs="仿宋"/>
                <w:color w:val="auto"/>
                <w:sz w:val="24"/>
              </w:rPr>
            </w:pPr>
          </w:p>
        </w:tc>
        <w:tc>
          <w:tcPr>
            <w:tcW w:w="1605" w:type="dxa"/>
          </w:tcPr>
          <w:p w14:paraId="7FF46DE7">
            <w:pPr>
              <w:widowControl/>
              <w:spacing w:line="360" w:lineRule="auto"/>
              <w:rPr>
                <w:rFonts w:hint="eastAsia" w:ascii="仿宋" w:hAnsi="仿宋" w:eastAsia="仿宋" w:cs="仿宋"/>
                <w:color w:val="auto"/>
                <w:sz w:val="24"/>
              </w:rPr>
            </w:pPr>
          </w:p>
        </w:tc>
        <w:tc>
          <w:tcPr>
            <w:tcW w:w="1398" w:type="dxa"/>
          </w:tcPr>
          <w:p w14:paraId="5C311B23">
            <w:pPr>
              <w:widowControl/>
              <w:spacing w:line="360" w:lineRule="auto"/>
              <w:rPr>
                <w:rFonts w:hint="eastAsia" w:ascii="仿宋" w:hAnsi="仿宋" w:eastAsia="仿宋" w:cs="仿宋"/>
                <w:color w:val="auto"/>
                <w:sz w:val="24"/>
              </w:rPr>
            </w:pPr>
          </w:p>
        </w:tc>
        <w:tc>
          <w:tcPr>
            <w:tcW w:w="893" w:type="dxa"/>
          </w:tcPr>
          <w:p w14:paraId="50BCC6D1">
            <w:pPr>
              <w:widowControl/>
              <w:spacing w:line="360" w:lineRule="auto"/>
              <w:rPr>
                <w:rFonts w:hint="eastAsia" w:ascii="仿宋" w:hAnsi="仿宋" w:eastAsia="仿宋" w:cs="仿宋"/>
                <w:color w:val="auto"/>
                <w:sz w:val="24"/>
              </w:rPr>
            </w:pPr>
          </w:p>
        </w:tc>
        <w:tc>
          <w:tcPr>
            <w:tcW w:w="1281" w:type="dxa"/>
          </w:tcPr>
          <w:p w14:paraId="5C7D7ED5">
            <w:pPr>
              <w:widowControl/>
              <w:spacing w:line="360" w:lineRule="auto"/>
              <w:rPr>
                <w:rFonts w:hint="eastAsia" w:ascii="仿宋" w:hAnsi="仿宋" w:eastAsia="仿宋" w:cs="仿宋"/>
                <w:color w:val="auto"/>
                <w:sz w:val="24"/>
              </w:rPr>
            </w:pPr>
          </w:p>
        </w:tc>
        <w:tc>
          <w:tcPr>
            <w:tcW w:w="1895" w:type="dxa"/>
          </w:tcPr>
          <w:p w14:paraId="2C416C81">
            <w:pPr>
              <w:widowControl/>
              <w:spacing w:line="360" w:lineRule="auto"/>
              <w:rPr>
                <w:rFonts w:hint="eastAsia" w:ascii="仿宋" w:hAnsi="仿宋" w:eastAsia="仿宋" w:cs="仿宋"/>
                <w:color w:val="auto"/>
                <w:sz w:val="24"/>
              </w:rPr>
            </w:pPr>
          </w:p>
        </w:tc>
        <w:tc>
          <w:tcPr>
            <w:tcW w:w="1496" w:type="dxa"/>
          </w:tcPr>
          <w:p w14:paraId="55FC709F">
            <w:pPr>
              <w:widowControl/>
              <w:spacing w:line="360" w:lineRule="auto"/>
              <w:rPr>
                <w:rFonts w:hint="eastAsia" w:ascii="仿宋" w:hAnsi="仿宋" w:eastAsia="仿宋" w:cs="仿宋"/>
                <w:color w:val="auto"/>
                <w:sz w:val="24"/>
              </w:rPr>
            </w:pPr>
          </w:p>
        </w:tc>
        <w:tc>
          <w:tcPr>
            <w:tcW w:w="1299" w:type="dxa"/>
          </w:tcPr>
          <w:p w14:paraId="513BA183">
            <w:pPr>
              <w:widowControl/>
              <w:spacing w:line="360" w:lineRule="auto"/>
              <w:rPr>
                <w:rFonts w:hint="eastAsia" w:ascii="仿宋" w:hAnsi="仿宋" w:eastAsia="仿宋" w:cs="仿宋"/>
                <w:color w:val="auto"/>
                <w:sz w:val="24"/>
              </w:rPr>
            </w:pPr>
          </w:p>
        </w:tc>
        <w:tc>
          <w:tcPr>
            <w:tcW w:w="1223" w:type="dxa"/>
          </w:tcPr>
          <w:p w14:paraId="4846783C">
            <w:pPr>
              <w:widowControl/>
              <w:spacing w:line="360" w:lineRule="auto"/>
              <w:rPr>
                <w:rFonts w:hint="eastAsia" w:ascii="仿宋" w:hAnsi="仿宋" w:eastAsia="仿宋" w:cs="仿宋"/>
                <w:color w:val="auto"/>
                <w:sz w:val="24"/>
              </w:rPr>
            </w:pPr>
          </w:p>
        </w:tc>
        <w:tc>
          <w:tcPr>
            <w:tcW w:w="712" w:type="dxa"/>
          </w:tcPr>
          <w:p w14:paraId="36D7DE99">
            <w:pPr>
              <w:widowControl/>
              <w:spacing w:line="360" w:lineRule="auto"/>
              <w:rPr>
                <w:rFonts w:hint="eastAsia" w:ascii="仿宋" w:hAnsi="仿宋" w:eastAsia="仿宋" w:cs="仿宋"/>
                <w:color w:val="auto"/>
                <w:sz w:val="24"/>
              </w:rPr>
            </w:pPr>
          </w:p>
        </w:tc>
      </w:tr>
      <w:tr w14:paraId="751CB14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34" w:type="dxa"/>
          </w:tcPr>
          <w:p w14:paraId="1ABD9DD8">
            <w:pPr>
              <w:widowControl/>
              <w:spacing w:line="360" w:lineRule="auto"/>
              <w:rPr>
                <w:rFonts w:hint="eastAsia" w:ascii="仿宋" w:hAnsi="仿宋" w:eastAsia="仿宋" w:cs="仿宋"/>
                <w:color w:val="auto"/>
                <w:sz w:val="24"/>
              </w:rPr>
            </w:pPr>
          </w:p>
        </w:tc>
        <w:tc>
          <w:tcPr>
            <w:tcW w:w="1605" w:type="dxa"/>
          </w:tcPr>
          <w:p w14:paraId="4F9F3685">
            <w:pPr>
              <w:widowControl/>
              <w:spacing w:line="360" w:lineRule="auto"/>
              <w:rPr>
                <w:rFonts w:hint="eastAsia" w:ascii="仿宋" w:hAnsi="仿宋" w:eastAsia="仿宋" w:cs="仿宋"/>
                <w:color w:val="auto"/>
                <w:sz w:val="24"/>
              </w:rPr>
            </w:pPr>
          </w:p>
        </w:tc>
        <w:tc>
          <w:tcPr>
            <w:tcW w:w="1398" w:type="dxa"/>
          </w:tcPr>
          <w:p w14:paraId="30E541E0">
            <w:pPr>
              <w:widowControl/>
              <w:spacing w:line="360" w:lineRule="auto"/>
              <w:rPr>
                <w:rFonts w:hint="eastAsia" w:ascii="仿宋" w:hAnsi="仿宋" w:eastAsia="仿宋" w:cs="仿宋"/>
                <w:color w:val="auto"/>
                <w:sz w:val="24"/>
              </w:rPr>
            </w:pPr>
          </w:p>
        </w:tc>
        <w:tc>
          <w:tcPr>
            <w:tcW w:w="893" w:type="dxa"/>
          </w:tcPr>
          <w:p w14:paraId="666F0AD8">
            <w:pPr>
              <w:widowControl/>
              <w:spacing w:line="360" w:lineRule="auto"/>
              <w:rPr>
                <w:rFonts w:hint="eastAsia" w:ascii="仿宋" w:hAnsi="仿宋" w:eastAsia="仿宋" w:cs="仿宋"/>
                <w:color w:val="auto"/>
                <w:sz w:val="24"/>
              </w:rPr>
            </w:pPr>
          </w:p>
        </w:tc>
        <w:tc>
          <w:tcPr>
            <w:tcW w:w="1281" w:type="dxa"/>
          </w:tcPr>
          <w:p w14:paraId="2945F003">
            <w:pPr>
              <w:widowControl/>
              <w:spacing w:line="360" w:lineRule="auto"/>
              <w:rPr>
                <w:rFonts w:hint="eastAsia" w:ascii="仿宋" w:hAnsi="仿宋" w:eastAsia="仿宋" w:cs="仿宋"/>
                <w:color w:val="auto"/>
                <w:sz w:val="24"/>
              </w:rPr>
            </w:pPr>
          </w:p>
        </w:tc>
        <w:tc>
          <w:tcPr>
            <w:tcW w:w="1895" w:type="dxa"/>
          </w:tcPr>
          <w:p w14:paraId="1A8252C4">
            <w:pPr>
              <w:widowControl/>
              <w:spacing w:line="360" w:lineRule="auto"/>
              <w:rPr>
                <w:rFonts w:hint="eastAsia" w:ascii="仿宋" w:hAnsi="仿宋" w:eastAsia="仿宋" w:cs="仿宋"/>
                <w:color w:val="auto"/>
                <w:sz w:val="24"/>
              </w:rPr>
            </w:pPr>
          </w:p>
        </w:tc>
        <w:tc>
          <w:tcPr>
            <w:tcW w:w="1496" w:type="dxa"/>
          </w:tcPr>
          <w:p w14:paraId="20AFED18">
            <w:pPr>
              <w:widowControl/>
              <w:spacing w:line="360" w:lineRule="auto"/>
              <w:rPr>
                <w:rFonts w:hint="eastAsia" w:ascii="仿宋" w:hAnsi="仿宋" w:eastAsia="仿宋" w:cs="仿宋"/>
                <w:color w:val="auto"/>
                <w:sz w:val="24"/>
              </w:rPr>
            </w:pPr>
          </w:p>
        </w:tc>
        <w:tc>
          <w:tcPr>
            <w:tcW w:w="1299" w:type="dxa"/>
            <w:tcBorders>
              <w:bottom w:val="single" w:color="auto" w:sz="4" w:space="0"/>
            </w:tcBorders>
          </w:tcPr>
          <w:p w14:paraId="11606B3D">
            <w:pPr>
              <w:widowControl/>
              <w:spacing w:line="360" w:lineRule="auto"/>
              <w:rPr>
                <w:rFonts w:hint="eastAsia" w:ascii="仿宋" w:hAnsi="仿宋" w:eastAsia="仿宋" w:cs="仿宋"/>
                <w:color w:val="auto"/>
                <w:sz w:val="24"/>
              </w:rPr>
            </w:pPr>
          </w:p>
        </w:tc>
        <w:tc>
          <w:tcPr>
            <w:tcW w:w="1223" w:type="dxa"/>
            <w:tcBorders>
              <w:bottom w:val="single" w:color="auto" w:sz="4" w:space="0"/>
              <w:right w:val="double" w:color="auto" w:sz="4" w:space="0"/>
            </w:tcBorders>
          </w:tcPr>
          <w:p w14:paraId="510AEBC5">
            <w:pPr>
              <w:widowControl/>
              <w:spacing w:line="360" w:lineRule="auto"/>
              <w:rPr>
                <w:rFonts w:hint="eastAsia" w:ascii="仿宋" w:hAnsi="仿宋" w:eastAsia="仿宋" w:cs="仿宋"/>
                <w:color w:val="auto"/>
                <w:sz w:val="24"/>
              </w:rPr>
            </w:pPr>
          </w:p>
        </w:tc>
        <w:tc>
          <w:tcPr>
            <w:tcW w:w="712" w:type="dxa"/>
            <w:tcBorders>
              <w:bottom w:val="single" w:color="auto" w:sz="4" w:space="0"/>
              <w:right w:val="double" w:color="auto" w:sz="4" w:space="0"/>
            </w:tcBorders>
          </w:tcPr>
          <w:p w14:paraId="3E66E9B3">
            <w:pPr>
              <w:widowControl/>
              <w:spacing w:line="360" w:lineRule="auto"/>
              <w:rPr>
                <w:rFonts w:hint="eastAsia" w:ascii="仿宋" w:hAnsi="仿宋" w:eastAsia="仿宋" w:cs="仿宋"/>
                <w:color w:val="auto"/>
                <w:sz w:val="24"/>
              </w:rPr>
            </w:pPr>
          </w:p>
        </w:tc>
      </w:tr>
      <w:tr w14:paraId="76A18B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634" w:type="dxa"/>
            <w:vAlign w:val="center"/>
          </w:tcPr>
          <w:p w14:paraId="78307289">
            <w:pPr>
              <w:widowControl/>
              <w:spacing w:line="240" w:lineRule="auto"/>
              <w:jc w:val="both"/>
              <w:rPr>
                <w:rFonts w:hint="eastAsia" w:ascii="仿宋" w:hAnsi="仿宋" w:eastAsia="仿宋" w:cs="仿宋"/>
                <w:color w:val="auto"/>
                <w:sz w:val="24"/>
              </w:rPr>
            </w:pPr>
            <w:r>
              <w:rPr>
                <w:rFonts w:hint="eastAsia" w:ascii="仿宋" w:hAnsi="仿宋" w:eastAsia="仿宋" w:cs="仿宋"/>
                <w:color w:val="auto"/>
                <w:sz w:val="24"/>
              </w:rPr>
              <w:t>合计</w:t>
            </w:r>
          </w:p>
        </w:tc>
        <w:tc>
          <w:tcPr>
            <w:tcW w:w="11802" w:type="dxa"/>
            <w:gridSpan w:val="9"/>
            <w:vAlign w:val="center"/>
          </w:tcPr>
          <w:p w14:paraId="714F28E5">
            <w:pPr>
              <w:widowControl/>
              <w:spacing w:line="240" w:lineRule="auto"/>
              <w:jc w:val="both"/>
              <w:rPr>
                <w:rFonts w:hint="eastAsia" w:ascii="仿宋" w:hAnsi="仿宋" w:eastAsia="仿宋" w:cs="仿宋"/>
                <w:color w:val="auto"/>
                <w:sz w:val="24"/>
              </w:rPr>
            </w:pPr>
            <w:r>
              <w:rPr>
                <w:rFonts w:hint="eastAsia" w:ascii="仿宋" w:hAnsi="仿宋" w:eastAsia="仿宋" w:cs="仿宋"/>
                <w:color w:val="auto"/>
                <w:sz w:val="24"/>
              </w:rPr>
              <w:t>（大写）：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（小写）：</w:t>
            </w:r>
            <w:r>
              <w:rPr>
                <w:rFonts w:hint="eastAsia" w:ascii="仿宋" w:hAnsi="仿宋" w:eastAsia="仿宋" w:cs="仿宋"/>
                <w:color w:val="auto"/>
                <w:sz w:val="24"/>
                <w:u w:val="single"/>
              </w:rPr>
              <w:t xml:space="preserve">                              </w:t>
            </w:r>
          </w:p>
        </w:tc>
      </w:tr>
    </w:tbl>
    <w:p w14:paraId="4A431100">
      <w:pPr>
        <w:spacing w:line="360" w:lineRule="auto"/>
        <w:ind w:firstLine="9120" w:firstLineChars="38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37CC04C0">
      <w:pPr>
        <w:widowControl/>
        <w:spacing w:line="360" w:lineRule="auto"/>
        <w:ind w:right="480" w:firstLine="9120" w:firstLineChars="3800"/>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BEE9D25">
      <w:pPr>
        <w:spacing w:line="360" w:lineRule="auto"/>
        <w:rPr>
          <w:rFonts w:hint="eastAsia" w:ascii="仿宋" w:hAnsi="仿宋" w:eastAsia="仿宋" w:cs="仿宋"/>
          <w:b/>
          <w:color w:val="auto"/>
          <w:sz w:val="24"/>
        </w:rPr>
        <w:sectPr>
          <w:headerReference r:id="rId7" w:type="first"/>
          <w:footerReference r:id="rId8" w:type="first"/>
          <w:pgSz w:w="16838" w:h="11906" w:orient="landscape"/>
          <w:pgMar w:top="1588" w:right="1191" w:bottom="1588" w:left="1191" w:header="851" w:footer="992" w:gutter="0"/>
          <w:pgNumType w:fmt="decimal"/>
          <w:cols w:space="720" w:num="1"/>
          <w:docGrid w:linePitch="286" w:charSpace="0"/>
        </w:sectPr>
      </w:pPr>
      <w:r>
        <w:rPr>
          <w:rFonts w:hint="eastAsia" w:ascii="仿宋" w:hAnsi="仿宋" w:eastAsia="仿宋" w:cs="仿宋"/>
          <w:b/>
          <w:bCs/>
          <w:color w:val="auto"/>
          <w:sz w:val="24"/>
        </w:rPr>
        <w:t>注</w:t>
      </w:r>
      <w:r>
        <w:rPr>
          <w:rFonts w:hint="eastAsia" w:ascii="仿宋" w:hAnsi="仿宋" w:eastAsia="仿宋" w:cs="仿宋"/>
          <w:b/>
          <w:bCs/>
          <w:color w:val="auto"/>
          <w:sz w:val="24"/>
          <w:lang w:eastAsia="zh-CN"/>
        </w:rPr>
        <w:t>：</w:t>
      </w:r>
      <w:r>
        <w:rPr>
          <w:rFonts w:hint="eastAsia" w:ascii="仿宋" w:hAnsi="仿宋" w:eastAsia="仿宋" w:cs="仿宋"/>
          <w:b/>
          <w:color w:val="auto"/>
          <w:sz w:val="24"/>
        </w:rPr>
        <w:t>投标报价应包括货物费用、随机备品备件、验收、运输费用（货物到最终用户的运费）、安装调试费用、人员培训及投标等全部费用。</w:t>
      </w:r>
    </w:p>
    <w:p w14:paraId="4BE7F06F">
      <w:pPr>
        <w:numPr>
          <w:ilvl w:val="1"/>
          <w:numId w:val="0"/>
        </w:numPr>
        <w:spacing w:line="360" w:lineRule="auto"/>
        <w:jc w:val="center"/>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三、投标报价明细表</w:t>
      </w:r>
    </w:p>
    <w:p w14:paraId="6046C191">
      <w:pPr>
        <w:numPr>
          <w:ilvl w:val="1"/>
          <w:numId w:val="0"/>
        </w:num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（投标人根据投标产品自行编制格式）</w:t>
      </w:r>
    </w:p>
    <w:bookmarkEnd w:id="76"/>
    <w:p w14:paraId="5D28B001">
      <w:pPr>
        <w:spacing w:line="360" w:lineRule="auto"/>
        <w:outlineLvl w:val="1"/>
        <w:rPr>
          <w:rFonts w:hint="eastAsia" w:ascii="仿宋" w:hAnsi="仿宋" w:eastAsia="仿宋" w:cs="仿宋"/>
          <w:b/>
          <w:color w:val="auto"/>
          <w:kern w:val="0"/>
          <w:sz w:val="28"/>
          <w:szCs w:val="28"/>
        </w:rPr>
      </w:pPr>
    </w:p>
    <w:p w14:paraId="78C3D234">
      <w:pPr>
        <w:spacing w:line="360" w:lineRule="auto"/>
        <w:outlineLvl w:val="1"/>
        <w:rPr>
          <w:rFonts w:hint="eastAsia" w:ascii="仿宋" w:hAnsi="仿宋" w:eastAsia="仿宋" w:cs="仿宋"/>
          <w:b/>
          <w:color w:val="auto"/>
          <w:kern w:val="0"/>
          <w:sz w:val="28"/>
          <w:szCs w:val="28"/>
        </w:rPr>
      </w:pPr>
    </w:p>
    <w:p w14:paraId="7FBEAD20">
      <w:pPr>
        <w:spacing w:line="360" w:lineRule="auto"/>
        <w:outlineLvl w:val="1"/>
        <w:rPr>
          <w:rFonts w:hint="eastAsia" w:ascii="仿宋" w:hAnsi="仿宋" w:eastAsia="仿宋" w:cs="仿宋"/>
          <w:b/>
          <w:color w:val="auto"/>
          <w:kern w:val="0"/>
          <w:sz w:val="28"/>
          <w:szCs w:val="28"/>
        </w:rPr>
      </w:pPr>
    </w:p>
    <w:p w14:paraId="39A5C3A7">
      <w:pPr>
        <w:spacing w:line="360" w:lineRule="auto"/>
        <w:outlineLvl w:val="1"/>
        <w:rPr>
          <w:rFonts w:hint="eastAsia" w:ascii="仿宋" w:hAnsi="仿宋" w:eastAsia="仿宋" w:cs="仿宋"/>
          <w:b/>
          <w:color w:val="auto"/>
          <w:kern w:val="0"/>
          <w:sz w:val="28"/>
          <w:szCs w:val="28"/>
        </w:rPr>
      </w:pPr>
    </w:p>
    <w:p w14:paraId="24445B7D">
      <w:pPr>
        <w:spacing w:line="360" w:lineRule="auto"/>
        <w:outlineLvl w:val="1"/>
        <w:rPr>
          <w:rFonts w:hint="eastAsia" w:ascii="仿宋" w:hAnsi="仿宋" w:eastAsia="仿宋" w:cs="仿宋"/>
          <w:b/>
          <w:color w:val="auto"/>
          <w:kern w:val="0"/>
          <w:sz w:val="28"/>
          <w:szCs w:val="28"/>
        </w:rPr>
      </w:pPr>
    </w:p>
    <w:p w14:paraId="17B34EA7">
      <w:pPr>
        <w:spacing w:line="360" w:lineRule="auto"/>
        <w:outlineLvl w:val="1"/>
        <w:rPr>
          <w:rFonts w:hint="eastAsia" w:ascii="仿宋" w:hAnsi="仿宋" w:eastAsia="仿宋" w:cs="仿宋"/>
          <w:b/>
          <w:color w:val="auto"/>
          <w:kern w:val="0"/>
          <w:sz w:val="28"/>
          <w:szCs w:val="28"/>
        </w:rPr>
      </w:pPr>
    </w:p>
    <w:p w14:paraId="50CEFF0A">
      <w:pPr>
        <w:spacing w:line="360" w:lineRule="auto"/>
        <w:outlineLvl w:val="1"/>
        <w:rPr>
          <w:rFonts w:hint="eastAsia" w:ascii="仿宋" w:hAnsi="仿宋" w:eastAsia="仿宋" w:cs="仿宋"/>
          <w:b/>
          <w:color w:val="auto"/>
          <w:kern w:val="0"/>
          <w:sz w:val="28"/>
          <w:szCs w:val="28"/>
        </w:rPr>
      </w:pPr>
    </w:p>
    <w:p w14:paraId="01A9E61A">
      <w:pPr>
        <w:spacing w:line="360" w:lineRule="auto"/>
        <w:outlineLvl w:val="1"/>
        <w:rPr>
          <w:rFonts w:hint="eastAsia" w:ascii="仿宋" w:hAnsi="仿宋" w:eastAsia="仿宋" w:cs="仿宋"/>
          <w:b/>
          <w:color w:val="auto"/>
          <w:kern w:val="0"/>
          <w:sz w:val="28"/>
          <w:szCs w:val="28"/>
        </w:rPr>
      </w:pPr>
    </w:p>
    <w:p w14:paraId="0EECE1F0">
      <w:pPr>
        <w:spacing w:line="360" w:lineRule="auto"/>
        <w:outlineLvl w:val="1"/>
        <w:rPr>
          <w:rFonts w:hint="eastAsia" w:ascii="仿宋" w:hAnsi="仿宋" w:eastAsia="仿宋" w:cs="仿宋"/>
          <w:b/>
          <w:color w:val="auto"/>
          <w:kern w:val="0"/>
          <w:sz w:val="28"/>
          <w:szCs w:val="28"/>
        </w:rPr>
      </w:pPr>
    </w:p>
    <w:p w14:paraId="5040CC22">
      <w:pPr>
        <w:spacing w:line="360" w:lineRule="auto"/>
        <w:outlineLvl w:val="1"/>
        <w:rPr>
          <w:rFonts w:hint="eastAsia" w:ascii="仿宋" w:hAnsi="仿宋" w:eastAsia="仿宋" w:cs="仿宋"/>
          <w:b/>
          <w:color w:val="auto"/>
          <w:kern w:val="0"/>
          <w:sz w:val="28"/>
          <w:szCs w:val="28"/>
        </w:rPr>
      </w:pPr>
    </w:p>
    <w:p w14:paraId="57009AC2">
      <w:pPr>
        <w:spacing w:line="360" w:lineRule="auto"/>
        <w:outlineLvl w:val="1"/>
        <w:rPr>
          <w:rFonts w:hint="eastAsia" w:ascii="仿宋" w:hAnsi="仿宋" w:eastAsia="仿宋" w:cs="仿宋"/>
          <w:b/>
          <w:color w:val="auto"/>
          <w:kern w:val="0"/>
          <w:sz w:val="28"/>
          <w:szCs w:val="28"/>
        </w:rPr>
      </w:pPr>
    </w:p>
    <w:p w14:paraId="79EC6C95">
      <w:pPr>
        <w:spacing w:line="360" w:lineRule="auto"/>
        <w:outlineLvl w:val="1"/>
        <w:rPr>
          <w:rFonts w:hint="eastAsia" w:ascii="仿宋" w:hAnsi="仿宋" w:eastAsia="仿宋" w:cs="仿宋"/>
          <w:b/>
          <w:color w:val="auto"/>
          <w:kern w:val="0"/>
          <w:sz w:val="28"/>
          <w:szCs w:val="28"/>
        </w:rPr>
      </w:pPr>
    </w:p>
    <w:p w14:paraId="7250461F">
      <w:pPr>
        <w:spacing w:line="360" w:lineRule="auto"/>
        <w:outlineLvl w:val="1"/>
        <w:rPr>
          <w:rFonts w:hint="eastAsia" w:ascii="仿宋" w:hAnsi="仿宋" w:eastAsia="仿宋" w:cs="仿宋"/>
          <w:b/>
          <w:color w:val="auto"/>
          <w:kern w:val="0"/>
          <w:sz w:val="28"/>
          <w:szCs w:val="28"/>
        </w:rPr>
      </w:pPr>
    </w:p>
    <w:p w14:paraId="5705CF4B">
      <w:pPr>
        <w:spacing w:line="360" w:lineRule="auto"/>
        <w:outlineLvl w:val="1"/>
        <w:rPr>
          <w:rFonts w:hint="eastAsia" w:ascii="仿宋" w:hAnsi="仿宋" w:eastAsia="仿宋" w:cs="仿宋"/>
          <w:b/>
          <w:color w:val="auto"/>
          <w:kern w:val="0"/>
          <w:sz w:val="28"/>
          <w:szCs w:val="28"/>
        </w:rPr>
      </w:pPr>
    </w:p>
    <w:p w14:paraId="06339DDC">
      <w:pPr>
        <w:spacing w:line="360" w:lineRule="auto"/>
        <w:outlineLvl w:val="1"/>
        <w:rPr>
          <w:rFonts w:hint="eastAsia" w:ascii="仿宋" w:hAnsi="仿宋" w:eastAsia="仿宋" w:cs="仿宋"/>
          <w:b/>
          <w:color w:val="auto"/>
          <w:kern w:val="0"/>
          <w:sz w:val="28"/>
          <w:szCs w:val="28"/>
        </w:rPr>
      </w:pPr>
    </w:p>
    <w:p w14:paraId="228403FA">
      <w:pPr>
        <w:spacing w:line="360" w:lineRule="auto"/>
        <w:outlineLvl w:val="1"/>
        <w:rPr>
          <w:rFonts w:hint="eastAsia" w:ascii="仿宋" w:hAnsi="仿宋" w:eastAsia="仿宋" w:cs="仿宋"/>
          <w:b/>
          <w:color w:val="auto"/>
          <w:kern w:val="0"/>
          <w:sz w:val="28"/>
          <w:szCs w:val="28"/>
        </w:rPr>
      </w:pPr>
    </w:p>
    <w:p w14:paraId="11BE5598">
      <w:pPr>
        <w:spacing w:line="360" w:lineRule="auto"/>
        <w:outlineLvl w:val="1"/>
        <w:rPr>
          <w:rFonts w:hint="eastAsia" w:ascii="仿宋" w:hAnsi="仿宋" w:eastAsia="仿宋" w:cs="仿宋"/>
          <w:b/>
          <w:color w:val="auto"/>
          <w:kern w:val="0"/>
          <w:sz w:val="28"/>
          <w:szCs w:val="28"/>
        </w:rPr>
      </w:pPr>
    </w:p>
    <w:p w14:paraId="73A0349C">
      <w:pPr>
        <w:spacing w:line="360" w:lineRule="auto"/>
        <w:outlineLvl w:val="1"/>
        <w:rPr>
          <w:rFonts w:hint="eastAsia" w:ascii="仿宋" w:hAnsi="仿宋" w:eastAsia="仿宋" w:cs="仿宋"/>
          <w:b/>
          <w:color w:val="auto"/>
          <w:kern w:val="0"/>
          <w:sz w:val="28"/>
          <w:szCs w:val="28"/>
        </w:rPr>
      </w:pPr>
    </w:p>
    <w:p w14:paraId="424D5A70">
      <w:pPr>
        <w:spacing w:line="360" w:lineRule="auto"/>
        <w:outlineLvl w:val="1"/>
        <w:rPr>
          <w:rFonts w:hint="eastAsia" w:ascii="仿宋" w:hAnsi="仿宋" w:eastAsia="仿宋" w:cs="仿宋"/>
          <w:b/>
          <w:color w:val="auto"/>
          <w:kern w:val="0"/>
          <w:sz w:val="28"/>
          <w:szCs w:val="28"/>
        </w:rPr>
      </w:pPr>
    </w:p>
    <w:p w14:paraId="774198A7">
      <w:pPr>
        <w:spacing w:line="360" w:lineRule="auto"/>
        <w:outlineLvl w:val="1"/>
        <w:rPr>
          <w:rFonts w:hint="eastAsia" w:ascii="仿宋" w:hAnsi="仿宋" w:eastAsia="仿宋" w:cs="仿宋"/>
          <w:b/>
          <w:color w:val="auto"/>
          <w:kern w:val="0"/>
          <w:sz w:val="28"/>
          <w:szCs w:val="28"/>
        </w:rPr>
      </w:pPr>
    </w:p>
    <w:p w14:paraId="7833F359">
      <w:pPr>
        <w:pStyle w:val="13"/>
        <w:rPr>
          <w:rFonts w:hint="eastAsia"/>
          <w:color w:val="auto"/>
        </w:rPr>
      </w:pPr>
    </w:p>
    <w:p w14:paraId="39E89D6A">
      <w:pPr>
        <w:spacing w:line="360" w:lineRule="auto"/>
        <w:outlineLvl w:val="1"/>
        <w:rPr>
          <w:rFonts w:hint="eastAsia" w:ascii="仿宋" w:hAnsi="仿宋" w:eastAsia="仿宋" w:cs="仿宋"/>
          <w:b/>
          <w:color w:val="auto"/>
          <w:kern w:val="0"/>
          <w:sz w:val="28"/>
          <w:szCs w:val="28"/>
        </w:rPr>
      </w:pPr>
    </w:p>
    <w:p w14:paraId="71486C0D">
      <w:pPr>
        <w:spacing w:line="360" w:lineRule="auto"/>
        <w:outlineLvl w:val="1"/>
        <w:rPr>
          <w:rFonts w:hint="eastAsia" w:ascii="仿宋" w:hAnsi="仿宋" w:eastAsia="仿宋" w:cs="仿宋"/>
          <w:b/>
          <w:color w:val="auto"/>
          <w:kern w:val="0"/>
          <w:sz w:val="28"/>
          <w:szCs w:val="28"/>
        </w:rPr>
      </w:pPr>
    </w:p>
    <w:p w14:paraId="5EC40ECC">
      <w:pPr>
        <w:spacing w:line="360" w:lineRule="auto"/>
        <w:jc w:val="center"/>
        <w:outlineLvl w:val="1"/>
        <w:rPr>
          <w:rFonts w:hint="eastAsia" w:ascii="仿宋" w:hAnsi="仿宋" w:eastAsia="仿宋" w:cs="仿宋"/>
          <w:color w:val="auto"/>
        </w:rPr>
      </w:pPr>
      <w:r>
        <w:rPr>
          <w:rFonts w:hint="eastAsia" w:ascii="仿宋" w:hAnsi="仿宋" w:eastAsia="仿宋" w:cs="仿宋"/>
          <w:b/>
          <w:color w:val="auto"/>
          <w:kern w:val="0"/>
          <w:sz w:val="28"/>
          <w:szCs w:val="28"/>
        </w:rPr>
        <w:t>四、商务条款偏离表</w:t>
      </w:r>
    </w:p>
    <w:p w14:paraId="091ECF6B">
      <w:pPr>
        <w:pStyle w:val="13"/>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〔说明〕供应商应根据其提供的服务，对照招标文件合同专用条款要求逐条响应，商务条款不可负偏离，否则视为无效投标。</w:t>
      </w:r>
    </w:p>
    <w:p w14:paraId="6D465137">
      <w:pPr>
        <w:rPr>
          <w:rFonts w:hint="eastAsia" w:ascii="仿宋" w:hAnsi="仿宋" w:eastAsia="仿宋" w:cs="仿宋"/>
          <w:color w:val="auto"/>
        </w:rPr>
      </w:pPr>
    </w:p>
    <w:p w14:paraId="42BADF5C">
      <w:pPr>
        <w:widowControl/>
        <w:spacing w:line="360" w:lineRule="auto"/>
        <w:ind w:left="210"/>
        <w:jc w:val="left"/>
        <w:rPr>
          <w:rFonts w:hint="eastAsia" w:ascii="仿宋" w:hAnsi="仿宋" w:eastAsia="仿宋" w:cs="仿宋"/>
          <w:color w:val="auto"/>
          <w:sz w:val="24"/>
          <w:u w:val="single"/>
        </w:rPr>
      </w:pPr>
      <w:r>
        <w:rPr>
          <w:rFonts w:hint="eastAsia" w:ascii="仿宋" w:hAnsi="仿宋" w:eastAsia="仿宋" w:cs="仿宋"/>
          <w:color w:val="auto"/>
          <w:kern w:val="2"/>
          <w:sz w:val="24"/>
          <w:szCs w:val="24"/>
          <w:lang w:val="en-US" w:eastAsia="zh-CN" w:bidi="ar-SA"/>
        </w:rPr>
        <w:t>项目名称：</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kern w:val="2"/>
          <w:sz w:val="24"/>
          <w:szCs w:val="24"/>
          <w:lang w:val="en-US" w:eastAsia="zh-CN" w:bidi="ar-SA"/>
        </w:rPr>
        <w:t>项目编号：</w:t>
      </w:r>
      <w:r>
        <w:rPr>
          <w:rFonts w:hint="eastAsia" w:ascii="仿宋" w:hAnsi="仿宋" w:eastAsia="仿宋" w:cs="仿宋"/>
          <w:color w:val="auto"/>
          <w:u w:val="single"/>
        </w:rPr>
        <w:t xml:space="preserve">          </w:t>
      </w:r>
      <w:r>
        <w:rPr>
          <w:rFonts w:hint="eastAsia" w:ascii="仿宋" w:hAnsi="仿宋" w:eastAsia="仿宋" w:cs="仿宋"/>
          <w:color w:val="auto"/>
          <w:szCs w:val="21"/>
          <w:u w:val="none"/>
        </w:rPr>
        <w:t xml:space="preserve"> </w:t>
      </w:r>
      <w:r>
        <w:rPr>
          <w:rFonts w:hint="eastAsia" w:ascii="仿宋" w:hAnsi="仿宋" w:eastAsia="仿宋" w:cs="仿宋"/>
          <w:color w:val="auto"/>
          <w:szCs w:val="21"/>
          <w:u w:val="none"/>
          <w:lang w:val="en-US" w:eastAsia="zh-CN"/>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29BDF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3CB1B619">
            <w:pPr>
              <w:spacing w:line="240" w:lineRule="auto"/>
              <w:jc w:val="center"/>
              <w:rPr>
                <w:rFonts w:hint="eastAsia" w:ascii="仿宋" w:hAnsi="仿宋" w:eastAsia="仿宋" w:cs="仿宋"/>
                <w:color w:val="auto"/>
              </w:rPr>
            </w:pPr>
            <w:r>
              <w:rPr>
                <w:rFonts w:hint="eastAsia" w:ascii="仿宋" w:hAnsi="仿宋" w:eastAsia="仿宋" w:cs="仿宋"/>
                <w:color w:val="auto"/>
                <w:sz w:val="24"/>
              </w:rPr>
              <w:t>序号</w:t>
            </w:r>
          </w:p>
        </w:tc>
        <w:tc>
          <w:tcPr>
            <w:tcW w:w="2610" w:type="dxa"/>
            <w:vAlign w:val="center"/>
          </w:tcPr>
          <w:p w14:paraId="43E86A12">
            <w:pPr>
              <w:spacing w:line="240" w:lineRule="auto"/>
              <w:jc w:val="center"/>
              <w:rPr>
                <w:rFonts w:hint="eastAsia" w:ascii="仿宋" w:hAnsi="仿宋" w:eastAsia="仿宋" w:cs="仿宋"/>
                <w:color w:val="auto"/>
              </w:rPr>
            </w:pPr>
            <w:r>
              <w:rPr>
                <w:rFonts w:hint="eastAsia" w:ascii="仿宋" w:hAnsi="仿宋" w:eastAsia="仿宋" w:cs="仿宋"/>
                <w:color w:val="auto"/>
                <w:sz w:val="24"/>
              </w:rPr>
              <w:t>招标文件要求</w:t>
            </w:r>
          </w:p>
        </w:tc>
        <w:tc>
          <w:tcPr>
            <w:tcW w:w="2610" w:type="dxa"/>
            <w:vAlign w:val="center"/>
          </w:tcPr>
          <w:p w14:paraId="2CD9BF0B">
            <w:pPr>
              <w:spacing w:line="240" w:lineRule="auto"/>
              <w:jc w:val="center"/>
              <w:rPr>
                <w:rFonts w:hint="eastAsia" w:ascii="仿宋" w:hAnsi="仿宋" w:eastAsia="仿宋" w:cs="仿宋"/>
                <w:color w:val="auto"/>
              </w:rPr>
            </w:pPr>
            <w:r>
              <w:rPr>
                <w:rFonts w:hint="eastAsia" w:ascii="仿宋" w:hAnsi="仿宋" w:eastAsia="仿宋" w:cs="仿宋"/>
                <w:color w:val="auto"/>
                <w:sz w:val="24"/>
              </w:rPr>
              <w:t>投标文件内容</w:t>
            </w:r>
          </w:p>
        </w:tc>
        <w:tc>
          <w:tcPr>
            <w:tcW w:w="1896" w:type="dxa"/>
            <w:vAlign w:val="center"/>
          </w:tcPr>
          <w:p w14:paraId="765226B6">
            <w:pPr>
              <w:spacing w:line="240" w:lineRule="auto"/>
              <w:jc w:val="center"/>
              <w:rPr>
                <w:rFonts w:hint="eastAsia" w:ascii="仿宋" w:hAnsi="仿宋" w:eastAsia="仿宋" w:cs="仿宋"/>
                <w:color w:val="auto"/>
              </w:rPr>
            </w:pPr>
            <w:r>
              <w:rPr>
                <w:rFonts w:hint="eastAsia" w:ascii="仿宋" w:hAnsi="仿宋" w:eastAsia="仿宋" w:cs="仿宋"/>
                <w:color w:val="auto"/>
                <w:sz w:val="24"/>
              </w:rPr>
              <w:t>偏离</w:t>
            </w:r>
          </w:p>
        </w:tc>
        <w:tc>
          <w:tcPr>
            <w:tcW w:w="984" w:type="dxa"/>
            <w:vAlign w:val="center"/>
          </w:tcPr>
          <w:p w14:paraId="178B5E77">
            <w:pPr>
              <w:spacing w:line="240" w:lineRule="auto"/>
              <w:jc w:val="center"/>
              <w:rPr>
                <w:rFonts w:hint="eastAsia" w:ascii="仿宋" w:hAnsi="仿宋" w:eastAsia="仿宋" w:cs="仿宋"/>
                <w:color w:val="auto"/>
              </w:rPr>
            </w:pPr>
            <w:r>
              <w:rPr>
                <w:rFonts w:hint="eastAsia" w:ascii="仿宋" w:hAnsi="仿宋" w:eastAsia="仿宋" w:cs="仿宋"/>
                <w:color w:val="auto"/>
                <w:sz w:val="24"/>
              </w:rPr>
              <w:t>备注</w:t>
            </w:r>
          </w:p>
        </w:tc>
      </w:tr>
      <w:tr w14:paraId="35B0B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2502513">
            <w:pPr>
              <w:spacing w:before="240" w:after="240" w:line="360" w:lineRule="auto"/>
              <w:jc w:val="center"/>
              <w:rPr>
                <w:rFonts w:hint="eastAsia" w:ascii="仿宋" w:hAnsi="仿宋" w:eastAsia="仿宋" w:cs="仿宋"/>
                <w:color w:val="auto"/>
              </w:rPr>
            </w:pPr>
          </w:p>
        </w:tc>
        <w:tc>
          <w:tcPr>
            <w:tcW w:w="2610" w:type="dxa"/>
            <w:vAlign w:val="center"/>
          </w:tcPr>
          <w:p w14:paraId="74A7C545">
            <w:pPr>
              <w:spacing w:line="360" w:lineRule="auto"/>
              <w:jc w:val="center"/>
              <w:rPr>
                <w:rFonts w:hint="eastAsia" w:ascii="仿宋" w:hAnsi="仿宋" w:eastAsia="仿宋" w:cs="仿宋"/>
                <w:color w:val="auto"/>
              </w:rPr>
            </w:pPr>
          </w:p>
        </w:tc>
        <w:tc>
          <w:tcPr>
            <w:tcW w:w="2610" w:type="dxa"/>
            <w:vAlign w:val="center"/>
          </w:tcPr>
          <w:p w14:paraId="12CACEC9">
            <w:pPr>
              <w:spacing w:line="360" w:lineRule="auto"/>
              <w:jc w:val="center"/>
              <w:rPr>
                <w:rFonts w:hint="eastAsia" w:ascii="仿宋" w:hAnsi="仿宋" w:eastAsia="仿宋" w:cs="仿宋"/>
                <w:color w:val="auto"/>
              </w:rPr>
            </w:pPr>
          </w:p>
        </w:tc>
        <w:tc>
          <w:tcPr>
            <w:tcW w:w="1896" w:type="dxa"/>
            <w:vAlign w:val="center"/>
          </w:tcPr>
          <w:p w14:paraId="4C7D1E58">
            <w:pPr>
              <w:spacing w:line="360" w:lineRule="auto"/>
              <w:jc w:val="center"/>
              <w:rPr>
                <w:rFonts w:hint="eastAsia" w:ascii="仿宋" w:hAnsi="仿宋" w:eastAsia="仿宋" w:cs="仿宋"/>
                <w:color w:val="auto"/>
              </w:rPr>
            </w:pPr>
          </w:p>
        </w:tc>
        <w:tc>
          <w:tcPr>
            <w:tcW w:w="984" w:type="dxa"/>
            <w:vAlign w:val="center"/>
          </w:tcPr>
          <w:p w14:paraId="1CE9E983">
            <w:pPr>
              <w:spacing w:line="360" w:lineRule="auto"/>
              <w:jc w:val="center"/>
              <w:rPr>
                <w:rFonts w:hint="eastAsia" w:ascii="仿宋" w:hAnsi="仿宋" w:eastAsia="仿宋" w:cs="仿宋"/>
                <w:color w:val="auto"/>
              </w:rPr>
            </w:pPr>
          </w:p>
        </w:tc>
      </w:tr>
      <w:tr w14:paraId="1A903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BCD575">
            <w:pPr>
              <w:spacing w:before="240" w:after="240" w:line="360" w:lineRule="auto"/>
              <w:rPr>
                <w:rFonts w:hint="eastAsia" w:ascii="仿宋" w:hAnsi="仿宋" w:eastAsia="仿宋" w:cs="仿宋"/>
                <w:color w:val="auto"/>
              </w:rPr>
            </w:pPr>
          </w:p>
        </w:tc>
        <w:tc>
          <w:tcPr>
            <w:tcW w:w="2610" w:type="dxa"/>
          </w:tcPr>
          <w:p w14:paraId="6174FBDA">
            <w:pPr>
              <w:spacing w:line="360" w:lineRule="auto"/>
              <w:rPr>
                <w:rFonts w:hint="eastAsia" w:ascii="仿宋" w:hAnsi="仿宋" w:eastAsia="仿宋" w:cs="仿宋"/>
                <w:color w:val="auto"/>
              </w:rPr>
            </w:pPr>
          </w:p>
        </w:tc>
        <w:tc>
          <w:tcPr>
            <w:tcW w:w="2610" w:type="dxa"/>
          </w:tcPr>
          <w:p w14:paraId="6EC3AD51">
            <w:pPr>
              <w:spacing w:line="360" w:lineRule="auto"/>
              <w:rPr>
                <w:rFonts w:hint="eastAsia" w:ascii="仿宋" w:hAnsi="仿宋" w:eastAsia="仿宋" w:cs="仿宋"/>
                <w:color w:val="auto"/>
              </w:rPr>
            </w:pPr>
          </w:p>
        </w:tc>
        <w:tc>
          <w:tcPr>
            <w:tcW w:w="1896" w:type="dxa"/>
          </w:tcPr>
          <w:p w14:paraId="5CC0AAAD">
            <w:pPr>
              <w:spacing w:line="360" w:lineRule="auto"/>
              <w:rPr>
                <w:rFonts w:hint="eastAsia" w:ascii="仿宋" w:hAnsi="仿宋" w:eastAsia="仿宋" w:cs="仿宋"/>
                <w:color w:val="auto"/>
              </w:rPr>
            </w:pPr>
          </w:p>
        </w:tc>
        <w:tc>
          <w:tcPr>
            <w:tcW w:w="984" w:type="dxa"/>
          </w:tcPr>
          <w:p w14:paraId="6A2B3FC5">
            <w:pPr>
              <w:spacing w:line="360" w:lineRule="auto"/>
              <w:rPr>
                <w:rFonts w:hint="eastAsia" w:ascii="仿宋" w:hAnsi="仿宋" w:eastAsia="仿宋" w:cs="仿宋"/>
                <w:color w:val="auto"/>
              </w:rPr>
            </w:pPr>
          </w:p>
        </w:tc>
      </w:tr>
      <w:tr w14:paraId="7B4FB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D77834">
            <w:pPr>
              <w:spacing w:before="240" w:after="240" w:line="360" w:lineRule="auto"/>
              <w:rPr>
                <w:rFonts w:hint="eastAsia" w:ascii="仿宋" w:hAnsi="仿宋" w:eastAsia="仿宋" w:cs="仿宋"/>
                <w:color w:val="auto"/>
              </w:rPr>
            </w:pPr>
          </w:p>
        </w:tc>
        <w:tc>
          <w:tcPr>
            <w:tcW w:w="2610" w:type="dxa"/>
          </w:tcPr>
          <w:p w14:paraId="31A236C4">
            <w:pPr>
              <w:spacing w:line="360" w:lineRule="auto"/>
              <w:rPr>
                <w:rFonts w:hint="eastAsia" w:ascii="仿宋" w:hAnsi="仿宋" w:eastAsia="仿宋" w:cs="仿宋"/>
                <w:color w:val="auto"/>
              </w:rPr>
            </w:pPr>
          </w:p>
        </w:tc>
        <w:tc>
          <w:tcPr>
            <w:tcW w:w="2610" w:type="dxa"/>
          </w:tcPr>
          <w:p w14:paraId="6455E20B">
            <w:pPr>
              <w:spacing w:line="360" w:lineRule="auto"/>
              <w:rPr>
                <w:rFonts w:hint="eastAsia" w:ascii="仿宋" w:hAnsi="仿宋" w:eastAsia="仿宋" w:cs="仿宋"/>
                <w:color w:val="auto"/>
              </w:rPr>
            </w:pPr>
          </w:p>
        </w:tc>
        <w:tc>
          <w:tcPr>
            <w:tcW w:w="1896" w:type="dxa"/>
          </w:tcPr>
          <w:p w14:paraId="2697200E">
            <w:pPr>
              <w:spacing w:line="360" w:lineRule="auto"/>
              <w:rPr>
                <w:rFonts w:hint="eastAsia" w:ascii="仿宋" w:hAnsi="仿宋" w:eastAsia="仿宋" w:cs="仿宋"/>
                <w:color w:val="auto"/>
              </w:rPr>
            </w:pPr>
          </w:p>
        </w:tc>
        <w:tc>
          <w:tcPr>
            <w:tcW w:w="984" w:type="dxa"/>
          </w:tcPr>
          <w:p w14:paraId="6FDC18D6">
            <w:pPr>
              <w:spacing w:line="360" w:lineRule="auto"/>
              <w:rPr>
                <w:rFonts w:hint="eastAsia" w:ascii="仿宋" w:hAnsi="仿宋" w:eastAsia="仿宋" w:cs="仿宋"/>
                <w:color w:val="auto"/>
              </w:rPr>
            </w:pPr>
          </w:p>
        </w:tc>
      </w:tr>
      <w:tr w14:paraId="672CA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B071FF">
            <w:pPr>
              <w:spacing w:before="240" w:after="240" w:line="360" w:lineRule="auto"/>
              <w:rPr>
                <w:rFonts w:hint="eastAsia" w:ascii="仿宋" w:hAnsi="仿宋" w:eastAsia="仿宋" w:cs="仿宋"/>
                <w:color w:val="auto"/>
              </w:rPr>
            </w:pPr>
          </w:p>
        </w:tc>
        <w:tc>
          <w:tcPr>
            <w:tcW w:w="2610" w:type="dxa"/>
          </w:tcPr>
          <w:p w14:paraId="70AD8B30">
            <w:pPr>
              <w:spacing w:line="360" w:lineRule="auto"/>
              <w:rPr>
                <w:rFonts w:hint="eastAsia" w:ascii="仿宋" w:hAnsi="仿宋" w:eastAsia="仿宋" w:cs="仿宋"/>
                <w:color w:val="auto"/>
              </w:rPr>
            </w:pPr>
          </w:p>
        </w:tc>
        <w:tc>
          <w:tcPr>
            <w:tcW w:w="2610" w:type="dxa"/>
          </w:tcPr>
          <w:p w14:paraId="375EC825">
            <w:pPr>
              <w:spacing w:line="360" w:lineRule="auto"/>
              <w:rPr>
                <w:rFonts w:hint="eastAsia" w:ascii="仿宋" w:hAnsi="仿宋" w:eastAsia="仿宋" w:cs="仿宋"/>
                <w:color w:val="auto"/>
              </w:rPr>
            </w:pPr>
          </w:p>
        </w:tc>
        <w:tc>
          <w:tcPr>
            <w:tcW w:w="1896" w:type="dxa"/>
          </w:tcPr>
          <w:p w14:paraId="4B9D11B6">
            <w:pPr>
              <w:spacing w:line="360" w:lineRule="auto"/>
              <w:rPr>
                <w:rFonts w:hint="eastAsia" w:ascii="仿宋" w:hAnsi="仿宋" w:eastAsia="仿宋" w:cs="仿宋"/>
                <w:color w:val="auto"/>
              </w:rPr>
            </w:pPr>
          </w:p>
        </w:tc>
        <w:tc>
          <w:tcPr>
            <w:tcW w:w="984" w:type="dxa"/>
          </w:tcPr>
          <w:p w14:paraId="0D011741">
            <w:pPr>
              <w:spacing w:line="360" w:lineRule="auto"/>
              <w:rPr>
                <w:rFonts w:hint="eastAsia" w:ascii="仿宋" w:hAnsi="仿宋" w:eastAsia="仿宋" w:cs="仿宋"/>
                <w:color w:val="auto"/>
              </w:rPr>
            </w:pPr>
          </w:p>
        </w:tc>
      </w:tr>
      <w:tr w14:paraId="7D291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E146F6">
            <w:pPr>
              <w:spacing w:before="240" w:after="240" w:line="360" w:lineRule="auto"/>
              <w:rPr>
                <w:rFonts w:hint="eastAsia" w:ascii="仿宋" w:hAnsi="仿宋" w:eastAsia="仿宋" w:cs="仿宋"/>
                <w:color w:val="auto"/>
              </w:rPr>
            </w:pPr>
          </w:p>
        </w:tc>
        <w:tc>
          <w:tcPr>
            <w:tcW w:w="2610" w:type="dxa"/>
          </w:tcPr>
          <w:p w14:paraId="19C56870">
            <w:pPr>
              <w:spacing w:line="360" w:lineRule="auto"/>
              <w:rPr>
                <w:rFonts w:hint="eastAsia" w:ascii="仿宋" w:hAnsi="仿宋" w:eastAsia="仿宋" w:cs="仿宋"/>
                <w:color w:val="auto"/>
              </w:rPr>
            </w:pPr>
          </w:p>
        </w:tc>
        <w:tc>
          <w:tcPr>
            <w:tcW w:w="2610" w:type="dxa"/>
          </w:tcPr>
          <w:p w14:paraId="342670D5">
            <w:pPr>
              <w:spacing w:line="360" w:lineRule="auto"/>
              <w:rPr>
                <w:rFonts w:hint="eastAsia" w:ascii="仿宋" w:hAnsi="仿宋" w:eastAsia="仿宋" w:cs="仿宋"/>
                <w:color w:val="auto"/>
              </w:rPr>
            </w:pPr>
          </w:p>
        </w:tc>
        <w:tc>
          <w:tcPr>
            <w:tcW w:w="1896" w:type="dxa"/>
          </w:tcPr>
          <w:p w14:paraId="3C5CE405">
            <w:pPr>
              <w:spacing w:line="360" w:lineRule="auto"/>
              <w:rPr>
                <w:rFonts w:hint="eastAsia" w:ascii="仿宋" w:hAnsi="仿宋" w:eastAsia="仿宋" w:cs="仿宋"/>
                <w:color w:val="auto"/>
              </w:rPr>
            </w:pPr>
          </w:p>
        </w:tc>
        <w:tc>
          <w:tcPr>
            <w:tcW w:w="984" w:type="dxa"/>
          </w:tcPr>
          <w:p w14:paraId="7D379B25">
            <w:pPr>
              <w:spacing w:line="360" w:lineRule="auto"/>
              <w:rPr>
                <w:rFonts w:hint="eastAsia" w:ascii="仿宋" w:hAnsi="仿宋" w:eastAsia="仿宋" w:cs="仿宋"/>
                <w:color w:val="auto"/>
              </w:rPr>
            </w:pPr>
          </w:p>
        </w:tc>
      </w:tr>
      <w:tr w14:paraId="22B98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01B495">
            <w:pPr>
              <w:spacing w:before="240" w:after="240" w:line="360" w:lineRule="auto"/>
              <w:rPr>
                <w:rFonts w:hint="eastAsia" w:ascii="仿宋" w:hAnsi="仿宋" w:eastAsia="仿宋" w:cs="仿宋"/>
                <w:color w:val="auto"/>
              </w:rPr>
            </w:pPr>
          </w:p>
        </w:tc>
        <w:tc>
          <w:tcPr>
            <w:tcW w:w="2610" w:type="dxa"/>
          </w:tcPr>
          <w:p w14:paraId="0F55DB2A">
            <w:pPr>
              <w:spacing w:line="360" w:lineRule="auto"/>
              <w:rPr>
                <w:rFonts w:hint="eastAsia" w:ascii="仿宋" w:hAnsi="仿宋" w:eastAsia="仿宋" w:cs="仿宋"/>
                <w:color w:val="auto"/>
              </w:rPr>
            </w:pPr>
          </w:p>
        </w:tc>
        <w:tc>
          <w:tcPr>
            <w:tcW w:w="2610" w:type="dxa"/>
          </w:tcPr>
          <w:p w14:paraId="34EDD8D4">
            <w:pPr>
              <w:spacing w:line="360" w:lineRule="auto"/>
              <w:rPr>
                <w:rFonts w:hint="eastAsia" w:ascii="仿宋" w:hAnsi="仿宋" w:eastAsia="仿宋" w:cs="仿宋"/>
                <w:color w:val="auto"/>
              </w:rPr>
            </w:pPr>
          </w:p>
        </w:tc>
        <w:tc>
          <w:tcPr>
            <w:tcW w:w="1896" w:type="dxa"/>
          </w:tcPr>
          <w:p w14:paraId="2FD57B0C">
            <w:pPr>
              <w:spacing w:line="360" w:lineRule="auto"/>
              <w:rPr>
                <w:rFonts w:hint="eastAsia" w:ascii="仿宋" w:hAnsi="仿宋" w:eastAsia="仿宋" w:cs="仿宋"/>
                <w:color w:val="auto"/>
              </w:rPr>
            </w:pPr>
          </w:p>
        </w:tc>
        <w:tc>
          <w:tcPr>
            <w:tcW w:w="984" w:type="dxa"/>
          </w:tcPr>
          <w:p w14:paraId="0344434B">
            <w:pPr>
              <w:spacing w:line="360" w:lineRule="auto"/>
              <w:rPr>
                <w:rFonts w:hint="eastAsia" w:ascii="仿宋" w:hAnsi="仿宋" w:eastAsia="仿宋" w:cs="仿宋"/>
                <w:color w:val="auto"/>
              </w:rPr>
            </w:pPr>
          </w:p>
        </w:tc>
      </w:tr>
      <w:tr w14:paraId="5E126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7CF8A5">
            <w:pPr>
              <w:spacing w:before="240" w:after="240" w:line="360" w:lineRule="auto"/>
              <w:rPr>
                <w:rFonts w:hint="eastAsia" w:ascii="仿宋" w:hAnsi="仿宋" w:eastAsia="仿宋" w:cs="仿宋"/>
                <w:color w:val="auto"/>
              </w:rPr>
            </w:pPr>
          </w:p>
        </w:tc>
        <w:tc>
          <w:tcPr>
            <w:tcW w:w="2610" w:type="dxa"/>
          </w:tcPr>
          <w:p w14:paraId="07AF05A1">
            <w:pPr>
              <w:spacing w:line="360" w:lineRule="auto"/>
              <w:rPr>
                <w:rFonts w:hint="eastAsia" w:ascii="仿宋" w:hAnsi="仿宋" w:eastAsia="仿宋" w:cs="仿宋"/>
                <w:color w:val="auto"/>
              </w:rPr>
            </w:pPr>
          </w:p>
        </w:tc>
        <w:tc>
          <w:tcPr>
            <w:tcW w:w="2610" w:type="dxa"/>
          </w:tcPr>
          <w:p w14:paraId="3F2F6D48">
            <w:pPr>
              <w:spacing w:line="360" w:lineRule="auto"/>
              <w:rPr>
                <w:rFonts w:hint="eastAsia" w:ascii="仿宋" w:hAnsi="仿宋" w:eastAsia="仿宋" w:cs="仿宋"/>
                <w:color w:val="auto"/>
              </w:rPr>
            </w:pPr>
          </w:p>
        </w:tc>
        <w:tc>
          <w:tcPr>
            <w:tcW w:w="1896" w:type="dxa"/>
          </w:tcPr>
          <w:p w14:paraId="082EC097">
            <w:pPr>
              <w:spacing w:line="360" w:lineRule="auto"/>
              <w:rPr>
                <w:rFonts w:hint="eastAsia" w:ascii="仿宋" w:hAnsi="仿宋" w:eastAsia="仿宋" w:cs="仿宋"/>
                <w:color w:val="auto"/>
              </w:rPr>
            </w:pPr>
          </w:p>
        </w:tc>
        <w:tc>
          <w:tcPr>
            <w:tcW w:w="984" w:type="dxa"/>
          </w:tcPr>
          <w:p w14:paraId="46CD44B5">
            <w:pPr>
              <w:spacing w:line="360" w:lineRule="auto"/>
              <w:rPr>
                <w:rFonts w:hint="eastAsia" w:ascii="仿宋" w:hAnsi="仿宋" w:eastAsia="仿宋" w:cs="仿宋"/>
                <w:color w:val="auto"/>
              </w:rPr>
            </w:pPr>
          </w:p>
        </w:tc>
      </w:tr>
      <w:tr w14:paraId="38D18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A4B5AF">
            <w:pPr>
              <w:spacing w:before="240" w:after="240" w:line="360" w:lineRule="auto"/>
              <w:rPr>
                <w:rFonts w:hint="eastAsia" w:ascii="仿宋" w:hAnsi="仿宋" w:eastAsia="仿宋" w:cs="仿宋"/>
                <w:color w:val="auto"/>
              </w:rPr>
            </w:pPr>
          </w:p>
        </w:tc>
        <w:tc>
          <w:tcPr>
            <w:tcW w:w="2610" w:type="dxa"/>
          </w:tcPr>
          <w:p w14:paraId="36D378BA">
            <w:pPr>
              <w:spacing w:line="360" w:lineRule="auto"/>
              <w:rPr>
                <w:rFonts w:hint="eastAsia" w:ascii="仿宋" w:hAnsi="仿宋" w:eastAsia="仿宋" w:cs="仿宋"/>
                <w:color w:val="auto"/>
              </w:rPr>
            </w:pPr>
          </w:p>
        </w:tc>
        <w:tc>
          <w:tcPr>
            <w:tcW w:w="2610" w:type="dxa"/>
          </w:tcPr>
          <w:p w14:paraId="6EADA495">
            <w:pPr>
              <w:spacing w:line="360" w:lineRule="auto"/>
              <w:rPr>
                <w:rFonts w:hint="eastAsia" w:ascii="仿宋" w:hAnsi="仿宋" w:eastAsia="仿宋" w:cs="仿宋"/>
                <w:color w:val="auto"/>
              </w:rPr>
            </w:pPr>
          </w:p>
        </w:tc>
        <w:tc>
          <w:tcPr>
            <w:tcW w:w="1896" w:type="dxa"/>
          </w:tcPr>
          <w:p w14:paraId="2182F6AD">
            <w:pPr>
              <w:spacing w:line="360" w:lineRule="auto"/>
              <w:rPr>
                <w:rFonts w:hint="eastAsia" w:ascii="仿宋" w:hAnsi="仿宋" w:eastAsia="仿宋" w:cs="仿宋"/>
                <w:color w:val="auto"/>
              </w:rPr>
            </w:pPr>
          </w:p>
        </w:tc>
        <w:tc>
          <w:tcPr>
            <w:tcW w:w="984" w:type="dxa"/>
          </w:tcPr>
          <w:p w14:paraId="551592C9">
            <w:pPr>
              <w:spacing w:line="360" w:lineRule="auto"/>
              <w:rPr>
                <w:rFonts w:hint="eastAsia" w:ascii="仿宋" w:hAnsi="仿宋" w:eastAsia="仿宋" w:cs="仿宋"/>
                <w:color w:val="auto"/>
              </w:rPr>
            </w:pPr>
          </w:p>
        </w:tc>
      </w:tr>
    </w:tbl>
    <w:p w14:paraId="0FC3AC3B">
      <w:pPr>
        <w:pStyle w:val="13"/>
        <w:spacing w:line="360" w:lineRule="auto"/>
        <w:rPr>
          <w:rFonts w:hint="eastAsia" w:ascii="仿宋" w:hAnsi="仿宋" w:eastAsia="仿宋" w:cs="仿宋"/>
          <w:color w:val="auto"/>
        </w:rPr>
      </w:pPr>
      <w:r>
        <w:rPr>
          <w:rFonts w:hint="eastAsia" w:ascii="仿宋" w:hAnsi="仿宋" w:eastAsia="仿宋" w:cs="仿宋"/>
          <w:color w:val="auto"/>
        </w:rPr>
        <w:t>注：请对招标文件商务要求内容逐条响应。</w:t>
      </w:r>
    </w:p>
    <w:p w14:paraId="5C4F6BCE">
      <w:pPr>
        <w:spacing w:line="360" w:lineRule="auto"/>
        <w:rPr>
          <w:rFonts w:hint="eastAsia" w:ascii="仿宋" w:hAnsi="仿宋" w:eastAsia="仿宋" w:cs="仿宋"/>
          <w:color w:val="auto"/>
          <w:sz w:val="24"/>
        </w:rPr>
      </w:pPr>
    </w:p>
    <w:p w14:paraId="5055075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投标人（公章）：</w:t>
      </w:r>
      <w:r>
        <w:rPr>
          <w:rFonts w:hint="eastAsia" w:ascii="仿宋" w:hAnsi="仿宋" w:eastAsia="仿宋" w:cs="仿宋"/>
          <w:color w:val="auto"/>
          <w:sz w:val="24"/>
          <w:u w:val="single"/>
        </w:rPr>
        <w:t xml:space="preserve">                      </w:t>
      </w:r>
    </w:p>
    <w:p w14:paraId="3D325A0F">
      <w:pPr>
        <w:spacing w:line="360" w:lineRule="auto"/>
        <w:rPr>
          <w:rFonts w:hint="eastAsia" w:ascii="仿宋" w:hAnsi="仿宋" w:eastAsia="仿宋" w:cs="仿宋"/>
          <w:color w:val="auto"/>
          <w:sz w:val="24"/>
        </w:rPr>
      </w:pPr>
    </w:p>
    <w:p w14:paraId="72972F9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授权代表（签名或盖章）：</w:t>
      </w:r>
      <w:r>
        <w:rPr>
          <w:rFonts w:hint="eastAsia" w:ascii="仿宋" w:hAnsi="仿宋" w:eastAsia="仿宋" w:cs="仿宋"/>
          <w:color w:val="auto"/>
          <w:sz w:val="24"/>
          <w:u w:val="single"/>
        </w:rPr>
        <w:t xml:space="preserve">               </w:t>
      </w:r>
    </w:p>
    <w:p w14:paraId="6B251250">
      <w:pPr>
        <w:spacing w:line="360" w:lineRule="auto"/>
        <w:rPr>
          <w:rFonts w:hint="eastAsia" w:ascii="仿宋" w:hAnsi="仿宋" w:eastAsia="仿宋" w:cs="仿宋"/>
          <w:color w:val="auto"/>
          <w:sz w:val="24"/>
        </w:rPr>
      </w:pPr>
    </w:p>
    <w:p w14:paraId="310D443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p>
    <w:p w14:paraId="47CADDCA">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7B0775F5">
      <w:pPr>
        <w:numPr>
          <w:ilvl w:val="1"/>
          <w:numId w:val="0"/>
        </w:numPr>
        <w:jc w:val="center"/>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五、技术规格偏离表</w:t>
      </w:r>
    </w:p>
    <w:p w14:paraId="39558B3F">
      <w:pPr>
        <w:spacing w:line="360" w:lineRule="auto"/>
        <w:rPr>
          <w:rFonts w:hint="eastAsia" w:ascii="仿宋" w:hAnsi="仿宋" w:eastAsia="仿宋" w:cs="仿宋"/>
          <w:color w:val="auto"/>
          <w:sz w:val="24"/>
        </w:rPr>
      </w:pPr>
    </w:p>
    <w:p w14:paraId="07628FB8">
      <w:pPr>
        <w:spacing w:after="240" w:line="360" w:lineRule="auto"/>
        <w:ind w:left="546" w:leftChars="114" w:hanging="307" w:hangingChars="128"/>
        <w:rPr>
          <w:rFonts w:hint="eastAsia" w:ascii="仿宋" w:hAnsi="仿宋" w:eastAsia="仿宋" w:cs="仿宋"/>
          <w:color w:val="auto"/>
          <w:sz w:val="24"/>
        </w:rPr>
      </w:pPr>
      <w:r>
        <w:rPr>
          <w:rFonts w:hint="eastAsia" w:ascii="仿宋" w:hAnsi="仿宋" w:eastAsia="仿宋" w:cs="仿宋"/>
          <w:color w:val="auto"/>
          <w:sz w:val="24"/>
        </w:rPr>
        <w:t>〔说明〕技术偏离表不得</w:t>
      </w:r>
      <w:r>
        <w:rPr>
          <w:rFonts w:hint="eastAsia" w:ascii="仿宋" w:hAnsi="仿宋" w:eastAsia="仿宋" w:cs="仿宋"/>
          <w:color w:val="auto"/>
          <w:sz w:val="24"/>
          <w:lang w:val="en-US" w:eastAsia="zh-CN"/>
        </w:rPr>
        <w:t>完全</w:t>
      </w:r>
      <w:r>
        <w:rPr>
          <w:rFonts w:hint="eastAsia" w:ascii="仿宋" w:hAnsi="仿宋" w:eastAsia="仿宋" w:cs="仿宋"/>
          <w:color w:val="auto"/>
          <w:sz w:val="24"/>
        </w:rPr>
        <w:t>复制粘贴招标文件技术参数要求，否则视为无效</w:t>
      </w:r>
    </w:p>
    <w:p w14:paraId="4436FC34">
      <w:pPr>
        <w:spacing w:after="240" w:line="360" w:lineRule="auto"/>
        <w:rPr>
          <w:rFonts w:hint="eastAsia" w:ascii="仿宋" w:hAnsi="仿宋" w:eastAsia="仿宋" w:cs="仿宋"/>
          <w:color w:val="auto"/>
          <w:sz w:val="24"/>
        </w:rPr>
      </w:pPr>
      <w:r>
        <w:rPr>
          <w:rFonts w:hint="eastAsia" w:ascii="仿宋" w:hAnsi="仿宋" w:eastAsia="仿宋" w:cs="仿宋"/>
          <w:color w:val="auto"/>
          <w:sz w:val="24"/>
        </w:rPr>
        <w:t>投标。技术偏离表响应内容须提供相关技术支持资料。</w:t>
      </w:r>
    </w:p>
    <w:p w14:paraId="679DFED7">
      <w:pPr>
        <w:spacing w:after="240" w:line="360" w:lineRule="auto"/>
        <w:ind w:left="517" w:leftChars="100" w:hanging="307" w:hangingChars="128"/>
        <w:rPr>
          <w:rFonts w:hint="eastAsia" w:ascii="仿宋" w:hAnsi="仿宋" w:eastAsia="仿宋" w:cs="仿宋"/>
          <w:color w:val="auto"/>
        </w:rPr>
      </w:pPr>
      <w:r>
        <w:rPr>
          <w:rFonts w:hint="eastAsia" w:ascii="仿宋" w:hAnsi="仿宋" w:eastAsia="仿宋" w:cs="仿宋"/>
          <w:color w:val="auto"/>
          <w:kern w:val="2"/>
          <w:sz w:val="24"/>
          <w:szCs w:val="24"/>
          <w:lang w:val="en-US" w:eastAsia="zh-CN" w:bidi="ar-SA"/>
        </w:rPr>
        <w:t>项目名称：</w:t>
      </w:r>
      <w:r>
        <w:rPr>
          <w:rFonts w:hint="eastAsia" w:ascii="仿宋" w:hAnsi="仿宋" w:eastAsia="仿宋" w:cs="仿宋"/>
          <w:color w:val="auto"/>
          <w:u w:val="single"/>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kern w:val="2"/>
          <w:sz w:val="24"/>
          <w:szCs w:val="24"/>
          <w:lang w:val="en-US" w:eastAsia="zh-CN" w:bidi="ar-SA"/>
        </w:rPr>
        <w:t>项目编号：</w:t>
      </w:r>
      <w:r>
        <w:rPr>
          <w:rFonts w:hint="eastAsia" w:ascii="仿宋" w:hAnsi="仿宋" w:eastAsia="仿宋" w:cs="仿宋"/>
          <w:color w:val="auto"/>
          <w:u w:val="single"/>
        </w:rPr>
        <w:t xml:space="preserve">          </w:t>
      </w:r>
      <w:r>
        <w:rPr>
          <w:rFonts w:hint="eastAsia" w:ascii="仿宋" w:hAnsi="仿宋" w:eastAsia="仿宋" w:cs="仿宋"/>
          <w:color w:val="auto"/>
          <w:szCs w:val="21"/>
          <w:u w:val="none"/>
        </w:rPr>
        <w:t xml:space="preserve"> </w:t>
      </w:r>
      <w:r>
        <w:rPr>
          <w:rFonts w:hint="eastAsia" w:ascii="仿宋" w:hAnsi="仿宋" w:eastAsia="仿宋" w:cs="仿宋"/>
          <w:color w:val="auto"/>
          <w:szCs w:val="21"/>
          <w:u w:val="none"/>
          <w:lang w:val="en-US" w:eastAsia="zh-CN"/>
        </w:rPr>
        <w:t xml:space="preserve">      </w:t>
      </w:r>
    </w:p>
    <w:tbl>
      <w:tblPr>
        <w:tblStyle w:val="115"/>
        <w:tblW w:w="93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332"/>
        <w:gridCol w:w="884"/>
        <w:gridCol w:w="1485"/>
        <w:gridCol w:w="1691"/>
        <w:gridCol w:w="1142"/>
        <w:gridCol w:w="2203"/>
      </w:tblGrid>
      <w:tr w14:paraId="3B825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575" w:type="dxa"/>
            <w:vAlign w:val="center"/>
          </w:tcPr>
          <w:p w14:paraId="27E6B3D3">
            <w:pPr>
              <w:spacing w:before="273" w:line="229" w:lineRule="auto"/>
              <w:jc w:val="center"/>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序号</w:t>
            </w:r>
          </w:p>
        </w:tc>
        <w:tc>
          <w:tcPr>
            <w:tcW w:w="1332" w:type="dxa"/>
            <w:vAlign w:val="center"/>
          </w:tcPr>
          <w:p w14:paraId="5C5ECAC5">
            <w:pPr>
              <w:spacing w:before="273" w:line="229" w:lineRule="auto"/>
              <w:jc w:val="center"/>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产品名称</w:t>
            </w:r>
          </w:p>
        </w:tc>
        <w:tc>
          <w:tcPr>
            <w:tcW w:w="884" w:type="dxa"/>
            <w:vAlign w:val="center"/>
          </w:tcPr>
          <w:p w14:paraId="51D8EB57">
            <w:pPr>
              <w:spacing w:before="273" w:line="229" w:lineRule="auto"/>
              <w:jc w:val="center"/>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rPr>
              <w:t>数量</w:t>
            </w:r>
          </w:p>
        </w:tc>
        <w:tc>
          <w:tcPr>
            <w:tcW w:w="1485" w:type="dxa"/>
            <w:vAlign w:val="center"/>
          </w:tcPr>
          <w:p w14:paraId="039D4DB8">
            <w:pPr>
              <w:spacing w:before="273" w:line="229" w:lineRule="auto"/>
              <w:jc w:val="center"/>
              <w:rPr>
                <w:rFonts w:hint="eastAsia" w:ascii="仿宋" w:hAnsi="仿宋" w:eastAsia="仿宋" w:cs="仿宋"/>
                <w:color w:val="auto"/>
                <w:spacing w:val="6"/>
                <w:sz w:val="23"/>
                <w:szCs w:val="23"/>
                <w:highlight w:val="none"/>
              </w:rPr>
            </w:pPr>
            <w:r>
              <w:rPr>
                <w:rFonts w:hint="eastAsia" w:ascii="仿宋" w:hAnsi="仿宋" w:eastAsia="仿宋" w:cs="仿宋"/>
                <w:color w:val="auto"/>
                <w:spacing w:val="6"/>
                <w:sz w:val="23"/>
                <w:szCs w:val="23"/>
                <w:highlight w:val="none"/>
                <w:lang w:val="en-US" w:eastAsia="zh-CN"/>
              </w:rPr>
              <w:t>招标文件规定：技术、参数指标要求</w:t>
            </w:r>
          </w:p>
        </w:tc>
        <w:tc>
          <w:tcPr>
            <w:tcW w:w="1691" w:type="dxa"/>
            <w:vAlign w:val="center"/>
          </w:tcPr>
          <w:p w14:paraId="66D3267B">
            <w:pPr>
              <w:spacing w:before="273" w:line="229" w:lineRule="auto"/>
              <w:jc w:val="center"/>
              <w:rPr>
                <w:rFonts w:hint="eastAsia" w:ascii="仿宋" w:hAnsi="仿宋" w:eastAsia="仿宋" w:cs="仿宋"/>
                <w:color w:val="auto"/>
                <w:spacing w:val="6"/>
                <w:sz w:val="23"/>
                <w:szCs w:val="23"/>
                <w:highlight w:val="none"/>
                <w:lang w:val="en-US" w:eastAsia="zh-CN"/>
              </w:rPr>
            </w:pPr>
            <w:r>
              <w:rPr>
                <w:rFonts w:hint="eastAsia" w:ascii="仿宋" w:hAnsi="仿宋" w:eastAsia="仿宋" w:cs="仿宋"/>
                <w:color w:val="auto"/>
                <w:spacing w:val="6"/>
                <w:sz w:val="23"/>
                <w:szCs w:val="23"/>
                <w:highlight w:val="none"/>
                <w:lang w:val="en-US" w:eastAsia="zh-CN"/>
              </w:rPr>
              <w:t>投标文件响应情况：技术、参数指标响应</w:t>
            </w:r>
          </w:p>
        </w:tc>
        <w:tc>
          <w:tcPr>
            <w:tcW w:w="1142" w:type="dxa"/>
            <w:vAlign w:val="center"/>
          </w:tcPr>
          <w:p w14:paraId="2505EF4A">
            <w:pPr>
              <w:spacing w:before="273" w:line="229" w:lineRule="auto"/>
              <w:jc w:val="center"/>
              <w:rPr>
                <w:rFonts w:hint="eastAsia" w:ascii="仿宋" w:hAnsi="仿宋" w:eastAsia="仿宋" w:cs="仿宋"/>
                <w:color w:val="auto"/>
                <w:spacing w:val="6"/>
                <w:sz w:val="23"/>
                <w:szCs w:val="23"/>
                <w:highlight w:val="none"/>
                <w:lang w:val="en-US" w:eastAsia="zh-CN"/>
              </w:rPr>
            </w:pPr>
            <w:r>
              <w:rPr>
                <w:rFonts w:hint="eastAsia" w:ascii="仿宋" w:hAnsi="仿宋" w:eastAsia="仿宋" w:cs="仿宋"/>
                <w:color w:val="auto"/>
                <w:spacing w:val="6"/>
                <w:sz w:val="23"/>
                <w:szCs w:val="23"/>
                <w:highlight w:val="none"/>
                <w:lang w:val="en-US" w:eastAsia="zh-CN"/>
              </w:rPr>
              <w:t>偏离情况</w:t>
            </w:r>
          </w:p>
        </w:tc>
        <w:tc>
          <w:tcPr>
            <w:tcW w:w="2203" w:type="dxa"/>
            <w:vAlign w:val="center"/>
          </w:tcPr>
          <w:p w14:paraId="30713B52">
            <w:pPr>
              <w:spacing w:before="273" w:line="229" w:lineRule="auto"/>
              <w:jc w:val="center"/>
              <w:rPr>
                <w:rFonts w:hint="eastAsia" w:ascii="仿宋" w:hAnsi="仿宋" w:eastAsia="仿宋" w:cs="仿宋"/>
                <w:color w:val="auto"/>
                <w:spacing w:val="6"/>
                <w:sz w:val="23"/>
                <w:szCs w:val="23"/>
                <w:highlight w:val="none"/>
                <w:lang w:val="en-US" w:eastAsia="zh-CN"/>
              </w:rPr>
            </w:pPr>
            <w:r>
              <w:rPr>
                <w:rFonts w:hint="eastAsia" w:ascii="仿宋" w:hAnsi="仿宋" w:eastAsia="仿宋" w:cs="仿宋"/>
                <w:color w:val="auto"/>
                <w:spacing w:val="6"/>
                <w:sz w:val="23"/>
                <w:szCs w:val="23"/>
                <w:highlight w:val="none"/>
                <w:lang w:val="en-US" w:eastAsia="zh-CN"/>
              </w:rPr>
              <w:t>佐证资料页码</w:t>
            </w:r>
          </w:p>
        </w:tc>
      </w:tr>
      <w:tr w14:paraId="1811D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75" w:type="dxa"/>
            <w:vAlign w:val="top"/>
          </w:tcPr>
          <w:p w14:paraId="4BE57CA3">
            <w:pPr>
              <w:jc w:val="center"/>
              <w:rPr>
                <w:rFonts w:hint="eastAsia" w:ascii="仿宋" w:hAnsi="仿宋" w:eastAsia="仿宋" w:cs="仿宋"/>
                <w:color w:val="auto"/>
                <w:sz w:val="21"/>
                <w:highlight w:val="none"/>
              </w:rPr>
            </w:pPr>
          </w:p>
        </w:tc>
        <w:tc>
          <w:tcPr>
            <w:tcW w:w="1332" w:type="dxa"/>
            <w:vAlign w:val="top"/>
          </w:tcPr>
          <w:p w14:paraId="3EED6CC7">
            <w:pPr>
              <w:jc w:val="center"/>
              <w:rPr>
                <w:rFonts w:hint="eastAsia" w:ascii="仿宋" w:hAnsi="仿宋" w:eastAsia="仿宋" w:cs="仿宋"/>
                <w:color w:val="auto"/>
                <w:sz w:val="21"/>
                <w:highlight w:val="none"/>
              </w:rPr>
            </w:pPr>
          </w:p>
        </w:tc>
        <w:tc>
          <w:tcPr>
            <w:tcW w:w="884" w:type="dxa"/>
            <w:vAlign w:val="top"/>
          </w:tcPr>
          <w:p w14:paraId="4D633F70">
            <w:pPr>
              <w:jc w:val="center"/>
              <w:rPr>
                <w:rFonts w:hint="eastAsia" w:ascii="仿宋" w:hAnsi="仿宋" w:eastAsia="仿宋" w:cs="仿宋"/>
                <w:color w:val="auto"/>
                <w:sz w:val="21"/>
                <w:highlight w:val="none"/>
              </w:rPr>
            </w:pPr>
          </w:p>
        </w:tc>
        <w:tc>
          <w:tcPr>
            <w:tcW w:w="1485" w:type="dxa"/>
            <w:vAlign w:val="top"/>
          </w:tcPr>
          <w:p w14:paraId="2D6ED1D9">
            <w:pPr>
              <w:jc w:val="center"/>
              <w:rPr>
                <w:rFonts w:hint="eastAsia" w:ascii="仿宋" w:hAnsi="仿宋" w:eastAsia="仿宋" w:cs="仿宋"/>
                <w:color w:val="auto"/>
                <w:sz w:val="21"/>
                <w:highlight w:val="none"/>
              </w:rPr>
            </w:pPr>
          </w:p>
        </w:tc>
        <w:tc>
          <w:tcPr>
            <w:tcW w:w="1691" w:type="dxa"/>
            <w:vAlign w:val="top"/>
          </w:tcPr>
          <w:p w14:paraId="10E62C1B">
            <w:pPr>
              <w:jc w:val="center"/>
              <w:rPr>
                <w:rFonts w:hint="eastAsia" w:ascii="仿宋" w:hAnsi="仿宋" w:eastAsia="仿宋" w:cs="仿宋"/>
                <w:color w:val="auto"/>
                <w:sz w:val="21"/>
                <w:highlight w:val="none"/>
              </w:rPr>
            </w:pPr>
          </w:p>
        </w:tc>
        <w:tc>
          <w:tcPr>
            <w:tcW w:w="1142" w:type="dxa"/>
            <w:vAlign w:val="top"/>
          </w:tcPr>
          <w:p w14:paraId="503F712C">
            <w:pPr>
              <w:jc w:val="center"/>
              <w:rPr>
                <w:rFonts w:hint="eastAsia" w:ascii="仿宋" w:hAnsi="仿宋" w:eastAsia="仿宋" w:cs="仿宋"/>
                <w:color w:val="auto"/>
                <w:sz w:val="21"/>
                <w:highlight w:val="none"/>
              </w:rPr>
            </w:pPr>
          </w:p>
        </w:tc>
        <w:tc>
          <w:tcPr>
            <w:tcW w:w="2203" w:type="dxa"/>
            <w:vAlign w:val="center"/>
          </w:tcPr>
          <w:p w14:paraId="5347A5F1">
            <w:pPr>
              <w:jc w:val="center"/>
              <w:rPr>
                <w:rFonts w:hint="eastAsia" w:ascii="仿宋" w:hAnsi="仿宋" w:eastAsia="仿宋" w:cs="仿宋"/>
                <w:color w:val="auto"/>
                <w:sz w:val="21"/>
                <w:highlight w:val="none"/>
              </w:rPr>
            </w:pPr>
          </w:p>
        </w:tc>
      </w:tr>
      <w:tr w14:paraId="4E5BB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575" w:type="dxa"/>
            <w:vAlign w:val="top"/>
          </w:tcPr>
          <w:p w14:paraId="735875FC">
            <w:pPr>
              <w:rPr>
                <w:rFonts w:hint="eastAsia" w:ascii="仿宋" w:hAnsi="仿宋" w:eastAsia="仿宋" w:cs="仿宋"/>
                <w:color w:val="auto"/>
                <w:sz w:val="21"/>
                <w:highlight w:val="none"/>
              </w:rPr>
            </w:pPr>
          </w:p>
        </w:tc>
        <w:tc>
          <w:tcPr>
            <w:tcW w:w="1332" w:type="dxa"/>
            <w:vAlign w:val="top"/>
          </w:tcPr>
          <w:p w14:paraId="6708DFAA">
            <w:pPr>
              <w:rPr>
                <w:rFonts w:hint="eastAsia" w:ascii="仿宋" w:hAnsi="仿宋" w:eastAsia="仿宋" w:cs="仿宋"/>
                <w:color w:val="auto"/>
                <w:sz w:val="21"/>
                <w:highlight w:val="none"/>
              </w:rPr>
            </w:pPr>
          </w:p>
        </w:tc>
        <w:tc>
          <w:tcPr>
            <w:tcW w:w="884" w:type="dxa"/>
            <w:vAlign w:val="top"/>
          </w:tcPr>
          <w:p w14:paraId="46634A00">
            <w:pPr>
              <w:rPr>
                <w:rFonts w:hint="eastAsia" w:ascii="仿宋" w:hAnsi="仿宋" w:eastAsia="仿宋" w:cs="仿宋"/>
                <w:color w:val="auto"/>
                <w:sz w:val="21"/>
                <w:highlight w:val="none"/>
              </w:rPr>
            </w:pPr>
          </w:p>
        </w:tc>
        <w:tc>
          <w:tcPr>
            <w:tcW w:w="1485" w:type="dxa"/>
            <w:vAlign w:val="top"/>
          </w:tcPr>
          <w:p w14:paraId="2B132220">
            <w:pPr>
              <w:rPr>
                <w:rFonts w:hint="eastAsia" w:ascii="仿宋" w:hAnsi="仿宋" w:eastAsia="仿宋" w:cs="仿宋"/>
                <w:color w:val="auto"/>
                <w:sz w:val="21"/>
                <w:highlight w:val="none"/>
              </w:rPr>
            </w:pPr>
          </w:p>
        </w:tc>
        <w:tc>
          <w:tcPr>
            <w:tcW w:w="1691" w:type="dxa"/>
            <w:vAlign w:val="top"/>
          </w:tcPr>
          <w:p w14:paraId="4CAC1E70">
            <w:pPr>
              <w:rPr>
                <w:rFonts w:hint="eastAsia" w:ascii="仿宋" w:hAnsi="仿宋" w:eastAsia="仿宋" w:cs="仿宋"/>
                <w:color w:val="auto"/>
                <w:sz w:val="21"/>
                <w:highlight w:val="none"/>
              </w:rPr>
            </w:pPr>
          </w:p>
        </w:tc>
        <w:tc>
          <w:tcPr>
            <w:tcW w:w="1142" w:type="dxa"/>
            <w:vAlign w:val="top"/>
          </w:tcPr>
          <w:p w14:paraId="696A1FD9">
            <w:pPr>
              <w:rPr>
                <w:rFonts w:hint="eastAsia" w:ascii="仿宋" w:hAnsi="仿宋" w:eastAsia="仿宋" w:cs="仿宋"/>
                <w:color w:val="auto"/>
                <w:sz w:val="21"/>
                <w:highlight w:val="none"/>
              </w:rPr>
            </w:pPr>
          </w:p>
        </w:tc>
        <w:tc>
          <w:tcPr>
            <w:tcW w:w="2203" w:type="dxa"/>
            <w:vAlign w:val="center"/>
          </w:tcPr>
          <w:p w14:paraId="780F9D5A">
            <w:pPr>
              <w:jc w:val="center"/>
              <w:rPr>
                <w:rFonts w:hint="eastAsia" w:ascii="仿宋" w:hAnsi="仿宋" w:eastAsia="仿宋" w:cs="仿宋"/>
                <w:color w:val="auto"/>
                <w:sz w:val="21"/>
                <w:highlight w:val="none"/>
              </w:rPr>
            </w:pPr>
          </w:p>
        </w:tc>
      </w:tr>
      <w:tr w14:paraId="3DD5C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1FE876CF">
            <w:pPr>
              <w:rPr>
                <w:rFonts w:hint="eastAsia" w:ascii="仿宋" w:hAnsi="仿宋" w:eastAsia="仿宋" w:cs="仿宋"/>
                <w:color w:val="auto"/>
                <w:sz w:val="21"/>
                <w:highlight w:val="none"/>
              </w:rPr>
            </w:pPr>
          </w:p>
        </w:tc>
        <w:tc>
          <w:tcPr>
            <w:tcW w:w="1332" w:type="dxa"/>
            <w:vAlign w:val="top"/>
          </w:tcPr>
          <w:p w14:paraId="1C181E0B">
            <w:pPr>
              <w:rPr>
                <w:rFonts w:hint="eastAsia" w:ascii="仿宋" w:hAnsi="仿宋" w:eastAsia="仿宋" w:cs="仿宋"/>
                <w:color w:val="auto"/>
                <w:sz w:val="21"/>
                <w:highlight w:val="none"/>
              </w:rPr>
            </w:pPr>
          </w:p>
        </w:tc>
        <w:tc>
          <w:tcPr>
            <w:tcW w:w="884" w:type="dxa"/>
            <w:vAlign w:val="top"/>
          </w:tcPr>
          <w:p w14:paraId="38FB43B9">
            <w:pPr>
              <w:rPr>
                <w:rFonts w:hint="eastAsia" w:ascii="仿宋" w:hAnsi="仿宋" w:eastAsia="仿宋" w:cs="仿宋"/>
                <w:color w:val="auto"/>
                <w:sz w:val="21"/>
                <w:highlight w:val="none"/>
              </w:rPr>
            </w:pPr>
          </w:p>
        </w:tc>
        <w:tc>
          <w:tcPr>
            <w:tcW w:w="1485" w:type="dxa"/>
            <w:vAlign w:val="top"/>
          </w:tcPr>
          <w:p w14:paraId="60F6985D">
            <w:pPr>
              <w:rPr>
                <w:rFonts w:hint="eastAsia" w:ascii="仿宋" w:hAnsi="仿宋" w:eastAsia="仿宋" w:cs="仿宋"/>
                <w:color w:val="auto"/>
                <w:sz w:val="21"/>
                <w:highlight w:val="none"/>
              </w:rPr>
            </w:pPr>
          </w:p>
        </w:tc>
        <w:tc>
          <w:tcPr>
            <w:tcW w:w="1691" w:type="dxa"/>
            <w:vAlign w:val="top"/>
          </w:tcPr>
          <w:p w14:paraId="49F2BE4E">
            <w:pPr>
              <w:rPr>
                <w:rFonts w:hint="eastAsia" w:ascii="仿宋" w:hAnsi="仿宋" w:eastAsia="仿宋" w:cs="仿宋"/>
                <w:color w:val="auto"/>
                <w:sz w:val="21"/>
                <w:highlight w:val="none"/>
              </w:rPr>
            </w:pPr>
          </w:p>
        </w:tc>
        <w:tc>
          <w:tcPr>
            <w:tcW w:w="1142" w:type="dxa"/>
            <w:vAlign w:val="top"/>
          </w:tcPr>
          <w:p w14:paraId="038CD344">
            <w:pPr>
              <w:rPr>
                <w:rFonts w:hint="eastAsia" w:ascii="仿宋" w:hAnsi="仿宋" w:eastAsia="仿宋" w:cs="仿宋"/>
                <w:color w:val="auto"/>
                <w:sz w:val="21"/>
                <w:highlight w:val="none"/>
              </w:rPr>
            </w:pPr>
          </w:p>
        </w:tc>
        <w:tc>
          <w:tcPr>
            <w:tcW w:w="2203" w:type="dxa"/>
            <w:vAlign w:val="center"/>
          </w:tcPr>
          <w:p w14:paraId="511F8C18">
            <w:pPr>
              <w:jc w:val="center"/>
              <w:rPr>
                <w:rFonts w:hint="eastAsia" w:ascii="仿宋" w:hAnsi="仿宋" w:eastAsia="仿宋" w:cs="仿宋"/>
                <w:color w:val="auto"/>
                <w:sz w:val="21"/>
                <w:highlight w:val="none"/>
              </w:rPr>
            </w:pPr>
          </w:p>
        </w:tc>
      </w:tr>
      <w:tr w14:paraId="0677A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75" w:type="dxa"/>
            <w:vAlign w:val="top"/>
          </w:tcPr>
          <w:p w14:paraId="0B6BA8BB">
            <w:pPr>
              <w:rPr>
                <w:rFonts w:hint="eastAsia" w:ascii="仿宋" w:hAnsi="仿宋" w:eastAsia="仿宋" w:cs="仿宋"/>
                <w:color w:val="auto"/>
                <w:sz w:val="21"/>
                <w:highlight w:val="none"/>
              </w:rPr>
            </w:pPr>
          </w:p>
        </w:tc>
        <w:tc>
          <w:tcPr>
            <w:tcW w:w="1332" w:type="dxa"/>
            <w:vAlign w:val="top"/>
          </w:tcPr>
          <w:p w14:paraId="6986BB92">
            <w:pPr>
              <w:rPr>
                <w:rFonts w:hint="eastAsia" w:ascii="仿宋" w:hAnsi="仿宋" w:eastAsia="仿宋" w:cs="仿宋"/>
                <w:color w:val="auto"/>
                <w:sz w:val="21"/>
                <w:highlight w:val="none"/>
              </w:rPr>
            </w:pPr>
          </w:p>
        </w:tc>
        <w:tc>
          <w:tcPr>
            <w:tcW w:w="884" w:type="dxa"/>
            <w:vAlign w:val="top"/>
          </w:tcPr>
          <w:p w14:paraId="39721F8D">
            <w:pPr>
              <w:rPr>
                <w:rFonts w:hint="eastAsia" w:ascii="仿宋" w:hAnsi="仿宋" w:eastAsia="仿宋" w:cs="仿宋"/>
                <w:color w:val="auto"/>
                <w:sz w:val="21"/>
                <w:highlight w:val="none"/>
              </w:rPr>
            </w:pPr>
          </w:p>
        </w:tc>
        <w:tc>
          <w:tcPr>
            <w:tcW w:w="1485" w:type="dxa"/>
            <w:vAlign w:val="top"/>
          </w:tcPr>
          <w:p w14:paraId="711C76F5">
            <w:pPr>
              <w:rPr>
                <w:rFonts w:hint="eastAsia" w:ascii="仿宋" w:hAnsi="仿宋" w:eastAsia="仿宋" w:cs="仿宋"/>
                <w:color w:val="auto"/>
                <w:sz w:val="21"/>
                <w:highlight w:val="none"/>
              </w:rPr>
            </w:pPr>
          </w:p>
        </w:tc>
        <w:tc>
          <w:tcPr>
            <w:tcW w:w="1691" w:type="dxa"/>
            <w:vAlign w:val="top"/>
          </w:tcPr>
          <w:p w14:paraId="22D5F274">
            <w:pPr>
              <w:rPr>
                <w:rFonts w:hint="eastAsia" w:ascii="仿宋" w:hAnsi="仿宋" w:eastAsia="仿宋" w:cs="仿宋"/>
                <w:color w:val="auto"/>
                <w:sz w:val="21"/>
                <w:highlight w:val="none"/>
              </w:rPr>
            </w:pPr>
          </w:p>
        </w:tc>
        <w:tc>
          <w:tcPr>
            <w:tcW w:w="1142" w:type="dxa"/>
            <w:vAlign w:val="top"/>
          </w:tcPr>
          <w:p w14:paraId="3902DB39">
            <w:pPr>
              <w:rPr>
                <w:rFonts w:hint="eastAsia" w:ascii="仿宋" w:hAnsi="仿宋" w:eastAsia="仿宋" w:cs="仿宋"/>
                <w:color w:val="auto"/>
                <w:sz w:val="21"/>
                <w:highlight w:val="none"/>
              </w:rPr>
            </w:pPr>
          </w:p>
        </w:tc>
        <w:tc>
          <w:tcPr>
            <w:tcW w:w="2203" w:type="dxa"/>
            <w:vAlign w:val="center"/>
          </w:tcPr>
          <w:p w14:paraId="7BFB65E0">
            <w:pPr>
              <w:jc w:val="center"/>
              <w:rPr>
                <w:rFonts w:hint="eastAsia" w:ascii="仿宋" w:hAnsi="仿宋" w:eastAsia="仿宋" w:cs="仿宋"/>
                <w:color w:val="auto"/>
                <w:sz w:val="21"/>
                <w:highlight w:val="none"/>
              </w:rPr>
            </w:pPr>
          </w:p>
        </w:tc>
      </w:tr>
      <w:tr w14:paraId="13A41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75" w:type="dxa"/>
            <w:vAlign w:val="top"/>
          </w:tcPr>
          <w:p w14:paraId="11F23E66">
            <w:pPr>
              <w:rPr>
                <w:rFonts w:hint="eastAsia" w:ascii="仿宋" w:hAnsi="仿宋" w:eastAsia="仿宋" w:cs="仿宋"/>
                <w:color w:val="auto"/>
                <w:sz w:val="21"/>
                <w:highlight w:val="none"/>
              </w:rPr>
            </w:pPr>
          </w:p>
        </w:tc>
        <w:tc>
          <w:tcPr>
            <w:tcW w:w="1332" w:type="dxa"/>
            <w:vAlign w:val="top"/>
          </w:tcPr>
          <w:p w14:paraId="7851A6BA">
            <w:pPr>
              <w:rPr>
                <w:rFonts w:hint="eastAsia" w:ascii="仿宋" w:hAnsi="仿宋" w:eastAsia="仿宋" w:cs="仿宋"/>
                <w:color w:val="auto"/>
                <w:sz w:val="21"/>
                <w:highlight w:val="none"/>
              </w:rPr>
            </w:pPr>
          </w:p>
        </w:tc>
        <w:tc>
          <w:tcPr>
            <w:tcW w:w="884" w:type="dxa"/>
            <w:vAlign w:val="top"/>
          </w:tcPr>
          <w:p w14:paraId="53A081D5">
            <w:pPr>
              <w:rPr>
                <w:rFonts w:hint="eastAsia" w:ascii="仿宋" w:hAnsi="仿宋" w:eastAsia="仿宋" w:cs="仿宋"/>
                <w:color w:val="auto"/>
                <w:sz w:val="21"/>
                <w:highlight w:val="none"/>
              </w:rPr>
            </w:pPr>
          </w:p>
        </w:tc>
        <w:tc>
          <w:tcPr>
            <w:tcW w:w="1485" w:type="dxa"/>
            <w:vAlign w:val="top"/>
          </w:tcPr>
          <w:p w14:paraId="5FEB5653">
            <w:pPr>
              <w:rPr>
                <w:rFonts w:hint="eastAsia" w:ascii="仿宋" w:hAnsi="仿宋" w:eastAsia="仿宋" w:cs="仿宋"/>
                <w:color w:val="auto"/>
                <w:sz w:val="21"/>
                <w:highlight w:val="none"/>
              </w:rPr>
            </w:pPr>
          </w:p>
        </w:tc>
        <w:tc>
          <w:tcPr>
            <w:tcW w:w="1691" w:type="dxa"/>
            <w:vAlign w:val="top"/>
          </w:tcPr>
          <w:p w14:paraId="0DA42543">
            <w:pPr>
              <w:rPr>
                <w:rFonts w:hint="eastAsia" w:ascii="仿宋" w:hAnsi="仿宋" w:eastAsia="仿宋" w:cs="仿宋"/>
                <w:color w:val="auto"/>
                <w:sz w:val="21"/>
                <w:highlight w:val="none"/>
              </w:rPr>
            </w:pPr>
          </w:p>
        </w:tc>
        <w:tc>
          <w:tcPr>
            <w:tcW w:w="1142" w:type="dxa"/>
            <w:vAlign w:val="top"/>
          </w:tcPr>
          <w:p w14:paraId="5D8EBB2C">
            <w:pPr>
              <w:rPr>
                <w:rFonts w:hint="eastAsia" w:ascii="仿宋" w:hAnsi="仿宋" w:eastAsia="仿宋" w:cs="仿宋"/>
                <w:color w:val="auto"/>
                <w:sz w:val="21"/>
                <w:highlight w:val="none"/>
              </w:rPr>
            </w:pPr>
          </w:p>
        </w:tc>
        <w:tc>
          <w:tcPr>
            <w:tcW w:w="2203" w:type="dxa"/>
            <w:vAlign w:val="center"/>
          </w:tcPr>
          <w:p w14:paraId="5DAD259B">
            <w:pPr>
              <w:jc w:val="center"/>
              <w:rPr>
                <w:rFonts w:hint="eastAsia" w:ascii="仿宋" w:hAnsi="仿宋" w:eastAsia="仿宋" w:cs="仿宋"/>
                <w:color w:val="auto"/>
                <w:sz w:val="21"/>
                <w:highlight w:val="none"/>
              </w:rPr>
            </w:pPr>
          </w:p>
        </w:tc>
      </w:tr>
      <w:tr w14:paraId="7F8AC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33392E65">
            <w:pPr>
              <w:rPr>
                <w:rFonts w:hint="eastAsia" w:ascii="仿宋" w:hAnsi="仿宋" w:eastAsia="仿宋" w:cs="仿宋"/>
                <w:color w:val="auto"/>
                <w:sz w:val="21"/>
                <w:highlight w:val="none"/>
              </w:rPr>
            </w:pPr>
          </w:p>
        </w:tc>
        <w:tc>
          <w:tcPr>
            <w:tcW w:w="1332" w:type="dxa"/>
            <w:vAlign w:val="top"/>
          </w:tcPr>
          <w:p w14:paraId="26954E4B">
            <w:pPr>
              <w:rPr>
                <w:rFonts w:hint="eastAsia" w:ascii="仿宋" w:hAnsi="仿宋" w:eastAsia="仿宋" w:cs="仿宋"/>
                <w:color w:val="auto"/>
                <w:sz w:val="21"/>
                <w:highlight w:val="none"/>
              </w:rPr>
            </w:pPr>
          </w:p>
        </w:tc>
        <w:tc>
          <w:tcPr>
            <w:tcW w:w="884" w:type="dxa"/>
            <w:vAlign w:val="top"/>
          </w:tcPr>
          <w:p w14:paraId="1C8EDEF9">
            <w:pPr>
              <w:rPr>
                <w:rFonts w:hint="eastAsia" w:ascii="仿宋" w:hAnsi="仿宋" w:eastAsia="仿宋" w:cs="仿宋"/>
                <w:color w:val="auto"/>
                <w:sz w:val="21"/>
                <w:highlight w:val="none"/>
              </w:rPr>
            </w:pPr>
          </w:p>
        </w:tc>
        <w:tc>
          <w:tcPr>
            <w:tcW w:w="1485" w:type="dxa"/>
            <w:vAlign w:val="top"/>
          </w:tcPr>
          <w:p w14:paraId="79D4400E">
            <w:pPr>
              <w:rPr>
                <w:rFonts w:hint="eastAsia" w:ascii="仿宋" w:hAnsi="仿宋" w:eastAsia="仿宋" w:cs="仿宋"/>
                <w:color w:val="auto"/>
                <w:sz w:val="21"/>
                <w:highlight w:val="none"/>
              </w:rPr>
            </w:pPr>
          </w:p>
        </w:tc>
        <w:tc>
          <w:tcPr>
            <w:tcW w:w="1691" w:type="dxa"/>
            <w:vAlign w:val="top"/>
          </w:tcPr>
          <w:p w14:paraId="6B46C20B">
            <w:pPr>
              <w:rPr>
                <w:rFonts w:hint="eastAsia" w:ascii="仿宋" w:hAnsi="仿宋" w:eastAsia="仿宋" w:cs="仿宋"/>
                <w:color w:val="auto"/>
                <w:sz w:val="21"/>
                <w:highlight w:val="none"/>
              </w:rPr>
            </w:pPr>
          </w:p>
        </w:tc>
        <w:tc>
          <w:tcPr>
            <w:tcW w:w="1142" w:type="dxa"/>
            <w:vAlign w:val="top"/>
          </w:tcPr>
          <w:p w14:paraId="11790341">
            <w:pPr>
              <w:rPr>
                <w:rFonts w:hint="eastAsia" w:ascii="仿宋" w:hAnsi="仿宋" w:eastAsia="仿宋" w:cs="仿宋"/>
                <w:color w:val="auto"/>
                <w:sz w:val="21"/>
                <w:highlight w:val="none"/>
              </w:rPr>
            </w:pPr>
          </w:p>
        </w:tc>
        <w:tc>
          <w:tcPr>
            <w:tcW w:w="2203" w:type="dxa"/>
            <w:vAlign w:val="center"/>
          </w:tcPr>
          <w:p w14:paraId="3526058F">
            <w:pPr>
              <w:jc w:val="center"/>
              <w:rPr>
                <w:rFonts w:hint="eastAsia" w:ascii="仿宋" w:hAnsi="仿宋" w:eastAsia="仿宋" w:cs="仿宋"/>
                <w:color w:val="auto"/>
                <w:sz w:val="21"/>
                <w:highlight w:val="none"/>
              </w:rPr>
            </w:pPr>
          </w:p>
        </w:tc>
      </w:tr>
      <w:tr w14:paraId="74A2A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180363F0">
            <w:pPr>
              <w:rPr>
                <w:rFonts w:hint="eastAsia" w:ascii="仿宋" w:hAnsi="仿宋" w:eastAsia="仿宋" w:cs="仿宋"/>
                <w:color w:val="auto"/>
                <w:sz w:val="21"/>
                <w:highlight w:val="none"/>
              </w:rPr>
            </w:pPr>
          </w:p>
        </w:tc>
        <w:tc>
          <w:tcPr>
            <w:tcW w:w="1332" w:type="dxa"/>
            <w:vAlign w:val="top"/>
          </w:tcPr>
          <w:p w14:paraId="24D608DC">
            <w:pPr>
              <w:rPr>
                <w:rFonts w:hint="eastAsia" w:ascii="仿宋" w:hAnsi="仿宋" w:eastAsia="仿宋" w:cs="仿宋"/>
                <w:color w:val="auto"/>
                <w:sz w:val="21"/>
                <w:highlight w:val="none"/>
              </w:rPr>
            </w:pPr>
          </w:p>
        </w:tc>
        <w:tc>
          <w:tcPr>
            <w:tcW w:w="884" w:type="dxa"/>
            <w:vAlign w:val="top"/>
          </w:tcPr>
          <w:p w14:paraId="3238E303">
            <w:pPr>
              <w:rPr>
                <w:rFonts w:hint="eastAsia" w:ascii="仿宋" w:hAnsi="仿宋" w:eastAsia="仿宋" w:cs="仿宋"/>
                <w:color w:val="auto"/>
                <w:sz w:val="21"/>
                <w:highlight w:val="none"/>
              </w:rPr>
            </w:pPr>
          </w:p>
        </w:tc>
        <w:tc>
          <w:tcPr>
            <w:tcW w:w="1485" w:type="dxa"/>
            <w:vAlign w:val="top"/>
          </w:tcPr>
          <w:p w14:paraId="3779F17D">
            <w:pPr>
              <w:rPr>
                <w:rFonts w:hint="eastAsia" w:ascii="仿宋" w:hAnsi="仿宋" w:eastAsia="仿宋" w:cs="仿宋"/>
                <w:color w:val="auto"/>
                <w:sz w:val="21"/>
                <w:highlight w:val="none"/>
              </w:rPr>
            </w:pPr>
          </w:p>
        </w:tc>
        <w:tc>
          <w:tcPr>
            <w:tcW w:w="1691" w:type="dxa"/>
            <w:vAlign w:val="top"/>
          </w:tcPr>
          <w:p w14:paraId="770A13EA">
            <w:pPr>
              <w:rPr>
                <w:rFonts w:hint="eastAsia" w:ascii="仿宋" w:hAnsi="仿宋" w:eastAsia="仿宋" w:cs="仿宋"/>
                <w:color w:val="auto"/>
                <w:sz w:val="21"/>
                <w:highlight w:val="none"/>
              </w:rPr>
            </w:pPr>
          </w:p>
        </w:tc>
        <w:tc>
          <w:tcPr>
            <w:tcW w:w="1142" w:type="dxa"/>
            <w:vAlign w:val="top"/>
          </w:tcPr>
          <w:p w14:paraId="5FBAE15E">
            <w:pPr>
              <w:rPr>
                <w:rFonts w:hint="eastAsia" w:ascii="仿宋" w:hAnsi="仿宋" w:eastAsia="仿宋" w:cs="仿宋"/>
                <w:color w:val="auto"/>
                <w:sz w:val="21"/>
                <w:highlight w:val="none"/>
              </w:rPr>
            </w:pPr>
          </w:p>
        </w:tc>
        <w:tc>
          <w:tcPr>
            <w:tcW w:w="2203" w:type="dxa"/>
            <w:vAlign w:val="center"/>
          </w:tcPr>
          <w:p w14:paraId="6F3B8000">
            <w:pPr>
              <w:jc w:val="center"/>
              <w:rPr>
                <w:rFonts w:hint="eastAsia" w:ascii="仿宋" w:hAnsi="仿宋" w:eastAsia="仿宋" w:cs="仿宋"/>
                <w:color w:val="auto"/>
                <w:sz w:val="21"/>
                <w:highlight w:val="none"/>
              </w:rPr>
            </w:pPr>
          </w:p>
        </w:tc>
      </w:tr>
      <w:tr w14:paraId="63AE8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00097D3C">
            <w:pPr>
              <w:rPr>
                <w:rFonts w:hint="eastAsia" w:ascii="仿宋" w:hAnsi="仿宋" w:eastAsia="仿宋" w:cs="仿宋"/>
                <w:color w:val="auto"/>
                <w:sz w:val="21"/>
                <w:highlight w:val="none"/>
              </w:rPr>
            </w:pPr>
          </w:p>
        </w:tc>
        <w:tc>
          <w:tcPr>
            <w:tcW w:w="1332" w:type="dxa"/>
            <w:vAlign w:val="top"/>
          </w:tcPr>
          <w:p w14:paraId="1D7AD3DB">
            <w:pPr>
              <w:rPr>
                <w:rFonts w:hint="eastAsia" w:ascii="仿宋" w:hAnsi="仿宋" w:eastAsia="仿宋" w:cs="仿宋"/>
                <w:color w:val="auto"/>
                <w:sz w:val="21"/>
                <w:highlight w:val="none"/>
              </w:rPr>
            </w:pPr>
          </w:p>
        </w:tc>
        <w:tc>
          <w:tcPr>
            <w:tcW w:w="884" w:type="dxa"/>
            <w:vAlign w:val="top"/>
          </w:tcPr>
          <w:p w14:paraId="6937AA83">
            <w:pPr>
              <w:rPr>
                <w:rFonts w:hint="eastAsia" w:ascii="仿宋" w:hAnsi="仿宋" w:eastAsia="仿宋" w:cs="仿宋"/>
                <w:color w:val="auto"/>
                <w:sz w:val="21"/>
                <w:highlight w:val="none"/>
              </w:rPr>
            </w:pPr>
          </w:p>
        </w:tc>
        <w:tc>
          <w:tcPr>
            <w:tcW w:w="1485" w:type="dxa"/>
            <w:vAlign w:val="top"/>
          </w:tcPr>
          <w:p w14:paraId="750ECA21">
            <w:pPr>
              <w:rPr>
                <w:rFonts w:hint="eastAsia" w:ascii="仿宋" w:hAnsi="仿宋" w:eastAsia="仿宋" w:cs="仿宋"/>
                <w:color w:val="auto"/>
                <w:sz w:val="21"/>
                <w:highlight w:val="none"/>
              </w:rPr>
            </w:pPr>
          </w:p>
        </w:tc>
        <w:tc>
          <w:tcPr>
            <w:tcW w:w="1691" w:type="dxa"/>
            <w:vAlign w:val="top"/>
          </w:tcPr>
          <w:p w14:paraId="00584689">
            <w:pPr>
              <w:rPr>
                <w:rFonts w:hint="eastAsia" w:ascii="仿宋" w:hAnsi="仿宋" w:eastAsia="仿宋" w:cs="仿宋"/>
                <w:color w:val="auto"/>
                <w:sz w:val="21"/>
                <w:highlight w:val="none"/>
              </w:rPr>
            </w:pPr>
          </w:p>
        </w:tc>
        <w:tc>
          <w:tcPr>
            <w:tcW w:w="1142" w:type="dxa"/>
            <w:vAlign w:val="top"/>
          </w:tcPr>
          <w:p w14:paraId="0195510C">
            <w:pPr>
              <w:rPr>
                <w:rFonts w:hint="eastAsia" w:ascii="仿宋" w:hAnsi="仿宋" w:eastAsia="仿宋" w:cs="仿宋"/>
                <w:color w:val="auto"/>
                <w:sz w:val="21"/>
                <w:highlight w:val="none"/>
              </w:rPr>
            </w:pPr>
          </w:p>
        </w:tc>
        <w:tc>
          <w:tcPr>
            <w:tcW w:w="2203" w:type="dxa"/>
            <w:vAlign w:val="center"/>
          </w:tcPr>
          <w:p w14:paraId="6DD1BEF0">
            <w:pPr>
              <w:jc w:val="center"/>
              <w:rPr>
                <w:rFonts w:hint="eastAsia" w:ascii="仿宋" w:hAnsi="仿宋" w:eastAsia="仿宋" w:cs="仿宋"/>
                <w:color w:val="auto"/>
                <w:sz w:val="21"/>
                <w:highlight w:val="none"/>
              </w:rPr>
            </w:pPr>
          </w:p>
        </w:tc>
      </w:tr>
      <w:tr w14:paraId="385B9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36D83B03">
            <w:pPr>
              <w:rPr>
                <w:rFonts w:hint="eastAsia" w:ascii="仿宋" w:hAnsi="仿宋" w:eastAsia="仿宋" w:cs="仿宋"/>
                <w:color w:val="auto"/>
                <w:sz w:val="21"/>
                <w:highlight w:val="none"/>
              </w:rPr>
            </w:pPr>
          </w:p>
        </w:tc>
        <w:tc>
          <w:tcPr>
            <w:tcW w:w="1332" w:type="dxa"/>
            <w:vAlign w:val="top"/>
          </w:tcPr>
          <w:p w14:paraId="5C01DD08">
            <w:pPr>
              <w:rPr>
                <w:rFonts w:hint="eastAsia" w:ascii="仿宋" w:hAnsi="仿宋" w:eastAsia="仿宋" w:cs="仿宋"/>
                <w:color w:val="auto"/>
                <w:sz w:val="21"/>
                <w:highlight w:val="none"/>
              </w:rPr>
            </w:pPr>
          </w:p>
        </w:tc>
        <w:tc>
          <w:tcPr>
            <w:tcW w:w="884" w:type="dxa"/>
            <w:vAlign w:val="top"/>
          </w:tcPr>
          <w:p w14:paraId="5FEEABB0">
            <w:pPr>
              <w:rPr>
                <w:rFonts w:hint="eastAsia" w:ascii="仿宋" w:hAnsi="仿宋" w:eastAsia="仿宋" w:cs="仿宋"/>
                <w:color w:val="auto"/>
                <w:sz w:val="21"/>
                <w:highlight w:val="none"/>
              </w:rPr>
            </w:pPr>
          </w:p>
        </w:tc>
        <w:tc>
          <w:tcPr>
            <w:tcW w:w="1485" w:type="dxa"/>
            <w:vAlign w:val="top"/>
          </w:tcPr>
          <w:p w14:paraId="1C34D45A">
            <w:pPr>
              <w:rPr>
                <w:rFonts w:hint="eastAsia" w:ascii="仿宋" w:hAnsi="仿宋" w:eastAsia="仿宋" w:cs="仿宋"/>
                <w:color w:val="auto"/>
                <w:sz w:val="21"/>
                <w:highlight w:val="none"/>
              </w:rPr>
            </w:pPr>
          </w:p>
        </w:tc>
        <w:tc>
          <w:tcPr>
            <w:tcW w:w="1691" w:type="dxa"/>
            <w:vAlign w:val="top"/>
          </w:tcPr>
          <w:p w14:paraId="49A099FD">
            <w:pPr>
              <w:rPr>
                <w:rFonts w:hint="eastAsia" w:ascii="仿宋" w:hAnsi="仿宋" w:eastAsia="仿宋" w:cs="仿宋"/>
                <w:color w:val="auto"/>
                <w:sz w:val="21"/>
                <w:highlight w:val="none"/>
              </w:rPr>
            </w:pPr>
          </w:p>
        </w:tc>
        <w:tc>
          <w:tcPr>
            <w:tcW w:w="1142" w:type="dxa"/>
            <w:vAlign w:val="top"/>
          </w:tcPr>
          <w:p w14:paraId="3BC38BEF">
            <w:pPr>
              <w:rPr>
                <w:rFonts w:hint="eastAsia" w:ascii="仿宋" w:hAnsi="仿宋" w:eastAsia="仿宋" w:cs="仿宋"/>
                <w:color w:val="auto"/>
                <w:sz w:val="21"/>
                <w:highlight w:val="none"/>
              </w:rPr>
            </w:pPr>
          </w:p>
        </w:tc>
        <w:tc>
          <w:tcPr>
            <w:tcW w:w="2203" w:type="dxa"/>
            <w:vAlign w:val="center"/>
          </w:tcPr>
          <w:p w14:paraId="32C7D229">
            <w:pPr>
              <w:jc w:val="center"/>
              <w:rPr>
                <w:rFonts w:hint="eastAsia" w:ascii="仿宋" w:hAnsi="仿宋" w:eastAsia="仿宋" w:cs="仿宋"/>
                <w:color w:val="auto"/>
                <w:sz w:val="21"/>
                <w:highlight w:val="none"/>
              </w:rPr>
            </w:pPr>
          </w:p>
        </w:tc>
      </w:tr>
      <w:tr w14:paraId="08EF5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75" w:type="dxa"/>
            <w:vAlign w:val="top"/>
          </w:tcPr>
          <w:p w14:paraId="030E4274">
            <w:pPr>
              <w:rPr>
                <w:rFonts w:hint="eastAsia" w:ascii="仿宋" w:hAnsi="仿宋" w:eastAsia="仿宋" w:cs="仿宋"/>
                <w:color w:val="auto"/>
                <w:sz w:val="21"/>
                <w:highlight w:val="none"/>
              </w:rPr>
            </w:pPr>
          </w:p>
        </w:tc>
        <w:tc>
          <w:tcPr>
            <w:tcW w:w="1332" w:type="dxa"/>
            <w:vAlign w:val="top"/>
          </w:tcPr>
          <w:p w14:paraId="6A747EC8">
            <w:pPr>
              <w:rPr>
                <w:rFonts w:hint="eastAsia" w:ascii="仿宋" w:hAnsi="仿宋" w:eastAsia="仿宋" w:cs="仿宋"/>
                <w:color w:val="auto"/>
                <w:sz w:val="21"/>
                <w:highlight w:val="none"/>
              </w:rPr>
            </w:pPr>
          </w:p>
        </w:tc>
        <w:tc>
          <w:tcPr>
            <w:tcW w:w="884" w:type="dxa"/>
            <w:vAlign w:val="top"/>
          </w:tcPr>
          <w:p w14:paraId="11BBB61D">
            <w:pPr>
              <w:rPr>
                <w:rFonts w:hint="eastAsia" w:ascii="仿宋" w:hAnsi="仿宋" w:eastAsia="仿宋" w:cs="仿宋"/>
                <w:color w:val="auto"/>
                <w:sz w:val="21"/>
                <w:highlight w:val="none"/>
              </w:rPr>
            </w:pPr>
          </w:p>
        </w:tc>
        <w:tc>
          <w:tcPr>
            <w:tcW w:w="1485" w:type="dxa"/>
            <w:vAlign w:val="top"/>
          </w:tcPr>
          <w:p w14:paraId="14676799">
            <w:pPr>
              <w:rPr>
                <w:rFonts w:hint="eastAsia" w:ascii="仿宋" w:hAnsi="仿宋" w:eastAsia="仿宋" w:cs="仿宋"/>
                <w:color w:val="auto"/>
                <w:sz w:val="21"/>
                <w:highlight w:val="none"/>
              </w:rPr>
            </w:pPr>
          </w:p>
        </w:tc>
        <w:tc>
          <w:tcPr>
            <w:tcW w:w="1691" w:type="dxa"/>
            <w:vAlign w:val="top"/>
          </w:tcPr>
          <w:p w14:paraId="7E439559">
            <w:pPr>
              <w:rPr>
                <w:rFonts w:hint="eastAsia" w:ascii="仿宋" w:hAnsi="仿宋" w:eastAsia="仿宋" w:cs="仿宋"/>
                <w:color w:val="auto"/>
                <w:sz w:val="21"/>
                <w:highlight w:val="none"/>
              </w:rPr>
            </w:pPr>
          </w:p>
        </w:tc>
        <w:tc>
          <w:tcPr>
            <w:tcW w:w="1142" w:type="dxa"/>
            <w:vAlign w:val="top"/>
          </w:tcPr>
          <w:p w14:paraId="15137272">
            <w:pPr>
              <w:rPr>
                <w:rFonts w:hint="eastAsia" w:ascii="仿宋" w:hAnsi="仿宋" w:eastAsia="仿宋" w:cs="仿宋"/>
                <w:color w:val="auto"/>
                <w:sz w:val="21"/>
                <w:highlight w:val="none"/>
              </w:rPr>
            </w:pPr>
          </w:p>
        </w:tc>
        <w:tc>
          <w:tcPr>
            <w:tcW w:w="2203" w:type="dxa"/>
            <w:vAlign w:val="center"/>
          </w:tcPr>
          <w:p w14:paraId="649F4662">
            <w:pPr>
              <w:jc w:val="center"/>
              <w:rPr>
                <w:rFonts w:hint="eastAsia" w:ascii="仿宋" w:hAnsi="仿宋" w:eastAsia="仿宋" w:cs="仿宋"/>
                <w:color w:val="auto"/>
                <w:sz w:val="21"/>
                <w:highlight w:val="none"/>
              </w:rPr>
            </w:pPr>
          </w:p>
        </w:tc>
      </w:tr>
      <w:tr w14:paraId="05BB1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1BF6BEF6">
            <w:pPr>
              <w:rPr>
                <w:rFonts w:hint="eastAsia" w:ascii="仿宋" w:hAnsi="仿宋" w:eastAsia="仿宋" w:cs="仿宋"/>
                <w:color w:val="auto"/>
                <w:sz w:val="21"/>
                <w:highlight w:val="none"/>
              </w:rPr>
            </w:pPr>
          </w:p>
        </w:tc>
        <w:tc>
          <w:tcPr>
            <w:tcW w:w="1332" w:type="dxa"/>
            <w:vAlign w:val="top"/>
          </w:tcPr>
          <w:p w14:paraId="6411265E">
            <w:pPr>
              <w:rPr>
                <w:rFonts w:hint="eastAsia" w:ascii="仿宋" w:hAnsi="仿宋" w:eastAsia="仿宋" w:cs="仿宋"/>
                <w:color w:val="auto"/>
                <w:sz w:val="21"/>
                <w:highlight w:val="none"/>
              </w:rPr>
            </w:pPr>
          </w:p>
        </w:tc>
        <w:tc>
          <w:tcPr>
            <w:tcW w:w="884" w:type="dxa"/>
            <w:vAlign w:val="top"/>
          </w:tcPr>
          <w:p w14:paraId="7EE6CAD7">
            <w:pPr>
              <w:rPr>
                <w:rFonts w:hint="eastAsia" w:ascii="仿宋" w:hAnsi="仿宋" w:eastAsia="仿宋" w:cs="仿宋"/>
                <w:color w:val="auto"/>
                <w:sz w:val="21"/>
                <w:highlight w:val="none"/>
              </w:rPr>
            </w:pPr>
          </w:p>
        </w:tc>
        <w:tc>
          <w:tcPr>
            <w:tcW w:w="1485" w:type="dxa"/>
            <w:vAlign w:val="top"/>
          </w:tcPr>
          <w:p w14:paraId="3650F083">
            <w:pPr>
              <w:rPr>
                <w:rFonts w:hint="eastAsia" w:ascii="仿宋" w:hAnsi="仿宋" w:eastAsia="仿宋" w:cs="仿宋"/>
                <w:color w:val="auto"/>
                <w:sz w:val="21"/>
                <w:highlight w:val="none"/>
              </w:rPr>
            </w:pPr>
          </w:p>
        </w:tc>
        <w:tc>
          <w:tcPr>
            <w:tcW w:w="1691" w:type="dxa"/>
            <w:vAlign w:val="top"/>
          </w:tcPr>
          <w:p w14:paraId="133C5A1D">
            <w:pPr>
              <w:rPr>
                <w:rFonts w:hint="eastAsia" w:ascii="仿宋" w:hAnsi="仿宋" w:eastAsia="仿宋" w:cs="仿宋"/>
                <w:color w:val="auto"/>
                <w:sz w:val="21"/>
                <w:highlight w:val="none"/>
              </w:rPr>
            </w:pPr>
          </w:p>
        </w:tc>
        <w:tc>
          <w:tcPr>
            <w:tcW w:w="1142" w:type="dxa"/>
            <w:vAlign w:val="top"/>
          </w:tcPr>
          <w:p w14:paraId="70AC7B48">
            <w:pPr>
              <w:rPr>
                <w:rFonts w:hint="eastAsia" w:ascii="仿宋" w:hAnsi="仿宋" w:eastAsia="仿宋" w:cs="仿宋"/>
                <w:color w:val="auto"/>
                <w:sz w:val="21"/>
                <w:highlight w:val="none"/>
              </w:rPr>
            </w:pPr>
          </w:p>
        </w:tc>
        <w:tc>
          <w:tcPr>
            <w:tcW w:w="2203" w:type="dxa"/>
            <w:vAlign w:val="center"/>
          </w:tcPr>
          <w:p w14:paraId="471B703D">
            <w:pPr>
              <w:jc w:val="center"/>
              <w:rPr>
                <w:rFonts w:hint="eastAsia" w:ascii="仿宋" w:hAnsi="仿宋" w:eastAsia="仿宋" w:cs="仿宋"/>
                <w:color w:val="auto"/>
                <w:sz w:val="21"/>
                <w:highlight w:val="none"/>
              </w:rPr>
            </w:pPr>
          </w:p>
        </w:tc>
      </w:tr>
      <w:tr w14:paraId="65287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75" w:type="dxa"/>
            <w:vAlign w:val="top"/>
          </w:tcPr>
          <w:p w14:paraId="12FD4CD5">
            <w:pPr>
              <w:rPr>
                <w:rFonts w:hint="eastAsia" w:ascii="仿宋" w:hAnsi="仿宋" w:eastAsia="仿宋" w:cs="仿宋"/>
                <w:color w:val="auto"/>
                <w:sz w:val="21"/>
                <w:highlight w:val="none"/>
              </w:rPr>
            </w:pPr>
          </w:p>
        </w:tc>
        <w:tc>
          <w:tcPr>
            <w:tcW w:w="1332" w:type="dxa"/>
            <w:vAlign w:val="top"/>
          </w:tcPr>
          <w:p w14:paraId="2A2936F6">
            <w:pPr>
              <w:rPr>
                <w:rFonts w:hint="eastAsia" w:ascii="仿宋" w:hAnsi="仿宋" w:eastAsia="仿宋" w:cs="仿宋"/>
                <w:color w:val="auto"/>
                <w:sz w:val="21"/>
                <w:highlight w:val="none"/>
              </w:rPr>
            </w:pPr>
          </w:p>
        </w:tc>
        <w:tc>
          <w:tcPr>
            <w:tcW w:w="884" w:type="dxa"/>
            <w:vAlign w:val="top"/>
          </w:tcPr>
          <w:p w14:paraId="3A267EE9">
            <w:pPr>
              <w:rPr>
                <w:rFonts w:hint="eastAsia" w:ascii="仿宋" w:hAnsi="仿宋" w:eastAsia="仿宋" w:cs="仿宋"/>
                <w:color w:val="auto"/>
                <w:sz w:val="21"/>
                <w:highlight w:val="none"/>
              </w:rPr>
            </w:pPr>
          </w:p>
        </w:tc>
        <w:tc>
          <w:tcPr>
            <w:tcW w:w="1485" w:type="dxa"/>
            <w:vAlign w:val="top"/>
          </w:tcPr>
          <w:p w14:paraId="6DE891E6">
            <w:pPr>
              <w:rPr>
                <w:rFonts w:hint="eastAsia" w:ascii="仿宋" w:hAnsi="仿宋" w:eastAsia="仿宋" w:cs="仿宋"/>
                <w:color w:val="auto"/>
                <w:sz w:val="21"/>
                <w:highlight w:val="none"/>
              </w:rPr>
            </w:pPr>
          </w:p>
        </w:tc>
        <w:tc>
          <w:tcPr>
            <w:tcW w:w="1691" w:type="dxa"/>
            <w:vAlign w:val="top"/>
          </w:tcPr>
          <w:p w14:paraId="099564E9">
            <w:pPr>
              <w:rPr>
                <w:rFonts w:hint="eastAsia" w:ascii="仿宋" w:hAnsi="仿宋" w:eastAsia="仿宋" w:cs="仿宋"/>
                <w:color w:val="auto"/>
                <w:sz w:val="21"/>
                <w:highlight w:val="none"/>
              </w:rPr>
            </w:pPr>
          </w:p>
        </w:tc>
        <w:tc>
          <w:tcPr>
            <w:tcW w:w="1142" w:type="dxa"/>
            <w:vAlign w:val="top"/>
          </w:tcPr>
          <w:p w14:paraId="3C94EDB6">
            <w:pPr>
              <w:rPr>
                <w:rFonts w:hint="eastAsia" w:ascii="仿宋" w:hAnsi="仿宋" w:eastAsia="仿宋" w:cs="仿宋"/>
                <w:color w:val="auto"/>
                <w:sz w:val="21"/>
                <w:highlight w:val="none"/>
              </w:rPr>
            </w:pPr>
          </w:p>
        </w:tc>
        <w:tc>
          <w:tcPr>
            <w:tcW w:w="2203" w:type="dxa"/>
            <w:vAlign w:val="center"/>
          </w:tcPr>
          <w:p w14:paraId="3A9245E3">
            <w:pPr>
              <w:jc w:val="center"/>
              <w:rPr>
                <w:rFonts w:hint="eastAsia" w:ascii="仿宋" w:hAnsi="仿宋" w:eastAsia="仿宋" w:cs="仿宋"/>
                <w:color w:val="auto"/>
                <w:sz w:val="21"/>
                <w:highlight w:val="none"/>
              </w:rPr>
            </w:pPr>
          </w:p>
        </w:tc>
      </w:tr>
      <w:tr w14:paraId="748CD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575" w:type="dxa"/>
            <w:vAlign w:val="top"/>
          </w:tcPr>
          <w:p w14:paraId="2B7BC12D">
            <w:pPr>
              <w:rPr>
                <w:rFonts w:hint="eastAsia" w:ascii="仿宋" w:hAnsi="仿宋" w:eastAsia="仿宋" w:cs="仿宋"/>
                <w:color w:val="auto"/>
                <w:sz w:val="21"/>
                <w:highlight w:val="none"/>
              </w:rPr>
            </w:pPr>
          </w:p>
        </w:tc>
        <w:tc>
          <w:tcPr>
            <w:tcW w:w="1332" w:type="dxa"/>
            <w:vAlign w:val="top"/>
          </w:tcPr>
          <w:p w14:paraId="26D9F069">
            <w:pPr>
              <w:rPr>
                <w:rFonts w:hint="eastAsia" w:ascii="仿宋" w:hAnsi="仿宋" w:eastAsia="仿宋" w:cs="仿宋"/>
                <w:color w:val="auto"/>
                <w:sz w:val="21"/>
                <w:highlight w:val="none"/>
              </w:rPr>
            </w:pPr>
          </w:p>
        </w:tc>
        <w:tc>
          <w:tcPr>
            <w:tcW w:w="884" w:type="dxa"/>
            <w:vAlign w:val="top"/>
          </w:tcPr>
          <w:p w14:paraId="209D4647">
            <w:pPr>
              <w:rPr>
                <w:rFonts w:hint="eastAsia" w:ascii="仿宋" w:hAnsi="仿宋" w:eastAsia="仿宋" w:cs="仿宋"/>
                <w:color w:val="auto"/>
                <w:sz w:val="21"/>
                <w:highlight w:val="none"/>
              </w:rPr>
            </w:pPr>
          </w:p>
        </w:tc>
        <w:tc>
          <w:tcPr>
            <w:tcW w:w="1485" w:type="dxa"/>
            <w:vAlign w:val="top"/>
          </w:tcPr>
          <w:p w14:paraId="2A38AB2E">
            <w:pPr>
              <w:rPr>
                <w:rFonts w:hint="eastAsia" w:ascii="仿宋" w:hAnsi="仿宋" w:eastAsia="仿宋" w:cs="仿宋"/>
                <w:color w:val="auto"/>
                <w:sz w:val="21"/>
                <w:highlight w:val="none"/>
              </w:rPr>
            </w:pPr>
          </w:p>
        </w:tc>
        <w:tc>
          <w:tcPr>
            <w:tcW w:w="1691" w:type="dxa"/>
            <w:vAlign w:val="top"/>
          </w:tcPr>
          <w:p w14:paraId="78499F63">
            <w:pPr>
              <w:rPr>
                <w:rFonts w:hint="eastAsia" w:ascii="仿宋" w:hAnsi="仿宋" w:eastAsia="仿宋" w:cs="仿宋"/>
                <w:color w:val="auto"/>
                <w:sz w:val="21"/>
                <w:highlight w:val="none"/>
              </w:rPr>
            </w:pPr>
          </w:p>
        </w:tc>
        <w:tc>
          <w:tcPr>
            <w:tcW w:w="1142" w:type="dxa"/>
            <w:vAlign w:val="top"/>
          </w:tcPr>
          <w:p w14:paraId="7D93F7CA">
            <w:pPr>
              <w:rPr>
                <w:rFonts w:hint="eastAsia" w:ascii="仿宋" w:hAnsi="仿宋" w:eastAsia="仿宋" w:cs="仿宋"/>
                <w:color w:val="auto"/>
                <w:sz w:val="21"/>
                <w:highlight w:val="none"/>
              </w:rPr>
            </w:pPr>
          </w:p>
        </w:tc>
        <w:tc>
          <w:tcPr>
            <w:tcW w:w="2203" w:type="dxa"/>
            <w:vAlign w:val="center"/>
          </w:tcPr>
          <w:p w14:paraId="5576ACEE">
            <w:pPr>
              <w:jc w:val="center"/>
              <w:rPr>
                <w:rFonts w:hint="eastAsia" w:ascii="仿宋" w:hAnsi="仿宋" w:eastAsia="仿宋" w:cs="仿宋"/>
                <w:color w:val="auto"/>
                <w:sz w:val="21"/>
                <w:highlight w:val="none"/>
              </w:rPr>
            </w:pPr>
          </w:p>
        </w:tc>
      </w:tr>
    </w:tbl>
    <w:p w14:paraId="7C15FECF">
      <w:pPr>
        <w:pStyle w:val="13"/>
        <w:spacing w:line="360" w:lineRule="auto"/>
        <w:rPr>
          <w:rFonts w:hint="eastAsia" w:ascii="仿宋" w:hAnsi="仿宋" w:eastAsia="仿宋" w:cs="仿宋"/>
          <w:color w:val="auto"/>
          <w:sz w:val="23"/>
          <w:szCs w:val="23"/>
          <w:highlight w:val="none"/>
          <w:lang w:eastAsia="zh-CN"/>
        </w:rPr>
      </w:pPr>
      <w:r>
        <w:rPr>
          <w:rFonts w:hint="eastAsia" w:ascii="仿宋" w:hAnsi="仿宋" w:eastAsia="仿宋" w:cs="仿宋"/>
          <w:color w:val="auto"/>
        </w:rPr>
        <w:t>注：请对招标文件</w:t>
      </w:r>
      <w:r>
        <w:rPr>
          <w:rFonts w:hint="eastAsia" w:ascii="仿宋" w:hAnsi="仿宋" w:eastAsia="仿宋" w:cs="仿宋"/>
          <w:color w:val="auto"/>
          <w:lang w:eastAsia="zh-CN"/>
        </w:rPr>
        <w:t>采购内容及要求</w:t>
      </w:r>
      <w:r>
        <w:rPr>
          <w:rFonts w:hint="eastAsia" w:ascii="仿宋" w:hAnsi="仿宋" w:eastAsia="仿宋" w:cs="仿宋"/>
          <w:color w:val="auto"/>
        </w:rPr>
        <w:t>内容逐条响应</w:t>
      </w:r>
      <w:r>
        <w:rPr>
          <w:rFonts w:hint="eastAsia" w:ascii="仿宋" w:hAnsi="仿宋" w:eastAsia="仿宋" w:cs="仿宋"/>
          <w:color w:val="auto"/>
          <w:lang w:eastAsia="zh-CN"/>
        </w:rPr>
        <w:t>，</w:t>
      </w:r>
      <w:r>
        <w:rPr>
          <w:rFonts w:hint="eastAsia" w:ascii="仿宋" w:hAnsi="仿宋" w:eastAsia="仿宋" w:cs="仿宋"/>
          <w:color w:val="auto"/>
          <w:spacing w:val="9"/>
          <w:sz w:val="23"/>
          <w:szCs w:val="23"/>
          <w:highlight w:val="none"/>
        </w:rPr>
        <w:t>如响应内容较多可在表格中填写基本响应内容，在本表后附件中上传详细响应内容或相关资料（包括但不限于佐证材料或投标供应商自行认为需要提供的相关资料）扫描件</w:t>
      </w:r>
      <w:r>
        <w:rPr>
          <w:rFonts w:hint="eastAsia" w:ascii="仿宋" w:hAnsi="仿宋" w:eastAsia="仿宋" w:cs="仿宋"/>
          <w:color w:val="auto"/>
          <w:sz w:val="23"/>
          <w:szCs w:val="23"/>
          <w:highlight w:val="none"/>
          <w:lang w:eastAsia="zh-CN"/>
        </w:rPr>
        <w:t>。</w:t>
      </w:r>
    </w:p>
    <w:p w14:paraId="09CFACC4">
      <w:pPr>
        <w:rPr>
          <w:rFonts w:hint="eastAsia" w:ascii="仿宋" w:hAnsi="仿宋" w:eastAsia="仿宋" w:cs="仿宋"/>
          <w:color w:val="auto"/>
        </w:rPr>
      </w:pPr>
    </w:p>
    <w:p w14:paraId="727185B0">
      <w:pPr>
        <w:spacing w:line="360" w:lineRule="auto"/>
        <w:rPr>
          <w:rFonts w:hint="eastAsia" w:ascii="仿宋" w:hAnsi="仿宋" w:eastAsia="仿宋" w:cs="仿宋"/>
          <w:color w:val="auto"/>
          <w:sz w:val="24"/>
        </w:rPr>
      </w:pPr>
      <w:r>
        <w:rPr>
          <w:rFonts w:hint="eastAsia" w:ascii="仿宋" w:hAnsi="仿宋" w:eastAsia="仿宋" w:cs="仿宋"/>
          <w:color w:val="auto"/>
          <w:sz w:val="24"/>
        </w:rPr>
        <w:t>投标人（公章）：</w:t>
      </w:r>
      <w:r>
        <w:rPr>
          <w:rFonts w:hint="eastAsia" w:ascii="仿宋" w:hAnsi="仿宋" w:eastAsia="仿宋" w:cs="仿宋"/>
          <w:color w:val="auto"/>
          <w:sz w:val="24"/>
          <w:u w:val="single"/>
        </w:rPr>
        <w:t xml:space="preserve">                      </w:t>
      </w:r>
    </w:p>
    <w:p w14:paraId="2BFC9938">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授权代表（签名或盖章）：</w:t>
      </w:r>
      <w:r>
        <w:rPr>
          <w:rFonts w:hint="eastAsia" w:ascii="仿宋" w:hAnsi="仿宋" w:eastAsia="仿宋" w:cs="仿宋"/>
          <w:color w:val="auto"/>
          <w:sz w:val="24"/>
          <w:u w:val="single"/>
        </w:rPr>
        <w:t xml:space="preserve">               </w:t>
      </w:r>
    </w:p>
    <w:p w14:paraId="72E94A7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p>
    <w:p w14:paraId="2FB22D74">
      <w:pPr>
        <w:rPr>
          <w:rFonts w:hint="eastAsia" w:ascii="仿宋" w:hAnsi="仿宋" w:eastAsia="仿宋" w:cs="仿宋"/>
          <w:b/>
          <w:bCs/>
          <w:color w:val="auto"/>
          <w:sz w:val="28"/>
          <w:szCs w:val="28"/>
        </w:rPr>
      </w:pPr>
      <w:r>
        <w:rPr>
          <w:rFonts w:hint="eastAsia" w:ascii="仿宋" w:hAnsi="仿宋" w:eastAsia="仿宋" w:cs="仿宋"/>
          <w:b/>
          <w:color w:val="auto"/>
          <w:sz w:val="28"/>
          <w:szCs w:val="28"/>
        </w:rPr>
        <w:br w:type="page"/>
      </w:r>
    </w:p>
    <w:p w14:paraId="24BE4E1E">
      <w:pPr>
        <w:numPr>
          <w:ilvl w:val="1"/>
          <w:numId w:val="0"/>
        </w:numPr>
        <w:jc w:val="center"/>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法定代表人证明书或授权书</w:t>
      </w:r>
    </w:p>
    <w:tbl>
      <w:tblPr>
        <w:tblStyle w:val="30"/>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14:paraId="1A039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14:paraId="02DDAA9D">
            <w:pPr>
              <w:pStyle w:val="105"/>
              <w:spacing w:before="120"/>
              <w:ind w:left="107"/>
              <w:rPr>
                <w:rFonts w:hint="eastAsia" w:ascii="仿宋" w:hAnsi="仿宋" w:eastAsia="仿宋" w:cs="仿宋"/>
                <w:color w:val="auto"/>
                <w:sz w:val="24"/>
                <w:szCs w:val="22"/>
                <w:lang w:eastAsia="zh-CN"/>
              </w:rPr>
            </w:pPr>
            <w:r>
              <w:rPr>
                <w:rFonts w:hint="eastAsia" w:ascii="仿宋" w:hAnsi="仿宋" w:eastAsia="仿宋" w:cs="仿宋"/>
                <w:color w:val="auto"/>
                <w:sz w:val="24"/>
                <w:szCs w:val="22"/>
              </w:rPr>
              <w:t>致：</w:t>
            </w:r>
            <w:r>
              <w:rPr>
                <w:rFonts w:hint="eastAsia" w:ascii="仿宋" w:hAnsi="仿宋" w:eastAsia="仿宋" w:cs="仿宋"/>
                <w:color w:val="auto"/>
                <w:sz w:val="24"/>
                <w:szCs w:val="22"/>
                <w:lang w:eastAsia="zh-CN"/>
              </w:rPr>
              <w:t>陕西方得项目管理有限公司</w:t>
            </w:r>
          </w:p>
        </w:tc>
      </w:tr>
      <w:tr w14:paraId="7463A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0E5B53BE">
            <w:pPr>
              <w:pStyle w:val="105"/>
              <w:ind w:right="10"/>
              <w:jc w:val="center"/>
              <w:rPr>
                <w:rFonts w:hint="eastAsia" w:ascii="仿宋" w:hAnsi="仿宋" w:eastAsia="仿宋" w:cs="仿宋"/>
                <w:color w:val="auto"/>
                <w:sz w:val="24"/>
                <w:szCs w:val="22"/>
              </w:rPr>
            </w:pPr>
            <w:r>
              <w:rPr>
                <w:rFonts w:hint="eastAsia" w:ascii="仿宋" w:hAnsi="仿宋" w:eastAsia="仿宋" w:cs="仿宋"/>
                <w:color w:val="auto"/>
                <w:sz w:val="24"/>
                <w:szCs w:val="22"/>
              </w:rPr>
              <w:t>企业</w:t>
            </w:r>
          </w:p>
          <w:p w14:paraId="7DF573A7">
            <w:pPr>
              <w:pStyle w:val="105"/>
              <w:ind w:right="10"/>
              <w:jc w:val="center"/>
              <w:rPr>
                <w:rFonts w:hint="eastAsia" w:ascii="仿宋" w:hAnsi="仿宋" w:eastAsia="仿宋" w:cs="仿宋"/>
                <w:color w:val="auto"/>
                <w:sz w:val="24"/>
                <w:szCs w:val="22"/>
              </w:rPr>
            </w:pPr>
            <w:r>
              <w:rPr>
                <w:rFonts w:hint="eastAsia" w:ascii="仿宋" w:hAnsi="仿宋" w:eastAsia="仿宋" w:cs="仿宋"/>
                <w:color w:val="auto"/>
                <w:sz w:val="24"/>
                <w:szCs w:val="22"/>
              </w:rPr>
              <w:t>法人</w:t>
            </w:r>
          </w:p>
        </w:tc>
        <w:tc>
          <w:tcPr>
            <w:tcW w:w="2375" w:type="dxa"/>
            <w:vAlign w:val="center"/>
          </w:tcPr>
          <w:p w14:paraId="0D91DE09">
            <w:pPr>
              <w:pStyle w:val="105"/>
              <w:spacing w:before="120"/>
              <w:jc w:val="center"/>
              <w:rPr>
                <w:rFonts w:hint="eastAsia" w:ascii="仿宋" w:hAnsi="仿宋" w:eastAsia="仿宋" w:cs="仿宋"/>
                <w:color w:val="auto"/>
                <w:sz w:val="24"/>
                <w:szCs w:val="22"/>
              </w:rPr>
            </w:pPr>
            <w:r>
              <w:rPr>
                <w:rFonts w:hint="eastAsia" w:ascii="仿宋" w:hAnsi="仿宋" w:eastAsia="仿宋" w:cs="仿宋"/>
                <w:color w:val="auto"/>
                <w:sz w:val="24"/>
                <w:szCs w:val="22"/>
              </w:rPr>
              <w:t>企 业 名 称</w:t>
            </w:r>
          </w:p>
        </w:tc>
        <w:tc>
          <w:tcPr>
            <w:tcW w:w="5463" w:type="dxa"/>
            <w:gridSpan w:val="3"/>
            <w:vAlign w:val="center"/>
          </w:tcPr>
          <w:p w14:paraId="539A4B32">
            <w:pPr>
              <w:pStyle w:val="105"/>
              <w:jc w:val="center"/>
              <w:rPr>
                <w:rFonts w:hint="eastAsia" w:ascii="仿宋" w:hAnsi="仿宋" w:eastAsia="仿宋" w:cs="仿宋"/>
                <w:color w:val="auto"/>
                <w:sz w:val="22"/>
                <w:szCs w:val="22"/>
              </w:rPr>
            </w:pPr>
          </w:p>
        </w:tc>
      </w:tr>
      <w:tr w14:paraId="3248E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1635E3D5">
            <w:pPr>
              <w:jc w:val="center"/>
              <w:rPr>
                <w:rFonts w:hint="eastAsia" w:ascii="仿宋" w:hAnsi="仿宋" w:eastAsia="仿宋" w:cs="仿宋"/>
                <w:color w:val="auto"/>
                <w:sz w:val="2"/>
                <w:szCs w:val="2"/>
              </w:rPr>
            </w:pPr>
          </w:p>
        </w:tc>
        <w:tc>
          <w:tcPr>
            <w:tcW w:w="2375" w:type="dxa"/>
            <w:vAlign w:val="center"/>
          </w:tcPr>
          <w:p w14:paraId="5BBE75AE">
            <w:pPr>
              <w:pStyle w:val="105"/>
              <w:spacing w:before="120"/>
              <w:jc w:val="center"/>
              <w:rPr>
                <w:rFonts w:hint="eastAsia" w:ascii="仿宋" w:hAnsi="仿宋" w:eastAsia="仿宋" w:cs="仿宋"/>
                <w:color w:val="auto"/>
                <w:sz w:val="24"/>
                <w:szCs w:val="22"/>
              </w:rPr>
            </w:pPr>
            <w:r>
              <w:rPr>
                <w:rFonts w:hint="eastAsia" w:ascii="仿宋" w:hAnsi="仿宋" w:eastAsia="仿宋" w:cs="仿宋"/>
                <w:color w:val="auto"/>
                <w:sz w:val="24"/>
                <w:szCs w:val="22"/>
              </w:rPr>
              <w:t>法 定 地 址</w:t>
            </w:r>
          </w:p>
        </w:tc>
        <w:tc>
          <w:tcPr>
            <w:tcW w:w="5463" w:type="dxa"/>
            <w:gridSpan w:val="3"/>
            <w:vAlign w:val="center"/>
          </w:tcPr>
          <w:p w14:paraId="40D89B56">
            <w:pPr>
              <w:pStyle w:val="105"/>
              <w:jc w:val="center"/>
              <w:rPr>
                <w:rFonts w:hint="eastAsia" w:ascii="仿宋" w:hAnsi="仿宋" w:eastAsia="仿宋" w:cs="仿宋"/>
                <w:color w:val="auto"/>
                <w:sz w:val="22"/>
                <w:szCs w:val="22"/>
              </w:rPr>
            </w:pPr>
          </w:p>
        </w:tc>
      </w:tr>
      <w:tr w14:paraId="5B167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5A087339">
            <w:pPr>
              <w:jc w:val="center"/>
              <w:rPr>
                <w:rFonts w:hint="eastAsia" w:ascii="仿宋" w:hAnsi="仿宋" w:eastAsia="仿宋" w:cs="仿宋"/>
                <w:color w:val="auto"/>
                <w:sz w:val="2"/>
                <w:szCs w:val="2"/>
              </w:rPr>
            </w:pPr>
          </w:p>
        </w:tc>
        <w:tc>
          <w:tcPr>
            <w:tcW w:w="2375" w:type="dxa"/>
            <w:vAlign w:val="center"/>
          </w:tcPr>
          <w:p w14:paraId="3FC4E75D">
            <w:pPr>
              <w:pStyle w:val="105"/>
              <w:spacing w:before="120"/>
              <w:jc w:val="center"/>
              <w:rPr>
                <w:rFonts w:hint="eastAsia" w:ascii="仿宋" w:hAnsi="仿宋" w:eastAsia="仿宋" w:cs="仿宋"/>
                <w:color w:val="auto"/>
                <w:sz w:val="24"/>
                <w:szCs w:val="22"/>
              </w:rPr>
            </w:pPr>
            <w:r>
              <w:rPr>
                <w:rFonts w:hint="eastAsia" w:ascii="仿宋" w:hAnsi="仿宋" w:eastAsia="仿宋" w:cs="仿宋"/>
                <w:color w:val="auto"/>
                <w:sz w:val="24"/>
                <w:szCs w:val="22"/>
              </w:rPr>
              <w:t>邮 政 编 码</w:t>
            </w:r>
          </w:p>
        </w:tc>
        <w:tc>
          <w:tcPr>
            <w:tcW w:w="5463" w:type="dxa"/>
            <w:gridSpan w:val="3"/>
            <w:vAlign w:val="center"/>
          </w:tcPr>
          <w:p w14:paraId="6B6AAF2D">
            <w:pPr>
              <w:pStyle w:val="105"/>
              <w:jc w:val="center"/>
              <w:rPr>
                <w:rFonts w:hint="eastAsia" w:ascii="仿宋" w:hAnsi="仿宋" w:eastAsia="仿宋" w:cs="仿宋"/>
                <w:color w:val="auto"/>
                <w:sz w:val="22"/>
                <w:szCs w:val="22"/>
              </w:rPr>
            </w:pPr>
          </w:p>
        </w:tc>
      </w:tr>
      <w:tr w14:paraId="10C73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14:paraId="572106CE">
            <w:pPr>
              <w:jc w:val="center"/>
              <w:rPr>
                <w:rFonts w:hint="eastAsia" w:ascii="仿宋" w:hAnsi="仿宋" w:eastAsia="仿宋" w:cs="仿宋"/>
                <w:color w:val="auto"/>
                <w:sz w:val="2"/>
                <w:szCs w:val="2"/>
              </w:rPr>
            </w:pPr>
          </w:p>
        </w:tc>
        <w:tc>
          <w:tcPr>
            <w:tcW w:w="2375" w:type="dxa"/>
            <w:vAlign w:val="center"/>
          </w:tcPr>
          <w:p w14:paraId="20AF485C">
            <w:pPr>
              <w:pStyle w:val="105"/>
              <w:tabs>
                <w:tab w:val="left" w:pos="1368"/>
              </w:tabs>
              <w:spacing w:before="121"/>
              <w:jc w:val="center"/>
              <w:rPr>
                <w:rFonts w:hint="eastAsia" w:ascii="仿宋" w:hAnsi="仿宋" w:eastAsia="仿宋" w:cs="仿宋"/>
                <w:color w:val="auto"/>
                <w:sz w:val="24"/>
                <w:szCs w:val="22"/>
              </w:rPr>
            </w:pPr>
            <w:r>
              <w:rPr>
                <w:rFonts w:hint="eastAsia" w:ascii="仿宋" w:hAnsi="仿宋" w:eastAsia="仿宋" w:cs="仿宋"/>
                <w:color w:val="auto"/>
                <w:sz w:val="24"/>
                <w:szCs w:val="22"/>
              </w:rPr>
              <w:t>网</w:t>
            </w:r>
            <w:r>
              <w:rPr>
                <w:rFonts w:hint="eastAsia" w:ascii="仿宋" w:hAnsi="仿宋" w:eastAsia="仿宋" w:cs="仿宋"/>
                <w:color w:val="auto"/>
                <w:sz w:val="24"/>
                <w:szCs w:val="22"/>
                <w:lang w:val="en-US"/>
              </w:rPr>
              <w:t xml:space="preserve">  </w:t>
            </w:r>
            <w:r>
              <w:rPr>
                <w:rFonts w:hint="eastAsia" w:ascii="仿宋" w:hAnsi="仿宋" w:eastAsia="仿宋" w:cs="仿宋"/>
                <w:color w:val="auto"/>
                <w:sz w:val="24"/>
                <w:szCs w:val="22"/>
              </w:rPr>
              <w:t>址</w:t>
            </w:r>
          </w:p>
        </w:tc>
        <w:tc>
          <w:tcPr>
            <w:tcW w:w="5463" w:type="dxa"/>
            <w:gridSpan w:val="3"/>
            <w:vAlign w:val="center"/>
          </w:tcPr>
          <w:p w14:paraId="2EAC2B6C">
            <w:pPr>
              <w:pStyle w:val="105"/>
              <w:jc w:val="center"/>
              <w:rPr>
                <w:rFonts w:hint="eastAsia" w:ascii="仿宋" w:hAnsi="仿宋" w:eastAsia="仿宋" w:cs="仿宋"/>
                <w:color w:val="auto"/>
                <w:sz w:val="22"/>
                <w:szCs w:val="22"/>
              </w:rPr>
            </w:pPr>
          </w:p>
        </w:tc>
      </w:tr>
      <w:tr w14:paraId="43ACC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14:paraId="6F4157F6">
            <w:pPr>
              <w:jc w:val="center"/>
              <w:rPr>
                <w:rFonts w:hint="eastAsia" w:ascii="仿宋" w:hAnsi="仿宋" w:eastAsia="仿宋" w:cs="仿宋"/>
                <w:color w:val="auto"/>
                <w:sz w:val="2"/>
                <w:szCs w:val="2"/>
              </w:rPr>
            </w:pPr>
          </w:p>
        </w:tc>
        <w:tc>
          <w:tcPr>
            <w:tcW w:w="2375" w:type="dxa"/>
            <w:vAlign w:val="center"/>
          </w:tcPr>
          <w:p w14:paraId="1F28798A">
            <w:pPr>
              <w:pStyle w:val="105"/>
              <w:spacing w:before="143"/>
              <w:jc w:val="center"/>
              <w:rPr>
                <w:rFonts w:hint="eastAsia" w:ascii="仿宋" w:hAnsi="仿宋" w:eastAsia="仿宋" w:cs="仿宋"/>
                <w:color w:val="auto"/>
                <w:sz w:val="24"/>
                <w:szCs w:val="22"/>
              </w:rPr>
            </w:pPr>
            <w:r>
              <w:rPr>
                <w:rFonts w:hint="eastAsia" w:ascii="仿宋" w:hAnsi="仿宋" w:eastAsia="仿宋" w:cs="仿宋"/>
                <w:color w:val="auto"/>
                <w:sz w:val="24"/>
                <w:szCs w:val="22"/>
              </w:rPr>
              <w:t>统一社会信用代码</w:t>
            </w:r>
          </w:p>
        </w:tc>
        <w:tc>
          <w:tcPr>
            <w:tcW w:w="5463" w:type="dxa"/>
            <w:gridSpan w:val="3"/>
            <w:vAlign w:val="center"/>
          </w:tcPr>
          <w:p w14:paraId="0F94A0B0">
            <w:pPr>
              <w:pStyle w:val="105"/>
              <w:jc w:val="center"/>
              <w:rPr>
                <w:rFonts w:hint="eastAsia" w:ascii="仿宋" w:hAnsi="仿宋" w:eastAsia="仿宋" w:cs="仿宋"/>
                <w:color w:val="auto"/>
                <w:sz w:val="22"/>
                <w:szCs w:val="22"/>
              </w:rPr>
            </w:pPr>
          </w:p>
        </w:tc>
      </w:tr>
      <w:tr w14:paraId="5CBC4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0E1329F7">
            <w:pPr>
              <w:pStyle w:val="105"/>
              <w:spacing w:before="186"/>
              <w:ind w:left="107" w:right="117"/>
              <w:rPr>
                <w:rFonts w:hint="eastAsia" w:ascii="仿宋" w:hAnsi="仿宋" w:eastAsia="仿宋" w:cs="仿宋"/>
                <w:color w:val="auto"/>
                <w:sz w:val="24"/>
                <w:szCs w:val="22"/>
              </w:rPr>
            </w:pPr>
            <w:r>
              <w:rPr>
                <w:rFonts w:hint="eastAsia" w:ascii="仿宋" w:hAnsi="仿宋" w:eastAsia="仿宋" w:cs="仿宋"/>
                <w:color w:val="auto"/>
                <w:sz w:val="24"/>
                <w:szCs w:val="22"/>
              </w:rPr>
              <w:t>法定代表人</w:t>
            </w:r>
          </w:p>
        </w:tc>
        <w:tc>
          <w:tcPr>
            <w:tcW w:w="2375" w:type="dxa"/>
            <w:vAlign w:val="center"/>
          </w:tcPr>
          <w:p w14:paraId="1526AE5E">
            <w:pPr>
              <w:pStyle w:val="105"/>
              <w:ind w:left="108" w:right="119"/>
              <w:jc w:val="center"/>
              <w:rPr>
                <w:rFonts w:hint="eastAsia" w:ascii="仿宋" w:hAnsi="仿宋" w:eastAsia="仿宋" w:cs="仿宋"/>
                <w:color w:val="auto"/>
                <w:sz w:val="24"/>
                <w:szCs w:val="22"/>
              </w:rPr>
            </w:pPr>
            <w:r>
              <w:rPr>
                <w:rFonts w:hint="eastAsia" w:ascii="仿宋" w:hAnsi="仿宋" w:eastAsia="仿宋" w:cs="仿宋"/>
                <w:color w:val="auto"/>
                <w:sz w:val="24"/>
                <w:szCs w:val="22"/>
              </w:rPr>
              <w:t>姓</w:t>
            </w:r>
            <w:r>
              <w:rPr>
                <w:rFonts w:hint="eastAsia" w:ascii="仿宋" w:hAnsi="仿宋" w:eastAsia="仿宋" w:cs="仿宋"/>
                <w:color w:val="auto"/>
                <w:sz w:val="24"/>
                <w:szCs w:val="22"/>
                <w:lang w:val="en-US"/>
              </w:rPr>
              <w:t xml:space="preserve">  </w:t>
            </w:r>
            <w:r>
              <w:rPr>
                <w:rFonts w:hint="eastAsia" w:ascii="仿宋" w:hAnsi="仿宋" w:eastAsia="仿宋" w:cs="仿宋"/>
                <w:color w:val="auto"/>
                <w:sz w:val="24"/>
                <w:szCs w:val="22"/>
              </w:rPr>
              <w:t>名</w:t>
            </w:r>
          </w:p>
        </w:tc>
        <w:tc>
          <w:tcPr>
            <w:tcW w:w="1752" w:type="dxa"/>
            <w:vAlign w:val="center"/>
          </w:tcPr>
          <w:p w14:paraId="3DD3D0EB">
            <w:pPr>
              <w:pStyle w:val="105"/>
              <w:jc w:val="center"/>
              <w:rPr>
                <w:rFonts w:hint="eastAsia" w:ascii="仿宋" w:hAnsi="仿宋" w:eastAsia="仿宋" w:cs="仿宋"/>
                <w:color w:val="auto"/>
                <w:sz w:val="22"/>
                <w:szCs w:val="22"/>
              </w:rPr>
            </w:pPr>
          </w:p>
        </w:tc>
        <w:tc>
          <w:tcPr>
            <w:tcW w:w="1337" w:type="dxa"/>
            <w:vAlign w:val="center"/>
          </w:tcPr>
          <w:p w14:paraId="111659F3">
            <w:pPr>
              <w:pStyle w:val="105"/>
              <w:tabs>
                <w:tab w:val="left" w:pos="839"/>
              </w:tabs>
              <w:spacing w:before="120"/>
              <w:ind w:right="96"/>
              <w:jc w:val="center"/>
              <w:rPr>
                <w:rFonts w:hint="eastAsia" w:ascii="仿宋" w:hAnsi="仿宋" w:eastAsia="仿宋" w:cs="仿宋"/>
                <w:color w:val="auto"/>
                <w:sz w:val="24"/>
                <w:szCs w:val="22"/>
              </w:rPr>
            </w:pPr>
            <w:r>
              <w:rPr>
                <w:rFonts w:hint="eastAsia" w:ascii="仿宋" w:hAnsi="仿宋" w:eastAsia="仿宋" w:cs="仿宋"/>
                <w:color w:val="auto"/>
                <w:sz w:val="24"/>
                <w:szCs w:val="22"/>
              </w:rPr>
              <w:t>性</w:t>
            </w:r>
            <w:r>
              <w:rPr>
                <w:rFonts w:hint="eastAsia" w:ascii="仿宋" w:hAnsi="仿宋" w:eastAsia="仿宋" w:cs="仿宋"/>
                <w:color w:val="auto"/>
                <w:sz w:val="24"/>
                <w:szCs w:val="22"/>
                <w:lang w:val="en-US"/>
              </w:rPr>
              <w:t xml:space="preserve">  </w:t>
            </w:r>
            <w:r>
              <w:rPr>
                <w:rFonts w:hint="eastAsia" w:ascii="仿宋" w:hAnsi="仿宋" w:eastAsia="仿宋" w:cs="仿宋"/>
                <w:color w:val="auto"/>
                <w:sz w:val="24"/>
                <w:szCs w:val="22"/>
              </w:rPr>
              <w:t>别</w:t>
            </w:r>
          </w:p>
        </w:tc>
        <w:tc>
          <w:tcPr>
            <w:tcW w:w="2374" w:type="dxa"/>
            <w:vAlign w:val="center"/>
          </w:tcPr>
          <w:p w14:paraId="31AF3589">
            <w:pPr>
              <w:pStyle w:val="105"/>
              <w:jc w:val="center"/>
              <w:rPr>
                <w:rFonts w:hint="eastAsia" w:ascii="仿宋" w:hAnsi="仿宋" w:eastAsia="仿宋" w:cs="仿宋"/>
                <w:color w:val="auto"/>
                <w:sz w:val="22"/>
                <w:szCs w:val="22"/>
              </w:rPr>
            </w:pPr>
          </w:p>
        </w:tc>
      </w:tr>
      <w:tr w14:paraId="5F7A1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0770C2D5">
            <w:pPr>
              <w:pStyle w:val="105"/>
              <w:spacing w:before="186"/>
              <w:ind w:left="107" w:right="117"/>
              <w:rPr>
                <w:rFonts w:hint="eastAsia" w:ascii="仿宋" w:hAnsi="仿宋" w:eastAsia="仿宋" w:cs="仿宋"/>
                <w:color w:val="auto"/>
                <w:sz w:val="24"/>
                <w:szCs w:val="22"/>
              </w:rPr>
            </w:pPr>
          </w:p>
        </w:tc>
        <w:tc>
          <w:tcPr>
            <w:tcW w:w="2375" w:type="dxa"/>
            <w:vAlign w:val="center"/>
          </w:tcPr>
          <w:p w14:paraId="75D894FC">
            <w:pPr>
              <w:pStyle w:val="105"/>
              <w:ind w:left="108" w:right="119"/>
              <w:jc w:val="center"/>
              <w:rPr>
                <w:rFonts w:hint="eastAsia" w:ascii="仿宋" w:hAnsi="仿宋" w:eastAsia="仿宋" w:cs="仿宋"/>
                <w:color w:val="auto"/>
                <w:sz w:val="24"/>
                <w:szCs w:val="22"/>
              </w:rPr>
            </w:pPr>
            <w:r>
              <w:rPr>
                <w:rFonts w:hint="eastAsia" w:ascii="仿宋" w:hAnsi="仿宋" w:eastAsia="仿宋" w:cs="仿宋"/>
                <w:color w:val="auto"/>
                <w:sz w:val="24"/>
                <w:szCs w:val="22"/>
              </w:rPr>
              <w:t>职</w:t>
            </w:r>
            <w:r>
              <w:rPr>
                <w:rFonts w:hint="eastAsia" w:ascii="仿宋" w:hAnsi="仿宋" w:eastAsia="仿宋" w:cs="仿宋"/>
                <w:color w:val="auto"/>
                <w:sz w:val="24"/>
                <w:szCs w:val="22"/>
                <w:lang w:val="en-US"/>
              </w:rPr>
              <w:t xml:space="preserve">  </w:t>
            </w:r>
            <w:r>
              <w:rPr>
                <w:rFonts w:hint="eastAsia" w:ascii="仿宋" w:hAnsi="仿宋" w:eastAsia="仿宋" w:cs="仿宋"/>
                <w:color w:val="auto"/>
                <w:sz w:val="24"/>
                <w:szCs w:val="22"/>
              </w:rPr>
              <w:t>务</w:t>
            </w:r>
          </w:p>
        </w:tc>
        <w:tc>
          <w:tcPr>
            <w:tcW w:w="1752" w:type="dxa"/>
            <w:vAlign w:val="center"/>
          </w:tcPr>
          <w:p w14:paraId="610925C5">
            <w:pPr>
              <w:pStyle w:val="105"/>
              <w:jc w:val="center"/>
              <w:rPr>
                <w:rFonts w:hint="eastAsia" w:ascii="仿宋" w:hAnsi="仿宋" w:eastAsia="仿宋" w:cs="仿宋"/>
                <w:color w:val="auto"/>
                <w:sz w:val="22"/>
                <w:szCs w:val="22"/>
              </w:rPr>
            </w:pPr>
          </w:p>
        </w:tc>
        <w:tc>
          <w:tcPr>
            <w:tcW w:w="1337" w:type="dxa"/>
            <w:vAlign w:val="center"/>
          </w:tcPr>
          <w:p w14:paraId="756B4F52">
            <w:pPr>
              <w:pStyle w:val="105"/>
              <w:spacing w:before="120"/>
              <w:ind w:right="94"/>
              <w:jc w:val="center"/>
              <w:rPr>
                <w:rFonts w:hint="eastAsia" w:ascii="仿宋" w:hAnsi="仿宋" w:eastAsia="仿宋" w:cs="仿宋"/>
                <w:color w:val="auto"/>
                <w:sz w:val="24"/>
                <w:szCs w:val="22"/>
              </w:rPr>
            </w:pPr>
            <w:r>
              <w:rPr>
                <w:rFonts w:hint="eastAsia" w:ascii="仿宋" w:hAnsi="仿宋" w:eastAsia="仿宋" w:cs="仿宋"/>
                <w:color w:val="auto"/>
                <w:sz w:val="24"/>
                <w:szCs w:val="22"/>
              </w:rPr>
              <w:t>联系电话</w:t>
            </w:r>
          </w:p>
        </w:tc>
        <w:tc>
          <w:tcPr>
            <w:tcW w:w="2374" w:type="dxa"/>
            <w:vAlign w:val="center"/>
          </w:tcPr>
          <w:p w14:paraId="2F1C1A25">
            <w:pPr>
              <w:pStyle w:val="105"/>
              <w:jc w:val="center"/>
              <w:rPr>
                <w:rFonts w:hint="eastAsia" w:ascii="仿宋" w:hAnsi="仿宋" w:eastAsia="仿宋" w:cs="仿宋"/>
                <w:color w:val="auto"/>
                <w:sz w:val="22"/>
                <w:szCs w:val="22"/>
              </w:rPr>
            </w:pPr>
          </w:p>
        </w:tc>
      </w:tr>
      <w:tr w14:paraId="3A23F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3CFF8973">
            <w:pPr>
              <w:pStyle w:val="105"/>
              <w:spacing w:before="186"/>
              <w:ind w:left="107" w:right="117"/>
              <w:rPr>
                <w:rFonts w:hint="eastAsia" w:ascii="仿宋" w:hAnsi="仿宋" w:eastAsia="仿宋" w:cs="仿宋"/>
                <w:color w:val="auto"/>
                <w:sz w:val="24"/>
                <w:szCs w:val="22"/>
              </w:rPr>
            </w:pPr>
          </w:p>
        </w:tc>
        <w:tc>
          <w:tcPr>
            <w:tcW w:w="2375" w:type="dxa"/>
            <w:vAlign w:val="center"/>
          </w:tcPr>
          <w:p w14:paraId="064AC5FE">
            <w:pPr>
              <w:pStyle w:val="105"/>
              <w:ind w:left="108" w:right="119"/>
              <w:jc w:val="center"/>
              <w:rPr>
                <w:rFonts w:hint="eastAsia" w:ascii="仿宋" w:hAnsi="仿宋" w:eastAsia="仿宋" w:cs="仿宋"/>
                <w:color w:val="auto"/>
                <w:sz w:val="24"/>
                <w:szCs w:val="22"/>
              </w:rPr>
            </w:pPr>
            <w:r>
              <w:rPr>
                <w:rFonts w:hint="eastAsia" w:ascii="仿宋" w:hAnsi="仿宋" w:eastAsia="仿宋" w:cs="仿宋"/>
                <w:color w:val="auto"/>
                <w:sz w:val="24"/>
                <w:szCs w:val="22"/>
              </w:rPr>
              <w:t>传</w:t>
            </w:r>
            <w:r>
              <w:rPr>
                <w:rFonts w:hint="eastAsia" w:ascii="仿宋" w:hAnsi="仿宋" w:eastAsia="仿宋" w:cs="仿宋"/>
                <w:color w:val="auto"/>
                <w:sz w:val="24"/>
                <w:szCs w:val="22"/>
                <w:lang w:val="en-US"/>
              </w:rPr>
              <w:t xml:space="preserve">  </w:t>
            </w:r>
            <w:r>
              <w:rPr>
                <w:rFonts w:hint="eastAsia" w:ascii="仿宋" w:hAnsi="仿宋" w:eastAsia="仿宋" w:cs="仿宋"/>
                <w:color w:val="auto"/>
                <w:sz w:val="24"/>
                <w:szCs w:val="22"/>
              </w:rPr>
              <w:t>真</w:t>
            </w:r>
          </w:p>
        </w:tc>
        <w:tc>
          <w:tcPr>
            <w:tcW w:w="5463" w:type="dxa"/>
            <w:gridSpan w:val="3"/>
            <w:vAlign w:val="center"/>
          </w:tcPr>
          <w:p w14:paraId="0B01F972">
            <w:pPr>
              <w:pStyle w:val="105"/>
              <w:jc w:val="center"/>
              <w:rPr>
                <w:rFonts w:hint="eastAsia" w:ascii="仿宋" w:hAnsi="仿宋" w:eastAsia="仿宋" w:cs="仿宋"/>
                <w:color w:val="auto"/>
                <w:sz w:val="22"/>
                <w:szCs w:val="22"/>
              </w:rPr>
            </w:pPr>
          </w:p>
        </w:tc>
      </w:tr>
      <w:tr w14:paraId="1092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14:paraId="2D1AD3B3">
            <w:pPr>
              <w:pStyle w:val="105"/>
              <w:spacing w:before="186"/>
              <w:ind w:left="107" w:right="117"/>
              <w:rPr>
                <w:rFonts w:hint="eastAsia" w:ascii="仿宋" w:hAnsi="仿宋" w:eastAsia="仿宋" w:cs="仿宋"/>
                <w:color w:val="auto"/>
                <w:sz w:val="24"/>
                <w:szCs w:val="22"/>
              </w:rPr>
            </w:pPr>
            <w:r>
              <w:rPr>
                <w:rFonts w:hint="eastAsia" w:ascii="仿宋" w:hAnsi="仿宋" w:eastAsia="仿宋" w:cs="仿宋"/>
                <w:color w:val="auto"/>
                <w:sz w:val="24"/>
                <w:szCs w:val="22"/>
              </w:rPr>
              <w:t>法定代表人身份证复印件</w:t>
            </w:r>
          </w:p>
        </w:tc>
        <w:tc>
          <w:tcPr>
            <w:tcW w:w="4127" w:type="dxa"/>
            <w:gridSpan w:val="2"/>
            <w:vMerge w:val="restart"/>
            <w:vAlign w:val="center"/>
          </w:tcPr>
          <w:p w14:paraId="7664FB18">
            <w:pPr>
              <w:pStyle w:val="105"/>
              <w:ind w:left="17"/>
              <w:jc w:val="center"/>
              <w:rPr>
                <w:rFonts w:hint="eastAsia" w:ascii="仿宋" w:hAnsi="仿宋" w:eastAsia="仿宋" w:cs="仿宋"/>
                <w:color w:val="auto"/>
                <w:sz w:val="24"/>
                <w:szCs w:val="22"/>
              </w:rPr>
            </w:pPr>
            <w:r>
              <w:rPr>
                <w:rFonts w:hint="eastAsia" w:ascii="仿宋" w:hAnsi="仿宋" w:eastAsia="仿宋" w:cs="仿宋"/>
                <w:color w:val="auto"/>
                <w:sz w:val="24"/>
                <w:szCs w:val="22"/>
              </w:rPr>
              <w:t>二代身份证正、反两面都需复印</w:t>
            </w:r>
          </w:p>
          <w:p w14:paraId="0989E672">
            <w:pPr>
              <w:pStyle w:val="105"/>
              <w:jc w:val="center"/>
              <w:rPr>
                <w:rFonts w:hint="eastAsia" w:ascii="仿宋" w:hAnsi="仿宋" w:eastAsia="仿宋" w:cs="仿宋"/>
                <w:b/>
                <w:color w:val="auto"/>
                <w:sz w:val="24"/>
                <w:szCs w:val="22"/>
              </w:rPr>
            </w:pPr>
          </w:p>
          <w:p w14:paraId="2D1ADBFF">
            <w:pPr>
              <w:pStyle w:val="105"/>
              <w:spacing w:before="1"/>
              <w:jc w:val="center"/>
              <w:rPr>
                <w:rFonts w:hint="eastAsia" w:ascii="仿宋" w:hAnsi="仿宋" w:eastAsia="仿宋" w:cs="仿宋"/>
                <w:b/>
                <w:color w:val="auto"/>
                <w:szCs w:val="22"/>
              </w:rPr>
            </w:pPr>
          </w:p>
          <w:p w14:paraId="2363800C">
            <w:pPr>
              <w:pStyle w:val="105"/>
              <w:ind w:left="9"/>
              <w:jc w:val="center"/>
              <w:rPr>
                <w:rFonts w:hint="eastAsia" w:ascii="仿宋" w:hAnsi="仿宋" w:eastAsia="仿宋" w:cs="仿宋"/>
                <w:color w:val="auto"/>
                <w:sz w:val="24"/>
                <w:szCs w:val="22"/>
              </w:rPr>
            </w:pPr>
            <w:r>
              <w:rPr>
                <w:rFonts w:hint="eastAsia" w:ascii="仿宋" w:hAnsi="仿宋" w:eastAsia="仿宋" w:cs="仿宋"/>
                <w:color w:val="auto"/>
                <w:sz w:val="24"/>
                <w:szCs w:val="22"/>
              </w:rPr>
              <w:t>（粘贴处）</w:t>
            </w:r>
          </w:p>
        </w:tc>
        <w:tc>
          <w:tcPr>
            <w:tcW w:w="3711" w:type="dxa"/>
            <w:gridSpan w:val="2"/>
            <w:vAlign w:val="center"/>
          </w:tcPr>
          <w:p w14:paraId="442E0C3D">
            <w:pPr>
              <w:pStyle w:val="105"/>
              <w:jc w:val="center"/>
              <w:rPr>
                <w:rFonts w:hint="eastAsia" w:ascii="仿宋" w:hAnsi="仿宋" w:eastAsia="仿宋" w:cs="仿宋"/>
                <w:color w:val="auto"/>
                <w:sz w:val="24"/>
                <w:szCs w:val="22"/>
              </w:rPr>
            </w:pPr>
            <w:r>
              <w:rPr>
                <w:rFonts w:hint="eastAsia" w:ascii="仿宋" w:hAnsi="仿宋" w:eastAsia="仿宋" w:cs="仿宋"/>
                <w:color w:val="auto"/>
                <w:sz w:val="24"/>
                <w:szCs w:val="22"/>
              </w:rPr>
              <w:t>（法定代表人签字）</w:t>
            </w:r>
          </w:p>
        </w:tc>
      </w:tr>
      <w:tr w14:paraId="4B5ED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14:paraId="267AFBE8">
            <w:pPr>
              <w:jc w:val="center"/>
              <w:rPr>
                <w:rFonts w:hint="eastAsia" w:ascii="仿宋" w:hAnsi="仿宋" w:eastAsia="仿宋" w:cs="仿宋"/>
                <w:color w:val="auto"/>
                <w:sz w:val="2"/>
                <w:szCs w:val="2"/>
              </w:rPr>
            </w:pPr>
          </w:p>
        </w:tc>
        <w:tc>
          <w:tcPr>
            <w:tcW w:w="4127" w:type="dxa"/>
            <w:gridSpan w:val="2"/>
            <w:vMerge w:val="continue"/>
            <w:tcBorders>
              <w:top w:val="nil"/>
            </w:tcBorders>
            <w:vAlign w:val="center"/>
          </w:tcPr>
          <w:p w14:paraId="31A3D9DF">
            <w:pPr>
              <w:jc w:val="center"/>
              <w:rPr>
                <w:rFonts w:hint="eastAsia" w:ascii="仿宋" w:hAnsi="仿宋" w:eastAsia="仿宋" w:cs="仿宋"/>
                <w:color w:val="auto"/>
                <w:sz w:val="2"/>
                <w:szCs w:val="2"/>
              </w:rPr>
            </w:pPr>
          </w:p>
        </w:tc>
        <w:tc>
          <w:tcPr>
            <w:tcW w:w="3711" w:type="dxa"/>
            <w:gridSpan w:val="2"/>
            <w:vAlign w:val="center"/>
          </w:tcPr>
          <w:p w14:paraId="56A3B3FE">
            <w:pPr>
              <w:pStyle w:val="105"/>
              <w:tabs>
                <w:tab w:val="left" w:pos="2347"/>
                <w:tab w:val="left" w:pos="2908"/>
              </w:tabs>
              <w:jc w:val="center"/>
              <w:rPr>
                <w:rFonts w:hint="eastAsia" w:ascii="仿宋" w:hAnsi="仿宋" w:eastAsia="仿宋" w:cs="仿宋"/>
                <w:color w:val="auto"/>
                <w:sz w:val="24"/>
                <w:szCs w:val="22"/>
              </w:rPr>
            </w:pPr>
            <w:r>
              <w:rPr>
                <w:rFonts w:hint="eastAsia" w:ascii="仿宋" w:hAnsi="仿宋" w:eastAsia="仿宋" w:cs="仿宋"/>
                <w:color w:val="auto"/>
                <w:sz w:val="24"/>
                <w:szCs w:val="22"/>
              </w:rPr>
              <w:t>（企业公章）</w:t>
            </w:r>
          </w:p>
          <w:p w14:paraId="6A89BB4D">
            <w:pPr>
              <w:pStyle w:val="105"/>
              <w:tabs>
                <w:tab w:val="left" w:pos="2347"/>
                <w:tab w:val="left" w:pos="2908"/>
              </w:tabs>
              <w:ind w:left="1787"/>
              <w:jc w:val="center"/>
              <w:rPr>
                <w:rFonts w:hint="eastAsia" w:ascii="仿宋" w:hAnsi="仿宋" w:eastAsia="仿宋" w:cs="仿宋"/>
                <w:color w:val="auto"/>
                <w:sz w:val="24"/>
                <w:szCs w:val="22"/>
              </w:rPr>
            </w:pPr>
          </w:p>
          <w:p w14:paraId="24C46DEA">
            <w:pPr>
              <w:pStyle w:val="105"/>
              <w:tabs>
                <w:tab w:val="left" w:pos="2347"/>
                <w:tab w:val="left" w:pos="2908"/>
              </w:tabs>
              <w:ind w:left="1787"/>
              <w:jc w:val="center"/>
              <w:rPr>
                <w:rFonts w:hint="eastAsia" w:ascii="仿宋" w:hAnsi="仿宋" w:eastAsia="仿宋" w:cs="仿宋"/>
                <w:color w:val="auto"/>
                <w:sz w:val="24"/>
                <w:szCs w:val="22"/>
              </w:rPr>
            </w:pPr>
          </w:p>
          <w:p w14:paraId="480E9D72">
            <w:pPr>
              <w:pStyle w:val="105"/>
              <w:tabs>
                <w:tab w:val="left" w:pos="2347"/>
                <w:tab w:val="left" w:pos="2908"/>
              </w:tabs>
              <w:ind w:left="1787"/>
              <w:jc w:val="center"/>
              <w:rPr>
                <w:rFonts w:hint="eastAsia" w:ascii="仿宋" w:hAnsi="仿宋" w:eastAsia="仿宋" w:cs="仿宋"/>
                <w:color w:val="auto"/>
                <w:sz w:val="24"/>
                <w:szCs w:val="22"/>
              </w:rPr>
            </w:pPr>
            <w:r>
              <w:rPr>
                <w:rFonts w:hint="eastAsia" w:ascii="仿宋" w:hAnsi="仿宋" w:eastAsia="仿宋" w:cs="仿宋"/>
                <w:color w:val="auto"/>
                <w:sz w:val="24"/>
                <w:szCs w:val="22"/>
              </w:rPr>
              <w:t>年</w:t>
            </w:r>
            <w:r>
              <w:rPr>
                <w:rFonts w:hint="eastAsia" w:ascii="仿宋" w:hAnsi="仿宋" w:eastAsia="仿宋" w:cs="仿宋"/>
                <w:color w:val="auto"/>
                <w:sz w:val="24"/>
                <w:szCs w:val="22"/>
              </w:rPr>
              <w:tab/>
            </w:r>
            <w:r>
              <w:rPr>
                <w:rFonts w:hint="eastAsia" w:ascii="仿宋" w:hAnsi="仿宋" w:eastAsia="仿宋" w:cs="仿宋"/>
                <w:color w:val="auto"/>
                <w:sz w:val="24"/>
                <w:szCs w:val="22"/>
              </w:rPr>
              <w:t>月</w:t>
            </w:r>
            <w:r>
              <w:rPr>
                <w:rFonts w:hint="eastAsia" w:ascii="仿宋" w:hAnsi="仿宋" w:eastAsia="仿宋" w:cs="仿宋"/>
                <w:color w:val="auto"/>
                <w:sz w:val="24"/>
                <w:szCs w:val="22"/>
              </w:rPr>
              <w:tab/>
            </w:r>
            <w:r>
              <w:rPr>
                <w:rFonts w:hint="eastAsia" w:ascii="仿宋" w:hAnsi="仿宋" w:eastAsia="仿宋" w:cs="仿宋"/>
                <w:color w:val="auto"/>
                <w:sz w:val="24"/>
                <w:szCs w:val="22"/>
              </w:rPr>
              <w:t>日</w:t>
            </w:r>
          </w:p>
        </w:tc>
      </w:tr>
    </w:tbl>
    <w:p w14:paraId="52D91593">
      <w:pPr>
        <w:snapToGrid w:val="0"/>
        <w:spacing w:line="360" w:lineRule="auto"/>
        <w:jc w:val="center"/>
        <w:rPr>
          <w:rFonts w:hint="eastAsia" w:ascii="仿宋" w:hAnsi="仿宋" w:eastAsia="仿宋" w:cs="仿宋"/>
          <w:b/>
          <w:bCs/>
          <w:color w:val="auto"/>
          <w:sz w:val="24"/>
        </w:rPr>
      </w:pPr>
    </w:p>
    <w:p w14:paraId="0384B471">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（一）法定代表人证明书格式（投标人为法定代表人时须出具）</w:t>
      </w:r>
      <w:r>
        <w:rPr>
          <w:rFonts w:hint="eastAsia" w:ascii="仿宋" w:hAnsi="仿宋" w:eastAsia="仿宋" w:cs="仿宋"/>
          <w:b/>
          <w:bCs/>
          <w:color w:val="auto"/>
          <w:sz w:val="24"/>
        </w:rPr>
        <w:br w:type="page"/>
      </w:r>
      <w:r>
        <w:rPr>
          <w:rFonts w:hint="eastAsia" w:ascii="仿宋" w:hAnsi="仿宋" w:eastAsia="仿宋" w:cs="仿宋"/>
          <w:b/>
          <w:color w:val="auto"/>
          <w:kern w:val="0"/>
          <w:sz w:val="28"/>
          <w:szCs w:val="28"/>
        </w:rPr>
        <w:t>（二）法定代表人授权书格式（投标人为授权代表时须出具）</w:t>
      </w:r>
    </w:p>
    <w:p w14:paraId="6B2FB734">
      <w:pPr>
        <w:snapToGrid w:val="0"/>
        <w:spacing w:line="360" w:lineRule="auto"/>
        <w:jc w:val="center"/>
        <w:rPr>
          <w:rFonts w:hint="eastAsia" w:ascii="仿宋" w:hAnsi="仿宋" w:eastAsia="仿宋" w:cs="仿宋"/>
          <w:b/>
          <w:bCs/>
          <w:color w:val="auto"/>
          <w:sz w:val="24"/>
          <w:u w:val="single"/>
        </w:rPr>
      </w:pPr>
    </w:p>
    <w:p w14:paraId="7D89C53A">
      <w:pPr>
        <w:snapToGrid w:val="0"/>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致：</w:t>
      </w:r>
      <w:r>
        <w:rPr>
          <w:rFonts w:hint="eastAsia" w:ascii="仿宋" w:hAnsi="仿宋" w:eastAsia="仿宋" w:cs="仿宋"/>
          <w:b/>
          <w:bCs/>
          <w:color w:val="auto"/>
          <w:sz w:val="24"/>
          <w:lang w:eastAsia="zh-CN"/>
        </w:rPr>
        <w:t>陕西方得项目管理有限公司</w:t>
      </w:r>
    </w:p>
    <w:p w14:paraId="08569124">
      <w:pPr>
        <w:snapToGrid w:val="0"/>
        <w:spacing w:line="360" w:lineRule="auto"/>
        <w:ind w:firstLine="600"/>
        <w:rPr>
          <w:rFonts w:hint="eastAsia" w:ascii="仿宋" w:hAnsi="仿宋" w:eastAsia="仿宋" w:cs="仿宋"/>
          <w:color w:val="auto"/>
          <w:sz w:val="24"/>
          <w:u w:val="single"/>
        </w:rPr>
      </w:pPr>
      <w:r>
        <w:rPr>
          <w:rFonts w:hint="eastAsia" w:ascii="仿宋" w:hAnsi="仿宋" w:eastAsia="仿宋" w:cs="仿宋"/>
          <w:color w:val="auto"/>
          <w:sz w:val="24"/>
        </w:rPr>
        <w:t>本授权书声明：注册于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（国家或地区）的</w:t>
      </w:r>
      <w:r>
        <w:rPr>
          <w:rFonts w:hint="eastAsia" w:ascii="仿宋" w:hAnsi="仿宋" w:eastAsia="仿宋" w:cs="仿宋"/>
          <w:color w:val="auto"/>
          <w:sz w:val="24"/>
          <w:u w:val="single"/>
        </w:rPr>
        <w:t xml:space="preserve">               </w:t>
      </w:r>
    </w:p>
    <w:p w14:paraId="096DD883">
      <w:pPr>
        <w:snapToGrid w:val="0"/>
        <w:spacing w:before="238" w:line="360" w:lineRule="auto"/>
        <w:rPr>
          <w:rFonts w:hint="eastAsia" w:ascii="仿宋" w:hAnsi="仿宋" w:eastAsia="仿宋" w:cs="仿宋"/>
          <w:bCs/>
          <w:color w:val="auto"/>
          <w:sz w:val="24"/>
        </w:rPr>
      </w:pPr>
      <w:r>
        <w:rPr>
          <w:rFonts w:hint="eastAsia" w:ascii="仿宋" w:hAnsi="仿宋" w:eastAsia="仿宋" w:cs="仿宋"/>
          <w:color w:val="auto"/>
          <w:sz w:val="24"/>
        </w:rPr>
        <w:t>（投标人名称）的在下面签字的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（法定代表人姓名、职务）代表本公司授权在下面签字的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（被授权人的姓名、职务）为本公司的合法代表人，就</w:t>
      </w:r>
      <w:r>
        <w:rPr>
          <w:rFonts w:hint="eastAsia" w:ascii="仿宋" w:hAnsi="仿宋" w:eastAsia="仿宋" w:cs="仿宋"/>
          <w:b/>
          <w:color w:val="auto"/>
          <w:sz w:val="24"/>
          <w:u w:val="single"/>
          <w:lang w:eastAsia="zh-CN"/>
        </w:rPr>
        <w:t>陕西方得项目管理有限公司</w:t>
      </w:r>
      <w:r>
        <w:rPr>
          <w:rFonts w:hint="eastAsia" w:ascii="仿宋" w:hAnsi="仿宋" w:eastAsia="仿宋" w:cs="仿宋"/>
          <w:b/>
          <w:bCs/>
          <w:color w:val="auto"/>
          <w:sz w:val="24"/>
        </w:rPr>
        <w:t>〔</w:t>
      </w:r>
      <w:r>
        <w:rPr>
          <w:rFonts w:hint="eastAsia" w:ascii="仿宋" w:hAnsi="仿宋" w:eastAsia="仿宋" w:cs="仿宋"/>
          <w:color w:val="auto"/>
          <w:sz w:val="24"/>
        </w:rPr>
        <w:t>项目</w:t>
      </w:r>
      <w:r>
        <w:rPr>
          <w:rFonts w:hint="eastAsia" w:ascii="仿宋" w:hAnsi="仿宋" w:eastAsia="仿宋" w:cs="仿宋"/>
          <w:color w:val="auto"/>
          <w:sz w:val="24"/>
          <w:lang w:eastAsia="zh-CN"/>
        </w:rPr>
        <w:t>名称、项目</w:t>
      </w:r>
      <w:r>
        <w:rPr>
          <w:rFonts w:hint="eastAsia" w:ascii="仿宋" w:hAnsi="仿宋" w:eastAsia="仿宋" w:cs="仿宋"/>
          <w:color w:val="auto"/>
          <w:sz w:val="24"/>
        </w:rPr>
        <w:t>编号为</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w:t>
      </w:r>
      <w:r>
        <w:rPr>
          <w:rFonts w:hint="eastAsia" w:ascii="仿宋" w:hAnsi="仿宋" w:eastAsia="仿宋" w:cs="仿宋"/>
          <w:color w:val="auto"/>
          <w:sz w:val="24"/>
        </w:rPr>
        <w:t>招标文件的投标和合同执行，以我方的名义处理一切与之有关的事宜。</w:t>
      </w:r>
    </w:p>
    <w:p w14:paraId="262A087B">
      <w:pPr>
        <w:snapToGrid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本授权书</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日至</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日签字生效，特此声明。</w:t>
      </w:r>
    </w:p>
    <w:p w14:paraId="7936692C">
      <w:pPr>
        <w:snapToGrid w:val="0"/>
        <w:spacing w:line="360" w:lineRule="auto"/>
        <w:rPr>
          <w:rFonts w:hint="eastAsia" w:ascii="仿宋" w:hAnsi="仿宋" w:eastAsia="仿宋" w:cs="仿宋"/>
          <w:color w:val="auto"/>
          <w:sz w:val="24"/>
        </w:rPr>
      </w:pPr>
    </w:p>
    <w:p w14:paraId="5581121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名称</w:t>
      </w:r>
      <w:r>
        <w:rPr>
          <w:rFonts w:hint="eastAsia" w:ascii="仿宋" w:hAnsi="仿宋" w:eastAsia="仿宋" w:cs="仿宋"/>
          <w:color w:val="auto"/>
          <w:sz w:val="24"/>
        </w:rPr>
        <w:t>：（公章）</w:t>
      </w:r>
    </w:p>
    <w:p w14:paraId="47BF52F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p>
    <w:p w14:paraId="15E9E5DF">
      <w:pPr>
        <w:snapToGrid w:val="0"/>
        <w:spacing w:line="360" w:lineRule="auto"/>
        <w:rPr>
          <w:rFonts w:hint="eastAsia" w:ascii="仿宋" w:hAnsi="仿宋" w:eastAsia="仿宋" w:cs="仿宋"/>
          <w:color w:val="auto"/>
          <w:sz w:val="24"/>
        </w:rPr>
      </w:pPr>
    </w:p>
    <w:p w14:paraId="0248B06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法定代表人：（签名或盖章）</w:t>
      </w:r>
    </w:p>
    <w:p w14:paraId="7AA1B9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职务：</w:t>
      </w:r>
    </w:p>
    <w:p w14:paraId="14E58370">
      <w:pPr>
        <w:snapToGrid w:val="0"/>
        <w:spacing w:line="360" w:lineRule="auto"/>
        <w:rPr>
          <w:rFonts w:hint="eastAsia" w:ascii="仿宋" w:hAnsi="仿宋" w:eastAsia="仿宋" w:cs="仿宋"/>
          <w:color w:val="auto"/>
          <w:sz w:val="24"/>
        </w:rPr>
      </w:pPr>
    </w:p>
    <w:p w14:paraId="53C4D8A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被授权人：（签名或盖章）</w:t>
      </w:r>
    </w:p>
    <w:p w14:paraId="4F364A1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职务：</w:t>
      </w:r>
    </w:p>
    <w:p w14:paraId="5FF43596">
      <w:pPr>
        <w:snapToGrid w:val="0"/>
        <w:spacing w:line="360" w:lineRule="auto"/>
        <w:rPr>
          <w:rFonts w:hint="eastAsia" w:ascii="仿宋" w:hAnsi="仿宋" w:eastAsia="仿宋" w:cs="仿宋"/>
          <w:color w:val="auto"/>
          <w:sz w:val="24"/>
          <w:u w:val="single"/>
        </w:rPr>
      </w:pPr>
      <w:r>
        <w:rPr>
          <w:rFonts w:hint="eastAsia" w:ascii="仿宋" w:hAnsi="仿宋" w:eastAsia="仿宋" w:cs="仿宋"/>
          <w:b/>
          <w:color w:val="auto"/>
          <w:kern w:val="0"/>
          <w:sz w:val="24"/>
        </w:rPr>
        <w:t>法人代表与被授权人身份证（复印件）需附在投标文件中。</w:t>
      </w:r>
    </w:p>
    <w:p w14:paraId="261F1B89">
      <w:pPr>
        <w:spacing w:after="240" w:line="360" w:lineRule="auto"/>
        <w:jc w:val="center"/>
        <w:rPr>
          <w:rFonts w:hint="eastAsia" w:ascii="仿宋" w:hAnsi="仿宋" w:eastAsia="仿宋" w:cs="仿宋"/>
          <w:color w:val="auto"/>
        </w:rPr>
      </w:pPr>
    </w:p>
    <w:p w14:paraId="53F57F89">
      <w:pPr>
        <w:spacing w:after="240" w:line="360" w:lineRule="auto"/>
        <w:jc w:val="center"/>
        <w:rPr>
          <w:rFonts w:hint="eastAsia" w:ascii="仿宋" w:hAnsi="仿宋" w:eastAsia="仿宋" w:cs="仿宋"/>
          <w:color w:val="auto"/>
        </w:rPr>
      </w:pPr>
    </w:p>
    <w:p w14:paraId="00478E33">
      <w:pPr>
        <w:spacing w:after="240" w:line="360" w:lineRule="auto"/>
        <w:jc w:val="center"/>
        <w:rPr>
          <w:rFonts w:hint="eastAsia" w:ascii="仿宋" w:hAnsi="仿宋" w:eastAsia="仿宋" w:cs="仿宋"/>
          <w:color w:val="auto"/>
        </w:rPr>
      </w:pPr>
    </w:p>
    <w:p w14:paraId="742F76C0">
      <w:pPr>
        <w:tabs>
          <w:tab w:val="left" w:pos="0"/>
        </w:tabs>
        <w:spacing w:line="360" w:lineRule="auto"/>
        <w:ind w:left="964" w:hanging="964" w:hangingChars="400"/>
        <w:jc w:val="center"/>
        <w:outlineLvl w:val="1"/>
        <w:rPr>
          <w:rFonts w:hint="eastAsia"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b/>
          <w:color w:val="auto"/>
          <w:kern w:val="0"/>
          <w:sz w:val="28"/>
          <w:szCs w:val="28"/>
          <w:lang w:val="en-US" w:eastAsia="zh-CN"/>
        </w:rPr>
        <w:t>七</w:t>
      </w:r>
      <w:r>
        <w:rPr>
          <w:rFonts w:hint="eastAsia" w:ascii="仿宋" w:hAnsi="仿宋" w:eastAsia="仿宋" w:cs="仿宋"/>
          <w:b/>
          <w:color w:val="auto"/>
          <w:kern w:val="0"/>
          <w:sz w:val="28"/>
          <w:szCs w:val="28"/>
        </w:rPr>
        <w:t>、资格证明文件</w:t>
      </w:r>
    </w:p>
    <w:p w14:paraId="63C12578">
      <w:pPr>
        <w:keepNext w:val="0"/>
        <w:keepLines w:val="0"/>
        <w:pageBreakBefore w:val="0"/>
        <w:widowControl/>
        <w:kinsoku w:val="0"/>
        <w:wordWrap/>
        <w:overflowPunct/>
        <w:topLinePunct w:val="0"/>
        <w:autoSpaceDE w:val="0"/>
        <w:autoSpaceDN w:val="0"/>
        <w:bidi w:val="0"/>
        <w:adjustRightInd w:val="0"/>
        <w:snapToGrid w:val="0"/>
        <w:spacing w:before="75" w:line="440" w:lineRule="exact"/>
        <w:ind w:right="177" w:firstLine="516" w:firstLineChars="200"/>
        <w:textAlignment w:val="baseline"/>
        <w:rPr>
          <w:rFonts w:hint="eastAsia"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rPr>
        <w:t>1.满足《中华人民共和国政府采购法》第二十二条规定;</w:t>
      </w:r>
    </w:p>
    <w:p w14:paraId="2D84F6D1">
      <w:pPr>
        <w:keepNext w:val="0"/>
        <w:keepLines w:val="0"/>
        <w:pageBreakBefore w:val="0"/>
        <w:widowControl/>
        <w:kinsoku w:val="0"/>
        <w:wordWrap/>
        <w:overflowPunct/>
        <w:topLinePunct w:val="0"/>
        <w:autoSpaceDE w:val="0"/>
        <w:autoSpaceDN w:val="0"/>
        <w:bidi w:val="0"/>
        <w:adjustRightInd w:val="0"/>
        <w:snapToGrid w:val="0"/>
        <w:spacing w:before="75" w:line="440" w:lineRule="exact"/>
        <w:ind w:right="177" w:firstLine="516" w:firstLineChars="200"/>
        <w:textAlignment w:val="baseline"/>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pacing w:val="9"/>
          <w:sz w:val="24"/>
          <w:szCs w:val="24"/>
          <w:highlight w:val="none"/>
        </w:rPr>
        <w:t>2.</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特定</w:t>
      </w:r>
      <w:r>
        <w:rPr>
          <w:rFonts w:hint="eastAsia" w:ascii="仿宋" w:hAnsi="仿宋" w:eastAsia="仿宋" w:cs="仿宋"/>
          <w:color w:val="auto"/>
          <w:spacing w:val="9"/>
          <w:sz w:val="24"/>
          <w:szCs w:val="24"/>
          <w:highlight w:val="none"/>
        </w:rPr>
        <w:t>资格要求：</w:t>
      </w:r>
    </w:p>
    <w:p w14:paraId="25037FA6">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1）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p>
    <w:p w14:paraId="587E4049">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（2）法定代表人或负责人授权书（附法定代表人或负责人身份证复印件）及被授权人身份证；（法定代表人直接参加投标只须提供法定代表人身份证）；</w:t>
      </w:r>
    </w:p>
    <w:p w14:paraId="205678E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（3）投标人为经销商的应出具医疗器械经营许可证或第二类医疗器械经营备案凭证（投标产品须在其经营范围内</w:t>
      </w:r>
      <w:r>
        <w:rPr>
          <w:rFonts w:hint="eastAsia" w:ascii="仿宋" w:hAnsi="仿宋" w:eastAsia="仿宋" w:cs="仿宋"/>
          <w:color w:val="auto"/>
          <w:spacing w:val="9"/>
          <w:sz w:val="24"/>
          <w:szCs w:val="24"/>
          <w:highlight w:val="none"/>
          <w:lang w:val="en-US" w:eastAsia="zh-CN"/>
        </w:rPr>
        <w:t>）；供应商为制造厂家应出具医疗器械生产许可证（投标产品须在其生产范围内）；</w:t>
      </w:r>
    </w:p>
    <w:p w14:paraId="4DF9EE85">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（4）财务状况：提供 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533AEC2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（5）税收缴纳证明：提供 2024年1月至今内任意一个月的企业依法交纳税收的完税证明材料，依法免税的单位应提供相关证明材料。</w:t>
      </w:r>
    </w:p>
    <w:p w14:paraId="2A1B54B3">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（6）依法交纳社会保障资金的证明材料：提供社会保障资金缴存单据或社保机构开具的2024年1月至今任意一个月社会保险参保缴费情况证明，依法不需要缴纳社会保障资金的单位应提供相关证明材料；</w:t>
      </w:r>
    </w:p>
    <w:p w14:paraId="74EFA5FC">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（7）参加政府采购活动前3年内在经营活动中没有重大违法记录的书面声明；</w:t>
      </w:r>
    </w:p>
    <w:p w14:paraId="2E07622F">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14:paraId="6C96028B">
      <w:pPr>
        <w:pStyle w:val="28"/>
        <w:keepNext w:val="0"/>
        <w:keepLines w:val="0"/>
        <w:pageBreakBefore w:val="0"/>
        <w:wordWrap/>
        <w:overflowPunct/>
        <w:topLinePunct w:val="0"/>
        <w:bidi w:val="0"/>
        <w:spacing w:line="312" w:lineRule="auto"/>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9"/>
          <w:sz w:val="24"/>
          <w:szCs w:val="24"/>
          <w:highlight w:val="none"/>
          <w:lang w:val="en-US" w:eastAsia="zh-CN"/>
        </w:rPr>
        <w:t>（9）具有履行合同所必需的设备和专业技术能力的书面声明；</w:t>
      </w:r>
    </w:p>
    <w:p w14:paraId="2C4A9ECE">
      <w:pPr>
        <w:keepNext w:val="0"/>
        <w:keepLines w:val="0"/>
        <w:pageBreakBefore w:val="0"/>
        <w:widowControl/>
        <w:wordWrap/>
        <w:overflowPunct/>
        <w:topLinePunct w:val="0"/>
        <w:bidi w:val="0"/>
        <w:spacing w:line="440" w:lineRule="exact"/>
        <w:ind w:firstLine="474" w:firstLineChars="184"/>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val="en-US" w:eastAsia="zh-CN"/>
        </w:rPr>
        <w:t>（10）本项目不接受联合体投标，单位负责人为同一人或者存在直接控股、管理关系的不同供应商，不得参加同一合同项下的政府采购活动。</w:t>
      </w:r>
    </w:p>
    <w:p w14:paraId="6BA78B37">
      <w:pPr>
        <w:widowControl/>
        <w:spacing w:line="360" w:lineRule="auto"/>
        <w:jc w:val="both"/>
        <w:rPr>
          <w:rFonts w:hint="eastAsia" w:ascii="仿宋" w:hAnsi="仿宋" w:eastAsia="仿宋" w:cs="仿宋"/>
          <w:b/>
          <w:color w:val="auto"/>
          <w:kern w:val="0"/>
          <w:sz w:val="28"/>
          <w:szCs w:val="28"/>
          <w:lang w:eastAsia="zh-CN"/>
        </w:rPr>
      </w:pPr>
    </w:p>
    <w:p w14:paraId="46CE0022">
      <w:pPr>
        <w:widowControl/>
        <w:spacing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kern w:val="0"/>
          <w:sz w:val="28"/>
          <w:szCs w:val="28"/>
          <w:lang w:eastAsia="zh-CN"/>
        </w:rPr>
        <w:t>八、具有履行合同所必需的设备和专业技术能力的书面声明；</w:t>
      </w:r>
    </w:p>
    <w:p w14:paraId="1183502A">
      <w:pPr>
        <w:spacing w:afterLines="50" w:line="360" w:lineRule="auto"/>
        <w:ind w:left="1067" w:hanging="1245" w:hangingChars="443"/>
        <w:jc w:val="center"/>
        <w:outlineLvl w:val="9"/>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（格式自拟）</w:t>
      </w:r>
    </w:p>
    <w:p w14:paraId="715EB3B0">
      <w:pPr>
        <w:spacing w:afterLines="50" w:line="360" w:lineRule="auto"/>
        <w:ind w:left="1067" w:hanging="1067" w:hangingChars="443"/>
        <w:outlineLvl w:val="9"/>
        <w:rPr>
          <w:rFonts w:hint="eastAsia" w:ascii="仿宋" w:hAnsi="仿宋" w:eastAsia="仿宋" w:cs="仿宋"/>
          <w:b/>
          <w:color w:val="auto"/>
          <w:sz w:val="24"/>
        </w:rPr>
      </w:pPr>
    </w:p>
    <w:p w14:paraId="74735CCE">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238A4590">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7CD76597">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1D423D84">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78A60CC6">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4F6BA040">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5BEC3AA1">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312A9608">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797A1709">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522ED8E6">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1E2B70EF">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33E37614">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2730AAD4">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18A7E5E9">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48CA17A5">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63781B75">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2FC23124">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067AF605">
      <w:pPr>
        <w:spacing w:afterLines="50" w:line="360" w:lineRule="auto"/>
        <w:ind w:left="1067" w:hanging="1245" w:hangingChars="443"/>
        <w:outlineLvl w:val="9"/>
        <w:rPr>
          <w:rFonts w:hint="eastAsia" w:ascii="仿宋" w:hAnsi="仿宋" w:eastAsia="仿宋" w:cs="仿宋"/>
          <w:b/>
          <w:color w:val="auto"/>
          <w:sz w:val="28"/>
          <w:szCs w:val="28"/>
          <w:lang w:val="en-US" w:eastAsia="zh-CN"/>
        </w:rPr>
      </w:pPr>
    </w:p>
    <w:p w14:paraId="24A11227">
      <w:pPr>
        <w:numPr>
          <w:ilvl w:val="0"/>
          <w:numId w:val="6"/>
        </w:numPr>
        <w:spacing w:afterLines="50" w:line="360" w:lineRule="auto"/>
        <w:jc w:val="center"/>
        <w:outlineLvl w:val="1"/>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参加政府采购活动前三年内，在经营活动中没有</w:t>
      </w:r>
    </w:p>
    <w:p w14:paraId="24286BDF">
      <w:pPr>
        <w:numPr>
          <w:ilvl w:val="0"/>
          <w:numId w:val="0"/>
        </w:numPr>
        <w:spacing w:afterLines="50" w:line="360" w:lineRule="auto"/>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lang w:val="en-US" w:eastAsia="zh-CN"/>
        </w:rPr>
        <w:t>重大违法记录书面声明</w:t>
      </w:r>
    </w:p>
    <w:p w14:paraId="670F1D5A">
      <w:pPr>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无重大违法记录声明</w:t>
      </w:r>
    </w:p>
    <w:p w14:paraId="1A9EFCDD">
      <w:pPr>
        <w:spacing w:line="480" w:lineRule="auto"/>
        <w:ind w:firstLine="482" w:firstLineChars="200"/>
        <w:jc w:val="center"/>
        <w:rPr>
          <w:rFonts w:hint="eastAsia" w:ascii="仿宋" w:hAnsi="仿宋" w:eastAsia="仿宋" w:cs="仿宋"/>
          <w:b/>
          <w:color w:val="auto"/>
          <w:sz w:val="24"/>
        </w:rPr>
      </w:pPr>
    </w:p>
    <w:p w14:paraId="793213AE">
      <w:pPr>
        <w:spacing w:line="48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陕西方得项目管理有限公司</w:t>
      </w:r>
      <w:r>
        <w:rPr>
          <w:rFonts w:hint="eastAsia" w:ascii="仿宋" w:hAnsi="仿宋" w:eastAsia="仿宋" w:cs="仿宋"/>
          <w:color w:val="auto"/>
          <w:sz w:val="24"/>
          <w:u w:val="single"/>
        </w:rPr>
        <w:t>：</w:t>
      </w:r>
    </w:p>
    <w:p w14:paraId="7B7BB284">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我</w:t>
      </w:r>
      <w:r>
        <w:rPr>
          <w:rFonts w:hint="eastAsia" w:ascii="仿宋" w:hAnsi="仿宋" w:eastAsia="仿宋" w:cs="仿宋"/>
          <w:color w:val="auto"/>
          <w:sz w:val="24"/>
          <w:u w:val="single"/>
        </w:rPr>
        <w:t xml:space="preserve">                 </w:t>
      </w:r>
      <w:r>
        <w:rPr>
          <w:rFonts w:hint="eastAsia" w:ascii="仿宋" w:hAnsi="仿宋" w:eastAsia="仿宋" w:cs="仿宋"/>
          <w:i/>
          <w:color w:val="auto"/>
          <w:sz w:val="24"/>
          <w:u w:val="single"/>
        </w:rPr>
        <w:t>（投标人名称）</w:t>
      </w:r>
      <w:r>
        <w:rPr>
          <w:rFonts w:hint="eastAsia" w:ascii="仿宋" w:hAnsi="仿宋" w:eastAsia="仿宋" w:cs="仿宋"/>
          <w:color w:val="auto"/>
          <w:sz w:val="24"/>
        </w:rPr>
        <w:t>以下简称“我公司”参加项目编号为</w:t>
      </w:r>
      <w:r>
        <w:rPr>
          <w:rFonts w:hint="eastAsia" w:ascii="仿宋" w:hAnsi="仿宋" w:eastAsia="仿宋" w:cs="仿宋"/>
          <w:color w:val="auto"/>
          <w:sz w:val="24"/>
          <w:lang w:eastAsia="zh-CN"/>
        </w:rPr>
        <w:t>：</w:t>
      </w:r>
      <w:r>
        <w:rPr>
          <w:rFonts w:hint="eastAsia" w:ascii="仿宋" w:hAnsi="仿宋" w:eastAsia="仿宋" w:cs="仿宋"/>
          <w:color w:val="auto"/>
          <w:sz w:val="24"/>
          <w:u w:val="single"/>
        </w:rPr>
        <w:t xml:space="preserve">              </w:t>
      </w:r>
      <w:r>
        <w:rPr>
          <w:rFonts w:hint="eastAsia" w:ascii="仿宋" w:hAnsi="仿宋" w:eastAsia="仿宋" w:cs="仿宋"/>
          <w:i/>
          <w:color w:val="auto"/>
          <w:sz w:val="24"/>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w:t>
      </w:r>
      <w:r>
        <w:rPr>
          <w:rFonts w:hint="eastAsia" w:ascii="仿宋" w:hAnsi="仿宋" w:eastAsia="仿宋" w:cs="仿宋"/>
          <w:color w:val="auto"/>
          <w:sz w:val="24"/>
          <w:lang w:eastAsia="zh-CN"/>
        </w:rPr>
        <w:t>为：</w:t>
      </w:r>
      <w:r>
        <w:rPr>
          <w:rFonts w:hint="eastAsia" w:ascii="仿宋" w:hAnsi="仿宋" w:eastAsia="仿宋" w:cs="仿宋"/>
          <w:color w:val="auto"/>
          <w:sz w:val="24"/>
          <w:lang w:val="en-US" w:eastAsia="zh-CN"/>
        </w:rPr>
        <w:t xml:space="preserve"> </w:t>
      </w:r>
      <w:r>
        <w:rPr>
          <w:rFonts w:hint="eastAsia" w:ascii="仿宋" w:hAnsi="仿宋" w:eastAsia="仿宋" w:cs="仿宋"/>
          <w:i/>
          <w:color w:val="auto"/>
          <w:sz w:val="24"/>
          <w:u w:val="single"/>
          <w:lang w:val="en-US" w:eastAsia="zh-CN"/>
        </w:rPr>
        <w:t xml:space="preserve">              </w:t>
      </w:r>
      <w:r>
        <w:rPr>
          <w:rFonts w:hint="eastAsia" w:ascii="仿宋" w:hAnsi="仿宋" w:eastAsia="仿宋" w:cs="仿宋"/>
          <w:color w:val="auto"/>
          <w:sz w:val="24"/>
        </w:rPr>
        <w:t>的投标，本公司郑重声明，我公司参加本项目招标活动前</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年内</w:t>
      </w:r>
      <w:r>
        <w:rPr>
          <w:rFonts w:hint="eastAsia" w:ascii="仿宋" w:hAnsi="仿宋" w:eastAsia="仿宋" w:cs="仿宋"/>
          <w:color w:val="auto"/>
          <w:sz w:val="24"/>
          <w:u w:val="single"/>
        </w:rPr>
        <w:t xml:space="preserve">   </w:t>
      </w:r>
      <w:r>
        <w:rPr>
          <w:rFonts w:hint="eastAsia" w:ascii="仿宋" w:hAnsi="仿宋" w:eastAsia="仿宋" w:cs="仿宋"/>
          <w:i/>
          <w:color w:val="auto"/>
          <w:sz w:val="24"/>
          <w:u w:val="single"/>
        </w:rPr>
        <w:t>（如实填写有或无）</w:t>
      </w:r>
      <w:r>
        <w:rPr>
          <w:rFonts w:hint="eastAsia" w:ascii="仿宋" w:hAnsi="仿宋" w:eastAsia="仿宋" w:cs="仿宋"/>
          <w:color w:val="auto"/>
          <w:sz w:val="24"/>
        </w:rPr>
        <w:t>重大违法记录，符合法律法规的有关规定，我公司对此声明负全部法律责任。</w:t>
      </w:r>
    </w:p>
    <w:p w14:paraId="791BB4BF">
      <w:pPr>
        <w:spacing w:line="48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特此声明！</w:t>
      </w:r>
    </w:p>
    <w:p w14:paraId="3520AFBA">
      <w:pPr>
        <w:spacing w:line="480" w:lineRule="auto"/>
        <w:ind w:firstLine="480" w:firstLineChars="200"/>
        <w:rPr>
          <w:rFonts w:hint="eastAsia" w:ascii="仿宋" w:hAnsi="仿宋" w:eastAsia="仿宋" w:cs="仿宋"/>
          <w:color w:val="auto"/>
          <w:sz w:val="24"/>
          <w:u w:val="single"/>
        </w:rPr>
      </w:pPr>
    </w:p>
    <w:p w14:paraId="0F5A948B">
      <w:pPr>
        <w:spacing w:line="480" w:lineRule="auto"/>
        <w:ind w:firstLine="480" w:firstLineChars="200"/>
        <w:rPr>
          <w:rFonts w:hint="eastAsia" w:ascii="仿宋" w:hAnsi="仿宋" w:eastAsia="仿宋" w:cs="仿宋"/>
          <w:color w:val="auto"/>
          <w:sz w:val="24"/>
          <w:u w:val="single"/>
        </w:rPr>
      </w:pPr>
    </w:p>
    <w:p w14:paraId="49C87D92">
      <w:pPr>
        <w:spacing w:line="48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 xml:space="preserve">                               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r>
        <w:rPr>
          <w:rFonts w:hint="eastAsia" w:ascii="仿宋" w:hAnsi="仿宋" w:eastAsia="仿宋" w:cs="仿宋"/>
          <w:color w:val="auto"/>
          <w:sz w:val="24"/>
          <w:u w:val="single"/>
        </w:rPr>
        <w:t xml:space="preserve">  </w:t>
      </w:r>
    </w:p>
    <w:p w14:paraId="792EFAA2">
      <w:pPr>
        <w:spacing w:line="480" w:lineRule="auto"/>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C64CBAC">
      <w:pPr>
        <w:pStyle w:val="48"/>
        <w:rPr>
          <w:rFonts w:hint="eastAsia" w:ascii="仿宋" w:hAnsi="仿宋" w:eastAsia="仿宋" w:cs="仿宋"/>
          <w:color w:val="auto"/>
        </w:rPr>
      </w:pPr>
    </w:p>
    <w:p w14:paraId="4116F443">
      <w:pPr>
        <w:spacing w:afterLines="50" w:line="360" w:lineRule="auto"/>
        <w:rPr>
          <w:rFonts w:hint="eastAsia" w:ascii="仿宋" w:hAnsi="仿宋" w:eastAsia="仿宋" w:cs="仿宋"/>
          <w:b/>
          <w:color w:val="auto"/>
          <w:sz w:val="24"/>
        </w:rPr>
      </w:pPr>
    </w:p>
    <w:p w14:paraId="28941DC2">
      <w:pPr>
        <w:spacing w:line="360" w:lineRule="auto"/>
        <w:rPr>
          <w:rFonts w:hint="eastAsia" w:ascii="仿宋" w:hAnsi="仿宋" w:eastAsia="仿宋" w:cs="仿宋"/>
          <w:b/>
          <w:color w:val="auto"/>
          <w:sz w:val="24"/>
        </w:rPr>
      </w:pPr>
    </w:p>
    <w:p w14:paraId="2F2FD87E">
      <w:pPr>
        <w:spacing w:line="360" w:lineRule="auto"/>
        <w:rPr>
          <w:rFonts w:hint="eastAsia" w:ascii="仿宋" w:hAnsi="仿宋" w:eastAsia="仿宋" w:cs="仿宋"/>
          <w:color w:val="auto"/>
          <w:sz w:val="24"/>
        </w:rPr>
      </w:pPr>
    </w:p>
    <w:p w14:paraId="5B74AC05">
      <w:pPr>
        <w:spacing w:line="360" w:lineRule="auto"/>
        <w:rPr>
          <w:rFonts w:hint="eastAsia" w:ascii="仿宋" w:hAnsi="仿宋" w:eastAsia="仿宋" w:cs="仿宋"/>
          <w:b/>
          <w:color w:val="auto"/>
          <w:sz w:val="24"/>
        </w:rPr>
      </w:pPr>
    </w:p>
    <w:p w14:paraId="049BA832">
      <w:pPr>
        <w:spacing w:line="360" w:lineRule="auto"/>
        <w:rPr>
          <w:rFonts w:hint="eastAsia" w:ascii="仿宋" w:hAnsi="仿宋" w:eastAsia="仿宋" w:cs="仿宋"/>
          <w:b/>
          <w:color w:val="auto"/>
          <w:sz w:val="24"/>
        </w:rPr>
      </w:pPr>
    </w:p>
    <w:p w14:paraId="6F84D143">
      <w:pPr>
        <w:spacing w:line="360" w:lineRule="auto"/>
        <w:rPr>
          <w:rFonts w:hint="eastAsia" w:ascii="仿宋" w:hAnsi="仿宋" w:eastAsia="仿宋" w:cs="仿宋"/>
          <w:b/>
          <w:color w:val="auto"/>
          <w:sz w:val="24"/>
        </w:rPr>
      </w:pPr>
    </w:p>
    <w:p w14:paraId="381F3FB4">
      <w:pPr>
        <w:spacing w:line="360" w:lineRule="auto"/>
        <w:rPr>
          <w:rFonts w:hint="eastAsia" w:ascii="仿宋" w:hAnsi="仿宋" w:eastAsia="仿宋" w:cs="仿宋"/>
          <w:b/>
          <w:color w:val="auto"/>
          <w:sz w:val="24"/>
        </w:rPr>
      </w:pPr>
    </w:p>
    <w:p w14:paraId="05602EAF">
      <w:pPr>
        <w:spacing w:line="360" w:lineRule="auto"/>
        <w:rPr>
          <w:rFonts w:hint="eastAsia" w:ascii="仿宋" w:hAnsi="仿宋" w:eastAsia="仿宋" w:cs="仿宋"/>
          <w:b/>
          <w:color w:val="auto"/>
          <w:sz w:val="24"/>
        </w:rPr>
      </w:pPr>
    </w:p>
    <w:p w14:paraId="029E9C01">
      <w:pPr>
        <w:pStyle w:val="13"/>
        <w:rPr>
          <w:rFonts w:hint="eastAsia" w:ascii="仿宋" w:hAnsi="仿宋" w:eastAsia="仿宋" w:cs="仿宋"/>
          <w:b/>
          <w:color w:val="auto"/>
          <w:sz w:val="24"/>
        </w:rPr>
      </w:pPr>
    </w:p>
    <w:p w14:paraId="0E6569BE">
      <w:pPr>
        <w:rPr>
          <w:rFonts w:hint="eastAsia"/>
          <w:color w:val="auto"/>
        </w:rPr>
      </w:pPr>
    </w:p>
    <w:p w14:paraId="1302C8C7">
      <w:pPr>
        <w:pStyle w:val="58"/>
        <w:numPr>
          <w:ilvl w:val="0"/>
          <w:numId w:val="0"/>
        </w:numPr>
        <w:spacing w:line="480" w:lineRule="auto"/>
        <w:jc w:val="center"/>
        <w:outlineLvl w:val="1"/>
        <w:rPr>
          <w:rFonts w:hint="eastAsia" w:ascii="仿宋" w:hAnsi="仿宋" w:eastAsia="仿宋" w:cs="仿宋"/>
          <w:b/>
          <w:bCs/>
          <w:color w:val="auto"/>
          <w:sz w:val="28"/>
          <w:szCs w:val="28"/>
          <w:lang w:val="en-US" w:eastAsia="zh-CN"/>
        </w:rPr>
      </w:pPr>
      <w:r>
        <w:rPr>
          <w:rFonts w:hint="eastAsia" w:ascii="仿宋" w:hAnsi="仿宋" w:eastAsia="仿宋" w:cs="仿宋"/>
          <w:b/>
          <w:color w:val="auto"/>
          <w:sz w:val="28"/>
          <w:szCs w:val="28"/>
          <w:highlight w:val="none"/>
        </w:rPr>
        <w:t>十、</w:t>
      </w:r>
      <w:r>
        <w:rPr>
          <w:rFonts w:hint="eastAsia" w:ascii="仿宋" w:hAnsi="仿宋" w:eastAsia="仿宋" w:cs="仿宋"/>
          <w:b/>
          <w:bCs/>
          <w:color w:val="auto"/>
          <w:sz w:val="28"/>
          <w:szCs w:val="28"/>
          <w:lang w:val="en-US" w:eastAsia="zh-CN"/>
        </w:rPr>
        <w:t>项目整体实施方案</w:t>
      </w:r>
    </w:p>
    <w:p w14:paraId="211A628E">
      <w:pPr>
        <w:pStyle w:val="58"/>
        <w:numPr>
          <w:ilvl w:val="0"/>
          <w:numId w:val="0"/>
        </w:numPr>
        <w:spacing w:line="480" w:lineRule="auto"/>
        <w:ind w:leftChars="200"/>
        <w:jc w:val="center"/>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（格式自拟）</w:t>
      </w:r>
    </w:p>
    <w:p w14:paraId="57E1BB14">
      <w:pPr>
        <w:spacing w:line="360" w:lineRule="auto"/>
        <w:jc w:val="center"/>
        <w:outlineLvl w:val="1"/>
        <w:rPr>
          <w:rFonts w:hint="eastAsia" w:ascii="仿宋" w:hAnsi="仿宋" w:eastAsia="仿宋" w:cs="仿宋"/>
          <w:b/>
          <w:color w:val="auto"/>
          <w:sz w:val="28"/>
          <w:szCs w:val="28"/>
          <w:highlight w:val="none"/>
          <w:lang w:eastAsia="zh-CN"/>
        </w:rPr>
      </w:pPr>
    </w:p>
    <w:p w14:paraId="78FA5E0F">
      <w:pPr>
        <w:spacing w:line="360" w:lineRule="auto"/>
        <w:jc w:val="center"/>
        <w:outlineLvl w:val="1"/>
        <w:rPr>
          <w:rFonts w:hint="eastAsia" w:ascii="仿宋" w:hAnsi="仿宋" w:eastAsia="仿宋" w:cs="仿宋"/>
          <w:b/>
          <w:color w:val="auto"/>
          <w:sz w:val="28"/>
          <w:szCs w:val="28"/>
          <w:highlight w:val="none"/>
          <w:lang w:eastAsia="zh-CN"/>
        </w:rPr>
      </w:pPr>
    </w:p>
    <w:p w14:paraId="53B18ED6">
      <w:pPr>
        <w:spacing w:line="360" w:lineRule="auto"/>
        <w:jc w:val="center"/>
        <w:outlineLvl w:val="1"/>
        <w:rPr>
          <w:rFonts w:hint="eastAsia" w:ascii="仿宋" w:hAnsi="仿宋" w:eastAsia="仿宋" w:cs="仿宋"/>
          <w:b/>
          <w:color w:val="auto"/>
          <w:sz w:val="28"/>
          <w:szCs w:val="28"/>
          <w:highlight w:val="none"/>
          <w:lang w:eastAsia="zh-CN"/>
        </w:rPr>
      </w:pPr>
    </w:p>
    <w:p w14:paraId="7B1ECFBD">
      <w:pPr>
        <w:spacing w:line="360" w:lineRule="auto"/>
        <w:jc w:val="center"/>
        <w:outlineLvl w:val="1"/>
        <w:rPr>
          <w:rFonts w:hint="eastAsia" w:ascii="仿宋" w:hAnsi="仿宋" w:eastAsia="仿宋" w:cs="仿宋"/>
          <w:b/>
          <w:color w:val="auto"/>
          <w:sz w:val="28"/>
          <w:szCs w:val="28"/>
          <w:highlight w:val="none"/>
          <w:lang w:eastAsia="zh-CN"/>
        </w:rPr>
      </w:pPr>
    </w:p>
    <w:p w14:paraId="33A53C97">
      <w:pPr>
        <w:spacing w:line="360" w:lineRule="auto"/>
        <w:jc w:val="center"/>
        <w:outlineLvl w:val="1"/>
        <w:rPr>
          <w:rFonts w:hint="eastAsia" w:ascii="仿宋" w:hAnsi="仿宋" w:eastAsia="仿宋" w:cs="仿宋"/>
          <w:b/>
          <w:color w:val="auto"/>
          <w:sz w:val="28"/>
          <w:szCs w:val="28"/>
          <w:highlight w:val="none"/>
          <w:lang w:eastAsia="zh-CN"/>
        </w:rPr>
      </w:pPr>
    </w:p>
    <w:p w14:paraId="5225CA56">
      <w:pPr>
        <w:spacing w:line="360" w:lineRule="auto"/>
        <w:jc w:val="center"/>
        <w:outlineLvl w:val="1"/>
        <w:rPr>
          <w:rFonts w:hint="eastAsia" w:ascii="仿宋" w:hAnsi="仿宋" w:eastAsia="仿宋" w:cs="仿宋"/>
          <w:b/>
          <w:color w:val="auto"/>
          <w:sz w:val="28"/>
          <w:szCs w:val="28"/>
          <w:highlight w:val="none"/>
          <w:lang w:eastAsia="zh-CN"/>
        </w:rPr>
      </w:pPr>
    </w:p>
    <w:p w14:paraId="0CA63F65">
      <w:pPr>
        <w:spacing w:line="360" w:lineRule="auto"/>
        <w:jc w:val="center"/>
        <w:outlineLvl w:val="1"/>
        <w:rPr>
          <w:rFonts w:hint="eastAsia" w:ascii="仿宋" w:hAnsi="仿宋" w:eastAsia="仿宋" w:cs="仿宋"/>
          <w:b/>
          <w:color w:val="auto"/>
          <w:sz w:val="28"/>
          <w:szCs w:val="28"/>
          <w:highlight w:val="none"/>
          <w:lang w:eastAsia="zh-CN"/>
        </w:rPr>
      </w:pPr>
    </w:p>
    <w:p w14:paraId="6694552B">
      <w:pPr>
        <w:spacing w:line="360" w:lineRule="auto"/>
        <w:jc w:val="center"/>
        <w:outlineLvl w:val="1"/>
        <w:rPr>
          <w:rFonts w:hint="eastAsia" w:ascii="仿宋" w:hAnsi="仿宋" w:eastAsia="仿宋" w:cs="仿宋"/>
          <w:b/>
          <w:color w:val="auto"/>
          <w:sz w:val="28"/>
          <w:szCs w:val="28"/>
          <w:highlight w:val="none"/>
          <w:lang w:eastAsia="zh-CN"/>
        </w:rPr>
      </w:pPr>
    </w:p>
    <w:p w14:paraId="0F96D0F9">
      <w:pPr>
        <w:spacing w:line="360" w:lineRule="auto"/>
        <w:jc w:val="center"/>
        <w:outlineLvl w:val="1"/>
        <w:rPr>
          <w:rFonts w:hint="eastAsia" w:ascii="仿宋" w:hAnsi="仿宋" w:eastAsia="仿宋" w:cs="仿宋"/>
          <w:b/>
          <w:color w:val="auto"/>
          <w:sz w:val="28"/>
          <w:szCs w:val="28"/>
          <w:highlight w:val="none"/>
          <w:lang w:eastAsia="zh-CN"/>
        </w:rPr>
      </w:pPr>
    </w:p>
    <w:p w14:paraId="31F5776E">
      <w:pPr>
        <w:spacing w:line="360" w:lineRule="auto"/>
        <w:jc w:val="center"/>
        <w:outlineLvl w:val="1"/>
        <w:rPr>
          <w:rFonts w:hint="eastAsia" w:ascii="仿宋" w:hAnsi="仿宋" w:eastAsia="仿宋" w:cs="仿宋"/>
          <w:b/>
          <w:color w:val="auto"/>
          <w:sz w:val="28"/>
          <w:szCs w:val="28"/>
          <w:highlight w:val="none"/>
          <w:lang w:eastAsia="zh-CN"/>
        </w:rPr>
      </w:pPr>
    </w:p>
    <w:p w14:paraId="73D008C2">
      <w:pPr>
        <w:spacing w:line="360" w:lineRule="auto"/>
        <w:jc w:val="center"/>
        <w:outlineLvl w:val="1"/>
        <w:rPr>
          <w:rFonts w:hint="eastAsia" w:ascii="仿宋" w:hAnsi="仿宋" w:eastAsia="仿宋" w:cs="仿宋"/>
          <w:b/>
          <w:color w:val="auto"/>
          <w:sz w:val="28"/>
          <w:szCs w:val="28"/>
          <w:highlight w:val="none"/>
          <w:lang w:eastAsia="zh-CN"/>
        </w:rPr>
      </w:pPr>
    </w:p>
    <w:p w14:paraId="13AD81BD">
      <w:pPr>
        <w:spacing w:line="360" w:lineRule="auto"/>
        <w:jc w:val="center"/>
        <w:outlineLvl w:val="1"/>
        <w:rPr>
          <w:rFonts w:hint="eastAsia" w:ascii="仿宋" w:hAnsi="仿宋" w:eastAsia="仿宋" w:cs="仿宋"/>
          <w:b/>
          <w:color w:val="auto"/>
          <w:sz w:val="28"/>
          <w:szCs w:val="28"/>
          <w:highlight w:val="none"/>
          <w:lang w:eastAsia="zh-CN"/>
        </w:rPr>
      </w:pPr>
    </w:p>
    <w:p w14:paraId="15B54304">
      <w:pPr>
        <w:spacing w:line="360" w:lineRule="auto"/>
        <w:jc w:val="center"/>
        <w:outlineLvl w:val="1"/>
        <w:rPr>
          <w:rFonts w:hint="eastAsia" w:ascii="仿宋" w:hAnsi="仿宋" w:eastAsia="仿宋" w:cs="仿宋"/>
          <w:b/>
          <w:color w:val="auto"/>
          <w:sz w:val="28"/>
          <w:szCs w:val="28"/>
          <w:highlight w:val="none"/>
          <w:lang w:eastAsia="zh-CN"/>
        </w:rPr>
      </w:pPr>
    </w:p>
    <w:p w14:paraId="59885569">
      <w:pPr>
        <w:spacing w:line="360" w:lineRule="auto"/>
        <w:jc w:val="center"/>
        <w:outlineLvl w:val="1"/>
        <w:rPr>
          <w:rFonts w:hint="eastAsia" w:ascii="仿宋" w:hAnsi="仿宋" w:eastAsia="仿宋" w:cs="仿宋"/>
          <w:b/>
          <w:color w:val="auto"/>
          <w:sz w:val="28"/>
          <w:szCs w:val="28"/>
          <w:highlight w:val="none"/>
          <w:lang w:eastAsia="zh-CN"/>
        </w:rPr>
      </w:pPr>
    </w:p>
    <w:p w14:paraId="409EB187">
      <w:pPr>
        <w:spacing w:line="360" w:lineRule="auto"/>
        <w:jc w:val="center"/>
        <w:outlineLvl w:val="1"/>
        <w:rPr>
          <w:rFonts w:hint="eastAsia" w:ascii="仿宋" w:hAnsi="仿宋" w:eastAsia="仿宋" w:cs="仿宋"/>
          <w:b/>
          <w:color w:val="auto"/>
          <w:sz w:val="28"/>
          <w:szCs w:val="28"/>
          <w:highlight w:val="none"/>
          <w:lang w:eastAsia="zh-CN"/>
        </w:rPr>
      </w:pPr>
    </w:p>
    <w:p w14:paraId="10338B0F">
      <w:pPr>
        <w:spacing w:line="360" w:lineRule="auto"/>
        <w:jc w:val="center"/>
        <w:outlineLvl w:val="1"/>
        <w:rPr>
          <w:rFonts w:hint="eastAsia" w:ascii="仿宋" w:hAnsi="仿宋" w:eastAsia="仿宋" w:cs="仿宋"/>
          <w:b/>
          <w:color w:val="auto"/>
          <w:sz w:val="28"/>
          <w:szCs w:val="28"/>
          <w:highlight w:val="none"/>
          <w:lang w:eastAsia="zh-CN"/>
        </w:rPr>
      </w:pPr>
    </w:p>
    <w:p w14:paraId="6C44EE96">
      <w:pPr>
        <w:spacing w:line="360" w:lineRule="auto"/>
        <w:jc w:val="center"/>
        <w:outlineLvl w:val="1"/>
        <w:rPr>
          <w:rFonts w:hint="eastAsia" w:ascii="仿宋" w:hAnsi="仿宋" w:eastAsia="仿宋" w:cs="仿宋"/>
          <w:b/>
          <w:color w:val="auto"/>
          <w:sz w:val="28"/>
          <w:szCs w:val="28"/>
          <w:highlight w:val="none"/>
          <w:lang w:eastAsia="zh-CN"/>
        </w:rPr>
      </w:pPr>
    </w:p>
    <w:p w14:paraId="25FA42E7">
      <w:pPr>
        <w:spacing w:line="360" w:lineRule="auto"/>
        <w:jc w:val="center"/>
        <w:outlineLvl w:val="1"/>
        <w:rPr>
          <w:rFonts w:hint="eastAsia" w:ascii="仿宋" w:hAnsi="仿宋" w:eastAsia="仿宋" w:cs="仿宋"/>
          <w:b/>
          <w:color w:val="auto"/>
          <w:sz w:val="28"/>
          <w:szCs w:val="28"/>
          <w:highlight w:val="none"/>
          <w:lang w:eastAsia="zh-CN"/>
        </w:rPr>
      </w:pPr>
    </w:p>
    <w:p w14:paraId="1AEC833F">
      <w:pPr>
        <w:spacing w:line="360" w:lineRule="auto"/>
        <w:jc w:val="center"/>
        <w:outlineLvl w:val="1"/>
        <w:rPr>
          <w:rFonts w:hint="eastAsia" w:ascii="仿宋" w:hAnsi="仿宋" w:eastAsia="仿宋" w:cs="仿宋"/>
          <w:b/>
          <w:color w:val="auto"/>
          <w:sz w:val="28"/>
          <w:szCs w:val="28"/>
          <w:highlight w:val="none"/>
          <w:lang w:eastAsia="zh-CN"/>
        </w:rPr>
      </w:pPr>
    </w:p>
    <w:p w14:paraId="1A072683">
      <w:pPr>
        <w:spacing w:line="360" w:lineRule="auto"/>
        <w:jc w:val="center"/>
        <w:outlineLvl w:val="1"/>
        <w:rPr>
          <w:rFonts w:hint="eastAsia" w:ascii="仿宋" w:hAnsi="仿宋" w:eastAsia="仿宋" w:cs="仿宋"/>
          <w:b/>
          <w:color w:val="auto"/>
          <w:sz w:val="28"/>
          <w:szCs w:val="28"/>
          <w:highlight w:val="none"/>
          <w:lang w:eastAsia="zh-CN"/>
        </w:rPr>
      </w:pPr>
    </w:p>
    <w:p w14:paraId="7122D652">
      <w:pPr>
        <w:spacing w:line="360" w:lineRule="auto"/>
        <w:jc w:val="center"/>
        <w:outlineLvl w:val="1"/>
        <w:rPr>
          <w:rFonts w:hint="eastAsia" w:ascii="仿宋" w:hAnsi="仿宋" w:eastAsia="仿宋" w:cs="仿宋"/>
          <w:b/>
          <w:color w:val="auto"/>
          <w:sz w:val="28"/>
          <w:szCs w:val="28"/>
          <w:highlight w:val="none"/>
          <w:lang w:eastAsia="zh-CN"/>
        </w:rPr>
      </w:pPr>
    </w:p>
    <w:p w14:paraId="0D1F71BA">
      <w:pPr>
        <w:spacing w:line="360" w:lineRule="auto"/>
        <w:jc w:val="center"/>
        <w:outlineLvl w:val="1"/>
        <w:rPr>
          <w:rFonts w:hint="eastAsia" w:ascii="仿宋" w:hAnsi="仿宋" w:eastAsia="仿宋" w:cs="仿宋"/>
          <w:b/>
          <w:color w:val="auto"/>
          <w:sz w:val="28"/>
          <w:szCs w:val="28"/>
          <w:highlight w:val="none"/>
          <w:lang w:eastAsia="zh-CN"/>
        </w:rPr>
      </w:pPr>
    </w:p>
    <w:p w14:paraId="4DB02B7C">
      <w:pPr>
        <w:spacing w:line="360" w:lineRule="auto"/>
        <w:jc w:val="center"/>
        <w:outlineLvl w:val="1"/>
        <w:rPr>
          <w:rFonts w:hint="eastAsia" w:ascii="仿宋" w:hAnsi="仿宋" w:eastAsia="仿宋" w:cs="仿宋"/>
          <w:b/>
          <w:color w:val="auto"/>
          <w:sz w:val="28"/>
          <w:szCs w:val="28"/>
          <w:highlight w:val="none"/>
          <w:lang w:eastAsia="zh-CN"/>
        </w:rPr>
      </w:pPr>
    </w:p>
    <w:p w14:paraId="607BD308">
      <w:pPr>
        <w:numPr>
          <w:ilvl w:val="0"/>
          <w:numId w:val="0"/>
        </w:numPr>
        <w:spacing w:line="360" w:lineRule="auto"/>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2"/>
          <w:sz w:val="28"/>
          <w:szCs w:val="28"/>
          <w:lang w:val="en-US" w:eastAsia="zh-CN" w:bidi="ar-SA"/>
        </w:rPr>
        <w:t>十一、</w:t>
      </w:r>
      <w:r>
        <w:rPr>
          <w:rFonts w:hint="eastAsia" w:ascii="仿宋" w:hAnsi="仿宋" w:eastAsia="仿宋" w:cs="仿宋"/>
          <w:b/>
          <w:color w:val="auto"/>
          <w:sz w:val="28"/>
          <w:szCs w:val="28"/>
          <w:highlight w:val="none"/>
          <w:lang w:eastAsia="zh-CN"/>
        </w:rPr>
        <w:t>项目业绩表</w:t>
      </w:r>
    </w:p>
    <w:p w14:paraId="58684F5C">
      <w:pPr>
        <w:spacing w:line="360" w:lineRule="auto"/>
        <w:jc w:val="center"/>
        <w:outlineLvl w:val="9"/>
        <w:rPr>
          <w:rFonts w:hint="eastAsia" w:ascii="仿宋" w:hAnsi="仿宋" w:eastAsia="仿宋" w:cs="仿宋"/>
          <w:b/>
          <w:color w:val="auto"/>
          <w:sz w:val="22"/>
          <w:szCs w:val="22"/>
          <w:highlight w:val="none"/>
        </w:rPr>
      </w:pPr>
      <w:r>
        <w:rPr>
          <w:rFonts w:hint="eastAsia" w:ascii="仿宋" w:hAnsi="仿宋" w:eastAsia="仿宋" w:cs="仿宋"/>
          <w:b/>
          <w:color w:val="auto"/>
          <w:sz w:val="24"/>
          <w:highlight w:val="none"/>
        </w:rPr>
        <w:t>提供所投产品</w:t>
      </w:r>
      <w:r>
        <w:rPr>
          <w:rFonts w:hint="eastAsia" w:ascii="仿宋" w:hAnsi="仿宋" w:eastAsia="仿宋" w:cs="仿宋"/>
          <w:b/>
          <w:color w:val="auto"/>
          <w:sz w:val="24"/>
          <w:highlight w:val="none"/>
          <w:lang w:val="zh-CN"/>
        </w:rPr>
        <w:t>20</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lang w:val="zh-CN"/>
        </w:rPr>
        <w:t>年</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月1日至今</w:t>
      </w:r>
      <w:r>
        <w:rPr>
          <w:rFonts w:hint="eastAsia" w:ascii="仿宋" w:hAnsi="仿宋" w:eastAsia="仿宋" w:cs="仿宋"/>
          <w:b/>
          <w:color w:val="auto"/>
          <w:sz w:val="24"/>
          <w:highlight w:val="none"/>
          <w:lang w:val="en-US" w:eastAsia="zh-CN"/>
        </w:rPr>
        <w:t>类似</w:t>
      </w:r>
      <w:r>
        <w:rPr>
          <w:rFonts w:hint="eastAsia" w:ascii="仿宋" w:hAnsi="仿宋" w:eastAsia="仿宋" w:cs="仿宋"/>
          <w:b/>
          <w:color w:val="auto"/>
          <w:sz w:val="24"/>
          <w:highlight w:val="none"/>
          <w:lang w:val="zh-CN"/>
        </w:rPr>
        <w:t>业绩</w:t>
      </w:r>
    </w:p>
    <w:p w14:paraId="0BA39A54">
      <w:pPr>
        <w:spacing w:line="360" w:lineRule="auto"/>
        <w:rPr>
          <w:rFonts w:hint="eastAsia" w:ascii="仿宋" w:hAnsi="仿宋" w:eastAsia="仿宋" w:cs="仿宋"/>
          <w:b/>
          <w:bCs/>
          <w:color w:val="auto"/>
          <w:sz w:val="10"/>
          <w:szCs w:val="1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14:paraId="0A98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14:paraId="5E38A0BB">
            <w:pPr>
              <w:spacing w:beforeLines="50" w:line="360" w:lineRule="auto"/>
              <w:jc w:val="center"/>
              <w:rPr>
                <w:rFonts w:hint="eastAsia" w:ascii="仿宋" w:hAnsi="仿宋" w:eastAsia="仿宋" w:cs="仿宋"/>
                <w:color w:val="auto"/>
              </w:rPr>
            </w:pPr>
            <w:r>
              <w:rPr>
                <w:rFonts w:hint="eastAsia" w:ascii="仿宋" w:hAnsi="仿宋" w:eastAsia="仿宋" w:cs="仿宋"/>
                <w:color w:val="auto"/>
              </w:rPr>
              <w:t>序号</w:t>
            </w:r>
          </w:p>
        </w:tc>
        <w:tc>
          <w:tcPr>
            <w:tcW w:w="1908" w:type="dxa"/>
            <w:vAlign w:val="center"/>
          </w:tcPr>
          <w:p w14:paraId="0C8C2E96">
            <w:pPr>
              <w:spacing w:beforeLines="50" w:line="360" w:lineRule="auto"/>
              <w:jc w:val="center"/>
              <w:rPr>
                <w:rFonts w:hint="eastAsia" w:ascii="仿宋" w:hAnsi="仿宋" w:eastAsia="仿宋" w:cs="仿宋"/>
                <w:color w:val="auto"/>
              </w:rPr>
            </w:pPr>
            <w:r>
              <w:rPr>
                <w:rFonts w:hint="eastAsia" w:ascii="仿宋" w:hAnsi="仿宋" w:eastAsia="仿宋" w:cs="仿宋"/>
                <w:color w:val="auto"/>
              </w:rPr>
              <w:t>项目名称</w:t>
            </w:r>
          </w:p>
        </w:tc>
        <w:tc>
          <w:tcPr>
            <w:tcW w:w="2332" w:type="dxa"/>
            <w:vAlign w:val="center"/>
          </w:tcPr>
          <w:p w14:paraId="0EEBBCA9">
            <w:pPr>
              <w:spacing w:beforeLines="50" w:line="360" w:lineRule="auto"/>
              <w:jc w:val="center"/>
              <w:rPr>
                <w:rFonts w:hint="eastAsia" w:ascii="仿宋" w:hAnsi="仿宋" w:eastAsia="仿宋" w:cs="仿宋"/>
                <w:color w:val="auto"/>
              </w:rPr>
            </w:pPr>
            <w:r>
              <w:rPr>
                <w:rFonts w:hint="eastAsia" w:ascii="仿宋" w:hAnsi="仿宋" w:eastAsia="仿宋" w:cs="仿宋"/>
                <w:color w:val="auto"/>
              </w:rPr>
              <w:t>项目地址及电话</w:t>
            </w:r>
          </w:p>
        </w:tc>
        <w:tc>
          <w:tcPr>
            <w:tcW w:w="1696" w:type="dxa"/>
            <w:vAlign w:val="center"/>
          </w:tcPr>
          <w:p w14:paraId="01652F77">
            <w:pPr>
              <w:spacing w:beforeLines="50" w:line="360" w:lineRule="auto"/>
              <w:jc w:val="center"/>
              <w:rPr>
                <w:rFonts w:hint="eastAsia" w:ascii="仿宋" w:hAnsi="仿宋" w:eastAsia="仿宋" w:cs="仿宋"/>
                <w:color w:val="auto"/>
              </w:rPr>
            </w:pPr>
            <w:r>
              <w:rPr>
                <w:rFonts w:hint="eastAsia" w:ascii="仿宋" w:hAnsi="仿宋" w:eastAsia="仿宋" w:cs="仿宋"/>
                <w:color w:val="auto"/>
              </w:rPr>
              <w:t>合同内容</w:t>
            </w:r>
          </w:p>
        </w:tc>
        <w:tc>
          <w:tcPr>
            <w:tcW w:w="1430" w:type="dxa"/>
            <w:vAlign w:val="center"/>
          </w:tcPr>
          <w:p w14:paraId="739B3443">
            <w:pPr>
              <w:spacing w:beforeLines="50" w:line="360" w:lineRule="auto"/>
              <w:jc w:val="center"/>
              <w:rPr>
                <w:rFonts w:hint="eastAsia" w:ascii="仿宋" w:hAnsi="仿宋" w:eastAsia="仿宋" w:cs="仿宋"/>
                <w:color w:val="auto"/>
              </w:rPr>
            </w:pPr>
            <w:r>
              <w:rPr>
                <w:rFonts w:hint="eastAsia" w:ascii="仿宋" w:hAnsi="仿宋" w:eastAsia="仿宋" w:cs="仿宋"/>
                <w:color w:val="auto"/>
              </w:rPr>
              <w:t>签订日期</w:t>
            </w:r>
          </w:p>
        </w:tc>
      </w:tr>
      <w:tr w14:paraId="0F2C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5DE4EFF8">
            <w:pPr>
              <w:spacing w:line="360" w:lineRule="auto"/>
              <w:jc w:val="center"/>
              <w:rPr>
                <w:rFonts w:hint="eastAsia" w:ascii="仿宋" w:hAnsi="仿宋" w:eastAsia="仿宋" w:cs="仿宋"/>
                <w:color w:val="auto"/>
                <w:sz w:val="24"/>
              </w:rPr>
            </w:pPr>
          </w:p>
        </w:tc>
        <w:tc>
          <w:tcPr>
            <w:tcW w:w="1908" w:type="dxa"/>
          </w:tcPr>
          <w:p w14:paraId="2BDF315F">
            <w:pPr>
              <w:spacing w:line="360" w:lineRule="auto"/>
              <w:jc w:val="center"/>
              <w:rPr>
                <w:rFonts w:hint="eastAsia" w:ascii="仿宋" w:hAnsi="仿宋" w:eastAsia="仿宋" w:cs="仿宋"/>
                <w:color w:val="auto"/>
                <w:sz w:val="24"/>
              </w:rPr>
            </w:pPr>
          </w:p>
        </w:tc>
        <w:tc>
          <w:tcPr>
            <w:tcW w:w="2332" w:type="dxa"/>
          </w:tcPr>
          <w:p w14:paraId="6000B5B3">
            <w:pPr>
              <w:spacing w:line="360" w:lineRule="auto"/>
              <w:jc w:val="center"/>
              <w:rPr>
                <w:rFonts w:hint="eastAsia" w:ascii="仿宋" w:hAnsi="仿宋" w:eastAsia="仿宋" w:cs="仿宋"/>
                <w:color w:val="auto"/>
                <w:sz w:val="24"/>
              </w:rPr>
            </w:pPr>
          </w:p>
        </w:tc>
        <w:tc>
          <w:tcPr>
            <w:tcW w:w="1696" w:type="dxa"/>
          </w:tcPr>
          <w:p w14:paraId="4E43691F">
            <w:pPr>
              <w:spacing w:line="360" w:lineRule="auto"/>
              <w:jc w:val="center"/>
              <w:rPr>
                <w:rFonts w:hint="eastAsia" w:ascii="仿宋" w:hAnsi="仿宋" w:eastAsia="仿宋" w:cs="仿宋"/>
                <w:color w:val="auto"/>
                <w:sz w:val="24"/>
              </w:rPr>
            </w:pPr>
          </w:p>
        </w:tc>
        <w:tc>
          <w:tcPr>
            <w:tcW w:w="1430" w:type="dxa"/>
          </w:tcPr>
          <w:p w14:paraId="387871DE">
            <w:pPr>
              <w:spacing w:line="360" w:lineRule="auto"/>
              <w:jc w:val="center"/>
              <w:rPr>
                <w:rFonts w:hint="eastAsia" w:ascii="仿宋" w:hAnsi="仿宋" w:eastAsia="仿宋" w:cs="仿宋"/>
                <w:color w:val="auto"/>
                <w:sz w:val="24"/>
              </w:rPr>
            </w:pPr>
          </w:p>
        </w:tc>
      </w:tr>
      <w:tr w14:paraId="3861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B1803E1">
            <w:pPr>
              <w:spacing w:line="360" w:lineRule="auto"/>
              <w:jc w:val="center"/>
              <w:rPr>
                <w:rFonts w:hint="eastAsia" w:ascii="仿宋" w:hAnsi="仿宋" w:eastAsia="仿宋" w:cs="仿宋"/>
                <w:color w:val="auto"/>
                <w:sz w:val="24"/>
              </w:rPr>
            </w:pPr>
          </w:p>
        </w:tc>
        <w:tc>
          <w:tcPr>
            <w:tcW w:w="1908" w:type="dxa"/>
          </w:tcPr>
          <w:p w14:paraId="56732661">
            <w:pPr>
              <w:spacing w:line="360" w:lineRule="auto"/>
              <w:jc w:val="center"/>
              <w:rPr>
                <w:rFonts w:hint="eastAsia" w:ascii="仿宋" w:hAnsi="仿宋" w:eastAsia="仿宋" w:cs="仿宋"/>
                <w:color w:val="auto"/>
                <w:sz w:val="24"/>
              </w:rPr>
            </w:pPr>
          </w:p>
        </w:tc>
        <w:tc>
          <w:tcPr>
            <w:tcW w:w="2332" w:type="dxa"/>
          </w:tcPr>
          <w:p w14:paraId="792F1CEC">
            <w:pPr>
              <w:spacing w:line="360" w:lineRule="auto"/>
              <w:jc w:val="center"/>
              <w:rPr>
                <w:rFonts w:hint="eastAsia" w:ascii="仿宋" w:hAnsi="仿宋" w:eastAsia="仿宋" w:cs="仿宋"/>
                <w:color w:val="auto"/>
                <w:sz w:val="24"/>
              </w:rPr>
            </w:pPr>
          </w:p>
        </w:tc>
        <w:tc>
          <w:tcPr>
            <w:tcW w:w="1696" w:type="dxa"/>
          </w:tcPr>
          <w:p w14:paraId="068BC41B">
            <w:pPr>
              <w:spacing w:line="360" w:lineRule="auto"/>
              <w:jc w:val="center"/>
              <w:rPr>
                <w:rFonts w:hint="eastAsia" w:ascii="仿宋" w:hAnsi="仿宋" w:eastAsia="仿宋" w:cs="仿宋"/>
                <w:color w:val="auto"/>
                <w:sz w:val="24"/>
              </w:rPr>
            </w:pPr>
          </w:p>
        </w:tc>
        <w:tc>
          <w:tcPr>
            <w:tcW w:w="1430" w:type="dxa"/>
          </w:tcPr>
          <w:p w14:paraId="18F06B58">
            <w:pPr>
              <w:spacing w:line="360" w:lineRule="auto"/>
              <w:jc w:val="center"/>
              <w:rPr>
                <w:rFonts w:hint="eastAsia" w:ascii="仿宋" w:hAnsi="仿宋" w:eastAsia="仿宋" w:cs="仿宋"/>
                <w:color w:val="auto"/>
                <w:sz w:val="24"/>
              </w:rPr>
            </w:pPr>
          </w:p>
        </w:tc>
      </w:tr>
      <w:tr w14:paraId="3C4A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796B3D4A">
            <w:pPr>
              <w:spacing w:line="360" w:lineRule="auto"/>
              <w:jc w:val="center"/>
              <w:rPr>
                <w:rFonts w:hint="eastAsia" w:ascii="仿宋" w:hAnsi="仿宋" w:eastAsia="仿宋" w:cs="仿宋"/>
                <w:color w:val="auto"/>
                <w:sz w:val="24"/>
              </w:rPr>
            </w:pPr>
          </w:p>
        </w:tc>
        <w:tc>
          <w:tcPr>
            <w:tcW w:w="1908" w:type="dxa"/>
          </w:tcPr>
          <w:p w14:paraId="02ABE92B">
            <w:pPr>
              <w:spacing w:line="360" w:lineRule="auto"/>
              <w:jc w:val="center"/>
              <w:rPr>
                <w:rFonts w:hint="eastAsia" w:ascii="仿宋" w:hAnsi="仿宋" w:eastAsia="仿宋" w:cs="仿宋"/>
                <w:color w:val="auto"/>
                <w:sz w:val="24"/>
              </w:rPr>
            </w:pPr>
          </w:p>
        </w:tc>
        <w:tc>
          <w:tcPr>
            <w:tcW w:w="2332" w:type="dxa"/>
          </w:tcPr>
          <w:p w14:paraId="0B917CDB">
            <w:pPr>
              <w:spacing w:line="360" w:lineRule="auto"/>
              <w:jc w:val="center"/>
              <w:rPr>
                <w:rFonts w:hint="eastAsia" w:ascii="仿宋" w:hAnsi="仿宋" w:eastAsia="仿宋" w:cs="仿宋"/>
                <w:color w:val="auto"/>
                <w:sz w:val="24"/>
              </w:rPr>
            </w:pPr>
          </w:p>
        </w:tc>
        <w:tc>
          <w:tcPr>
            <w:tcW w:w="1696" w:type="dxa"/>
          </w:tcPr>
          <w:p w14:paraId="0BE18E6E">
            <w:pPr>
              <w:spacing w:line="360" w:lineRule="auto"/>
              <w:jc w:val="center"/>
              <w:rPr>
                <w:rFonts w:hint="eastAsia" w:ascii="仿宋" w:hAnsi="仿宋" w:eastAsia="仿宋" w:cs="仿宋"/>
                <w:color w:val="auto"/>
                <w:sz w:val="24"/>
              </w:rPr>
            </w:pPr>
          </w:p>
        </w:tc>
        <w:tc>
          <w:tcPr>
            <w:tcW w:w="1430" w:type="dxa"/>
          </w:tcPr>
          <w:p w14:paraId="46999674">
            <w:pPr>
              <w:spacing w:line="360" w:lineRule="auto"/>
              <w:jc w:val="center"/>
              <w:rPr>
                <w:rFonts w:hint="eastAsia" w:ascii="仿宋" w:hAnsi="仿宋" w:eastAsia="仿宋" w:cs="仿宋"/>
                <w:color w:val="auto"/>
                <w:sz w:val="24"/>
              </w:rPr>
            </w:pPr>
          </w:p>
        </w:tc>
      </w:tr>
      <w:tr w14:paraId="1B23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529DC8AC">
            <w:pPr>
              <w:spacing w:line="360" w:lineRule="auto"/>
              <w:jc w:val="center"/>
              <w:rPr>
                <w:rFonts w:hint="eastAsia" w:ascii="仿宋" w:hAnsi="仿宋" w:eastAsia="仿宋" w:cs="仿宋"/>
                <w:color w:val="auto"/>
                <w:sz w:val="24"/>
              </w:rPr>
            </w:pPr>
          </w:p>
        </w:tc>
        <w:tc>
          <w:tcPr>
            <w:tcW w:w="1908" w:type="dxa"/>
          </w:tcPr>
          <w:p w14:paraId="3B5EE5DE">
            <w:pPr>
              <w:spacing w:line="360" w:lineRule="auto"/>
              <w:jc w:val="center"/>
              <w:rPr>
                <w:rFonts w:hint="eastAsia" w:ascii="仿宋" w:hAnsi="仿宋" w:eastAsia="仿宋" w:cs="仿宋"/>
                <w:color w:val="auto"/>
                <w:sz w:val="24"/>
              </w:rPr>
            </w:pPr>
          </w:p>
        </w:tc>
        <w:tc>
          <w:tcPr>
            <w:tcW w:w="2332" w:type="dxa"/>
          </w:tcPr>
          <w:p w14:paraId="0A85C721">
            <w:pPr>
              <w:spacing w:line="360" w:lineRule="auto"/>
              <w:jc w:val="center"/>
              <w:rPr>
                <w:rFonts w:hint="eastAsia" w:ascii="仿宋" w:hAnsi="仿宋" w:eastAsia="仿宋" w:cs="仿宋"/>
                <w:color w:val="auto"/>
                <w:sz w:val="24"/>
              </w:rPr>
            </w:pPr>
          </w:p>
        </w:tc>
        <w:tc>
          <w:tcPr>
            <w:tcW w:w="1696" w:type="dxa"/>
          </w:tcPr>
          <w:p w14:paraId="068CE339">
            <w:pPr>
              <w:spacing w:line="360" w:lineRule="auto"/>
              <w:jc w:val="center"/>
              <w:rPr>
                <w:rFonts w:hint="eastAsia" w:ascii="仿宋" w:hAnsi="仿宋" w:eastAsia="仿宋" w:cs="仿宋"/>
                <w:color w:val="auto"/>
                <w:sz w:val="24"/>
              </w:rPr>
            </w:pPr>
          </w:p>
        </w:tc>
        <w:tc>
          <w:tcPr>
            <w:tcW w:w="1430" w:type="dxa"/>
          </w:tcPr>
          <w:p w14:paraId="7B44B0DC">
            <w:pPr>
              <w:spacing w:line="360" w:lineRule="auto"/>
              <w:jc w:val="center"/>
              <w:rPr>
                <w:rFonts w:hint="eastAsia" w:ascii="仿宋" w:hAnsi="仿宋" w:eastAsia="仿宋" w:cs="仿宋"/>
                <w:color w:val="auto"/>
                <w:sz w:val="24"/>
              </w:rPr>
            </w:pPr>
          </w:p>
        </w:tc>
      </w:tr>
      <w:tr w14:paraId="24CB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6357102">
            <w:pPr>
              <w:spacing w:line="360" w:lineRule="auto"/>
              <w:jc w:val="center"/>
              <w:rPr>
                <w:rFonts w:hint="eastAsia" w:ascii="仿宋" w:hAnsi="仿宋" w:eastAsia="仿宋" w:cs="仿宋"/>
                <w:color w:val="auto"/>
                <w:sz w:val="24"/>
              </w:rPr>
            </w:pPr>
          </w:p>
        </w:tc>
        <w:tc>
          <w:tcPr>
            <w:tcW w:w="1908" w:type="dxa"/>
          </w:tcPr>
          <w:p w14:paraId="372B0E4F">
            <w:pPr>
              <w:spacing w:line="360" w:lineRule="auto"/>
              <w:jc w:val="center"/>
              <w:rPr>
                <w:rFonts w:hint="eastAsia" w:ascii="仿宋" w:hAnsi="仿宋" w:eastAsia="仿宋" w:cs="仿宋"/>
                <w:color w:val="auto"/>
                <w:sz w:val="24"/>
              </w:rPr>
            </w:pPr>
          </w:p>
        </w:tc>
        <w:tc>
          <w:tcPr>
            <w:tcW w:w="2332" w:type="dxa"/>
          </w:tcPr>
          <w:p w14:paraId="47B621B6">
            <w:pPr>
              <w:spacing w:line="360" w:lineRule="auto"/>
              <w:jc w:val="center"/>
              <w:rPr>
                <w:rFonts w:hint="eastAsia" w:ascii="仿宋" w:hAnsi="仿宋" w:eastAsia="仿宋" w:cs="仿宋"/>
                <w:color w:val="auto"/>
                <w:sz w:val="24"/>
              </w:rPr>
            </w:pPr>
          </w:p>
        </w:tc>
        <w:tc>
          <w:tcPr>
            <w:tcW w:w="1696" w:type="dxa"/>
          </w:tcPr>
          <w:p w14:paraId="6E393456">
            <w:pPr>
              <w:spacing w:line="360" w:lineRule="auto"/>
              <w:jc w:val="center"/>
              <w:rPr>
                <w:rFonts w:hint="eastAsia" w:ascii="仿宋" w:hAnsi="仿宋" w:eastAsia="仿宋" w:cs="仿宋"/>
                <w:color w:val="auto"/>
                <w:sz w:val="24"/>
              </w:rPr>
            </w:pPr>
          </w:p>
        </w:tc>
        <w:tc>
          <w:tcPr>
            <w:tcW w:w="1430" w:type="dxa"/>
          </w:tcPr>
          <w:p w14:paraId="55B14AAF">
            <w:pPr>
              <w:spacing w:line="360" w:lineRule="auto"/>
              <w:jc w:val="center"/>
              <w:rPr>
                <w:rFonts w:hint="eastAsia" w:ascii="仿宋" w:hAnsi="仿宋" w:eastAsia="仿宋" w:cs="仿宋"/>
                <w:color w:val="auto"/>
                <w:sz w:val="24"/>
              </w:rPr>
            </w:pPr>
          </w:p>
        </w:tc>
      </w:tr>
      <w:tr w14:paraId="7133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36380826">
            <w:pPr>
              <w:spacing w:line="360" w:lineRule="auto"/>
              <w:jc w:val="center"/>
              <w:rPr>
                <w:rFonts w:hint="eastAsia" w:ascii="仿宋" w:hAnsi="仿宋" w:eastAsia="仿宋" w:cs="仿宋"/>
                <w:color w:val="auto"/>
                <w:sz w:val="24"/>
              </w:rPr>
            </w:pPr>
          </w:p>
        </w:tc>
        <w:tc>
          <w:tcPr>
            <w:tcW w:w="1908" w:type="dxa"/>
          </w:tcPr>
          <w:p w14:paraId="6F4EE18B">
            <w:pPr>
              <w:spacing w:line="360" w:lineRule="auto"/>
              <w:jc w:val="center"/>
              <w:rPr>
                <w:rFonts w:hint="eastAsia" w:ascii="仿宋" w:hAnsi="仿宋" w:eastAsia="仿宋" w:cs="仿宋"/>
                <w:color w:val="auto"/>
                <w:sz w:val="24"/>
              </w:rPr>
            </w:pPr>
          </w:p>
        </w:tc>
        <w:tc>
          <w:tcPr>
            <w:tcW w:w="2332" w:type="dxa"/>
          </w:tcPr>
          <w:p w14:paraId="4E58F06F">
            <w:pPr>
              <w:spacing w:line="360" w:lineRule="auto"/>
              <w:jc w:val="center"/>
              <w:rPr>
                <w:rFonts w:hint="eastAsia" w:ascii="仿宋" w:hAnsi="仿宋" w:eastAsia="仿宋" w:cs="仿宋"/>
                <w:color w:val="auto"/>
                <w:sz w:val="24"/>
              </w:rPr>
            </w:pPr>
          </w:p>
        </w:tc>
        <w:tc>
          <w:tcPr>
            <w:tcW w:w="1696" w:type="dxa"/>
          </w:tcPr>
          <w:p w14:paraId="04A6851A">
            <w:pPr>
              <w:spacing w:line="360" w:lineRule="auto"/>
              <w:jc w:val="center"/>
              <w:rPr>
                <w:rFonts w:hint="eastAsia" w:ascii="仿宋" w:hAnsi="仿宋" w:eastAsia="仿宋" w:cs="仿宋"/>
                <w:color w:val="auto"/>
                <w:sz w:val="24"/>
              </w:rPr>
            </w:pPr>
          </w:p>
        </w:tc>
        <w:tc>
          <w:tcPr>
            <w:tcW w:w="1430" w:type="dxa"/>
          </w:tcPr>
          <w:p w14:paraId="4834A0E6">
            <w:pPr>
              <w:spacing w:line="360" w:lineRule="auto"/>
              <w:jc w:val="center"/>
              <w:rPr>
                <w:rFonts w:hint="eastAsia" w:ascii="仿宋" w:hAnsi="仿宋" w:eastAsia="仿宋" w:cs="仿宋"/>
                <w:color w:val="auto"/>
                <w:sz w:val="24"/>
              </w:rPr>
            </w:pPr>
          </w:p>
        </w:tc>
      </w:tr>
      <w:tr w14:paraId="7A33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03A249B0">
            <w:pPr>
              <w:spacing w:line="360" w:lineRule="auto"/>
              <w:jc w:val="center"/>
              <w:rPr>
                <w:rFonts w:hint="eastAsia" w:ascii="仿宋" w:hAnsi="仿宋" w:eastAsia="仿宋" w:cs="仿宋"/>
                <w:color w:val="auto"/>
                <w:sz w:val="24"/>
              </w:rPr>
            </w:pPr>
          </w:p>
        </w:tc>
        <w:tc>
          <w:tcPr>
            <w:tcW w:w="1908" w:type="dxa"/>
          </w:tcPr>
          <w:p w14:paraId="70F6793E">
            <w:pPr>
              <w:spacing w:line="360" w:lineRule="auto"/>
              <w:jc w:val="center"/>
              <w:rPr>
                <w:rFonts w:hint="eastAsia" w:ascii="仿宋" w:hAnsi="仿宋" w:eastAsia="仿宋" w:cs="仿宋"/>
                <w:color w:val="auto"/>
                <w:sz w:val="24"/>
              </w:rPr>
            </w:pPr>
          </w:p>
        </w:tc>
        <w:tc>
          <w:tcPr>
            <w:tcW w:w="2332" w:type="dxa"/>
          </w:tcPr>
          <w:p w14:paraId="1996FBED">
            <w:pPr>
              <w:spacing w:line="360" w:lineRule="auto"/>
              <w:jc w:val="center"/>
              <w:rPr>
                <w:rFonts w:hint="eastAsia" w:ascii="仿宋" w:hAnsi="仿宋" w:eastAsia="仿宋" w:cs="仿宋"/>
                <w:color w:val="auto"/>
                <w:sz w:val="24"/>
              </w:rPr>
            </w:pPr>
          </w:p>
        </w:tc>
        <w:tc>
          <w:tcPr>
            <w:tcW w:w="1696" w:type="dxa"/>
          </w:tcPr>
          <w:p w14:paraId="4AB4C6DF">
            <w:pPr>
              <w:spacing w:line="360" w:lineRule="auto"/>
              <w:jc w:val="center"/>
              <w:rPr>
                <w:rFonts w:hint="eastAsia" w:ascii="仿宋" w:hAnsi="仿宋" w:eastAsia="仿宋" w:cs="仿宋"/>
                <w:color w:val="auto"/>
                <w:sz w:val="24"/>
              </w:rPr>
            </w:pPr>
          </w:p>
        </w:tc>
        <w:tc>
          <w:tcPr>
            <w:tcW w:w="1430" w:type="dxa"/>
          </w:tcPr>
          <w:p w14:paraId="6E7D0D87">
            <w:pPr>
              <w:spacing w:line="360" w:lineRule="auto"/>
              <w:jc w:val="center"/>
              <w:rPr>
                <w:rFonts w:hint="eastAsia" w:ascii="仿宋" w:hAnsi="仿宋" w:eastAsia="仿宋" w:cs="仿宋"/>
                <w:color w:val="auto"/>
                <w:sz w:val="24"/>
              </w:rPr>
            </w:pPr>
          </w:p>
        </w:tc>
      </w:tr>
      <w:tr w14:paraId="365F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30A111D9">
            <w:pPr>
              <w:spacing w:line="360" w:lineRule="auto"/>
              <w:jc w:val="center"/>
              <w:rPr>
                <w:rFonts w:hint="eastAsia" w:ascii="仿宋" w:hAnsi="仿宋" w:eastAsia="仿宋" w:cs="仿宋"/>
                <w:color w:val="auto"/>
                <w:sz w:val="24"/>
              </w:rPr>
            </w:pPr>
          </w:p>
        </w:tc>
        <w:tc>
          <w:tcPr>
            <w:tcW w:w="1908" w:type="dxa"/>
          </w:tcPr>
          <w:p w14:paraId="5E4E31DC">
            <w:pPr>
              <w:spacing w:line="360" w:lineRule="auto"/>
              <w:jc w:val="center"/>
              <w:rPr>
                <w:rFonts w:hint="eastAsia" w:ascii="仿宋" w:hAnsi="仿宋" w:eastAsia="仿宋" w:cs="仿宋"/>
                <w:color w:val="auto"/>
                <w:sz w:val="24"/>
              </w:rPr>
            </w:pPr>
          </w:p>
        </w:tc>
        <w:tc>
          <w:tcPr>
            <w:tcW w:w="2332" w:type="dxa"/>
          </w:tcPr>
          <w:p w14:paraId="49B81F30">
            <w:pPr>
              <w:spacing w:line="360" w:lineRule="auto"/>
              <w:jc w:val="center"/>
              <w:rPr>
                <w:rFonts w:hint="eastAsia" w:ascii="仿宋" w:hAnsi="仿宋" w:eastAsia="仿宋" w:cs="仿宋"/>
                <w:color w:val="auto"/>
                <w:sz w:val="24"/>
              </w:rPr>
            </w:pPr>
          </w:p>
        </w:tc>
        <w:tc>
          <w:tcPr>
            <w:tcW w:w="1696" w:type="dxa"/>
          </w:tcPr>
          <w:p w14:paraId="03E44077">
            <w:pPr>
              <w:spacing w:line="360" w:lineRule="auto"/>
              <w:jc w:val="center"/>
              <w:rPr>
                <w:rFonts w:hint="eastAsia" w:ascii="仿宋" w:hAnsi="仿宋" w:eastAsia="仿宋" w:cs="仿宋"/>
                <w:color w:val="auto"/>
                <w:sz w:val="24"/>
              </w:rPr>
            </w:pPr>
          </w:p>
        </w:tc>
        <w:tc>
          <w:tcPr>
            <w:tcW w:w="1430" w:type="dxa"/>
          </w:tcPr>
          <w:p w14:paraId="238B4BE7">
            <w:pPr>
              <w:spacing w:line="360" w:lineRule="auto"/>
              <w:jc w:val="center"/>
              <w:rPr>
                <w:rFonts w:hint="eastAsia" w:ascii="仿宋" w:hAnsi="仿宋" w:eastAsia="仿宋" w:cs="仿宋"/>
                <w:color w:val="auto"/>
                <w:sz w:val="24"/>
              </w:rPr>
            </w:pPr>
          </w:p>
        </w:tc>
      </w:tr>
      <w:tr w14:paraId="11A4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F149411">
            <w:pPr>
              <w:spacing w:line="360" w:lineRule="auto"/>
              <w:jc w:val="center"/>
              <w:rPr>
                <w:rFonts w:hint="eastAsia" w:ascii="仿宋" w:hAnsi="仿宋" w:eastAsia="仿宋" w:cs="仿宋"/>
                <w:color w:val="auto"/>
                <w:sz w:val="24"/>
              </w:rPr>
            </w:pPr>
          </w:p>
        </w:tc>
        <w:tc>
          <w:tcPr>
            <w:tcW w:w="1908" w:type="dxa"/>
          </w:tcPr>
          <w:p w14:paraId="25164F8B">
            <w:pPr>
              <w:spacing w:line="360" w:lineRule="auto"/>
              <w:jc w:val="center"/>
              <w:rPr>
                <w:rFonts w:hint="eastAsia" w:ascii="仿宋" w:hAnsi="仿宋" w:eastAsia="仿宋" w:cs="仿宋"/>
                <w:color w:val="auto"/>
                <w:sz w:val="24"/>
              </w:rPr>
            </w:pPr>
          </w:p>
        </w:tc>
        <w:tc>
          <w:tcPr>
            <w:tcW w:w="2332" w:type="dxa"/>
          </w:tcPr>
          <w:p w14:paraId="72FFD7B2">
            <w:pPr>
              <w:spacing w:line="360" w:lineRule="auto"/>
              <w:jc w:val="center"/>
              <w:rPr>
                <w:rFonts w:hint="eastAsia" w:ascii="仿宋" w:hAnsi="仿宋" w:eastAsia="仿宋" w:cs="仿宋"/>
                <w:color w:val="auto"/>
                <w:sz w:val="24"/>
              </w:rPr>
            </w:pPr>
          </w:p>
        </w:tc>
        <w:tc>
          <w:tcPr>
            <w:tcW w:w="1696" w:type="dxa"/>
          </w:tcPr>
          <w:p w14:paraId="0ABF0461">
            <w:pPr>
              <w:spacing w:line="360" w:lineRule="auto"/>
              <w:jc w:val="center"/>
              <w:rPr>
                <w:rFonts w:hint="eastAsia" w:ascii="仿宋" w:hAnsi="仿宋" w:eastAsia="仿宋" w:cs="仿宋"/>
                <w:color w:val="auto"/>
                <w:sz w:val="24"/>
              </w:rPr>
            </w:pPr>
          </w:p>
        </w:tc>
        <w:tc>
          <w:tcPr>
            <w:tcW w:w="1430" w:type="dxa"/>
          </w:tcPr>
          <w:p w14:paraId="7313D01E">
            <w:pPr>
              <w:spacing w:line="360" w:lineRule="auto"/>
              <w:jc w:val="center"/>
              <w:rPr>
                <w:rFonts w:hint="eastAsia" w:ascii="仿宋" w:hAnsi="仿宋" w:eastAsia="仿宋" w:cs="仿宋"/>
                <w:color w:val="auto"/>
                <w:sz w:val="24"/>
              </w:rPr>
            </w:pPr>
          </w:p>
        </w:tc>
      </w:tr>
      <w:tr w14:paraId="2B9C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58989B18">
            <w:pPr>
              <w:spacing w:line="360" w:lineRule="auto"/>
              <w:jc w:val="center"/>
              <w:rPr>
                <w:rFonts w:hint="eastAsia" w:ascii="仿宋" w:hAnsi="仿宋" w:eastAsia="仿宋" w:cs="仿宋"/>
                <w:color w:val="auto"/>
                <w:sz w:val="24"/>
              </w:rPr>
            </w:pPr>
          </w:p>
        </w:tc>
        <w:tc>
          <w:tcPr>
            <w:tcW w:w="1908" w:type="dxa"/>
          </w:tcPr>
          <w:p w14:paraId="172C6525">
            <w:pPr>
              <w:spacing w:line="360" w:lineRule="auto"/>
              <w:jc w:val="center"/>
              <w:rPr>
                <w:rFonts w:hint="eastAsia" w:ascii="仿宋" w:hAnsi="仿宋" w:eastAsia="仿宋" w:cs="仿宋"/>
                <w:color w:val="auto"/>
                <w:sz w:val="24"/>
              </w:rPr>
            </w:pPr>
          </w:p>
        </w:tc>
        <w:tc>
          <w:tcPr>
            <w:tcW w:w="2332" w:type="dxa"/>
          </w:tcPr>
          <w:p w14:paraId="6E686293">
            <w:pPr>
              <w:spacing w:line="360" w:lineRule="auto"/>
              <w:jc w:val="center"/>
              <w:rPr>
                <w:rFonts w:hint="eastAsia" w:ascii="仿宋" w:hAnsi="仿宋" w:eastAsia="仿宋" w:cs="仿宋"/>
                <w:color w:val="auto"/>
                <w:sz w:val="24"/>
              </w:rPr>
            </w:pPr>
          </w:p>
        </w:tc>
        <w:tc>
          <w:tcPr>
            <w:tcW w:w="1696" w:type="dxa"/>
          </w:tcPr>
          <w:p w14:paraId="7228E381">
            <w:pPr>
              <w:spacing w:line="360" w:lineRule="auto"/>
              <w:jc w:val="center"/>
              <w:rPr>
                <w:rFonts w:hint="eastAsia" w:ascii="仿宋" w:hAnsi="仿宋" w:eastAsia="仿宋" w:cs="仿宋"/>
                <w:color w:val="auto"/>
                <w:sz w:val="24"/>
              </w:rPr>
            </w:pPr>
          </w:p>
        </w:tc>
        <w:tc>
          <w:tcPr>
            <w:tcW w:w="1430" w:type="dxa"/>
          </w:tcPr>
          <w:p w14:paraId="77E7CFE4">
            <w:pPr>
              <w:spacing w:line="360" w:lineRule="auto"/>
              <w:jc w:val="center"/>
              <w:rPr>
                <w:rFonts w:hint="eastAsia" w:ascii="仿宋" w:hAnsi="仿宋" w:eastAsia="仿宋" w:cs="仿宋"/>
                <w:color w:val="auto"/>
                <w:sz w:val="24"/>
              </w:rPr>
            </w:pPr>
          </w:p>
        </w:tc>
      </w:tr>
      <w:tr w14:paraId="0BBF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7F71392B">
            <w:pPr>
              <w:spacing w:line="360" w:lineRule="auto"/>
              <w:jc w:val="center"/>
              <w:rPr>
                <w:rFonts w:hint="eastAsia" w:ascii="仿宋" w:hAnsi="仿宋" w:eastAsia="仿宋" w:cs="仿宋"/>
                <w:color w:val="auto"/>
                <w:sz w:val="24"/>
              </w:rPr>
            </w:pPr>
          </w:p>
        </w:tc>
        <w:tc>
          <w:tcPr>
            <w:tcW w:w="1908" w:type="dxa"/>
          </w:tcPr>
          <w:p w14:paraId="23562AF8">
            <w:pPr>
              <w:spacing w:line="360" w:lineRule="auto"/>
              <w:jc w:val="center"/>
              <w:rPr>
                <w:rFonts w:hint="eastAsia" w:ascii="仿宋" w:hAnsi="仿宋" w:eastAsia="仿宋" w:cs="仿宋"/>
                <w:color w:val="auto"/>
                <w:sz w:val="24"/>
              </w:rPr>
            </w:pPr>
          </w:p>
        </w:tc>
        <w:tc>
          <w:tcPr>
            <w:tcW w:w="2332" w:type="dxa"/>
          </w:tcPr>
          <w:p w14:paraId="1A5E5740">
            <w:pPr>
              <w:spacing w:line="360" w:lineRule="auto"/>
              <w:jc w:val="center"/>
              <w:rPr>
                <w:rFonts w:hint="eastAsia" w:ascii="仿宋" w:hAnsi="仿宋" w:eastAsia="仿宋" w:cs="仿宋"/>
                <w:color w:val="auto"/>
                <w:sz w:val="24"/>
              </w:rPr>
            </w:pPr>
          </w:p>
        </w:tc>
        <w:tc>
          <w:tcPr>
            <w:tcW w:w="1696" w:type="dxa"/>
          </w:tcPr>
          <w:p w14:paraId="5D1C2B29">
            <w:pPr>
              <w:spacing w:line="360" w:lineRule="auto"/>
              <w:jc w:val="center"/>
              <w:rPr>
                <w:rFonts w:hint="eastAsia" w:ascii="仿宋" w:hAnsi="仿宋" w:eastAsia="仿宋" w:cs="仿宋"/>
                <w:color w:val="auto"/>
                <w:sz w:val="24"/>
              </w:rPr>
            </w:pPr>
          </w:p>
        </w:tc>
        <w:tc>
          <w:tcPr>
            <w:tcW w:w="1430" w:type="dxa"/>
          </w:tcPr>
          <w:p w14:paraId="7B820D1F">
            <w:pPr>
              <w:spacing w:line="360" w:lineRule="auto"/>
              <w:jc w:val="center"/>
              <w:rPr>
                <w:rFonts w:hint="eastAsia" w:ascii="仿宋" w:hAnsi="仿宋" w:eastAsia="仿宋" w:cs="仿宋"/>
                <w:color w:val="auto"/>
                <w:sz w:val="24"/>
              </w:rPr>
            </w:pPr>
          </w:p>
        </w:tc>
      </w:tr>
      <w:tr w14:paraId="280B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5B744AE0">
            <w:pPr>
              <w:spacing w:line="360" w:lineRule="auto"/>
              <w:jc w:val="center"/>
              <w:rPr>
                <w:rFonts w:hint="eastAsia" w:ascii="仿宋" w:hAnsi="仿宋" w:eastAsia="仿宋" w:cs="仿宋"/>
                <w:color w:val="auto"/>
                <w:sz w:val="24"/>
              </w:rPr>
            </w:pPr>
          </w:p>
        </w:tc>
        <w:tc>
          <w:tcPr>
            <w:tcW w:w="1908" w:type="dxa"/>
          </w:tcPr>
          <w:p w14:paraId="3A109754">
            <w:pPr>
              <w:spacing w:line="360" w:lineRule="auto"/>
              <w:jc w:val="center"/>
              <w:rPr>
                <w:rFonts w:hint="eastAsia" w:ascii="仿宋" w:hAnsi="仿宋" w:eastAsia="仿宋" w:cs="仿宋"/>
                <w:color w:val="auto"/>
                <w:sz w:val="24"/>
              </w:rPr>
            </w:pPr>
          </w:p>
        </w:tc>
        <w:tc>
          <w:tcPr>
            <w:tcW w:w="2332" w:type="dxa"/>
          </w:tcPr>
          <w:p w14:paraId="6E901A1C">
            <w:pPr>
              <w:spacing w:line="360" w:lineRule="auto"/>
              <w:jc w:val="center"/>
              <w:rPr>
                <w:rFonts w:hint="eastAsia" w:ascii="仿宋" w:hAnsi="仿宋" w:eastAsia="仿宋" w:cs="仿宋"/>
                <w:color w:val="auto"/>
                <w:sz w:val="24"/>
              </w:rPr>
            </w:pPr>
          </w:p>
        </w:tc>
        <w:tc>
          <w:tcPr>
            <w:tcW w:w="1696" w:type="dxa"/>
          </w:tcPr>
          <w:p w14:paraId="3485B056">
            <w:pPr>
              <w:spacing w:line="360" w:lineRule="auto"/>
              <w:jc w:val="center"/>
              <w:rPr>
                <w:rFonts w:hint="eastAsia" w:ascii="仿宋" w:hAnsi="仿宋" w:eastAsia="仿宋" w:cs="仿宋"/>
                <w:color w:val="auto"/>
                <w:sz w:val="24"/>
              </w:rPr>
            </w:pPr>
          </w:p>
        </w:tc>
        <w:tc>
          <w:tcPr>
            <w:tcW w:w="1430" w:type="dxa"/>
          </w:tcPr>
          <w:p w14:paraId="5E28C14A">
            <w:pPr>
              <w:spacing w:line="360" w:lineRule="auto"/>
              <w:jc w:val="center"/>
              <w:rPr>
                <w:rFonts w:hint="eastAsia" w:ascii="仿宋" w:hAnsi="仿宋" w:eastAsia="仿宋" w:cs="仿宋"/>
                <w:color w:val="auto"/>
                <w:sz w:val="24"/>
              </w:rPr>
            </w:pPr>
          </w:p>
        </w:tc>
      </w:tr>
      <w:tr w14:paraId="662F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4D75A4A">
            <w:pPr>
              <w:spacing w:line="360" w:lineRule="auto"/>
              <w:jc w:val="center"/>
              <w:rPr>
                <w:rFonts w:hint="eastAsia" w:ascii="仿宋" w:hAnsi="仿宋" w:eastAsia="仿宋" w:cs="仿宋"/>
                <w:color w:val="auto"/>
                <w:sz w:val="24"/>
              </w:rPr>
            </w:pPr>
          </w:p>
        </w:tc>
        <w:tc>
          <w:tcPr>
            <w:tcW w:w="1908" w:type="dxa"/>
          </w:tcPr>
          <w:p w14:paraId="1AB570D0">
            <w:pPr>
              <w:spacing w:line="360" w:lineRule="auto"/>
              <w:jc w:val="center"/>
              <w:rPr>
                <w:rFonts w:hint="eastAsia" w:ascii="仿宋" w:hAnsi="仿宋" w:eastAsia="仿宋" w:cs="仿宋"/>
                <w:color w:val="auto"/>
                <w:sz w:val="24"/>
              </w:rPr>
            </w:pPr>
          </w:p>
        </w:tc>
        <w:tc>
          <w:tcPr>
            <w:tcW w:w="2332" w:type="dxa"/>
          </w:tcPr>
          <w:p w14:paraId="0156355B">
            <w:pPr>
              <w:spacing w:line="360" w:lineRule="auto"/>
              <w:jc w:val="center"/>
              <w:rPr>
                <w:rFonts w:hint="eastAsia" w:ascii="仿宋" w:hAnsi="仿宋" w:eastAsia="仿宋" w:cs="仿宋"/>
                <w:color w:val="auto"/>
                <w:sz w:val="24"/>
              </w:rPr>
            </w:pPr>
          </w:p>
        </w:tc>
        <w:tc>
          <w:tcPr>
            <w:tcW w:w="1696" w:type="dxa"/>
          </w:tcPr>
          <w:p w14:paraId="208AF65C">
            <w:pPr>
              <w:spacing w:line="360" w:lineRule="auto"/>
              <w:jc w:val="center"/>
              <w:rPr>
                <w:rFonts w:hint="eastAsia" w:ascii="仿宋" w:hAnsi="仿宋" w:eastAsia="仿宋" w:cs="仿宋"/>
                <w:color w:val="auto"/>
                <w:sz w:val="24"/>
              </w:rPr>
            </w:pPr>
          </w:p>
        </w:tc>
        <w:tc>
          <w:tcPr>
            <w:tcW w:w="1430" w:type="dxa"/>
          </w:tcPr>
          <w:p w14:paraId="1DE64F4E">
            <w:pPr>
              <w:spacing w:line="360" w:lineRule="auto"/>
              <w:jc w:val="center"/>
              <w:rPr>
                <w:rFonts w:hint="eastAsia" w:ascii="仿宋" w:hAnsi="仿宋" w:eastAsia="仿宋" w:cs="仿宋"/>
                <w:color w:val="auto"/>
                <w:sz w:val="24"/>
              </w:rPr>
            </w:pPr>
          </w:p>
        </w:tc>
      </w:tr>
      <w:tr w14:paraId="479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25A014FE">
            <w:pPr>
              <w:spacing w:line="360" w:lineRule="auto"/>
              <w:jc w:val="center"/>
              <w:rPr>
                <w:rFonts w:hint="eastAsia" w:ascii="仿宋" w:hAnsi="仿宋" w:eastAsia="仿宋" w:cs="仿宋"/>
                <w:color w:val="auto"/>
                <w:sz w:val="24"/>
              </w:rPr>
            </w:pPr>
          </w:p>
        </w:tc>
        <w:tc>
          <w:tcPr>
            <w:tcW w:w="1908" w:type="dxa"/>
          </w:tcPr>
          <w:p w14:paraId="166D128F">
            <w:pPr>
              <w:spacing w:line="360" w:lineRule="auto"/>
              <w:jc w:val="center"/>
              <w:rPr>
                <w:rFonts w:hint="eastAsia" w:ascii="仿宋" w:hAnsi="仿宋" w:eastAsia="仿宋" w:cs="仿宋"/>
                <w:color w:val="auto"/>
                <w:sz w:val="24"/>
              </w:rPr>
            </w:pPr>
          </w:p>
        </w:tc>
        <w:tc>
          <w:tcPr>
            <w:tcW w:w="2332" w:type="dxa"/>
          </w:tcPr>
          <w:p w14:paraId="294148B6">
            <w:pPr>
              <w:spacing w:line="360" w:lineRule="auto"/>
              <w:jc w:val="center"/>
              <w:rPr>
                <w:rFonts w:hint="eastAsia" w:ascii="仿宋" w:hAnsi="仿宋" w:eastAsia="仿宋" w:cs="仿宋"/>
                <w:color w:val="auto"/>
                <w:sz w:val="24"/>
              </w:rPr>
            </w:pPr>
          </w:p>
        </w:tc>
        <w:tc>
          <w:tcPr>
            <w:tcW w:w="1696" w:type="dxa"/>
          </w:tcPr>
          <w:p w14:paraId="1E0B84FA">
            <w:pPr>
              <w:spacing w:line="360" w:lineRule="auto"/>
              <w:jc w:val="center"/>
              <w:rPr>
                <w:rFonts w:hint="eastAsia" w:ascii="仿宋" w:hAnsi="仿宋" w:eastAsia="仿宋" w:cs="仿宋"/>
                <w:color w:val="auto"/>
                <w:sz w:val="24"/>
              </w:rPr>
            </w:pPr>
          </w:p>
        </w:tc>
        <w:tc>
          <w:tcPr>
            <w:tcW w:w="1430" w:type="dxa"/>
          </w:tcPr>
          <w:p w14:paraId="60616C2E">
            <w:pPr>
              <w:spacing w:line="360" w:lineRule="auto"/>
              <w:jc w:val="center"/>
              <w:rPr>
                <w:rFonts w:hint="eastAsia" w:ascii="仿宋" w:hAnsi="仿宋" w:eastAsia="仿宋" w:cs="仿宋"/>
                <w:color w:val="auto"/>
                <w:sz w:val="24"/>
              </w:rPr>
            </w:pPr>
          </w:p>
        </w:tc>
      </w:tr>
      <w:tr w14:paraId="70E2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157A3ED">
            <w:pPr>
              <w:spacing w:line="360" w:lineRule="auto"/>
              <w:jc w:val="center"/>
              <w:rPr>
                <w:rFonts w:hint="eastAsia" w:ascii="仿宋" w:hAnsi="仿宋" w:eastAsia="仿宋" w:cs="仿宋"/>
                <w:color w:val="auto"/>
                <w:sz w:val="24"/>
              </w:rPr>
            </w:pPr>
          </w:p>
        </w:tc>
        <w:tc>
          <w:tcPr>
            <w:tcW w:w="1908" w:type="dxa"/>
          </w:tcPr>
          <w:p w14:paraId="613840A8">
            <w:pPr>
              <w:spacing w:line="360" w:lineRule="auto"/>
              <w:jc w:val="center"/>
              <w:rPr>
                <w:rFonts w:hint="eastAsia" w:ascii="仿宋" w:hAnsi="仿宋" w:eastAsia="仿宋" w:cs="仿宋"/>
                <w:color w:val="auto"/>
                <w:sz w:val="24"/>
              </w:rPr>
            </w:pPr>
          </w:p>
        </w:tc>
        <w:tc>
          <w:tcPr>
            <w:tcW w:w="2332" w:type="dxa"/>
          </w:tcPr>
          <w:p w14:paraId="736D3D5F">
            <w:pPr>
              <w:spacing w:line="360" w:lineRule="auto"/>
              <w:jc w:val="center"/>
              <w:rPr>
                <w:rFonts w:hint="eastAsia" w:ascii="仿宋" w:hAnsi="仿宋" w:eastAsia="仿宋" w:cs="仿宋"/>
                <w:color w:val="auto"/>
                <w:sz w:val="24"/>
              </w:rPr>
            </w:pPr>
          </w:p>
        </w:tc>
        <w:tc>
          <w:tcPr>
            <w:tcW w:w="1696" w:type="dxa"/>
          </w:tcPr>
          <w:p w14:paraId="224C279C">
            <w:pPr>
              <w:spacing w:line="360" w:lineRule="auto"/>
              <w:jc w:val="center"/>
              <w:rPr>
                <w:rFonts w:hint="eastAsia" w:ascii="仿宋" w:hAnsi="仿宋" w:eastAsia="仿宋" w:cs="仿宋"/>
                <w:color w:val="auto"/>
                <w:sz w:val="24"/>
              </w:rPr>
            </w:pPr>
          </w:p>
        </w:tc>
        <w:tc>
          <w:tcPr>
            <w:tcW w:w="1430" w:type="dxa"/>
          </w:tcPr>
          <w:p w14:paraId="13CF36E0">
            <w:pPr>
              <w:spacing w:line="360" w:lineRule="auto"/>
              <w:jc w:val="center"/>
              <w:rPr>
                <w:rFonts w:hint="eastAsia" w:ascii="仿宋" w:hAnsi="仿宋" w:eastAsia="仿宋" w:cs="仿宋"/>
                <w:color w:val="auto"/>
                <w:sz w:val="24"/>
              </w:rPr>
            </w:pPr>
          </w:p>
        </w:tc>
      </w:tr>
      <w:tr w14:paraId="0044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7B41173">
            <w:pPr>
              <w:spacing w:line="360" w:lineRule="auto"/>
              <w:jc w:val="center"/>
              <w:rPr>
                <w:rFonts w:hint="eastAsia" w:ascii="仿宋" w:hAnsi="仿宋" w:eastAsia="仿宋" w:cs="仿宋"/>
                <w:color w:val="auto"/>
                <w:sz w:val="24"/>
              </w:rPr>
            </w:pPr>
          </w:p>
        </w:tc>
        <w:tc>
          <w:tcPr>
            <w:tcW w:w="1908" w:type="dxa"/>
          </w:tcPr>
          <w:p w14:paraId="1B38F807">
            <w:pPr>
              <w:spacing w:line="360" w:lineRule="auto"/>
              <w:jc w:val="center"/>
              <w:rPr>
                <w:rFonts w:hint="eastAsia" w:ascii="仿宋" w:hAnsi="仿宋" w:eastAsia="仿宋" w:cs="仿宋"/>
                <w:color w:val="auto"/>
                <w:sz w:val="24"/>
              </w:rPr>
            </w:pPr>
          </w:p>
        </w:tc>
        <w:tc>
          <w:tcPr>
            <w:tcW w:w="2332" w:type="dxa"/>
          </w:tcPr>
          <w:p w14:paraId="0870EEE5">
            <w:pPr>
              <w:spacing w:line="360" w:lineRule="auto"/>
              <w:jc w:val="center"/>
              <w:rPr>
                <w:rFonts w:hint="eastAsia" w:ascii="仿宋" w:hAnsi="仿宋" w:eastAsia="仿宋" w:cs="仿宋"/>
                <w:color w:val="auto"/>
                <w:sz w:val="24"/>
              </w:rPr>
            </w:pPr>
          </w:p>
        </w:tc>
        <w:tc>
          <w:tcPr>
            <w:tcW w:w="1696" w:type="dxa"/>
          </w:tcPr>
          <w:p w14:paraId="5FDD74AA">
            <w:pPr>
              <w:spacing w:line="360" w:lineRule="auto"/>
              <w:jc w:val="center"/>
              <w:rPr>
                <w:rFonts w:hint="eastAsia" w:ascii="仿宋" w:hAnsi="仿宋" w:eastAsia="仿宋" w:cs="仿宋"/>
                <w:color w:val="auto"/>
                <w:sz w:val="24"/>
              </w:rPr>
            </w:pPr>
          </w:p>
        </w:tc>
        <w:tc>
          <w:tcPr>
            <w:tcW w:w="1430" w:type="dxa"/>
          </w:tcPr>
          <w:p w14:paraId="0924BEE7">
            <w:pPr>
              <w:spacing w:line="360" w:lineRule="auto"/>
              <w:jc w:val="center"/>
              <w:rPr>
                <w:rFonts w:hint="eastAsia" w:ascii="仿宋" w:hAnsi="仿宋" w:eastAsia="仿宋" w:cs="仿宋"/>
                <w:color w:val="auto"/>
                <w:sz w:val="24"/>
              </w:rPr>
            </w:pPr>
          </w:p>
        </w:tc>
      </w:tr>
      <w:tr w14:paraId="557A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14:paraId="6E168E89">
            <w:pPr>
              <w:spacing w:line="360" w:lineRule="auto"/>
              <w:jc w:val="center"/>
              <w:rPr>
                <w:rFonts w:hint="eastAsia" w:ascii="仿宋" w:hAnsi="仿宋" w:eastAsia="仿宋" w:cs="仿宋"/>
                <w:color w:val="auto"/>
                <w:sz w:val="24"/>
              </w:rPr>
            </w:pPr>
          </w:p>
        </w:tc>
        <w:tc>
          <w:tcPr>
            <w:tcW w:w="1908" w:type="dxa"/>
          </w:tcPr>
          <w:p w14:paraId="0CA7BB68">
            <w:pPr>
              <w:spacing w:line="360" w:lineRule="auto"/>
              <w:jc w:val="center"/>
              <w:rPr>
                <w:rFonts w:hint="eastAsia" w:ascii="仿宋" w:hAnsi="仿宋" w:eastAsia="仿宋" w:cs="仿宋"/>
                <w:color w:val="auto"/>
                <w:sz w:val="24"/>
              </w:rPr>
            </w:pPr>
          </w:p>
        </w:tc>
        <w:tc>
          <w:tcPr>
            <w:tcW w:w="2332" w:type="dxa"/>
          </w:tcPr>
          <w:p w14:paraId="165AAD30">
            <w:pPr>
              <w:spacing w:line="360" w:lineRule="auto"/>
              <w:jc w:val="center"/>
              <w:rPr>
                <w:rFonts w:hint="eastAsia" w:ascii="仿宋" w:hAnsi="仿宋" w:eastAsia="仿宋" w:cs="仿宋"/>
                <w:color w:val="auto"/>
                <w:sz w:val="24"/>
              </w:rPr>
            </w:pPr>
          </w:p>
        </w:tc>
        <w:tc>
          <w:tcPr>
            <w:tcW w:w="1696" w:type="dxa"/>
          </w:tcPr>
          <w:p w14:paraId="7705F275">
            <w:pPr>
              <w:spacing w:line="360" w:lineRule="auto"/>
              <w:jc w:val="center"/>
              <w:rPr>
                <w:rFonts w:hint="eastAsia" w:ascii="仿宋" w:hAnsi="仿宋" w:eastAsia="仿宋" w:cs="仿宋"/>
                <w:color w:val="auto"/>
                <w:sz w:val="24"/>
              </w:rPr>
            </w:pPr>
          </w:p>
        </w:tc>
        <w:tc>
          <w:tcPr>
            <w:tcW w:w="1430" w:type="dxa"/>
          </w:tcPr>
          <w:p w14:paraId="2896FF67">
            <w:pPr>
              <w:spacing w:line="360" w:lineRule="auto"/>
              <w:jc w:val="center"/>
              <w:rPr>
                <w:rFonts w:hint="eastAsia" w:ascii="仿宋" w:hAnsi="仿宋" w:eastAsia="仿宋" w:cs="仿宋"/>
                <w:color w:val="auto"/>
                <w:sz w:val="24"/>
              </w:rPr>
            </w:pPr>
          </w:p>
        </w:tc>
      </w:tr>
    </w:tbl>
    <w:p w14:paraId="06F8C5A7">
      <w:pPr>
        <w:spacing w:line="480" w:lineRule="auto"/>
        <w:rPr>
          <w:rFonts w:hint="eastAsia" w:ascii="仿宋" w:hAnsi="仿宋" w:eastAsia="仿宋" w:cs="仿宋"/>
          <w:color w:val="auto"/>
          <w:sz w:val="24"/>
        </w:rPr>
      </w:pPr>
      <w:r>
        <w:rPr>
          <w:rFonts w:hint="eastAsia" w:ascii="仿宋" w:hAnsi="仿宋" w:eastAsia="仿宋" w:cs="仿宋"/>
          <w:b/>
          <w:color w:val="auto"/>
          <w:sz w:val="24"/>
        </w:rPr>
        <w:t>注：须提供业绩相应的证明材料（如采购合同</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加盖公章</w:t>
      </w:r>
      <w:r>
        <w:rPr>
          <w:rFonts w:hint="eastAsia" w:ascii="仿宋" w:hAnsi="仿宋" w:eastAsia="仿宋" w:cs="仿宋"/>
          <w:b/>
          <w:color w:val="auto"/>
          <w:sz w:val="24"/>
        </w:rPr>
        <w:t>）。</w:t>
      </w:r>
    </w:p>
    <w:p w14:paraId="21CE6EC6">
      <w:pPr>
        <w:spacing w:line="360" w:lineRule="auto"/>
        <w:rPr>
          <w:rFonts w:hint="eastAsia" w:ascii="仿宋" w:hAnsi="仿宋" w:eastAsia="仿宋" w:cs="仿宋"/>
          <w:color w:val="auto"/>
          <w:sz w:val="24"/>
        </w:rPr>
      </w:pPr>
    </w:p>
    <w:p w14:paraId="37E91E93">
      <w:pPr>
        <w:spacing w:afterLines="50" w:line="360" w:lineRule="auto"/>
        <w:jc w:val="center"/>
        <w:outlineLvl w:val="1"/>
        <w:rPr>
          <w:rFonts w:hint="eastAsia" w:ascii="仿宋" w:hAnsi="仿宋" w:eastAsia="仿宋" w:cs="仿宋"/>
          <w:b/>
          <w:color w:val="auto"/>
          <w:sz w:val="28"/>
          <w:szCs w:val="28"/>
        </w:rPr>
      </w:pPr>
    </w:p>
    <w:p w14:paraId="5A044D5E">
      <w:pPr>
        <w:spacing w:afterLines="50" w:line="360" w:lineRule="auto"/>
        <w:jc w:val="center"/>
        <w:outlineLvl w:val="1"/>
        <w:rPr>
          <w:rFonts w:hint="eastAsia" w:ascii="仿宋" w:hAnsi="仿宋" w:eastAsia="仿宋" w:cs="仿宋"/>
          <w:b/>
          <w:color w:val="auto"/>
          <w:sz w:val="28"/>
          <w:szCs w:val="28"/>
        </w:rPr>
      </w:pPr>
    </w:p>
    <w:p w14:paraId="255ECD31">
      <w:pPr>
        <w:spacing w:afterLines="50" w:line="360" w:lineRule="auto"/>
        <w:jc w:val="both"/>
        <w:outlineLvl w:val="1"/>
        <w:rPr>
          <w:rFonts w:hint="eastAsia" w:ascii="仿宋" w:hAnsi="仿宋" w:eastAsia="仿宋" w:cs="仿宋"/>
          <w:b/>
          <w:color w:val="auto"/>
          <w:sz w:val="28"/>
          <w:szCs w:val="28"/>
        </w:rPr>
      </w:pPr>
    </w:p>
    <w:p w14:paraId="45327817">
      <w:pPr>
        <w:spacing w:afterLines="50" w:line="360" w:lineRule="auto"/>
        <w:jc w:val="center"/>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rPr>
        <w:t>、培训、售后服务承诺</w:t>
      </w:r>
    </w:p>
    <w:p w14:paraId="2CD9D9B1">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培训计划承诺</w:t>
      </w:r>
    </w:p>
    <w:p w14:paraId="123D53D6">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致：</w:t>
      </w:r>
      <w:r>
        <w:rPr>
          <w:rFonts w:hint="eastAsia" w:ascii="仿宋" w:hAnsi="仿宋" w:eastAsia="仿宋" w:cs="仿宋"/>
          <w:b/>
          <w:bCs/>
          <w:color w:val="auto"/>
          <w:sz w:val="24"/>
          <w:lang w:val="en-US" w:eastAsia="zh-CN"/>
        </w:rPr>
        <w:t>陕西方得项目管理有限公司</w:t>
      </w:r>
    </w:p>
    <w:p w14:paraId="5366DFA2">
      <w:pPr>
        <w:spacing w:line="360" w:lineRule="auto"/>
        <w:rPr>
          <w:rFonts w:hint="eastAsia" w:ascii="仿宋" w:hAnsi="仿宋" w:eastAsia="仿宋" w:cs="仿宋"/>
          <w:color w:val="auto"/>
          <w:sz w:val="24"/>
        </w:rPr>
      </w:pPr>
      <w:r>
        <w:rPr>
          <w:rFonts w:hint="eastAsia" w:ascii="仿宋" w:hAnsi="仿宋" w:eastAsia="仿宋" w:cs="仿宋"/>
          <w:b/>
          <w:bCs/>
          <w:color w:val="auto"/>
          <w:sz w:val="24"/>
        </w:rPr>
        <w:t xml:space="preserve">   </w:t>
      </w:r>
      <w:r>
        <w:rPr>
          <w:rFonts w:hint="eastAsia" w:ascii="仿宋" w:hAnsi="仿宋" w:eastAsia="仿宋" w:cs="仿宋"/>
          <w:color w:val="auto"/>
          <w:sz w:val="24"/>
        </w:rPr>
        <w:t>经仔细阅读你们的招标文件，我们同意招标文件中有关培训计划的要求，对所投标项目向贵单位特作如下培训计划承诺：</w:t>
      </w:r>
    </w:p>
    <w:p w14:paraId="30B48A7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w:t>
      </w:r>
    </w:p>
    <w:p w14:paraId="4919BD0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w:t>
      </w:r>
    </w:p>
    <w:p w14:paraId="205F88D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w:t>
      </w:r>
    </w:p>
    <w:p w14:paraId="5A42BFB3">
      <w:pPr>
        <w:spacing w:line="360" w:lineRule="auto"/>
        <w:ind w:firstLine="720"/>
        <w:rPr>
          <w:rFonts w:hint="eastAsia" w:ascii="仿宋" w:hAnsi="仿宋" w:eastAsia="仿宋" w:cs="仿宋"/>
          <w:color w:val="auto"/>
          <w:sz w:val="24"/>
        </w:rPr>
      </w:pPr>
      <w:r>
        <w:rPr>
          <w:rFonts w:hint="eastAsia" w:ascii="仿宋" w:hAnsi="仿宋" w:eastAsia="仿宋" w:cs="仿宋"/>
          <w:color w:val="auto"/>
          <w:sz w:val="24"/>
        </w:rPr>
        <w:t>…</w:t>
      </w:r>
    </w:p>
    <w:p w14:paraId="2F2EC12B">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特此承诺！</w:t>
      </w:r>
    </w:p>
    <w:p w14:paraId="0ACB23C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承诺方授权代表签字：</w:t>
      </w:r>
      <w:r>
        <w:rPr>
          <w:rFonts w:hint="eastAsia" w:ascii="仿宋" w:hAnsi="仿宋" w:eastAsia="仿宋" w:cs="仿宋"/>
          <w:color w:val="auto"/>
          <w:sz w:val="24"/>
          <w:u w:val="single"/>
        </w:rPr>
        <w:t xml:space="preserve">                              </w:t>
      </w:r>
    </w:p>
    <w:p w14:paraId="6075163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职   务：</w:t>
      </w:r>
      <w:r>
        <w:rPr>
          <w:rFonts w:hint="eastAsia" w:ascii="仿宋" w:hAnsi="仿宋" w:eastAsia="仿宋" w:cs="仿宋"/>
          <w:color w:val="auto"/>
          <w:sz w:val="24"/>
          <w:u w:val="single"/>
        </w:rPr>
        <w:t xml:space="preserve">                                         </w:t>
      </w:r>
    </w:p>
    <w:p w14:paraId="0C62221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承诺方名称：</w:t>
      </w:r>
      <w:r>
        <w:rPr>
          <w:rFonts w:hint="eastAsia" w:ascii="仿宋" w:hAnsi="仿宋" w:eastAsia="仿宋" w:cs="仿宋"/>
          <w:color w:val="auto"/>
          <w:sz w:val="24"/>
          <w:u w:val="single"/>
        </w:rPr>
        <w:t xml:space="preserve">                                      </w:t>
      </w:r>
    </w:p>
    <w:p w14:paraId="6D0E617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承诺方印章：</w:t>
      </w:r>
      <w:r>
        <w:rPr>
          <w:rFonts w:hint="eastAsia" w:ascii="仿宋" w:hAnsi="仿宋" w:eastAsia="仿宋" w:cs="仿宋"/>
          <w:color w:val="auto"/>
          <w:sz w:val="24"/>
          <w:u w:val="single"/>
        </w:rPr>
        <w:t xml:space="preserve">                                      </w:t>
      </w:r>
    </w:p>
    <w:p w14:paraId="73985CE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地址：</w:t>
      </w:r>
      <w:r>
        <w:rPr>
          <w:rFonts w:hint="eastAsia" w:ascii="仿宋" w:hAnsi="仿宋" w:eastAsia="仿宋" w:cs="仿宋"/>
          <w:color w:val="auto"/>
          <w:sz w:val="24"/>
          <w:u w:val="single"/>
        </w:rPr>
        <w:t xml:space="preserve">                                            </w:t>
      </w:r>
    </w:p>
    <w:p w14:paraId="67ECDA0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邮编：</w:t>
      </w:r>
      <w:r>
        <w:rPr>
          <w:rFonts w:hint="eastAsia" w:ascii="仿宋" w:hAnsi="仿宋" w:eastAsia="仿宋" w:cs="仿宋"/>
          <w:color w:val="auto"/>
          <w:sz w:val="24"/>
          <w:u w:val="single"/>
        </w:rPr>
        <w:t xml:space="preserve">                                            </w:t>
      </w:r>
    </w:p>
    <w:p w14:paraId="44A9D5B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电话：</w:t>
      </w:r>
      <w:r>
        <w:rPr>
          <w:rFonts w:hint="eastAsia" w:ascii="仿宋" w:hAnsi="仿宋" w:eastAsia="仿宋" w:cs="仿宋"/>
          <w:color w:val="auto"/>
          <w:sz w:val="24"/>
          <w:u w:val="single"/>
        </w:rPr>
        <w:t xml:space="preserve">                                            </w:t>
      </w:r>
    </w:p>
    <w:p w14:paraId="00EDFF7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传真：</w:t>
      </w:r>
      <w:r>
        <w:rPr>
          <w:rFonts w:hint="eastAsia" w:ascii="仿宋" w:hAnsi="仿宋" w:eastAsia="仿宋" w:cs="仿宋"/>
          <w:color w:val="auto"/>
          <w:sz w:val="24"/>
          <w:u w:val="single"/>
        </w:rPr>
        <w:t xml:space="preserve">                                            </w:t>
      </w:r>
    </w:p>
    <w:p w14:paraId="2F31C50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日期：  年   月   日</w:t>
      </w:r>
    </w:p>
    <w:p w14:paraId="17E06BB0">
      <w:pPr>
        <w:spacing w:line="360" w:lineRule="auto"/>
        <w:rPr>
          <w:rFonts w:hint="eastAsia" w:ascii="仿宋" w:hAnsi="仿宋" w:eastAsia="仿宋" w:cs="仿宋"/>
          <w:color w:val="auto"/>
          <w:sz w:val="24"/>
        </w:rPr>
      </w:pPr>
    </w:p>
    <w:p w14:paraId="7D3CF57E">
      <w:pPr>
        <w:spacing w:line="360" w:lineRule="auto"/>
        <w:rPr>
          <w:rFonts w:hint="eastAsia" w:ascii="仿宋" w:hAnsi="仿宋" w:eastAsia="仿宋" w:cs="仿宋"/>
          <w:color w:val="auto"/>
          <w:sz w:val="24"/>
        </w:rPr>
      </w:pPr>
    </w:p>
    <w:p w14:paraId="654E715F">
      <w:pPr>
        <w:spacing w:line="360" w:lineRule="auto"/>
        <w:rPr>
          <w:rFonts w:hint="eastAsia" w:ascii="仿宋" w:hAnsi="仿宋" w:eastAsia="仿宋" w:cs="仿宋"/>
          <w:color w:val="auto"/>
          <w:sz w:val="24"/>
        </w:rPr>
      </w:pPr>
    </w:p>
    <w:p w14:paraId="2C406966">
      <w:pPr>
        <w:spacing w:line="360" w:lineRule="auto"/>
        <w:jc w:val="center"/>
        <w:rPr>
          <w:rFonts w:hint="eastAsia" w:ascii="仿宋" w:hAnsi="仿宋" w:eastAsia="仿宋" w:cs="仿宋"/>
          <w:b/>
          <w:bCs/>
          <w:color w:val="auto"/>
          <w:sz w:val="24"/>
        </w:rPr>
      </w:pPr>
    </w:p>
    <w:p w14:paraId="03D16F9C">
      <w:pPr>
        <w:spacing w:line="360" w:lineRule="auto"/>
        <w:jc w:val="center"/>
        <w:rPr>
          <w:rFonts w:hint="eastAsia" w:ascii="仿宋" w:hAnsi="仿宋" w:eastAsia="仿宋" w:cs="仿宋"/>
          <w:b/>
          <w:bCs/>
          <w:color w:val="auto"/>
          <w:sz w:val="24"/>
        </w:rPr>
      </w:pPr>
    </w:p>
    <w:p w14:paraId="102F7466">
      <w:pPr>
        <w:spacing w:line="360" w:lineRule="auto"/>
        <w:jc w:val="center"/>
        <w:rPr>
          <w:rFonts w:hint="eastAsia" w:ascii="仿宋" w:hAnsi="仿宋" w:eastAsia="仿宋" w:cs="仿宋"/>
          <w:b/>
          <w:bCs/>
          <w:color w:val="auto"/>
          <w:sz w:val="24"/>
        </w:rPr>
      </w:pPr>
    </w:p>
    <w:p w14:paraId="7A99D210">
      <w:pPr>
        <w:spacing w:line="360" w:lineRule="auto"/>
        <w:jc w:val="center"/>
        <w:rPr>
          <w:rFonts w:hint="eastAsia" w:ascii="仿宋" w:hAnsi="仿宋" w:eastAsia="仿宋" w:cs="仿宋"/>
          <w:b/>
          <w:bCs/>
          <w:color w:val="auto"/>
          <w:sz w:val="24"/>
        </w:rPr>
      </w:pPr>
    </w:p>
    <w:p w14:paraId="0A620468">
      <w:pPr>
        <w:spacing w:line="360" w:lineRule="auto"/>
        <w:jc w:val="both"/>
        <w:rPr>
          <w:rFonts w:hint="eastAsia" w:ascii="仿宋" w:hAnsi="仿宋" w:eastAsia="仿宋" w:cs="仿宋"/>
          <w:color w:val="auto"/>
          <w:sz w:val="24"/>
        </w:rPr>
      </w:pPr>
    </w:p>
    <w:p w14:paraId="507E4D1F">
      <w:pPr>
        <w:spacing w:line="360" w:lineRule="auto"/>
        <w:jc w:val="center"/>
        <w:outlineLvl w:val="1"/>
        <w:rPr>
          <w:rFonts w:hint="eastAsia" w:ascii="仿宋" w:hAnsi="仿宋" w:eastAsia="仿宋" w:cs="仿宋"/>
          <w:b/>
          <w:bCs/>
          <w:color w:val="auto"/>
          <w:sz w:val="44"/>
        </w:rPr>
      </w:pPr>
      <w:r>
        <w:rPr>
          <w:rFonts w:hint="eastAsia" w:ascii="仿宋" w:hAnsi="仿宋" w:eastAsia="仿宋" w:cs="仿宋"/>
          <w:color w:val="auto"/>
          <w:sz w:val="24"/>
        </w:rPr>
        <w:br w:type="page"/>
      </w:r>
    </w:p>
    <w:p w14:paraId="213AF73D">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十三</w:t>
      </w:r>
      <w:r>
        <w:rPr>
          <w:rFonts w:hint="eastAsia" w:ascii="仿宋" w:hAnsi="仿宋" w:eastAsia="仿宋" w:cs="仿宋"/>
          <w:b/>
          <w:color w:val="auto"/>
          <w:sz w:val="28"/>
          <w:szCs w:val="28"/>
        </w:rPr>
        <w:t>、陕西省政府采购供应商拒绝政府采购领域商业贿赂承诺书</w:t>
      </w:r>
    </w:p>
    <w:p w14:paraId="0CEFFC34">
      <w:pPr>
        <w:widowControl/>
        <w:spacing w:line="408" w:lineRule="auto"/>
        <w:ind w:left="239" w:leftChars="114" w:firstLine="470" w:firstLineChars="196"/>
        <w:jc w:val="left"/>
        <w:rPr>
          <w:rFonts w:hint="eastAsia" w:ascii="仿宋" w:hAnsi="仿宋" w:eastAsia="仿宋" w:cs="仿宋"/>
          <w:color w:val="auto"/>
          <w:kern w:val="0"/>
          <w:sz w:val="24"/>
        </w:rPr>
      </w:pPr>
    </w:p>
    <w:p w14:paraId="55F9A0BD">
      <w:pPr>
        <w:widowControl/>
        <w:spacing w:line="408" w:lineRule="auto"/>
        <w:ind w:left="239" w:leftChars="114" w:firstLine="470" w:firstLineChars="196"/>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为响应党中央、国务院关于治理政府采购领域商业贿赂行为的号召，我公司在此庄严承诺：</w:t>
      </w:r>
    </w:p>
    <w:p w14:paraId="05ED8373">
      <w:pPr>
        <w:widowControl/>
        <w:spacing w:line="408" w:lineRule="auto"/>
        <w:ind w:left="239" w:leftChars="114" w:firstLine="470" w:firstLineChars="196"/>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1、在参与政府采购活动中遵纪守法、诚信经营、公平竞标。</w:t>
      </w:r>
    </w:p>
    <w:p w14:paraId="454FC5EC">
      <w:pPr>
        <w:widowControl/>
        <w:spacing w:line="408" w:lineRule="auto"/>
        <w:ind w:left="239" w:leftChars="114" w:firstLine="470" w:firstLineChars="196"/>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2、不向政府采购人、采购代理机构和政府采购评审专家进行任何形式的商业贿赂以谋取交易机会。</w:t>
      </w:r>
    </w:p>
    <w:p w14:paraId="2FCFB3D6">
      <w:pPr>
        <w:widowControl/>
        <w:spacing w:line="408" w:lineRule="auto"/>
        <w:ind w:left="239" w:leftChars="114" w:firstLine="470" w:firstLineChars="196"/>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3、不向政府采购代理机构和采购人提供虚假资质文件或采用虚假应标方式参与政府采购市场竞争并谋取中标、成交。</w:t>
      </w:r>
    </w:p>
    <w:p w14:paraId="411DEA32">
      <w:pPr>
        <w:widowControl/>
        <w:spacing w:line="408" w:lineRule="auto"/>
        <w:ind w:left="239" w:leftChars="114" w:firstLine="470" w:firstLineChars="196"/>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4、不采取“围标、陪标”等商业欺诈手段获得政府采购定单。</w:t>
      </w:r>
    </w:p>
    <w:p w14:paraId="18FBF0BE">
      <w:pPr>
        <w:widowControl/>
        <w:spacing w:line="408" w:lineRule="auto"/>
        <w:ind w:left="239" w:leftChars="114" w:firstLine="470" w:firstLineChars="196"/>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5、不采取不正当手段诋毁、排挤其他供应商。</w:t>
      </w:r>
    </w:p>
    <w:p w14:paraId="3B28905B">
      <w:pPr>
        <w:widowControl/>
        <w:spacing w:line="408" w:lineRule="auto"/>
        <w:ind w:left="239" w:leftChars="114" w:firstLine="470" w:firstLineChars="196"/>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6、不在提供商品和服务时“偷梁换柱、以次充好”损害采购人的合法权益。</w:t>
      </w:r>
    </w:p>
    <w:p w14:paraId="384806B8">
      <w:pPr>
        <w:widowControl/>
        <w:spacing w:line="408" w:lineRule="auto"/>
        <w:ind w:left="239" w:leftChars="114" w:firstLine="470" w:firstLineChars="196"/>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7、不与采购人、采购代理机构政府采购评审专家或其它供应商恶意串通，进行质疑和投诉，维护政府采购市场秩序。</w:t>
      </w:r>
    </w:p>
    <w:p w14:paraId="2568EAE1">
      <w:pPr>
        <w:widowControl/>
        <w:spacing w:line="408" w:lineRule="auto"/>
        <w:ind w:left="239" w:leftChars="114" w:firstLine="470" w:firstLineChars="196"/>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8、尊重和接受政府采购监督管理部门的监督和政府采购代理机构招标采购要求，承担因违约行为给采购人造成的损失。</w:t>
      </w:r>
    </w:p>
    <w:p w14:paraId="1E0D6136">
      <w:pPr>
        <w:widowControl/>
        <w:spacing w:line="408" w:lineRule="auto"/>
        <w:ind w:left="239" w:leftChars="114" w:firstLine="470" w:firstLineChars="196"/>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9、不发生其他有悖于政府采购公开、公平、公正和诚信原则的行为。</w:t>
      </w:r>
    </w:p>
    <w:p w14:paraId="7DCB5B61">
      <w:pPr>
        <w:pStyle w:val="13"/>
        <w:rPr>
          <w:rFonts w:hint="eastAsia" w:ascii="仿宋" w:hAnsi="仿宋" w:eastAsia="仿宋" w:cs="仿宋"/>
          <w:color w:val="auto"/>
          <w:lang w:eastAsia="zh-CN"/>
        </w:rPr>
      </w:pPr>
    </w:p>
    <w:p w14:paraId="4D349BC9">
      <w:pPr>
        <w:spacing w:line="480" w:lineRule="auto"/>
        <w:rPr>
          <w:rFonts w:hint="eastAsia" w:ascii="仿宋" w:hAnsi="仿宋" w:eastAsia="仿宋" w:cs="仿宋"/>
          <w:color w:val="auto"/>
          <w:kern w:val="0"/>
          <w:sz w:val="24"/>
        </w:rPr>
      </w:pPr>
      <w:r>
        <w:rPr>
          <w:rFonts w:hint="eastAsia" w:ascii="仿宋" w:hAnsi="仿宋" w:eastAsia="仿宋" w:cs="仿宋"/>
          <w:color w:val="auto"/>
          <w:kern w:val="0"/>
          <w:sz w:val="24"/>
        </w:rPr>
        <w:t>投标人名称：</w:t>
      </w:r>
    </w:p>
    <w:p w14:paraId="25DF2B3B">
      <w:pPr>
        <w:spacing w:line="480" w:lineRule="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公章：</w:t>
      </w:r>
    </w:p>
    <w:p w14:paraId="337452BA">
      <w:pPr>
        <w:spacing w:line="480" w:lineRule="auto"/>
        <w:rPr>
          <w:rFonts w:hint="eastAsia" w:ascii="仿宋" w:hAnsi="仿宋" w:eastAsia="仿宋" w:cs="仿宋"/>
          <w:color w:val="auto"/>
          <w:kern w:val="0"/>
          <w:sz w:val="24"/>
        </w:rPr>
      </w:pPr>
      <w:r>
        <w:rPr>
          <w:rFonts w:hint="eastAsia" w:ascii="仿宋" w:hAnsi="仿宋" w:eastAsia="仿宋" w:cs="仿宋"/>
          <w:color w:val="auto"/>
          <w:kern w:val="0"/>
          <w:sz w:val="24"/>
        </w:rPr>
        <w:t>授权代表签字：</w:t>
      </w:r>
    </w:p>
    <w:p w14:paraId="7E6CBE69">
      <w:pPr>
        <w:spacing w:line="360" w:lineRule="auto"/>
        <w:jc w:val="center"/>
        <w:outlineLvl w:val="1"/>
        <w:rPr>
          <w:rFonts w:hint="eastAsia" w:ascii="仿宋" w:hAnsi="仿宋" w:eastAsia="仿宋" w:cs="仿宋"/>
          <w:color w:val="auto"/>
          <w:kern w:val="0"/>
          <w:sz w:val="24"/>
        </w:rPr>
      </w:pPr>
      <w:r>
        <w:rPr>
          <w:rFonts w:hint="eastAsia" w:ascii="仿宋" w:hAnsi="仿宋" w:eastAsia="仿宋" w:cs="仿宋"/>
          <w:color w:val="auto"/>
          <w:kern w:val="0"/>
          <w:sz w:val="24"/>
        </w:rPr>
        <w:br w:type="page"/>
      </w:r>
      <w:bookmarkEnd w:id="74"/>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、其他证明材料</w:t>
      </w:r>
    </w:p>
    <w:p w14:paraId="37619392">
      <w:pPr>
        <w:spacing w:line="360" w:lineRule="auto"/>
        <w:jc w:val="center"/>
        <w:outlineLvl w:val="1"/>
        <w:rPr>
          <w:rFonts w:hint="eastAsia" w:ascii="仿宋" w:hAnsi="仿宋" w:eastAsia="仿宋" w:cs="仿宋"/>
          <w:b/>
          <w:bCs/>
          <w:color w:val="auto"/>
          <w:sz w:val="44"/>
        </w:rPr>
      </w:pPr>
    </w:p>
    <w:p w14:paraId="1FD6D1E1">
      <w:pPr>
        <w:pStyle w:val="13"/>
        <w:rPr>
          <w:rFonts w:hint="eastAsia" w:ascii="仿宋" w:hAnsi="仿宋" w:eastAsia="仿宋" w:cs="仿宋"/>
          <w:b/>
          <w:bCs/>
          <w:color w:val="auto"/>
          <w:sz w:val="44"/>
        </w:rPr>
      </w:pPr>
    </w:p>
    <w:p w14:paraId="0ED008C4">
      <w:pPr>
        <w:rPr>
          <w:rFonts w:hint="eastAsia" w:ascii="仿宋" w:hAnsi="仿宋" w:eastAsia="仿宋" w:cs="仿宋"/>
          <w:b/>
          <w:bCs/>
          <w:color w:val="auto"/>
          <w:sz w:val="44"/>
        </w:rPr>
      </w:pPr>
    </w:p>
    <w:p w14:paraId="09EEFF75">
      <w:pPr>
        <w:pStyle w:val="13"/>
        <w:rPr>
          <w:rFonts w:hint="eastAsia" w:ascii="仿宋" w:hAnsi="仿宋" w:eastAsia="仿宋" w:cs="仿宋"/>
          <w:b/>
          <w:bCs/>
          <w:color w:val="auto"/>
          <w:sz w:val="44"/>
        </w:rPr>
      </w:pPr>
    </w:p>
    <w:p w14:paraId="65BE5787">
      <w:pPr>
        <w:rPr>
          <w:rFonts w:hint="eastAsia" w:ascii="仿宋" w:hAnsi="仿宋" w:eastAsia="仿宋" w:cs="仿宋"/>
          <w:b/>
          <w:bCs/>
          <w:color w:val="auto"/>
          <w:sz w:val="44"/>
        </w:rPr>
      </w:pPr>
    </w:p>
    <w:p w14:paraId="3165BF07">
      <w:pPr>
        <w:pStyle w:val="13"/>
        <w:rPr>
          <w:rFonts w:hint="eastAsia" w:ascii="仿宋" w:hAnsi="仿宋" w:eastAsia="仿宋" w:cs="仿宋"/>
          <w:b/>
          <w:bCs/>
          <w:color w:val="auto"/>
          <w:sz w:val="44"/>
        </w:rPr>
      </w:pPr>
    </w:p>
    <w:p w14:paraId="44052A50">
      <w:pPr>
        <w:rPr>
          <w:rFonts w:hint="eastAsia" w:ascii="仿宋" w:hAnsi="仿宋" w:eastAsia="仿宋" w:cs="仿宋"/>
          <w:b/>
          <w:bCs/>
          <w:color w:val="auto"/>
          <w:sz w:val="44"/>
        </w:rPr>
      </w:pPr>
    </w:p>
    <w:p w14:paraId="174E8508">
      <w:pPr>
        <w:pStyle w:val="13"/>
        <w:rPr>
          <w:rFonts w:hint="eastAsia" w:ascii="仿宋" w:hAnsi="仿宋" w:eastAsia="仿宋" w:cs="仿宋"/>
          <w:b/>
          <w:bCs/>
          <w:color w:val="auto"/>
          <w:sz w:val="44"/>
        </w:rPr>
      </w:pPr>
    </w:p>
    <w:p w14:paraId="0BAB01C2">
      <w:pPr>
        <w:rPr>
          <w:rFonts w:hint="eastAsia" w:ascii="仿宋" w:hAnsi="仿宋" w:eastAsia="仿宋" w:cs="仿宋"/>
          <w:b/>
          <w:bCs/>
          <w:color w:val="auto"/>
          <w:sz w:val="44"/>
        </w:rPr>
      </w:pPr>
    </w:p>
    <w:p w14:paraId="73B91A50">
      <w:pPr>
        <w:pStyle w:val="13"/>
        <w:rPr>
          <w:rFonts w:hint="eastAsia" w:ascii="仿宋" w:hAnsi="仿宋" w:eastAsia="仿宋" w:cs="仿宋"/>
          <w:b/>
          <w:bCs/>
          <w:color w:val="auto"/>
          <w:sz w:val="44"/>
        </w:rPr>
      </w:pPr>
    </w:p>
    <w:p w14:paraId="0F9E1A6F">
      <w:pPr>
        <w:rPr>
          <w:rFonts w:hint="eastAsia" w:ascii="仿宋" w:hAnsi="仿宋" w:eastAsia="仿宋" w:cs="仿宋"/>
          <w:b/>
          <w:bCs/>
          <w:color w:val="auto"/>
          <w:sz w:val="44"/>
        </w:rPr>
      </w:pPr>
    </w:p>
    <w:p w14:paraId="30BBF04F">
      <w:pPr>
        <w:pStyle w:val="13"/>
        <w:rPr>
          <w:rFonts w:hint="eastAsia" w:ascii="仿宋" w:hAnsi="仿宋" w:eastAsia="仿宋" w:cs="仿宋"/>
          <w:b/>
          <w:bCs/>
          <w:color w:val="auto"/>
          <w:sz w:val="44"/>
        </w:rPr>
      </w:pPr>
    </w:p>
    <w:p w14:paraId="4C90EA50">
      <w:pPr>
        <w:rPr>
          <w:rFonts w:hint="eastAsia" w:ascii="仿宋" w:hAnsi="仿宋" w:eastAsia="仿宋" w:cs="仿宋"/>
          <w:b/>
          <w:bCs/>
          <w:color w:val="auto"/>
          <w:sz w:val="44"/>
        </w:rPr>
      </w:pPr>
    </w:p>
    <w:p w14:paraId="58B7E758">
      <w:pPr>
        <w:pStyle w:val="13"/>
        <w:rPr>
          <w:rFonts w:hint="eastAsia" w:ascii="仿宋" w:hAnsi="仿宋" w:eastAsia="仿宋" w:cs="仿宋"/>
          <w:b/>
          <w:bCs/>
          <w:color w:val="auto"/>
          <w:sz w:val="44"/>
        </w:rPr>
      </w:pPr>
    </w:p>
    <w:p w14:paraId="5E80BF58">
      <w:pPr>
        <w:rPr>
          <w:rFonts w:hint="eastAsia" w:ascii="仿宋" w:hAnsi="仿宋" w:eastAsia="仿宋" w:cs="仿宋"/>
          <w:b/>
          <w:bCs/>
          <w:color w:val="auto"/>
          <w:sz w:val="44"/>
        </w:rPr>
      </w:pPr>
    </w:p>
    <w:p w14:paraId="530CBE5A">
      <w:pPr>
        <w:spacing w:line="360" w:lineRule="auto"/>
        <w:jc w:val="both"/>
        <w:outlineLvl w:val="1"/>
        <w:rPr>
          <w:rFonts w:hint="eastAsia" w:ascii="仿宋" w:hAnsi="仿宋" w:eastAsia="仿宋" w:cs="仿宋"/>
          <w:color w:val="auto"/>
          <w:kern w:val="0"/>
          <w:sz w:val="24"/>
          <w:lang w:eastAsia="zh-CN"/>
        </w:rPr>
      </w:pPr>
    </w:p>
    <w:p w14:paraId="2FB38C59">
      <w:pPr>
        <w:spacing w:line="360" w:lineRule="auto"/>
        <w:jc w:val="both"/>
        <w:outlineLvl w:val="1"/>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附件：</w:t>
      </w:r>
    </w:p>
    <w:p w14:paraId="06B2B91A">
      <w:pPr>
        <w:spacing w:line="360" w:lineRule="auto"/>
        <w:jc w:val="center"/>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中小企业声明函（如有）</w:t>
      </w:r>
    </w:p>
    <w:p w14:paraId="0A4F3820">
      <w:pPr>
        <w:spacing w:line="360" w:lineRule="auto"/>
        <w:ind w:firstLine="496" w:firstLineChars="200"/>
        <w:jc w:val="left"/>
        <w:rPr>
          <w:rFonts w:hint="eastAsia" w:ascii="仿宋" w:hAnsi="仿宋" w:eastAsia="仿宋" w:cs="仿宋"/>
          <w:color w:val="auto"/>
          <w:spacing w:val="4"/>
          <w:sz w:val="24"/>
          <w:lang w:eastAsia="zh-CN"/>
        </w:rPr>
      </w:pPr>
    </w:p>
    <w:p w14:paraId="427C6A23">
      <w:pPr>
        <w:spacing w:line="360" w:lineRule="auto"/>
        <w:ind w:firstLine="496" w:firstLineChars="200"/>
        <w:jc w:val="left"/>
        <w:rPr>
          <w:rFonts w:hint="eastAsia" w:ascii="仿宋" w:hAnsi="仿宋" w:eastAsia="仿宋" w:cs="仿宋"/>
          <w:color w:val="auto"/>
          <w:spacing w:val="4"/>
          <w:sz w:val="24"/>
        </w:rPr>
      </w:pPr>
      <w:r>
        <w:rPr>
          <w:rFonts w:hint="eastAsia" w:ascii="仿宋" w:hAnsi="仿宋" w:eastAsia="仿宋" w:cs="仿宋"/>
          <w:color w:val="auto"/>
          <w:spacing w:val="4"/>
          <w:sz w:val="24"/>
          <w:lang w:eastAsia="zh-CN"/>
        </w:rPr>
        <w:t>请各位投标商</w:t>
      </w:r>
      <w:r>
        <w:rPr>
          <w:rFonts w:hint="eastAsia" w:ascii="仿宋" w:hAnsi="仿宋" w:eastAsia="仿宋" w:cs="仿宋"/>
          <w:color w:val="auto"/>
          <w:spacing w:val="4"/>
          <w:sz w:val="24"/>
        </w:rPr>
        <w:t>根据实际情况提供，没有则不提供。投标人声明函将随结果公告一同公布，接受社会监督。</w:t>
      </w:r>
    </w:p>
    <w:p w14:paraId="12655400">
      <w:pPr>
        <w:spacing w:line="360" w:lineRule="auto"/>
        <w:ind w:firstLine="496" w:firstLineChars="200"/>
        <w:jc w:val="left"/>
        <w:rPr>
          <w:rFonts w:hint="eastAsia" w:ascii="仿宋" w:hAnsi="仿宋" w:eastAsia="仿宋" w:cs="仿宋"/>
          <w:color w:val="auto"/>
          <w:spacing w:val="4"/>
          <w:sz w:val="24"/>
        </w:rPr>
      </w:pPr>
    </w:p>
    <w:p w14:paraId="30927FC8">
      <w:pPr>
        <w:spacing w:line="360" w:lineRule="auto"/>
        <w:ind w:firstLine="496" w:firstLineChars="200"/>
        <w:jc w:val="left"/>
        <w:rPr>
          <w:rFonts w:hint="eastAsia" w:ascii="仿宋" w:hAnsi="仿宋" w:eastAsia="仿宋" w:cs="仿宋"/>
          <w:color w:val="auto"/>
          <w:spacing w:val="4"/>
          <w:sz w:val="24"/>
        </w:rPr>
      </w:pPr>
      <w:r>
        <w:rPr>
          <w:rFonts w:hint="eastAsia" w:ascii="仿宋" w:hAnsi="仿宋" w:eastAsia="仿宋" w:cs="仿宋"/>
          <w:color w:val="auto"/>
          <w:spacing w:val="4"/>
          <w:sz w:val="24"/>
        </w:rPr>
        <w:t>本公司郑重声明，根据《政府采购促进中小企业发展管理办法》（财库﹝2020﹞46号）的规定，本公司参加</w:t>
      </w:r>
      <w:r>
        <w:rPr>
          <w:rFonts w:hint="eastAsia" w:ascii="仿宋" w:hAnsi="仿宋" w:eastAsia="仿宋" w:cs="仿宋"/>
          <w:i/>
          <w:color w:val="auto"/>
          <w:spacing w:val="4"/>
          <w:sz w:val="24"/>
          <w:u w:val="single"/>
        </w:rPr>
        <w:t>（单位名称）</w:t>
      </w:r>
      <w:r>
        <w:rPr>
          <w:rFonts w:hint="eastAsia" w:ascii="仿宋" w:hAnsi="仿宋" w:eastAsia="仿宋" w:cs="仿宋"/>
          <w:color w:val="auto"/>
          <w:spacing w:val="4"/>
          <w:sz w:val="24"/>
        </w:rPr>
        <w:t>的</w:t>
      </w:r>
      <w:r>
        <w:rPr>
          <w:rFonts w:hint="eastAsia" w:ascii="仿宋" w:hAnsi="仿宋" w:eastAsia="仿宋" w:cs="仿宋"/>
          <w:i/>
          <w:color w:val="auto"/>
          <w:spacing w:val="4"/>
          <w:sz w:val="24"/>
          <w:u w:val="single"/>
        </w:rPr>
        <w:t>（项目名称）</w:t>
      </w:r>
      <w:r>
        <w:rPr>
          <w:rFonts w:hint="eastAsia" w:ascii="仿宋" w:hAnsi="仿宋" w:eastAsia="仿宋" w:cs="仿宋"/>
          <w:color w:val="auto"/>
          <w:spacing w:val="4"/>
          <w:sz w:val="24"/>
        </w:rPr>
        <w:t>采购活动，提供的货物全部由符合政策要求的中小企业制造</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 xml:space="preserve">相关企业的具体情况如下： </w:t>
      </w:r>
    </w:p>
    <w:p w14:paraId="3B1A7B60">
      <w:pPr>
        <w:spacing w:line="360" w:lineRule="auto"/>
        <w:ind w:firstLine="496" w:firstLineChars="200"/>
        <w:jc w:val="left"/>
        <w:rPr>
          <w:rFonts w:hint="eastAsia" w:ascii="仿宋" w:hAnsi="仿宋" w:eastAsia="仿宋" w:cs="仿宋"/>
          <w:color w:val="auto"/>
          <w:spacing w:val="4"/>
          <w:sz w:val="24"/>
        </w:rPr>
      </w:pPr>
      <w:r>
        <w:rPr>
          <w:rFonts w:hint="eastAsia" w:ascii="仿宋" w:hAnsi="仿宋" w:eastAsia="仿宋" w:cs="仿宋"/>
          <w:color w:val="auto"/>
          <w:spacing w:val="4"/>
          <w:sz w:val="24"/>
        </w:rPr>
        <w:t>1.</w:t>
      </w:r>
      <w:r>
        <w:rPr>
          <w:rFonts w:hint="eastAsia" w:ascii="仿宋" w:hAnsi="仿宋" w:eastAsia="仿宋" w:cs="仿宋"/>
          <w:i/>
          <w:color w:val="auto"/>
          <w:spacing w:val="4"/>
          <w:sz w:val="24"/>
          <w:u w:val="single"/>
        </w:rPr>
        <w:t>（标的名称）</w:t>
      </w:r>
      <w:r>
        <w:rPr>
          <w:rFonts w:hint="eastAsia" w:ascii="仿宋" w:hAnsi="仿宋" w:eastAsia="仿宋" w:cs="仿宋"/>
          <w:color w:val="auto"/>
          <w:spacing w:val="4"/>
          <w:sz w:val="24"/>
        </w:rPr>
        <w:t>，属于</w:t>
      </w:r>
      <w:r>
        <w:rPr>
          <w:rFonts w:hint="eastAsia" w:ascii="仿宋" w:hAnsi="仿宋" w:eastAsia="仿宋" w:cs="仿宋"/>
          <w:i/>
          <w:color w:val="auto"/>
          <w:spacing w:val="4"/>
          <w:sz w:val="24"/>
          <w:u w:val="single"/>
        </w:rPr>
        <w:t>（采购文件中明确的所属行业）</w:t>
      </w:r>
      <w:r>
        <w:rPr>
          <w:rFonts w:hint="eastAsia" w:ascii="仿宋" w:hAnsi="仿宋" w:eastAsia="仿宋" w:cs="仿宋"/>
          <w:color w:val="auto"/>
          <w:spacing w:val="4"/>
          <w:sz w:val="24"/>
        </w:rPr>
        <w:t>；制造商为</w:t>
      </w:r>
      <w:r>
        <w:rPr>
          <w:rFonts w:hint="eastAsia" w:ascii="仿宋" w:hAnsi="仿宋" w:eastAsia="仿宋" w:cs="仿宋"/>
          <w:i/>
          <w:color w:val="auto"/>
          <w:spacing w:val="4"/>
          <w:sz w:val="24"/>
          <w:u w:val="single"/>
        </w:rPr>
        <w:t>（企业名称）</w:t>
      </w:r>
      <w:r>
        <w:rPr>
          <w:rFonts w:hint="eastAsia" w:ascii="仿宋" w:hAnsi="仿宋" w:eastAsia="仿宋" w:cs="仿宋"/>
          <w:color w:val="auto"/>
          <w:spacing w:val="4"/>
          <w:sz w:val="24"/>
        </w:rPr>
        <w:t>，从业人员</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人，营业收入为</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万元，资产总额为</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万元，属于</w:t>
      </w:r>
      <w:r>
        <w:rPr>
          <w:rFonts w:hint="eastAsia" w:ascii="仿宋" w:hAnsi="仿宋" w:eastAsia="仿宋" w:cs="仿宋"/>
          <w:i/>
          <w:color w:val="auto"/>
          <w:spacing w:val="4"/>
          <w:sz w:val="24"/>
          <w:u w:val="single"/>
        </w:rPr>
        <w:t>（中型企业、小型企业、微型企业）</w:t>
      </w:r>
      <w:r>
        <w:rPr>
          <w:rFonts w:hint="eastAsia" w:ascii="仿宋" w:hAnsi="仿宋" w:eastAsia="仿宋" w:cs="仿宋"/>
          <w:color w:val="auto"/>
          <w:spacing w:val="4"/>
          <w:sz w:val="24"/>
        </w:rPr>
        <w:t xml:space="preserve">； </w:t>
      </w:r>
    </w:p>
    <w:p w14:paraId="763095FE">
      <w:pPr>
        <w:spacing w:line="360" w:lineRule="auto"/>
        <w:ind w:firstLine="496" w:firstLineChars="200"/>
        <w:jc w:val="left"/>
        <w:rPr>
          <w:rFonts w:hint="eastAsia" w:ascii="仿宋" w:hAnsi="仿宋" w:eastAsia="仿宋" w:cs="仿宋"/>
          <w:color w:val="auto"/>
          <w:spacing w:val="4"/>
          <w:sz w:val="24"/>
        </w:rPr>
      </w:pPr>
      <w:r>
        <w:rPr>
          <w:rFonts w:hint="eastAsia" w:ascii="仿宋" w:hAnsi="仿宋" w:eastAsia="仿宋" w:cs="仿宋"/>
          <w:color w:val="auto"/>
          <w:spacing w:val="4"/>
          <w:sz w:val="24"/>
        </w:rPr>
        <w:t>2.</w:t>
      </w:r>
      <w:r>
        <w:rPr>
          <w:rFonts w:hint="eastAsia" w:ascii="仿宋" w:hAnsi="仿宋" w:eastAsia="仿宋" w:cs="仿宋"/>
          <w:i/>
          <w:color w:val="auto"/>
          <w:spacing w:val="4"/>
          <w:sz w:val="24"/>
          <w:u w:val="single"/>
        </w:rPr>
        <w:t>（标的名称）</w:t>
      </w:r>
      <w:r>
        <w:rPr>
          <w:rFonts w:hint="eastAsia" w:ascii="仿宋" w:hAnsi="仿宋" w:eastAsia="仿宋" w:cs="仿宋"/>
          <w:color w:val="auto"/>
          <w:spacing w:val="4"/>
          <w:sz w:val="24"/>
        </w:rPr>
        <w:t>，属于</w:t>
      </w:r>
      <w:r>
        <w:rPr>
          <w:rFonts w:hint="eastAsia" w:ascii="仿宋" w:hAnsi="仿宋" w:eastAsia="仿宋" w:cs="仿宋"/>
          <w:i/>
          <w:color w:val="auto"/>
          <w:spacing w:val="4"/>
          <w:sz w:val="24"/>
          <w:u w:val="single"/>
        </w:rPr>
        <w:t>（采购文件中明确的所属行业）</w:t>
      </w:r>
      <w:r>
        <w:rPr>
          <w:rFonts w:hint="eastAsia" w:ascii="仿宋" w:hAnsi="仿宋" w:eastAsia="仿宋" w:cs="仿宋"/>
          <w:color w:val="auto"/>
          <w:spacing w:val="4"/>
          <w:sz w:val="24"/>
        </w:rPr>
        <w:t>；制造商为</w:t>
      </w:r>
      <w:r>
        <w:rPr>
          <w:rFonts w:hint="eastAsia" w:ascii="仿宋" w:hAnsi="仿宋" w:eastAsia="仿宋" w:cs="仿宋"/>
          <w:i/>
          <w:color w:val="auto"/>
          <w:spacing w:val="4"/>
          <w:sz w:val="24"/>
          <w:u w:val="single"/>
        </w:rPr>
        <w:t>（企业名称）</w:t>
      </w:r>
      <w:r>
        <w:rPr>
          <w:rFonts w:hint="eastAsia" w:ascii="仿宋" w:hAnsi="仿宋" w:eastAsia="仿宋" w:cs="仿宋"/>
          <w:color w:val="auto"/>
          <w:spacing w:val="4"/>
          <w:sz w:val="24"/>
        </w:rPr>
        <w:t>，从业人员</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人，营业收入为</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万元，资产总额为</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万元，属于</w:t>
      </w:r>
      <w:r>
        <w:rPr>
          <w:rFonts w:hint="eastAsia" w:ascii="仿宋" w:hAnsi="仿宋" w:eastAsia="仿宋" w:cs="仿宋"/>
          <w:i/>
          <w:color w:val="auto"/>
          <w:spacing w:val="4"/>
          <w:sz w:val="24"/>
          <w:u w:val="single"/>
        </w:rPr>
        <w:t>（中型企业、小型企业、微型企业）</w:t>
      </w:r>
      <w:r>
        <w:rPr>
          <w:rFonts w:hint="eastAsia" w:ascii="仿宋" w:hAnsi="仿宋" w:eastAsia="仿宋" w:cs="仿宋"/>
          <w:color w:val="auto"/>
          <w:spacing w:val="4"/>
          <w:sz w:val="24"/>
        </w:rPr>
        <w:t xml:space="preserve">； </w:t>
      </w:r>
    </w:p>
    <w:p w14:paraId="3C3CB7F0">
      <w:pPr>
        <w:spacing w:line="360" w:lineRule="auto"/>
        <w:ind w:firstLine="496" w:firstLineChars="200"/>
        <w:jc w:val="left"/>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 </w:t>
      </w:r>
    </w:p>
    <w:p w14:paraId="1B5524B6">
      <w:pPr>
        <w:spacing w:line="360" w:lineRule="auto"/>
        <w:ind w:firstLine="496" w:firstLineChars="200"/>
        <w:jc w:val="left"/>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以上企业，不属于大企业的分支机构，不存在控股股东为大企业的情形，也不存在与大企业的负责人为同一人的情形。 </w:t>
      </w:r>
    </w:p>
    <w:p w14:paraId="18B2C31A">
      <w:pPr>
        <w:spacing w:line="360" w:lineRule="auto"/>
        <w:ind w:firstLine="496" w:firstLineChars="200"/>
        <w:jc w:val="left"/>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本企业对上述声明内容的真实性负责。如有虚假，将依法承担相应责任。 </w:t>
      </w:r>
    </w:p>
    <w:p w14:paraId="0D8F09DD">
      <w:pPr>
        <w:spacing w:line="360" w:lineRule="auto"/>
        <w:ind w:firstLine="4340" w:firstLineChars="1750"/>
        <w:jc w:val="left"/>
        <w:rPr>
          <w:rFonts w:hint="eastAsia" w:ascii="仿宋" w:hAnsi="仿宋" w:eastAsia="仿宋" w:cs="仿宋"/>
          <w:color w:val="auto"/>
          <w:spacing w:val="4"/>
          <w:sz w:val="24"/>
        </w:rPr>
      </w:pPr>
    </w:p>
    <w:p w14:paraId="293F294A">
      <w:pPr>
        <w:spacing w:line="360" w:lineRule="auto"/>
        <w:ind w:firstLine="5332" w:firstLineChars="2150"/>
        <w:jc w:val="left"/>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企业名称（盖章）： </w:t>
      </w:r>
    </w:p>
    <w:p w14:paraId="2D1C6622">
      <w:pPr>
        <w:spacing w:line="360" w:lineRule="auto"/>
        <w:ind w:firstLine="5332" w:firstLineChars="2150"/>
        <w:jc w:val="left"/>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日    期： </w:t>
      </w:r>
    </w:p>
    <w:p w14:paraId="4796747C">
      <w:pPr>
        <w:spacing w:line="360" w:lineRule="auto"/>
        <w:ind w:firstLine="4900" w:firstLineChars="1750"/>
        <w:jc w:val="left"/>
        <w:rPr>
          <w:rFonts w:hint="eastAsia" w:ascii="仿宋" w:hAnsi="仿宋" w:eastAsia="仿宋" w:cs="仿宋"/>
          <w:color w:val="auto"/>
          <w:sz w:val="28"/>
          <w:szCs w:val="28"/>
        </w:rPr>
      </w:pPr>
    </w:p>
    <w:p w14:paraId="77DA05A7">
      <w:pPr>
        <w:spacing w:line="360" w:lineRule="auto"/>
        <w:ind w:firstLine="4900" w:firstLineChars="1750"/>
        <w:jc w:val="left"/>
        <w:rPr>
          <w:rFonts w:hint="eastAsia" w:ascii="仿宋" w:hAnsi="仿宋" w:eastAsia="仿宋" w:cs="仿宋"/>
          <w:color w:val="auto"/>
          <w:sz w:val="28"/>
          <w:szCs w:val="28"/>
        </w:rPr>
      </w:pPr>
    </w:p>
    <w:p w14:paraId="2D640235">
      <w:pPr>
        <w:tabs>
          <w:tab w:val="left" w:pos="4380"/>
        </w:tabs>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ab/>
      </w:r>
    </w:p>
    <w:p w14:paraId="1F5DB37C">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 xml:space="preserve">从业人员、营业收入、资产总额填报上一年度数据，无上一年度数据的新成立企业可不填报。 </w:t>
      </w:r>
    </w:p>
    <w:p w14:paraId="35AF2648">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14:paraId="2A800537">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 xml:space="preserve"> </w:t>
      </w:r>
    </w:p>
    <w:p w14:paraId="4081CA87">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26B0550E">
      <w:pPr>
        <w:spacing w:line="360" w:lineRule="auto"/>
        <w:jc w:val="center"/>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残疾人福利性单位声明函（如有）</w:t>
      </w:r>
    </w:p>
    <w:p w14:paraId="3D2174D0">
      <w:pPr>
        <w:pStyle w:val="111"/>
        <w:ind w:firstLine="504"/>
        <w:rPr>
          <w:rFonts w:hint="eastAsia" w:ascii="仿宋" w:hAnsi="仿宋" w:eastAsia="仿宋" w:cs="仿宋"/>
          <w:color w:val="auto"/>
          <w:sz w:val="18"/>
          <w:szCs w:val="18"/>
          <w:lang w:val="en-US" w:eastAsia="zh-CN" w:bidi="ar-SA"/>
        </w:rPr>
      </w:pPr>
    </w:p>
    <w:p w14:paraId="1A2572F5">
      <w:pPr>
        <w:pStyle w:val="111"/>
        <w:ind w:firstLine="504"/>
        <w:rPr>
          <w:rFonts w:hint="eastAsia" w:ascii="仿宋" w:hAnsi="仿宋" w:eastAsia="仿宋" w:cs="仿宋"/>
          <w:color w:val="auto"/>
          <w:sz w:val="18"/>
          <w:szCs w:val="18"/>
          <w:lang w:val="en-US" w:eastAsia="zh-CN" w:bidi="ar-SA"/>
        </w:rPr>
      </w:pPr>
    </w:p>
    <w:p w14:paraId="6DB21A46">
      <w:pPr>
        <w:pStyle w:val="111"/>
        <w:ind w:firstLine="504"/>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lang w:val="en-US" w:eastAsia="zh-CN" w:bidi="ar-SA"/>
        </w:rPr>
        <w:t>根据《财政部、民政部、中国残疾人联合会关于促进残疾人就业政府采购政策的通知》（财库[2017]141号）的规定，由供应商自行申明，并对申明真实性负责。如有虚假，将依法承担相应责任。</w:t>
      </w:r>
    </w:p>
    <w:p w14:paraId="01031FD9">
      <w:pPr>
        <w:spacing w:line="588" w:lineRule="exact"/>
        <w:rPr>
          <w:rFonts w:hint="eastAsia" w:ascii="仿宋" w:hAnsi="仿宋" w:eastAsia="仿宋" w:cs="仿宋"/>
          <w:b/>
          <w:color w:val="auto"/>
          <w:spacing w:val="6"/>
          <w:sz w:val="30"/>
          <w:szCs w:val="30"/>
        </w:rPr>
      </w:pPr>
    </w:p>
    <w:p w14:paraId="3BE30573">
      <w:pPr>
        <w:spacing w:line="360" w:lineRule="auto"/>
        <w:ind w:firstLine="496" w:firstLineChars="200"/>
        <w:jc w:val="left"/>
        <w:rPr>
          <w:rFonts w:hint="eastAsia" w:ascii="仿宋" w:hAnsi="仿宋" w:eastAsia="仿宋" w:cs="仿宋"/>
          <w:color w:val="auto"/>
          <w:spacing w:val="4"/>
          <w:sz w:val="24"/>
        </w:rPr>
      </w:pPr>
      <w:r>
        <w:rPr>
          <w:rFonts w:hint="eastAsia" w:ascii="仿宋" w:hAnsi="仿宋" w:eastAsia="仿宋" w:cs="仿宋"/>
          <w:color w:val="auto"/>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单位的</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项目采购活动提供服务。</w:t>
      </w:r>
    </w:p>
    <w:p w14:paraId="2CF0502E">
      <w:pPr>
        <w:spacing w:line="360" w:lineRule="auto"/>
        <w:ind w:firstLine="496" w:firstLineChars="200"/>
        <w:jc w:val="left"/>
        <w:rPr>
          <w:rFonts w:hint="eastAsia" w:ascii="仿宋" w:hAnsi="仿宋" w:eastAsia="仿宋" w:cs="仿宋"/>
          <w:color w:val="auto"/>
          <w:spacing w:val="4"/>
          <w:sz w:val="24"/>
        </w:rPr>
      </w:pPr>
      <w:r>
        <w:rPr>
          <w:rFonts w:hint="eastAsia" w:ascii="仿宋" w:hAnsi="仿宋" w:eastAsia="仿宋" w:cs="仿宋"/>
          <w:color w:val="auto"/>
          <w:spacing w:val="4"/>
          <w:sz w:val="24"/>
        </w:rPr>
        <w:t>本单位对上述声明的真实性负责。如有虚假，将依法承担相应责任。</w:t>
      </w:r>
    </w:p>
    <w:p w14:paraId="1A8DB5B1">
      <w:pPr>
        <w:spacing w:line="360" w:lineRule="auto"/>
        <w:ind w:firstLine="496" w:firstLineChars="200"/>
        <w:jc w:val="left"/>
        <w:rPr>
          <w:rFonts w:hint="eastAsia" w:ascii="仿宋" w:hAnsi="仿宋" w:eastAsia="仿宋" w:cs="仿宋"/>
          <w:color w:val="auto"/>
          <w:spacing w:val="4"/>
          <w:sz w:val="24"/>
        </w:rPr>
      </w:pPr>
    </w:p>
    <w:p w14:paraId="52867F52">
      <w:pPr>
        <w:spacing w:line="360" w:lineRule="auto"/>
        <w:ind w:firstLine="496" w:firstLineChars="200"/>
        <w:jc w:val="left"/>
        <w:rPr>
          <w:rFonts w:hint="eastAsia" w:ascii="仿宋" w:hAnsi="仿宋" w:eastAsia="仿宋" w:cs="仿宋"/>
          <w:color w:val="auto"/>
          <w:spacing w:val="4"/>
          <w:sz w:val="24"/>
        </w:rPr>
      </w:pPr>
    </w:p>
    <w:p w14:paraId="5C57DA41">
      <w:pPr>
        <w:spacing w:line="360" w:lineRule="auto"/>
        <w:ind w:firstLine="496" w:firstLineChars="200"/>
        <w:jc w:val="left"/>
        <w:rPr>
          <w:rFonts w:hint="eastAsia" w:ascii="仿宋" w:hAnsi="仿宋" w:eastAsia="仿宋" w:cs="仿宋"/>
          <w:color w:val="auto"/>
          <w:spacing w:val="4"/>
          <w:sz w:val="24"/>
        </w:rPr>
      </w:pPr>
      <w:r>
        <w:rPr>
          <w:rFonts w:hint="eastAsia" w:ascii="仿宋" w:hAnsi="仿宋" w:eastAsia="仿宋" w:cs="仿宋"/>
          <w:color w:val="auto"/>
          <w:spacing w:val="4"/>
          <w:sz w:val="24"/>
        </w:rPr>
        <w:t xml:space="preserve">                                        </w:t>
      </w:r>
    </w:p>
    <w:p w14:paraId="28AD732C">
      <w:pPr>
        <w:spacing w:line="360" w:lineRule="auto"/>
        <w:ind w:firstLine="496" w:firstLineChars="200"/>
        <w:jc w:val="left"/>
        <w:rPr>
          <w:rFonts w:hint="eastAsia" w:ascii="仿宋" w:hAnsi="仿宋" w:eastAsia="仿宋" w:cs="仿宋"/>
          <w:color w:val="auto"/>
          <w:spacing w:val="4"/>
          <w:sz w:val="24"/>
        </w:rPr>
      </w:pPr>
    </w:p>
    <w:p w14:paraId="68B1D593">
      <w:pPr>
        <w:spacing w:line="360" w:lineRule="auto"/>
        <w:ind w:firstLine="496" w:firstLineChars="200"/>
        <w:jc w:val="center"/>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单位名称（盖章）：</w:t>
      </w:r>
    </w:p>
    <w:p w14:paraId="75C4504F">
      <w:pPr>
        <w:spacing w:line="360" w:lineRule="auto"/>
        <w:ind w:firstLine="496" w:firstLineChars="200"/>
        <w:jc w:val="center"/>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    期：</w:t>
      </w:r>
    </w:p>
    <w:p w14:paraId="0C06947C">
      <w:pPr>
        <w:rPr>
          <w:rFonts w:hint="eastAsia" w:ascii="仿宋" w:hAnsi="仿宋" w:eastAsia="仿宋" w:cs="仿宋"/>
          <w:color w:val="auto"/>
        </w:rPr>
      </w:pPr>
    </w:p>
    <w:p w14:paraId="24B5AA4F">
      <w:pPr>
        <w:widowControl/>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0CD3BAC1">
      <w:pPr>
        <w:widowControl/>
        <w:jc w:val="center"/>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监狱企业证明文件（如有）</w:t>
      </w:r>
    </w:p>
    <w:p w14:paraId="570910AB">
      <w:pPr>
        <w:pStyle w:val="13"/>
        <w:rPr>
          <w:rFonts w:hint="eastAsia" w:ascii="仿宋" w:hAnsi="仿宋" w:eastAsia="仿宋" w:cs="仿宋"/>
          <w:color w:val="auto"/>
        </w:rPr>
      </w:pPr>
    </w:p>
    <w:p w14:paraId="4F520E27">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779B7E59">
      <w:pPr>
        <w:pStyle w:val="13"/>
        <w:rPr>
          <w:rFonts w:hint="eastAsia" w:ascii="仿宋" w:hAnsi="仿宋" w:eastAsia="仿宋" w:cs="仿宋"/>
          <w:color w:val="auto"/>
          <w:spacing w:val="6"/>
          <w:sz w:val="28"/>
          <w:szCs w:val="36"/>
        </w:rPr>
      </w:pPr>
    </w:p>
    <w:p w14:paraId="432F8738">
      <w:pPr>
        <w:pStyle w:val="112"/>
        <w:rPr>
          <w:rFonts w:hint="eastAsia" w:ascii="仿宋" w:hAnsi="仿宋" w:eastAsia="仿宋" w:cs="仿宋"/>
          <w:color w:val="auto"/>
          <w:spacing w:val="6"/>
          <w:sz w:val="28"/>
          <w:szCs w:val="36"/>
        </w:rPr>
      </w:pPr>
    </w:p>
    <w:p w14:paraId="4B06B161">
      <w:pPr>
        <w:pStyle w:val="112"/>
        <w:rPr>
          <w:rFonts w:hint="eastAsia" w:ascii="仿宋" w:hAnsi="仿宋" w:eastAsia="仿宋" w:cs="仿宋"/>
          <w:color w:val="auto"/>
          <w:spacing w:val="6"/>
          <w:sz w:val="28"/>
          <w:szCs w:val="36"/>
        </w:rPr>
      </w:pPr>
    </w:p>
    <w:p w14:paraId="0791D7A4">
      <w:pPr>
        <w:pStyle w:val="112"/>
        <w:rPr>
          <w:rFonts w:hint="eastAsia" w:ascii="仿宋" w:hAnsi="仿宋" w:eastAsia="仿宋" w:cs="仿宋"/>
          <w:color w:val="auto"/>
          <w:spacing w:val="6"/>
          <w:sz w:val="28"/>
          <w:szCs w:val="36"/>
        </w:rPr>
      </w:pPr>
    </w:p>
    <w:p w14:paraId="6C6EB62D">
      <w:pPr>
        <w:spacing w:line="360" w:lineRule="auto"/>
        <w:ind w:firstLine="496" w:firstLineChars="200"/>
        <w:jc w:val="left"/>
        <w:rPr>
          <w:rFonts w:hint="eastAsia" w:ascii="仿宋" w:hAnsi="仿宋" w:eastAsia="仿宋" w:cs="仿宋"/>
          <w:color w:val="auto"/>
          <w:spacing w:val="4"/>
          <w:sz w:val="24"/>
        </w:rPr>
      </w:pPr>
    </w:p>
    <w:p w14:paraId="45A31EDD">
      <w:pPr>
        <w:spacing w:line="360" w:lineRule="auto"/>
        <w:ind w:firstLine="496" w:firstLineChars="200"/>
        <w:jc w:val="center"/>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 xml:space="preserve"> 单位名称（盖章）：</w:t>
      </w:r>
    </w:p>
    <w:p w14:paraId="2DD86189">
      <w:pPr>
        <w:spacing w:line="360" w:lineRule="auto"/>
        <w:ind w:firstLine="496" w:firstLineChars="200"/>
        <w:jc w:val="center"/>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    期：</w:t>
      </w:r>
    </w:p>
    <w:p w14:paraId="3B872314">
      <w:pPr>
        <w:pStyle w:val="13"/>
        <w:rPr>
          <w:rFonts w:hint="eastAsia" w:ascii="仿宋" w:hAnsi="仿宋" w:eastAsia="仿宋" w:cs="仿宋"/>
          <w:color w:val="auto"/>
          <w:spacing w:val="6"/>
          <w:sz w:val="28"/>
          <w:szCs w:val="36"/>
        </w:rPr>
      </w:pPr>
    </w:p>
    <w:p w14:paraId="32584EC9">
      <w:pPr>
        <w:pStyle w:val="112"/>
        <w:rPr>
          <w:rFonts w:hint="eastAsia" w:ascii="仿宋" w:hAnsi="仿宋" w:eastAsia="仿宋" w:cs="仿宋"/>
          <w:color w:val="auto"/>
          <w:spacing w:val="6"/>
          <w:sz w:val="28"/>
          <w:szCs w:val="36"/>
        </w:rPr>
      </w:pPr>
    </w:p>
    <w:p w14:paraId="187C5511">
      <w:pPr>
        <w:pStyle w:val="112"/>
        <w:rPr>
          <w:rFonts w:hint="eastAsia" w:ascii="仿宋" w:hAnsi="仿宋" w:eastAsia="仿宋" w:cs="仿宋"/>
          <w:color w:val="auto"/>
          <w:spacing w:val="6"/>
          <w:sz w:val="28"/>
          <w:szCs w:val="36"/>
        </w:rPr>
      </w:pPr>
    </w:p>
    <w:p w14:paraId="529B46E4">
      <w:pPr>
        <w:pStyle w:val="112"/>
        <w:rPr>
          <w:rFonts w:hint="eastAsia" w:ascii="仿宋" w:hAnsi="仿宋" w:eastAsia="仿宋" w:cs="仿宋"/>
          <w:color w:val="auto"/>
          <w:spacing w:val="6"/>
          <w:sz w:val="28"/>
          <w:szCs w:val="36"/>
        </w:rPr>
      </w:pPr>
    </w:p>
    <w:p w14:paraId="6CB554C6">
      <w:pPr>
        <w:widowControl/>
        <w:jc w:val="left"/>
        <w:rPr>
          <w:rFonts w:hint="eastAsia" w:ascii="仿宋" w:hAnsi="仿宋" w:eastAsia="仿宋" w:cs="仿宋"/>
          <w:b/>
          <w:color w:val="auto"/>
          <w:sz w:val="28"/>
          <w:szCs w:val="28"/>
        </w:rPr>
      </w:pPr>
    </w:p>
    <w:p w14:paraId="6ED9827C">
      <w:pPr>
        <w:widowControl/>
        <w:jc w:val="left"/>
        <w:rPr>
          <w:rFonts w:hint="eastAsia" w:ascii="仿宋" w:hAnsi="仿宋" w:eastAsia="仿宋" w:cs="仿宋"/>
          <w:b/>
          <w:color w:val="auto"/>
          <w:sz w:val="28"/>
          <w:szCs w:val="28"/>
        </w:rPr>
      </w:pPr>
    </w:p>
    <w:p w14:paraId="113D5AE4">
      <w:pPr>
        <w:widowControl/>
        <w:jc w:val="left"/>
        <w:rPr>
          <w:rFonts w:hint="eastAsia" w:ascii="仿宋" w:hAnsi="仿宋" w:eastAsia="仿宋" w:cs="仿宋"/>
          <w:b/>
          <w:color w:val="auto"/>
          <w:sz w:val="28"/>
          <w:szCs w:val="28"/>
        </w:rPr>
      </w:pPr>
    </w:p>
    <w:p w14:paraId="1D22BB1F">
      <w:pPr>
        <w:widowControl/>
        <w:jc w:val="left"/>
        <w:rPr>
          <w:rFonts w:hint="eastAsia" w:ascii="仿宋" w:hAnsi="仿宋" w:eastAsia="仿宋" w:cs="仿宋"/>
          <w:b/>
          <w:color w:val="auto"/>
          <w:sz w:val="28"/>
          <w:szCs w:val="28"/>
        </w:rPr>
      </w:pPr>
    </w:p>
    <w:p w14:paraId="12BFDE53">
      <w:pPr>
        <w:widowControl/>
        <w:jc w:val="left"/>
        <w:rPr>
          <w:rFonts w:hint="eastAsia" w:ascii="仿宋" w:hAnsi="仿宋" w:eastAsia="仿宋" w:cs="仿宋"/>
          <w:b/>
          <w:color w:val="auto"/>
          <w:sz w:val="28"/>
          <w:szCs w:val="28"/>
        </w:rPr>
      </w:pPr>
    </w:p>
    <w:p w14:paraId="4B617B77">
      <w:pPr>
        <w:widowControl/>
        <w:jc w:val="left"/>
        <w:rPr>
          <w:rFonts w:hint="eastAsia" w:ascii="仿宋" w:hAnsi="仿宋" w:eastAsia="仿宋" w:cs="仿宋"/>
          <w:b/>
          <w:color w:val="auto"/>
          <w:sz w:val="28"/>
          <w:szCs w:val="28"/>
        </w:rPr>
      </w:pPr>
    </w:p>
    <w:p w14:paraId="6B3C1F0E">
      <w:pPr>
        <w:widowControl/>
        <w:jc w:val="left"/>
        <w:rPr>
          <w:rFonts w:hint="eastAsia" w:ascii="仿宋" w:hAnsi="仿宋" w:eastAsia="仿宋" w:cs="仿宋"/>
          <w:b/>
          <w:color w:val="auto"/>
          <w:sz w:val="28"/>
          <w:szCs w:val="28"/>
        </w:rPr>
      </w:pPr>
    </w:p>
    <w:p w14:paraId="21BB15BA">
      <w:pPr>
        <w:rPr>
          <w:rFonts w:hint="eastAsia" w:ascii="仿宋" w:hAnsi="仿宋" w:eastAsia="仿宋" w:cs="仿宋"/>
          <w:b/>
          <w:color w:val="auto"/>
          <w:kern w:val="2"/>
          <w:sz w:val="28"/>
          <w:szCs w:val="28"/>
          <w:lang w:val="en-US" w:eastAsia="zh-CN" w:bidi="ar-SA"/>
        </w:rPr>
      </w:pPr>
      <w:bookmarkStart w:id="77" w:name="_Toc24197"/>
      <w:bookmarkStart w:id="78" w:name="_Toc5020"/>
      <w:bookmarkStart w:id="79" w:name="_Toc14693"/>
      <w:bookmarkStart w:id="80" w:name="_Toc23254"/>
      <w:bookmarkStart w:id="81" w:name="_Toc22336"/>
      <w:bookmarkStart w:id="82" w:name="_Toc22428"/>
      <w:bookmarkStart w:id="83" w:name="_Toc19378"/>
      <w:bookmarkStart w:id="84" w:name="_Toc13303"/>
      <w:bookmarkStart w:id="85" w:name="_Toc810"/>
      <w:bookmarkStart w:id="86" w:name="_Toc4076"/>
      <w:bookmarkStart w:id="87" w:name="_Toc29358"/>
      <w:bookmarkStart w:id="88" w:name="_Toc12828"/>
      <w:bookmarkStart w:id="89" w:name="_Toc28873"/>
      <w:bookmarkStart w:id="90" w:name="_Toc31338"/>
      <w:bookmarkStart w:id="91" w:name="_Toc14629"/>
      <w:bookmarkStart w:id="92" w:name="_Toc21834"/>
      <w:bookmarkStart w:id="93" w:name="_Toc24315"/>
      <w:bookmarkStart w:id="94" w:name="_Toc27326"/>
      <w:r>
        <w:rPr>
          <w:rFonts w:hint="eastAsia" w:ascii="仿宋" w:hAnsi="仿宋" w:eastAsia="仿宋" w:cs="仿宋"/>
          <w:b/>
          <w:color w:val="auto"/>
          <w:kern w:val="2"/>
          <w:sz w:val="28"/>
          <w:szCs w:val="28"/>
          <w:lang w:val="en-US" w:eastAsia="zh-CN" w:bidi="ar-SA"/>
        </w:rPr>
        <w:br w:type="page"/>
      </w:r>
    </w:p>
    <w:p w14:paraId="35056B7B">
      <w:pPr>
        <w:widowControl/>
        <w:spacing w:line="360" w:lineRule="auto"/>
        <w:jc w:val="center"/>
        <w:outlineLvl w:val="1"/>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“节能产品”、“环境标志产品”证明材料</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ascii="仿宋" w:hAnsi="仿宋" w:eastAsia="仿宋" w:cs="仿宋"/>
          <w:b/>
          <w:color w:val="auto"/>
          <w:sz w:val="28"/>
          <w:szCs w:val="28"/>
        </w:rPr>
        <w:t>（如有）</w:t>
      </w:r>
    </w:p>
    <w:p w14:paraId="79832900">
      <w:pPr>
        <w:widowControl/>
        <w:spacing w:line="360" w:lineRule="auto"/>
        <w:ind w:firstLine="504" w:firstLineChars="200"/>
        <w:rPr>
          <w:rFonts w:hint="eastAsia" w:ascii="仿宋" w:hAnsi="仿宋" w:eastAsia="仿宋" w:cs="仿宋"/>
          <w:color w:val="auto"/>
          <w:spacing w:val="6"/>
          <w:sz w:val="24"/>
        </w:rPr>
      </w:pPr>
    </w:p>
    <w:p w14:paraId="68C07039">
      <w:pPr>
        <w:widowControl/>
        <w:spacing w:line="360" w:lineRule="auto"/>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供应商提供的产品属于下列情形</w:t>
      </w:r>
      <w:r>
        <w:rPr>
          <w:rFonts w:hint="eastAsia" w:ascii="仿宋" w:hAnsi="仿宋" w:eastAsia="仿宋" w:cs="仿宋"/>
          <w:color w:val="auto"/>
          <w:spacing w:val="6"/>
          <w:sz w:val="24"/>
          <w:lang w:eastAsia="zh-CN"/>
        </w:rPr>
        <w:t>的</w:t>
      </w:r>
      <w:r>
        <w:rPr>
          <w:rFonts w:hint="eastAsia" w:ascii="仿宋" w:hAnsi="仿宋" w:eastAsia="仿宋" w:cs="仿宋"/>
          <w:color w:val="auto"/>
          <w:spacing w:val="6"/>
          <w:sz w:val="24"/>
        </w:rPr>
        <w:t>，提供产品列入</w:t>
      </w:r>
      <w:r>
        <w:rPr>
          <w:rFonts w:hint="eastAsia" w:ascii="仿宋" w:hAnsi="仿宋" w:eastAsia="仿宋" w:cs="仿宋"/>
          <w:color w:val="auto"/>
          <w:spacing w:val="6"/>
          <w:sz w:val="24"/>
          <w:lang w:eastAsia="zh-CN"/>
        </w:rPr>
        <w:t>“节能产品”、“环境标志产品”证明材料（如有）</w:t>
      </w:r>
      <w:r>
        <w:rPr>
          <w:rFonts w:hint="eastAsia" w:ascii="仿宋" w:hAnsi="仿宋" w:eastAsia="仿宋" w:cs="仿宋"/>
          <w:color w:val="auto"/>
          <w:spacing w:val="6"/>
          <w:sz w:val="24"/>
        </w:rPr>
        <w:t>所在页的复印件（该</w:t>
      </w:r>
      <w:r>
        <w:rPr>
          <w:rFonts w:hint="eastAsia" w:ascii="仿宋" w:hAnsi="仿宋" w:eastAsia="仿宋" w:cs="仿宋"/>
          <w:color w:val="auto"/>
          <w:spacing w:val="6"/>
          <w:sz w:val="24"/>
          <w:lang w:eastAsia="zh-CN"/>
        </w:rPr>
        <w:t>页</w:t>
      </w:r>
      <w:r>
        <w:rPr>
          <w:rFonts w:hint="eastAsia" w:ascii="仿宋" w:hAnsi="仿宋" w:eastAsia="仿宋" w:cs="仿宋"/>
          <w:color w:val="auto"/>
          <w:spacing w:val="6"/>
          <w:sz w:val="24"/>
        </w:rPr>
        <w:t>包含制造商或企业名称或申请单位名称、规格型号、有效期截止日期等内容），并加盖供应商单位</w:t>
      </w:r>
      <w:r>
        <w:rPr>
          <w:rFonts w:hint="eastAsia" w:ascii="仿宋" w:hAnsi="仿宋" w:eastAsia="仿宋" w:cs="仿宋"/>
          <w:color w:val="auto"/>
          <w:spacing w:val="6"/>
          <w:sz w:val="24"/>
          <w:lang w:eastAsia="zh-CN"/>
        </w:rPr>
        <w:t>公</w:t>
      </w:r>
      <w:r>
        <w:rPr>
          <w:rFonts w:hint="eastAsia" w:ascii="仿宋" w:hAnsi="仿宋" w:eastAsia="仿宋" w:cs="仿宋"/>
          <w:color w:val="auto"/>
          <w:spacing w:val="6"/>
          <w:sz w:val="24"/>
        </w:rPr>
        <w:t>章。</w:t>
      </w:r>
    </w:p>
    <w:p w14:paraId="4E2C7CEF">
      <w:pPr>
        <w:widowControl/>
        <w:numPr>
          <w:ilvl w:val="0"/>
          <w:numId w:val="0"/>
        </w:numPr>
        <w:spacing w:line="360" w:lineRule="auto"/>
        <w:ind w:firstLine="504" w:firstLineChars="200"/>
        <w:rPr>
          <w:rFonts w:hint="eastAsia" w:ascii="仿宋" w:hAnsi="仿宋" w:eastAsia="仿宋" w:cs="仿宋"/>
          <w:color w:val="auto"/>
          <w:sz w:val="24"/>
          <w:szCs w:val="24"/>
        </w:rPr>
      </w:pPr>
      <w:r>
        <w:rPr>
          <w:rFonts w:hint="eastAsia" w:ascii="仿宋" w:hAnsi="仿宋" w:eastAsia="仿宋" w:cs="仿宋"/>
          <w:color w:val="auto"/>
          <w:spacing w:val="6"/>
          <w:sz w:val="24"/>
          <w:lang w:val="en-US" w:eastAsia="zh-CN"/>
        </w:rPr>
        <w:t>1、</w:t>
      </w:r>
      <w:r>
        <w:rPr>
          <w:rFonts w:hint="eastAsia" w:ascii="仿宋" w:hAnsi="仿宋" w:eastAsia="仿宋" w:cs="仿宋"/>
          <w:color w:val="auto"/>
          <w:spacing w:val="6"/>
          <w:sz w:val="24"/>
        </w:rPr>
        <w:t>符合政府采购强制采购政策的</w:t>
      </w:r>
      <w:r>
        <w:rPr>
          <w:rFonts w:hint="eastAsia" w:ascii="仿宋" w:hAnsi="仿宋" w:eastAsia="仿宋" w:cs="仿宋"/>
          <w:color w:val="auto"/>
          <w:sz w:val="24"/>
          <w:szCs w:val="24"/>
        </w:rPr>
        <w:t>财政部、环境保护部发布的《节能产品政府采购清单》中标记的“强制采购节能产品”。</w:t>
      </w:r>
    </w:p>
    <w:p w14:paraId="19866344">
      <w:pPr>
        <w:widowControl/>
        <w:numPr>
          <w:ilvl w:val="0"/>
          <w:numId w:val="0"/>
        </w:numPr>
        <w:spacing w:line="360" w:lineRule="auto"/>
        <w:ind w:firstLine="504" w:firstLineChars="200"/>
        <w:rPr>
          <w:rFonts w:hint="eastAsia" w:ascii="仿宋" w:hAnsi="仿宋" w:eastAsia="仿宋" w:cs="仿宋"/>
          <w:color w:val="auto"/>
          <w:sz w:val="24"/>
          <w:szCs w:val="24"/>
        </w:rPr>
      </w:pPr>
      <w:r>
        <w:rPr>
          <w:rFonts w:hint="eastAsia" w:ascii="仿宋" w:hAnsi="仿宋" w:eastAsia="仿宋" w:cs="仿宋"/>
          <w:color w:val="auto"/>
          <w:spacing w:val="6"/>
          <w:sz w:val="24"/>
          <w:lang w:val="en-US" w:eastAsia="zh-CN"/>
        </w:rPr>
        <w:t>2、</w:t>
      </w:r>
      <w:r>
        <w:rPr>
          <w:rFonts w:hint="eastAsia" w:ascii="仿宋" w:hAnsi="仿宋" w:eastAsia="仿宋" w:cs="仿宋"/>
          <w:color w:val="auto"/>
          <w:spacing w:val="6"/>
          <w:sz w:val="24"/>
        </w:rPr>
        <w:t>符合政府采购强制采购政策的</w:t>
      </w:r>
      <w:r>
        <w:rPr>
          <w:rFonts w:hint="eastAsia" w:ascii="仿宋" w:hAnsi="仿宋" w:eastAsia="仿宋" w:cs="仿宋"/>
          <w:color w:val="auto"/>
          <w:sz w:val="24"/>
          <w:szCs w:val="24"/>
        </w:rPr>
        <w:t>财政部、环境保护部发布的《环境标志产品政府采购清单》中标记的的“环境标志产品”。</w:t>
      </w:r>
    </w:p>
    <w:p w14:paraId="6054517C">
      <w:pPr>
        <w:widowControl/>
        <w:spacing w:line="360" w:lineRule="auto"/>
        <w:jc w:val="left"/>
        <w:rPr>
          <w:rFonts w:hint="eastAsia" w:ascii="仿宋" w:hAnsi="仿宋" w:eastAsia="仿宋" w:cs="仿宋"/>
          <w:color w:val="auto"/>
        </w:rPr>
      </w:pPr>
    </w:p>
    <w:p w14:paraId="45DFFAD2">
      <w:pPr>
        <w:pStyle w:val="13"/>
        <w:spacing w:line="360" w:lineRule="auto"/>
        <w:rPr>
          <w:rFonts w:hint="eastAsia" w:ascii="仿宋" w:hAnsi="仿宋" w:eastAsia="仿宋" w:cs="仿宋"/>
          <w:color w:val="auto"/>
        </w:rPr>
      </w:pPr>
    </w:p>
    <w:p w14:paraId="20D6B2FE">
      <w:pPr>
        <w:spacing w:line="360" w:lineRule="auto"/>
        <w:rPr>
          <w:rFonts w:hint="eastAsia" w:ascii="仿宋" w:hAnsi="仿宋" w:eastAsia="仿宋" w:cs="仿宋"/>
          <w:color w:val="auto"/>
          <w:spacing w:val="4"/>
          <w:sz w:val="24"/>
        </w:rPr>
      </w:pPr>
      <w:r>
        <w:rPr>
          <w:rFonts w:hint="eastAsia" w:ascii="仿宋" w:hAnsi="仿宋" w:eastAsia="仿宋" w:cs="仿宋"/>
          <w:color w:val="auto"/>
          <w:spacing w:val="4"/>
          <w:sz w:val="24"/>
          <w:lang w:eastAsia="zh-CN"/>
        </w:rPr>
        <w:t>注：</w:t>
      </w:r>
      <w:r>
        <w:rPr>
          <w:rFonts w:hint="eastAsia" w:ascii="仿宋" w:hAnsi="仿宋" w:eastAsia="仿宋" w:cs="仿宋"/>
          <w:color w:val="auto"/>
          <w:spacing w:val="4"/>
          <w:sz w:val="24"/>
        </w:rPr>
        <w:t>本单位对上述声明的真实性负责。如有虚假，将依法承担相应责任。</w:t>
      </w:r>
    </w:p>
    <w:p w14:paraId="2E83E118">
      <w:pPr>
        <w:pStyle w:val="13"/>
        <w:spacing w:line="360" w:lineRule="auto"/>
        <w:rPr>
          <w:rFonts w:hint="eastAsia" w:ascii="仿宋" w:hAnsi="仿宋" w:eastAsia="仿宋" w:cs="仿宋"/>
          <w:color w:val="auto"/>
          <w:spacing w:val="4"/>
          <w:sz w:val="24"/>
        </w:rPr>
      </w:pPr>
    </w:p>
    <w:p w14:paraId="483E42F9">
      <w:pPr>
        <w:spacing w:line="360" w:lineRule="auto"/>
        <w:rPr>
          <w:rFonts w:hint="eastAsia" w:ascii="仿宋" w:hAnsi="仿宋" w:eastAsia="仿宋" w:cs="仿宋"/>
          <w:color w:val="auto"/>
          <w:spacing w:val="4"/>
          <w:sz w:val="24"/>
        </w:rPr>
      </w:pPr>
    </w:p>
    <w:p w14:paraId="0B925503">
      <w:pPr>
        <w:pStyle w:val="13"/>
        <w:spacing w:line="360" w:lineRule="auto"/>
        <w:rPr>
          <w:rFonts w:hint="eastAsia" w:ascii="仿宋" w:hAnsi="仿宋" w:eastAsia="仿宋" w:cs="仿宋"/>
          <w:color w:val="auto"/>
          <w:spacing w:val="4"/>
          <w:sz w:val="24"/>
        </w:rPr>
      </w:pPr>
    </w:p>
    <w:p w14:paraId="33195EE0">
      <w:pPr>
        <w:spacing w:line="360" w:lineRule="auto"/>
        <w:rPr>
          <w:rFonts w:hint="eastAsia" w:ascii="仿宋" w:hAnsi="仿宋" w:eastAsia="仿宋" w:cs="仿宋"/>
          <w:color w:val="auto"/>
          <w:spacing w:val="4"/>
          <w:sz w:val="24"/>
        </w:rPr>
      </w:pPr>
    </w:p>
    <w:p w14:paraId="0B1BA17F">
      <w:pPr>
        <w:spacing w:line="360" w:lineRule="auto"/>
        <w:ind w:firstLine="496" w:firstLineChars="200"/>
        <w:jc w:val="center"/>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单位名称（盖章）：</w:t>
      </w:r>
    </w:p>
    <w:p w14:paraId="4DDC3BBC">
      <w:pPr>
        <w:spacing w:line="360" w:lineRule="auto"/>
        <w:ind w:firstLine="496" w:firstLineChars="200"/>
        <w:jc w:val="center"/>
        <w:rPr>
          <w:rFonts w:hint="eastAsia" w:ascii="仿宋" w:hAnsi="仿宋" w:eastAsia="仿宋" w:cs="仿宋"/>
          <w:color w:val="auto"/>
          <w:spacing w:val="4"/>
          <w:sz w:val="24"/>
        </w:rPr>
      </w:pP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    期：</w:t>
      </w:r>
    </w:p>
    <w:p w14:paraId="3AE2EB69">
      <w:pPr>
        <w:pStyle w:val="13"/>
        <w:rPr>
          <w:rFonts w:hint="eastAsia" w:ascii="仿宋" w:hAnsi="仿宋" w:eastAsia="仿宋" w:cs="仿宋"/>
          <w:b/>
          <w:bCs/>
          <w:color w:val="auto"/>
          <w:sz w:val="44"/>
        </w:rPr>
      </w:pPr>
    </w:p>
    <w:p w14:paraId="758E0DF7">
      <w:pPr>
        <w:rPr>
          <w:rFonts w:hint="eastAsia"/>
          <w:color w:val="auto"/>
        </w:rPr>
      </w:pPr>
    </w:p>
    <w:sectPr>
      <w:footerReference r:id="rId9" w:type="even"/>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3280">
    <w:pPr>
      <w:spacing w:line="188" w:lineRule="auto"/>
      <w:ind w:left="170" w:hanging="180" w:hangingChars="100"/>
      <w:jc w:val="left"/>
      <w:rPr>
        <w:rFonts w:hint="default" w:ascii="Calibri" w:hAnsi="Calibri" w:eastAsia="宋体" w:cs="Calibri"/>
        <w:sz w:val="18"/>
        <w:szCs w:val="18"/>
        <w:lang w:val="en-US" w:eastAsia="zh-CN"/>
      </w:rPr>
    </w:pPr>
    <w:r>
      <w:rPr>
        <w:rFonts w:hint="eastAsia" w:ascii="Calibri" w:hAnsi="Calibri" w:eastAsia="宋体" w:cs="Calibri"/>
        <w:sz w:val="18"/>
        <w:szCs w:val="18"/>
        <w:lang w:eastAsia="zh-CN"/>
      </w:rPr>
      <w:t>陕西方得项目管理有限公司</w:t>
    </w:r>
    <w:r>
      <w:rPr>
        <w:rFonts w:hint="eastAsia" w:ascii="Calibri" w:hAnsi="Calibri" w:eastAsia="宋体" w:cs="Calibri"/>
        <w:sz w:val="18"/>
        <w:szCs w:val="18"/>
        <w:lang w:val="en-US" w:eastAsia="zh-CN"/>
      </w:rPr>
      <w:t xml:space="preserve">                                                                 13038911990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BB9A">
    <w:pPr>
      <w:spacing w:line="188" w:lineRule="auto"/>
      <w:ind w:left="170" w:hanging="180" w:hangingChars="100"/>
      <w:jc w:val="left"/>
      <w:rPr>
        <w:rFonts w:hint="default" w:ascii="Calibri" w:hAnsi="Calibri" w:eastAsia="宋体" w:cs="Calibri"/>
        <w:sz w:val="18"/>
        <w:szCs w:val="18"/>
        <w:lang w:val="en-US" w:eastAsia="zh-CN"/>
      </w:rPr>
    </w:pPr>
    <w:r>
      <w:rPr>
        <w:rFonts w:hint="eastAsia" w:ascii="Calibri" w:hAnsi="Calibri" w:eastAsia="宋体" w:cs="Calibri"/>
        <w:sz w:val="18"/>
        <w:szCs w:val="18"/>
        <w:lang w:eastAsia="zh-CN"/>
      </w:rPr>
      <w:t>陕西方得项目管理有限公司</w:t>
    </w:r>
    <w:r>
      <w:rPr>
        <w:rFonts w:hint="eastAsia" w:ascii="Calibri" w:hAnsi="Calibri" w:eastAsia="宋体" w:cs="Calibri"/>
        <w:sz w:val="18"/>
        <w:szCs w:val="18"/>
        <w:lang w:val="en-US" w:eastAsia="zh-CN"/>
      </w:rPr>
      <w:t xml:space="preserve">                                             </w:t>
    </w:r>
    <w:r>
      <w:rPr>
        <w:rFonts w:hint="eastAsia" w:ascii="Calibri" w:hAnsi="Calibri" w:cs="Calibri"/>
        <w:sz w:val="18"/>
        <w:szCs w:val="18"/>
        <w:lang w:val="en-US" w:eastAsia="zh-CN"/>
      </w:rPr>
      <w:t xml:space="preserve">           </w:t>
    </w:r>
    <w:r>
      <w:rPr>
        <w:rFonts w:hint="eastAsia" w:ascii="Calibri" w:hAnsi="Calibri" w:eastAsia="宋体" w:cs="Calibri"/>
        <w:sz w:val="18"/>
        <w:szCs w:val="18"/>
        <w:lang w:val="en-US" w:eastAsia="zh-CN"/>
      </w:rPr>
      <w:t>13038911990</w:t>
    </w:r>
  </w:p>
  <w:p w14:paraId="5441AD56">
    <w:pPr>
      <w:pStyle w:val="21"/>
    </w:pPr>
    <w:r>
      <w:rPr>
        <w:sz w:val="21"/>
      </w:rP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99632">
                          <w:pPr>
                            <w:pStyle w:val="2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204.75pt;margin-top:0.8pt;height:144pt;width:144pt;mso-position-horizontal-relative:margin;mso-wrap-style:none;z-index:251659264;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vSWEtUAAAAJAQAADwAAAAAAAAABACAAAAAiAAAAZHJzL2Rv&#10;d25yZXYueG1sUEsBAhQAFAAAAAgAh07iQEqXIvPLAQAAnAMAAA4AAAAAAAAAAQAgAAAAJAEAAGRy&#10;cy9lMm9Eb2MueG1sUEsFBgAAAAAGAAYAWQEAAGEFAAAAAA==&#10;">
              <v:fill on="f" focussize="0,0"/>
              <v:stroke on="f"/>
              <v:imagedata o:title=""/>
              <o:lock v:ext="edit" aspectratio="f"/>
              <v:textbox inset="0mm,0mm,0mm,0mm" style="mso-fit-shape-to-text:t;">
                <w:txbxContent>
                  <w:p w14:paraId="06199632">
                    <w:pPr>
                      <w:pStyle w:val="2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C1B0">
    <w:pPr>
      <w:pStyle w:val="21"/>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14:paraId="375C1AC1">
    <w:pPr>
      <w:pStyle w:val="21"/>
      <w:ind w:right="360" w:firstLine="1260" w:firstLineChars="7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DA47">
    <w:pPr>
      <w:pStyle w:val="21"/>
      <w:framePr w:wrap="around" w:vAnchor="text" w:hAnchor="margin" w:xAlign="center" w:y="1"/>
      <w:rPr>
        <w:rStyle w:val="34"/>
      </w:rPr>
    </w:pPr>
    <w:r>
      <w:fldChar w:fldCharType="begin"/>
    </w:r>
    <w:r>
      <w:rPr>
        <w:rStyle w:val="34"/>
      </w:rPr>
      <w:instrText xml:space="preserve">PAGE  </w:instrText>
    </w:r>
    <w:r>
      <w:fldChar w:fldCharType="end"/>
    </w:r>
  </w:p>
  <w:p w14:paraId="79F57C1C">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90A1">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F474">
    <w:pPr>
      <w:pBdr>
        <w:bottom w:val="none" w:color="auto" w:sz="0" w:space="0"/>
      </w:pBdr>
      <w:spacing w:line="360" w:lineRule="auto"/>
    </w:pPr>
    <w:r>
      <w:rPr>
        <w:rFonts w:hint="eastAsia" w:ascii="宋体" w:hAnsi="宋体" w:eastAsia="宋体" w:cs="宋体"/>
        <w:i w:val="0"/>
        <w:iCs/>
        <w:sz w:val="18"/>
        <w:szCs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10C4">
    <w:pPr>
      <w:rPr>
        <w:i/>
        <w:sz w:val="18"/>
        <w:szCs w:val="18"/>
      </w:rPr>
    </w:pPr>
    <w:r>
      <w:rPr>
        <w:rFonts w:hint="eastAsia"/>
        <w:i/>
        <w:sz w:val="18"/>
        <w:szCs w:val="18"/>
      </w:rPr>
      <w:t>安康市人民医院双能骨密度仪等一批医疗设备采购项目                                                                                                   招标编号：COCITC-ZAZX-160102</w:t>
    </w:r>
  </w:p>
  <w:p w14:paraId="26B09372">
    <w:pPr>
      <w:pStyle w:val="22"/>
      <w:pBdr>
        <w:bottom w:val="thickThinSmallGap" w:color="622423" w:sz="24" w:space="1"/>
      </w:pBdr>
      <w:jc w:val="both"/>
      <w:rPr>
        <w:rFonts w:ascii="Cambria" w:hAnsi="Cambria"/>
        <w:sz w:val="2"/>
        <w:szCs w:val="32"/>
      </w:rPr>
    </w:pPr>
  </w:p>
  <w:p w14:paraId="6934E121">
    <w:pPr>
      <w:pStyle w:val="22"/>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95A31"/>
    <w:multiLevelType w:val="singleLevel"/>
    <w:tmpl w:val="D3C95A31"/>
    <w:lvl w:ilvl="0" w:tentative="0">
      <w:start w:val="1"/>
      <w:numFmt w:val="decimal"/>
      <w:lvlText w:val="(%1)"/>
      <w:lvlJc w:val="left"/>
      <w:pPr>
        <w:ind w:left="425" w:hanging="425"/>
      </w:pPr>
      <w:rPr>
        <w:rFonts w:hint="default"/>
      </w:rPr>
    </w:lvl>
  </w:abstractNum>
  <w:abstractNum w:abstractNumId="1">
    <w:nsid w:val="DAFC9EF6"/>
    <w:multiLevelType w:val="singleLevel"/>
    <w:tmpl w:val="DAFC9EF6"/>
    <w:lvl w:ilvl="0" w:tentative="0">
      <w:start w:val="9"/>
      <w:numFmt w:val="chineseCounting"/>
      <w:suff w:val="nothing"/>
      <w:lvlText w:val="%1、"/>
      <w:lvlJc w:val="left"/>
      <w:rPr>
        <w:rFonts w:hint="eastAsia"/>
      </w:rPr>
    </w:lvl>
  </w:abstractNum>
  <w:abstractNum w:abstractNumId="2">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292247"/>
    <w:multiLevelType w:val="singleLevel"/>
    <w:tmpl w:val="36292247"/>
    <w:lvl w:ilvl="0" w:tentative="0">
      <w:start w:val="1"/>
      <w:numFmt w:val="decimal"/>
      <w:suff w:val="space"/>
      <w:lvlText w:val="%1."/>
      <w:lvlJc w:val="left"/>
    </w:lvl>
  </w:abstractNum>
  <w:abstractNum w:abstractNumId="4">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6"/>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abstractNum w:abstractNumId="5">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Q5ZjRmZDMyNGE0ZDRkNTZlYzhjMjk4NzE3M2Q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0B16"/>
    <w:rsid w:val="000C1D77"/>
    <w:rsid w:val="000C7655"/>
    <w:rsid w:val="000D27B4"/>
    <w:rsid w:val="000D4303"/>
    <w:rsid w:val="000D50FD"/>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467F"/>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206"/>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5F3"/>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1F2"/>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874D5"/>
    <w:rsid w:val="00490FAE"/>
    <w:rsid w:val="004A1028"/>
    <w:rsid w:val="004A3272"/>
    <w:rsid w:val="004B0C61"/>
    <w:rsid w:val="004B0D73"/>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18CD"/>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CD6"/>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7FC"/>
    <w:rsid w:val="00CB583A"/>
    <w:rsid w:val="00CC2BA1"/>
    <w:rsid w:val="00CC5803"/>
    <w:rsid w:val="00CC6A11"/>
    <w:rsid w:val="00CD36BB"/>
    <w:rsid w:val="00CD426A"/>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1E2A"/>
    <w:rsid w:val="00ED4478"/>
    <w:rsid w:val="00EE44C4"/>
    <w:rsid w:val="00EF319E"/>
    <w:rsid w:val="00EF4B33"/>
    <w:rsid w:val="00EF6A73"/>
    <w:rsid w:val="00EF6DE9"/>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E1228"/>
    <w:rsid w:val="011E29DE"/>
    <w:rsid w:val="01200DBA"/>
    <w:rsid w:val="01213872"/>
    <w:rsid w:val="012D19EF"/>
    <w:rsid w:val="01686CF7"/>
    <w:rsid w:val="017240DE"/>
    <w:rsid w:val="0189320A"/>
    <w:rsid w:val="01A56443"/>
    <w:rsid w:val="01AB3AA0"/>
    <w:rsid w:val="01B52BC3"/>
    <w:rsid w:val="01C50DDC"/>
    <w:rsid w:val="01C7267B"/>
    <w:rsid w:val="01CD297D"/>
    <w:rsid w:val="01D65EFD"/>
    <w:rsid w:val="01E0373D"/>
    <w:rsid w:val="01E769E8"/>
    <w:rsid w:val="01EE30AA"/>
    <w:rsid w:val="01EE7A0F"/>
    <w:rsid w:val="01F651BC"/>
    <w:rsid w:val="0201126D"/>
    <w:rsid w:val="0214198D"/>
    <w:rsid w:val="02347A1C"/>
    <w:rsid w:val="02397124"/>
    <w:rsid w:val="02477318"/>
    <w:rsid w:val="025F3B43"/>
    <w:rsid w:val="026B1259"/>
    <w:rsid w:val="02720839"/>
    <w:rsid w:val="02820350"/>
    <w:rsid w:val="029244FB"/>
    <w:rsid w:val="02AD28D6"/>
    <w:rsid w:val="02CF418E"/>
    <w:rsid w:val="02D96825"/>
    <w:rsid w:val="02E2344D"/>
    <w:rsid w:val="02F4124E"/>
    <w:rsid w:val="02F74989"/>
    <w:rsid w:val="02F80F87"/>
    <w:rsid w:val="030003A8"/>
    <w:rsid w:val="03097C8D"/>
    <w:rsid w:val="030C49F8"/>
    <w:rsid w:val="0317318F"/>
    <w:rsid w:val="034026E5"/>
    <w:rsid w:val="03547B3F"/>
    <w:rsid w:val="037078B5"/>
    <w:rsid w:val="03724421"/>
    <w:rsid w:val="0380770F"/>
    <w:rsid w:val="0381685A"/>
    <w:rsid w:val="038267B3"/>
    <w:rsid w:val="03830013"/>
    <w:rsid w:val="03A34A22"/>
    <w:rsid w:val="03B46C2F"/>
    <w:rsid w:val="03C50E3C"/>
    <w:rsid w:val="03C52BEB"/>
    <w:rsid w:val="03C92E70"/>
    <w:rsid w:val="03D66BA6"/>
    <w:rsid w:val="03E54022"/>
    <w:rsid w:val="03F139E0"/>
    <w:rsid w:val="03FF1903"/>
    <w:rsid w:val="04037D8F"/>
    <w:rsid w:val="04071F1F"/>
    <w:rsid w:val="041706DA"/>
    <w:rsid w:val="0417770D"/>
    <w:rsid w:val="041B757D"/>
    <w:rsid w:val="042711AF"/>
    <w:rsid w:val="043320CC"/>
    <w:rsid w:val="04433290"/>
    <w:rsid w:val="04491BBF"/>
    <w:rsid w:val="045D72C7"/>
    <w:rsid w:val="045F14A6"/>
    <w:rsid w:val="04602913"/>
    <w:rsid w:val="0467278C"/>
    <w:rsid w:val="048064C5"/>
    <w:rsid w:val="04826D2E"/>
    <w:rsid w:val="04892F2B"/>
    <w:rsid w:val="048A0A75"/>
    <w:rsid w:val="048D195A"/>
    <w:rsid w:val="04962A45"/>
    <w:rsid w:val="049B4799"/>
    <w:rsid w:val="04A2507E"/>
    <w:rsid w:val="04C17323"/>
    <w:rsid w:val="04CB578D"/>
    <w:rsid w:val="04D412D1"/>
    <w:rsid w:val="04E15220"/>
    <w:rsid w:val="04E86B91"/>
    <w:rsid w:val="04EC18F5"/>
    <w:rsid w:val="04F16063"/>
    <w:rsid w:val="04F50A25"/>
    <w:rsid w:val="04FB5FAF"/>
    <w:rsid w:val="04FC2A6D"/>
    <w:rsid w:val="04FD3CA3"/>
    <w:rsid w:val="05044FA9"/>
    <w:rsid w:val="05156BD2"/>
    <w:rsid w:val="051A58B9"/>
    <w:rsid w:val="053242B0"/>
    <w:rsid w:val="053E45F8"/>
    <w:rsid w:val="05412745"/>
    <w:rsid w:val="05444412"/>
    <w:rsid w:val="05654685"/>
    <w:rsid w:val="057562B2"/>
    <w:rsid w:val="05950FAC"/>
    <w:rsid w:val="05B20F4D"/>
    <w:rsid w:val="05B8172D"/>
    <w:rsid w:val="05B90281"/>
    <w:rsid w:val="05D13AC9"/>
    <w:rsid w:val="05ED4B25"/>
    <w:rsid w:val="06101CFE"/>
    <w:rsid w:val="06116529"/>
    <w:rsid w:val="06400C4E"/>
    <w:rsid w:val="06405C8E"/>
    <w:rsid w:val="064A6281"/>
    <w:rsid w:val="06627892"/>
    <w:rsid w:val="06840B3B"/>
    <w:rsid w:val="069D7875"/>
    <w:rsid w:val="06B331CE"/>
    <w:rsid w:val="06E25862"/>
    <w:rsid w:val="06F2019A"/>
    <w:rsid w:val="06FB7E6A"/>
    <w:rsid w:val="07113257"/>
    <w:rsid w:val="07247731"/>
    <w:rsid w:val="07267E44"/>
    <w:rsid w:val="072D4D2F"/>
    <w:rsid w:val="075E138C"/>
    <w:rsid w:val="07662BE0"/>
    <w:rsid w:val="07692B79"/>
    <w:rsid w:val="076F4832"/>
    <w:rsid w:val="0773193A"/>
    <w:rsid w:val="079D7A2D"/>
    <w:rsid w:val="07BA7909"/>
    <w:rsid w:val="07D92266"/>
    <w:rsid w:val="07E01746"/>
    <w:rsid w:val="07ED0962"/>
    <w:rsid w:val="07F13D04"/>
    <w:rsid w:val="080F2686"/>
    <w:rsid w:val="081C44A1"/>
    <w:rsid w:val="082D78E1"/>
    <w:rsid w:val="082E2CCD"/>
    <w:rsid w:val="08326375"/>
    <w:rsid w:val="08345422"/>
    <w:rsid w:val="084377AC"/>
    <w:rsid w:val="084542FA"/>
    <w:rsid w:val="08471964"/>
    <w:rsid w:val="085C3D93"/>
    <w:rsid w:val="087267BF"/>
    <w:rsid w:val="08762B02"/>
    <w:rsid w:val="08892439"/>
    <w:rsid w:val="08A234FA"/>
    <w:rsid w:val="08A52FEB"/>
    <w:rsid w:val="08AE3B2A"/>
    <w:rsid w:val="08B02EA7"/>
    <w:rsid w:val="08B30C78"/>
    <w:rsid w:val="08BC2723"/>
    <w:rsid w:val="08D10684"/>
    <w:rsid w:val="08E053C9"/>
    <w:rsid w:val="093F343F"/>
    <w:rsid w:val="094620D8"/>
    <w:rsid w:val="094A6EEA"/>
    <w:rsid w:val="094D2245"/>
    <w:rsid w:val="09504035"/>
    <w:rsid w:val="095836BC"/>
    <w:rsid w:val="09590E34"/>
    <w:rsid w:val="096C3974"/>
    <w:rsid w:val="09746041"/>
    <w:rsid w:val="09763233"/>
    <w:rsid w:val="097B5DCA"/>
    <w:rsid w:val="098D41AA"/>
    <w:rsid w:val="098F7770"/>
    <w:rsid w:val="099026D1"/>
    <w:rsid w:val="09905E50"/>
    <w:rsid w:val="09931095"/>
    <w:rsid w:val="09972933"/>
    <w:rsid w:val="09A54945"/>
    <w:rsid w:val="09BA2AC6"/>
    <w:rsid w:val="09BE4364"/>
    <w:rsid w:val="09C35057"/>
    <w:rsid w:val="09E77747"/>
    <w:rsid w:val="09E85817"/>
    <w:rsid w:val="09EA4B6E"/>
    <w:rsid w:val="0A1421D6"/>
    <w:rsid w:val="0A2F518A"/>
    <w:rsid w:val="0A3D2EAB"/>
    <w:rsid w:val="0A4A5A8D"/>
    <w:rsid w:val="0A636CB9"/>
    <w:rsid w:val="0A786C09"/>
    <w:rsid w:val="0A8C2584"/>
    <w:rsid w:val="0A8F7AAE"/>
    <w:rsid w:val="0A9C4FB3"/>
    <w:rsid w:val="0AB47515"/>
    <w:rsid w:val="0ACC0012"/>
    <w:rsid w:val="0ACC1EC4"/>
    <w:rsid w:val="0ACD7D47"/>
    <w:rsid w:val="0ACE4103"/>
    <w:rsid w:val="0AE55C83"/>
    <w:rsid w:val="0AE5751D"/>
    <w:rsid w:val="0AED05FA"/>
    <w:rsid w:val="0AF65D7F"/>
    <w:rsid w:val="0AFB3396"/>
    <w:rsid w:val="0AFE07C5"/>
    <w:rsid w:val="0B1124A5"/>
    <w:rsid w:val="0B154457"/>
    <w:rsid w:val="0B212DFC"/>
    <w:rsid w:val="0B226DDC"/>
    <w:rsid w:val="0B2F28DA"/>
    <w:rsid w:val="0B440899"/>
    <w:rsid w:val="0B5331D2"/>
    <w:rsid w:val="0B5D0A9A"/>
    <w:rsid w:val="0B5E4B85"/>
    <w:rsid w:val="0B696551"/>
    <w:rsid w:val="0B7B4CAA"/>
    <w:rsid w:val="0B845D3C"/>
    <w:rsid w:val="0B8E7C60"/>
    <w:rsid w:val="0B907F82"/>
    <w:rsid w:val="0BA63302"/>
    <w:rsid w:val="0BAE745B"/>
    <w:rsid w:val="0BB21CA6"/>
    <w:rsid w:val="0BB96288"/>
    <w:rsid w:val="0BC32105"/>
    <w:rsid w:val="0BC55E7E"/>
    <w:rsid w:val="0BDC1A52"/>
    <w:rsid w:val="0BEF6A57"/>
    <w:rsid w:val="0BF24799"/>
    <w:rsid w:val="0BF635D7"/>
    <w:rsid w:val="0C085D6A"/>
    <w:rsid w:val="0C105FBA"/>
    <w:rsid w:val="0C1676BE"/>
    <w:rsid w:val="0C185372"/>
    <w:rsid w:val="0C293726"/>
    <w:rsid w:val="0C2B451A"/>
    <w:rsid w:val="0C342F3D"/>
    <w:rsid w:val="0C364685"/>
    <w:rsid w:val="0C4A0131"/>
    <w:rsid w:val="0C526FE5"/>
    <w:rsid w:val="0C6C58BB"/>
    <w:rsid w:val="0C6D0317"/>
    <w:rsid w:val="0C8F1FE8"/>
    <w:rsid w:val="0C8F7EB1"/>
    <w:rsid w:val="0C9B273A"/>
    <w:rsid w:val="0CC21881"/>
    <w:rsid w:val="0CC82EB8"/>
    <w:rsid w:val="0CD6721B"/>
    <w:rsid w:val="0D3A01A5"/>
    <w:rsid w:val="0D5F19BA"/>
    <w:rsid w:val="0D847672"/>
    <w:rsid w:val="0D8C47DB"/>
    <w:rsid w:val="0D8D4779"/>
    <w:rsid w:val="0DA66E0F"/>
    <w:rsid w:val="0DAC6FBF"/>
    <w:rsid w:val="0DB17CAD"/>
    <w:rsid w:val="0DB77A48"/>
    <w:rsid w:val="0DBC46E6"/>
    <w:rsid w:val="0DCE026F"/>
    <w:rsid w:val="0DD439AA"/>
    <w:rsid w:val="0DE63B48"/>
    <w:rsid w:val="0DF26CD2"/>
    <w:rsid w:val="0E032C8D"/>
    <w:rsid w:val="0E1423CD"/>
    <w:rsid w:val="0E205F6A"/>
    <w:rsid w:val="0E39220B"/>
    <w:rsid w:val="0E4B0190"/>
    <w:rsid w:val="0E50761D"/>
    <w:rsid w:val="0E5F1F06"/>
    <w:rsid w:val="0E63336D"/>
    <w:rsid w:val="0E745939"/>
    <w:rsid w:val="0E782F8A"/>
    <w:rsid w:val="0E8042DE"/>
    <w:rsid w:val="0E8C268B"/>
    <w:rsid w:val="0E8D0711"/>
    <w:rsid w:val="0E8E31F2"/>
    <w:rsid w:val="0E9031BA"/>
    <w:rsid w:val="0E96765D"/>
    <w:rsid w:val="0E975183"/>
    <w:rsid w:val="0EBC4B74"/>
    <w:rsid w:val="0EC246B0"/>
    <w:rsid w:val="0ECB29A1"/>
    <w:rsid w:val="0ECE0FD1"/>
    <w:rsid w:val="0ECF2B6F"/>
    <w:rsid w:val="0EE5425F"/>
    <w:rsid w:val="0EE64FA5"/>
    <w:rsid w:val="0EFC4885"/>
    <w:rsid w:val="0F110754"/>
    <w:rsid w:val="0F140C49"/>
    <w:rsid w:val="0F186D50"/>
    <w:rsid w:val="0F2729AB"/>
    <w:rsid w:val="0F403A6D"/>
    <w:rsid w:val="0F4A0448"/>
    <w:rsid w:val="0F563291"/>
    <w:rsid w:val="0F613226"/>
    <w:rsid w:val="0F8A505F"/>
    <w:rsid w:val="0F964006"/>
    <w:rsid w:val="0FBC7598"/>
    <w:rsid w:val="0FBF0E36"/>
    <w:rsid w:val="0FEB1C2B"/>
    <w:rsid w:val="0FF83DDD"/>
    <w:rsid w:val="0FFD495E"/>
    <w:rsid w:val="10241CAA"/>
    <w:rsid w:val="10282537"/>
    <w:rsid w:val="103E1D5B"/>
    <w:rsid w:val="103E7FAD"/>
    <w:rsid w:val="10565096"/>
    <w:rsid w:val="107452E5"/>
    <w:rsid w:val="10785F2D"/>
    <w:rsid w:val="10791148"/>
    <w:rsid w:val="10834931"/>
    <w:rsid w:val="10DE10F0"/>
    <w:rsid w:val="10E24776"/>
    <w:rsid w:val="10F13271"/>
    <w:rsid w:val="10F44895"/>
    <w:rsid w:val="11274A31"/>
    <w:rsid w:val="112C6057"/>
    <w:rsid w:val="11717F0E"/>
    <w:rsid w:val="117B0B31"/>
    <w:rsid w:val="117F3220"/>
    <w:rsid w:val="119D6F55"/>
    <w:rsid w:val="11CA2DF2"/>
    <w:rsid w:val="11D0688F"/>
    <w:rsid w:val="11D64521"/>
    <w:rsid w:val="11F05C6C"/>
    <w:rsid w:val="11F9567A"/>
    <w:rsid w:val="11FB2883"/>
    <w:rsid w:val="120435E2"/>
    <w:rsid w:val="1211491E"/>
    <w:rsid w:val="121C60CC"/>
    <w:rsid w:val="12217B86"/>
    <w:rsid w:val="12371157"/>
    <w:rsid w:val="12437AFC"/>
    <w:rsid w:val="124C041F"/>
    <w:rsid w:val="12537217"/>
    <w:rsid w:val="127D1126"/>
    <w:rsid w:val="128F495D"/>
    <w:rsid w:val="12997611"/>
    <w:rsid w:val="129D0F6C"/>
    <w:rsid w:val="12A13910"/>
    <w:rsid w:val="12B72C37"/>
    <w:rsid w:val="12B85D4A"/>
    <w:rsid w:val="12C71F43"/>
    <w:rsid w:val="12DF36C1"/>
    <w:rsid w:val="12E84200"/>
    <w:rsid w:val="12F06675"/>
    <w:rsid w:val="12F62DC0"/>
    <w:rsid w:val="132905EA"/>
    <w:rsid w:val="132E178F"/>
    <w:rsid w:val="1331619B"/>
    <w:rsid w:val="133D0486"/>
    <w:rsid w:val="1347361C"/>
    <w:rsid w:val="135521CC"/>
    <w:rsid w:val="13665575"/>
    <w:rsid w:val="13AE53E1"/>
    <w:rsid w:val="13B567D8"/>
    <w:rsid w:val="13B72F45"/>
    <w:rsid w:val="13BA6C2D"/>
    <w:rsid w:val="13CC58CF"/>
    <w:rsid w:val="13E250F3"/>
    <w:rsid w:val="13E40E6B"/>
    <w:rsid w:val="13FE12A7"/>
    <w:rsid w:val="14290F74"/>
    <w:rsid w:val="144D5C93"/>
    <w:rsid w:val="146A25E3"/>
    <w:rsid w:val="146F6F4C"/>
    <w:rsid w:val="147677FF"/>
    <w:rsid w:val="14AD65CB"/>
    <w:rsid w:val="14CC2614"/>
    <w:rsid w:val="14D47131"/>
    <w:rsid w:val="14DB04C0"/>
    <w:rsid w:val="14DC5DA5"/>
    <w:rsid w:val="14DD26C3"/>
    <w:rsid w:val="14ED72D8"/>
    <w:rsid w:val="14F74BCE"/>
    <w:rsid w:val="1507427F"/>
    <w:rsid w:val="15194EDA"/>
    <w:rsid w:val="151E3433"/>
    <w:rsid w:val="15256DF0"/>
    <w:rsid w:val="152F25BA"/>
    <w:rsid w:val="1540284B"/>
    <w:rsid w:val="154C71B8"/>
    <w:rsid w:val="15660E87"/>
    <w:rsid w:val="156F6372"/>
    <w:rsid w:val="15972CCB"/>
    <w:rsid w:val="15A37ECF"/>
    <w:rsid w:val="15B14E3E"/>
    <w:rsid w:val="15C26EE4"/>
    <w:rsid w:val="15D05B4B"/>
    <w:rsid w:val="15DB004C"/>
    <w:rsid w:val="15E76CF1"/>
    <w:rsid w:val="15EC611D"/>
    <w:rsid w:val="15EF58A5"/>
    <w:rsid w:val="16287735"/>
    <w:rsid w:val="164A3BA7"/>
    <w:rsid w:val="1666200B"/>
    <w:rsid w:val="166B13D0"/>
    <w:rsid w:val="166D6FE3"/>
    <w:rsid w:val="16755F58"/>
    <w:rsid w:val="16821978"/>
    <w:rsid w:val="1682472E"/>
    <w:rsid w:val="169923E1"/>
    <w:rsid w:val="16B70AB9"/>
    <w:rsid w:val="16C62E8B"/>
    <w:rsid w:val="16DC2C5C"/>
    <w:rsid w:val="16E66743"/>
    <w:rsid w:val="16FF3FC1"/>
    <w:rsid w:val="171B1048"/>
    <w:rsid w:val="174B5ECC"/>
    <w:rsid w:val="17574536"/>
    <w:rsid w:val="175B19F7"/>
    <w:rsid w:val="17691180"/>
    <w:rsid w:val="17790568"/>
    <w:rsid w:val="177F3AD4"/>
    <w:rsid w:val="1787048B"/>
    <w:rsid w:val="17873B4F"/>
    <w:rsid w:val="17B27B66"/>
    <w:rsid w:val="17C0399D"/>
    <w:rsid w:val="17C27715"/>
    <w:rsid w:val="17C50FB3"/>
    <w:rsid w:val="17C75BA0"/>
    <w:rsid w:val="17CE585E"/>
    <w:rsid w:val="17DD454F"/>
    <w:rsid w:val="17E631DA"/>
    <w:rsid w:val="17EE075C"/>
    <w:rsid w:val="17EF6030"/>
    <w:rsid w:val="17F10BC4"/>
    <w:rsid w:val="18155AE0"/>
    <w:rsid w:val="181A024E"/>
    <w:rsid w:val="182477B9"/>
    <w:rsid w:val="182A2FC2"/>
    <w:rsid w:val="18483087"/>
    <w:rsid w:val="18656C37"/>
    <w:rsid w:val="18993DB4"/>
    <w:rsid w:val="18B76B4E"/>
    <w:rsid w:val="18C272A1"/>
    <w:rsid w:val="18CA4140"/>
    <w:rsid w:val="18CC0A2E"/>
    <w:rsid w:val="18CE00A4"/>
    <w:rsid w:val="18DA0A8E"/>
    <w:rsid w:val="18E5190D"/>
    <w:rsid w:val="18EF3704"/>
    <w:rsid w:val="18F0166E"/>
    <w:rsid w:val="192C7DCB"/>
    <w:rsid w:val="19322678"/>
    <w:rsid w:val="193547E1"/>
    <w:rsid w:val="193A060D"/>
    <w:rsid w:val="19524AC9"/>
    <w:rsid w:val="195C5947"/>
    <w:rsid w:val="19606CB7"/>
    <w:rsid w:val="196E3F5B"/>
    <w:rsid w:val="19703E43"/>
    <w:rsid w:val="19760FD4"/>
    <w:rsid w:val="197E4F2B"/>
    <w:rsid w:val="19995D57"/>
    <w:rsid w:val="199A2AE7"/>
    <w:rsid w:val="19B06EA1"/>
    <w:rsid w:val="19B85299"/>
    <w:rsid w:val="19CA0B03"/>
    <w:rsid w:val="19E10FE6"/>
    <w:rsid w:val="19E44EC9"/>
    <w:rsid w:val="19EC42A3"/>
    <w:rsid w:val="19FD784C"/>
    <w:rsid w:val="19FF7BC8"/>
    <w:rsid w:val="1A1D13E3"/>
    <w:rsid w:val="1A3C557B"/>
    <w:rsid w:val="1A42676E"/>
    <w:rsid w:val="1A497C7A"/>
    <w:rsid w:val="1A9164AA"/>
    <w:rsid w:val="1A973062"/>
    <w:rsid w:val="1AB32372"/>
    <w:rsid w:val="1ABD2416"/>
    <w:rsid w:val="1ADE304A"/>
    <w:rsid w:val="1AE70796"/>
    <w:rsid w:val="1AF66F95"/>
    <w:rsid w:val="1AFF1222"/>
    <w:rsid w:val="1B093549"/>
    <w:rsid w:val="1B1122E5"/>
    <w:rsid w:val="1B122762"/>
    <w:rsid w:val="1B18039B"/>
    <w:rsid w:val="1B5C0261"/>
    <w:rsid w:val="1B5E75AD"/>
    <w:rsid w:val="1B6F20A6"/>
    <w:rsid w:val="1BA26DB8"/>
    <w:rsid w:val="1BAA0BEC"/>
    <w:rsid w:val="1BB03FD9"/>
    <w:rsid w:val="1BB05C1D"/>
    <w:rsid w:val="1BC477DB"/>
    <w:rsid w:val="1BC86B43"/>
    <w:rsid w:val="1BD24C1D"/>
    <w:rsid w:val="1BE15931"/>
    <w:rsid w:val="1BE76984"/>
    <w:rsid w:val="1BEF65FF"/>
    <w:rsid w:val="1BF5501A"/>
    <w:rsid w:val="1C1222ED"/>
    <w:rsid w:val="1C15426E"/>
    <w:rsid w:val="1C1E0C92"/>
    <w:rsid w:val="1C2A6A69"/>
    <w:rsid w:val="1C2E4559"/>
    <w:rsid w:val="1C314E69"/>
    <w:rsid w:val="1C4E1C66"/>
    <w:rsid w:val="1C5003E5"/>
    <w:rsid w:val="1C625023"/>
    <w:rsid w:val="1C6908B9"/>
    <w:rsid w:val="1C7A7F31"/>
    <w:rsid w:val="1C7D3C0B"/>
    <w:rsid w:val="1C890801"/>
    <w:rsid w:val="1CAB7076"/>
    <w:rsid w:val="1CC10718"/>
    <w:rsid w:val="1CC80D14"/>
    <w:rsid w:val="1CD40543"/>
    <w:rsid w:val="1CD52D62"/>
    <w:rsid w:val="1CDA34AC"/>
    <w:rsid w:val="1CE10F52"/>
    <w:rsid w:val="1CED447E"/>
    <w:rsid w:val="1CF6086D"/>
    <w:rsid w:val="1CF71C0F"/>
    <w:rsid w:val="1D010EE9"/>
    <w:rsid w:val="1D012A8E"/>
    <w:rsid w:val="1D08202C"/>
    <w:rsid w:val="1D181B85"/>
    <w:rsid w:val="1D232A04"/>
    <w:rsid w:val="1D244FD8"/>
    <w:rsid w:val="1D2C3B04"/>
    <w:rsid w:val="1D2D1CE8"/>
    <w:rsid w:val="1D500EB4"/>
    <w:rsid w:val="1D5839FB"/>
    <w:rsid w:val="1D6F5BD7"/>
    <w:rsid w:val="1D7A639C"/>
    <w:rsid w:val="1D812150"/>
    <w:rsid w:val="1DB921C7"/>
    <w:rsid w:val="1DBA6E46"/>
    <w:rsid w:val="1DC15F96"/>
    <w:rsid w:val="1DD12EB7"/>
    <w:rsid w:val="1DD93DA6"/>
    <w:rsid w:val="1DF0665E"/>
    <w:rsid w:val="1DF41B51"/>
    <w:rsid w:val="1DF74B50"/>
    <w:rsid w:val="1E02187A"/>
    <w:rsid w:val="1E0667FA"/>
    <w:rsid w:val="1E14059F"/>
    <w:rsid w:val="1E3D5862"/>
    <w:rsid w:val="1E432C32"/>
    <w:rsid w:val="1E570CEF"/>
    <w:rsid w:val="1E5A198F"/>
    <w:rsid w:val="1E5D0198"/>
    <w:rsid w:val="1E73525A"/>
    <w:rsid w:val="1E782F62"/>
    <w:rsid w:val="1E952B1F"/>
    <w:rsid w:val="1E9E0256"/>
    <w:rsid w:val="1EC703C2"/>
    <w:rsid w:val="1EC97423"/>
    <w:rsid w:val="1ECA6EAF"/>
    <w:rsid w:val="1EF67CA4"/>
    <w:rsid w:val="1EF95FF4"/>
    <w:rsid w:val="1F30765A"/>
    <w:rsid w:val="1F3507CD"/>
    <w:rsid w:val="1F5570C1"/>
    <w:rsid w:val="1F680BA2"/>
    <w:rsid w:val="1F6E0F4A"/>
    <w:rsid w:val="1F784B5D"/>
    <w:rsid w:val="1F94756D"/>
    <w:rsid w:val="1F9545C4"/>
    <w:rsid w:val="1F9A1FF2"/>
    <w:rsid w:val="1FAB0A8F"/>
    <w:rsid w:val="1FFA3E3B"/>
    <w:rsid w:val="20124FB2"/>
    <w:rsid w:val="20250841"/>
    <w:rsid w:val="2026409A"/>
    <w:rsid w:val="202C0826"/>
    <w:rsid w:val="20404D71"/>
    <w:rsid w:val="204103B1"/>
    <w:rsid w:val="205E3D53"/>
    <w:rsid w:val="206D4F8D"/>
    <w:rsid w:val="206F1250"/>
    <w:rsid w:val="206F688E"/>
    <w:rsid w:val="20801F1B"/>
    <w:rsid w:val="20847053"/>
    <w:rsid w:val="20905293"/>
    <w:rsid w:val="20971681"/>
    <w:rsid w:val="209D4AF5"/>
    <w:rsid w:val="20B10327"/>
    <w:rsid w:val="20EF788A"/>
    <w:rsid w:val="20F41434"/>
    <w:rsid w:val="210819EE"/>
    <w:rsid w:val="2117195B"/>
    <w:rsid w:val="211F4392"/>
    <w:rsid w:val="2129373F"/>
    <w:rsid w:val="21366A7E"/>
    <w:rsid w:val="213C63D8"/>
    <w:rsid w:val="21491F10"/>
    <w:rsid w:val="215869F4"/>
    <w:rsid w:val="21636C1E"/>
    <w:rsid w:val="216655B5"/>
    <w:rsid w:val="216A3651"/>
    <w:rsid w:val="217A5C4D"/>
    <w:rsid w:val="217F190B"/>
    <w:rsid w:val="21920158"/>
    <w:rsid w:val="21934B72"/>
    <w:rsid w:val="21A954A2"/>
    <w:rsid w:val="21A976B5"/>
    <w:rsid w:val="21C35326"/>
    <w:rsid w:val="21C45C8C"/>
    <w:rsid w:val="21E44418"/>
    <w:rsid w:val="21E57AB2"/>
    <w:rsid w:val="21F26E49"/>
    <w:rsid w:val="22280ABD"/>
    <w:rsid w:val="22485078"/>
    <w:rsid w:val="225E4AE5"/>
    <w:rsid w:val="226A624F"/>
    <w:rsid w:val="228233CF"/>
    <w:rsid w:val="22993768"/>
    <w:rsid w:val="22A24A50"/>
    <w:rsid w:val="22B16385"/>
    <w:rsid w:val="22C24A6D"/>
    <w:rsid w:val="22D16A7A"/>
    <w:rsid w:val="22EA5D72"/>
    <w:rsid w:val="23073D75"/>
    <w:rsid w:val="230A2371"/>
    <w:rsid w:val="23137077"/>
    <w:rsid w:val="231D1CA3"/>
    <w:rsid w:val="232601C6"/>
    <w:rsid w:val="234609BC"/>
    <w:rsid w:val="23510B0B"/>
    <w:rsid w:val="23511E39"/>
    <w:rsid w:val="235A6683"/>
    <w:rsid w:val="236F6BEA"/>
    <w:rsid w:val="239A7798"/>
    <w:rsid w:val="23A00ABD"/>
    <w:rsid w:val="23AE55BC"/>
    <w:rsid w:val="23B54349"/>
    <w:rsid w:val="23B721E1"/>
    <w:rsid w:val="23B96FAA"/>
    <w:rsid w:val="23C04F69"/>
    <w:rsid w:val="23C245F9"/>
    <w:rsid w:val="23C84A29"/>
    <w:rsid w:val="23CD36CA"/>
    <w:rsid w:val="23D254F1"/>
    <w:rsid w:val="23D70783"/>
    <w:rsid w:val="23D83E1C"/>
    <w:rsid w:val="23E14FB5"/>
    <w:rsid w:val="23F958D9"/>
    <w:rsid w:val="2405179C"/>
    <w:rsid w:val="241576B1"/>
    <w:rsid w:val="24191A47"/>
    <w:rsid w:val="241C0851"/>
    <w:rsid w:val="242B6642"/>
    <w:rsid w:val="243E62BB"/>
    <w:rsid w:val="24647744"/>
    <w:rsid w:val="24690B75"/>
    <w:rsid w:val="246C05BE"/>
    <w:rsid w:val="247D735A"/>
    <w:rsid w:val="24855D52"/>
    <w:rsid w:val="24BB5514"/>
    <w:rsid w:val="24E74082"/>
    <w:rsid w:val="24FC0DE8"/>
    <w:rsid w:val="25151646"/>
    <w:rsid w:val="25165274"/>
    <w:rsid w:val="251D41DD"/>
    <w:rsid w:val="25264516"/>
    <w:rsid w:val="25317C88"/>
    <w:rsid w:val="253407EE"/>
    <w:rsid w:val="253908EB"/>
    <w:rsid w:val="253E055F"/>
    <w:rsid w:val="2559683D"/>
    <w:rsid w:val="2563054C"/>
    <w:rsid w:val="256F255E"/>
    <w:rsid w:val="25787D54"/>
    <w:rsid w:val="257F263A"/>
    <w:rsid w:val="25997A40"/>
    <w:rsid w:val="259A50F7"/>
    <w:rsid w:val="259F3E4E"/>
    <w:rsid w:val="25A212E5"/>
    <w:rsid w:val="25A84A29"/>
    <w:rsid w:val="25AE752B"/>
    <w:rsid w:val="25BD10D8"/>
    <w:rsid w:val="25CF50FA"/>
    <w:rsid w:val="25E62821"/>
    <w:rsid w:val="25EB367F"/>
    <w:rsid w:val="25F6331E"/>
    <w:rsid w:val="25FE2C3F"/>
    <w:rsid w:val="2603303D"/>
    <w:rsid w:val="26087985"/>
    <w:rsid w:val="262127CB"/>
    <w:rsid w:val="2641214D"/>
    <w:rsid w:val="264C7082"/>
    <w:rsid w:val="26596F2A"/>
    <w:rsid w:val="266C2B28"/>
    <w:rsid w:val="267442D0"/>
    <w:rsid w:val="268930A8"/>
    <w:rsid w:val="26A056CC"/>
    <w:rsid w:val="26C97037"/>
    <w:rsid w:val="26D15C9F"/>
    <w:rsid w:val="26D45655"/>
    <w:rsid w:val="26E31456"/>
    <w:rsid w:val="27007912"/>
    <w:rsid w:val="270663AA"/>
    <w:rsid w:val="27082C6B"/>
    <w:rsid w:val="271670FF"/>
    <w:rsid w:val="27210691"/>
    <w:rsid w:val="272701CB"/>
    <w:rsid w:val="273A7479"/>
    <w:rsid w:val="27427CD0"/>
    <w:rsid w:val="27490341"/>
    <w:rsid w:val="27500275"/>
    <w:rsid w:val="27556EC6"/>
    <w:rsid w:val="276D0D81"/>
    <w:rsid w:val="279E46E3"/>
    <w:rsid w:val="27A46096"/>
    <w:rsid w:val="27A75E71"/>
    <w:rsid w:val="27A95FBE"/>
    <w:rsid w:val="27C27D8D"/>
    <w:rsid w:val="27D76439"/>
    <w:rsid w:val="27D86803"/>
    <w:rsid w:val="27DE0171"/>
    <w:rsid w:val="27EE1E60"/>
    <w:rsid w:val="27FC342B"/>
    <w:rsid w:val="280276BA"/>
    <w:rsid w:val="280621E8"/>
    <w:rsid w:val="280B0492"/>
    <w:rsid w:val="2811572E"/>
    <w:rsid w:val="281A6B87"/>
    <w:rsid w:val="281F09AE"/>
    <w:rsid w:val="282711D5"/>
    <w:rsid w:val="285942FF"/>
    <w:rsid w:val="28650375"/>
    <w:rsid w:val="2866443A"/>
    <w:rsid w:val="287A0447"/>
    <w:rsid w:val="287F0D0A"/>
    <w:rsid w:val="288E76DA"/>
    <w:rsid w:val="289A5B44"/>
    <w:rsid w:val="28A25D16"/>
    <w:rsid w:val="28A8099A"/>
    <w:rsid w:val="28AE2B9D"/>
    <w:rsid w:val="28B44E58"/>
    <w:rsid w:val="28C055AB"/>
    <w:rsid w:val="28C0664B"/>
    <w:rsid w:val="28C211BC"/>
    <w:rsid w:val="28C349EC"/>
    <w:rsid w:val="28C95F26"/>
    <w:rsid w:val="28D15A0A"/>
    <w:rsid w:val="28D70B46"/>
    <w:rsid w:val="28D9666D"/>
    <w:rsid w:val="28E03E9F"/>
    <w:rsid w:val="28E15AC8"/>
    <w:rsid w:val="28EB12E8"/>
    <w:rsid w:val="29042637"/>
    <w:rsid w:val="290D7719"/>
    <w:rsid w:val="291122AA"/>
    <w:rsid w:val="292D69B8"/>
    <w:rsid w:val="29325800"/>
    <w:rsid w:val="293B2E83"/>
    <w:rsid w:val="293D5F14"/>
    <w:rsid w:val="295F099F"/>
    <w:rsid w:val="296916E0"/>
    <w:rsid w:val="296C5733"/>
    <w:rsid w:val="296C5D77"/>
    <w:rsid w:val="297209C2"/>
    <w:rsid w:val="29730B7A"/>
    <w:rsid w:val="297A4E53"/>
    <w:rsid w:val="298B5187"/>
    <w:rsid w:val="29B674D0"/>
    <w:rsid w:val="29B844D4"/>
    <w:rsid w:val="29CA1018"/>
    <w:rsid w:val="29D51E6D"/>
    <w:rsid w:val="29E0402F"/>
    <w:rsid w:val="29E90B31"/>
    <w:rsid w:val="29FB50E1"/>
    <w:rsid w:val="2A0140CD"/>
    <w:rsid w:val="2A2B4304"/>
    <w:rsid w:val="2A4B491B"/>
    <w:rsid w:val="2A5B5061"/>
    <w:rsid w:val="2A68414C"/>
    <w:rsid w:val="2A7228D5"/>
    <w:rsid w:val="2AA44A58"/>
    <w:rsid w:val="2AA74306"/>
    <w:rsid w:val="2AAC0C9A"/>
    <w:rsid w:val="2ACC00B4"/>
    <w:rsid w:val="2AD2475E"/>
    <w:rsid w:val="2AD75985"/>
    <w:rsid w:val="2AE2464F"/>
    <w:rsid w:val="2AE57DE8"/>
    <w:rsid w:val="2B0375F6"/>
    <w:rsid w:val="2B1716CE"/>
    <w:rsid w:val="2B1D4881"/>
    <w:rsid w:val="2B2F203E"/>
    <w:rsid w:val="2B460DBC"/>
    <w:rsid w:val="2B4A75CB"/>
    <w:rsid w:val="2B6D12EE"/>
    <w:rsid w:val="2B856638"/>
    <w:rsid w:val="2B947512"/>
    <w:rsid w:val="2BA84E42"/>
    <w:rsid w:val="2BC25ADE"/>
    <w:rsid w:val="2BD421F5"/>
    <w:rsid w:val="2BFA3D4C"/>
    <w:rsid w:val="2C04183C"/>
    <w:rsid w:val="2C151392"/>
    <w:rsid w:val="2C183CF0"/>
    <w:rsid w:val="2C2A71DF"/>
    <w:rsid w:val="2C3541D9"/>
    <w:rsid w:val="2C3A5674"/>
    <w:rsid w:val="2C4468DC"/>
    <w:rsid w:val="2C451BCC"/>
    <w:rsid w:val="2C464019"/>
    <w:rsid w:val="2C474CBB"/>
    <w:rsid w:val="2C56051E"/>
    <w:rsid w:val="2C583D4C"/>
    <w:rsid w:val="2C5F332D"/>
    <w:rsid w:val="2C7824F5"/>
    <w:rsid w:val="2C9C1E8B"/>
    <w:rsid w:val="2CAC34BC"/>
    <w:rsid w:val="2CB847EB"/>
    <w:rsid w:val="2CD51841"/>
    <w:rsid w:val="2CDF7FCA"/>
    <w:rsid w:val="2CE35D7E"/>
    <w:rsid w:val="2D1C700A"/>
    <w:rsid w:val="2D266144"/>
    <w:rsid w:val="2D271B45"/>
    <w:rsid w:val="2D365D86"/>
    <w:rsid w:val="2D4F5063"/>
    <w:rsid w:val="2D5E2490"/>
    <w:rsid w:val="2D6F2ACB"/>
    <w:rsid w:val="2D7050C6"/>
    <w:rsid w:val="2D714A87"/>
    <w:rsid w:val="2D8D0DE1"/>
    <w:rsid w:val="2DA042DD"/>
    <w:rsid w:val="2DB52C7E"/>
    <w:rsid w:val="2DB87198"/>
    <w:rsid w:val="2DD41AF8"/>
    <w:rsid w:val="2DD5380F"/>
    <w:rsid w:val="2DDF0140"/>
    <w:rsid w:val="2DE41D3C"/>
    <w:rsid w:val="2DEE4968"/>
    <w:rsid w:val="2DFF0077"/>
    <w:rsid w:val="2E0221C2"/>
    <w:rsid w:val="2E0979F4"/>
    <w:rsid w:val="2E1F28B1"/>
    <w:rsid w:val="2E297FC5"/>
    <w:rsid w:val="2E3507E9"/>
    <w:rsid w:val="2E9D638E"/>
    <w:rsid w:val="2EB060C2"/>
    <w:rsid w:val="2EBC2EE1"/>
    <w:rsid w:val="2ECD7FC9"/>
    <w:rsid w:val="2EE23DA1"/>
    <w:rsid w:val="2EF22236"/>
    <w:rsid w:val="2EFE1EC6"/>
    <w:rsid w:val="2F063D04"/>
    <w:rsid w:val="2F065CE2"/>
    <w:rsid w:val="2F1347B6"/>
    <w:rsid w:val="2F237FB7"/>
    <w:rsid w:val="2F25797B"/>
    <w:rsid w:val="2F283EAA"/>
    <w:rsid w:val="2F300FB0"/>
    <w:rsid w:val="2F392C66"/>
    <w:rsid w:val="2F4A724E"/>
    <w:rsid w:val="2F5A7F21"/>
    <w:rsid w:val="2F78035F"/>
    <w:rsid w:val="2F7C18E7"/>
    <w:rsid w:val="2FC71211"/>
    <w:rsid w:val="2FDA74C5"/>
    <w:rsid w:val="2FE06616"/>
    <w:rsid w:val="2FED0A8D"/>
    <w:rsid w:val="30002592"/>
    <w:rsid w:val="30053242"/>
    <w:rsid w:val="300E62A2"/>
    <w:rsid w:val="302A1EA4"/>
    <w:rsid w:val="302F5817"/>
    <w:rsid w:val="3050190A"/>
    <w:rsid w:val="30525E31"/>
    <w:rsid w:val="305F12FF"/>
    <w:rsid w:val="307A2015"/>
    <w:rsid w:val="307F3F9D"/>
    <w:rsid w:val="30933E6E"/>
    <w:rsid w:val="309A7DC8"/>
    <w:rsid w:val="30A61A30"/>
    <w:rsid w:val="30BD0622"/>
    <w:rsid w:val="30D82079"/>
    <w:rsid w:val="30FC4416"/>
    <w:rsid w:val="310C53FF"/>
    <w:rsid w:val="31293084"/>
    <w:rsid w:val="31423EC0"/>
    <w:rsid w:val="314822ED"/>
    <w:rsid w:val="31587237"/>
    <w:rsid w:val="316134D7"/>
    <w:rsid w:val="316438A0"/>
    <w:rsid w:val="316B6BD3"/>
    <w:rsid w:val="318D4498"/>
    <w:rsid w:val="31AB0892"/>
    <w:rsid w:val="31B431CE"/>
    <w:rsid w:val="31B5579D"/>
    <w:rsid w:val="31BB7B0A"/>
    <w:rsid w:val="31BB7CC9"/>
    <w:rsid w:val="31BE4652"/>
    <w:rsid w:val="31F91DFD"/>
    <w:rsid w:val="320D33A1"/>
    <w:rsid w:val="32242D82"/>
    <w:rsid w:val="32282643"/>
    <w:rsid w:val="32292413"/>
    <w:rsid w:val="322C5BA3"/>
    <w:rsid w:val="322E250A"/>
    <w:rsid w:val="3248769B"/>
    <w:rsid w:val="325213F1"/>
    <w:rsid w:val="32560D2E"/>
    <w:rsid w:val="32635A33"/>
    <w:rsid w:val="3268180D"/>
    <w:rsid w:val="327878BE"/>
    <w:rsid w:val="32866574"/>
    <w:rsid w:val="32935ADE"/>
    <w:rsid w:val="329F7C39"/>
    <w:rsid w:val="32AC7DB5"/>
    <w:rsid w:val="32B04F0E"/>
    <w:rsid w:val="32C138A6"/>
    <w:rsid w:val="32C95857"/>
    <w:rsid w:val="32D035C6"/>
    <w:rsid w:val="32D3237F"/>
    <w:rsid w:val="32D63C1D"/>
    <w:rsid w:val="32D66BD5"/>
    <w:rsid w:val="32E37AA6"/>
    <w:rsid w:val="32E739BA"/>
    <w:rsid w:val="32EB2E03"/>
    <w:rsid w:val="32F742BF"/>
    <w:rsid w:val="32F84DBA"/>
    <w:rsid w:val="3301513E"/>
    <w:rsid w:val="3318037B"/>
    <w:rsid w:val="332863EC"/>
    <w:rsid w:val="3344160E"/>
    <w:rsid w:val="335D46C1"/>
    <w:rsid w:val="337A5F51"/>
    <w:rsid w:val="33814162"/>
    <w:rsid w:val="33846E74"/>
    <w:rsid w:val="33900270"/>
    <w:rsid w:val="339539B4"/>
    <w:rsid w:val="33B200D0"/>
    <w:rsid w:val="33D67874"/>
    <w:rsid w:val="33DC25A1"/>
    <w:rsid w:val="33E271F8"/>
    <w:rsid w:val="33EA3694"/>
    <w:rsid w:val="33EB36F8"/>
    <w:rsid w:val="33EE0CD6"/>
    <w:rsid w:val="33F5326F"/>
    <w:rsid w:val="33FB716D"/>
    <w:rsid w:val="3405682B"/>
    <w:rsid w:val="3422536C"/>
    <w:rsid w:val="345E3ECA"/>
    <w:rsid w:val="347B63DA"/>
    <w:rsid w:val="347D73B7"/>
    <w:rsid w:val="348C47B5"/>
    <w:rsid w:val="34964305"/>
    <w:rsid w:val="349B6ECC"/>
    <w:rsid w:val="34A54C67"/>
    <w:rsid w:val="34A87987"/>
    <w:rsid w:val="34C47575"/>
    <w:rsid w:val="34D00287"/>
    <w:rsid w:val="34D938B2"/>
    <w:rsid w:val="34E6283D"/>
    <w:rsid w:val="34F657B1"/>
    <w:rsid w:val="350212F4"/>
    <w:rsid w:val="350907A7"/>
    <w:rsid w:val="352003F6"/>
    <w:rsid w:val="35283069"/>
    <w:rsid w:val="352D4838"/>
    <w:rsid w:val="35324C13"/>
    <w:rsid w:val="353510CF"/>
    <w:rsid w:val="353C420B"/>
    <w:rsid w:val="3550415A"/>
    <w:rsid w:val="355E2D37"/>
    <w:rsid w:val="35843E04"/>
    <w:rsid w:val="35A6188F"/>
    <w:rsid w:val="35BC4CF1"/>
    <w:rsid w:val="35BD3DEC"/>
    <w:rsid w:val="35C24B69"/>
    <w:rsid w:val="360419A0"/>
    <w:rsid w:val="360675F3"/>
    <w:rsid w:val="361606CD"/>
    <w:rsid w:val="3628478F"/>
    <w:rsid w:val="36353673"/>
    <w:rsid w:val="367E091C"/>
    <w:rsid w:val="36907CCF"/>
    <w:rsid w:val="36936A58"/>
    <w:rsid w:val="369E2CF9"/>
    <w:rsid w:val="36A858D0"/>
    <w:rsid w:val="36B129D7"/>
    <w:rsid w:val="36B222A9"/>
    <w:rsid w:val="36B86E1B"/>
    <w:rsid w:val="36C22B99"/>
    <w:rsid w:val="36C957DE"/>
    <w:rsid w:val="36CD11CC"/>
    <w:rsid w:val="36D323BD"/>
    <w:rsid w:val="36E53270"/>
    <w:rsid w:val="370A06AE"/>
    <w:rsid w:val="371F5EF5"/>
    <w:rsid w:val="37216E7D"/>
    <w:rsid w:val="372D7DEA"/>
    <w:rsid w:val="373E4B0B"/>
    <w:rsid w:val="375717D0"/>
    <w:rsid w:val="375E1A97"/>
    <w:rsid w:val="376D0FF4"/>
    <w:rsid w:val="3775569A"/>
    <w:rsid w:val="37826F11"/>
    <w:rsid w:val="378931C1"/>
    <w:rsid w:val="37912D9D"/>
    <w:rsid w:val="37B502A5"/>
    <w:rsid w:val="37BF1123"/>
    <w:rsid w:val="37D270A9"/>
    <w:rsid w:val="37D7646D"/>
    <w:rsid w:val="37D770F4"/>
    <w:rsid w:val="37E62B54"/>
    <w:rsid w:val="37E854B5"/>
    <w:rsid w:val="37EE12D0"/>
    <w:rsid w:val="37F901BB"/>
    <w:rsid w:val="37FD4709"/>
    <w:rsid w:val="37FD6B5E"/>
    <w:rsid w:val="38305B7D"/>
    <w:rsid w:val="3847008E"/>
    <w:rsid w:val="38567C7A"/>
    <w:rsid w:val="385C6972"/>
    <w:rsid w:val="38672A40"/>
    <w:rsid w:val="387255F4"/>
    <w:rsid w:val="38726196"/>
    <w:rsid w:val="388F5AA3"/>
    <w:rsid w:val="38994B84"/>
    <w:rsid w:val="389D6824"/>
    <w:rsid w:val="38B301EF"/>
    <w:rsid w:val="38BE79DD"/>
    <w:rsid w:val="38E26D81"/>
    <w:rsid w:val="390514B0"/>
    <w:rsid w:val="39246422"/>
    <w:rsid w:val="39393DB6"/>
    <w:rsid w:val="3954687B"/>
    <w:rsid w:val="39557F91"/>
    <w:rsid w:val="39590ED9"/>
    <w:rsid w:val="396401D4"/>
    <w:rsid w:val="39725E1E"/>
    <w:rsid w:val="398A128C"/>
    <w:rsid w:val="39967A4C"/>
    <w:rsid w:val="39A700B5"/>
    <w:rsid w:val="39B86B75"/>
    <w:rsid w:val="39BA1BA2"/>
    <w:rsid w:val="39BD2D13"/>
    <w:rsid w:val="39CD5D7A"/>
    <w:rsid w:val="39EE5513"/>
    <w:rsid w:val="39F5707E"/>
    <w:rsid w:val="3A112AC6"/>
    <w:rsid w:val="3A127C30"/>
    <w:rsid w:val="3A3D2CAA"/>
    <w:rsid w:val="3A44395F"/>
    <w:rsid w:val="3A5C0EAC"/>
    <w:rsid w:val="3A5E4B31"/>
    <w:rsid w:val="3A5F55FF"/>
    <w:rsid w:val="3A6D2CBA"/>
    <w:rsid w:val="3A9C399E"/>
    <w:rsid w:val="3AA7155D"/>
    <w:rsid w:val="3AAB0C1A"/>
    <w:rsid w:val="3AAB6B7C"/>
    <w:rsid w:val="3AAD77ED"/>
    <w:rsid w:val="3AB71F19"/>
    <w:rsid w:val="3ABE3914"/>
    <w:rsid w:val="3AC23405"/>
    <w:rsid w:val="3AD60C5E"/>
    <w:rsid w:val="3AD76784"/>
    <w:rsid w:val="3AF966CF"/>
    <w:rsid w:val="3AFC2084"/>
    <w:rsid w:val="3B027CA5"/>
    <w:rsid w:val="3B0532F1"/>
    <w:rsid w:val="3B0614A9"/>
    <w:rsid w:val="3B163750"/>
    <w:rsid w:val="3B47451A"/>
    <w:rsid w:val="3B7A0D44"/>
    <w:rsid w:val="3B8238D8"/>
    <w:rsid w:val="3B902CEE"/>
    <w:rsid w:val="3B936B4F"/>
    <w:rsid w:val="3BC62434"/>
    <w:rsid w:val="3BC767F9"/>
    <w:rsid w:val="3BDD7049"/>
    <w:rsid w:val="3BDF7FE6"/>
    <w:rsid w:val="3C023A3C"/>
    <w:rsid w:val="3C0841C8"/>
    <w:rsid w:val="3C2831AD"/>
    <w:rsid w:val="3C2C50E2"/>
    <w:rsid w:val="3C2F4ACA"/>
    <w:rsid w:val="3C506122"/>
    <w:rsid w:val="3C681D8A"/>
    <w:rsid w:val="3C77021F"/>
    <w:rsid w:val="3C885F88"/>
    <w:rsid w:val="3C8D3ACB"/>
    <w:rsid w:val="3CA31014"/>
    <w:rsid w:val="3CA31A9A"/>
    <w:rsid w:val="3CA42BD9"/>
    <w:rsid w:val="3CA755A8"/>
    <w:rsid w:val="3CAC0152"/>
    <w:rsid w:val="3CB60D47"/>
    <w:rsid w:val="3CB76A9A"/>
    <w:rsid w:val="3CBC2E1F"/>
    <w:rsid w:val="3CE05B35"/>
    <w:rsid w:val="3CF47B5B"/>
    <w:rsid w:val="3CFC24D2"/>
    <w:rsid w:val="3D073351"/>
    <w:rsid w:val="3D0F2F45"/>
    <w:rsid w:val="3D204024"/>
    <w:rsid w:val="3D27601A"/>
    <w:rsid w:val="3D2A703F"/>
    <w:rsid w:val="3D3052DC"/>
    <w:rsid w:val="3D3103CE"/>
    <w:rsid w:val="3D405813"/>
    <w:rsid w:val="3D457F3A"/>
    <w:rsid w:val="3D4A6B6C"/>
    <w:rsid w:val="3D4A76E1"/>
    <w:rsid w:val="3D55100F"/>
    <w:rsid w:val="3D6764E5"/>
    <w:rsid w:val="3D7656D9"/>
    <w:rsid w:val="3D803D82"/>
    <w:rsid w:val="3D9377F8"/>
    <w:rsid w:val="3D9F17DB"/>
    <w:rsid w:val="3D9F4C6C"/>
    <w:rsid w:val="3DA07BD2"/>
    <w:rsid w:val="3DBE6731"/>
    <w:rsid w:val="3DC37F90"/>
    <w:rsid w:val="3DC967BA"/>
    <w:rsid w:val="3DD24986"/>
    <w:rsid w:val="3DD53891"/>
    <w:rsid w:val="3DDC1A9E"/>
    <w:rsid w:val="3DDF42CD"/>
    <w:rsid w:val="3DE82128"/>
    <w:rsid w:val="3DE96A54"/>
    <w:rsid w:val="3DF00FEC"/>
    <w:rsid w:val="3E013831"/>
    <w:rsid w:val="3E10092B"/>
    <w:rsid w:val="3E156A42"/>
    <w:rsid w:val="3E157CEF"/>
    <w:rsid w:val="3E18158D"/>
    <w:rsid w:val="3E1E5769"/>
    <w:rsid w:val="3E342D80"/>
    <w:rsid w:val="3E4372AA"/>
    <w:rsid w:val="3E584ABA"/>
    <w:rsid w:val="3E7415D7"/>
    <w:rsid w:val="3E7B1703"/>
    <w:rsid w:val="3E820DB2"/>
    <w:rsid w:val="3E82688B"/>
    <w:rsid w:val="3E8409D1"/>
    <w:rsid w:val="3E8B6203"/>
    <w:rsid w:val="3E950E30"/>
    <w:rsid w:val="3E9C3F6D"/>
    <w:rsid w:val="3E9D3A11"/>
    <w:rsid w:val="3E9E7CE5"/>
    <w:rsid w:val="3EB61AE3"/>
    <w:rsid w:val="3EC15A35"/>
    <w:rsid w:val="3EC55271"/>
    <w:rsid w:val="3EC622E3"/>
    <w:rsid w:val="3EF847AF"/>
    <w:rsid w:val="3EFE69D5"/>
    <w:rsid w:val="3F0B0B41"/>
    <w:rsid w:val="3F12305D"/>
    <w:rsid w:val="3F2145EC"/>
    <w:rsid w:val="3F6E16BB"/>
    <w:rsid w:val="3F8C679B"/>
    <w:rsid w:val="3F8E1B07"/>
    <w:rsid w:val="3FAE65F8"/>
    <w:rsid w:val="3FB65F27"/>
    <w:rsid w:val="3FC27446"/>
    <w:rsid w:val="3FC76CF5"/>
    <w:rsid w:val="3FCB1751"/>
    <w:rsid w:val="3FD14240"/>
    <w:rsid w:val="3FD2358A"/>
    <w:rsid w:val="3FD6525C"/>
    <w:rsid w:val="3FDA11F0"/>
    <w:rsid w:val="3FDC2527"/>
    <w:rsid w:val="3FF322B2"/>
    <w:rsid w:val="3FF44801"/>
    <w:rsid w:val="3FFA719D"/>
    <w:rsid w:val="402A143E"/>
    <w:rsid w:val="403F2E01"/>
    <w:rsid w:val="40531C74"/>
    <w:rsid w:val="405B4D9A"/>
    <w:rsid w:val="40624D42"/>
    <w:rsid w:val="406F3E28"/>
    <w:rsid w:val="4075060A"/>
    <w:rsid w:val="40781CE8"/>
    <w:rsid w:val="40846297"/>
    <w:rsid w:val="408C0D11"/>
    <w:rsid w:val="40915176"/>
    <w:rsid w:val="40B557B9"/>
    <w:rsid w:val="40B80F3C"/>
    <w:rsid w:val="40B9076D"/>
    <w:rsid w:val="40BB4C06"/>
    <w:rsid w:val="40BF3F42"/>
    <w:rsid w:val="40BF4B76"/>
    <w:rsid w:val="40C67BD8"/>
    <w:rsid w:val="40E36C58"/>
    <w:rsid w:val="40EB11DB"/>
    <w:rsid w:val="40EF6013"/>
    <w:rsid w:val="411B386E"/>
    <w:rsid w:val="41291E8A"/>
    <w:rsid w:val="4135777E"/>
    <w:rsid w:val="415C1DF5"/>
    <w:rsid w:val="416B2B8D"/>
    <w:rsid w:val="41742BFC"/>
    <w:rsid w:val="417A6D7C"/>
    <w:rsid w:val="417B60BB"/>
    <w:rsid w:val="41966FAC"/>
    <w:rsid w:val="419D6F9A"/>
    <w:rsid w:val="41B30D83"/>
    <w:rsid w:val="41D72648"/>
    <w:rsid w:val="41F7386E"/>
    <w:rsid w:val="42046C46"/>
    <w:rsid w:val="420A743F"/>
    <w:rsid w:val="421307E3"/>
    <w:rsid w:val="42164036"/>
    <w:rsid w:val="4223559C"/>
    <w:rsid w:val="423F1824"/>
    <w:rsid w:val="4241564C"/>
    <w:rsid w:val="42435874"/>
    <w:rsid w:val="42533355"/>
    <w:rsid w:val="426137DA"/>
    <w:rsid w:val="42712732"/>
    <w:rsid w:val="428C5BE4"/>
    <w:rsid w:val="42C10446"/>
    <w:rsid w:val="42DD0828"/>
    <w:rsid w:val="42E37EE4"/>
    <w:rsid w:val="42F223AD"/>
    <w:rsid w:val="42FB3958"/>
    <w:rsid w:val="4303280C"/>
    <w:rsid w:val="432033BE"/>
    <w:rsid w:val="43503578"/>
    <w:rsid w:val="4351051B"/>
    <w:rsid w:val="435D3D5C"/>
    <w:rsid w:val="4376017C"/>
    <w:rsid w:val="437E00E5"/>
    <w:rsid w:val="43824B82"/>
    <w:rsid w:val="438F40A0"/>
    <w:rsid w:val="439873F8"/>
    <w:rsid w:val="43A86F10"/>
    <w:rsid w:val="43AC3377"/>
    <w:rsid w:val="43B21BBB"/>
    <w:rsid w:val="43B661E3"/>
    <w:rsid w:val="43CE7B4E"/>
    <w:rsid w:val="43DA61E3"/>
    <w:rsid w:val="43E20674"/>
    <w:rsid w:val="43F32FCA"/>
    <w:rsid w:val="43F40918"/>
    <w:rsid w:val="445D7CFA"/>
    <w:rsid w:val="446B6B0F"/>
    <w:rsid w:val="449B23BC"/>
    <w:rsid w:val="44B518E4"/>
    <w:rsid w:val="44B61BF3"/>
    <w:rsid w:val="44BA339E"/>
    <w:rsid w:val="44C36703"/>
    <w:rsid w:val="44C36EB0"/>
    <w:rsid w:val="44C55076"/>
    <w:rsid w:val="44C57FA2"/>
    <w:rsid w:val="44CE0BF8"/>
    <w:rsid w:val="44D92A7F"/>
    <w:rsid w:val="44DC3315"/>
    <w:rsid w:val="44E421C9"/>
    <w:rsid w:val="4502408A"/>
    <w:rsid w:val="45027F43"/>
    <w:rsid w:val="450D1720"/>
    <w:rsid w:val="452B1BA6"/>
    <w:rsid w:val="453E18EE"/>
    <w:rsid w:val="4557299B"/>
    <w:rsid w:val="455C160D"/>
    <w:rsid w:val="45694A0C"/>
    <w:rsid w:val="45697130"/>
    <w:rsid w:val="456D6663"/>
    <w:rsid w:val="456E14EB"/>
    <w:rsid w:val="45766B0C"/>
    <w:rsid w:val="45796DB6"/>
    <w:rsid w:val="4582266B"/>
    <w:rsid w:val="45905EB3"/>
    <w:rsid w:val="45990257"/>
    <w:rsid w:val="459D6C40"/>
    <w:rsid w:val="45B23633"/>
    <w:rsid w:val="45D40490"/>
    <w:rsid w:val="45E571E5"/>
    <w:rsid w:val="45F535FB"/>
    <w:rsid w:val="460337D4"/>
    <w:rsid w:val="460B4774"/>
    <w:rsid w:val="4613593E"/>
    <w:rsid w:val="46136DEA"/>
    <w:rsid w:val="46146DED"/>
    <w:rsid w:val="461940F5"/>
    <w:rsid w:val="461C7E22"/>
    <w:rsid w:val="461D481E"/>
    <w:rsid w:val="46252A99"/>
    <w:rsid w:val="4634154E"/>
    <w:rsid w:val="46375285"/>
    <w:rsid w:val="46405B25"/>
    <w:rsid w:val="464921BB"/>
    <w:rsid w:val="46540DC0"/>
    <w:rsid w:val="465D3512"/>
    <w:rsid w:val="466C33C1"/>
    <w:rsid w:val="468201D9"/>
    <w:rsid w:val="46843C64"/>
    <w:rsid w:val="468D3F85"/>
    <w:rsid w:val="46902609"/>
    <w:rsid w:val="46926CF1"/>
    <w:rsid w:val="46A54342"/>
    <w:rsid w:val="46AA408A"/>
    <w:rsid w:val="46BA7686"/>
    <w:rsid w:val="46CE4EDF"/>
    <w:rsid w:val="46E140DF"/>
    <w:rsid w:val="46EB5ECE"/>
    <w:rsid w:val="46F74E94"/>
    <w:rsid w:val="46FA2178"/>
    <w:rsid w:val="470352C5"/>
    <w:rsid w:val="47072ED3"/>
    <w:rsid w:val="47162A4F"/>
    <w:rsid w:val="47354F5E"/>
    <w:rsid w:val="474578A8"/>
    <w:rsid w:val="4779112E"/>
    <w:rsid w:val="477A52BA"/>
    <w:rsid w:val="477F4CEF"/>
    <w:rsid w:val="47812787"/>
    <w:rsid w:val="47995FDA"/>
    <w:rsid w:val="47A02506"/>
    <w:rsid w:val="47A125F4"/>
    <w:rsid w:val="47A34BB5"/>
    <w:rsid w:val="47A46A17"/>
    <w:rsid w:val="47AA14A8"/>
    <w:rsid w:val="47CD4372"/>
    <w:rsid w:val="47D537A4"/>
    <w:rsid w:val="47DE36A7"/>
    <w:rsid w:val="47E81816"/>
    <w:rsid w:val="47E91310"/>
    <w:rsid w:val="47F03BA1"/>
    <w:rsid w:val="47FE35A2"/>
    <w:rsid w:val="4830054F"/>
    <w:rsid w:val="4833531A"/>
    <w:rsid w:val="48434699"/>
    <w:rsid w:val="484B27A8"/>
    <w:rsid w:val="4860425D"/>
    <w:rsid w:val="487F0E97"/>
    <w:rsid w:val="488A0D9C"/>
    <w:rsid w:val="48942741"/>
    <w:rsid w:val="48947260"/>
    <w:rsid w:val="48960287"/>
    <w:rsid w:val="489D2DBB"/>
    <w:rsid w:val="489F4D85"/>
    <w:rsid w:val="48A5180E"/>
    <w:rsid w:val="48C7748D"/>
    <w:rsid w:val="48CA1E04"/>
    <w:rsid w:val="48D15FE3"/>
    <w:rsid w:val="48D34A2F"/>
    <w:rsid w:val="48E4423C"/>
    <w:rsid w:val="48EC5AF0"/>
    <w:rsid w:val="48EF19F3"/>
    <w:rsid w:val="48F00FDC"/>
    <w:rsid w:val="48FA645F"/>
    <w:rsid w:val="491F1A22"/>
    <w:rsid w:val="492B7F13"/>
    <w:rsid w:val="493556E9"/>
    <w:rsid w:val="49446DEB"/>
    <w:rsid w:val="494F04C4"/>
    <w:rsid w:val="495139DB"/>
    <w:rsid w:val="499C3FAD"/>
    <w:rsid w:val="499C7517"/>
    <w:rsid w:val="49B17ECF"/>
    <w:rsid w:val="49B760FE"/>
    <w:rsid w:val="49C622ED"/>
    <w:rsid w:val="4A021E42"/>
    <w:rsid w:val="4A2A744B"/>
    <w:rsid w:val="4A39002E"/>
    <w:rsid w:val="4A486187"/>
    <w:rsid w:val="4A515890"/>
    <w:rsid w:val="4A5B7158"/>
    <w:rsid w:val="4A5F7D7C"/>
    <w:rsid w:val="4AA26FEC"/>
    <w:rsid w:val="4ABE15A0"/>
    <w:rsid w:val="4AC97E97"/>
    <w:rsid w:val="4AD02A60"/>
    <w:rsid w:val="4AE9678B"/>
    <w:rsid w:val="4AF22177"/>
    <w:rsid w:val="4AF25CEB"/>
    <w:rsid w:val="4AF3760A"/>
    <w:rsid w:val="4AF97644"/>
    <w:rsid w:val="4B0215FB"/>
    <w:rsid w:val="4B1732F9"/>
    <w:rsid w:val="4B212424"/>
    <w:rsid w:val="4B2A00A4"/>
    <w:rsid w:val="4B2B09DF"/>
    <w:rsid w:val="4B483853"/>
    <w:rsid w:val="4B7047B7"/>
    <w:rsid w:val="4B743CF4"/>
    <w:rsid w:val="4B7B7DCD"/>
    <w:rsid w:val="4B7E438E"/>
    <w:rsid w:val="4B9506C1"/>
    <w:rsid w:val="4B9E25BD"/>
    <w:rsid w:val="4BA01FD7"/>
    <w:rsid w:val="4BB216BC"/>
    <w:rsid w:val="4BB96F76"/>
    <w:rsid w:val="4BBC79FC"/>
    <w:rsid w:val="4BC67BA7"/>
    <w:rsid w:val="4BE52275"/>
    <w:rsid w:val="4BE807F1"/>
    <w:rsid w:val="4BF83930"/>
    <w:rsid w:val="4C1E23C0"/>
    <w:rsid w:val="4C226560"/>
    <w:rsid w:val="4C3A6B73"/>
    <w:rsid w:val="4C461880"/>
    <w:rsid w:val="4C4654C1"/>
    <w:rsid w:val="4C4A325A"/>
    <w:rsid w:val="4C50379A"/>
    <w:rsid w:val="4C5B625B"/>
    <w:rsid w:val="4C6D6510"/>
    <w:rsid w:val="4C82250D"/>
    <w:rsid w:val="4C8A421D"/>
    <w:rsid w:val="4CAD632C"/>
    <w:rsid w:val="4CB44B77"/>
    <w:rsid w:val="4CB81A6B"/>
    <w:rsid w:val="4CBC36F3"/>
    <w:rsid w:val="4CCC6FD2"/>
    <w:rsid w:val="4CED7BC2"/>
    <w:rsid w:val="4D08325D"/>
    <w:rsid w:val="4D0C293F"/>
    <w:rsid w:val="4D0E4287"/>
    <w:rsid w:val="4D330A1C"/>
    <w:rsid w:val="4D33120C"/>
    <w:rsid w:val="4D3F08E5"/>
    <w:rsid w:val="4D45123E"/>
    <w:rsid w:val="4D477799"/>
    <w:rsid w:val="4D482672"/>
    <w:rsid w:val="4D4C3A12"/>
    <w:rsid w:val="4D521395"/>
    <w:rsid w:val="4D643819"/>
    <w:rsid w:val="4D721DDA"/>
    <w:rsid w:val="4D7F793B"/>
    <w:rsid w:val="4D8E7176"/>
    <w:rsid w:val="4D911437"/>
    <w:rsid w:val="4DA0298A"/>
    <w:rsid w:val="4DA44BEC"/>
    <w:rsid w:val="4DBD0F93"/>
    <w:rsid w:val="4DCB2178"/>
    <w:rsid w:val="4DD5406B"/>
    <w:rsid w:val="4DD905CC"/>
    <w:rsid w:val="4DDA685F"/>
    <w:rsid w:val="4E001A49"/>
    <w:rsid w:val="4E191CCE"/>
    <w:rsid w:val="4E241889"/>
    <w:rsid w:val="4E3B532F"/>
    <w:rsid w:val="4E484AC6"/>
    <w:rsid w:val="4E5C3F52"/>
    <w:rsid w:val="4E63350C"/>
    <w:rsid w:val="4E63426A"/>
    <w:rsid w:val="4E9724F5"/>
    <w:rsid w:val="4EBE7F2F"/>
    <w:rsid w:val="4ED60DD5"/>
    <w:rsid w:val="4EDA5417"/>
    <w:rsid w:val="4F1267D4"/>
    <w:rsid w:val="4F18319B"/>
    <w:rsid w:val="4F1E452A"/>
    <w:rsid w:val="4F201983"/>
    <w:rsid w:val="4F2B07DB"/>
    <w:rsid w:val="4F2C01D1"/>
    <w:rsid w:val="4F2F6737"/>
    <w:rsid w:val="4F3B61A8"/>
    <w:rsid w:val="4F3D1580"/>
    <w:rsid w:val="4F46070C"/>
    <w:rsid w:val="4F6A0722"/>
    <w:rsid w:val="4F6C32E8"/>
    <w:rsid w:val="4F981E3C"/>
    <w:rsid w:val="4FA773E6"/>
    <w:rsid w:val="4FB8185C"/>
    <w:rsid w:val="4FBA24A4"/>
    <w:rsid w:val="4FDC68BF"/>
    <w:rsid w:val="4FE150D4"/>
    <w:rsid w:val="4FEF4EEF"/>
    <w:rsid w:val="4FEF7418"/>
    <w:rsid w:val="50106933"/>
    <w:rsid w:val="5011000D"/>
    <w:rsid w:val="50180794"/>
    <w:rsid w:val="5023550E"/>
    <w:rsid w:val="50383314"/>
    <w:rsid w:val="505A5A36"/>
    <w:rsid w:val="506A7ACA"/>
    <w:rsid w:val="50720FD1"/>
    <w:rsid w:val="50762BD2"/>
    <w:rsid w:val="507B67C1"/>
    <w:rsid w:val="50960E85"/>
    <w:rsid w:val="509A3133"/>
    <w:rsid w:val="509E5922"/>
    <w:rsid w:val="50A15412"/>
    <w:rsid w:val="50A3529E"/>
    <w:rsid w:val="50B43398"/>
    <w:rsid w:val="50B642D5"/>
    <w:rsid w:val="50B91AF1"/>
    <w:rsid w:val="50BD049E"/>
    <w:rsid w:val="50CA6717"/>
    <w:rsid w:val="50E160B0"/>
    <w:rsid w:val="50E50DA5"/>
    <w:rsid w:val="50E577CD"/>
    <w:rsid w:val="50E97CDE"/>
    <w:rsid w:val="50F25C6E"/>
    <w:rsid w:val="50FD4D3F"/>
    <w:rsid w:val="5119481F"/>
    <w:rsid w:val="51234079"/>
    <w:rsid w:val="513217FB"/>
    <w:rsid w:val="513B13C3"/>
    <w:rsid w:val="515A5CE1"/>
    <w:rsid w:val="51615D37"/>
    <w:rsid w:val="51754EFE"/>
    <w:rsid w:val="51782617"/>
    <w:rsid w:val="51823496"/>
    <w:rsid w:val="5185301A"/>
    <w:rsid w:val="518B234A"/>
    <w:rsid w:val="51A5585D"/>
    <w:rsid w:val="51AC406F"/>
    <w:rsid w:val="51BC0F4D"/>
    <w:rsid w:val="51C13FBE"/>
    <w:rsid w:val="51C6320C"/>
    <w:rsid w:val="51C80BB3"/>
    <w:rsid w:val="51CF4128"/>
    <w:rsid w:val="51E23F34"/>
    <w:rsid w:val="51FD0381"/>
    <w:rsid w:val="521D4BF5"/>
    <w:rsid w:val="522E0F28"/>
    <w:rsid w:val="52390DFB"/>
    <w:rsid w:val="52432C25"/>
    <w:rsid w:val="524E3378"/>
    <w:rsid w:val="52505342"/>
    <w:rsid w:val="525B41E6"/>
    <w:rsid w:val="5268549B"/>
    <w:rsid w:val="52695BFF"/>
    <w:rsid w:val="52726628"/>
    <w:rsid w:val="527F7F2C"/>
    <w:rsid w:val="52AB0A18"/>
    <w:rsid w:val="52C84ED8"/>
    <w:rsid w:val="52CA6EA2"/>
    <w:rsid w:val="52CC40AA"/>
    <w:rsid w:val="52D7589E"/>
    <w:rsid w:val="52E85377"/>
    <w:rsid w:val="52F537F4"/>
    <w:rsid w:val="52F70A9D"/>
    <w:rsid w:val="530028C4"/>
    <w:rsid w:val="53026ED9"/>
    <w:rsid w:val="53062D20"/>
    <w:rsid w:val="53395DD6"/>
    <w:rsid w:val="533A73C6"/>
    <w:rsid w:val="53582700"/>
    <w:rsid w:val="537137C2"/>
    <w:rsid w:val="537445CB"/>
    <w:rsid w:val="53B14973"/>
    <w:rsid w:val="53B4545D"/>
    <w:rsid w:val="53BC5013"/>
    <w:rsid w:val="53D0673A"/>
    <w:rsid w:val="53D108EE"/>
    <w:rsid w:val="53DC50DF"/>
    <w:rsid w:val="53DE6DBA"/>
    <w:rsid w:val="53E62D75"/>
    <w:rsid w:val="53ED6670"/>
    <w:rsid w:val="54085ED4"/>
    <w:rsid w:val="540C5299"/>
    <w:rsid w:val="545A4AF3"/>
    <w:rsid w:val="54663CB2"/>
    <w:rsid w:val="547D011C"/>
    <w:rsid w:val="548B4818"/>
    <w:rsid w:val="54A31759"/>
    <w:rsid w:val="54A46679"/>
    <w:rsid w:val="54BF20B8"/>
    <w:rsid w:val="54D472CB"/>
    <w:rsid w:val="54DF6509"/>
    <w:rsid w:val="54E60DFC"/>
    <w:rsid w:val="54EA7388"/>
    <w:rsid w:val="54FF04EC"/>
    <w:rsid w:val="550A3C5C"/>
    <w:rsid w:val="551E53AC"/>
    <w:rsid w:val="55362AB0"/>
    <w:rsid w:val="55414BCA"/>
    <w:rsid w:val="5543118E"/>
    <w:rsid w:val="55522F5B"/>
    <w:rsid w:val="555E7F5E"/>
    <w:rsid w:val="556079C8"/>
    <w:rsid w:val="55755B1C"/>
    <w:rsid w:val="55783A96"/>
    <w:rsid w:val="557D01FC"/>
    <w:rsid w:val="558E28F8"/>
    <w:rsid w:val="559F20A0"/>
    <w:rsid w:val="55A26A73"/>
    <w:rsid w:val="55A32FF3"/>
    <w:rsid w:val="55A7314F"/>
    <w:rsid w:val="55BB33CB"/>
    <w:rsid w:val="55DB58DE"/>
    <w:rsid w:val="55ED0D67"/>
    <w:rsid w:val="55F06C20"/>
    <w:rsid w:val="55F61D5C"/>
    <w:rsid w:val="55FD2F65"/>
    <w:rsid w:val="56037348"/>
    <w:rsid w:val="56146534"/>
    <w:rsid w:val="5621502B"/>
    <w:rsid w:val="56246097"/>
    <w:rsid w:val="56446DD6"/>
    <w:rsid w:val="56466090"/>
    <w:rsid w:val="568227BB"/>
    <w:rsid w:val="56A3578C"/>
    <w:rsid w:val="56A44C28"/>
    <w:rsid w:val="56A4625C"/>
    <w:rsid w:val="56A83153"/>
    <w:rsid w:val="56AA70D6"/>
    <w:rsid w:val="56BC4D54"/>
    <w:rsid w:val="56C36182"/>
    <w:rsid w:val="56C5655E"/>
    <w:rsid w:val="56CF4100"/>
    <w:rsid w:val="56E13883"/>
    <w:rsid w:val="56E3092F"/>
    <w:rsid w:val="57050FCE"/>
    <w:rsid w:val="571060D5"/>
    <w:rsid w:val="575E0361"/>
    <w:rsid w:val="57607DD5"/>
    <w:rsid w:val="576553EC"/>
    <w:rsid w:val="57663D8B"/>
    <w:rsid w:val="57697795"/>
    <w:rsid w:val="578E4942"/>
    <w:rsid w:val="57961A49"/>
    <w:rsid w:val="57AF6667"/>
    <w:rsid w:val="57B054A4"/>
    <w:rsid w:val="57D21C82"/>
    <w:rsid w:val="57DB7AA8"/>
    <w:rsid w:val="58102FA2"/>
    <w:rsid w:val="58286246"/>
    <w:rsid w:val="583B614D"/>
    <w:rsid w:val="585A4A50"/>
    <w:rsid w:val="58703490"/>
    <w:rsid w:val="58845D45"/>
    <w:rsid w:val="589C4975"/>
    <w:rsid w:val="58A359A6"/>
    <w:rsid w:val="58AD446A"/>
    <w:rsid w:val="58B70171"/>
    <w:rsid w:val="58D422D6"/>
    <w:rsid w:val="58DE77A8"/>
    <w:rsid w:val="58E40592"/>
    <w:rsid w:val="58F7054B"/>
    <w:rsid w:val="58FB495C"/>
    <w:rsid w:val="590914E6"/>
    <w:rsid w:val="592C0476"/>
    <w:rsid w:val="593B7E95"/>
    <w:rsid w:val="593C217C"/>
    <w:rsid w:val="5980475F"/>
    <w:rsid w:val="59BC5F52"/>
    <w:rsid w:val="59D72AD0"/>
    <w:rsid w:val="59E13CEA"/>
    <w:rsid w:val="59E903B5"/>
    <w:rsid w:val="59FC7335"/>
    <w:rsid w:val="5A00534C"/>
    <w:rsid w:val="5A02386F"/>
    <w:rsid w:val="5A082615"/>
    <w:rsid w:val="5A0A4028"/>
    <w:rsid w:val="5A166E71"/>
    <w:rsid w:val="5A2824A2"/>
    <w:rsid w:val="5A2A27A7"/>
    <w:rsid w:val="5A3317D1"/>
    <w:rsid w:val="5A533C21"/>
    <w:rsid w:val="5A560D57"/>
    <w:rsid w:val="5A601E9A"/>
    <w:rsid w:val="5A7E7AC1"/>
    <w:rsid w:val="5A896774"/>
    <w:rsid w:val="5A8C2C8F"/>
    <w:rsid w:val="5AAF34E0"/>
    <w:rsid w:val="5ABA2F5C"/>
    <w:rsid w:val="5AC468CD"/>
    <w:rsid w:val="5ACA36EA"/>
    <w:rsid w:val="5ACD39D4"/>
    <w:rsid w:val="5AF32D0E"/>
    <w:rsid w:val="5AFA2BA2"/>
    <w:rsid w:val="5B163EC2"/>
    <w:rsid w:val="5B181566"/>
    <w:rsid w:val="5B1818A6"/>
    <w:rsid w:val="5B200550"/>
    <w:rsid w:val="5B24111A"/>
    <w:rsid w:val="5B255FC4"/>
    <w:rsid w:val="5B287E5A"/>
    <w:rsid w:val="5B3F4260"/>
    <w:rsid w:val="5B531A3B"/>
    <w:rsid w:val="5B6F53CF"/>
    <w:rsid w:val="5B8054E4"/>
    <w:rsid w:val="5B930FEF"/>
    <w:rsid w:val="5B9E3991"/>
    <w:rsid w:val="5BA74225"/>
    <w:rsid w:val="5BBC3CDD"/>
    <w:rsid w:val="5BCD355F"/>
    <w:rsid w:val="5BD364E5"/>
    <w:rsid w:val="5BE2121E"/>
    <w:rsid w:val="5BE4688D"/>
    <w:rsid w:val="5BF22E98"/>
    <w:rsid w:val="5C0276AD"/>
    <w:rsid w:val="5C0F1CA6"/>
    <w:rsid w:val="5C2A7439"/>
    <w:rsid w:val="5C2F7D76"/>
    <w:rsid w:val="5C3453EA"/>
    <w:rsid w:val="5C3F26AF"/>
    <w:rsid w:val="5C461262"/>
    <w:rsid w:val="5C580ABC"/>
    <w:rsid w:val="5C635E58"/>
    <w:rsid w:val="5C6D14DF"/>
    <w:rsid w:val="5C727AEC"/>
    <w:rsid w:val="5C8049FF"/>
    <w:rsid w:val="5C8413EA"/>
    <w:rsid w:val="5C910787"/>
    <w:rsid w:val="5CA00701"/>
    <w:rsid w:val="5CA01738"/>
    <w:rsid w:val="5CA874EC"/>
    <w:rsid w:val="5CB17F92"/>
    <w:rsid w:val="5CB851B9"/>
    <w:rsid w:val="5CD8040E"/>
    <w:rsid w:val="5CEC1F16"/>
    <w:rsid w:val="5CF721AA"/>
    <w:rsid w:val="5CF817F7"/>
    <w:rsid w:val="5D023AD9"/>
    <w:rsid w:val="5D07136C"/>
    <w:rsid w:val="5D084744"/>
    <w:rsid w:val="5D2B2121"/>
    <w:rsid w:val="5D321A2E"/>
    <w:rsid w:val="5D3F00EF"/>
    <w:rsid w:val="5D4505BB"/>
    <w:rsid w:val="5D6364B7"/>
    <w:rsid w:val="5D7A2F63"/>
    <w:rsid w:val="5D851DCA"/>
    <w:rsid w:val="5D9778C1"/>
    <w:rsid w:val="5D9B3A71"/>
    <w:rsid w:val="5D9E4DE0"/>
    <w:rsid w:val="5DA80850"/>
    <w:rsid w:val="5DAE5E6D"/>
    <w:rsid w:val="5DB46785"/>
    <w:rsid w:val="5DC04B5F"/>
    <w:rsid w:val="5DC6522A"/>
    <w:rsid w:val="5DD62B9F"/>
    <w:rsid w:val="5DDE3802"/>
    <w:rsid w:val="5DF468EB"/>
    <w:rsid w:val="5DFE5C52"/>
    <w:rsid w:val="5E0A25BF"/>
    <w:rsid w:val="5E154C93"/>
    <w:rsid w:val="5E1A0DEF"/>
    <w:rsid w:val="5E251431"/>
    <w:rsid w:val="5E364DAA"/>
    <w:rsid w:val="5E494553"/>
    <w:rsid w:val="5E517E96"/>
    <w:rsid w:val="5E5403A5"/>
    <w:rsid w:val="5E695F0B"/>
    <w:rsid w:val="5E792877"/>
    <w:rsid w:val="5E7A7237"/>
    <w:rsid w:val="5E8A4FF3"/>
    <w:rsid w:val="5E907070"/>
    <w:rsid w:val="5E9465B6"/>
    <w:rsid w:val="5EA20CD3"/>
    <w:rsid w:val="5EA26F25"/>
    <w:rsid w:val="5ECC58AD"/>
    <w:rsid w:val="5ED05841"/>
    <w:rsid w:val="5EE0181C"/>
    <w:rsid w:val="5EE14F8C"/>
    <w:rsid w:val="5EE5469C"/>
    <w:rsid w:val="5EE56E66"/>
    <w:rsid w:val="5EFE033F"/>
    <w:rsid w:val="5F0C745A"/>
    <w:rsid w:val="5F184C35"/>
    <w:rsid w:val="5F2446F4"/>
    <w:rsid w:val="5F2B23C5"/>
    <w:rsid w:val="5F2E4E97"/>
    <w:rsid w:val="5F561125"/>
    <w:rsid w:val="5F870B60"/>
    <w:rsid w:val="5F934743"/>
    <w:rsid w:val="5F9F792C"/>
    <w:rsid w:val="5FC82E57"/>
    <w:rsid w:val="5FE94FF0"/>
    <w:rsid w:val="5FF5214D"/>
    <w:rsid w:val="5FFA4A89"/>
    <w:rsid w:val="5FFB68ED"/>
    <w:rsid w:val="5FFC0A03"/>
    <w:rsid w:val="60031C46"/>
    <w:rsid w:val="600D72A1"/>
    <w:rsid w:val="6032614D"/>
    <w:rsid w:val="603E3B94"/>
    <w:rsid w:val="604509CE"/>
    <w:rsid w:val="604A4312"/>
    <w:rsid w:val="605641D8"/>
    <w:rsid w:val="60576E0A"/>
    <w:rsid w:val="60591866"/>
    <w:rsid w:val="6074762F"/>
    <w:rsid w:val="6075247C"/>
    <w:rsid w:val="60794B8C"/>
    <w:rsid w:val="60964BF0"/>
    <w:rsid w:val="60A21B08"/>
    <w:rsid w:val="60AA328D"/>
    <w:rsid w:val="60B413DB"/>
    <w:rsid w:val="60C90386"/>
    <w:rsid w:val="60CA6DB6"/>
    <w:rsid w:val="60D029F7"/>
    <w:rsid w:val="60D07D7A"/>
    <w:rsid w:val="60D27336"/>
    <w:rsid w:val="60F0452F"/>
    <w:rsid w:val="61070EBF"/>
    <w:rsid w:val="610921F8"/>
    <w:rsid w:val="610C0686"/>
    <w:rsid w:val="611C2FBF"/>
    <w:rsid w:val="611D411F"/>
    <w:rsid w:val="613B0ED7"/>
    <w:rsid w:val="614147D4"/>
    <w:rsid w:val="614A3B92"/>
    <w:rsid w:val="614C5AEB"/>
    <w:rsid w:val="6163152F"/>
    <w:rsid w:val="617918B9"/>
    <w:rsid w:val="618A3BC0"/>
    <w:rsid w:val="61912B55"/>
    <w:rsid w:val="619C3DF9"/>
    <w:rsid w:val="61B04329"/>
    <w:rsid w:val="61B2747F"/>
    <w:rsid w:val="61B44815"/>
    <w:rsid w:val="61C65787"/>
    <w:rsid w:val="61D61DF4"/>
    <w:rsid w:val="61EB473F"/>
    <w:rsid w:val="61F21F72"/>
    <w:rsid w:val="61F807EB"/>
    <w:rsid w:val="61F93300"/>
    <w:rsid w:val="62077A1A"/>
    <w:rsid w:val="6212295C"/>
    <w:rsid w:val="621B1D7F"/>
    <w:rsid w:val="621C6B59"/>
    <w:rsid w:val="62331D42"/>
    <w:rsid w:val="624C15AE"/>
    <w:rsid w:val="6250415A"/>
    <w:rsid w:val="625635D9"/>
    <w:rsid w:val="62583026"/>
    <w:rsid w:val="625978FB"/>
    <w:rsid w:val="625B2DC4"/>
    <w:rsid w:val="62647077"/>
    <w:rsid w:val="626F35C2"/>
    <w:rsid w:val="627D1C6A"/>
    <w:rsid w:val="628350AF"/>
    <w:rsid w:val="629E7A04"/>
    <w:rsid w:val="62AD4596"/>
    <w:rsid w:val="62BC7E8A"/>
    <w:rsid w:val="62D13935"/>
    <w:rsid w:val="630F7204"/>
    <w:rsid w:val="63126FD2"/>
    <w:rsid w:val="632041FA"/>
    <w:rsid w:val="63212B0F"/>
    <w:rsid w:val="63276DFA"/>
    <w:rsid w:val="632C74F0"/>
    <w:rsid w:val="6331781D"/>
    <w:rsid w:val="636B3D8A"/>
    <w:rsid w:val="63795A66"/>
    <w:rsid w:val="637E1771"/>
    <w:rsid w:val="63804559"/>
    <w:rsid w:val="638D66B2"/>
    <w:rsid w:val="63A23524"/>
    <w:rsid w:val="63C143B7"/>
    <w:rsid w:val="63C35974"/>
    <w:rsid w:val="63C67212"/>
    <w:rsid w:val="63DB615E"/>
    <w:rsid w:val="63EC4B2A"/>
    <w:rsid w:val="63F41FD1"/>
    <w:rsid w:val="63F94C25"/>
    <w:rsid w:val="63FC3304"/>
    <w:rsid w:val="63FD5229"/>
    <w:rsid w:val="6428453C"/>
    <w:rsid w:val="64494C5F"/>
    <w:rsid w:val="64687EA9"/>
    <w:rsid w:val="647028C4"/>
    <w:rsid w:val="64850E7B"/>
    <w:rsid w:val="648611DB"/>
    <w:rsid w:val="648973AE"/>
    <w:rsid w:val="648B0C1C"/>
    <w:rsid w:val="64C72D1E"/>
    <w:rsid w:val="64D379FB"/>
    <w:rsid w:val="64E42046"/>
    <w:rsid w:val="64E57DC9"/>
    <w:rsid w:val="64F843B9"/>
    <w:rsid w:val="65005322"/>
    <w:rsid w:val="65007553"/>
    <w:rsid w:val="65055B18"/>
    <w:rsid w:val="6509385A"/>
    <w:rsid w:val="650B18FE"/>
    <w:rsid w:val="651720C1"/>
    <w:rsid w:val="651E4E2C"/>
    <w:rsid w:val="65491EA9"/>
    <w:rsid w:val="65495C8A"/>
    <w:rsid w:val="65533B5B"/>
    <w:rsid w:val="655C7D24"/>
    <w:rsid w:val="657B79F3"/>
    <w:rsid w:val="65A17F37"/>
    <w:rsid w:val="65C36ED6"/>
    <w:rsid w:val="65CC1829"/>
    <w:rsid w:val="65CF741B"/>
    <w:rsid w:val="65D13CA6"/>
    <w:rsid w:val="65DA7950"/>
    <w:rsid w:val="65E545EA"/>
    <w:rsid w:val="65E55C69"/>
    <w:rsid w:val="65E87914"/>
    <w:rsid w:val="65F322FD"/>
    <w:rsid w:val="662C58B5"/>
    <w:rsid w:val="66415ED5"/>
    <w:rsid w:val="66471579"/>
    <w:rsid w:val="6658393F"/>
    <w:rsid w:val="66592197"/>
    <w:rsid w:val="665C1B54"/>
    <w:rsid w:val="665F56FC"/>
    <w:rsid w:val="666C3F3C"/>
    <w:rsid w:val="667A48BA"/>
    <w:rsid w:val="66833198"/>
    <w:rsid w:val="668A2E23"/>
    <w:rsid w:val="66AB640C"/>
    <w:rsid w:val="66C73137"/>
    <w:rsid w:val="66CF0420"/>
    <w:rsid w:val="66D52BC8"/>
    <w:rsid w:val="66D734E4"/>
    <w:rsid w:val="66E10984"/>
    <w:rsid w:val="66FC3C24"/>
    <w:rsid w:val="671958AB"/>
    <w:rsid w:val="674322FA"/>
    <w:rsid w:val="6746313D"/>
    <w:rsid w:val="674A68D1"/>
    <w:rsid w:val="674B5A46"/>
    <w:rsid w:val="67587A9F"/>
    <w:rsid w:val="67731AE5"/>
    <w:rsid w:val="67784F70"/>
    <w:rsid w:val="67B04210"/>
    <w:rsid w:val="67C01AE8"/>
    <w:rsid w:val="67C021CA"/>
    <w:rsid w:val="67C23B73"/>
    <w:rsid w:val="67C70EB6"/>
    <w:rsid w:val="67C95523"/>
    <w:rsid w:val="67D87660"/>
    <w:rsid w:val="67F24A7A"/>
    <w:rsid w:val="67FA148D"/>
    <w:rsid w:val="67FF2C20"/>
    <w:rsid w:val="68064081"/>
    <w:rsid w:val="68285E00"/>
    <w:rsid w:val="682A4E35"/>
    <w:rsid w:val="682B0B5D"/>
    <w:rsid w:val="6844104D"/>
    <w:rsid w:val="68460921"/>
    <w:rsid w:val="684A27BD"/>
    <w:rsid w:val="68547404"/>
    <w:rsid w:val="68665289"/>
    <w:rsid w:val="68745956"/>
    <w:rsid w:val="688C417B"/>
    <w:rsid w:val="68B97A63"/>
    <w:rsid w:val="68D777CC"/>
    <w:rsid w:val="68DC7C87"/>
    <w:rsid w:val="68ED0B58"/>
    <w:rsid w:val="68F67394"/>
    <w:rsid w:val="69034A64"/>
    <w:rsid w:val="690C1B6B"/>
    <w:rsid w:val="690E31B6"/>
    <w:rsid w:val="69166546"/>
    <w:rsid w:val="693A2F47"/>
    <w:rsid w:val="6944301A"/>
    <w:rsid w:val="694A5646"/>
    <w:rsid w:val="695E39CC"/>
    <w:rsid w:val="695F389A"/>
    <w:rsid w:val="696619B5"/>
    <w:rsid w:val="69823BDB"/>
    <w:rsid w:val="69845BA5"/>
    <w:rsid w:val="69902762"/>
    <w:rsid w:val="699102C2"/>
    <w:rsid w:val="69931B4E"/>
    <w:rsid w:val="699E714C"/>
    <w:rsid w:val="69AD7EDC"/>
    <w:rsid w:val="69BB533F"/>
    <w:rsid w:val="69C17022"/>
    <w:rsid w:val="69F543EA"/>
    <w:rsid w:val="6A011A2C"/>
    <w:rsid w:val="6A132DCE"/>
    <w:rsid w:val="6A261ADD"/>
    <w:rsid w:val="6A322BD9"/>
    <w:rsid w:val="6A4042A8"/>
    <w:rsid w:val="6A691465"/>
    <w:rsid w:val="6A69297B"/>
    <w:rsid w:val="6A7259FE"/>
    <w:rsid w:val="6A75097C"/>
    <w:rsid w:val="6A7C1326"/>
    <w:rsid w:val="6A815213"/>
    <w:rsid w:val="6A8A4058"/>
    <w:rsid w:val="6A9A11CB"/>
    <w:rsid w:val="6AA50CB5"/>
    <w:rsid w:val="6ACD532A"/>
    <w:rsid w:val="6AD93CCF"/>
    <w:rsid w:val="6ADE7537"/>
    <w:rsid w:val="6AE728C7"/>
    <w:rsid w:val="6AE73A60"/>
    <w:rsid w:val="6AE95F89"/>
    <w:rsid w:val="6AFB393F"/>
    <w:rsid w:val="6B2417E8"/>
    <w:rsid w:val="6B3376AE"/>
    <w:rsid w:val="6B3C682C"/>
    <w:rsid w:val="6B3E2286"/>
    <w:rsid w:val="6B4D62D2"/>
    <w:rsid w:val="6B625297"/>
    <w:rsid w:val="6B703C28"/>
    <w:rsid w:val="6B750178"/>
    <w:rsid w:val="6B786A14"/>
    <w:rsid w:val="6B7B2FD8"/>
    <w:rsid w:val="6B8377C4"/>
    <w:rsid w:val="6B930322"/>
    <w:rsid w:val="6BB6785C"/>
    <w:rsid w:val="6BC309B6"/>
    <w:rsid w:val="6BC32788"/>
    <w:rsid w:val="6BDB3BFE"/>
    <w:rsid w:val="6BE24E05"/>
    <w:rsid w:val="6C231648"/>
    <w:rsid w:val="6C29795D"/>
    <w:rsid w:val="6C501D6F"/>
    <w:rsid w:val="6C6071B3"/>
    <w:rsid w:val="6C7234EF"/>
    <w:rsid w:val="6C7634A4"/>
    <w:rsid w:val="6C832E76"/>
    <w:rsid w:val="6CA43BA8"/>
    <w:rsid w:val="6CB467A2"/>
    <w:rsid w:val="6CCD1611"/>
    <w:rsid w:val="6CD152EC"/>
    <w:rsid w:val="6CEF7C33"/>
    <w:rsid w:val="6CFF6CA2"/>
    <w:rsid w:val="6D056787"/>
    <w:rsid w:val="6D082CBC"/>
    <w:rsid w:val="6D0A4613"/>
    <w:rsid w:val="6D317F9F"/>
    <w:rsid w:val="6D7F1E30"/>
    <w:rsid w:val="6D850D24"/>
    <w:rsid w:val="6D850F9C"/>
    <w:rsid w:val="6DAD0B9D"/>
    <w:rsid w:val="6DB173B9"/>
    <w:rsid w:val="6DB30805"/>
    <w:rsid w:val="6DB96AEA"/>
    <w:rsid w:val="6DC26897"/>
    <w:rsid w:val="6DD038F8"/>
    <w:rsid w:val="6DF46B4F"/>
    <w:rsid w:val="6E032E11"/>
    <w:rsid w:val="6E1E7827"/>
    <w:rsid w:val="6E3107CB"/>
    <w:rsid w:val="6E4B6C92"/>
    <w:rsid w:val="6E4E0530"/>
    <w:rsid w:val="6E6733A0"/>
    <w:rsid w:val="6E6B10E2"/>
    <w:rsid w:val="6E8403F6"/>
    <w:rsid w:val="6E8D241B"/>
    <w:rsid w:val="6EA52C64"/>
    <w:rsid w:val="6EA97922"/>
    <w:rsid w:val="6EB365E5"/>
    <w:rsid w:val="6EB5659B"/>
    <w:rsid w:val="6EBE68FB"/>
    <w:rsid w:val="6EC93353"/>
    <w:rsid w:val="6ED62FDE"/>
    <w:rsid w:val="6EDB5775"/>
    <w:rsid w:val="6EDC5B3C"/>
    <w:rsid w:val="6F122BB4"/>
    <w:rsid w:val="6F141779"/>
    <w:rsid w:val="6F1F3C7A"/>
    <w:rsid w:val="6F55769C"/>
    <w:rsid w:val="6F571666"/>
    <w:rsid w:val="6F5D66D1"/>
    <w:rsid w:val="6F8166E3"/>
    <w:rsid w:val="6F863CF9"/>
    <w:rsid w:val="6F97449F"/>
    <w:rsid w:val="6FA560EB"/>
    <w:rsid w:val="6FB1771C"/>
    <w:rsid w:val="6FBA1905"/>
    <w:rsid w:val="6FDA62D1"/>
    <w:rsid w:val="6FDB77F4"/>
    <w:rsid w:val="6FE078AE"/>
    <w:rsid w:val="6FE87B54"/>
    <w:rsid w:val="6FEE60B1"/>
    <w:rsid w:val="700B55BE"/>
    <w:rsid w:val="7032466F"/>
    <w:rsid w:val="703E7A7E"/>
    <w:rsid w:val="70415FDC"/>
    <w:rsid w:val="70514F9E"/>
    <w:rsid w:val="7052498B"/>
    <w:rsid w:val="70525FDC"/>
    <w:rsid w:val="705D4A5A"/>
    <w:rsid w:val="707A560C"/>
    <w:rsid w:val="70871AD7"/>
    <w:rsid w:val="7090281C"/>
    <w:rsid w:val="709240D4"/>
    <w:rsid w:val="70934C8C"/>
    <w:rsid w:val="70956E9A"/>
    <w:rsid w:val="70A23490"/>
    <w:rsid w:val="70A61A6C"/>
    <w:rsid w:val="70C96096"/>
    <w:rsid w:val="70D008F8"/>
    <w:rsid w:val="70EB71D0"/>
    <w:rsid w:val="70F353BF"/>
    <w:rsid w:val="712E12C8"/>
    <w:rsid w:val="71456239"/>
    <w:rsid w:val="7148395C"/>
    <w:rsid w:val="71483F49"/>
    <w:rsid w:val="715514EE"/>
    <w:rsid w:val="715916C6"/>
    <w:rsid w:val="71602196"/>
    <w:rsid w:val="71692A52"/>
    <w:rsid w:val="717B6972"/>
    <w:rsid w:val="71810C1C"/>
    <w:rsid w:val="71816E6E"/>
    <w:rsid w:val="718D53D7"/>
    <w:rsid w:val="719B7525"/>
    <w:rsid w:val="71B03733"/>
    <w:rsid w:val="71E74685"/>
    <w:rsid w:val="71EC3A50"/>
    <w:rsid w:val="71ED1E0E"/>
    <w:rsid w:val="71FC7CAD"/>
    <w:rsid w:val="723615F2"/>
    <w:rsid w:val="72392D10"/>
    <w:rsid w:val="72495CF8"/>
    <w:rsid w:val="7254662F"/>
    <w:rsid w:val="7265409A"/>
    <w:rsid w:val="726E11A1"/>
    <w:rsid w:val="72822E9E"/>
    <w:rsid w:val="72B6534E"/>
    <w:rsid w:val="72E70F53"/>
    <w:rsid w:val="72F84F0E"/>
    <w:rsid w:val="73164A96"/>
    <w:rsid w:val="731C0BFD"/>
    <w:rsid w:val="73357F10"/>
    <w:rsid w:val="735429B3"/>
    <w:rsid w:val="7362595B"/>
    <w:rsid w:val="73626870"/>
    <w:rsid w:val="737360E1"/>
    <w:rsid w:val="73B45595"/>
    <w:rsid w:val="73C97770"/>
    <w:rsid w:val="73D1433E"/>
    <w:rsid w:val="73D569E4"/>
    <w:rsid w:val="73D94D40"/>
    <w:rsid w:val="73DB142D"/>
    <w:rsid w:val="73E24C64"/>
    <w:rsid w:val="73E55492"/>
    <w:rsid w:val="73E56950"/>
    <w:rsid w:val="73F97190"/>
    <w:rsid w:val="73FE6554"/>
    <w:rsid w:val="740022CC"/>
    <w:rsid w:val="74085625"/>
    <w:rsid w:val="7423420D"/>
    <w:rsid w:val="74312486"/>
    <w:rsid w:val="74390B41"/>
    <w:rsid w:val="7444539E"/>
    <w:rsid w:val="744626BD"/>
    <w:rsid w:val="745368A0"/>
    <w:rsid w:val="74604B19"/>
    <w:rsid w:val="746D4DD9"/>
    <w:rsid w:val="74853EF0"/>
    <w:rsid w:val="749C4AD7"/>
    <w:rsid w:val="74A52E74"/>
    <w:rsid w:val="74AE43AB"/>
    <w:rsid w:val="74BA6911"/>
    <w:rsid w:val="74E215E9"/>
    <w:rsid w:val="75040A3A"/>
    <w:rsid w:val="7505710F"/>
    <w:rsid w:val="751D2A0A"/>
    <w:rsid w:val="751E6173"/>
    <w:rsid w:val="753F2773"/>
    <w:rsid w:val="756100FF"/>
    <w:rsid w:val="75644ADD"/>
    <w:rsid w:val="756920F3"/>
    <w:rsid w:val="756D1BE3"/>
    <w:rsid w:val="75734D20"/>
    <w:rsid w:val="757C5983"/>
    <w:rsid w:val="757D3216"/>
    <w:rsid w:val="758111EB"/>
    <w:rsid w:val="7586723E"/>
    <w:rsid w:val="759C3C9B"/>
    <w:rsid w:val="75AB5FDB"/>
    <w:rsid w:val="75B771D6"/>
    <w:rsid w:val="75BE705E"/>
    <w:rsid w:val="75D03F20"/>
    <w:rsid w:val="75D71B85"/>
    <w:rsid w:val="75E56258"/>
    <w:rsid w:val="75E874BC"/>
    <w:rsid w:val="75F30F3B"/>
    <w:rsid w:val="760309F9"/>
    <w:rsid w:val="762515BE"/>
    <w:rsid w:val="762536F2"/>
    <w:rsid w:val="762811E0"/>
    <w:rsid w:val="762849B5"/>
    <w:rsid w:val="762F0C47"/>
    <w:rsid w:val="763B5C99"/>
    <w:rsid w:val="764566BC"/>
    <w:rsid w:val="764F428E"/>
    <w:rsid w:val="765406AD"/>
    <w:rsid w:val="767D488A"/>
    <w:rsid w:val="76885CD2"/>
    <w:rsid w:val="76C128DF"/>
    <w:rsid w:val="76D9045A"/>
    <w:rsid w:val="76DC0E83"/>
    <w:rsid w:val="76DE5837"/>
    <w:rsid w:val="76E1670B"/>
    <w:rsid w:val="76F40947"/>
    <w:rsid w:val="772E0AF7"/>
    <w:rsid w:val="773109EF"/>
    <w:rsid w:val="7733088E"/>
    <w:rsid w:val="773E76F4"/>
    <w:rsid w:val="77626DFA"/>
    <w:rsid w:val="77690189"/>
    <w:rsid w:val="776E579F"/>
    <w:rsid w:val="777A05E8"/>
    <w:rsid w:val="77810771"/>
    <w:rsid w:val="778503F0"/>
    <w:rsid w:val="778546E7"/>
    <w:rsid w:val="77953890"/>
    <w:rsid w:val="77B35B99"/>
    <w:rsid w:val="77BC22EF"/>
    <w:rsid w:val="77C60CA0"/>
    <w:rsid w:val="77C80D66"/>
    <w:rsid w:val="77E96145"/>
    <w:rsid w:val="77F60C91"/>
    <w:rsid w:val="77FB5186"/>
    <w:rsid w:val="780A5A0D"/>
    <w:rsid w:val="781400F4"/>
    <w:rsid w:val="781444DE"/>
    <w:rsid w:val="78157A47"/>
    <w:rsid w:val="78191BAF"/>
    <w:rsid w:val="7826642F"/>
    <w:rsid w:val="78533492"/>
    <w:rsid w:val="78594118"/>
    <w:rsid w:val="78623F6A"/>
    <w:rsid w:val="7862475A"/>
    <w:rsid w:val="786F5C73"/>
    <w:rsid w:val="787C3EEC"/>
    <w:rsid w:val="788E38C4"/>
    <w:rsid w:val="78953F29"/>
    <w:rsid w:val="78986F77"/>
    <w:rsid w:val="78A925E5"/>
    <w:rsid w:val="78C50E10"/>
    <w:rsid w:val="78CC09CF"/>
    <w:rsid w:val="78CC4E73"/>
    <w:rsid w:val="78DC2A6F"/>
    <w:rsid w:val="78DE0702"/>
    <w:rsid w:val="78FD4590"/>
    <w:rsid w:val="79002D6F"/>
    <w:rsid w:val="79030F40"/>
    <w:rsid w:val="79172DBB"/>
    <w:rsid w:val="791F04FE"/>
    <w:rsid w:val="793D7124"/>
    <w:rsid w:val="7940316B"/>
    <w:rsid w:val="79420C91"/>
    <w:rsid w:val="7943528D"/>
    <w:rsid w:val="79465B30"/>
    <w:rsid w:val="79501600"/>
    <w:rsid w:val="795412F6"/>
    <w:rsid w:val="799B657F"/>
    <w:rsid w:val="799F2907"/>
    <w:rsid w:val="79EE5925"/>
    <w:rsid w:val="79FC099E"/>
    <w:rsid w:val="7A0B6F82"/>
    <w:rsid w:val="7A26334A"/>
    <w:rsid w:val="7A32799C"/>
    <w:rsid w:val="7A3902E6"/>
    <w:rsid w:val="7A4B4237"/>
    <w:rsid w:val="7A667B62"/>
    <w:rsid w:val="7A715CD2"/>
    <w:rsid w:val="7A7255A6"/>
    <w:rsid w:val="7A7C6425"/>
    <w:rsid w:val="7A933944"/>
    <w:rsid w:val="7A9D6AC7"/>
    <w:rsid w:val="7AA5772A"/>
    <w:rsid w:val="7ADB75EF"/>
    <w:rsid w:val="7AE069B4"/>
    <w:rsid w:val="7AF621CB"/>
    <w:rsid w:val="7AF661D7"/>
    <w:rsid w:val="7AF7223C"/>
    <w:rsid w:val="7B1A345C"/>
    <w:rsid w:val="7B287C49"/>
    <w:rsid w:val="7B2A2C5D"/>
    <w:rsid w:val="7B3311D9"/>
    <w:rsid w:val="7B4707E1"/>
    <w:rsid w:val="7B48676F"/>
    <w:rsid w:val="7B49111B"/>
    <w:rsid w:val="7B625E6A"/>
    <w:rsid w:val="7B705F89"/>
    <w:rsid w:val="7B7F61CD"/>
    <w:rsid w:val="7B914965"/>
    <w:rsid w:val="7BBB4D2B"/>
    <w:rsid w:val="7BC2430B"/>
    <w:rsid w:val="7BC57958"/>
    <w:rsid w:val="7BCF079C"/>
    <w:rsid w:val="7BD0720D"/>
    <w:rsid w:val="7BDC113C"/>
    <w:rsid w:val="7BF26896"/>
    <w:rsid w:val="7C0E6909"/>
    <w:rsid w:val="7C15268D"/>
    <w:rsid w:val="7C2653F9"/>
    <w:rsid w:val="7C340FEB"/>
    <w:rsid w:val="7C40570C"/>
    <w:rsid w:val="7C4539D6"/>
    <w:rsid w:val="7C513C33"/>
    <w:rsid w:val="7C52743D"/>
    <w:rsid w:val="7C536237"/>
    <w:rsid w:val="7C5F1D4A"/>
    <w:rsid w:val="7C65194C"/>
    <w:rsid w:val="7C6A26B4"/>
    <w:rsid w:val="7C784488"/>
    <w:rsid w:val="7C914409"/>
    <w:rsid w:val="7C9B7EBE"/>
    <w:rsid w:val="7CAD4FBB"/>
    <w:rsid w:val="7CB71BDB"/>
    <w:rsid w:val="7CC87868"/>
    <w:rsid w:val="7CD268CC"/>
    <w:rsid w:val="7CD41616"/>
    <w:rsid w:val="7CED53B8"/>
    <w:rsid w:val="7CF37B76"/>
    <w:rsid w:val="7CFA00F3"/>
    <w:rsid w:val="7CFB1007"/>
    <w:rsid w:val="7CFC5009"/>
    <w:rsid w:val="7CFF3848"/>
    <w:rsid w:val="7D0E5A5A"/>
    <w:rsid w:val="7D1631CF"/>
    <w:rsid w:val="7D1E3461"/>
    <w:rsid w:val="7D231A44"/>
    <w:rsid w:val="7D293C12"/>
    <w:rsid w:val="7D356D08"/>
    <w:rsid w:val="7D3716CA"/>
    <w:rsid w:val="7D403DB7"/>
    <w:rsid w:val="7D4D5E56"/>
    <w:rsid w:val="7D60638C"/>
    <w:rsid w:val="7D6733BC"/>
    <w:rsid w:val="7D767733"/>
    <w:rsid w:val="7D9B3066"/>
    <w:rsid w:val="7D9E118B"/>
    <w:rsid w:val="7DA154F2"/>
    <w:rsid w:val="7DA32F75"/>
    <w:rsid w:val="7DAA120E"/>
    <w:rsid w:val="7DB03F8A"/>
    <w:rsid w:val="7DB9473F"/>
    <w:rsid w:val="7DBC76BC"/>
    <w:rsid w:val="7DD2231F"/>
    <w:rsid w:val="7DD93532"/>
    <w:rsid w:val="7DE124ED"/>
    <w:rsid w:val="7DE7575A"/>
    <w:rsid w:val="7DE762AB"/>
    <w:rsid w:val="7DEE13E8"/>
    <w:rsid w:val="7DF13281"/>
    <w:rsid w:val="7E003301"/>
    <w:rsid w:val="7E012F1F"/>
    <w:rsid w:val="7E026B1B"/>
    <w:rsid w:val="7E095037"/>
    <w:rsid w:val="7E134BDE"/>
    <w:rsid w:val="7E1B59FB"/>
    <w:rsid w:val="7E4319BC"/>
    <w:rsid w:val="7E467DAF"/>
    <w:rsid w:val="7E535EDB"/>
    <w:rsid w:val="7E592ED1"/>
    <w:rsid w:val="7E627E9E"/>
    <w:rsid w:val="7E663674"/>
    <w:rsid w:val="7E6C318A"/>
    <w:rsid w:val="7E712956"/>
    <w:rsid w:val="7E71385C"/>
    <w:rsid w:val="7E7538B7"/>
    <w:rsid w:val="7E7E785F"/>
    <w:rsid w:val="7E822A6C"/>
    <w:rsid w:val="7E8458A8"/>
    <w:rsid w:val="7E957358"/>
    <w:rsid w:val="7EA06B86"/>
    <w:rsid w:val="7EA62615"/>
    <w:rsid w:val="7EA75926"/>
    <w:rsid w:val="7EAE4CFC"/>
    <w:rsid w:val="7EB270D9"/>
    <w:rsid w:val="7ECF3957"/>
    <w:rsid w:val="7EF67331"/>
    <w:rsid w:val="7F255E4D"/>
    <w:rsid w:val="7F2F1CB8"/>
    <w:rsid w:val="7F453FC4"/>
    <w:rsid w:val="7F606315"/>
    <w:rsid w:val="7F644808"/>
    <w:rsid w:val="7F6C08EC"/>
    <w:rsid w:val="7F6F47AA"/>
    <w:rsid w:val="7FA41C30"/>
    <w:rsid w:val="7FB1091F"/>
    <w:rsid w:val="7FB87EFF"/>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6"/>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4">
    <w:name w:val="heading 3"/>
    <w:basedOn w:val="1"/>
    <w:next w:val="1"/>
    <w:link w:val="89"/>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5">
    <w:name w:val="heading 4"/>
    <w:basedOn w:val="1"/>
    <w:next w:val="1"/>
    <w:link w:val="82"/>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link w:val="85"/>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1"/>
    <w:link w:val="88"/>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7"/>
    <w:link w:val="84"/>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7"/>
    <w:link w:val="91"/>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link w:val="8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12">
    <w:name w:val="annotation text"/>
    <w:basedOn w:val="1"/>
    <w:link w:val="86"/>
    <w:qFormat/>
    <w:uiPriority w:val="0"/>
    <w:pPr>
      <w:jc w:val="left"/>
    </w:pPr>
  </w:style>
  <w:style w:type="paragraph" w:styleId="13">
    <w:name w:val="Body Text"/>
    <w:basedOn w:val="1"/>
    <w:link w:val="90"/>
    <w:qFormat/>
    <w:uiPriority w:val="0"/>
    <w:pPr>
      <w:spacing w:line="480" w:lineRule="auto"/>
    </w:pPr>
    <w:rPr>
      <w:color w:val="000000"/>
      <w:sz w:val="24"/>
    </w:rPr>
  </w:style>
  <w:style w:type="paragraph" w:styleId="14">
    <w:name w:val="Body Text Indent"/>
    <w:basedOn w:val="1"/>
    <w:next w:val="1"/>
    <w:link w:val="80"/>
    <w:qFormat/>
    <w:uiPriority w:val="0"/>
    <w:pPr>
      <w:spacing w:line="400" w:lineRule="exact"/>
      <w:ind w:left="360"/>
    </w:pPr>
    <w:rPr>
      <w:rFonts w:ascii="华文中宋" w:hAnsi="华文中宋" w:eastAsia="华文中宋"/>
      <w:color w:val="FF6600"/>
      <w:sz w:val="24"/>
    </w:rPr>
  </w:style>
  <w:style w:type="paragraph" w:styleId="15">
    <w:name w:val="Block Text"/>
    <w:basedOn w:val="1"/>
    <w:next w:val="1"/>
    <w:qFormat/>
    <w:uiPriority w:val="0"/>
    <w:pPr>
      <w:spacing w:line="360" w:lineRule="auto"/>
      <w:ind w:firstLine="480" w:firstLineChars="200"/>
    </w:pPr>
    <w:rPr>
      <w:rFonts w:ascii="宋体" w:hAnsi="宋体"/>
      <w:i/>
      <w:iCs/>
      <w:color w:val="000000"/>
      <w:kern w:val="0"/>
    </w:rPr>
  </w:style>
  <w:style w:type="paragraph" w:styleId="16">
    <w:name w:val="toc 3"/>
    <w:basedOn w:val="1"/>
    <w:next w:val="1"/>
    <w:qFormat/>
    <w:uiPriority w:val="0"/>
    <w:pPr>
      <w:ind w:left="840" w:leftChars="400"/>
    </w:pPr>
  </w:style>
  <w:style w:type="paragraph" w:styleId="17">
    <w:name w:val="Plain Text"/>
    <w:basedOn w:val="1"/>
    <w:link w:val="70"/>
    <w:qFormat/>
    <w:uiPriority w:val="99"/>
    <w:rPr>
      <w:rFonts w:ascii="宋体" w:hAnsi="Courier New"/>
      <w:szCs w:val="20"/>
    </w:rPr>
  </w:style>
  <w:style w:type="paragraph" w:styleId="18">
    <w:name w:val="Date"/>
    <w:basedOn w:val="1"/>
    <w:next w:val="1"/>
    <w:link w:val="72"/>
    <w:qFormat/>
    <w:uiPriority w:val="0"/>
    <w:rPr>
      <w:sz w:val="24"/>
      <w:szCs w:val="20"/>
    </w:rPr>
  </w:style>
  <w:style w:type="paragraph" w:styleId="19">
    <w:name w:val="Body Text Indent 2"/>
    <w:basedOn w:val="1"/>
    <w:link w:val="81"/>
    <w:qFormat/>
    <w:uiPriority w:val="0"/>
    <w:pPr>
      <w:spacing w:before="240" w:line="560" w:lineRule="exact"/>
      <w:ind w:firstLine="480" w:firstLineChars="200"/>
    </w:pPr>
    <w:rPr>
      <w:sz w:val="24"/>
      <w:szCs w:val="32"/>
    </w:rPr>
  </w:style>
  <w:style w:type="paragraph" w:styleId="20">
    <w:name w:val="Balloon Text"/>
    <w:basedOn w:val="1"/>
    <w:link w:val="92"/>
    <w:semiHidden/>
    <w:qFormat/>
    <w:uiPriority w:val="0"/>
    <w:rPr>
      <w:sz w:val="18"/>
      <w:szCs w:val="18"/>
    </w:rPr>
  </w:style>
  <w:style w:type="paragraph" w:styleId="21">
    <w:name w:val="footer"/>
    <w:basedOn w:val="1"/>
    <w:link w:val="78"/>
    <w:qFormat/>
    <w:uiPriority w:val="99"/>
    <w:pPr>
      <w:tabs>
        <w:tab w:val="center" w:pos="4153"/>
        <w:tab w:val="right" w:pos="8306"/>
      </w:tabs>
      <w:snapToGrid w:val="0"/>
      <w:jc w:val="left"/>
    </w:pPr>
    <w:rPr>
      <w:sz w:val="18"/>
      <w:szCs w:val="18"/>
    </w:rPr>
  </w:style>
  <w:style w:type="paragraph" w:styleId="2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Body Text Indent 3"/>
    <w:basedOn w:val="1"/>
    <w:link w:val="77"/>
    <w:qFormat/>
    <w:uiPriority w:val="0"/>
    <w:pPr>
      <w:spacing w:after="120"/>
      <w:ind w:left="420" w:leftChars="200"/>
    </w:pPr>
    <w:rPr>
      <w:rFonts w:eastAsia="仿宋_GB2312"/>
      <w:sz w:val="16"/>
      <w:szCs w:val="16"/>
    </w:rPr>
  </w:style>
  <w:style w:type="paragraph" w:styleId="25">
    <w:name w:val="toc 2"/>
    <w:basedOn w:val="1"/>
    <w:next w:val="1"/>
    <w:qFormat/>
    <w:uiPriority w:val="0"/>
    <w:pPr>
      <w:tabs>
        <w:tab w:val="right" w:leader="dot" w:pos="8453"/>
      </w:tabs>
      <w:ind w:left="420" w:leftChars="200"/>
    </w:pPr>
    <w:rPr>
      <w:rFonts w:ascii="仿宋_GB2312" w:hAnsi="宋体" w:eastAsia="仿宋_GB2312"/>
      <w:sz w:val="18"/>
      <w:szCs w:val="18"/>
    </w:rPr>
  </w:style>
  <w:style w:type="paragraph" w:styleId="26">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paragraph" w:styleId="27">
    <w:name w:val="annotation subject"/>
    <w:basedOn w:val="12"/>
    <w:next w:val="12"/>
    <w:link w:val="74"/>
    <w:qFormat/>
    <w:uiPriority w:val="0"/>
    <w:rPr>
      <w:b/>
      <w:bCs/>
    </w:rPr>
  </w:style>
  <w:style w:type="paragraph" w:styleId="28">
    <w:name w:val="Body Text First Indent"/>
    <w:basedOn w:val="13"/>
    <w:next w:val="13"/>
    <w:qFormat/>
    <w:uiPriority w:val="0"/>
    <w:pPr>
      <w:spacing w:line="312" w:lineRule="auto"/>
      <w:ind w:firstLine="420"/>
    </w:pPr>
  </w:style>
  <w:style w:type="paragraph" w:styleId="29">
    <w:name w:val="Body Text First Indent 2"/>
    <w:basedOn w:val="14"/>
    <w:next w:val="1"/>
    <w:unhideWhenUsed/>
    <w:qFormat/>
    <w:uiPriority w:val="99"/>
    <w:pPr>
      <w:widowControl w:val="0"/>
      <w:autoSpaceDE w:val="0"/>
      <w:autoSpaceDN w:val="0"/>
      <w:adjustRightInd/>
      <w:snapToGrid/>
      <w:ind w:firstLine="420" w:firstLineChars="200"/>
    </w:pPr>
    <w:rPr>
      <w:rFonts w:ascii="宋体" w:hAnsi="宋体" w:eastAsia="宋体" w:cs="宋体"/>
      <w:szCs w:val="21"/>
    </w:rPr>
  </w:style>
  <w:style w:type="table" w:styleId="31">
    <w:name w:val="Table Grid"/>
    <w:basedOn w:val="3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333333"/>
      <w:u w:val="none"/>
    </w:rPr>
  </w:style>
  <w:style w:type="character" w:styleId="36">
    <w:name w:val="Emphasis"/>
    <w:basedOn w:val="32"/>
    <w:qFormat/>
    <w:uiPriority w:val="0"/>
  </w:style>
  <w:style w:type="character" w:styleId="37">
    <w:name w:val="HTML Definition"/>
    <w:basedOn w:val="32"/>
    <w:qFormat/>
    <w:uiPriority w:val="0"/>
    <w:rPr>
      <w:i/>
      <w:shd w:val="clear" w:color="auto" w:fill="F5F5F5"/>
    </w:rPr>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333333"/>
      <w:u w:val="none"/>
    </w:rPr>
  </w:style>
  <w:style w:type="character" w:styleId="42">
    <w:name w:val="HTML Code"/>
    <w:basedOn w:val="32"/>
    <w:qFormat/>
    <w:uiPriority w:val="0"/>
    <w:rPr>
      <w:rFonts w:hint="default" w:ascii="Consolas" w:hAnsi="Consolas" w:eastAsia="Consolas" w:cs="Consolas"/>
      <w:color w:val="C7254E"/>
      <w:sz w:val="21"/>
      <w:szCs w:val="21"/>
      <w:shd w:val="clear" w:color="auto" w:fill="F9F2F4"/>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Consolas" w:hAnsi="Consolas" w:eastAsia="Consolas" w:cs="Consolas"/>
      <w:color w:val="FFFFFF"/>
      <w:sz w:val="21"/>
      <w:szCs w:val="21"/>
      <w:shd w:val="clear" w:color="auto" w:fill="333333"/>
    </w:rPr>
  </w:style>
  <w:style w:type="character" w:styleId="46">
    <w:name w:val="HTML Sample"/>
    <w:basedOn w:val="32"/>
    <w:qFormat/>
    <w:uiPriority w:val="0"/>
    <w:rPr>
      <w:rFonts w:ascii="Consolas" w:hAnsi="Consolas" w:eastAsia="Consolas" w:cs="Consolas"/>
      <w:sz w:val="21"/>
      <w:szCs w:val="21"/>
    </w:rPr>
  </w:style>
  <w:style w:type="paragraph" w:customStyle="1" w:styleId="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3">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4">
    <w:name w:val="p0"/>
    <w:basedOn w:val="1"/>
    <w:qFormat/>
    <w:uiPriority w:val="0"/>
    <w:pPr>
      <w:widowControl/>
    </w:pPr>
    <w:rPr>
      <w:color w:val="000000"/>
      <w:kern w:val="0"/>
      <w:szCs w:val="21"/>
    </w:rPr>
  </w:style>
  <w:style w:type="paragraph" w:customStyle="1" w:styleId="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信-正文"/>
    <w:basedOn w:val="1"/>
    <w:qFormat/>
    <w:uiPriority w:val="0"/>
    <w:pPr>
      <w:spacing w:line="360" w:lineRule="auto"/>
      <w:ind w:firstLine="800" w:firstLineChars="200"/>
    </w:pPr>
    <w:rPr>
      <w:rFonts w:eastAsia="仿宋"/>
      <w:sz w:val="24"/>
    </w:rPr>
  </w:style>
  <w:style w:type="paragraph" w:customStyle="1" w:styleId="60">
    <w:name w:val="List Paragraph1"/>
    <w:basedOn w:val="1"/>
    <w:qFormat/>
    <w:uiPriority w:val="99"/>
    <w:pPr>
      <w:ind w:firstLine="420" w:firstLineChars="200"/>
    </w:pPr>
  </w:style>
  <w:style w:type="paragraph" w:customStyle="1" w:styleId="61">
    <w:name w:val="列出段落1"/>
    <w:basedOn w:val="1"/>
    <w:qFormat/>
    <w:uiPriority w:val="0"/>
    <w:pPr>
      <w:ind w:firstLine="420" w:firstLineChars="200"/>
    </w:pPr>
  </w:style>
  <w:style w:type="paragraph" w:customStyle="1" w:styleId="62">
    <w:name w:val="论文正文"/>
    <w:basedOn w:val="7"/>
    <w:qFormat/>
    <w:uiPriority w:val="0"/>
    <w:pPr>
      <w:ind w:firstLine="480"/>
    </w:pPr>
    <w:rPr>
      <w:bCs/>
    </w:rPr>
  </w:style>
  <w:style w:type="paragraph" w:customStyle="1" w:styleId="63">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xl28"/>
    <w:basedOn w:val="1"/>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6">
    <w:name w:val="表格"/>
    <w:basedOn w:val="1"/>
    <w:qFormat/>
    <w:uiPriority w:val="0"/>
    <w:pPr>
      <w:adjustRightInd w:val="0"/>
      <w:snapToGrid w:val="0"/>
      <w:jc w:val="center"/>
    </w:pPr>
    <w:rPr>
      <w:bCs/>
      <w:u w:color="FFFFFF"/>
    </w:rPr>
  </w:style>
  <w:style w:type="paragraph" w:customStyle="1" w:styleId="67">
    <w:name w:val="列表段落2"/>
    <w:basedOn w:val="1"/>
    <w:qFormat/>
    <w:uiPriority w:val="99"/>
    <w:pPr>
      <w:ind w:firstLine="420" w:firstLineChars="200"/>
    </w:pPr>
  </w:style>
  <w:style w:type="paragraph" w:customStyle="1" w:styleId="68">
    <w:name w:val="Absatz2AL"/>
    <w:basedOn w:val="13"/>
    <w:next w:val="1"/>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69">
    <w:name w:val="标题 1 Char"/>
    <w:link w:val="2"/>
    <w:qFormat/>
    <w:uiPriority w:val="0"/>
    <w:rPr>
      <w:rFonts w:eastAsia="宋体"/>
      <w:b/>
      <w:bCs/>
      <w:kern w:val="44"/>
      <w:sz w:val="44"/>
      <w:szCs w:val="44"/>
      <w:lang w:val="en-US" w:eastAsia="zh-CN" w:bidi="ar-SA"/>
    </w:rPr>
  </w:style>
  <w:style w:type="character" w:customStyle="1" w:styleId="70">
    <w:name w:val="纯文本 Char"/>
    <w:link w:val="17"/>
    <w:qFormat/>
    <w:uiPriority w:val="99"/>
    <w:rPr>
      <w:rFonts w:ascii="宋体" w:hAnsi="Courier New"/>
      <w:kern w:val="2"/>
      <w:sz w:val="21"/>
    </w:rPr>
  </w:style>
  <w:style w:type="character" w:customStyle="1" w:styleId="71">
    <w:name w:val="c lh15"/>
    <w:basedOn w:val="32"/>
    <w:qFormat/>
    <w:uiPriority w:val="0"/>
  </w:style>
  <w:style w:type="character" w:customStyle="1" w:styleId="72">
    <w:name w:val="日期 Char"/>
    <w:link w:val="18"/>
    <w:qFormat/>
    <w:uiPriority w:val="0"/>
    <w:rPr>
      <w:kern w:val="2"/>
      <w:sz w:val="24"/>
    </w:rPr>
  </w:style>
  <w:style w:type="character" w:customStyle="1" w:styleId="73">
    <w:name w:val="apple-style-span"/>
    <w:basedOn w:val="32"/>
    <w:qFormat/>
    <w:uiPriority w:val="0"/>
  </w:style>
  <w:style w:type="character" w:customStyle="1" w:styleId="74">
    <w:name w:val="批注主题 Char"/>
    <w:link w:val="27"/>
    <w:qFormat/>
    <w:uiPriority w:val="0"/>
    <w:rPr>
      <w:b/>
      <w:bCs/>
      <w:kern w:val="2"/>
      <w:sz w:val="21"/>
      <w:szCs w:val="24"/>
    </w:rPr>
  </w:style>
  <w:style w:type="character" w:customStyle="1" w:styleId="75">
    <w:name w:val="apple-converted-space"/>
    <w:basedOn w:val="32"/>
    <w:qFormat/>
    <w:uiPriority w:val="0"/>
  </w:style>
  <w:style w:type="character" w:customStyle="1" w:styleId="76">
    <w:name w:val="标题 2 Char"/>
    <w:link w:val="3"/>
    <w:qFormat/>
    <w:uiPriority w:val="0"/>
    <w:rPr>
      <w:rFonts w:ascii="Arial" w:hAnsi="Arial" w:eastAsia="黑体"/>
      <w:b/>
      <w:sz w:val="30"/>
    </w:rPr>
  </w:style>
  <w:style w:type="character" w:customStyle="1" w:styleId="77">
    <w:name w:val="正文文本缩进 3 Char"/>
    <w:link w:val="24"/>
    <w:qFormat/>
    <w:uiPriority w:val="0"/>
    <w:rPr>
      <w:rFonts w:eastAsia="仿宋_GB2312"/>
      <w:kern w:val="2"/>
      <w:sz w:val="16"/>
      <w:szCs w:val="16"/>
    </w:rPr>
  </w:style>
  <w:style w:type="character" w:customStyle="1" w:styleId="78">
    <w:name w:val="页脚 Char"/>
    <w:link w:val="21"/>
    <w:qFormat/>
    <w:uiPriority w:val="99"/>
    <w:rPr>
      <w:kern w:val="2"/>
      <w:sz w:val="18"/>
      <w:szCs w:val="18"/>
    </w:rPr>
  </w:style>
  <w:style w:type="character" w:customStyle="1" w:styleId="79">
    <w:name w:val="页眉 Char"/>
    <w:link w:val="22"/>
    <w:qFormat/>
    <w:uiPriority w:val="99"/>
    <w:rPr>
      <w:kern w:val="2"/>
      <w:sz w:val="18"/>
      <w:szCs w:val="18"/>
    </w:rPr>
  </w:style>
  <w:style w:type="character" w:customStyle="1" w:styleId="80">
    <w:name w:val="正文文本缩进 Char"/>
    <w:link w:val="14"/>
    <w:qFormat/>
    <w:uiPriority w:val="0"/>
    <w:rPr>
      <w:rFonts w:ascii="华文中宋" w:hAnsi="华文中宋" w:eastAsia="华文中宋"/>
      <w:color w:val="FF6600"/>
      <w:kern w:val="2"/>
      <w:sz w:val="24"/>
      <w:szCs w:val="24"/>
    </w:rPr>
  </w:style>
  <w:style w:type="character" w:customStyle="1" w:styleId="81">
    <w:name w:val="正文文本缩进 2 Char"/>
    <w:link w:val="19"/>
    <w:qFormat/>
    <w:uiPriority w:val="0"/>
    <w:rPr>
      <w:kern w:val="2"/>
      <w:sz w:val="24"/>
      <w:szCs w:val="32"/>
    </w:rPr>
  </w:style>
  <w:style w:type="character" w:customStyle="1" w:styleId="82">
    <w:name w:val="标题 4 Char"/>
    <w:link w:val="5"/>
    <w:qFormat/>
    <w:uiPriority w:val="0"/>
    <w:rPr>
      <w:rFonts w:ascii="Arial" w:hAnsi="Arial" w:eastAsia="黑体"/>
      <w:b/>
      <w:kern w:val="2"/>
      <w:sz w:val="28"/>
    </w:rPr>
  </w:style>
  <w:style w:type="character" w:customStyle="1" w:styleId="83">
    <w:name w:val="ca-1"/>
    <w:basedOn w:val="32"/>
    <w:qFormat/>
    <w:uiPriority w:val="0"/>
  </w:style>
  <w:style w:type="character" w:customStyle="1" w:styleId="84">
    <w:name w:val="标题 7 Char"/>
    <w:link w:val="9"/>
    <w:qFormat/>
    <w:uiPriority w:val="0"/>
    <w:rPr>
      <w:b/>
      <w:kern w:val="2"/>
      <w:sz w:val="24"/>
    </w:rPr>
  </w:style>
  <w:style w:type="character" w:customStyle="1" w:styleId="85">
    <w:name w:val="标题 5 Char"/>
    <w:link w:val="6"/>
    <w:qFormat/>
    <w:uiPriority w:val="0"/>
    <w:rPr>
      <w:b/>
      <w:kern w:val="2"/>
      <w:sz w:val="28"/>
    </w:rPr>
  </w:style>
  <w:style w:type="character" w:customStyle="1" w:styleId="86">
    <w:name w:val="批注文字 Char"/>
    <w:link w:val="12"/>
    <w:qFormat/>
    <w:uiPriority w:val="0"/>
    <w:rPr>
      <w:kern w:val="2"/>
      <w:sz w:val="21"/>
      <w:szCs w:val="24"/>
    </w:rPr>
  </w:style>
  <w:style w:type="character" w:customStyle="1" w:styleId="87">
    <w:name w:val="标题 9 Char"/>
    <w:link w:val="11"/>
    <w:qFormat/>
    <w:uiPriority w:val="0"/>
    <w:rPr>
      <w:rFonts w:ascii="Arial" w:hAnsi="Arial" w:eastAsia="黑体"/>
      <w:kern w:val="2"/>
      <w:sz w:val="21"/>
    </w:rPr>
  </w:style>
  <w:style w:type="character" w:customStyle="1" w:styleId="88">
    <w:name w:val="标题 6 Char"/>
    <w:link w:val="8"/>
    <w:qFormat/>
    <w:uiPriority w:val="0"/>
    <w:rPr>
      <w:rFonts w:ascii="Arial" w:hAnsi="Arial" w:eastAsia="黑体"/>
      <w:b/>
      <w:kern w:val="2"/>
      <w:sz w:val="24"/>
    </w:rPr>
  </w:style>
  <w:style w:type="character" w:customStyle="1" w:styleId="89">
    <w:name w:val="标题 3 Char"/>
    <w:link w:val="4"/>
    <w:qFormat/>
    <w:uiPriority w:val="0"/>
    <w:rPr>
      <w:b/>
      <w:sz w:val="21"/>
    </w:rPr>
  </w:style>
  <w:style w:type="character" w:customStyle="1" w:styleId="90">
    <w:name w:val="正文文本 Char"/>
    <w:link w:val="13"/>
    <w:qFormat/>
    <w:uiPriority w:val="0"/>
    <w:rPr>
      <w:color w:val="000000"/>
      <w:kern w:val="2"/>
      <w:sz w:val="24"/>
      <w:szCs w:val="24"/>
    </w:rPr>
  </w:style>
  <w:style w:type="character" w:customStyle="1" w:styleId="91">
    <w:name w:val="标题 8 Char"/>
    <w:link w:val="10"/>
    <w:qFormat/>
    <w:uiPriority w:val="0"/>
    <w:rPr>
      <w:rFonts w:ascii="Arial" w:hAnsi="Arial" w:eastAsia="黑体"/>
      <w:kern w:val="2"/>
      <w:sz w:val="24"/>
    </w:rPr>
  </w:style>
  <w:style w:type="character" w:customStyle="1" w:styleId="92">
    <w:name w:val="批注框文本 Char"/>
    <w:link w:val="20"/>
    <w:semiHidden/>
    <w:qFormat/>
    <w:uiPriority w:val="0"/>
    <w:rPr>
      <w:kern w:val="2"/>
      <w:sz w:val="18"/>
      <w:szCs w:val="18"/>
    </w:rPr>
  </w:style>
  <w:style w:type="character" w:customStyle="1" w:styleId="93">
    <w:name w:val="old"/>
    <w:basedOn w:val="32"/>
    <w:qFormat/>
    <w:uiPriority w:val="0"/>
    <w:rPr>
      <w:color w:val="999999"/>
    </w:rPr>
  </w:style>
  <w:style w:type="character" w:customStyle="1" w:styleId="94">
    <w:name w:val="hover3"/>
    <w:basedOn w:val="32"/>
    <w:qFormat/>
    <w:uiPriority w:val="0"/>
    <w:rPr>
      <w:shd w:val="clear" w:color="auto" w:fill="EEEEEE"/>
    </w:rPr>
  </w:style>
  <w:style w:type="character" w:customStyle="1" w:styleId="95">
    <w:name w:val="hour_am"/>
    <w:basedOn w:val="32"/>
    <w:qFormat/>
    <w:uiPriority w:val="0"/>
  </w:style>
  <w:style w:type="character" w:customStyle="1" w:styleId="96">
    <w:name w:val="hour_pm"/>
    <w:basedOn w:val="32"/>
    <w:qFormat/>
    <w:uiPriority w:val="0"/>
  </w:style>
  <w:style w:type="character" w:customStyle="1" w:styleId="97">
    <w:name w:val="glyphicon4"/>
    <w:basedOn w:val="32"/>
    <w:qFormat/>
    <w:uiPriority w:val="0"/>
  </w:style>
  <w:style w:type="character" w:customStyle="1" w:styleId="98">
    <w:name w:val="indent"/>
    <w:basedOn w:val="32"/>
    <w:qFormat/>
    <w:uiPriority w:val="0"/>
  </w:style>
  <w:style w:type="character" w:customStyle="1" w:styleId="99">
    <w:name w:val="button"/>
    <w:basedOn w:val="32"/>
    <w:qFormat/>
    <w:uiPriority w:val="0"/>
  </w:style>
  <w:style w:type="character" w:customStyle="1" w:styleId="100">
    <w:name w:val="tmpztreemove_arrow"/>
    <w:basedOn w:val="32"/>
    <w:qFormat/>
    <w:uiPriority w:val="0"/>
    <w:rPr>
      <w:shd w:val="clear" w:color="auto" w:fill="FFFFFF"/>
    </w:rPr>
  </w:style>
  <w:style w:type="character" w:customStyle="1" w:styleId="101">
    <w:name w:val="blue"/>
    <w:basedOn w:val="32"/>
    <w:qFormat/>
    <w:uiPriority w:val="0"/>
  </w:style>
  <w:style w:type="paragraph" w:customStyle="1" w:styleId="102">
    <w:name w:val="title12"/>
    <w:basedOn w:val="1"/>
    <w:qFormat/>
    <w:uiPriority w:val="0"/>
    <w:pPr>
      <w:spacing w:before="150"/>
      <w:jc w:val="left"/>
    </w:pPr>
    <w:rPr>
      <w:b/>
      <w:kern w:val="0"/>
      <w:sz w:val="22"/>
      <w:szCs w:val="22"/>
    </w:rPr>
  </w:style>
  <w:style w:type="paragraph" w:customStyle="1" w:styleId="103">
    <w:name w:val="无间隔1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4">
    <w:name w:val="列出段落2"/>
    <w:basedOn w:val="1"/>
    <w:qFormat/>
    <w:uiPriority w:val="34"/>
    <w:pPr>
      <w:ind w:firstLine="420" w:firstLineChars="200"/>
    </w:pPr>
    <w:rPr>
      <w:kern w:val="0"/>
      <w:sz w:val="20"/>
    </w:rPr>
  </w:style>
  <w:style w:type="paragraph" w:customStyle="1" w:styleId="105">
    <w:name w:val="Table Paragraph"/>
    <w:basedOn w:val="1"/>
    <w:qFormat/>
    <w:uiPriority w:val="1"/>
    <w:rPr>
      <w:rFonts w:ascii="楷体" w:hAnsi="楷体" w:eastAsia="楷体" w:cs="楷体"/>
      <w:lang w:val="zh-CN" w:bidi="zh-CN"/>
    </w:rPr>
  </w:style>
  <w:style w:type="character" w:customStyle="1" w:styleId="106">
    <w:name w:val="font51"/>
    <w:basedOn w:val="32"/>
    <w:qFormat/>
    <w:uiPriority w:val="0"/>
    <w:rPr>
      <w:rFonts w:hint="eastAsia" w:ascii="宋体" w:hAnsi="宋体" w:eastAsia="宋体" w:cs="宋体"/>
      <w:color w:val="000000"/>
      <w:sz w:val="22"/>
      <w:szCs w:val="22"/>
      <w:u w:val="none"/>
    </w:rPr>
  </w:style>
  <w:style w:type="character" w:customStyle="1" w:styleId="107">
    <w:name w:val="font01"/>
    <w:basedOn w:val="32"/>
    <w:qFormat/>
    <w:uiPriority w:val="0"/>
    <w:rPr>
      <w:rFonts w:hint="eastAsia" w:ascii="宋体" w:hAnsi="宋体" w:eastAsia="宋体" w:cs="宋体"/>
      <w:color w:val="000000"/>
      <w:sz w:val="22"/>
      <w:szCs w:val="22"/>
      <w:u w:val="none"/>
    </w:rPr>
  </w:style>
  <w:style w:type="character" w:customStyle="1" w:styleId="108">
    <w:name w:val="font71"/>
    <w:basedOn w:val="32"/>
    <w:qFormat/>
    <w:uiPriority w:val="0"/>
    <w:rPr>
      <w:rFonts w:hint="eastAsia" w:ascii="宋体" w:hAnsi="宋体" w:eastAsia="宋体" w:cs="宋体"/>
      <w:color w:val="000000"/>
      <w:sz w:val="22"/>
      <w:szCs w:val="22"/>
      <w:u w:val="none"/>
      <w:vertAlign w:val="superscript"/>
    </w:rPr>
  </w:style>
  <w:style w:type="character" w:customStyle="1" w:styleId="109">
    <w:name w:val="font11"/>
    <w:basedOn w:val="32"/>
    <w:qFormat/>
    <w:uiPriority w:val="0"/>
    <w:rPr>
      <w:rFonts w:hint="eastAsia" w:ascii="宋体" w:hAnsi="宋体" w:eastAsia="宋体" w:cs="宋体"/>
      <w:color w:val="000000"/>
      <w:sz w:val="22"/>
      <w:szCs w:val="22"/>
      <w:u w:val="none"/>
    </w:rPr>
  </w:style>
  <w:style w:type="paragraph" w:customStyle="1" w:styleId="11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2">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3">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4">
    <w:name w:val="WPSOffice手动目录 1"/>
    <w:qFormat/>
    <w:uiPriority w:val="0"/>
    <w:pPr>
      <w:ind w:leftChars="0"/>
    </w:pPr>
    <w:rPr>
      <w:rFonts w:ascii="Times New Roman" w:hAnsi="Times New Roman" w:eastAsia="宋体" w:cs="Times New Roman"/>
      <w:sz w:val="20"/>
      <w:szCs w:val="20"/>
    </w:rPr>
  </w:style>
  <w:style w:type="table" w:customStyle="1" w:styleId="115">
    <w:name w:val="Table Normal"/>
    <w:semiHidden/>
    <w:unhideWhenUsed/>
    <w:qFormat/>
    <w:uiPriority w:val="0"/>
    <w:tblPr>
      <w:tblCellMar>
        <w:top w:w="0" w:type="dxa"/>
        <w:left w:w="0" w:type="dxa"/>
        <w:bottom w:w="0" w:type="dxa"/>
        <w:right w:w="0" w:type="dxa"/>
      </w:tblCellMar>
    </w:tblPr>
  </w:style>
  <w:style w:type="paragraph" w:customStyle="1" w:styleId="116">
    <w:name w:val="null3"/>
    <w:hidden/>
    <w:qFormat/>
    <w:uiPriority w:val="0"/>
    <w:rPr>
      <w:rFonts w:hint="eastAsia" w:asciiTheme="minorHAnsi" w:hAnsiTheme="minorHAnsi" w:eastAsiaTheme="minorEastAsia" w:cstheme="minorBidi"/>
      <w:lang w:val="en-US" w:eastAsia="zh-Hans"/>
    </w:rPr>
  </w:style>
  <w:style w:type="paragraph" w:customStyle="1" w:styleId="117">
    <w:name w:val="Table Text"/>
    <w:basedOn w:val="1"/>
    <w:semiHidden/>
    <w:qFormat/>
    <w:uiPriority w:val="0"/>
    <w:rPr>
      <w:rFonts w:ascii="宋体" w:hAnsi="宋体" w:eastAsia="宋体" w:cs="宋体"/>
      <w:sz w:val="30"/>
      <w:szCs w:val="30"/>
      <w:lang w:val="en-US" w:eastAsia="en-US" w:bidi="ar-SA"/>
    </w:rPr>
  </w:style>
  <w:style w:type="character" w:customStyle="1" w:styleId="118">
    <w:name w:val="font31"/>
    <w:basedOn w:val="3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81</Pages>
  <Words>17016</Words>
  <Characters>18497</Characters>
  <Lines>61</Lines>
  <Paragraphs>58</Paragraphs>
  <TotalTime>15</TotalTime>
  <ScaleCrop>false</ScaleCrop>
  <LinksUpToDate>false</LinksUpToDate>
  <CharactersWithSpaces>18921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王丽</cp:lastModifiedBy>
  <cp:lastPrinted>2025-01-02T08:11:00Z</cp:lastPrinted>
  <dcterms:modified xsi:type="dcterms:W3CDTF">2025-01-07T07:20:05Z</dcterms:modified>
  <dc:title>陕西省康陕西省康复医院医疗设备采购项目COCITC-ZSKF-150708</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89A980A27EEA4130872D9E64E796687F_13</vt:lpwstr>
  </property>
  <property fmtid="{D5CDD505-2E9C-101B-9397-08002B2CF9AE}" pid="4" name="KSOTemplateDocerSaveRecord">
    <vt:lpwstr>eyJoZGlkIjoiMTIwOGUzODhiNzNmOTVmN2RkYWM4ZTk1ZDI5OWViMjEiLCJ1c2VySWQiOiIyNDEzNTU5MDIifQ==</vt:lpwstr>
  </property>
</Properties>
</file>