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9C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府谷县能源投资集团郭家湾矿业有限公司矿井信息化设备改造</w:t>
      </w:r>
    </w:p>
    <w:p w14:paraId="06975C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需求书</w:t>
      </w:r>
    </w:p>
    <w:p w14:paraId="661882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一、采购项目名称：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府谷县能源投资集团郭家湾矿业有限公司矿井信息化设备改造</w:t>
      </w:r>
    </w:p>
    <w:p w14:paraId="32FCB8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二、采购项目预算、资金构成和采购方式：</w:t>
      </w:r>
    </w:p>
    <w:p w14:paraId="6CC265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1、采购项目预算：3327573.00元</w:t>
      </w:r>
    </w:p>
    <w:p w14:paraId="5D76C4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2、最高限价：3327573.00元</w:t>
      </w:r>
    </w:p>
    <w:p w14:paraId="321947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3、资金来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源：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自筹</w:t>
      </w:r>
    </w:p>
    <w:p w14:paraId="6EC3D6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4、采购方式：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公开招标</w:t>
      </w:r>
    </w:p>
    <w:p w14:paraId="1A0CDB6E">
      <w:pPr>
        <w:pStyle w:val="2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三、项目实施时间、地点、工程概况、履行期限及方式</w:t>
      </w:r>
    </w:p>
    <w:p w14:paraId="4014C8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1、项目实施时间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2025年2月下旬</w:t>
      </w:r>
    </w:p>
    <w:p w14:paraId="398C07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2、项目实施地点：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郭家湾煤矿</w:t>
      </w:r>
    </w:p>
    <w:p w14:paraId="02416F33">
      <w:pPr>
        <w:pStyle w:val="6"/>
        <w:ind w:firstLine="482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3、项目概况：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传感器设备、设备年检、人员定位系统、工业视频、调度通信系统、大屏UPS更换、广播系统。</w:t>
      </w:r>
    </w:p>
    <w:p w14:paraId="0DD527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4、履行期限及方式：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严格执行政府采购程序，审批结束后开始实施。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项目须于签订合同后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60日历日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内完成。</w:t>
      </w:r>
    </w:p>
    <w:p w14:paraId="3EC301A2">
      <w:pPr>
        <w:pStyle w:val="4"/>
        <w:keepNext w:val="0"/>
        <w:keepLines w:val="0"/>
        <w:pageBreakBefore w:val="0"/>
        <w:widowControl/>
        <w:numPr>
          <w:ilvl w:val="3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baseline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四、采购内容：</w:t>
      </w:r>
    </w:p>
    <w:p w14:paraId="51C270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15"/>
        <w:tblW w:w="83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308"/>
        <w:gridCol w:w="910"/>
        <w:gridCol w:w="1945"/>
        <w:gridCol w:w="672"/>
        <w:gridCol w:w="617"/>
        <w:gridCol w:w="519"/>
        <w:gridCol w:w="585"/>
        <w:gridCol w:w="683"/>
        <w:gridCol w:w="702"/>
      </w:tblGrid>
      <w:tr w14:paraId="68B1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BD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F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D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E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0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CA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48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5F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金额/元</w:t>
            </w:r>
          </w:p>
        </w:tc>
      </w:tr>
      <w:tr w14:paraId="277B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C33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89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09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0B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0A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5E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F2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3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F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AD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</w:tr>
      <w:tr w14:paraId="3507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46B5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B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D6E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传感器设备清单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2A3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DFAF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1A7F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AB5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1274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FD1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9761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97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F5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E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180327017001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24E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工业计算机外部设备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42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研华61011.1CPU:I7-6700四核3.7GHz 处理器；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1.2内存:32GB内存；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1.3硬盘:2TB 7.2K SATA 3.5英寸硬盘；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1.4显卡:1660ti 6G 独立显卡；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1.5网卡:千兆网卡*2；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1.6电源:750W 单电源；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1.7键鼠套装，含显示器。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C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407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0EE3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B76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4E55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71F5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8F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9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F4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180327007001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98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安全监测装置（激光甲烷）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9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GJG100J  1传感器应符合本标准的规定，并按经规定程序和国家指定检验单位审批的技术文件和图样制造。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 传感器应采用本质安全型防爆结构，并应符合GB/T3836.1和GB/T3836.4的有关要求通过规定的实验，并经国家指定的防爆检验机构检验合格取得“防爆合格证”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3正常工作条件: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a)环境温度:0℃℃~+40℃℃;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b)平均相对湿度:不大于95 %RH(25°C);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c)大气压力:80 kPa ~116 kPa;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d)煤矿井下有甲烷和煤尘爆炸性混合物，但无破坏绝缘的腐蚀性气体、无滴水的场合;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e)无强烈震动和冲击的地方:D风速:不大于 8m/s;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g)环境噪声:不大于 70dB(A)。2.3 传感器能承受的最恶劣的贮运条件为: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a)高温:+60℃℃;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b)低温:-40℃℃;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c)平均相对湿度:95 %RH(+40°C);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d)振动:加速度 50 m/s2;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e)冲击:峰值加速度 500 m/s2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2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台(套)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B5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E1B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6197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FE8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63C5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93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91C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48AC9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BD8DF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0CCF0A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7B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A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FA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C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C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55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B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48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8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金额/元</w:t>
            </w:r>
          </w:p>
        </w:tc>
      </w:tr>
      <w:tr w14:paraId="272A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51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4E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C5D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E5A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5A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15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D8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6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78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8E0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</w:tr>
      <w:tr w14:paraId="19A7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43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27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BA6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9A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17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FD9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1C7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2556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36C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F24A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70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C3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E5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180327007002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F1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安全监测装置 （一氧化碳）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F4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GTH1000    1供电电源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使用煤炭科学技术研究院有限公司生产的型号为KDW660/21B矿用隔爆兼本安型直流稳压电源或KDY660/21B矿用隔爆兼本安型直流电源供电时，额定工作电压:DC 21V:工作电流不大于45mA。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 测量范围:(0~1000)x10'C0，分辨率1x10。CO。3.3 基本误差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3显示值稳定性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-氧化碳浓度恒定时，传感器显示值或输出信号值(换算为一氧化碳浓度值)变化量不超过+4x10“C0。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 传输性能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a)传输口数量:1路;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b)传输方式:多主式、CAN;c)传输速率:5kbps;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d)通讯信号电压峰峰值:(1~5)V。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7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台(套)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1B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FE2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026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45D4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4CF5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4F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BA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F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180327007003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513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安全监测装置 （开停）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0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GKT5L   1 额定工作电压:DC 21V，电压波动范围:DC 9V~24V;2.2.2 最大工作电流:≤50mA;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2动作值:5A;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3允许误差范围:±1A;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4响应时间:&lt;1s;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 1路本安CAN: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a)接口数量:1路;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b)传输方式:CAN;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c)传输速率:5kbps;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d)传输距离:6km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E1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台(套)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40A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D74C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04E9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6FB7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9D08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B4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D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83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180327007004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FBC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安全监测装置 （断馈电）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6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KDG1/127   5.1 供电性能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工作电压范围:DC(15-24)V;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额定工作电流:80mA/22.5V。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 断电控制开关量输入信号(本安)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9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台(套)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10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3A4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5FA3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3304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1288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C4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B43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D12C5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F650E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2ADC80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AC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41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09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2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A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9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F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48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A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金额/元</w:t>
            </w:r>
          </w:p>
        </w:tc>
      </w:tr>
      <w:tr w14:paraId="0FB9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49B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37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C33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47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5F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31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76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6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CD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97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</w:tr>
      <w:tr w14:paraId="33F2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74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87B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5F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路电平型开关量信号控制输入，输入电平不小于15V时，继电器接点动作，输入电平不大于 0.5V 时，继电器接点不动作。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 断电控制输出(非安)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5.3.1输出信号类型:1组继电器触点(具备动开、动合触点);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5.3.2.触点容量:AC 127 V/1A(阻性负载)，DC30 V/1.0A(阻性负载);5.3.3.3触点闭合时接触电阻不大于 0.1Ω，分断电阻不小于 100 MΩ。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5.3.3控制执行时间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从接收到控制信号到输出相应的控制状态的时间不大于 0.5s。5.3.5馈电状态监测性能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3.4可监测电气开关输出的节点型无源馈电信号,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3.5馈电电流型开关量输出信号(本安)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F5C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230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7B6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CF9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215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4ADE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D8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2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41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180327007005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06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安全监测装置 （风门）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58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GFK60   1供电性能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a)工作电压范围:DC(9-24)V;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b)额定工作电流:65mA/22.5V。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2动作值:风门“开”状态动作值:60mm;风门“闭”状态复位值:60mm。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3允许误差:传感器运动部分与传感器固定部分之间其动作距离误差应不大于10%。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 信号传输: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传输口数量:1路;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传输方式:多主式、CAN;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传输速率:5kbps;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B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台(套)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3A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56C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529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570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46A8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4D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A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FD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180327007006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341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安全监测装置 （负压）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C6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GPD5   1 供电电源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使用煤炭科学技术研究院有限公司生产的型号为KDW660/21B 矿用隔爆兼本安型直流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5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台(套)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E55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006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844C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7EC0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73AD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2C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773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EB06F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B23A4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571BA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42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F1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4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A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A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B6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B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48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0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金额/元</w:t>
            </w:r>
          </w:p>
        </w:tc>
      </w:tr>
      <w:tr w14:paraId="3787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CB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B6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FB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4B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76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0A8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1C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5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7A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62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</w:tr>
      <w:tr w14:paraId="1BC0E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18B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781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3D68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DD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稳压电源 (ib)或 KDY660/21B 矿用隔爆兼本安型直流电源(ia)供电时,额定工作电压:DC 21V工作电流≤45mA。当关联装置为ib 电源(KDW660/21B)时本传感器由 ia 降为 ib 使用。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 测量范围:(0~5)kPa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 分辨率:0.01Pa。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4与 KJ83N(A)-F 矿用本安型分站或 KJ83X(A)-F1 矿用本安型分站之间的传输性能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a)传输口数量:1路;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b)传输方式:多主式、CAN;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C)传输速率:5kbps。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8B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D19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F75F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F73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B9A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9EDF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07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19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F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180327007007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20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安全监测装置 （风速）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23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GFY15(A)  1 使用条件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a)环境温度:0℃~+40℃℃;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b)平均相对湿度:不大于 98%(+25℃℃);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c)大气压力:80kPa~116kPa;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d)煤矿井下有瓦斯，煤尘等爆炸危险的环境;e)无破坏金属和绝缘材料的腐蚀性气体的地方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 储运条件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a)高温:+60℃℃;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b)低温:-40℃℃;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c)平均相对湿度:98%(+25°C);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d)振动:加速度 50m/s2;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e)冲击:峰值加速度 500m/s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1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台(套)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EB3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53DA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2F1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F56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754A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99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9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5C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180327007008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95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安全监测装置 （温度）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7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GWD100    1 传感器在下列条件下应能正常工作: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a)环境温度:0℃~+40℃;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b)相对湿度:不大于 95%RH(+25℃);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c)大气压力:8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92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台(套)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0F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E6C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29C9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B46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DE694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10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228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04826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9DBAA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10DC7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DC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C6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C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E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A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F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B8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48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67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金额/元</w:t>
            </w:r>
          </w:p>
        </w:tc>
      </w:tr>
      <w:tr w14:paraId="04A6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C34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D20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67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B1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4E3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E1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63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F5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5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4C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</w:tr>
      <w:tr w14:paraId="68BF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060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41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623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4E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0kPa~116kPa;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d)风速:不大于8m/s;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e)无显著振动和冲击的场合;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f)无直接滴水、淋水的场所;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g)煤矿井下有甲烷，煤尘爆炸性混合物，但无破坏绝缘的腐蚀性气体的场合。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 基本误差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测量范围为 0~100 ℃，基本误差:≤±2.5%(F.S)2.4.3 传输性能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a)传输口数量:1路;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b)传输方式:多主式、CAN;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c)传输速率:5kbps;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通讯信号电压峰峰值:(1~5)V;d)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传感器至监控分站距离:6km;2.4.4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3本安参数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电源端:Ui:DC21.5V，Ii:850mA，Ci:0μF，Li:0mH;通讯端(CAN):Ui:DC10.0V，Ii:200mA，Ci:10uF，Li:0.1H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5E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F3C0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DF94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B38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CBBA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B281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93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D4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8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180327007009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DD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安全监测装置 （粉尘）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4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GCG1000    1.测星范围:0.1mg/ m3 ~10mg/m 3;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2.测量相对误差:≤15%;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3.采样流量:1L/min;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4.工作电压:12~24VDC工作电流:≤170mA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5.输出信号制式:率:200HZ~1000HZ;电流:1mA~5mA或4mA~20mA开关量信号:1mA/5mA。支持 RS485 和 CAN 总线数字信号协议。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6.传感器与关联设备的传输距离应不小于 2Km7.本安参数:最高输入电压 Ui: 20VDC最大输入电流li:400 mA最大内部电感 Li:44μH最大内部电容 Ci:2.0uF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1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台(套)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0D9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195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F7DF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1C9C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B0E52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94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2A4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1CE17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4FD5D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F1BB8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17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E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47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8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F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6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8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48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7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金额/元</w:t>
            </w:r>
          </w:p>
        </w:tc>
      </w:tr>
      <w:tr w14:paraId="2C16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F9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D6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25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1B0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58B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70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91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6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58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D7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</w:tr>
      <w:tr w14:paraId="37B6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017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D7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6B43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9AA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A85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2A8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9528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C51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963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D6FE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11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2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B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180327007010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A0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安全监测装置 （风筒）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F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GFT6   1使用煤炭科学技术研究院有限公司生产的型号为KDW660/21B 矿用隔爆兼本安型直流稳压电源或 KDY660/21B 矿用隔爆兼本安型直流电源供电时，额定工作电压:21VDC，工作电流:&lt;35mA。2.2.2 动作角度:&lt;6°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 复位角度:&gt;50°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3与 KJ83X(A)-F1矿用本安型分站或 KJ83N(A)-F 矿用本安型分站之间的传输性能: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a)传输口数量:1路;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b)传输方式:多主式、CAN;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5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台(套)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1DF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A467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EBF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36CD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9C63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6F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5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3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180327012001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2B3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视频监控系统设备（监控分站）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E6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KJ83X(A)-F  a)CAN 通信传输口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1)传输口数量:6 路;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2)传输方式:多主式、CAN;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3)传输速率:5kbps;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通讯信号电压峰峰值:(1~5)V;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b)以太网光口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1)传输口数量:2路;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2)接口类型:SC: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3)传输方式:全双工，TCPIIP以太网光信号传输，波长为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4)传输速率: 100 Mbps;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5)光发射功率:-15~0dBm;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6)光接收灵敏度:-30dBm;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c)以太网电口(上传数据给上位机)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1)传输口数量:1路;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2)传输方式:全双工 TCP/IP 以太网电信号: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3)传输速率:10/100M(自适应);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4)通讯信号工作电压峰峰值:≤2.5V;2.2.3.3 最大传输距离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a)分站到传感器、断电器、信号转换器 CAN 信号的最大传输距离:6km(采用 MHYV 通信电缆:截面积不小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0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94F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B9D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4D8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484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B663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B0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032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935BC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900E8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4DD27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C6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CE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0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E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3C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6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E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48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FE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金额/元</w:t>
            </w:r>
          </w:p>
        </w:tc>
      </w:tr>
      <w:tr w14:paraId="2F60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D2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11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89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84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705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D26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51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C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5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9B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</w:tr>
      <w:tr w14:paraId="5F4A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B9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A0F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FD2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2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于 1.5mm);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b)分站到接口、分站级联以太网光信号的最大传输距离:20km(使用MGTSV 矿用单模光缆;光纤接点总数8个，其中热熔接点3个，冷熔接点3个，活动连接点2个);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c)分站到接口以太网电信号的最大传输距离:80m(采用MHYV4X2(1/0.97mm)通信电缆)。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53D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0371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DB6F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7B5C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5B8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01C1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8E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0D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2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180325022001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EA2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其他电器（备用电源）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CE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KDW660/21B    1 交流供电:额定电压:AC660V;视在功率:&lt;160VA;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电压波动范围:AC95V~AC726V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 电源箱具有将交流电源转换本安电源输出，供配接负载使用，同时电源箱还具有 CAN、RS48S信功能和液晶显示功能。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 电源箱共有8路本安电源输出，输出参数如下: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额定电压: DC 21V;额定输出电流 150mA。2.1.4 备用电池: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(1)转换时间:&lt;50ms;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(2)工作时间:不小于4小时(额定负载);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(3)充电电流&lt;1100mA;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(4)最高充电电压 &lt;32.5~33.6V;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(5)充电截止电压 &lt;33.2~33.6V;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(6)放电终止电压 &lt;25.6~27.4V;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(7)备用电池型号名称及容量:锰酸锂电池,8节串联,单节额定电压 3.7V;额定电压 29.6V(电池应当符合 MT/T 1051-2007 中的相关要求)。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ED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个(套、台)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71C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C4C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D13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8914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5E3C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D4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E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2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180325022002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D26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其他电器（监控分站通讯模块）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6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FSW 2×2B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46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个(套、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EF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B1D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F9B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1B1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5315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0A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563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7B39B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CB138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29E521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6E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9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7B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5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18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9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8D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48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4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金额/元</w:t>
            </w:r>
          </w:p>
        </w:tc>
      </w:tr>
      <w:tr w14:paraId="2795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E7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5F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374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D4C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9E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12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2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0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B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78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</w:tr>
      <w:tr w14:paraId="0A56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5F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0D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79AD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670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9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DE3C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5BA2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5B4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A8D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B538E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FB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12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E8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180325022003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96B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其他电器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47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900MAH-24V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F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个(套、台)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298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D1E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2BE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69E4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B807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18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8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D2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180323024001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12C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接线盒（2通）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D2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JHH-2(A)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39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9C2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7DA4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33B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9B39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C68E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9B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61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33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180323024002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D0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接线盒（3通）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F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JHH-3(A)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5C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1D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FE8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BB9B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93FE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EBDE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9F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08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1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180323024003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8A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接线盒（4通）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1D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JHH-4(A)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05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AA4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5885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D08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B0F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5DC4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02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F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7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180323024004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22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接线盒（6通）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2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JHH-6(A)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E5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D17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64B3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464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CA4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9BD7E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56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B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D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180325010001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8C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井下防爆接线盒（光纤接线盒）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F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FHG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F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E2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80B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594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76AF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5AE0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00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6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7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180320002001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48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井下电力电缆（矿用光缆）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D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MGTSV-12B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4C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57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FF7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D805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1DB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CE71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79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E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5A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180320002002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CF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井下电力电缆（矿用电缆）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4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MYP-4×2.5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6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7E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50A3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D76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F6C0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5BCD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DD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C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C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180320002003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0E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井下电力电缆（地面电缆电缆）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CE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GYTC8Y-12B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8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1CF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0D3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93BA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4B6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431A3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EB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E5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5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180325003001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F5D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光缆敷设（监控线）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7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MHYV1*4*7/0.52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7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8E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50CA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E9C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159E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DD77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490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F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B9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180325003002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19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光缆敷设（矿用网线）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F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MHSYV4*2*0.5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C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235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0ED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DAAA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6558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A31B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79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33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30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180327007011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B0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安全监测装置 （烟雾）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AD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GQG5(A)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82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台(套)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10C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AFF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9B5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1229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A8EA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A3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806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F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59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年检设备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68E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BDCA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BBF0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E1AF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7A0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8C9F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094E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4C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B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3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180330012001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4BD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工程系统检测、检验（激光甲烷）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6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GJG100J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C9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26F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2AC6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F622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CDE3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07C0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D8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96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A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180330012002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61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工程系统检测、检验（一氧化碳）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9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GTH1000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6A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4B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AA85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5E5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A297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75F8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ED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2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4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180330012003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6E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工程系统检测、检验（温度）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2E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GWD100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17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766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C49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CC5D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9E7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9A12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8A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B0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1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180330012004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62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工程系统检测、检验（风速）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5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GFY15(A)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0D0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A1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416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A37A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D4C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5F31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DA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3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99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180330012005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05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工程系统检测、检验（粉尘）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6A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GCG1000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46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FEC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4A1A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8CC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F15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E400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19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E1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91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180330012006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58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工程系统检测、检验（负压）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B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GPD5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60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31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02DA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60FD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421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6EA4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1B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630F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B5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24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人员定位系统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5AD1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FB0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0D3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B01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549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479B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92F1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E0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3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9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180325002001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5CD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井下通信设备装置（传输分站）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AE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KJ236-F  系统容量:可配接64台传输分站，每台传输分站可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98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台(个)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AE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E01D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A01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530B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6629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EC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BB4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56B8E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42570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682B77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0E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60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0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6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1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34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5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48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1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金额/元</w:t>
            </w:r>
          </w:p>
        </w:tc>
      </w:tr>
      <w:tr w14:paraId="1D5B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1F6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9C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7E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D9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C7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4C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BF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2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1C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66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</w:tr>
      <w:tr w14:paraId="491E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645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05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5BEC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72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连接4-8台无线读卡器，最多可连接256台无线读卡器，可以识别65535个识别卡。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息传输:传输接口与分站之间采用光纤或者CAN总线传输，最大通讯距离不小于2)10km,传输速率5000bps,误码率W1CF’,巡检时间W30s;分站与读卡器之间采用CAN总线传输，最大通讯距离不小于2km,传输速率5000bps，误码率W1(T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传输介质:传输接口与分站之间采用光纤或者电缆，分站与读卡器采用电缆传输。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并发识别数量:并发识数量不少于200张。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抗干扰性:系统采用ZigBee2.4GHz直接序列扩频通讯技术，抗干扰能力强，识别速度快，漏卡少。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唯一性:在入井验身处安装检卡设备，可以检测识别卡是否正常工作，可以检测人是否携带多个识别卡，确保员工的利益。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无线距离:无线读卡器与识别卡的通讯距离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B9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ACD7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0677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548D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D3A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AE7F5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38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7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E1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180325001001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CF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井下信号装置（读卡器）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1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KZ236-D  工作电压:9V DC-24V DC，工作电流: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识别目标数:可同时识别 200张不同卡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防爆型式:矿用隔爆兼本质安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6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9A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AA3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59C4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7E3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C2C1B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98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1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8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180325001002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508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井下信号装置（定位卡）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72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KJ236-KE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0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E1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41D1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731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4875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5A1A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33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1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D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180325001003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43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井下信号装置（定位卡电池）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0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3.7v200mAH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D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4FD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66A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2793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2618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A2B8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92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2E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0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180323024005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CE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接线盒（2通）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57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JHH-2(A)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15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D9F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B367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97C9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4CBF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F651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EF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C7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6D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180323024006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55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接线盒（3通）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21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JHH-3(A)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C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E2D0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037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A0D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774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15A4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53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463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E2D07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6BAED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20B305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DC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C8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F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82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2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16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0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48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0E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金额/元</w:t>
            </w:r>
          </w:p>
        </w:tc>
      </w:tr>
      <w:tr w14:paraId="182A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91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8C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CEC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3E2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10F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DD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F1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C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B1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63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</w:tr>
      <w:tr w14:paraId="2D08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4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2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180323024007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C2D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接线盒（4通）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EA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JHH-4(A)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A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A4B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6F5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3184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8B8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6FDB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9B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98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8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180323024008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2D6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接线盒（6通）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0A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JHH-6(A)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5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21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2E7C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B285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C70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A001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53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93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F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180325003003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99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光缆敷设（监控线）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07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MHYV1*4*7/0.52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0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50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143A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00D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F18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0FF3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B2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08C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B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D0E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工业视频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86D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1F9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92B3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1EF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6B3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412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F249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435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9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A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180327010001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5C5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监控摄像设备（防爆摄像机）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11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KBA127  额定电压:127V;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输出光信导波长:1310nm;输出光信号功率:2-10dBm接受灵敏度:2-24dBm清晰魔:2600线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最低照度:s0.01Lx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灰度级:27级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输出:单纤FC接口或模拟视频接口传输距离:25 km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5D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8F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8DE8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BFC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7AAA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7417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1C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CA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4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180327018001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AD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组件（硬盘录像机）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C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DS-96128N-HM24R   海康威视128路24盘位网络硬盘录像机 24个SATA接口，支持硬盘热插拔 单硬盘位zui大支持20TB 支持3200万像素网络摄像机接入 支持H.265编码 2个HDMI接口，1个VGA接口,支持4K输出 支持RAID0、RAID1、RAID5、RAID6、RAID10，支持全局热备 四个千兆电口，两个千兆光口 支持1+1冗余电源 网络输入带宽512Mbps 网络输出带宽512Mbps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D0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CF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F1B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0982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66C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C4E8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22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35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1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180327018002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DD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组件（硬盘、）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F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8T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6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187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F5AD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806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558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E608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7C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C3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6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180327010002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16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监控摄像设备（语音对讲摄像机）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A5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CS-H5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B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D4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280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776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682A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1297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20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A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0F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180327018003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F8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组件（电源适配器）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0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HD066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7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A3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7ED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463F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13B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41CA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B7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A0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1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180327010003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E4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监控摄像设备（枪机）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F3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DS-2CD3T46WDA4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F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20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6606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F7EF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A79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2A92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5E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9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48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180327018004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99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组件（24口交换机）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1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TL-SG1024DT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7A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48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2003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5FBB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FDD6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D7A6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74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7D6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874E4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274F0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2F837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75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D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D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2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B8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B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D9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48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B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金额/元</w:t>
            </w:r>
          </w:p>
        </w:tc>
      </w:tr>
      <w:tr w14:paraId="657E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252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18C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1E0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F8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173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0D6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FF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EA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D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EF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</w:tr>
      <w:tr w14:paraId="227E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92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F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180327018005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36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组件（8口交换机）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E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TL-SG108DT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74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B05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0F12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4464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ECB8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BF85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B7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4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0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180325010002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FB4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井下防爆接线盒（光纤接线盒）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6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FHG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1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73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263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1D7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8AB0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DEAE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AE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5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1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180320002004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21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井下电力电缆（矿用电缆）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D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MYP-4×2.5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D2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20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8CA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C9B7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A97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697D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17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F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D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180325003004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F25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光缆敷设（矿用网线）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E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MHSYV4*2*0.5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AA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44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283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2342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F2D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5AAC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C85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8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B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180320002005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9B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井下电力电缆（矿用光缆）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3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MGTSV-12B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28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62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3EA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5607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75AD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5625E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79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2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9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180325003005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1F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光缆敷设（矿用网线）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6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MHSYV4*2*0.5+2×1/2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76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357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DDB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27C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DC42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8ACC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77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58F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5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04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调度通信系统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7C28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803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C57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C8F8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1E0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DFD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8EA86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DF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5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9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180327019001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4F8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工业计算机系统试验（调度台软件设备升级）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5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SOD8210型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B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台(套)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2B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439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33F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D152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64FC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A0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F8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92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180325003006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C5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光缆敷设（矿用电话线50对）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7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MHYAV50*2*0.8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56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4B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008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F655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EA7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1602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19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E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7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180325001004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90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井下信号装置（矿用本安型自动电话机）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D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KTH182  1 使用环境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 扩播电话在下列环境条件中应能正常工作: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a)大气压力:(80~106)kPa: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b)环境温度:(0~+40)℃;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c)平均相对湿度:不大于95%(+25℃):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d)环境噪声:不大于80dB(A):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e)无显著振动和冲击的场所: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f)有甲烷及煤尘爆炸危险,但无破坏绝缘的腐蚀性气体的场所。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 扩播电话能承受的最恶劣的贮运气候条件为: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a)高温:+60℃℃;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b)低温:-40℃;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c)平均相对湿度:95%(+25℃):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d)振动:50m/s';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e)冲击:500m/s: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电气性能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3.1功能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扩播电话具有声光报警功能，打点联络功能、半双工语音扩播通话功能。3.2 通讯距离两电话间通讯距离不大于500m。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1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376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5FA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9AC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1CF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F31F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FE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E6A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539CC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528A3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BBCED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49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3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1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F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A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1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0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48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30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金额/元</w:t>
            </w:r>
          </w:p>
        </w:tc>
      </w:tr>
      <w:tr w14:paraId="5255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CDC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008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80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A28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8F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10C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07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E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5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F9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</w:tr>
      <w:tr w14:paraId="74B8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16D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3E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E45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B62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061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6EC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E4D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AEE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3A8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80BB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66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59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E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180325001005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054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井下信号装置（地面电话机）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8D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HCD0076082TSD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37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B4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95D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6AD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2CC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2CF3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3C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C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F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180325003007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960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光缆敷设（矿用电话线2对）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E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MHYV1*4*7/0.52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5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49F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490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C14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7EA2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068A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83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C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82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180325003008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A6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光缆敷设（矿用电话线10对）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3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MHYAV10*2*0.8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4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0F7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2813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A2F8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33B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8B19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B3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9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71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180323024009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E4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接线盒（30对电话接线盒）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74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JHH-30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0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C7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1E6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44D2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990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29CD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04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3C2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BB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21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大屏、UPS维护更换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BF3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E11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999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B33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847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6DD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6A3F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24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C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D6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180327011001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C8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显示设备（16路视频解码器）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74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DS-6A16UD   支持电脑、视频会议终端等视频输入信号源，支持HDMI 4K信号接入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支持网络IPC、NVR等设备类型作为网络信号源输入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支持HDMI 1.4视频信号输出，支持4K分辨率（3840 × 2160@30 Hz）超高清输出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采用H.264/H.265编码标准，默认采用H.264，支持子码流及主码流编码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解码支持H.264、H.265、Smart264、Smart265、MJPEG、HIK264等主流格式，支持PS、TS、ES、RTP等主流封装格式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支持对接3200W鹰眼、鱼眼及常规前端IP摄像头、DVR、NVR、XVR设备，兼容主流第三方厂家安防系统设备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支持ONVIF标准协议接入设备，支持GB28181-2022协议接入设备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支持PC客户端、WEB方式访问和操作，浏览器支持chrome 45及以上版本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42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63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4AD1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F06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E69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29D9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67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F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4F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180314004001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F70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蓄电池（UPS蓄电池）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9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100AH-12V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2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7C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D59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719B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577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FE12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1A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3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89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180327011002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5C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（会议室电视屏）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5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HSGK NM70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D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22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20E4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F0B2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1A54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E894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B8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C32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F857E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A2808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267AE4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14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5F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7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4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1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4F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22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48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6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金额/元</w:t>
            </w:r>
          </w:p>
        </w:tc>
      </w:tr>
      <w:tr w14:paraId="29E2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927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C4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51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699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D28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26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B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B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34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</w:tr>
      <w:tr w14:paraId="6DF2B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E6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0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180327018006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2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组件(电视支架）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2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40-80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4B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E1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C676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43F5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543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6EA1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18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3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4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180327018007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2AD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组件(LED、中央大屏维修)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9C5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0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41E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C91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ED5D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935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BF43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A1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D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80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180327018008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63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组件(UPS机头维护保养)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7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3C3 EX 30KS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5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79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951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3D9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07A7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B10D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AF9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5168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2F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E9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广播系统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9D3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CBCA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C72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B47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75A3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C1F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856C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D03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0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0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180327015001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130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数据采集及巡回检测报警装置（语音服务器）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E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CPU:IntelXeon 6134(8核，3.2GHz)处理器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内存:32GBDDR4内存*2条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硬盘:6TBSATA硬盘*1块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Raid卡:板载Raid卡，支持raid0/1/5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网络:双千兆网口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电源:白金级别550W电源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机架式安装含导轨;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2D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CDC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B2C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019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0C7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DBCD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7C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6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A3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180327011003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C98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显示设备（操作电脑）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6E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IPC-610L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CPU:I7-6700四核3.7GHz 处理器；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内存:32GB内存；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硬盘:2TB 7.2K SATA 3.5英寸硬盘；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显卡:1660ti 6G 独立显卡；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网卡:千兆网卡*2；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电源:750W 单电源；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无线键鼠套装，含显示器。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71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69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89B0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1C55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6393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D8DF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DC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ED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2D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180327012002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93E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视频监控系统设备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6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KT590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90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62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259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055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CCD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56AC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71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4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F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180327018009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BA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组件(矿用本安型音箱)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E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KXY21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53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C0D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724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69B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4C3F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956B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A0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7E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3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180327018010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9E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组件(矿用隔爆兼本质安全型直流稳压电源)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5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KDW660/21B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8B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4D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638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079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345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CBA3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26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4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6C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180327018011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D0F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组件(数字对讲终端)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4A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KT590-D（含音箱，麦克风）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1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DF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E59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BFD7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2ED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7FEA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072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C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93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180320003001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5DA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井下控制、信号电（矿用通信电缆）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01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MHYV 1*4*7/0.43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A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72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87E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ABFD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0DB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17C6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98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B6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9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180320003002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EA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井下控制、信号电缆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B9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MHYV 4*2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B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3D0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5BA7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42B3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D9F1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6D5F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5A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14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5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180327018012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5C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组件(辅材)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71D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E1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8E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BE2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0D0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81A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EA60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7D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582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C9901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442DF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078C38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8C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4AB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3859E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4C97D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569FB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FAC324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49A1F20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五、履约验收标准和方法</w:t>
      </w:r>
    </w:p>
    <w:p w14:paraId="44FFCD62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1、履约验收时间：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2025年5月</w:t>
      </w:r>
    </w:p>
    <w:p w14:paraId="2FF0BA58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2、履约验收主体及内容：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府谷县能源投资集团郭家湾矿业有限公司矿井信息化设备改造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完成情况。</w:t>
      </w:r>
    </w:p>
    <w:p w14:paraId="15C4540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3、履约验收标准：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府谷县能源投资集团郭家湾矿业有限公司矿井信息化设备改造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确保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设备改造</w:t>
      </w:r>
      <w:r>
        <w:rPr>
          <w:rFonts w:hint="eastAsia" w:ascii="仿宋" w:hAnsi="仿宋" w:eastAsia="仿宋" w:cs="仿宋"/>
          <w:sz w:val="28"/>
          <w:szCs w:val="28"/>
        </w:rPr>
        <w:t>符合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</w:rPr>
        <w:t>标准。</w:t>
      </w:r>
    </w:p>
    <w:p w14:paraId="0872CAB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、验收方式：由采购单位组织有关专业人员按相关的国家标准、质量标准进行验收。</w:t>
      </w:r>
    </w:p>
    <w:p w14:paraId="319510D3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六、对供应商的要求</w:t>
      </w:r>
    </w:p>
    <w:p w14:paraId="1CB141D9">
      <w:pPr>
        <w:tabs>
          <w:tab w:val="left" w:pos="756"/>
        </w:tabs>
        <w:bidi w:val="0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1、在中华人民共和国境内注册的，具有独立法人资格的供应商；</w:t>
      </w:r>
    </w:p>
    <w:p w14:paraId="1CF79BB1">
      <w:pPr>
        <w:tabs>
          <w:tab w:val="left" w:pos="756"/>
        </w:tabs>
        <w:bidi w:val="0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2、具有良好的商业信誉和健全的财务会计制度；</w:t>
      </w:r>
    </w:p>
    <w:p w14:paraId="67628E93">
      <w:pPr>
        <w:tabs>
          <w:tab w:val="left" w:pos="756"/>
        </w:tabs>
        <w:bidi w:val="0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3、具有履行合同所必须的设备和专业技术能力；</w:t>
      </w:r>
    </w:p>
    <w:p w14:paraId="082E46CF">
      <w:pPr>
        <w:tabs>
          <w:tab w:val="left" w:pos="756"/>
        </w:tabs>
        <w:bidi w:val="0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4、有依法缴纳税收和社会保障资金的良好记录；</w:t>
      </w:r>
    </w:p>
    <w:p w14:paraId="65253810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5、参加本项政府采购活动前三年内，在经营活动中没有重大违法记录。</w:t>
      </w:r>
    </w:p>
    <w:p w14:paraId="3AE7A534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七、付款方式：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合同签订后支付合同总金额的30%，货到安装完成后付30%，验收合格后付30%，剩余10%一年后付清。</w:t>
      </w:r>
    </w:p>
    <w:p w14:paraId="0C8A21CD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八、采购单位、采购单位地址、项目联系人及联系电话</w:t>
      </w:r>
    </w:p>
    <w:p w14:paraId="0A904529"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1.采购单位：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府谷能源投资集团有限公司</w:t>
      </w:r>
    </w:p>
    <w:p w14:paraId="25F59567"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2.采购单位地址：陕西省榆林市府谷县新区营盘路</w:t>
      </w:r>
    </w:p>
    <w:p w14:paraId="49D3EE7C">
      <w:pPr>
        <w:numPr>
          <w:ilvl w:val="0"/>
          <w:numId w:val="0"/>
        </w:num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3.项目联系人：柴学东     联系电话：13409143512</w:t>
      </w:r>
    </w:p>
    <w:p w14:paraId="4D089783">
      <w:pPr>
        <w:adjustRightInd w:val="0"/>
        <w:snapToGrid w:val="0"/>
        <w:spacing w:beforeLines="50" w:afterLines="50"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九、合同模板（仅供参考）：</w:t>
      </w:r>
    </w:p>
    <w:p w14:paraId="20988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30"/>
          <w:sz w:val="24"/>
          <w:szCs w:val="24"/>
        </w:rPr>
        <w:t>甲乙双方根据《中华人民共和国</w:t>
      </w:r>
      <w:r>
        <w:rPr>
          <w:rFonts w:hint="eastAsia" w:ascii="仿宋" w:hAnsi="仿宋" w:eastAsia="仿宋" w:cs="仿宋"/>
          <w:color w:val="auto"/>
          <w:kern w:val="30"/>
          <w:sz w:val="24"/>
          <w:szCs w:val="24"/>
          <w:lang w:val="en-US" w:eastAsia="zh-CN"/>
        </w:rPr>
        <w:t>招投标</w:t>
      </w:r>
      <w:r>
        <w:rPr>
          <w:rFonts w:hint="eastAsia" w:ascii="仿宋" w:hAnsi="仿宋" w:eastAsia="仿宋" w:cs="仿宋"/>
          <w:color w:val="auto"/>
          <w:kern w:val="30"/>
          <w:sz w:val="24"/>
          <w:szCs w:val="24"/>
        </w:rPr>
        <w:t>法》、《中华人民共和国合同法》等法律法规，遵循平等、自愿、公平和诚实信用等原则，同意按下述条款和条件签署《</w:t>
      </w:r>
      <w:r>
        <w:rPr>
          <w:rFonts w:hint="eastAsia" w:ascii="仿宋" w:hAnsi="仿宋" w:eastAsia="仿宋" w:cs="仿宋"/>
          <w:color w:val="auto"/>
          <w:kern w:val="30"/>
          <w:sz w:val="24"/>
          <w:szCs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kern w:val="30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kern w:val="30"/>
          <w:sz w:val="24"/>
          <w:szCs w:val="24"/>
        </w:rPr>
        <w:t>合同》（以下简称“合同”），并共同遵守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31FEBEC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一、合同文件</w:t>
      </w:r>
    </w:p>
    <w:p w14:paraId="61465AB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下列文件是构成本合同不可分割的部分，与合同具有同等法律效力：</w:t>
      </w:r>
    </w:p>
    <w:p w14:paraId="603F524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（1）本项目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文件及相应澄清和修改； </w:t>
      </w:r>
    </w:p>
    <w:p w14:paraId="469DBE7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（2）乙方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文件；</w:t>
      </w:r>
    </w:p>
    <w:p w14:paraId="1EDE0E2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（3）乙方在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评标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过程中所作的其它承诺、声明、书面澄清等；</w:t>
      </w:r>
    </w:p>
    <w:p w14:paraId="1C5F722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（4）成交通知书； </w:t>
      </w:r>
    </w:p>
    <w:p w14:paraId="25B5952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（5）甲方、乙方商定的其他必要文件、补充合同或协议。</w:t>
      </w:r>
    </w:p>
    <w:p w14:paraId="786441D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合同文件是一个整体，其内容互为补充。</w:t>
      </w:r>
    </w:p>
    <w:p w14:paraId="259F778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二、服务期限：</w:t>
      </w:r>
    </w:p>
    <w:p w14:paraId="7F96002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日起至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日止。</w:t>
      </w:r>
    </w:p>
    <w:p w14:paraId="3DA8EE1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三、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服务内容</w:t>
      </w:r>
    </w:p>
    <w:p w14:paraId="5DF2E2A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                                                                                 </w:t>
      </w:r>
    </w:p>
    <w:p w14:paraId="1D4458A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四、合同价款</w:t>
      </w:r>
    </w:p>
    <w:p w14:paraId="2C2B4314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本合同总价款为人民币（大写）：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元整（小写：¥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元）。 </w:t>
      </w:r>
    </w:p>
    <w:p w14:paraId="6DFBFE9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上述价款为甲方支付给乙方的确保合同全面完整履行的全部费用，包括完成全部所列项目服务管理内容所需全部费用和税金。</w:t>
      </w:r>
    </w:p>
    <w:p w14:paraId="0548562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、付款方式</w:t>
      </w:r>
    </w:p>
    <w:p w14:paraId="5A44606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由采购人负责结算，付款前，供应商必须向给采购人开具全额发票。付款方式:合同签订后支付合同总金额的30%，货到安装完成后付30%，验收合格后付30%，剩余10%一年后付清。</w:t>
      </w:r>
    </w:p>
    <w:p w14:paraId="5F41E78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违约责任</w:t>
      </w:r>
    </w:p>
    <w:p w14:paraId="206316E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1、甲乙双方任何一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</w:rPr>
        <w:t>方违约，造成对方经济损失的，应给予对方经济赔偿。</w:t>
      </w:r>
    </w:p>
    <w:p w14:paraId="00808DB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2、如果乙方无正当理由拖延管理或不按时提供服务，将受到以下制裁：</w:t>
      </w:r>
    </w:p>
    <w:p w14:paraId="6416043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（1）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不再向乙方支付尚未支付的服务费</w:t>
      </w:r>
    </w:p>
    <w:p w14:paraId="597222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（2）向乙方加收违约损失赔偿。</w:t>
      </w:r>
    </w:p>
    <w:p w14:paraId="092532B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、乙方如迟延履行合同、不完全履行合同，除支付违约金外，乙方仍应实际履行合同；不履行或履行合同不符合约定，甲方均有权解除合同，并就乙方违约给甲方造成的损失向乙方索赔</w:t>
      </w:r>
    </w:p>
    <w:p w14:paraId="20F2010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、争议的解决</w:t>
      </w:r>
    </w:p>
    <w:p w14:paraId="1159A16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1、在执行合同中发生的或与本合同有关的争端，双方应通过友好协商解决，经协商在30天内不能达成一致意见时，可向西安仲裁委员会申请调解或仲裁。</w:t>
      </w:r>
    </w:p>
    <w:p w14:paraId="1BFB904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2、仲裁裁决为最终裁决，对甲乙双方均具有约束力。</w:t>
      </w:r>
    </w:p>
    <w:p w14:paraId="597BDD0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3、仲裁费用除仲裁机构另有裁决外，由败诉方承担。</w:t>
      </w:r>
    </w:p>
    <w:p w14:paraId="74F5C05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4、在仲裁期间，除正在进行仲裁的部分外，本合同其他部分应继续执行。</w:t>
      </w:r>
    </w:p>
    <w:p w14:paraId="1C94DFD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、合同终止与修改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</w:p>
    <w:p w14:paraId="03CE91D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合作期内任何一方不得擅自停止合同，否则应负担所造成的一切损失。出现下列情况时合同自动终止：</w:t>
      </w:r>
    </w:p>
    <w:p w14:paraId="15FA64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如果乙方不能履行合同规定的义务，不能达到甲方要求的管理和服务目标；</w:t>
      </w:r>
    </w:p>
    <w:p w14:paraId="338DB0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甲方每季对乙方履行合同的情况进行一次综合考核，考核不合格，视作乙方违约，并自动终止合同。</w:t>
      </w:r>
    </w:p>
    <w:p w14:paraId="662C4F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合同条款的任何改动，均须由合同签署双方签署合同修改书或合同补充协议。该合同修改或补充被视为本合同的组成部分，具有与本合同同等的法律效力。</w:t>
      </w:r>
    </w:p>
    <w:p w14:paraId="179BEF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本合同的未尽事宜，经双方协商可签订补充协议，所签订的补充协议与本合同具有同等的法律效力。</w:t>
      </w:r>
    </w:p>
    <w:p w14:paraId="5AE9D8C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九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、合同生效</w:t>
      </w:r>
    </w:p>
    <w:p w14:paraId="0979C77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1、本合同经双方法人代表或授权代表签字并加盖公章（或合同专用章）后，即开始生效。</w:t>
      </w:r>
    </w:p>
    <w:p w14:paraId="2C4E96C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2、本合同一式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份，甲方执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份，乙方执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份。</w:t>
      </w:r>
    </w:p>
    <w:p w14:paraId="53064847">
      <w:pPr>
        <w:pStyle w:val="6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24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E692A1F">
      <w:pPr>
        <w:pStyle w:val="3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甲方：___________（盖章）           乙方：___________（盖章） 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</w:rPr>
        <w:t>法定代表人或其授权的                法定代表人或其授权的</w:t>
      </w:r>
    </w:p>
    <w:p w14:paraId="55FEFEED">
      <w:pPr>
        <w:pStyle w:val="28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代理人：_________（签字）           代理人：_________（签字）</w:t>
      </w:r>
    </w:p>
    <w:p w14:paraId="056953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协议。该合同修改或补充被视为本合同的组成部分，具有与本合同同等的法律效力。</w:t>
      </w:r>
    </w:p>
    <w:p w14:paraId="2B6412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本合同的未尽事宜，经双方协商可签订补充协议，所签订的补充协议与本合同具有同等的法律效力。</w:t>
      </w:r>
    </w:p>
    <w:p w14:paraId="7AC45F3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九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、合同生效</w:t>
      </w:r>
    </w:p>
    <w:p w14:paraId="20EED8F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1、本合同经双方法人代表或授权代表签字并加盖公章（或合同专用章）后，即开始生效。</w:t>
      </w:r>
    </w:p>
    <w:p w14:paraId="7C088A7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2、本合同一式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份，甲方执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份，乙方执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份。</w:t>
      </w:r>
    </w:p>
    <w:p w14:paraId="0F6D3403">
      <w:pPr>
        <w:pStyle w:val="6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24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88095E7">
      <w:pPr>
        <w:pStyle w:val="3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甲方：___________（盖章）           乙方：___________（盖章） 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</w:rPr>
        <w:t>法定代表人或其授权的                法定代表人或其授权的</w:t>
      </w:r>
    </w:p>
    <w:p w14:paraId="6F9758BD">
      <w:pPr>
        <w:pStyle w:val="3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代理人：_________（签字）           代理人：_________（签字）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</w:rPr>
        <w:t xml:space="preserve">             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 xml:space="preserve">          </w:t>
      </w:r>
    </w:p>
    <w:p w14:paraId="19E89EF7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984E4">
    <w:pPr>
      <w:spacing w:before="298" w:line="191" w:lineRule="auto"/>
      <w:ind w:firstLine="207"/>
    </w:pPr>
    <w:r>
      <w:pict>
        <v:shape id="文本框 21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ofIv8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NXJEEl2x0Qrtvu2Z7U1x&#10;BjFnutnwlm9qJN8yHx6YwzCgYDyXcI+llAZJTG9RUhn35V/nMR49gpeSBsOVU423RIl8r9E7AIbB&#10;cIOxHwx9VHcG04p2oJZk4oILcjBLZ9RnvKFVzAEX0xyZchoG8y50A443yMVqlYIwbZaFrd5ZHqGj&#10;eN6ujgECJl2jKJ0SvVaYt9SZ/m3Egf5zn6Ie/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HyL/KwIAAFcEAAAOAAAAAAAAAAEAIAAAAB8BAABkcnMvZTJvRG9jLnhtbFBLBQYAAAAABgAG&#10;AFkBAAC8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0EB625A0">
                <w:pPr>
                  <w:pStyle w:val="10"/>
                </w:pPr>
              </w:p>
            </w:txbxContent>
          </v:textbox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                    </w:t>
    </w:r>
    <w:r>
      <w:rPr>
        <w:rFonts w:hint="eastAsia" w:ascii="Calibri" w:hAnsi="Calibri" w:eastAsia="宋体" w:cs="Calibri"/>
        <w:spacing w:val="1"/>
        <w:sz w:val="18"/>
        <w:szCs w:val="18"/>
      </w:rPr>
      <w:t xml:space="preserve"> </w:t>
    </w:r>
    <w:r>
      <w:rPr>
        <w:rFonts w:ascii="Calibri" w:hAnsi="Calibri" w:eastAsia="Calibri" w:cs="Calibri"/>
        <w:sz w:val="18"/>
        <w:szCs w:val="18"/>
      </w:rPr>
      <w:t xml:space="preserve">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F84D1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C12A6">
    <w:pPr>
      <w:spacing w:line="253" w:lineRule="auto"/>
    </w:pPr>
  </w:p>
  <w:p w14:paraId="29A4C947">
    <w:pPr>
      <w:spacing w:line="254" w:lineRule="auto"/>
    </w:pPr>
  </w:p>
  <w:p w14:paraId="2E74AE6A">
    <w:pPr>
      <w:spacing w:before="60" w:line="51" w:lineRule="exact"/>
      <w:textAlignment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33316"/>
    <w:multiLevelType w:val="singleLevel"/>
    <w:tmpl w:val="E943331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0000009"/>
    <w:multiLevelType w:val="multilevel"/>
    <w:tmpl w:val="00000009"/>
    <w:lvl w:ilvl="0" w:tentative="0">
      <w:start w:val="1"/>
      <w:numFmt w:val="chineseCountingThousand"/>
      <w:suff w:val="nothing"/>
      <w:lvlText w:val="第%1部分"/>
      <w:lvlJc w:val="center"/>
      <w:pPr>
        <w:ind w:left="0" w:firstLine="288"/>
      </w:pPr>
      <w:rPr>
        <w:rFonts w:hint="eastAsia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4"/>
      <w:suff w:val="nothing"/>
      <w:lvlText w:val="%4、"/>
      <w:lvlJc w:val="left"/>
      <w:pPr>
        <w:ind w:left="-60" w:firstLine="0"/>
      </w:pPr>
      <w:rPr>
        <w:rFonts w:hint="eastAsia"/>
      </w:rPr>
    </w:lvl>
    <w:lvl w:ilvl="4" w:tentative="0">
      <w:start w:val="1"/>
      <w:numFmt w:val="decimal"/>
      <w:lvlText w:val="（%5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E2NzRlOTdkYTQwNDNhNjkwYmQ4YjI2MDM3YzBmZDQifQ=="/>
  </w:docVars>
  <w:rsids>
    <w:rsidRoot w:val="00155C40"/>
    <w:rsid w:val="000077AE"/>
    <w:rsid w:val="000C2082"/>
    <w:rsid w:val="00155C40"/>
    <w:rsid w:val="00164D51"/>
    <w:rsid w:val="00193BF4"/>
    <w:rsid w:val="001B0554"/>
    <w:rsid w:val="001D4444"/>
    <w:rsid w:val="001E749F"/>
    <w:rsid w:val="00235F18"/>
    <w:rsid w:val="002F27CB"/>
    <w:rsid w:val="002F2D51"/>
    <w:rsid w:val="002F6264"/>
    <w:rsid w:val="003B1865"/>
    <w:rsid w:val="003E7CC4"/>
    <w:rsid w:val="003F3BFE"/>
    <w:rsid w:val="004572FD"/>
    <w:rsid w:val="00463B25"/>
    <w:rsid w:val="0052414D"/>
    <w:rsid w:val="005F0321"/>
    <w:rsid w:val="006904E0"/>
    <w:rsid w:val="00724961"/>
    <w:rsid w:val="007D5324"/>
    <w:rsid w:val="007D64E1"/>
    <w:rsid w:val="00847292"/>
    <w:rsid w:val="008532CC"/>
    <w:rsid w:val="008673C4"/>
    <w:rsid w:val="00884966"/>
    <w:rsid w:val="00920EFE"/>
    <w:rsid w:val="009C4412"/>
    <w:rsid w:val="009D7151"/>
    <w:rsid w:val="00A23F58"/>
    <w:rsid w:val="00BF6E5B"/>
    <w:rsid w:val="00DC3CF5"/>
    <w:rsid w:val="00DD586F"/>
    <w:rsid w:val="00E05753"/>
    <w:rsid w:val="00E06C89"/>
    <w:rsid w:val="00EF74DC"/>
    <w:rsid w:val="00FF62E0"/>
    <w:rsid w:val="012A2737"/>
    <w:rsid w:val="01B75244"/>
    <w:rsid w:val="02021905"/>
    <w:rsid w:val="0224187C"/>
    <w:rsid w:val="023721F2"/>
    <w:rsid w:val="03060C74"/>
    <w:rsid w:val="0337738D"/>
    <w:rsid w:val="034D095E"/>
    <w:rsid w:val="03C25D16"/>
    <w:rsid w:val="04B0004D"/>
    <w:rsid w:val="04E43544"/>
    <w:rsid w:val="05060AF6"/>
    <w:rsid w:val="058D0CEF"/>
    <w:rsid w:val="05C649F8"/>
    <w:rsid w:val="05FC1323"/>
    <w:rsid w:val="06374197"/>
    <w:rsid w:val="06CC4290"/>
    <w:rsid w:val="06F20CFA"/>
    <w:rsid w:val="071443CF"/>
    <w:rsid w:val="071B4774"/>
    <w:rsid w:val="07235BE6"/>
    <w:rsid w:val="08412295"/>
    <w:rsid w:val="08573510"/>
    <w:rsid w:val="0859659D"/>
    <w:rsid w:val="086C601B"/>
    <w:rsid w:val="089E0E96"/>
    <w:rsid w:val="08A2766C"/>
    <w:rsid w:val="08C9007D"/>
    <w:rsid w:val="08D4468A"/>
    <w:rsid w:val="09024B84"/>
    <w:rsid w:val="09151F1E"/>
    <w:rsid w:val="09774987"/>
    <w:rsid w:val="0A737EEE"/>
    <w:rsid w:val="0A843E5B"/>
    <w:rsid w:val="0AE55920"/>
    <w:rsid w:val="0B565C58"/>
    <w:rsid w:val="0BA43520"/>
    <w:rsid w:val="0BBA0B5B"/>
    <w:rsid w:val="0BC47C2C"/>
    <w:rsid w:val="0C7D22B4"/>
    <w:rsid w:val="0C913FB2"/>
    <w:rsid w:val="0CAA0BCF"/>
    <w:rsid w:val="0D62520C"/>
    <w:rsid w:val="0D692839"/>
    <w:rsid w:val="0E772D33"/>
    <w:rsid w:val="0EBD26CB"/>
    <w:rsid w:val="0EC92C77"/>
    <w:rsid w:val="0F264E85"/>
    <w:rsid w:val="0F541472"/>
    <w:rsid w:val="0F664350"/>
    <w:rsid w:val="0F8E1FC1"/>
    <w:rsid w:val="0FDF0942"/>
    <w:rsid w:val="10585EFB"/>
    <w:rsid w:val="121769BF"/>
    <w:rsid w:val="122B27B2"/>
    <w:rsid w:val="125F0C63"/>
    <w:rsid w:val="1283154E"/>
    <w:rsid w:val="12E27315"/>
    <w:rsid w:val="12EA2943"/>
    <w:rsid w:val="13091016"/>
    <w:rsid w:val="1324792E"/>
    <w:rsid w:val="134C0C32"/>
    <w:rsid w:val="14763DFD"/>
    <w:rsid w:val="148C2BF9"/>
    <w:rsid w:val="15E27D4D"/>
    <w:rsid w:val="1621787A"/>
    <w:rsid w:val="1695062A"/>
    <w:rsid w:val="179E5245"/>
    <w:rsid w:val="17EC02EE"/>
    <w:rsid w:val="185C244B"/>
    <w:rsid w:val="18602A8A"/>
    <w:rsid w:val="194D289B"/>
    <w:rsid w:val="1A352420"/>
    <w:rsid w:val="1A58610F"/>
    <w:rsid w:val="1A7D3DC7"/>
    <w:rsid w:val="1A9C249F"/>
    <w:rsid w:val="1BF956CF"/>
    <w:rsid w:val="1CB02232"/>
    <w:rsid w:val="1D007944"/>
    <w:rsid w:val="1DAC0C4B"/>
    <w:rsid w:val="1DE257A9"/>
    <w:rsid w:val="1E7F3F16"/>
    <w:rsid w:val="1F4F741F"/>
    <w:rsid w:val="206C6470"/>
    <w:rsid w:val="20915CCB"/>
    <w:rsid w:val="20CF69FF"/>
    <w:rsid w:val="2288155B"/>
    <w:rsid w:val="22EA5C97"/>
    <w:rsid w:val="22FD5A66"/>
    <w:rsid w:val="234B4A63"/>
    <w:rsid w:val="24B403E6"/>
    <w:rsid w:val="253D03DB"/>
    <w:rsid w:val="253F23A5"/>
    <w:rsid w:val="259A3A7F"/>
    <w:rsid w:val="26D15502"/>
    <w:rsid w:val="278247CB"/>
    <w:rsid w:val="27A62B73"/>
    <w:rsid w:val="284479BB"/>
    <w:rsid w:val="28D23530"/>
    <w:rsid w:val="28ED1853"/>
    <w:rsid w:val="29471828"/>
    <w:rsid w:val="2952753C"/>
    <w:rsid w:val="29E4351B"/>
    <w:rsid w:val="29E7300B"/>
    <w:rsid w:val="2A4A780B"/>
    <w:rsid w:val="2A4C4C29"/>
    <w:rsid w:val="2C662B0F"/>
    <w:rsid w:val="2C9607BB"/>
    <w:rsid w:val="2D0A12D1"/>
    <w:rsid w:val="2D617B5C"/>
    <w:rsid w:val="2E456021"/>
    <w:rsid w:val="2E64666B"/>
    <w:rsid w:val="2E9978BC"/>
    <w:rsid w:val="2EAF50E9"/>
    <w:rsid w:val="2ED523E6"/>
    <w:rsid w:val="2FB4573E"/>
    <w:rsid w:val="2FDC432A"/>
    <w:rsid w:val="300E30A0"/>
    <w:rsid w:val="30F46FB1"/>
    <w:rsid w:val="314F3970"/>
    <w:rsid w:val="31B9528D"/>
    <w:rsid w:val="31EA3699"/>
    <w:rsid w:val="324E629E"/>
    <w:rsid w:val="32574536"/>
    <w:rsid w:val="332D08BA"/>
    <w:rsid w:val="33890C8F"/>
    <w:rsid w:val="34314CB4"/>
    <w:rsid w:val="34336FAF"/>
    <w:rsid w:val="348E2A01"/>
    <w:rsid w:val="34B87A7E"/>
    <w:rsid w:val="353D0967"/>
    <w:rsid w:val="35A973C7"/>
    <w:rsid w:val="35B27E84"/>
    <w:rsid w:val="3621128B"/>
    <w:rsid w:val="364517E5"/>
    <w:rsid w:val="376A088A"/>
    <w:rsid w:val="3841447F"/>
    <w:rsid w:val="38507FCD"/>
    <w:rsid w:val="38961E84"/>
    <w:rsid w:val="38A1767E"/>
    <w:rsid w:val="3912106D"/>
    <w:rsid w:val="393B2A2C"/>
    <w:rsid w:val="39BF568A"/>
    <w:rsid w:val="39DD3AE3"/>
    <w:rsid w:val="3A6B594B"/>
    <w:rsid w:val="3B0C551D"/>
    <w:rsid w:val="3BA55D28"/>
    <w:rsid w:val="3BCB453B"/>
    <w:rsid w:val="3BD50F16"/>
    <w:rsid w:val="3CCA65A0"/>
    <w:rsid w:val="3CD72A6B"/>
    <w:rsid w:val="3D033860"/>
    <w:rsid w:val="3D1B0EC7"/>
    <w:rsid w:val="3D536688"/>
    <w:rsid w:val="3DEA68C8"/>
    <w:rsid w:val="3DF02037"/>
    <w:rsid w:val="3E027315"/>
    <w:rsid w:val="3E292532"/>
    <w:rsid w:val="3EDC1306"/>
    <w:rsid w:val="3F890995"/>
    <w:rsid w:val="3FDA42A1"/>
    <w:rsid w:val="3FF35E0E"/>
    <w:rsid w:val="409D7C86"/>
    <w:rsid w:val="422F7AF3"/>
    <w:rsid w:val="42797BD8"/>
    <w:rsid w:val="43E50B88"/>
    <w:rsid w:val="441650ED"/>
    <w:rsid w:val="446769EA"/>
    <w:rsid w:val="45CD0CC4"/>
    <w:rsid w:val="45F34E86"/>
    <w:rsid w:val="47DE1343"/>
    <w:rsid w:val="47FE3E14"/>
    <w:rsid w:val="48B16866"/>
    <w:rsid w:val="49845D29"/>
    <w:rsid w:val="4A2B4BCB"/>
    <w:rsid w:val="4A963F66"/>
    <w:rsid w:val="4AEF3676"/>
    <w:rsid w:val="4BF74ED8"/>
    <w:rsid w:val="4C1E4213"/>
    <w:rsid w:val="4CBB796A"/>
    <w:rsid w:val="4D93056E"/>
    <w:rsid w:val="4E354B5B"/>
    <w:rsid w:val="4E8C5DAC"/>
    <w:rsid w:val="4F3A75B6"/>
    <w:rsid w:val="50175B49"/>
    <w:rsid w:val="504D21F2"/>
    <w:rsid w:val="50EA34BB"/>
    <w:rsid w:val="52595FA5"/>
    <w:rsid w:val="52A075CE"/>
    <w:rsid w:val="52AC20B8"/>
    <w:rsid w:val="537137C2"/>
    <w:rsid w:val="53E67D0C"/>
    <w:rsid w:val="5415414D"/>
    <w:rsid w:val="543D67D3"/>
    <w:rsid w:val="54C94F38"/>
    <w:rsid w:val="54D9743E"/>
    <w:rsid w:val="55202DAA"/>
    <w:rsid w:val="553D7A11"/>
    <w:rsid w:val="56CC095F"/>
    <w:rsid w:val="5724386A"/>
    <w:rsid w:val="58440F78"/>
    <w:rsid w:val="58CD4FF7"/>
    <w:rsid w:val="58FE3E68"/>
    <w:rsid w:val="591766D2"/>
    <w:rsid w:val="5A436627"/>
    <w:rsid w:val="5B782231"/>
    <w:rsid w:val="5C157600"/>
    <w:rsid w:val="5C45759A"/>
    <w:rsid w:val="5C5E240A"/>
    <w:rsid w:val="5C6751EC"/>
    <w:rsid w:val="5D423996"/>
    <w:rsid w:val="5DF07AA4"/>
    <w:rsid w:val="5E3262C5"/>
    <w:rsid w:val="5E657A12"/>
    <w:rsid w:val="5EB4375F"/>
    <w:rsid w:val="5EE20FB2"/>
    <w:rsid w:val="5F265461"/>
    <w:rsid w:val="5F3E6C4E"/>
    <w:rsid w:val="5F57072B"/>
    <w:rsid w:val="5F5A7800"/>
    <w:rsid w:val="5FED41D0"/>
    <w:rsid w:val="60EC37CB"/>
    <w:rsid w:val="623A1223"/>
    <w:rsid w:val="62BB05B6"/>
    <w:rsid w:val="639A18B7"/>
    <w:rsid w:val="64572560"/>
    <w:rsid w:val="64740A1C"/>
    <w:rsid w:val="64925346"/>
    <w:rsid w:val="65E030FE"/>
    <w:rsid w:val="66703D54"/>
    <w:rsid w:val="6761207B"/>
    <w:rsid w:val="67E9346B"/>
    <w:rsid w:val="67FE0A1E"/>
    <w:rsid w:val="681B3E94"/>
    <w:rsid w:val="68294213"/>
    <w:rsid w:val="68700D9D"/>
    <w:rsid w:val="693B597B"/>
    <w:rsid w:val="699102C2"/>
    <w:rsid w:val="69C94AF2"/>
    <w:rsid w:val="6ACF45EC"/>
    <w:rsid w:val="6B20452D"/>
    <w:rsid w:val="6C0E1756"/>
    <w:rsid w:val="6C57189D"/>
    <w:rsid w:val="6C6B0957"/>
    <w:rsid w:val="6D196605"/>
    <w:rsid w:val="6D34343E"/>
    <w:rsid w:val="6D667C85"/>
    <w:rsid w:val="6D7E5C2F"/>
    <w:rsid w:val="6E907610"/>
    <w:rsid w:val="6EA15DD0"/>
    <w:rsid w:val="6ECA4C15"/>
    <w:rsid w:val="6ECC3352"/>
    <w:rsid w:val="6ED64F47"/>
    <w:rsid w:val="6EE358B3"/>
    <w:rsid w:val="6EED5F9B"/>
    <w:rsid w:val="6FB33636"/>
    <w:rsid w:val="70EE7DA8"/>
    <w:rsid w:val="71533342"/>
    <w:rsid w:val="71D65E33"/>
    <w:rsid w:val="72B056A0"/>
    <w:rsid w:val="72F83160"/>
    <w:rsid w:val="73465C7A"/>
    <w:rsid w:val="74800602"/>
    <w:rsid w:val="749C18DF"/>
    <w:rsid w:val="759770A4"/>
    <w:rsid w:val="75BC3557"/>
    <w:rsid w:val="764869A5"/>
    <w:rsid w:val="764D12A6"/>
    <w:rsid w:val="768C7E47"/>
    <w:rsid w:val="768D0680"/>
    <w:rsid w:val="77C5560F"/>
    <w:rsid w:val="77D00208"/>
    <w:rsid w:val="78D15FE5"/>
    <w:rsid w:val="78F26685"/>
    <w:rsid w:val="79176AAE"/>
    <w:rsid w:val="7A435021"/>
    <w:rsid w:val="7A445254"/>
    <w:rsid w:val="7AEB240D"/>
    <w:rsid w:val="7B3F192C"/>
    <w:rsid w:val="7C9C5CFE"/>
    <w:rsid w:val="7CA12173"/>
    <w:rsid w:val="7D7653AD"/>
    <w:rsid w:val="7DEC38C1"/>
    <w:rsid w:val="7E01784A"/>
    <w:rsid w:val="7E0E59BD"/>
    <w:rsid w:val="7EA3390D"/>
    <w:rsid w:val="7FD665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line="376" w:lineRule="atLeast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/>
    </w:pPr>
  </w:style>
  <w:style w:type="paragraph" w:styleId="6">
    <w:name w:val="Body Text"/>
    <w:basedOn w:val="1"/>
    <w:autoRedefine/>
    <w:unhideWhenUsed/>
    <w:qFormat/>
    <w:uiPriority w:val="99"/>
    <w:pPr>
      <w:spacing w:after="120"/>
    </w:pPr>
    <w:rPr>
      <w:rFonts w:eastAsia="Times New Roman"/>
    </w:rPr>
  </w:style>
  <w:style w:type="paragraph" w:styleId="7">
    <w:name w:val="Body Text Indent"/>
    <w:basedOn w:val="1"/>
    <w:autoRedefine/>
    <w:qFormat/>
    <w:uiPriority w:val="0"/>
    <w:pPr>
      <w:ind w:firstLine="480"/>
    </w:pPr>
    <w:rPr>
      <w:rFonts w:ascii="宋体" w:hAnsi="宋体"/>
    </w:rPr>
  </w:style>
  <w:style w:type="paragraph" w:styleId="8">
    <w:name w:val="Plain Text"/>
    <w:basedOn w:val="1"/>
    <w:autoRedefine/>
    <w:qFormat/>
    <w:uiPriority w:val="0"/>
    <w:rPr>
      <w:rFonts w:ascii="宋体" w:hAnsi="Courier New" w:cs="Times New Roman"/>
    </w:rPr>
  </w:style>
  <w:style w:type="paragraph" w:styleId="9">
    <w:name w:val="Body Text Indent 2"/>
    <w:basedOn w:val="1"/>
    <w:autoRedefine/>
    <w:qFormat/>
    <w:uiPriority w:val="0"/>
    <w:pPr>
      <w:spacing w:line="480" w:lineRule="auto"/>
      <w:ind w:left="420" w:leftChars="200"/>
    </w:p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next w:val="10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sz w:val="24"/>
    </w:rPr>
  </w:style>
  <w:style w:type="paragraph" w:styleId="14">
    <w:name w:val="Body Text First Indent"/>
    <w:basedOn w:val="6"/>
    <w:autoRedefine/>
    <w:unhideWhenUsed/>
    <w:qFormat/>
    <w:uiPriority w:val="99"/>
    <w:pPr>
      <w:spacing w:line="360" w:lineRule="auto"/>
      <w:ind w:firstLine="309" w:firstLineChars="100"/>
      <w:outlineLvl w:val="0"/>
    </w:pPr>
    <w:rPr>
      <w:bCs/>
      <w:color w:val="000000"/>
      <w:kern w:val="28"/>
      <w:szCs w:val="21"/>
    </w:rPr>
  </w:style>
  <w:style w:type="table" w:styleId="16">
    <w:name w:val="Table Grid"/>
    <w:basedOn w:val="15"/>
    <w:autoRedefine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  <w:bCs/>
    </w:rPr>
  </w:style>
  <w:style w:type="character" w:styleId="19">
    <w:name w:val="FollowedHyperlink"/>
    <w:basedOn w:val="17"/>
    <w:autoRedefine/>
    <w:qFormat/>
    <w:uiPriority w:val="0"/>
    <w:rPr>
      <w:color w:val="333333"/>
      <w:u w:val="none"/>
    </w:rPr>
  </w:style>
  <w:style w:type="character" w:styleId="20">
    <w:name w:val="Emphasis"/>
    <w:basedOn w:val="17"/>
    <w:autoRedefine/>
    <w:qFormat/>
    <w:uiPriority w:val="0"/>
  </w:style>
  <w:style w:type="character" w:styleId="21">
    <w:name w:val="HTML Definition"/>
    <w:basedOn w:val="17"/>
    <w:autoRedefine/>
    <w:qFormat/>
    <w:uiPriority w:val="0"/>
    <w:rPr>
      <w:i/>
      <w:iCs/>
    </w:rPr>
  </w:style>
  <w:style w:type="character" w:styleId="22">
    <w:name w:val="Hyperlink"/>
    <w:basedOn w:val="17"/>
    <w:autoRedefine/>
    <w:qFormat/>
    <w:uiPriority w:val="0"/>
    <w:rPr>
      <w:color w:val="333333"/>
      <w:u w:val="none"/>
    </w:rPr>
  </w:style>
  <w:style w:type="character" w:styleId="23">
    <w:name w:val="HTML Code"/>
    <w:basedOn w:val="17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4">
    <w:name w:val="HTML Keyboard"/>
    <w:basedOn w:val="17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5">
    <w:name w:val="HTML Sample"/>
    <w:basedOn w:val="17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6">
    <w:name w:val="style4"/>
    <w:basedOn w:val="1"/>
    <w:next w:val="27"/>
    <w:autoRedefine/>
    <w:qFormat/>
    <w:uiPriority w:val="0"/>
    <w:pPr>
      <w:widowControl/>
      <w:spacing w:before="280" w:after="280"/>
    </w:pPr>
    <w:rPr>
      <w:rFonts w:ascii="宋体" w:eastAsia="宋体"/>
      <w:sz w:val="18"/>
    </w:rPr>
  </w:style>
  <w:style w:type="paragraph" w:customStyle="1" w:styleId="27">
    <w:name w:val="2"/>
    <w:next w:val="1"/>
    <w:autoRedefine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28">
    <w:name w:val="正文缩进1"/>
    <w:basedOn w:val="1"/>
    <w:autoRedefine/>
    <w:qFormat/>
    <w:uiPriority w:val="0"/>
    <w:pPr>
      <w:ind w:firstLine="420" w:firstLineChars="200"/>
    </w:pPr>
  </w:style>
  <w:style w:type="character" w:customStyle="1" w:styleId="29">
    <w:name w:val="标题 1 字符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30">
    <w:name w:val="hover3"/>
    <w:basedOn w:val="17"/>
    <w:autoRedefine/>
    <w:qFormat/>
    <w:uiPriority w:val="0"/>
    <w:rPr>
      <w:shd w:val="clear" w:color="auto" w:fill="EEEEEE"/>
    </w:rPr>
  </w:style>
  <w:style w:type="character" w:customStyle="1" w:styleId="31">
    <w:name w:val="button"/>
    <w:basedOn w:val="17"/>
    <w:autoRedefine/>
    <w:qFormat/>
    <w:uiPriority w:val="0"/>
  </w:style>
  <w:style w:type="character" w:customStyle="1" w:styleId="32">
    <w:name w:val="hour_pm"/>
    <w:basedOn w:val="17"/>
    <w:autoRedefine/>
    <w:qFormat/>
    <w:uiPriority w:val="0"/>
  </w:style>
  <w:style w:type="character" w:customStyle="1" w:styleId="33">
    <w:name w:val="old"/>
    <w:basedOn w:val="17"/>
    <w:autoRedefine/>
    <w:qFormat/>
    <w:uiPriority w:val="0"/>
    <w:rPr>
      <w:color w:val="999999"/>
    </w:rPr>
  </w:style>
  <w:style w:type="character" w:customStyle="1" w:styleId="34">
    <w:name w:val="glyphicon4"/>
    <w:basedOn w:val="17"/>
    <w:autoRedefine/>
    <w:qFormat/>
    <w:uiPriority w:val="0"/>
  </w:style>
  <w:style w:type="character" w:customStyle="1" w:styleId="35">
    <w:name w:val="hour_am"/>
    <w:basedOn w:val="17"/>
    <w:autoRedefine/>
    <w:qFormat/>
    <w:uiPriority w:val="0"/>
  </w:style>
  <w:style w:type="character" w:customStyle="1" w:styleId="36">
    <w:name w:val="tmpztreemove_arrow"/>
    <w:basedOn w:val="17"/>
    <w:autoRedefine/>
    <w:qFormat/>
    <w:uiPriority w:val="0"/>
    <w:rPr>
      <w:shd w:val="clear" w:color="auto" w:fill="FFFFFF"/>
    </w:rPr>
  </w:style>
  <w:style w:type="character" w:customStyle="1" w:styleId="37">
    <w:name w:val="indent"/>
    <w:basedOn w:val="17"/>
    <w:autoRedefine/>
    <w:qFormat/>
    <w:uiPriority w:val="0"/>
  </w:style>
  <w:style w:type="paragraph" w:customStyle="1" w:styleId="38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styleId="3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40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table" w:customStyle="1" w:styleId="4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43">
    <w:name w:val="font0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4">
    <w:name w:val="font4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23</Pages>
  <Words>7381</Words>
  <Characters>10616</Characters>
  <Lines>28</Lines>
  <Paragraphs>8</Paragraphs>
  <TotalTime>2</TotalTime>
  <ScaleCrop>false</ScaleCrop>
  <LinksUpToDate>false</LinksUpToDate>
  <CharactersWithSpaces>11402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孙小彦</cp:lastModifiedBy>
  <cp:lastPrinted>2023-05-11T03:13:00Z</cp:lastPrinted>
  <dcterms:modified xsi:type="dcterms:W3CDTF">2025-01-20T08:13:07Z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C52CD7089BAA4A5088531DC3AE9554BD</vt:lpwstr>
  </property>
  <property fmtid="{D5CDD505-2E9C-101B-9397-08002B2CF9AE}" pid="4" name="KSOTemplateDocerSaveRecord">
    <vt:lpwstr>eyJoZGlkIjoiZDE2NzRlOTdkYTQwNDNhNjkwYmQ4YjI2MDM3YzBmZDQiLCJ1c2VySWQiOiIzMTAzMTE1ODEifQ==</vt:lpwstr>
  </property>
</Properties>
</file>