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auto"/>
          <w:sz w:val="52"/>
          <w:szCs w:val="52"/>
        </w:rPr>
      </w:pPr>
    </w:p>
    <w:p>
      <w:pPr>
        <w:spacing w:line="240" w:lineRule="auto"/>
        <w:jc w:val="both"/>
        <w:rPr>
          <w:color w:val="auto"/>
          <w:sz w:val="52"/>
          <w:szCs w:val="52"/>
        </w:rPr>
      </w:pPr>
    </w:p>
    <w:p>
      <w:pPr>
        <w:spacing w:line="240" w:lineRule="auto"/>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kern w:val="0"/>
          <w:sz w:val="96"/>
          <w:szCs w:val="96"/>
          <w:lang w:val="en-US" w:eastAsia="zh-CN"/>
        </w:rPr>
        <w:t>汉中市</w:t>
      </w:r>
      <w:r>
        <w:rPr>
          <w:rFonts w:hint="eastAsia" w:ascii="方正小标宋简体" w:hAnsi="方正小标宋简体" w:eastAsia="方正小标宋简体" w:cs="方正小标宋简体"/>
          <w:b w:val="0"/>
          <w:bCs/>
          <w:color w:val="auto"/>
          <w:kern w:val="0"/>
          <w:sz w:val="96"/>
          <w:szCs w:val="96"/>
        </w:rPr>
        <w:t>政府采购中心</w:t>
      </w:r>
    </w:p>
    <w:p>
      <w:pPr>
        <w:spacing w:line="240" w:lineRule="auto"/>
        <w:jc w:val="center"/>
        <w:rPr>
          <w:rFonts w:ascii="黑体" w:hAnsi="黑体" w:eastAsia="黑体" w:cs="黑体"/>
          <w:b w:val="0"/>
          <w:bCs/>
          <w:color w:val="auto"/>
          <w:sz w:val="96"/>
          <w:szCs w:val="96"/>
        </w:rPr>
      </w:pPr>
      <w:r>
        <w:rPr>
          <w:rFonts w:hint="eastAsia" w:ascii="方正小标宋简体" w:hAnsi="方正小标宋简体" w:eastAsia="方正小标宋简体" w:cs="方正小标宋简体"/>
          <w:b w:val="0"/>
          <w:bCs/>
          <w:color w:val="auto"/>
          <w:kern w:val="0"/>
          <w:sz w:val="96"/>
          <w:szCs w:val="96"/>
        </w:rPr>
        <w:t>竞争性磋商文件</w:t>
      </w:r>
    </w:p>
    <w:p>
      <w:pPr>
        <w:pStyle w:val="36"/>
        <w:spacing w:line="240" w:lineRule="auto"/>
        <w:ind w:left="0" w:leftChars="0" w:right="424" w:rightChars="150" w:firstLine="0" w:firstLineChars="0"/>
        <w:jc w:val="center"/>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44"/>
          <w:szCs w:val="44"/>
          <w:lang w:eastAsia="zh-CN"/>
        </w:rPr>
        <w:t>（</w:t>
      </w:r>
      <w:r>
        <w:rPr>
          <w:rFonts w:hint="eastAsia" w:ascii="仿宋_GB2312" w:hAnsi="仿宋_GB2312" w:eastAsia="仿宋_GB2312" w:cs="仿宋_GB2312"/>
          <w:color w:val="auto"/>
          <w:sz w:val="44"/>
          <w:szCs w:val="44"/>
          <w:lang w:val="en-US" w:eastAsia="zh-CN"/>
        </w:rPr>
        <w:t>专门面向中小企业采购</w:t>
      </w:r>
      <w:r>
        <w:rPr>
          <w:rFonts w:hint="eastAsia" w:ascii="仿宋_GB2312" w:hAnsi="仿宋_GB2312" w:eastAsia="仿宋_GB2312" w:cs="仿宋_GB2312"/>
          <w:color w:val="auto"/>
          <w:sz w:val="44"/>
          <w:szCs w:val="44"/>
          <w:lang w:eastAsia="zh-CN"/>
        </w:rPr>
        <w:t>）</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100"/>
          <w:sz w:val="36"/>
          <w:szCs w:val="36"/>
        </w:rPr>
      </w:pP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95"/>
          <w:sz w:val="36"/>
          <w:szCs w:val="36"/>
          <w:highlight w:val="yellow"/>
          <w:lang w:val="en-US" w:eastAsia="zh-CN"/>
        </w:rPr>
      </w:pPr>
      <w:r>
        <w:rPr>
          <w:rFonts w:hint="eastAsia" w:ascii="仿宋_GB2312" w:hAnsi="仿宋_GB2312" w:eastAsia="仿宋_GB2312" w:cs="仿宋_GB2312"/>
          <w:b w:val="0"/>
          <w:bCs w:val="0"/>
          <w:color w:val="auto"/>
          <w:w w:val="100"/>
          <w:sz w:val="36"/>
          <w:szCs w:val="36"/>
        </w:rPr>
        <w:t>项目名称：</w:t>
      </w:r>
      <w:r>
        <w:rPr>
          <w:rFonts w:hint="eastAsia" w:ascii="仿宋_GB2312" w:hAnsi="仿宋_GB2312" w:eastAsia="仿宋_GB2312" w:cs="仿宋_GB2312"/>
          <w:b w:val="0"/>
          <w:bCs w:val="0"/>
          <w:color w:val="auto"/>
          <w:w w:val="100"/>
          <w:sz w:val="36"/>
          <w:szCs w:val="36"/>
          <w:lang w:val="en-US" w:eastAsia="zh-CN"/>
        </w:rPr>
        <w:t>汉中市中心医院电梯运行服务采购项目</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项目编号：</w:t>
      </w:r>
      <w:r>
        <w:rPr>
          <w:rFonts w:hint="eastAsia" w:ascii="仿宋_GB2312" w:hAnsi="仿宋_GB2312" w:eastAsia="仿宋_GB2312" w:cs="仿宋_GB2312"/>
          <w:b w:val="0"/>
          <w:bCs w:val="0"/>
          <w:color w:val="auto"/>
          <w:sz w:val="36"/>
          <w:szCs w:val="36"/>
          <w:lang w:val="en-US" w:eastAsia="zh-CN"/>
        </w:rPr>
        <w:t>汉采FW【2025】4号</w:t>
      </w:r>
    </w:p>
    <w:p>
      <w:pPr>
        <w:spacing w:line="240" w:lineRule="auto"/>
        <w:ind w:right="424" w:rightChars="150" w:firstLine="726" w:firstLineChars="200"/>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36"/>
          <w:szCs w:val="36"/>
        </w:rPr>
      </w:pPr>
    </w:p>
    <w:p>
      <w:pPr>
        <w:pStyle w:val="8"/>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rPr>
      </w:pPr>
    </w:p>
    <w:p>
      <w:pPr>
        <w:pStyle w:val="8"/>
        <w:rPr>
          <w:rFonts w:hint="eastAsia"/>
        </w:rPr>
      </w:pPr>
    </w:p>
    <w:p>
      <w:pPr>
        <w:spacing w:line="240" w:lineRule="auto"/>
        <w:jc w:val="center"/>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t>202</w:t>
      </w:r>
      <w:r>
        <w:rPr>
          <w:rFonts w:hint="eastAsia" w:ascii="仿宋_GB2312" w:hAnsi="仿宋_GB2312" w:eastAsia="仿宋_GB2312" w:cs="仿宋_GB2312"/>
          <w:b w:val="0"/>
          <w:bCs w:val="0"/>
          <w:color w:val="auto"/>
          <w:sz w:val="44"/>
          <w:szCs w:val="44"/>
          <w:lang w:val="en-US" w:eastAsia="zh-CN"/>
        </w:rPr>
        <w:t>5</w:t>
      </w:r>
      <w:r>
        <w:rPr>
          <w:rFonts w:hint="eastAsia" w:ascii="仿宋_GB2312" w:hAnsi="仿宋_GB2312" w:eastAsia="仿宋_GB2312" w:cs="仿宋_GB2312"/>
          <w:b w:val="0"/>
          <w:bCs w:val="0"/>
          <w:color w:val="auto"/>
          <w:sz w:val="44"/>
          <w:szCs w:val="44"/>
        </w:rPr>
        <w:t>年</w:t>
      </w:r>
      <w:r>
        <w:rPr>
          <w:rFonts w:hint="eastAsia" w:ascii="仿宋_GB2312" w:hAnsi="仿宋_GB2312" w:eastAsia="仿宋_GB2312" w:cs="仿宋_GB2312"/>
          <w:b w:val="0"/>
          <w:bCs w:val="0"/>
          <w:color w:val="auto"/>
          <w:sz w:val="44"/>
          <w:szCs w:val="44"/>
          <w:highlight w:val="none"/>
          <w:lang w:val="en-US" w:eastAsia="zh-CN"/>
        </w:rPr>
        <w:t>1</w:t>
      </w:r>
      <w:r>
        <w:rPr>
          <w:rFonts w:hint="eastAsia" w:ascii="仿宋_GB2312" w:hAnsi="仿宋_GB2312" w:eastAsia="仿宋_GB2312" w:cs="仿宋_GB2312"/>
          <w:b w:val="0"/>
          <w:bCs w:val="0"/>
          <w:color w:val="auto"/>
          <w:sz w:val="44"/>
          <w:szCs w:val="44"/>
          <w:highlight w:val="none"/>
        </w:rPr>
        <w:t>月</w:t>
      </w:r>
      <w:r>
        <w:rPr>
          <w:rFonts w:hint="eastAsia" w:ascii="仿宋_GB2312" w:hAnsi="仿宋_GB2312" w:eastAsia="仿宋_GB2312" w:cs="仿宋_GB2312"/>
          <w:b w:val="0"/>
          <w:bCs w:val="0"/>
          <w:color w:val="auto"/>
          <w:sz w:val="44"/>
          <w:szCs w:val="44"/>
          <w:highlight w:val="none"/>
          <w:lang w:val="en-US" w:eastAsia="zh-CN"/>
        </w:rPr>
        <w:t>21</w:t>
      </w:r>
      <w:r>
        <w:rPr>
          <w:rFonts w:hint="eastAsia" w:ascii="仿宋_GB2312" w:hAnsi="仿宋_GB2312" w:eastAsia="仿宋_GB2312" w:cs="仿宋_GB2312"/>
          <w:b w:val="0"/>
          <w:bCs w:val="0"/>
          <w:color w:val="auto"/>
          <w:sz w:val="44"/>
          <w:szCs w:val="44"/>
        </w:rPr>
        <w:t>日</w:t>
      </w:r>
      <w:bookmarkStart w:id="0" w:name="_Toc10222_WPSOffice_Level1"/>
      <w:bookmarkStart w:id="1" w:name="_Toc30102_WPSOffice_Level1"/>
      <w:bookmarkStart w:id="2" w:name="_Toc30340_WPSOffice_Level1"/>
    </w:p>
    <w:p>
      <w:pPr>
        <w:pStyle w:val="8"/>
        <w:rPr>
          <w:rFonts w:hint="eastAsia"/>
          <w:color w:val="auto"/>
        </w:rPr>
      </w:pPr>
    </w:p>
    <w:p>
      <w:pPr>
        <w:pStyle w:val="15"/>
        <w:tabs>
          <w:tab w:val="right" w:leader="dot" w:pos="9072"/>
        </w:tabs>
        <w:spacing w:before="190" w:beforeLines="50" w:after="190" w:afterLines="50" w:line="500" w:lineRule="exact"/>
        <w:jc w:val="center"/>
        <w:rPr>
          <w:rFonts w:hint="eastAsia" w:ascii="仿宋" w:hAnsi="仿宋" w:eastAsia="仿宋" w:cs="仿宋"/>
          <w:color w:val="auto"/>
          <w:sz w:val="44"/>
          <w:szCs w:val="44"/>
        </w:rPr>
        <w:sectPr>
          <w:footerReference r:id="rId5"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tabs>
          <w:tab w:val="right" w:leader="hyphen" w:pos="8504"/>
        </w:tabs>
        <w:spacing w:after="381" w:afterLines="100" w:line="240" w:lineRule="auto"/>
        <w:ind w:left="567" w:right="566" w:rightChars="200"/>
        <w:jc w:val="center"/>
        <w:rPr>
          <w:rFonts w:ascii="仿宋" w:hAnsi="仿宋" w:eastAsia="仿宋"/>
          <w:b w:val="0"/>
          <w:bCs/>
          <w:color w:val="auto"/>
          <w:sz w:val="44"/>
        </w:rPr>
      </w:pPr>
      <w:r>
        <w:rPr>
          <w:rFonts w:hint="eastAsia" w:ascii="黑体" w:hAnsi="黑体" w:eastAsia="黑体" w:cs="黑体"/>
          <w:b w:val="0"/>
          <w:bCs/>
          <w:color w:val="auto"/>
          <w:sz w:val="44"/>
        </w:rPr>
        <w:t>目  录</w:t>
      </w:r>
    </w:p>
    <w:p>
      <w:pPr>
        <w:pStyle w:val="13"/>
        <w:rPr>
          <w:color w:val="auto"/>
          <w:highlight w:val="yellow"/>
        </w:rPr>
      </w:pP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default"/>
          <w:color w:val="auto"/>
          <w:sz w:val="32"/>
          <w:szCs w:val="32"/>
          <w:lang w:val="en-US" w:eastAsia="zh-CN"/>
        </w:rPr>
        <w:fldChar w:fldCharType="begin"/>
      </w:r>
      <w:r>
        <w:rPr>
          <w:rFonts w:hint="default"/>
          <w:color w:val="auto"/>
          <w:sz w:val="32"/>
          <w:szCs w:val="32"/>
          <w:lang w:val="en-US" w:eastAsia="zh-CN"/>
        </w:rPr>
        <w:instrText xml:space="preserve">TOC \o "1-2" \u </w:instrText>
      </w:r>
      <w:r>
        <w:rPr>
          <w:rFonts w:hint="default"/>
          <w:color w:val="auto"/>
          <w:sz w:val="32"/>
          <w:szCs w:val="32"/>
          <w:lang w:val="en-US" w:eastAsia="zh-CN"/>
        </w:rPr>
        <w:fldChar w:fldCharType="separate"/>
      </w:r>
      <w:r>
        <w:rPr>
          <w:rFonts w:hint="eastAsia" w:ascii="黑体" w:hAnsi="黑体" w:eastAsia="黑体" w:cs="黑体"/>
          <w:color w:val="auto"/>
          <w:sz w:val="32"/>
          <w:szCs w:val="32"/>
        </w:rPr>
        <w:t>第一章 磋商邀请函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_Toc9601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一、定义</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_Toc3062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二、供应商注意事项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_Toc24646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三、磋商文件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_Toc3130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、磋商报价</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_Toc3559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、响应文件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_Toc12154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响应文件开启</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_Toc17536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、组织评审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_Toc31905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、成交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_Toc3023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27</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kern w:val="0"/>
          <w:sz w:val="32"/>
          <w:szCs w:val="32"/>
        </w:rPr>
        <w:t>政府采购合同</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_Toc23938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27</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采购代理服务费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_Toc14560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27</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第三章  磋商内容及采购要求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_Toc2772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合同</w:t>
      </w:r>
      <w:r>
        <w:rPr>
          <w:rFonts w:hint="eastAsia" w:ascii="黑体" w:hAnsi="黑体" w:eastAsia="黑体" w:cs="黑体"/>
          <w:color w:val="auto"/>
          <w:sz w:val="32"/>
          <w:szCs w:val="32"/>
          <w:lang w:val="en-US" w:eastAsia="zh-CN"/>
        </w:rPr>
        <w:t>草案</w:t>
      </w:r>
      <w:r>
        <w:rPr>
          <w:rFonts w:hint="eastAsia" w:ascii="黑体" w:hAnsi="黑体" w:eastAsia="黑体" w:cs="黑体"/>
          <w:color w:val="auto"/>
          <w:sz w:val="32"/>
          <w:szCs w:val="32"/>
        </w:rPr>
        <w:t>条款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_Toc10371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33</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第五章  响应文件构成及格式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_Toc5571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35</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ind w:firstLine="646" w:firstLineChars="200"/>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第一部分  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38</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第二部分  符合性证明文件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_Toc9751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42</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黑体" w:hAnsi="黑体" w:eastAsia="黑体" w:cs="黑体"/>
          <w:color w:val="auto"/>
          <w:sz w:val="32"/>
          <w:szCs w:val="32"/>
        </w:rPr>
      </w:pPr>
      <w:r>
        <w:rPr>
          <w:rFonts w:hint="eastAsia" w:ascii="黑体" w:hAnsi="黑体" w:eastAsia="黑体" w:cs="黑体"/>
          <w:bCs w:val="0"/>
          <w:color w:val="auto"/>
          <w:sz w:val="32"/>
          <w:szCs w:val="32"/>
        </w:rPr>
        <w:t>第三部分  响应方案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_Toc17248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49</w:t>
      </w:r>
      <w:r>
        <w:rPr>
          <w:rFonts w:hint="eastAsia" w:ascii="仿宋_GB2312" w:hAnsi="仿宋_GB2312" w:eastAsia="仿宋_GB2312" w:cs="仿宋_GB2312"/>
          <w:color w:val="auto"/>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color w:val="auto"/>
          <w:sz w:val="32"/>
          <w:szCs w:val="32"/>
          <w:lang w:val="en-US" w:eastAsia="zh-CN"/>
        </w:rPr>
        <w:fldChar w:fldCharType="end"/>
      </w:r>
    </w:p>
    <w:p>
      <w:pPr>
        <w:pageBreakBefore w:val="0"/>
        <w:kinsoku/>
        <w:wordWrap/>
        <w:overflowPunct/>
        <w:topLinePunct w:val="0"/>
        <w:bidi w:val="0"/>
        <w:snapToGrid/>
        <w:spacing w:line="560" w:lineRule="exact"/>
        <w:textAlignment w:val="auto"/>
        <w:rPr>
          <w:color w:val="auto"/>
        </w:rPr>
      </w:pPr>
    </w:p>
    <w:p>
      <w:pPr>
        <w:pStyle w:val="2"/>
        <w:pageBreakBefore w:val="0"/>
        <w:kinsoku/>
        <w:wordWrap/>
        <w:overflowPunct/>
        <w:topLinePunct w:val="0"/>
        <w:bidi w:val="0"/>
        <w:snapToGrid/>
        <w:spacing w:line="560" w:lineRule="exact"/>
        <w:textAlignment w:val="auto"/>
        <w:rPr>
          <w:rFonts w:ascii="黑体" w:hAnsi="黑体" w:eastAsia="黑体"/>
          <w:b w:val="0"/>
          <w:color w:val="auto"/>
          <w:sz w:val="32"/>
          <w:szCs w:val="32"/>
        </w:rPr>
        <w:sectPr>
          <w:footerReference r:id="rId6"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pStyle w:val="2"/>
        <w:pageBreakBefore w:val="0"/>
        <w:numPr>
          <w:ilvl w:val="0"/>
          <w:numId w:val="1"/>
        </w:numPr>
        <w:kinsoku/>
        <w:wordWrap/>
        <w:overflowPunct/>
        <w:topLinePunct w:val="0"/>
        <w:bidi w:val="0"/>
        <w:snapToGrid/>
        <w:spacing w:line="560" w:lineRule="exact"/>
        <w:textAlignment w:val="auto"/>
        <w:rPr>
          <w:rFonts w:ascii="黑体" w:hAnsi="黑体" w:eastAsia="黑体"/>
          <w:b w:val="0"/>
          <w:color w:val="auto"/>
          <w:sz w:val="32"/>
          <w:szCs w:val="32"/>
        </w:rPr>
      </w:pPr>
      <w:bookmarkStart w:id="3" w:name="_Toc21489"/>
      <w:bookmarkStart w:id="4" w:name="_Toc5655"/>
      <w:bookmarkStart w:id="5" w:name="_Toc26235"/>
      <w:r>
        <w:rPr>
          <w:rFonts w:ascii="黑体" w:hAnsi="黑体" w:eastAsia="黑体"/>
          <w:b w:val="0"/>
          <w:color w:val="auto"/>
          <w:sz w:val="32"/>
          <w:szCs w:val="32"/>
        </w:rPr>
        <w:t xml:space="preserve"> </w:t>
      </w:r>
      <w:bookmarkStart w:id="6" w:name="_Toc8073"/>
      <w:r>
        <w:rPr>
          <w:rFonts w:hint="eastAsia" w:ascii="黑体" w:hAnsi="黑体" w:eastAsia="黑体"/>
          <w:b w:val="0"/>
          <w:color w:val="auto"/>
          <w:sz w:val="32"/>
          <w:szCs w:val="32"/>
        </w:rPr>
        <w:t>磋商</w:t>
      </w:r>
      <w:r>
        <w:rPr>
          <w:rFonts w:ascii="黑体" w:hAnsi="黑体" w:eastAsia="黑体"/>
          <w:b w:val="0"/>
          <w:color w:val="auto"/>
          <w:sz w:val="32"/>
          <w:szCs w:val="32"/>
        </w:rPr>
        <w:t>邀请函</w:t>
      </w:r>
      <w:bookmarkEnd w:id="0"/>
      <w:bookmarkEnd w:id="1"/>
      <w:bookmarkEnd w:id="2"/>
      <w:bookmarkEnd w:id="3"/>
      <w:bookmarkEnd w:id="4"/>
      <w:bookmarkEnd w:id="5"/>
      <w:bookmarkEnd w:id="6"/>
    </w:p>
    <w:p>
      <w:pPr>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28"/>
          <w:szCs w:val="28"/>
        </w:rPr>
      </w:pP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项目概况</w:t>
      </w: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u w:val="single"/>
          <w:lang w:val="en-US" w:eastAsia="zh-CN"/>
        </w:rPr>
        <w:t xml:space="preserve"> 汉中市中心医院电梯运行服务</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采购项目的潜在供应商应在</w:t>
      </w:r>
      <w:r>
        <w:rPr>
          <w:rFonts w:hint="eastAsia" w:ascii="仿宋_GB2312" w:hAnsi="仿宋_GB2312" w:eastAsia="仿宋_GB2312" w:cs="仿宋_GB2312"/>
          <w:color w:val="auto"/>
          <w:sz w:val="28"/>
          <w:szCs w:val="28"/>
          <w:u w:val="single"/>
          <w:lang w:val="en-US" w:eastAsia="zh-CN"/>
        </w:rPr>
        <w:t xml:space="preserve"> 全国公共资源交易平台（汉中市）（sxggzyjy.hanzhong.gov.cn） </w:t>
      </w:r>
      <w:r>
        <w:rPr>
          <w:rFonts w:hint="eastAsia" w:ascii="仿宋_GB2312" w:hAnsi="仿宋_GB2312" w:eastAsia="仿宋_GB2312" w:cs="仿宋_GB2312"/>
          <w:color w:val="auto"/>
          <w:sz w:val="28"/>
          <w:szCs w:val="28"/>
        </w:rPr>
        <w:t>获取采购文件，并于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2025</w:t>
      </w:r>
      <w:r>
        <w:rPr>
          <w:rFonts w:hint="eastAsia" w:ascii="仿宋_GB2312" w:hAnsi="仿宋_GB2312" w:eastAsia="仿宋_GB2312" w:cs="仿宋_GB2312"/>
          <w:bCs/>
          <w:color w:val="auto"/>
          <w:sz w:val="28"/>
          <w:szCs w:val="28"/>
          <w:u w:val="single"/>
        </w:rPr>
        <w:t>年</w:t>
      </w:r>
      <w:r>
        <w:rPr>
          <w:rFonts w:hint="eastAsia" w:ascii="仿宋_GB2312" w:hAnsi="仿宋_GB2312" w:eastAsia="仿宋_GB2312" w:cs="仿宋_GB2312"/>
          <w:bCs/>
          <w:color w:val="auto"/>
          <w:sz w:val="28"/>
          <w:szCs w:val="28"/>
          <w:u w:val="single"/>
          <w:lang w:val="en-US" w:eastAsia="zh-CN"/>
        </w:rPr>
        <w:t xml:space="preserve"> 2 </w:t>
      </w:r>
      <w:r>
        <w:rPr>
          <w:rFonts w:hint="eastAsia" w:ascii="仿宋_GB2312" w:hAnsi="仿宋_GB2312" w:eastAsia="仿宋_GB2312" w:cs="仿宋_GB2312"/>
          <w:bCs/>
          <w:color w:val="auto"/>
          <w:sz w:val="28"/>
          <w:szCs w:val="28"/>
          <w:u w:val="single"/>
        </w:rPr>
        <w:t>月</w:t>
      </w:r>
      <w:r>
        <w:rPr>
          <w:rFonts w:hint="eastAsia" w:ascii="仿宋_GB2312" w:hAnsi="仿宋_GB2312" w:eastAsia="仿宋_GB2312" w:cs="仿宋_GB2312"/>
          <w:bCs/>
          <w:color w:val="auto"/>
          <w:sz w:val="28"/>
          <w:szCs w:val="28"/>
          <w:u w:val="single"/>
          <w:lang w:val="en-US" w:eastAsia="zh-CN"/>
        </w:rPr>
        <w:t xml:space="preserve"> 14 </w:t>
      </w:r>
      <w:r>
        <w:rPr>
          <w:rFonts w:hint="eastAsia" w:ascii="仿宋_GB2312" w:hAnsi="仿宋_GB2312" w:eastAsia="仿宋_GB2312" w:cs="仿宋_GB2312"/>
          <w:bCs/>
          <w:color w:val="auto"/>
          <w:sz w:val="28"/>
          <w:szCs w:val="28"/>
          <w:u w:val="single"/>
        </w:rPr>
        <w:t>日</w:t>
      </w:r>
      <w:r>
        <w:rPr>
          <w:rFonts w:hint="eastAsia" w:ascii="仿宋_GB2312" w:hAnsi="仿宋_GB2312" w:eastAsia="仿宋_GB2312" w:cs="仿宋_GB2312"/>
          <w:bCs/>
          <w:color w:val="auto"/>
          <w:sz w:val="28"/>
          <w:szCs w:val="28"/>
          <w:u w:val="single"/>
          <w:lang w:val="en-US" w:eastAsia="zh-CN"/>
        </w:rPr>
        <w:t xml:space="preserve"> 9 </w:t>
      </w:r>
      <w:r>
        <w:rPr>
          <w:rFonts w:hint="eastAsia" w:ascii="仿宋_GB2312" w:hAnsi="仿宋_GB2312" w:eastAsia="仿宋_GB2312" w:cs="仿宋_GB2312"/>
          <w:bCs/>
          <w:color w:val="auto"/>
          <w:sz w:val="28"/>
          <w:szCs w:val="28"/>
          <w:u w:val="single"/>
        </w:rPr>
        <w:t>点</w:t>
      </w:r>
      <w:r>
        <w:rPr>
          <w:rFonts w:hint="eastAsia" w:ascii="仿宋_GB2312" w:hAnsi="仿宋_GB2312" w:eastAsia="仿宋_GB2312" w:cs="仿宋_GB2312"/>
          <w:bCs/>
          <w:color w:val="auto"/>
          <w:sz w:val="28"/>
          <w:szCs w:val="28"/>
          <w:u w:val="single"/>
          <w:lang w:val="en-US" w:eastAsia="zh-CN"/>
        </w:rPr>
        <w:t xml:space="preserve"> 30</w:t>
      </w:r>
      <w:r>
        <w:rPr>
          <w:rFonts w:hint="eastAsia" w:ascii="仿宋_GB2312" w:hAnsi="仿宋_GB2312" w:eastAsia="仿宋_GB2312" w:cs="仿宋_GB2312"/>
          <w:bCs/>
          <w:color w:val="auto"/>
          <w:sz w:val="28"/>
          <w:szCs w:val="28"/>
          <w:u w:val="single"/>
        </w:rPr>
        <w:t>分</w:t>
      </w:r>
      <w:r>
        <w:rPr>
          <w:rFonts w:hint="eastAsia" w:ascii="仿宋_GB2312" w:hAnsi="仿宋_GB2312" w:eastAsia="仿宋_GB2312" w:cs="仿宋_GB2312"/>
          <w:bCs/>
          <w:color w:val="auto"/>
          <w:sz w:val="28"/>
          <w:szCs w:val="28"/>
        </w:rPr>
        <w:t>（北京时间）前提交响应文件</w:t>
      </w:r>
      <w:r>
        <w:rPr>
          <w:rFonts w:hint="eastAsia" w:ascii="仿宋_GB2312" w:hAnsi="仿宋_GB2312" w:eastAsia="仿宋_GB2312" w:cs="仿宋_GB2312"/>
          <w:color w:val="auto"/>
          <w:sz w:val="28"/>
          <w:szCs w:val="28"/>
        </w:rPr>
        <w:t>。</w:t>
      </w:r>
    </w:p>
    <w:p>
      <w:pPr>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28"/>
          <w:szCs w:val="28"/>
        </w:rPr>
      </w:pP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7" w:name="_Toc28840"/>
      <w:bookmarkStart w:id="8" w:name="_Toc28359012"/>
      <w:bookmarkStart w:id="9" w:name="_Toc35393629"/>
      <w:bookmarkStart w:id="10" w:name="_Toc28359089"/>
      <w:bookmarkStart w:id="11" w:name="_Toc35393798"/>
      <w:r>
        <w:rPr>
          <w:rFonts w:hint="eastAsia" w:ascii="仿宋_GB2312" w:hAnsi="仿宋_GB2312" w:eastAsia="仿宋_GB2312" w:cs="仿宋_GB2312"/>
          <w:b/>
          <w:bCs/>
          <w:color w:val="auto"/>
          <w:kern w:val="2"/>
          <w:sz w:val="28"/>
          <w:szCs w:val="28"/>
          <w:lang w:val="en-US" w:eastAsia="zh-CN" w:bidi="ar-SA"/>
        </w:rPr>
        <w:t>一、项目基本情况</w:t>
      </w:r>
      <w:bookmarkEnd w:id="7"/>
      <w:bookmarkEnd w:id="8"/>
      <w:bookmarkEnd w:id="9"/>
      <w:bookmarkEnd w:id="10"/>
      <w:bookmarkEnd w:id="11"/>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项目编号：汉采</w:t>
      </w:r>
      <w:r>
        <w:rPr>
          <w:rFonts w:hint="eastAsia" w:ascii="仿宋_GB2312" w:hAnsi="仿宋_GB2312" w:eastAsia="仿宋_GB2312" w:cs="仿宋_GB2312"/>
          <w:color w:val="auto"/>
          <w:sz w:val="28"/>
          <w:szCs w:val="28"/>
          <w:lang w:val="en-US" w:eastAsia="zh-CN"/>
        </w:rPr>
        <w:t>FW</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号</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highlight w:val="yellow"/>
          <w:u w:val="single"/>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highlight w:val="none"/>
          <w:lang w:val="en-US" w:eastAsia="zh-CN"/>
        </w:rPr>
        <w:t>汉中市中心医院电梯运行服务采购项目</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采购方式：竞争性磋商</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预算金额：</w:t>
      </w:r>
      <w:r>
        <w:rPr>
          <w:rFonts w:hint="eastAsia" w:ascii="仿宋_GB2312" w:hAnsi="仿宋_GB2312" w:eastAsia="仿宋_GB2312" w:cs="仿宋_GB2312"/>
          <w:color w:val="auto"/>
          <w:sz w:val="28"/>
          <w:szCs w:val="28"/>
          <w:highlight w:val="none"/>
          <w:lang w:val="en-US" w:eastAsia="zh-CN"/>
        </w:rPr>
        <w:t>1100000</w:t>
      </w:r>
      <w:r>
        <w:rPr>
          <w:rFonts w:hint="eastAsia" w:ascii="仿宋_GB2312" w:hAnsi="仿宋_GB2312" w:eastAsia="仿宋_GB2312" w:cs="仿宋_GB2312"/>
          <w:color w:val="auto"/>
          <w:sz w:val="28"/>
          <w:szCs w:val="28"/>
          <w:lang w:val="en-US" w:eastAsia="zh-CN"/>
        </w:rPr>
        <w:t>元</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最高限价：</w:t>
      </w:r>
      <w:r>
        <w:rPr>
          <w:rFonts w:hint="eastAsia" w:ascii="仿宋_GB2312" w:hAnsi="仿宋_GB2312" w:eastAsia="仿宋_GB2312" w:cs="仿宋_GB2312"/>
          <w:color w:val="auto"/>
          <w:sz w:val="28"/>
          <w:szCs w:val="28"/>
          <w:lang w:val="en-US" w:eastAsia="zh-CN"/>
        </w:rPr>
        <w:t>无</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采购需求：</w:t>
      </w:r>
      <w:r>
        <w:rPr>
          <w:rFonts w:hint="eastAsia" w:ascii="仿宋_GB2312" w:hAnsi="仿宋_GB2312" w:eastAsia="仿宋_GB2312" w:cs="仿宋_GB2312"/>
          <w:color w:val="auto"/>
          <w:sz w:val="28"/>
          <w:szCs w:val="28"/>
          <w:highlight w:val="none"/>
          <w:lang w:val="en-US" w:eastAsia="zh-CN"/>
        </w:rPr>
        <w:t>汉中市中心医院本部现有的55部电梯（其中扶梯16部）、龙岗院区9部电梯（其中扶梯4部）的日常运行管理、清洁保养和应急事件处理，不含电梯的维修保养。本项目投入总计22人。（详见第三章）</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rPr>
        <w:t>合同履行期限：</w:t>
      </w:r>
      <w:r>
        <w:rPr>
          <w:rFonts w:hint="eastAsia" w:ascii="仿宋_GB2312" w:hAnsi="仿宋_GB2312" w:eastAsia="仿宋_GB2312" w:cs="仿宋_GB2312"/>
          <w:color w:val="auto"/>
          <w:sz w:val="28"/>
          <w:szCs w:val="28"/>
          <w:highlight w:val="none"/>
          <w:lang w:val="en-US" w:eastAsia="zh-CN"/>
        </w:rPr>
        <w:t>一年。（具体事项见《第四章 合同草案条款》）</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rPr>
        <w:t>接受联合体。</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2" w:name="_Toc28359013"/>
      <w:bookmarkStart w:id="13" w:name="_Toc35393630"/>
      <w:bookmarkStart w:id="14" w:name="_Toc3608"/>
      <w:bookmarkStart w:id="15" w:name="_Toc35393799"/>
      <w:bookmarkStart w:id="16" w:name="_Toc28359090"/>
      <w:r>
        <w:rPr>
          <w:rFonts w:hint="eastAsia" w:ascii="仿宋_GB2312" w:hAnsi="仿宋_GB2312" w:eastAsia="仿宋_GB2312" w:cs="仿宋_GB2312"/>
          <w:b/>
          <w:bCs/>
          <w:color w:val="auto"/>
          <w:kern w:val="2"/>
          <w:sz w:val="28"/>
          <w:szCs w:val="28"/>
          <w:lang w:val="en-US" w:eastAsia="zh-CN" w:bidi="ar-SA"/>
        </w:rPr>
        <w:t>二、申请人的资格要求：</w:t>
      </w:r>
      <w:bookmarkEnd w:id="12"/>
      <w:bookmarkEnd w:id="13"/>
      <w:bookmarkEnd w:id="14"/>
      <w:bookmarkEnd w:id="15"/>
      <w:bookmarkEnd w:id="16"/>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1.满足《中华人民共和国政府采购法》第二十二条规定；</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eastAsia="zh-CN"/>
        </w:rPr>
      </w:pPr>
      <w:bookmarkStart w:id="17" w:name="_Toc28359091"/>
      <w:bookmarkStart w:id="18" w:name="_Toc28359014"/>
      <w:r>
        <w:rPr>
          <w:rFonts w:hint="eastAsia" w:ascii="仿宋_GB2312" w:hAnsi="仿宋_GB2312" w:eastAsia="仿宋_GB2312" w:cs="仿宋_GB2312"/>
          <w:color w:val="auto"/>
          <w:sz w:val="28"/>
          <w:szCs w:val="28"/>
        </w:rPr>
        <w:t>2.落实政府采购政策需满足的资格要求：</w:t>
      </w:r>
      <w:r>
        <w:rPr>
          <w:rFonts w:hint="eastAsia" w:ascii="仿宋_GB2312" w:hAnsi="仿宋_GB2312" w:eastAsia="仿宋_GB2312" w:cs="仿宋_GB2312"/>
          <w:color w:val="auto"/>
          <w:sz w:val="28"/>
          <w:szCs w:val="28"/>
          <w:u w:val="none"/>
          <w:lang w:val="en-US" w:eastAsia="zh-CN"/>
        </w:rPr>
        <w:t>本项目</w:t>
      </w:r>
      <w:r>
        <w:rPr>
          <w:rFonts w:hint="eastAsia" w:ascii="仿宋_GB2312" w:hAnsi="仿宋_GB2312" w:eastAsia="仿宋_GB2312" w:cs="仿宋_GB2312"/>
          <w:color w:val="auto"/>
          <w:sz w:val="28"/>
          <w:szCs w:val="28"/>
          <w:highlight w:val="none"/>
          <w:u w:val="none"/>
          <w:lang w:val="en-US" w:eastAsia="zh-CN"/>
        </w:rPr>
        <w:t>专门面向中小企业采购，供应商应为中小微企业，磋商时须提供《中小企业声明函》（按第五章格式填写）。本项目采购标的对应的中小企业划分标准所属行业为：物业管理。</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3.本项目的特定资格要求：</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（1）营业执照等主体资格证明文件：提供有效存续的企业营业执照（副本）/事业单位法人证书/专业服务机构执业许可证/民办非企业单位登记证书。</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w:t>
      </w:r>
      <w:r>
        <w:rPr>
          <w:rFonts w:hint="eastAsia" w:ascii="仿宋_GB2312" w:hAnsi="仿宋_GB2312" w:eastAsia="仿宋_GB2312" w:cs="仿宋_GB2312"/>
          <w:color w:val="auto"/>
          <w:kern w:val="2"/>
          <w:sz w:val="28"/>
          <w:szCs w:val="28"/>
          <w:lang w:val="en-US" w:eastAsia="zh-CN" w:bidi="ar-SA"/>
        </w:rPr>
        <w:t>（按第五章格式填写）</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（3）资格承诺函：提供《汉中市政府采购供应商资格承诺函》。（按第五章格式填写）</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备注：1、以上资格要求均为必备资格，须提供相关证明文件并加盖响应人公章（如相关证明材料由第三方出具，应有第三方公章），缺少其中任何一项，其响应文件视为无效文件。</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2、分支机构参与磋商时，响应文件中应附法人出具的授权书。法人只能授权一家分支机构参与磋商，且不能与分支机构同时参与磋商。 </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3、事业单位法人参与磋商可不提供财务状况报告、社会保障资金缴纳证明及税收缴纳证明。</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9" w:name="_Toc35393800"/>
      <w:bookmarkStart w:id="20" w:name="_Toc35393631"/>
      <w:bookmarkStart w:id="21" w:name="_Toc29259"/>
      <w:r>
        <w:rPr>
          <w:rFonts w:hint="eastAsia" w:ascii="仿宋_GB2312" w:hAnsi="仿宋_GB2312" w:eastAsia="仿宋_GB2312" w:cs="仿宋_GB2312"/>
          <w:b/>
          <w:bCs/>
          <w:color w:val="auto"/>
          <w:kern w:val="2"/>
          <w:sz w:val="28"/>
          <w:szCs w:val="28"/>
          <w:lang w:val="en-US" w:eastAsia="zh-CN" w:bidi="ar-SA"/>
        </w:rPr>
        <w:t>三、获取采购文件</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20</w:t>
      </w:r>
      <w:r>
        <w:rPr>
          <w:rFonts w:hint="eastAsia" w:ascii="仿宋_GB2312" w:hAnsi="仿宋_GB2312" w:eastAsia="仿宋_GB2312" w:cs="仿宋_GB2312"/>
          <w:color w:val="auto"/>
          <w:sz w:val="28"/>
          <w:szCs w:val="28"/>
          <w:highlight w:val="none"/>
          <w:u w:val="single"/>
          <w:lang w:val="en-US" w:eastAsia="zh-CN"/>
        </w:rPr>
        <w:t>25</w:t>
      </w:r>
      <w:r>
        <w:rPr>
          <w:rFonts w:hint="eastAsia" w:ascii="仿宋_GB2312" w:hAnsi="仿宋_GB2312" w:eastAsia="仿宋_GB2312" w:cs="仿宋_GB2312"/>
          <w:color w:val="auto"/>
          <w:sz w:val="28"/>
          <w:szCs w:val="28"/>
          <w:highlight w:val="none"/>
          <w:u w:val="single"/>
        </w:rPr>
        <w:t xml:space="preserve"> 年</w:t>
      </w:r>
      <w:r>
        <w:rPr>
          <w:rFonts w:hint="eastAsia" w:ascii="仿宋_GB2312" w:hAnsi="仿宋_GB2312" w:eastAsia="仿宋_GB2312" w:cs="仿宋_GB2312"/>
          <w:color w:val="auto"/>
          <w:sz w:val="28"/>
          <w:szCs w:val="28"/>
          <w:highlight w:val="none"/>
          <w:u w:val="single"/>
          <w:lang w:val="en-US" w:eastAsia="zh-CN"/>
        </w:rPr>
        <w:t xml:space="preserve"> 1 </w:t>
      </w:r>
      <w:r>
        <w:rPr>
          <w:rFonts w:hint="eastAsia" w:ascii="仿宋_GB2312" w:hAnsi="仿宋_GB2312" w:eastAsia="仿宋_GB2312" w:cs="仿宋_GB2312"/>
          <w:color w:val="auto"/>
          <w:sz w:val="28"/>
          <w:szCs w:val="28"/>
          <w:highlight w:val="none"/>
          <w:u w:val="single"/>
        </w:rPr>
        <w:t xml:space="preserve">月 </w:t>
      </w:r>
      <w:r>
        <w:rPr>
          <w:rFonts w:hint="eastAsia" w:ascii="仿宋_GB2312" w:hAnsi="仿宋_GB2312" w:eastAsia="仿宋_GB2312" w:cs="仿宋_GB2312"/>
          <w:color w:val="auto"/>
          <w:sz w:val="28"/>
          <w:szCs w:val="28"/>
          <w:highlight w:val="none"/>
          <w:u w:val="single"/>
          <w:lang w:val="en-US" w:eastAsia="zh-CN"/>
        </w:rPr>
        <w:t xml:space="preserve">22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0 点 00 分</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年</w:t>
      </w:r>
      <w:r>
        <w:rPr>
          <w:rFonts w:hint="eastAsia" w:ascii="仿宋_GB2312" w:hAnsi="仿宋_GB2312" w:eastAsia="仿宋_GB2312" w:cs="仿宋_GB2312"/>
          <w:color w:val="auto"/>
          <w:sz w:val="28"/>
          <w:szCs w:val="28"/>
          <w:highlight w:val="none"/>
          <w:u w:val="single"/>
          <w:lang w:val="en-US" w:eastAsia="zh-CN"/>
        </w:rPr>
        <w:t xml:space="preserve"> 1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27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24 点 00 分（北京时间）</w:t>
      </w:r>
    </w:p>
    <w:p>
      <w:pPr>
        <w:keepLines w:val="0"/>
        <w:pageBreakBefore w:val="0"/>
        <w:widowControl w:val="0"/>
        <w:kinsoku/>
        <w:wordWrap/>
        <w:overflowPunct/>
        <w:topLinePunct w:val="0"/>
        <w:bidi w:val="0"/>
        <w:snapToGrid/>
        <w:spacing w:line="500" w:lineRule="exact"/>
        <w:ind w:firstLine="540"/>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rPr>
        <w:t>登录全国公共资源交易平台（汉中市）（sxggzyjy.hanzhong.gov.cn）〖首页·〉电子交易平台·〉企业端〗后，在〖招标公告/出让公告·〉政府采购〗模块中选择项目点击“我要投标”，参与</w:t>
      </w:r>
      <w:r>
        <w:rPr>
          <w:rFonts w:hint="eastAsia" w:ascii="仿宋_GB2312" w:hAnsi="仿宋_GB2312" w:eastAsia="仿宋_GB2312" w:cs="仿宋_GB2312"/>
          <w:color w:val="auto"/>
          <w:sz w:val="28"/>
          <w:szCs w:val="28"/>
          <w:highlight w:val="none"/>
          <w:lang w:val="en-US" w:eastAsia="zh-CN"/>
        </w:rPr>
        <w:t>采购</w:t>
      </w:r>
      <w:r>
        <w:rPr>
          <w:rFonts w:hint="eastAsia" w:ascii="仿宋_GB2312" w:hAnsi="仿宋_GB2312" w:eastAsia="仿宋_GB2312" w:cs="仿宋_GB2312"/>
          <w:color w:val="auto"/>
          <w:sz w:val="28"/>
          <w:szCs w:val="28"/>
          <w:highlight w:val="none"/>
        </w:rPr>
        <w:t>活动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然后即可在〖我的项目〗中点击“项目流程&gt;交易文件下载”下载电子招标文件（*.SXSZF）。</w:t>
      </w:r>
      <w:r>
        <w:rPr>
          <w:rFonts w:hint="eastAsia" w:ascii="仿宋_GB2312" w:hAnsi="仿宋_GB2312" w:eastAsia="仿宋_GB2312" w:cs="仿宋_GB2312"/>
          <w:color w:val="auto"/>
          <w:sz w:val="28"/>
          <w:szCs w:val="28"/>
          <w:highlight w:val="none"/>
          <w:lang w:val="en-US" w:eastAsia="zh-CN"/>
        </w:rPr>
        <w:t>操作流程详见</w:t>
      </w:r>
      <w:r>
        <w:rPr>
          <w:rFonts w:hint="eastAsia" w:ascii="仿宋_GB2312" w:hAnsi="仿宋_GB2312" w:eastAsia="仿宋_GB2312" w:cs="仿宋_GB2312"/>
          <w:color w:val="auto"/>
          <w:sz w:val="28"/>
          <w:szCs w:val="28"/>
          <w:highlight w:val="none"/>
          <w:lang w:eastAsia="zh-CN"/>
        </w:rPr>
        <w:t>全国公共资源交易平台（汉中市）网站〖首页·〉服务指南·〉下载专区〗中的《政府采购供应商操作手册》。</w:t>
      </w:r>
    </w:p>
    <w:p>
      <w:pPr>
        <w:keepLines w:val="0"/>
        <w:pageBreakBefore w:val="0"/>
        <w:widowControl w:val="0"/>
        <w:kinsoku/>
        <w:wordWrap/>
        <w:overflowPunct/>
        <w:topLinePunct w:val="0"/>
        <w:bidi w:val="0"/>
        <w:snapToGrid/>
        <w:spacing w:line="500" w:lineRule="exact"/>
        <w:ind w:firstLine="54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方式：</w:t>
      </w:r>
      <w:r>
        <w:rPr>
          <w:rFonts w:hint="eastAsia" w:ascii="仿宋_GB2312" w:hAnsi="仿宋_GB2312" w:eastAsia="仿宋_GB2312" w:cs="仿宋_GB2312"/>
          <w:color w:val="auto"/>
          <w:sz w:val="28"/>
          <w:szCs w:val="28"/>
          <w:highlight w:val="none"/>
          <w:lang w:val="en-US" w:eastAsia="zh-CN"/>
        </w:rPr>
        <w:t>线上获取</w:t>
      </w:r>
    </w:p>
    <w:p>
      <w:pPr>
        <w:keepLines w:val="0"/>
        <w:pageBreakBefore w:val="0"/>
        <w:widowControl w:val="0"/>
        <w:kinsoku/>
        <w:wordWrap/>
        <w:overflowPunct/>
        <w:topLinePunct w:val="0"/>
        <w:bidi w:val="0"/>
        <w:snapToGrid/>
        <w:spacing w:line="500" w:lineRule="exact"/>
        <w:ind w:firstLine="54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售价：</w:t>
      </w:r>
      <w:r>
        <w:rPr>
          <w:rFonts w:hint="eastAsia" w:ascii="仿宋_GB2312" w:hAnsi="仿宋_GB2312" w:eastAsia="仿宋_GB2312" w:cs="仿宋_GB2312"/>
          <w:color w:val="auto"/>
          <w:sz w:val="28"/>
          <w:szCs w:val="28"/>
          <w:highlight w:val="none"/>
          <w:lang w:val="en-US" w:eastAsia="zh-CN"/>
        </w:rPr>
        <w:t>0.00元</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2" w:name="_Toc35393801"/>
      <w:bookmarkStart w:id="23" w:name="_Toc28359015"/>
      <w:bookmarkStart w:id="24" w:name="_Toc859"/>
      <w:bookmarkStart w:id="25" w:name="_Toc35393632"/>
      <w:bookmarkStart w:id="26" w:name="_Toc28359092"/>
      <w:r>
        <w:rPr>
          <w:rFonts w:hint="eastAsia" w:ascii="仿宋_GB2312" w:hAnsi="仿宋_GB2312" w:eastAsia="仿宋_GB2312" w:cs="仿宋_GB2312"/>
          <w:b/>
          <w:bCs/>
          <w:color w:val="auto"/>
          <w:kern w:val="2"/>
          <w:sz w:val="28"/>
          <w:szCs w:val="28"/>
          <w:highlight w:val="none"/>
          <w:lang w:val="en-US" w:eastAsia="zh-CN" w:bidi="ar-SA"/>
        </w:rPr>
        <w:t>四、响应文件提交</w:t>
      </w:r>
      <w:bookmarkEnd w:id="22"/>
      <w:bookmarkEnd w:id="23"/>
      <w:bookmarkEnd w:id="24"/>
      <w:bookmarkEnd w:id="25"/>
      <w:bookmarkEnd w:id="26"/>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截止时间：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年</w:t>
      </w:r>
      <w:r>
        <w:rPr>
          <w:rFonts w:hint="eastAsia" w:ascii="仿宋_GB2312" w:hAnsi="仿宋_GB2312" w:eastAsia="仿宋_GB2312" w:cs="仿宋_GB2312"/>
          <w:bCs/>
          <w:color w:val="auto"/>
          <w:sz w:val="28"/>
          <w:szCs w:val="28"/>
          <w:highlight w:val="none"/>
          <w:u w:val="single"/>
          <w:lang w:val="en-US" w:eastAsia="zh-CN"/>
        </w:rPr>
        <w:t xml:space="preserve"> 2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14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地点：电子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文件（*.SXSTF）可于提交</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文件截止时间前任意时段登录全国公共资源交易平台（</w:t>
      </w:r>
      <w:r>
        <w:rPr>
          <w:rFonts w:hint="eastAsia" w:ascii="仿宋_GB2312" w:hAnsi="仿宋_GB2312" w:eastAsia="仿宋_GB2312" w:cs="仿宋_GB2312"/>
          <w:color w:val="auto"/>
          <w:sz w:val="28"/>
          <w:szCs w:val="28"/>
          <w:highlight w:val="none"/>
          <w:lang w:val="en-US" w:eastAsia="zh-CN"/>
        </w:rPr>
        <w:t>汉中市</w:t>
      </w:r>
      <w:r>
        <w:rPr>
          <w:rFonts w:hint="eastAsia" w:ascii="仿宋_GB2312" w:hAnsi="仿宋_GB2312" w:eastAsia="仿宋_GB2312" w:cs="仿宋_GB2312"/>
          <w:color w:val="auto"/>
          <w:sz w:val="28"/>
          <w:szCs w:val="28"/>
          <w:highlight w:val="none"/>
        </w:rPr>
        <w:t>）网站进行提交</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逾期系统将拒绝接收。</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7" w:name="_Toc28359093"/>
      <w:bookmarkStart w:id="28" w:name="_Toc35393802"/>
      <w:bookmarkStart w:id="29" w:name="_Toc35393633"/>
      <w:bookmarkStart w:id="30" w:name="_Toc32165"/>
      <w:bookmarkStart w:id="31" w:name="_Toc28359016"/>
      <w:r>
        <w:rPr>
          <w:rFonts w:hint="eastAsia" w:ascii="仿宋_GB2312" w:hAnsi="仿宋_GB2312" w:eastAsia="仿宋_GB2312" w:cs="仿宋_GB2312"/>
          <w:b/>
          <w:bCs/>
          <w:color w:val="auto"/>
          <w:kern w:val="2"/>
          <w:sz w:val="28"/>
          <w:szCs w:val="28"/>
          <w:highlight w:val="none"/>
          <w:lang w:val="en-US" w:eastAsia="zh-CN" w:bidi="ar-SA"/>
        </w:rPr>
        <w:t>五、开启</w:t>
      </w:r>
      <w:bookmarkEnd w:id="27"/>
      <w:bookmarkEnd w:id="28"/>
      <w:bookmarkEnd w:id="29"/>
      <w:bookmarkEnd w:id="30"/>
      <w:bookmarkEnd w:id="31"/>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2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14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b/>
          <w:bCs/>
          <w:color w:val="auto"/>
          <w:sz w:val="28"/>
          <w:szCs w:val="28"/>
          <w:highlight w:val="none"/>
        </w:rPr>
        <w:t>采用</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不见面开标方式</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前，</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人登录全国公共资源交易平台（陕西省·汉中市）网站〖首页〉不见面开标〗系统，在线参加</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过程。</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时，按照工作人员要求进行远程解密，如因</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人自身原因造成无法解密</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文件，按无效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对待。</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2" w:name="_Toc28359094"/>
      <w:bookmarkStart w:id="33" w:name="_Toc35393803"/>
      <w:bookmarkStart w:id="34" w:name="_Toc28359017"/>
      <w:bookmarkStart w:id="35" w:name="_Toc35393634"/>
      <w:bookmarkStart w:id="36" w:name="_Toc4869"/>
      <w:r>
        <w:rPr>
          <w:rFonts w:hint="eastAsia" w:ascii="仿宋_GB2312" w:hAnsi="仿宋_GB2312" w:eastAsia="仿宋_GB2312" w:cs="仿宋_GB2312"/>
          <w:b/>
          <w:bCs/>
          <w:color w:val="auto"/>
          <w:kern w:val="2"/>
          <w:sz w:val="28"/>
          <w:szCs w:val="28"/>
          <w:lang w:val="en-US" w:eastAsia="zh-CN" w:bidi="ar-SA"/>
        </w:rPr>
        <w:t>六、公告期限</w:t>
      </w:r>
      <w:bookmarkEnd w:id="32"/>
      <w:bookmarkEnd w:id="33"/>
      <w:bookmarkEnd w:id="34"/>
      <w:bookmarkEnd w:id="35"/>
      <w:bookmarkEnd w:id="36"/>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自本公告发布之日起3个工作日。</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7" w:name="_Toc24605"/>
      <w:bookmarkStart w:id="38" w:name="_Toc35393804"/>
      <w:bookmarkStart w:id="39" w:name="_Toc35393635"/>
      <w:r>
        <w:rPr>
          <w:rFonts w:hint="eastAsia" w:ascii="仿宋_GB2312" w:hAnsi="仿宋_GB2312" w:eastAsia="仿宋_GB2312" w:cs="仿宋_GB2312"/>
          <w:b/>
          <w:bCs/>
          <w:color w:val="auto"/>
          <w:kern w:val="2"/>
          <w:sz w:val="28"/>
          <w:szCs w:val="28"/>
          <w:lang w:val="en-US" w:eastAsia="zh-CN" w:bidi="ar-SA"/>
        </w:rPr>
        <w:t>七、其他补充事宜</w:t>
      </w:r>
      <w:bookmarkEnd w:id="37"/>
      <w:bookmarkEnd w:id="38"/>
      <w:bookmarkEnd w:id="39"/>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１、响应人初次使用交易平台，须先完成诚信入库登记、数字认证证书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b/>
          <w:bCs/>
          <w:color w:val="auto"/>
          <w:kern w:val="0"/>
          <w:sz w:val="28"/>
          <w:szCs w:val="28"/>
          <w:lang w:val="en-US" w:eastAsia="zh-CN"/>
        </w:rPr>
        <w:t>本项目采用“电子化采购”及“不见面开标”方式，</w:t>
      </w:r>
      <w:r>
        <w:rPr>
          <w:rFonts w:hint="eastAsia" w:ascii="仿宋_GB2312" w:hAnsi="仿宋_GB2312" w:eastAsia="仿宋_GB2312" w:cs="仿宋_GB2312"/>
          <w:color w:val="auto"/>
          <w:kern w:val="0"/>
          <w:sz w:val="28"/>
          <w:szCs w:val="28"/>
          <w:lang w:val="en-US" w:eastAsia="zh-CN"/>
        </w:rPr>
        <w:t>响应人须使用数字认证证书（CA锁）对电子响应文件进行签章、加密、递交及开启时解密等相关事宜。（操作手册详见〖首页〉服务指南〉下载专区〗中的《汉中公共资源交易不见面开标大厅投标单位操作手册》）</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3、请响应人务必及时下载采购文件并做好备份，否则会影响响应文件编制及后续采购活动。 </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按照2018年12月26日发布的“陕西省财政厅关于政府采购供应商注册登记有关事项的通知”要求，我省政府采购供应商注册登记工作自本通知印发之日起恢复办理。符合《中华人民共和国政府采购法》第二十二条规定的合格供应商通过陕西省政府采购网（http://www.ccgp-shaanxi.gov.cn/）注册登记加入陕西省政府采购供应商库。详细内容请查阅“陕西省政府采购网”。供应商注册登记咨询电话：029-96702-7  87611761。</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40" w:name="_Toc28359018"/>
      <w:bookmarkStart w:id="41" w:name="_Toc28359095"/>
      <w:bookmarkStart w:id="42" w:name="_Toc35393805"/>
      <w:bookmarkStart w:id="43" w:name="_Toc35393636"/>
      <w:bookmarkStart w:id="44" w:name="_Toc17247"/>
      <w:r>
        <w:rPr>
          <w:rFonts w:hint="eastAsia" w:ascii="仿宋_GB2312" w:hAnsi="仿宋_GB2312" w:eastAsia="仿宋_GB2312" w:cs="仿宋_GB2312"/>
          <w:b/>
          <w:bCs/>
          <w:color w:val="auto"/>
          <w:kern w:val="2"/>
          <w:sz w:val="28"/>
          <w:szCs w:val="28"/>
          <w:lang w:val="en-US" w:eastAsia="zh-CN" w:bidi="ar-SA"/>
        </w:rPr>
        <w:t>八、凡对本次采购提出询问，请按以下方式联系。</w:t>
      </w:r>
      <w:bookmarkEnd w:id="40"/>
      <w:bookmarkEnd w:id="41"/>
      <w:bookmarkEnd w:id="42"/>
      <w:bookmarkEnd w:id="43"/>
      <w:bookmarkEnd w:id="44"/>
    </w:p>
    <w:p>
      <w:pPr>
        <w:keepNext/>
        <w:keepLines w:val="0"/>
        <w:pageBreakBefore w:val="0"/>
        <w:widowControl w:val="0"/>
        <w:kinsoku/>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45" w:name="_Toc35393806"/>
      <w:bookmarkStart w:id="46" w:name="_Toc35393637"/>
      <w:bookmarkStart w:id="47" w:name="_Toc28359096"/>
      <w:bookmarkStart w:id="48" w:name="_Toc9063"/>
      <w:bookmarkStart w:id="49" w:name="_Toc28359019"/>
      <w:r>
        <w:rPr>
          <w:rFonts w:hint="eastAsia" w:ascii="仿宋_GB2312" w:hAnsi="仿宋_GB2312" w:eastAsia="仿宋_GB2312" w:cs="仿宋_GB2312"/>
          <w:b w:val="0"/>
          <w:color w:val="auto"/>
          <w:kern w:val="2"/>
          <w:sz w:val="28"/>
          <w:szCs w:val="28"/>
          <w:lang w:val="en-US" w:eastAsia="zh-CN" w:bidi="ar-SA"/>
        </w:rPr>
        <w:t>1.采购人信息</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auto"/>
          <w:sz w:val="28"/>
          <w:szCs w:val="28"/>
        </w:rPr>
      </w:pPr>
      <w:bookmarkStart w:id="50" w:name="_Toc28359020"/>
      <w:bookmarkStart w:id="51" w:name="_Toc28359097"/>
      <w:bookmarkStart w:id="52" w:name="_Toc35393638"/>
      <w:bookmarkStart w:id="53" w:name="_Toc35393807"/>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汉中市中心医院 </w:t>
      </w:r>
      <w:r>
        <w:rPr>
          <w:rFonts w:hint="eastAsia" w:ascii="仿宋_GB2312" w:hAnsi="仿宋_GB2312" w:eastAsia="仿宋_GB2312" w:cs="仿宋_GB2312"/>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highlight w:val="none"/>
          <w:u w:val="single"/>
          <w:lang w:val="en-US" w:eastAsia="zh-CN"/>
        </w:rPr>
        <w:t xml:space="preserve">汉中市汉台区康复路 </w:t>
      </w:r>
      <w:r>
        <w:rPr>
          <w:rFonts w:hint="eastAsia" w:ascii="仿宋_GB2312" w:hAnsi="仿宋_GB2312" w:eastAsia="仿宋_GB2312" w:cs="仿宋_GB2312"/>
          <w:color w:val="auto"/>
          <w:sz w:val="28"/>
          <w:szCs w:val="28"/>
          <w:u w:val="single"/>
        </w:rPr>
        <w:t>　</w:t>
      </w:r>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highlight w:val="none"/>
          <w:u w:val="single"/>
          <w:lang w:val="en-US" w:eastAsia="zh-CN"/>
        </w:rPr>
        <w:t xml:space="preserve">0916-2682065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4" w:name="_Toc27032"/>
      <w:r>
        <w:rPr>
          <w:rFonts w:hint="eastAsia" w:ascii="仿宋_GB2312" w:hAnsi="仿宋_GB2312" w:eastAsia="仿宋_GB2312" w:cs="仿宋_GB2312"/>
          <w:b w:val="0"/>
          <w:color w:val="auto"/>
          <w:kern w:val="2"/>
          <w:sz w:val="28"/>
          <w:szCs w:val="28"/>
          <w:lang w:val="en-US" w:eastAsia="zh-CN" w:bidi="ar-SA"/>
        </w:rPr>
        <w:t>2.采购代理机构信息</w:t>
      </w:r>
      <w:bookmarkEnd w:id="50"/>
      <w:bookmarkEnd w:id="51"/>
      <w:bookmarkEnd w:id="52"/>
      <w:bookmarkEnd w:id="53"/>
      <w:bookmarkEnd w:id="54"/>
    </w:p>
    <w:p>
      <w:pPr>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汉中市政府采购中心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汉中市汉台区南团结街与汉宁路十字金格大厦四楼　</w:t>
      </w:r>
    </w:p>
    <w:p>
      <w:pPr>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5" w:name="_Toc28359021"/>
      <w:bookmarkStart w:id="56" w:name="_Toc35393808"/>
      <w:bookmarkStart w:id="57" w:name="_Toc35393639"/>
      <w:bookmarkStart w:id="58" w:name="_Toc28359098"/>
      <w:bookmarkStart w:id="59" w:name="_Toc6426"/>
      <w:r>
        <w:rPr>
          <w:rFonts w:hint="eastAsia" w:ascii="仿宋_GB2312" w:hAnsi="仿宋_GB2312" w:eastAsia="仿宋_GB2312" w:cs="仿宋_GB2312"/>
          <w:b w:val="0"/>
          <w:color w:val="auto"/>
          <w:kern w:val="2"/>
          <w:sz w:val="28"/>
          <w:szCs w:val="28"/>
          <w:lang w:val="en-US" w:eastAsia="zh-CN" w:bidi="ar-SA"/>
        </w:rPr>
        <w:t>3.项目联系方式</w:t>
      </w:r>
      <w:bookmarkEnd w:id="55"/>
      <w:bookmarkEnd w:id="56"/>
      <w:bookmarkEnd w:id="57"/>
      <w:bookmarkEnd w:id="58"/>
      <w:bookmarkEnd w:id="59"/>
    </w:p>
    <w:p>
      <w:pPr>
        <w:pStyle w:val="10"/>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kern w:val="2"/>
          <w:sz w:val="28"/>
          <w:szCs w:val="28"/>
          <w:u w:val="single"/>
          <w:lang w:val="en-US" w:eastAsia="zh-CN" w:bidi="ar-SA"/>
        </w:rPr>
        <w:t xml:space="preserve">  王月</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电　　 话：</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0916-2109082 </w:t>
      </w:r>
      <w:r>
        <w:rPr>
          <w:rFonts w:hint="eastAsia" w:ascii="仿宋_GB2312" w:hAnsi="仿宋_GB2312" w:eastAsia="仿宋_GB2312" w:cs="仿宋_GB2312"/>
          <w:color w:val="auto"/>
          <w:sz w:val="28"/>
          <w:szCs w:val="28"/>
          <w:u w:val="single"/>
        </w:rPr>
        <w:t>　</w:t>
      </w:r>
    </w:p>
    <w:p>
      <w:pPr>
        <w:pStyle w:val="2"/>
        <w:pageBreakBefore w:val="0"/>
        <w:kinsoku/>
        <w:wordWrap/>
        <w:overflowPunct/>
        <w:topLinePunct w:val="0"/>
        <w:bidi w:val="0"/>
        <w:snapToGrid/>
        <w:spacing w:line="500" w:lineRule="exact"/>
        <w:textAlignment w:val="auto"/>
        <w:rPr>
          <w:rFonts w:ascii="黑体" w:hAnsi="黑体" w:eastAsia="黑体"/>
          <w:color w:val="auto"/>
          <w:sz w:val="32"/>
          <w:szCs w:val="32"/>
        </w:rPr>
      </w:pPr>
      <w:r>
        <w:rPr>
          <w:color w:val="auto"/>
          <w:sz w:val="28"/>
          <w:szCs w:val="28"/>
        </w:rPr>
        <w:br w:type="page"/>
      </w:r>
      <w:bookmarkStart w:id="60" w:name="_Toc495012820"/>
      <w:bookmarkStart w:id="61" w:name="_Toc445306492"/>
      <w:bookmarkStart w:id="62" w:name="_Toc495014648"/>
      <w:bookmarkStart w:id="63" w:name="_Toc495014584"/>
      <w:bookmarkStart w:id="64" w:name="_Toc10140"/>
      <w:bookmarkStart w:id="65" w:name="_Toc19337_WPSOffice_Level1"/>
      <w:bookmarkStart w:id="66" w:name="_Toc4326"/>
      <w:bookmarkStart w:id="67" w:name="_Toc22804_WPSOffice_Level1"/>
      <w:bookmarkStart w:id="68" w:name="_Toc495014919"/>
      <w:bookmarkStart w:id="69" w:name="_Toc7814"/>
      <w:bookmarkStart w:id="70" w:name="_Toc9601"/>
      <w:bookmarkStart w:id="71" w:name="_Toc495012770"/>
      <w:bookmarkStart w:id="72" w:name="_Toc495014610"/>
      <w:bookmarkStart w:id="73" w:name="_Toc15046_WPSOffice_Level1"/>
      <w:bookmarkStart w:id="74" w:name="_Toc495014953"/>
      <w:r>
        <w:rPr>
          <w:rFonts w:ascii="黑体" w:hAnsi="黑体" w:eastAsia="黑体"/>
          <w:b w:val="0"/>
          <w:bCs/>
          <w:color w:val="auto"/>
          <w:sz w:val="32"/>
          <w:szCs w:val="32"/>
        </w:rPr>
        <w:t xml:space="preserve">第二章  </w:t>
      </w:r>
      <w:r>
        <w:rPr>
          <w:rFonts w:hint="eastAsia" w:ascii="黑体" w:hAnsi="黑体" w:eastAsia="黑体"/>
          <w:b w:val="0"/>
          <w:bCs/>
          <w:color w:val="auto"/>
          <w:sz w:val="32"/>
          <w:szCs w:val="32"/>
        </w:rPr>
        <w:t>供应商</w:t>
      </w:r>
      <w:r>
        <w:rPr>
          <w:rFonts w:ascii="黑体" w:hAnsi="黑体" w:eastAsia="黑体"/>
          <w:b w:val="0"/>
          <w:bCs/>
          <w:color w:val="auto"/>
          <w:sz w:val="32"/>
          <w:szCs w:val="32"/>
        </w:rPr>
        <w:t>须知</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3"/>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75" w:name="_Toc24451_WPSOffice_Level2"/>
      <w:bookmarkStart w:id="76" w:name="_Toc12337"/>
      <w:bookmarkStart w:id="77" w:name="_Toc3062"/>
      <w:bookmarkStart w:id="78" w:name="_Toc18466_WPSOffice_Level2"/>
      <w:bookmarkStart w:id="79" w:name="_Toc3858_WPSOffice_Level2"/>
      <w:bookmarkStart w:id="80" w:name="_Toc23184"/>
      <w:bookmarkStart w:id="81" w:name="_Toc16238"/>
      <w:r>
        <w:rPr>
          <w:rFonts w:hint="eastAsia" w:ascii="仿宋_GB2312" w:hAnsi="仿宋_GB2312" w:eastAsia="仿宋_GB2312" w:cs="仿宋_GB2312"/>
          <w:color w:val="auto"/>
          <w:sz w:val="28"/>
          <w:szCs w:val="28"/>
        </w:rPr>
        <w:t>一、定义</w:t>
      </w:r>
      <w:bookmarkEnd w:id="75"/>
      <w:bookmarkEnd w:id="76"/>
      <w:bookmarkEnd w:id="77"/>
      <w:bookmarkEnd w:id="78"/>
      <w:bookmarkEnd w:id="79"/>
      <w:bookmarkEnd w:id="80"/>
      <w:bookmarkEnd w:id="81"/>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82" w:name="_Toc11840_WPSOffice_Level3"/>
      <w:r>
        <w:rPr>
          <w:rFonts w:hint="eastAsia" w:ascii="仿宋_GB2312" w:hAnsi="仿宋_GB2312" w:eastAsia="仿宋_GB2312" w:cs="仿宋_GB2312"/>
          <w:color w:val="auto"/>
          <w:sz w:val="28"/>
          <w:szCs w:val="28"/>
        </w:rPr>
        <w:t>（一）采 购 人</w:t>
      </w:r>
      <w:r>
        <w:rPr>
          <w:rFonts w:hint="eastAsia" w:ascii="仿宋_GB2312" w:hAnsi="仿宋_GB2312" w:eastAsia="仿宋_GB2312" w:cs="仿宋_GB2312"/>
          <w:color w:val="auto"/>
          <w:sz w:val="28"/>
          <w:szCs w:val="28"/>
          <w:lang w:val="en-US" w:eastAsia="zh-CN"/>
        </w:rPr>
        <w:t>：</w:t>
      </w:r>
      <w:bookmarkEnd w:id="82"/>
      <w:bookmarkStart w:id="83" w:name="_Toc9917_WPSOffice_Level3"/>
      <w:r>
        <w:rPr>
          <w:rFonts w:hint="eastAsia" w:ascii="仿宋_GB2312" w:hAnsi="仿宋_GB2312" w:eastAsia="仿宋_GB2312" w:cs="仿宋_GB2312"/>
          <w:color w:val="auto"/>
          <w:sz w:val="28"/>
          <w:szCs w:val="28"/>
          <w:lang w:val="en-US" w:eastAsia="zh-CN"/>
        </w:rPr>
        <w:t xml:space="preserve">汉中市中心医院 </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（二）监督机构：</w:t>
      </w:r>
      <w:bookmarkEnd w:id="83"/>
      <w:r>
        <w:rPr>
          <w:rFonts w:hint="eastAsia" w:ascii="仿宋_GB2312" w:hAnsi="仿宋_GB2312" w:eastAsia="仿宋_GB2312" w:cs="仿宋_GB2312"/>
          <w:color w:val="auto"/>
          <w:sz w:val="28"/>
          <w:szCs w:val="28"/>
          <w:lang w:val="en-US" w:eastAsia="zh-CN"/>
        </w:rPr>
        <w:t>汉中市财政局</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84" w:name="_Toc8219_WPSOffice_Level3"/>
      <w:r>
        <w:rPr>
          <w:rFonts w:hint="eastAsia" w:ascii="仿宋_GB2312" w:hAnsi="仿宋_GB2312" w:eastAsia="仿宋_GB2312" w:cs="仿宋_GB2312"/>
          <w:color w:val="auto"/>
          <w:sz w:val="28"/>
          <w:szCs w:val="28"/>
        </w:rPr>
        <w:t>（三）集中采购机构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采购代理机构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bookmarkEnd w:id="84"/>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85" w:name="_Toc20141_WPSOffice_Level3"/>
      <w:r>
        <w:rPr>
          <w:rFonts w:hint="eastAsia" w:ascii="仿宋_GB2312" w:hAnsi="仿宋_GB2312" w:eastAsia="仿宋_GB2312" w:cs="仿宋_GB2312"/>
          <w:color w:val="auto"/>
          <w:sz w:val="28"/>
          <w:szCs w:val="28"/>
        </w:rPr>
        <w:t>（四）供应商：拟向采购人提供货物、工程或者服务的法人、其他组织或者自然人</w:t>
      </w:r>
      <w:bookmarkEnd w:id="85"/>
    </w:p>
    <w:p>
      <w:pPr>
        <w:pStyle w:val="3"/>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86" w:name="_Toc9291"/>
      <w:bookmarkStart w:id="87" w:name="_Toc4606"/>
      <w:bookmarkStart w:id="88" w:name="_Toc27278_WPSOffice_Level2"/>
      <w:bookmarkStart w:id="89" w:name="_Toc11745_WPSOffice_Level2"/>
      <w:bookmarkStart w:id="90" w:name="_Toc20906_WPSOffice_Level2"/>
      <w:bookmarkStart w:id="91" w:name="_Toc13654"/>
      <w:bookmarkStart w:id="92" w:name="_Toc24646"/>
      <w:r>
        <w:rPr>
          <w:rFonts w:hint="eastAsia" w:ascii="仿宋_GB2312" w:hAnsi="仿宋_GB2312" w:eastAsia="仿宋_GB2312" w:cs="仿宋_GB2312"/>
          <w:color w:val="auto"/>
          <w:sz w:val="28"/>
          <w:szCs w:val="28"/>
        </w:rPr>
        <w:t>二、供应商注意事项</w:t>
      </w:r>
      <w:bookmarkEnd w:id="86"/>
      <w:bookmarkEnd w:id="87"/>
      <w:bookmarkEnd w:id="88"/>
      <w:bookmarkEnd w:id="89"/>
      <w:bookmarkEnd w:id="90"/>
      <w:bookmarkEnd w:id="91"/>
      <w:bookmarkEnd w:id="92"/>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93" w:name="_Toc26982_WPSOffice_Level3"/>
      <w:bookmarkStart w:id="94" w:name="_Toc21291"/>
      <w:r>
        <w:rPr>
          <w:rFonts w:hint="eastAsia" w:ascii="仿宋_GB2312" w:hAnsi="仿宋_GB2312" w:eastAsia="仿宋_GB2312" w:cs="仿宋_GB2312"/>
          <w:b/>
          <w:bCs/>
          <w:color w:val="auto"/>
          <w:sz w:val="28"/>
          <w:szCs w:val="28"/>
        </w:rPr>
        <w:t>（一）</w:t>
      </w:r>
      <w:r>
        <w:rPr>
          <w:rFonts w:hint="eastAsia" w:ascii="仿宋_GB2312" w:hAnsi="仿宋_GB2312" w:eastAsia="仿宋_GB2312" w:cs="仿宋_GB2312"/>
          <w:b/>
          <w:color w:val="auto"/>
          <w:sz w:val="28"/>
          <w:szCs w:val="28"/>
        </w:rPr>
        <w:t>现场</w:t>
      </w:r>
      <w:r>
        <w:rPr>
          <w:rFonts w:hint="eastAsia" w:ascii="仿宋_GB2312" w:hAnsi="仿宋_GB2312" w:eastAsia="仿宋_GB2312" w:cs="仿宋_GB2312"/>
          <w:b/>
          <w:color w:val="auto"/>
          <w:sz w:val="28"/>
          <w:szCs w:val="28"/>
          <w:lang w:val="en-US" w:eastAsia="zh-CN"/>
        </w:rPr>
        <w:t>考察</w:t>
      </w:r>
      <w:r>
        <w:rPr>
          <w:rFonts w:hint="eastAsia" w:ascii="仿宋_GB2312" w:hAnsi="仿宋_GB2312" w:eastAsia="仿宋_GB2312" w:cs="仿宋_GB2312"/>
          <w:b/>
          <w:color w:val="auto"/>
          <w:sz w:val="28"/>
          <w:szCs w:val="28"/>
        </w:rPr>
        <w:t>及</w:t>
      </w:r>
      <w:r>
        <w:rPr>
          <w:rFonts w:hint="eastAsia" w:ascii="仿宋_GB2312" w:hAnsi="仿宋_GB2312" w:eastAsia="仿宋_GB2312" w:cs="仿宋_GB2312"/>
          <w:b/>
          <w:color w:val="auto"/>
          <w:sz w:val="28"/>
          <w:szCs w:val="28"/>
          <w:lang w:val="en-US" w:eastAsia="zh-CN"/>
        </w:rPr>
        <w:t>磋商</w:t>
      </w:r>
      <w:r>
        <w:rPr>
          <w:rFonts w:hint="eastAsia" w:ascii="仿宋_GB2312" w:hAnsi="仿宋_GB2312" w:eastAsia="仿宋_GB2312" w:cs="仿宋_GB2312"/>
          <w:b/>
          <w:color w:val="auto"/>
          <w:sz w:val="28"/>
          <w:szCs w:val="28"/>
        </w:rPr>
        <w:t>前答疑会</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采购项目安排现场考察和</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前答疑的，采购人应尽量在现场予以解答 （口头提问可口头答复），现场不能做出解答的，应在三个工作日内书面答复，并交由</w:t>
      </w:r>
      <w:r>
        <w:rPr>
          <w:rFonts w:hint="eastAsia" w:ascii="仿宋_GB2312" w:hAnsi="仿宋_GB2312" w:eastAsia="仿宋_GB2312" w:cs="仿宋_GB2312"/>
          <w:bCs/>
          <w:color w:val="auto"/>
          <w:sz w:val="28"/>
          <w:szCs w:val="28"/>
          <w:lang w:val="en-US" w:eastAsia="zh-CN"/>
        </w:rPr>
        <w:t>集中采购机构</w:t>
      </w:r>
      <w:r>
        <w:rPr>
          <w:rFonts w:hint="eastAsia" w:ascii="仿宋_GB2312" w:hAnsi="仿宋_GB2312" w:eastAsia="仿宋_GB2312" w:cs="仿宋_GB2312"/>
          <w:bCs/>
          <w:color w:val="auto"/>
          <w:sz w:val="28"/>
          <w:szCs w:val="28"/>
        </w:rPr>
        <w:t>在财政部门指定的媒体上发布。 答复内容可能影响响应文件编制的，应当顺延</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 xml:space="preserve">时间。凡未参加现场考察及磋商前答疑会的供应商，由此造成的偏差由各供应商自行负责。 </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rPr>
        <w:t>本项目</w:t>
      </w:r>
      <w:r>
        <w:rPr>
          <w:rFonts w:hint="eastAsia" w:ascii="仿宋_GB2312" w:hAnsi="仿宋_GB2312" w:eastAsia="仿宋_GB2312" w:cs="仿宋_GB2312"/>
          <w:b/>
          <w:color w:val="auto"/>
          <w:sz w:val="28"/>
          <w:szCs w:val="28"/>
          <w:lang w:val="en-US" w:eastAsia="zh-CN"/>
        </w:rPr>
        <w:t>不</w:t>
      </w:r>
      <w:r>
        <w:rPr>
          <w:rFonts w:hint="eastAsia" w:ascii="仿宋_GB2312" w:hAnsi="仿宋_GB2312" w:eastAsia="仿宋_GB2312" w:cs="仿宋_GB2312"/>
          <w:b/>
          <w:color w:val="auto"/>
          <w:sz w:val="28"/>
          <w:szCs w:val="28"/>
        </w:rPr>
        <w:t>组织集中踏勘</w:t>
      </w:r>
      <w:r>
        <w:rPr>
          <w:rFonts w:hint="eastAsia" w:ascii="仿宋_GB2312" w:hAnsi="仿宋_GB2312" w:eastAsia="仿宋_GB2312" w:cs="仿宋_GB2312"/>
          <w:b/>
          <w:color w:val="auto"/>
          <w:sz w:val="28"/>
          <w:szCs w:val="28"/>
          <w:lang w:val="en-US" w:eastAsia="zh-CN"/>
        </w:rPr>
        <w:t>和磋商前答疑会</w:t>
      </w:r>
      <w:r>
        <w:rPr>
          <w:rFonts w:hint="eastAsia" w:ascii="仿宋_GB2312" w:hAnsi="仿宋_GB2312" w:eastAsia="仿宋_GB2312" w:cs="仿宋_GB2312"/>
          <w:b/>
          <w:color w:val="auto"/>
          <w:sz w:val="28"/>
          <w:szCs w:val="28"/>
        </w:rPr>
        <w:t>。</w:t>
      </w:r>
      <w:bookmarkEnd w:id="93"/>
      <w:bookmarkEnd w:id="94"/>
      <w:bookmarkStart w:id="95" w:name="_Toc669_WPSOffice_Level3"/>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（二）</w:t>
      </w:r>
      <w:bookmarkEnd w:id="95"/>
      <w:bookmarkStart w:id="96" w:name="_Toc9412_WPSOffice_Level3"/>
      <w:r>
        <w:rPr>
          <w:rFonts w:hint="eastAsia" w:ascii="仿宋_GB2312" w:hAnsi="仿宋_GB2312" w:eastAsia="仿宋_GB2312" w:cs="仿宋_GB2312"/>
          <w:b/>
          <w:bCs/>
          <w:color w:val="auto"/>
          <w:sz w:val="28"/>
          <w:szCs w:val="28"/>
        </w:rPr>
        <w:t>询问</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针对采购文件，向采购人</w:t>
      </w:r>
      <w:r>
        <w:rPr>
          <w:rFonts w:hint="eastAsia" w:ascii="仿宋_GB2312" w:hAnsi="仿宋_GB2312" w:eastAsia="仿宋_GB2312" w:cs="仿宋_GB2312"/>
          <w:color w:val="auto"/>
          <w:sz w:val="28"/>
          <w:szCs w:val="28"/>
        </w:rPr>
        <w:t>提出书面询问的，采购人应在三个工作日内书面答复；供应商向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en-US" w:eastAsia="zh-CN"/>
        </w:rPr>
        <w:t>在委托授权范围内作出答复，超出范围</w:t>
      </w:r>
      <w:r>
        <w:rPr>
          <w:rFonts w:hint="eastAsia" w:ascii="仿宋_GB2312" w:hAnsi="仿宋_GB2312" w:eastAsia="仿宋_GB2312" w:cs="仿宋_GB2312"/>
          <w:color w:val="auto"/>
          <w:sz w:val="28"/>
          <w:szCs w:val="28"/>
        </w:rPr>
        <w:t>应告知采购人</w:t>
      </w:r>
      <w:r>
        <w:rPr>
          <w:rFonts w:hint="eastAsia" w:ascii="仿宋_GB2312" w:hAnsi="仿宋_GB2312" w:eastAsia="仿宋_GB2312" w:cs="仿宋_GB2312"/>
          <w:color w:val="auto"/>
          <w:sz w:val="28"/>
          <w:szCs w:val="28"/>
          <w:lang w:val="en-US" w:eastAsia="zh-CN"/>
        </w:rPr>
        <w:t>作</w:t>
      </w:r>
      <w:r>
        <w:rPr>
          <w:rFonts w:hint="eastAsia" w:ascii="仿宋_GB2312" w:hAnsi="仿宋_GB2312" w:eastAsia="仿宋_GB2312" w:cs="仿宋_GB2312"/>
          <w:color w:val="auto"/>
          <w:sz w:val="28"/>
          <w:szCs w:val="28"/>
        </w:rPr>
        <w:t xml:space="preserve">出答复。 </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w:t>
      </w:r>
      <w:r>
        <w:rPr>
          <w:rFonts w:hint="eastAsia" w:ascii="仿宋_GB2312" w:hAnsi="仿宋_GB2312" w:eastAsia="仿宋_GB2312" w:cs="仿宋_GB2312"/>
          <w:color w:val="auto"/>
          <w:sz w:val="28"/>
          <w:szCs w:val="28"/>
        </w:rPr>
        <w:t>对采购过程、中标（成交）结果，向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应在三个工作日内书面答复</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（三）质疑和投诉</w:t>
      </w:r>
      <w:bookmarkEnd w:id="96"/>
    </w:p>
    <w:p>
      <w:pPr>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供应商如果认为采购过程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val="en-US" w:eastAsia="zh-CN"/>
        </w:rPr>
        <w:t>或者成交</w:t>
      </w:r>
      <w:r>
        <w:rPr>
          <w:rFonts w:hint="eastAsia" w:ascii="仿宋_GB2312" w:hAnsi="仿宋_GB2312" w:eastAsia="仿宋_GB2312" w:cs="仿宋_GB2312"/>
          <w:color w:val="auto"/>
          <w:sz w:val="28"/>
          <w:szCs w:val="28"/>
        </w:rPr>
        <w:t>结果使自身的合法权益受到损害，可以在知道或者应知其权益受到损害之日起7个工作日内，以书面形式向采购人、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提出质疑。</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供应商在法定质疑期内针对同一采购程序环节的质疑</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一次性提出</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提出质疑应当提交质疑函和必要的证明材料，并按财政部《质疑函范本》给定的格式进行填写，范本下载详见【财政部国库司（gks.mof.gov.cn）】网站〖首页•〉政府采购管理〗栏目中的《政府采购供应商质疑函范本》。</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《政府采购供应商质疑函范本》链接地址</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http://gks.mof.gov.cn/ztztz/zhengfucaigouguanli/201802/t20180201_2804589.htm</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接收质疑函方式：现场递交或邮件（快递）寄送；</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联系部门：</w:t>
      </w:r>
      <w:r>
        <w:rPr>
          <w:rFonts w:hint="eastAsia" w:ascii="仿宋_GB2312" w:hAnsi="仿宋_GB2312" w:eastAsia="仿宋_GB2312" w:cs="仿宋_GB2312"/>
          <w:color w:val="auto"/>
          <w:sz w:val="28"/>
          <w:szCs w:val="28"/>
          <w:lang w:val="en-US" w:eastAsia="zh-CN"/>
        </w:rPr>
        <w:t>交易监督科</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联系电话：0916-210908</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通讯地址：汉中市汉台区南团结街与汉宁路十字金格大厦四楼4</w:t>
      </w:r>
      <w:r>
        <w:rPr>
          <w:rFonts w:hint="eastAsia" w:ascii="仿宋_GB2312" w:hAnsi="仿宋_GB2312" w:eastAsia="仿宋_GB2312" w:cs="仿宋_GB2312"/>
          <w:color w:val="auto"/>
          <w:sz w:val="28"/>
          <w:szCs w:val="28"/>
          <w:lang w:val="en-US" w:eastAsia="zh-CN"/>
        </w:rPr>
        <w:t>16</w:t>
      </w:r>
      <w:r>
        <w:rPr>
          <w:rFonts w:hint="eastAsia" w:ascii="仿宋_GB2312" w:hAnsi="仿宋_GB2312" w:eastAsia="仿宋_GB2312" w:cs="仿宋_GB2312"/>
          <w:color w:val="auto"/>
          <w:sz w:val="28"/>
          <w:szCs w:val="28"/>
        </w:rPr>
        <w:t>室。</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、采购代理机构或采购人将在收到书面质疑后7个工作日内做出答复，并以书面形式通知质疑人和其他有关供应商。</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、质疑</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或采购人的答复不满意，以及</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或采购人未在规定时间内</w:t>
      </w:r>
      <w:r>
        <w:rPr>
          <w:rFonts w:hint="eastAsia" w:ascii="仿宋_GB2312" w:hAnsi="仿宋_GB2312" w:eastAsia="仿宋_GB2312" w:cs="仿宋_GB2312"/>
          <w:color w:val="auto"/>
          <w:sz w:val="28"/>
          <w:szCs w:val="28"/>
          <w:lang w:val="en-US" w:eastAsia="zh-CN"/>
        </w:rPr>
        <w:t>作出</w:t>
      </w:r>
      <w:r>
        <w:rPr>
          <w:rFonts w:hint="eastAsia" w:ascii="仿宋_GB2312" w:hAnsi="仿宋_GB2312" w:eastAsia="仿宋_GB2312" w:cs="仿宋_GB2312"/>
          <w:color w:val="auto"/>
          <w:sz w:val="28"/>
          <w:szCs w:val="28"/>
        </w:rPr>
        <w:t>答复的，可以在答复期满后15个工作日内向政府采购监管机构提出投诉。</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97" w:name="_Toc14110_WPSOffice_Level3"/>
      <w:r>
        <w:rPr>
          <w:rFonts w:hint="eastAsia" w:ascii="仿宋_GB2312" w:hAnsi="仿宋_GB2312" w:eastAsia="仿宋_GB2312" w:cs="仿宋_GB2312"/>
          <w:b/>
          <w:color w:val="auto"/>
          <w:sz w:val="28"/>
          <w:szCs w:val="28"/>
        </w:rPr>
        <w:t>（四）对参加政府采购活动的中小企业的扶持政策[依据《政府采购促进中小企业发展管理办法》（财库〔2020〕46号）相关规定]</w:t>
      </w:r>
    </w:p>
    <w:bookmarkEnd w:id="97"/>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本项目专门面向</w:t>
      </w:r>
      <w:r>
        <w:rPr>
          <w:rFonts w:hint="eastAsia" w:ascii="仿宋_GB2312" w:hAnsi="仿宋_GB2312" w:eastAsia="仿宋_GB2312" w:cs="仿宋_GB2312"/>
          <w:b/>
          <w:bCs/>
          <w:color w:val="auto"/>
          <w:sz w:val="28"/>
          <w:szCs w:val="28"/>
          <w:lang w:val="en-US" w:eastAsia="zh-CN"/>
        </w:rPr>
        <w:t>中小</w:t>
      </w:r>
      <w:r>
        <w:rPr>
          <w:rFonts w:hint="eastAsia" w:ascii="仿宋_GB2312" w:hAnsi="仿宋_GB2312" w:eastAsia="仿宋_GB2312" w:cs="仿宋_GB2312"/>
          <w:b/>
          <w:bCs/>
          <w:color w:val="auto"/>
          <w:sz w:val="28"/>
          <w:szCs w:val="28"/>
        </w:rPr>
        <w:t>企业采购，不再执行价格评审优惠扶持政策；本项目采购标的对应的中小企业划分标准所属行业为：</w:t>
      </w:r>
      <w:r>
        <w:rPr>
          <w:rFonts w:hint="eastAsia" w:ascii="仿宋_GB2312" w:hAnsi="仿宋_GB2312" w:eastAsia="仿宋_GB2312" w:cs="仿宋_GB2312"/>
          <w:b/>
          <w:bCs/>
          <w:color w:val="auto"/>
          <w:sz w:val="28"/>
          <w:szCs w:val="28"/>
          <w:lang w:val="en-US" w:eastAsia="zh-CN"/>
        </w:rPr>
        <w:t>物业管理</w:t>
      </w:r>
      <w:r>
        <w:rPr>
          <w:rFonts w:hint="eastAsia" w:ascii="仿宋_GB2312" w:hAnsi="仿宋_GB2312" w:eastAsia="仿宋_GB2312" w:cs="仿宋_GB2312"/>
          <w:b/>
          <w:bCs/>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供应商提供的货物、工程或者服务符合下列情形的，享受相关中小企业扶持政策：</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（1）在货物采购项目中，货物由中小企业制造，即货物由中小企业生产且使用该中小企业商号或者注册商标；</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（2）在工程采购项目中，工程由中小企业承建，即工程施工单位为中小企业；</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（3）在服务采购项目中，服务由中小企业承接，即提供服务的人员为中小企业依照《中华人民共和国劳动合同法》订立劳动合同的从业人员。</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在货物采购项目中，供应商提供的货物既有中小企业制造货物，也有大型企业制造货物的，不享受相关中小企业扶持政策。</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以联合体形式参加政府采购活动，联合体各方均为中小企业的，联合体视同中小企业。其中，联合体各方均为小微企业的，联合体视同小微企业。</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对符合上述情形的小微企业报价给予 </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价格扣除比例或者价格分加分比例对小型企业和微型企业同等对待，不作区分。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中小企业参加政府采购活动，应当出具《中小企业声明函》（见附件），否则不得享受相关中小企业扶持政策。</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中小企业中标（成交）的采购项目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合同</w:t>
      </w:r>
      <w:r>
        <w:rPr>
          <w:rFonts w:hint="eastAsia" w:ascii="仿宋_GB2312" w:hAnsi="仿宋_GB2312" w:eastAsia="仿宋_GB2312" w:cs="仿宋_GB2312"/>
          <w:color w:val="auto"/>
          <w:sz w:val="28"/>
          <w:szCs w:val="28"/>
          <w:lang w:val="en-US" w:eastAsia="zh-CN"/>
        </w:rPr>
        <w:t>预</w:t>
      </w:r>
      <w:r>
        <w:rPr>
          <w:rFonts w:hint="eastAsia" w:ascii="仿宋_GB2312" w:hAnsi="仿宋_GB2312" w:eastAsia="仿宋_GB2312" w:cs="仿宋_GB2312"/>
          <w:color w:val="auto"/>
          <w:sz w:val="28"/>
          <w:szCs w:val="28"/>
        </w:rPr>
        <w:t>付款比例不</w:t>
      </w:r>
      <w:r>
        <w:rPr>
          <w:rFonts w:hint="eastAsia" w:ascii="仿宋_GB2312" w:hAnsi="仿宋_GB2312" w:eastAsia="仿宋_GB2312" w:cs="仿宋_GB2312"/>
          <w:color w:val="auto"/>
          <w:sz w:val="28"/>
          <w:szCs w:val="28"/>
          <w:lang w:val="en-US" w:eastAsia="zh-CN"/>
        </w:rPr>
        <w:t>得</w:t>
      </w:r>
      <w:r>
        <w:rPr>
          <w:rFonts w:hint="eastAsia" w:ascii="仿宋_GB2312" w:hAnsi="仿宋_GB2312" w:eastAsia="仿宋_GB2312" w:cs="仿宋_GB2312"/>
          <w:color w:val="auto"/>
          <w:sz w:val="28"/>
          <w:szCs w:val="28"/>
        </w:rPr>
        <w:t>低于</w:t>
      </w:r>
      <w:r>
        <w:rPr>
          <w:rFonts w:hint="eastAsia" w:ascii="仿宋_GB2312" w:hAnsi="仿宋_GB2312" w:eastAsia="仿宋_GB2312" w:cs="仿宋_GB2312"/>
          <w:color w:val="auto"/>
          <w:sz w:val="28"/>
          <w:szCs w:val="28"/>
          <w:lang w:val="en-US" w:eastAsia="zh-CN"/>
        </w:rPr>
        <w:t>合同价款的4</w:t>
      </w:r>
      <w:r>
        <w:rPr>
          <w:rFonts w:hint="eastAsia" w:ascii="仿宋_GB2312" w:hAnsi="仿宋_GB2312" w:eastAsia="仿宋_GB2312" w:cs="仿宋_GB2312"/>
          <w:color w:val="auto"/>
          <w:sz w:val="28"/>
          <w:szCs w:val="28"/>
        </w:rPr>
        <w:t>0%。</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中小企业投标（包括磋商、谈判、询价）保证金（需要交纳保证金时）减半，履约保证金全免。</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监狱企业、残疾人福利性单位等视同小型、微型企业情况按照《财政部司法部关于政府采购支持监狱企业发展有关问题的通知》（财库〔2014〕68 号）及《关于促进残疾人就业政府采购政策的通知》（财库〔2017〕141 号）等相关内容执行。</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未尽事宜以《政府采购促进中小企业发展管理办法》（财库〔2020〕46号）为准。</w:t>
      </w:r>
      <w:bookmarkStart w:id="98" w:name="_Toc11745_WPSOffice_Level3"/>
    </w:p>
    <w:bookmarkEnd w:id="98"/>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99" w:name="_Toc10768_WPSOffice_Level2"/>
      <w:bookmarkStart w:id="100" w:name="_Toc8798_WPSOffice_Level2"/>
      <w:bookmarkStart w:id="101" w:name="_Toc2960"/>
      <w:bookmarkStart w:id="102" w:name="_Toc9976"/>
      <w:bookmarkStart w:id="103" w:name="_Toc30436"/>
      <w:bookmarkStart w:id="104" w:name="_Toc3130"/>
      <w:bookmarkStart w:id="105" w:name="_Toc17868_WPSOffice_Level2"/>
      <w:r>
        <w:rPr>
          <w:rFonts w:hint="eastAsia" w:ascii="仿宋_GB2312" w:hAnsi="仿宋_GB2312" w:eastAsia="仿宋_GB2312" w:cs="仿宋_GB2312"/>
          <w:color w:val="auto"/>
          <w:sz w:val="28"/>
          <w:szCs w:val="28"/>
        </w:rPr>
        <w:t>三、磋商文件</w:t>
      </w:r>
      <w:bookmarkEnd w:id="99"/>
      <w:bookmarkEnd w:id="100"/>
      <w:bookmarkEnd w:id="101"/>
      <w:bookmarkEnd w:id="102"/>
      <w:bookmarkEnd w:id="103"/>
      <w:bookmarkEnd w:id="104"/>
      <w:bookmarkEnd w:id="105"/>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106" w:name="_Toc20873_WPSOffice_Level3"/>
      <w:r>
        <w:rPr>
          <w:rFonts w:hint="eastAsia" w:ascii="仿宋_GB2312" w:hAnsi="仿宋_GB2312" w:eastAsia="仿宋_GB2312" w:cs="仿宋_GB2312"/>
          <w:b/>
          <w:color w:val="auto"/>
          <w:sz w:val="28"/>
          <w:szCs w:val="28"/>
        </w:rPr>
        <w:t>（一）磋商文件包括下列内容</w:t>
      </w:r>
      <w:bookmarkEnd w:id="106"/>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第一章　磋商邀请函</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供应商须知</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rPr>
      </w:pPr>
      <w:bookmarkStart w:id="107" w:name="_Toc20041_WPSOffice_Level3"/>
      <w:r>
        <w:rPr>
          <w:rFonts w:hint="eastAsia" w:ascii="仿宋_GB2312" w:hAnsi="仿宋_GB2312" w:eastAsia="仿宋_GB2312" w:cs="仿宋_GB2312"/>
          <w:bCs/>
          <w:color w:val="auto"/>
          <w:sz w:val="28"/>
          <w:szCs w:val="28"/>
        </w:rPr>
        <w:t>第三章　磋商内容及采购要求</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第四章　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第五章　响应文件构成及格式</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（二）磋商文件的检查及阅读</w:t>
      </w:r>
      <w:bookmarkEnd w:id="107"/>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供应商下载磋商文件后应仔细阅读检查磋商文件中的所有内容，按照磋商文件中所列事项、条款、规范要求及格式，在响应文件中对磋商文件做出全面的响</w:t>
      </w:r>
      <w:r>
        <w:rPr>
          <w:rFonts w:hint="eastAsia" w:ascii="仿宋_GB2312" w:hAnsi="仿宋_GB2312" w:eastAsia="仿宋_GB2312" w:cs="仿宋_GB2312"/>
          <w:color w:val="auto"/>
          <w:w w:val="1"/>
          <w:sz w:val="28"/>
          <w:szCs w:val="28"/>
        </w:rPr>
        <w:t xml:space="preserve"> </w:t>
      </w:r>
      <w:r>
        <w:rPr>
          <w:rFonts w:hint="eastAsia" w:ascii="仿宋_GB2312" w:hAnsi="仿宋_GB2312" w:eastAsia="仿宋_GB2312" w:cs="仿宋_GB2312"/>
          <w:color w:val="auto"/>
          <w:sz w:val="28"/>
          <w:szCs w:val="28"/>
        </w:rPr>
        <w:t>应，并按磋商文件的要求提交全部资料。</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108" w:name="_Toc12798_WPSOffice_Level3"/>
      <w:r>
        <w:rPr>
          <w:rFonts w:hint="eastAsia" w:ascii="仿宋_GB2312" w:hAnsi="仿宋_GB2312" w:eastAsia="仿宋_GB2312" w:cs="仿宋_GB2312"/>
          <w:b/>
          <w:color w:val="auto"/>
          <w:sz w:val="28"/>
          <w:szCs w:val="28"/>
        </w:rPr>
        <w:t>（三）磋商文件的修改、澄清</w:t>
      </w:r>
      <w:bookmarkEnd w:id="108"/>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1、在提交响应文件截止之日前，</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可对已发出的磋商文件进行必要的澄清或者修改，澄清或者修改的内容作为磋商文件的组成部分。澄清或者修改的内容可能影响响应文件编制的，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将在提交响应文件截止之日至少5日前，在财政部门指定的政府采购信息发布媒体上</w:t>
      </w:r>
      <w:r>
        <w:rPr>
          <w:rFonts w:hint="eastAsia" w:ascii="仿宋_GB2312" w:hAnsi="仿宋_GB2312" w:eastAsia="仿宋_GB2312" w:cs="仿宋_GB2312"/>
          <w:b/>
          <w:bCs/>
          <w:color w:val="auto"/>
          <w:sz w:val="28"/>
          <w:szCs w:val="28"/>
        </w:rPr>
        <w:t>发布更正公告</w:t>
      </w:r>
      <w:r>
        <w:rPr>
          <w:rFonts w:hint="eastAsia" w:ascii="仿宋_GB2312" w:hAnsi="仿宋_GB2312" w:eastAsia="仿宋_GB2312" w:cs="仿宋_GB2312"/>
          <w:color w:val="auto"/>
          <w:sz w:val="28"/>
          <w:szCs w:val="28"/>
        </w:rPr>
        <w:t>；不足5日，</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将顺延提交响应文件的截止时间。</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2、各供应商在提交响应文件截止时间之前，应随时关注下列地址发布的变更公告，也可登录全国公共资源交易平台（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）政府采购交易系统查看</w:t>
      </w:r>
      <w:r>
        <w:rPr>
          <w:rFonts w:hint="eastAsia" w:ascii="仿宋_GB2312" w:hAnsi="仿宋_GB2312" w:eastAsia="仿宋_GB2312" w:cs="仿宋_GB2312"/>
          <w:color w:val="auto"/>
          <w:sz w:val="28"/>
          <w:szCs w:val="28"/>
          <w:lang w:val="en-US" w:eastAsia="zh-CN"/>
        </w:rPr>
        <w:t>右</w:t>
      </w:r>
      <w:r>
        <w:rPr>
          <w:rFonts w:hint="eastAsia" w:ascii="仿宋_GB2312" w:hAnsi="仿宋_GB2312" w:eastAsia="仿宋_GB2312" w:cs="仿宋_GB2312"/>
          <w:color w:val="auto"/>
          <w:sz w:val="28"/>
          <w:szCs w:val="28"/>
        </w:rPr>
        <w:t>上角的信息提醒，</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b/>
          <w:bCs/>
          <w:color w:val="auto"/>
          <w:sz w:val="28"/>
          <w:szCs w:val="28"/>
        </w:rPr>
        <w:t>不再单独通知，因供应商未及时关注所造成的一切后果由供应商自行承担：</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"http://www.ccgp-shaanxi.gov.cn/" </w:instrText>
      </w:r>
      <w:r>
        <w:rPr>
          <w:rFonts w:hint="eastAsia" w:ascii="仿宋_GB2312" w:hAnsi="仿宋_GB2312" w:eastAsia="仿宋_GB2312" w:cs="仿宋_GB2312"/>
          <w:color w:val="auto"/>
          <w:sz w:val="28"/>
          <w:szCs w:val="28"/>
        </w:rPr>
        <w:fldChar w:fldCharType="separate"/>
      </w:r>
      <w:r>
        <w:rPr>
          <w:rStyle w:val="30"/>
          <w:rFonts w:hint="eastAsia" w:ascii="仿宋_GB2312" w:hAnsi="仿宋_GB2312" w:eastAsia="仿宋_GB2312" w:cs="仿宋_GB2312"/>
          <w:color w:val="auto"/>
          <w:sz w:val="28"/>
          <w:szCs w:val="28"/>
        </w:rPr>
        <w:t>陕西省政府采购网</w:t>
      </w:r>
      <w:r>
        <w:rPr>
          <w:rStyle w:val="30"/>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（www.ccgp-shaanxi.gov.cn/）】中的〖首页·〉</w:t>
      </w:r>
      <w:r>
        <w:rPr>
          <w:rFonts w:hint="eastAsia" w:ascii="仿宋_GB2312" w:hAnsi="仿宋_GB2312" w:eastAsia="仿宋_GB2312" w:cs="仿宋_GB2312"/>
          <w:color w:val="auto"/>
          <w:sz w:val="28"/>
          <w:szCs w:val="28"/>
          <w:lang w:val="en-US" w:eastAsia="zh-CN"/>
        </w:rPr>
        <w:t>市级</w:t>
      </w:r>
      <w:r>
        <w:rPr>
          <w:rFonts w:hint="eastAsia" w:ascii="仿宋_GB2312" w:hAnsi="仿宋_GB2312" w:eastAsia="仿宋_GB2312" w:cs="仿宋_GB2312"/>
          <w:color w:val="auto"/>
          <w:sz w:val="28"/>
          <w:szCs w:val="28"/>
        </w:rPr>
        <w:t>公告·〉更正公告〗；</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rPr>
        <w:t>（sxggzyjy.hanzhong.gov.cn）</w:t>
      </w:r>
      <w:r>
        <w:rPr>
          <w:rFonts w:hint="eastAsia" w:ascii="仿宋_GB2312" w:hAnsi="仿宋_GB2312" w:eastAsia="仿宋_GB2312" w:cs="仿宋_GB2312"/>
          <w:color w:val="auto"/>
          <w:sz w:val="28"/>
          <w:szCs w:val="28"/>
        </w:rPr>
        <w:t>】中的〖首页·〉交易大厅·〉政府采购·〉</w:t>
      </w:r>
      <w:r>
        <w:rPr>
          <w:rFonts w:hint="eastAsia" w:ascii="仿宋_GB2312" w:hAnsi="仿宋_GB2312" w:eastAsia="仿宋_GB2312" w:cs="仿宋_GB2312"/>
          <w:color w:val="auto"/>
          <w:sz w:val="28"/>
          <w:szCs w:val="28"/>
          <w:lang w:val="en-US" w:eastAsia="zh-CN"/>
        </w:rPr>
        <w:t>更正公告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09" w:name="_Toc18733_WPSOffice_Level3"/>
      <w:r>
        <w:rPr>
          <w:rFonts w:hint="eastAsia" w:ascii="仿宋_GB2312" w:hAnsi="仿宋_GB2312" w:eastAsia="仿宋_GB2312" w:cs="仿宋_GB2312"/>
          <w:b/>
          <w:color w:val="auto"/>
          <w:sz w:val="28"/>
          <w:szCs w:val="28"/>
        </w:rPr>
        <w:t>（四）磋商文件的解释权归</w:t>
      </w:r>
      <w:r>
        <w:rPr>
          <w:rFonts w:hint="eastAsia" w:ascii="仿宋_GB2312" w:hAnsi="仿宋_GB2312" w:eastAsia="仿宋_GB2312" w:cs="仿宋_GB2312"/>
          <w:b/>
          <w:color w:val="auto"/>
          <w:sz w:val="28"/>
          <w:szCs w:val="28"/>
          <w:lang w:val="en-US" w:eastAsia="zh-CN"/>
        </w:rPr>
        <w:t>集中采购机构</w:t>
      </w:r>
      <w:r>
        <w:rPr>
          <w:rFonts w:hint="eastAsia" w:ascii="仿宋_GB2312" w:hAnsi="仿宋_GB2312" w:eastAsia="仿宋_GB2312" w:cs="仿宋_GB2312"/>
          <w:b/>
          <w:color w:val="auto"/>
          <w:sz w:val="28"/>
          <w:szCs w:val="28"/>
        </w:rPr>
        <w:t>。</w:t>
      </w:r>
      <w:bookmarkEnd w:id="109"/>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10" w:name="_Toc13064"/>
      <w:bookmarkStart w:id="111" w:name="_Toc30415"/>
      <w:bookmarkStart w:id="112" w:name="_Toc30095"/>
      <w:bookmarkStart w:id="113" w:name="_Toc3559"/>
      <w:bookmarkStart w:id="114" w:name="_Toc20873_WPSOffice_Level2"/>
      <w:bookmarkStart w:id="115" w:name="_Toc22501_WPSOffice_Level2"/>
      <w:bookmarkStart w:id="116" w:name="_Toc19768_WPSOffice_Level2"/>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、磋商报价</w:t>
      </w:r>
      <w:bookmarkEnd w:id="110"/>
      <w:bookmarkEnd w:id="111"/>
      <w:bookmarkEnd w:id="112"/>
      <w:bookmarkEnd w:id="113"/>
      <w:bookmarkEnd w:id="114"/>
      <w:bookmarkEnd w:id="115"/>
      <w:bookmarkEnd w:id="116"/>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磋商报价是供应商响应</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文件未列明，而供应商认为应当计取的费用均应列入报价中。报价时不论是否计取，采购人均按已计取对待。</w:t>
      </w:r>
    </w:p>
    <w:p>
      <w:pPr>
        <w:pageBreakBefore w:val="0"/>
        <w:widowControl/>
        <w:numPr>
          <w:ilvl w:val="0"/>
          <w:numId w:val="2"/>
        </w:numPr>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供应商应按照《响应文件构成及格式》中《第一次磋商报价表》中的相关要求填写需要响应的内容。</w:t>
      </w:r>
    </w:p>
    <w:p>
      <w:pPr>
        <w:pageBreakBefore w:val="0"/>
        <w:widowControl/>
        <w:numPr>
          <w:ilvl w:val="0"/>
          <w:numId w:val="2"/>
        </w:numPr>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磋商报价采取多轮报价的办法，最后报价作为计算价格分值的依据。供应商应在磋商当天，磋商小组规定的报价时间内，使用制作标书的数字认证证书（CA锁）登录全国公共资源交易平台（</w:t>
      </w:r>
      <w:r>
        <w:rPr>
          <w:rFonts w:hint="eastAsia" w:ascii="仿宋_GB2312" w:hAnsi="仿宋_GB2312" w:eastAsia="仿宋_GB2312" w:cs="仿宋_GB2312"/>
          <w:b/>
          <w:bCs/>
          <w:color w:val="auto"/>
          <w:sz w:val="28"/>
          <w:szCs w:val="28"/>
          <w:lang w:val="en-US" w:eastAsia="zh-CN"/>
        </w:rPr>
        <w:t>汉中市</w:t>
      </w:r>
      <w:r>
        <w:rPr>
          <w:rFonts w:hint="eastAsia" w:ascii="仿宋_GB2312" w:hAnsi="仿宋_GB2312" w:eastAsia="仿宋_GB2312" w:cs="仿宋_GB2312"/>
          <w:b/>
          <w:bCs/>
          <w:color w:val="auto"/>
          <w:sz w:val="28"/>
          <w:szCs w:val="28"/>
        </w:rPr>
        <w:t>）网站〖首页·〉电子交易平台·〉企业端〗后，在〖我的项目〗下找到本次磋商的项目，填写最后报价表，签章并提交。</w:t>
      </w:r>
    </w:p>
    <w:p>
      <w:pPr>
        <w:pageBreakBefore w:val="0"/>
        <w:widowControl/>
        <w:numPr>
          <w:ilvl w:val="0"/>
          <w:numId w:val="2"/>
        </w:numPr>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报价货币：</w:t>
      </w:r>
      <w:r>
        <w:rPr>
          <w:rFonts w:hint="eastAsia" w:ascii="仿宋_GB2312" w:hAnsi="仿宋_GB2312" w:eastAsia="仿宋_GB2312" w:cs="仿宋_GB2312"/>
          <w:b/>
          <w:color w:val="auto"/>
          <w:sz w:val="28"/>
          <w:szCs w:val="28"/>
        </w:rPr>
        <w:t>人民币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单位：元</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保留到元</w:t>
      </w:r>
      <w:r>
        <w:rPr>
          <w:rFonts w:hint="eastAsia" w:ascii="仿宋_GB2312" w:hAnsi="仿宋_GB2312" w:eastAsia="仿宋_GB2312" w:cs="仿宋_GB2312"/>
          <w:bCs/>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（五）磋商报价大小写不一致的以大写为准。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（六）因供应商对磋商文件理解不透、误解、疏漏或对市场行情了解不清造成的后果和风险，均由供应商自己负责。</w:t>
      </w:r>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17" w:name="_Toc12154"/>
      <w:bookmarkStart w:id="118" w:name="_Toc11009"/>
      <w:bookmarkStart w:id="119" w:name="_Toc666"/>
      <w:bookmarkStart w:id="120" w:name="_Toc29669_WPSOffice_Level2"/>
      <w:bookmarkStart w:id="121" w:name="_Toc14979"/>
      <w:bookmarkStart w:id="122" w:name="_Toc20041_WPSOffice_Level2"/>
      <w:bookmarkStart w:id="123" w:name="_Toc14959_WPSOffice_Level2"/>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、响应文件</w:t>
      </w:r>
      <w:bookmarkEnd w:id="117"/>
      <w:bookmarkEnd w:id="118"/>
      <w:bookmarkEnd w:id="119"/>
      <w:bookmarkEnd w:id="120"/>
      <w:bookmarkEnd w:id="121"/>
      <w:bookmarkEnd w:id="122"/>
      <w:bookmarkEnd w:id="123"/>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（一）响应文件形式</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本项目采用电子响应文件，供应商在</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时须提供电子响应文件。</w:t>
      </w:r>
      <w:bookmarkStart w:id="124" w:name="_Toc18733_WPSOffice_Level2"/>
      <w:bookmarkStart w:id="125" w:name="_Toc30535_WPSOffice_Level2"/>
      <w:bookmarkStart w:id="126" w:name="_Toc7898_WPSOffice_Level2"/>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编制电子响应文件时，应使用最新发布的电子磋商文件及专用制作工具进行编制。并使用数字认证证书（CA锁）对电子响应文件进行签署、加密、递交及磋商时解密等相关操作。</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1、电子磋商文件下载。供应商登录全国公共资源交易平台（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）网站〖首页·〉电子交易平台·〉企业端〗后，在〖招标公告/出让公告·〉</w:t>
      </w:r>
      <w:r>
        <w:rPr>
          <w:rFonts w:hint="eastAsia" w:ascii="仿宋_GB2312" w:hAnsi="仿宋_GB2312" w:eastAsia="仿宋_GB2312" w:cs="仿宋_GB2312"/>
          <w:color w:val="auto"/>
          <w:sz w:val="28"/>
          <w:szCs w:val="28"/>
          <w:lang w:val="en-US" w:eastAsia="zh-CN"/>
        </w:rPr>
        <w:t>政府采购</w:t>
      </w:r>
      <w:r>
        <w:rPr>
          <w:rFonts w:hint="eastAsia" w:ascii="仿宋_GB2312" w:hAnsi="仿宋_GB2312" w:eastAsia="仿宋_GB2312" w:cs="仿宋_GB2312"/>
          <w:color w:val="auto"/>
          <w:sz w:val="28"/>
          <w:szCs w:val="28"/>
        </w:rPr>
        <w:t>〗模块中选择项目</w:t>
      </w:r>
      <w:r>
        <w:rPr>
          <w:rFonts w:hint="eastAsia" w:ascii="仿宋_GB2312" w:hAnsi="仿宋_GB2312" w:eastAsia="仿宋_GB2312" w:cs="仿宋_GB2312"/>
          <w:bCs/>
          <w:color w:val="auto"/>
          <w:sz w:val="28"/>
          <w:szCs w:val="28"/>
        </w:rPr>
        <w:t>点击“我要投标”，参与投标活动。然后即可</w:t>
      </w:r>
      <w:r>
        <w:rPr>
          <w:rFonts w:hint="eastAsia" w:ascii="仿宋_GB2312" w:hAnsi="仿宋_GB2312" w:eastAsia="仿宋_GB2312" w:cs="仿宋_GB2312"/>
          <w:color w:val="auto"/>
          <w:sz w:val="28"/>
          <w:szCs w:val="28"/>
        </w:rPr>
        <w:t>在〖我的项目〗中点击“项目流程&gt;交易文件下载”下载电子磋商文件（*.SXSZF）。</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注意：该项目如有变更文件，则应点击“项目流程&gt;答疑文件下载”下载更新后的电子磋商文件（*.SXSCF），使用旧版电子磋商文件制作的电子响应文件，系统将拒绝接收。</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电子磋商文件需要使用专用软件打开、浏览。供应商可在全国公共资源交易平台（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免费下载“陕西省公共资源交易平台政府采购电子标书制作工具”，并升级至最新版本，使用该客户端可以打开电子磋商文件。软件操作手册详见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）网站〖首页·〉服务指南·〉下载专区〗中的《政府采购</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操作手册》。</w:t>
      </w:r>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val="0"/>
          <w:bCs w:val="0"/>
          <w:color w:val="auto"/>
          <w:sz w:val="28"/>
          <w:szCs w:val="28"/>
          <w:lang w:eastAsia="zh-CN"/>
        </w:rPr>
      </w:pPr>
      <w:bookmarkStart w:id="127" w:name="_Toc9096"/>
      <w:r>
        <w:rPr>
          <w:rFonts w:hint="eastAsia" w:ascii="仿宋_GB2312" w:hAnsi="仿宋_GB2312" w:eastAsia="仿宋_GB2312" w:cs="仿宋_GB2312"/>
          <w:b w:val="0"/>
          <w:bCs w:val="0"/>
          <w:color w:val="auto"/>
          <w:sz w:val="28"/>
          <w:szCs w:val="28"/>
        </w:rPr>
        <w:t>3、制作电子响应文件。电子响应文件同样需要使用上述软件进行编制。在编制过程中，如有技术性问题，请先翻阅操作手册，或致电软件开发商。技术支持热线：4009980000</w:t>
      </w:r>
      <w:bookmarkStart w:id="128" w:name="_Toc18427_WPSOffice_Level3"/>
      <w:bookmarkStart w:id="129" w:name="_Toc11164"/>
      <w:r>
        <w:rPr>
          <w:rFonts w:hint="eastAsia" w:ascii="仿宋_GB2312" w:hAnsi="仿宋_GB2312" w:eastAsia="仿宋_GB2312" w:cs="仿宋_GB2312"/>
          <w:b w:val="0"/>
          <w:bCs w:val="0"/>
          <w:color w:val="auto"/>
          <w:sz w:val="28"/>
          <w:szCs w:val="28"/>
          <w:lang w:eastAsia="zh-CN"/>
        </w:rPr>
        <w:t>。</w:t>
      </w:r>
      <w:bookmarkEnd w:id="127"/>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（需要法定代表人签字或盖章的地方，请使用“法人CA”进行签章；需要加盖响应人公章的地方，请使用“企业 CA”进行盖章。加密和解密应当使用同一CA，否则将会导致解密失败。请勿同时插入企业CA和法人CA，以免系统自动识别法人CA导致开启时标书解密失败。）</w:t>
      </w:r>
    </w:p>
    <w:bookmarkEnd w:id="128"/>
    <w:bookmarkEnd w:id="129"/>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（二）</w:t>
      </w:r>
      <w:r>
        <w:rPr>
          <w:rFonts w:hint="eastAsia" w:ascii="仿宋_GB2312" w:hAnsi="仿宋_GB2312" w:eastAsia="仿宋_GB2312" w:cs="仿宋_GB2312"/>
          <w:b/>
          <w:bCs/>
          <w:color w:val="auto"/>
          <w:sz w:val="28"/>
          <w:szCs w:val="28"/>
        </w:rPr>
        <w:t>响应文件有效期</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1、响应活动的所有文件、资料、函电文均使用简体中文，确需提交用 其他语言形成的资料，必须翻译成简体中文，如有差异，以简体中文为准。 </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2、响应文件有效期为自响应文件开启之日起 90 个日历日。如成交， 延长至合同执行完毕时止。</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（三）响应文件的提交</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电子响应文件可于提交响应文件截止时间前任意时段登录全国公共资源交易平台（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）网站“电子交易平台&gt;企业端”进行提交，逾期系统将拒绝接收。提交时，供应商应登录全国公共资源交易中心平台（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选择“首页&gt;电子交易平台&gt;企业端&gt;我的项目”，点击“项目流程”，在打开的“项目管理”对话框中选择“上传响应文件”，上传加密的电子响应文件（*.SXSTF）。上传成功后，电子化平台将予以记录。</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130" w:name="_Toc24468"/>
      <w:bookmarkStart w:id="131" w:name="_Toc6095"/>
      <w:bookmarkStart w:id="132" w:name="_Toc15608"/>
      <w:r>
        <w:rPr>
          <w:rFonts w:hint="eastAsia" w:ascii="仿宋_GB2312" w:hAnsi="仿宋_GB2312" w:eastAsia="仿宋_GB2312" w:cs="仿宋_GB2312"/>
          <w:b/>
          <w:color w:val="auto"/>
          <w:sz w:val="28"/>
          <w:szCs w:val="28"/>
        </w:rPr>
        <w:t>（四）响应文件的补充、修改和撤回</w:t>
      </w:r>
      <w:bookmarkEnd w:id="130"/>
      <w:bookmarkEnd w:id="131"/>
      <w:bookmarkEnd w:id="132"/>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1、供应商在递交电子响应文件后，且在提交电子响应文件截止时间前，可以对所提交的电子响应文件进行补充、修改或撤回。</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2、对电子响应文件进行补充、修改的，应先从电子交易平台上撤回旧版，再重新提交新版。</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3、电子响应文件提交截止时间后，供应商不得对其电子响应文件做任何修改。</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（五）供应商提交响应文件时，出现下列情况之一的，其响应文件将被拒绝接收：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33" w:name="_Toc8003"/>
      <w:bookmarkStart w:id="134" w:name="_Toc28054"/>
      <w:bookmarkStart w:id="135" w:name="_Toc10744"/>
      <w:bookmarkStart w:id="136" w:name="_Toc6837"/>
      <w:bookmarkStart w:id="137" w:name="_Toc7022"/>
      <w:bookmarkStart w:id="138" w:name="_Toc595"/>
      <w:r>
        <w:rPr>
          <w:rFonts w:hint="eastAsia" w:ascii="仿宋_GB2312" w:hAnsi="仿宋_GB2312" w:eastAsia="仿宋_GB2312" w:cs="仿宋_GB2312"/>
          <w:color w:val="auto"/>
          <w:sz w:val="28"/>
          <w:szCs w:val="28"/>
        </w:rPr>
        <w:t>1、逾期提交电子响应文件的；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2、提交的电子响应文件与本项目不相符的。</w:t>
      </w:r>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139" w:name="_Toc17536"/>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w:t>
      </w:r>
      <w:bookmarkEnd w:id="133"/>
      <w:bookmarkEnd w:id="134"/>
      <w:bookmarkEnd w:id="135"/>
      <w:bookmarkEnd w:id="136"/>
      <w:bookmarkEnd w:id="137"/>
      <w:bookmarkEnd w:id="138"/>
      <w:bookmarkEnd w:id="139"/>
      <w:r>
        <w:rPr>
          <w:rFonts w:hint="eastAsia" w:ascii="仿宋_GB2312" w:hAnsi="仿宋_GB2312" w:eastAsia="仿宋_GB2312" w:cs="仿宋_GB2312"/>
          <w:color w:val="auto"/>
          <w:sz w:val="28"/>
          <w:szCs w:val="28"/>
          <w:lang w:val="en-US" w:eastAsia="zh-CN"/>
        </w:rPr>
        <w:t>响应文件开启</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组织响应文件开启、评审工作，整个过程受政府采购监管机构的监督、管理。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w:t>
      </w:r>
      <w:r>
        <w:rPr>
          <w:rFonts w:hint="eastAsia" w:ascii="仿宋_GB2312" w:hAnsi="仿宋_GB2312" w:eastAsia="仿宋_GB2312" w:cs="仿宋_GB2312"/>
          <w:b/>
          <w:bCs/>
          <w:color w:val="auto"/>
          <w:sz w:val="28"/>
          <w:szCs w:val="28"/>
          <w:lang w:val="en-US" w:eastAsia="zh-CN"/>
        </w:rPr>
        <w:t>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rPr>
        <w:t>人需安装新点播放器，以便观看远程不见面开标直播画面（播放器下载链接为：http://sxggzyjy.hanzhong.gov.cn/fwzn/004003/20230223/17ebe025-dd9a-4eba-b702-8f1696646f01.html）。</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供应商不足3家的，不得开启响应文件。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（三）响应文件开启时，</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现场工作人员将根据项目</w:t>
      </w:r>
      <w:r>
        <w:rPr>
          <w:rFonts w:hint="eastAsia" w:ascii="仿宋_GB2312" w:hAnsi="仿宋_GB2312" w:eastAsia="仿宋_GB2312" w:cs="仿宋_GB2312"/>
          <w:color w:val="auto"/>
          <w:sz w:val="28"/>
          <w:szCs w:val="28"/>
          <w:lang w:val="en-US" w:eastAsia="zh-CN"/>
        </w:rPr>
        <w:t>响应家</w:t>
      </w:r>
      <w:r>
        <w:rPr>
          <w:rFonts w:hint="eastAsia" w:ascii="仿宋_GB2312" w:hAnsi="仿宋_GB2312" w:eastAsia="仿宋_GB2312" w:cs="仿宋_GB2312"/>
          <w:color w:val="auto"/>
          <w:sz w:val="28"/>
          <w:szCs w:val="28"/>
        </w:rPr>
        <w:t>数约定解密时长，供应商应在规定时间内，须使用电子响应文件加密时所用的数字认证证书（CA锁）自行解密电子响应文件，未在规定时间内解密的，视为无效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lang w:val="en-US" w:eastAsia="zh-CN"/>
        </w:rPr>
        <w:t>响应人</w:t>
      </w:r>
      <w:r>
        <w:rPr>
          <w:rFonts w:hint="eastAsia" w:ascii="仿宋_GB2312" w:hAnsi="仿宋_GB2312" w:eastAsia="仿宋_GB2312" w:cs="仿宋_GB2312"/>
          <w:color w:val="auto"/>
          <w:sz w:val="28"/>
          <w:szCs w:val="28"/>
        </w:rPr>
        <w:t>对响应文件开启过程和记录有疑义，以及认为采购人、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相关工作人员有需要回避情形的，应在</w:t>
      </w:r>
      <w:r>
        <w:rPr>
          <w:rFonts w:hint="eastAsia" w:ascii="仿宋_GB2312" w:hAnsi="仿宋_GB2312" w:eastAsia="仿宋_GB2312" w:cs="仿宋_GB2312"/>
          <w:color w:val="auto"/>
          <w:sz w:val="28"/>
          <w:szCs w:val="28"/>
          <w:lang w:val="en-US" w:eastAsia="zh-CN"/>
        </w:rPr>
        <w:t>不见面开标大厅</w:t>
      </w:r>
      <w:r>
        <w:rPr>
          <w:rFonts w:hint="eastAsia" w:ascii="仿宋_GB2312" w:hAnsi="仿宋_GB2312" w:eastAsia="仿宋_GB2312" w:cs="仿宋_GB2312"/>
          <w:color w:val="auto"/>
          <w:sz w:val="28"/>
          <w:szCs w:val="28"/>
        </w:rPr>
        <w:t>提出询问或回避申请，采购人、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应当及时处理。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（五）响应供应商未参加响应文件开启的，视同认可</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结果。</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（六）在响应文件开启出现下列情况之一的，其响应文件视为无效文件：</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1、供应商拒绝对电子响应文件进行解密的；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2、因供应商自身原因（如迟到、或所</w:t>
      </w:r>
      <w:r>
        <w:rPr>
          <w:rFonts w:hint="eastAsia" w:ascii="仿宋_GB2312" w:hAnsi="仿宋_GB2312" w:eastAsia="仿宋_GB2312" w:cs="仿宋_GB2312"/>
          <w:color w:val="auto"/>
          <w:sz w:val="28"/>
          <w:szCs w:val="28"/>
          <w:lang w:val="en-US" w:eastAsia="zh-CN"/>
        </w:rPr>
        <w:t>用</w:t>
      </w:r>
      <w:r>
        <w:rPr>
          <w:rFonts w:hint="eastAsia" w:ascii="仿宋_GB2312" w:hAnsi="仿宋_GB2312" w:eastAsia="仿宋_GB2312" w:cs="仿宋_GB2312"/>
          <w:color w:val="auto"/>
          <w:sz w:val="28"/>
          <w:szCs w:val="28"/>
        </w:rPr>
        <w:t>CA锁与制作电子响应文件使用的CA锁不一致、或沿用旧版磋商文件编制响应文件等情形），导致在规定时间内无法解密响应文件的；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3、上传的电子响应文件无法打开的；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4、政府采购法律法规规定的其他无效情形。</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）特殊情形下的应急处置</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在响应文件开启、评审过程中，如因停电、断网、电子化系统故障等特殊原因导致电子化开、评审工作无法正常进行时，将视文件解密情况特殊处理。</w:t>
      </w:r>
    </w:p>
    <w:p>
      <w:pPr>
        <w:pStyle w:val="8"/>
        <w:pageBreakBefore w:val="0"/>
        <w:widowControl/>
        <w:kinsoku/>
        <w:overflowPunct/>
        <w:topLinePunct w:val="0"/>
        <w:autoSpaceDE/>
        <w:autoSpaceDN/>
        <w:bidi w:val="0"/>
        <w:adjustRightInd/>
        <w:snapToGrid/>
        <w:spacing w:after="0"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1、响应文件开启时文件未解密的，将另行确定时间继续完成</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程序；</w:t>
      </w:r>
    </w:p>
    <w:p>
      <w:pPr>
        <w:pageBreakBefore w:val="0"/>
        <w:widowControl/>
        <w:kinsoku/>
        <w:overflowPunct/>
        <w:topLinePunct w:val="0"/>
        <w:autoSpaceDE/>
        <w:autoSpaceDN/>
        <w:bidi w:val="0"/>
        <w:adjustRightInd/>
        <w:snapToGrid/>
        <w:spacing w:line="500" w:lineRule="exact"/>
        <w:ind w:firstLine="56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2、文件已解密但评审结论未形成的，将发布</w:t>
      </w:r>
      <w:r>
        <w:rPr>
          <w:rFonts w:hint="eastAsia" w:ascii="仿宋_GB2312" w:hAnsi="仿宋_GB2312" w:eastAsia="仿宋_GB2312" w:cs="仿宋_GB2312"/>
          <w:color w:val="auto"/>
          <w:sz w:val="28"/>
          <w:szCs w:val="28"/>
          <w:lang w:val="en-US" w:eastAsia="zh-CN"/>
        </w:rPr>
        <w:t>终止</w:t>
      </w:r>
      <w:r>
        <w:rPr>
          <w:rFonts w:hint="eastAsia" w:ascii="仿宋_GB2312" w:hAnsi="仿宋_GB2312" w:eastAsia="仿宋_GB2312" w:cs="仿宋_GB2312"/>
          <w:color w:val="auto"/>
          <w:sz w:val="28"/>
          <w:szCs w:val="28"/>
        </w:rPr>
        <w:t>公告，重新组织采购活动；</w:t>
      </w:r>
    </w:p>
    <w:p>
      <w:pPr>
        <w:pStyle w:val="8"/>
        <w:pageBreakBefore w:val="0"/>
        <w:widowControl/>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3、文件已解密且评审结论已形成的，待特殊情况排除后，继续完成评审活动。</w:t>
      </w:r>
      <w:bookmarkStart w:id="140" w:name="_Toc8349"/>
      <w:bookmarkStart w:id="141" w:name="_Toc8460"/>
      <w:bookmarkStart w:id="142" w:name="_Toc31720"/>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43" w:name="_Toc31905"/>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、组织评审</w:t>
      </w:r>
      <w:bookmarkEnd w:id="124"/>
      <w:bookmarkEnd w:id="125"/>
      <w:bookmarkEnd w:id="126"/>
      <w:bookmarkEnd w:id="140"/>
      <w:bookmarkEnd w:id="141"/>
      <w:bookmarkEnd w:id="142"/>
      <w:bookmarkEnd w:id="143"/>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bookmarkStart w:id="144" w:name="_Toc3816_WPSOffice_Level3"/>
      <w:r>
        <w:rPr>
          <w:rFonts w:hint="eastAsia" w:ascii="仿宋_GB2312" w:hAnsi="仿宋_GB2312" w:eastAsia="仿宋_GB2312" w:cs="仿宋_GB2312"/>
          <w:b/>
          <w:bCs/>
          <w:color w:val="auto"/>
          <w:sz w:val="28"/>
          <w:szCs w:val="28"/>
          <w:shd w:val="clear" w:color="auto" w:fill="FFFFFF"/>
        </w:rPr>
        <w:t>（一）</w:t>
      </w:r>
      <w:bookmarkEnd w:id="144"/>
      <w:r>
        <w:rPr>
          <w:rFonts w:hint="eastAsia" w:ascii="仿宋_GB2312" w:hAnsi="仿宋_GB2312" w:eastAsia="仿宋_GB2312" w:cs="仿宋_GB2312"/>
          <w:b/>
          <w:bCs/>
          <w:color w:val="auto"/>
          <w:sz w:val="28"/>
          <w:szCs w:val="28"/>
        </w:rPr>
        <w:t>成立磋商小组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1、为了确保磋商工作的公平、公正，依据政府采购法和政府采购相关法规、规章，成立磋商小组，磋商小组由采购人代表和评审专家共3人以上单数组成，其中评审专家人数不少于磋商小组成员总数的三分之二。</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评审专家对本单位的采购项目只能作为采购人代表参与评审。采购代理机构工作人员不得参加由本机构代理的政府采购项目的评审。</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磋商小组成员名单在评审结果公告前应当保密。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3、评审中因磋商小组成员缺席、回避或者健康等特殊原因导致磋商小组组成不符合规定的，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应当依法补足后继续评审。被更换的磋商小组成员所做出的评审意见无效。无法及时补足磋商小组成员的，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应当停止评审活动，封存所有响应文件和开标、评审资料，依法重新组建磋商小组进行评审。原磋商小组所做出的评审意见无效。</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应当将变更、重新组建磋商小组的情况予以记录，并随采购文件一并存档。</w:t>
      </w:r>
    </w:p>
    <w:p>
      <w:pPr>
        <w:pStyle w:val="17"/>
        <w:pageBreakBefore w:val="0"/>
        <w:widowControl/>
        <w:kinsoku/>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b/>
          <w:bCs/>
          <w:color w:val="auto"/>
          <w:sz w:val="28"/>
          <w:szCs w:val="28"/>
        </w:rPr>
      </w:pPr>
      <w:bookmarkStart w:id="145" w:name="_Toc3147_WPSOffice_Level3"/>
      <w:r>
        <w:rPr>
          <w:rFonts w:hint="eastAsia" w:ascii="仿宋_GB2312" w:hAnsi="仿宋_GB2312" w:eastAsia="仿宋_GB2312" w:cs="仿宋_GB2312"/>
          <w:b/>
          <w:bCs/>
          <w:color w:val="auto"/>
          <w:sz w:val="28"/>
          <w:szCs w:val="28"/>
          <w:shd w:val="clear" w:color="auto" w:fill="FFFFFF"/>
        </w:rPr>
        <w:t>（二）磋商小组负责具体评审事务，并独立履行下列职责：</w:t>
      </w:r>
      <w:bookmarkEnd w:id="145"/>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1、遵守评审工作纪律，不得泄露评审情况和评审中获悉的商业秘密；</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2、按照客观、公正、审慎的原则，根据磋商文件规定的评审程序、评审方法和评审标准进行独立评审；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3、要求供应商对响应文件有关事项做出澄清或者说明；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4、与供应商分别进行磋商；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5、对响应文件进行比较和评价；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6、确定成交候选人名单，以及根据采购人委托直接确定成交供应商；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7、配合答复供应商的询问、质疑和投诉等事项，不得泄露评审文件、评审情况和在评审过程中获悉的商业秘密；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 xml:space="preserve">8、向采购人、集中采购机构或者有关部门报告评审中发现的违法行为。 </w:t>
      </w:r>
    </w:p>
    <w:p>
      <w:pPr>
        <w:pStyle w:val="17"/>
        <w:pageBreakBefore w:val="0"/>
        <w:widowControl/>
        <w:kinsoku/>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b/>
          <w:bCs/>
          <w:color w:val="auto"/>
          <w:sz w:val="28"/>
          <w:szCs w:val="28"/>
        </w:rPr>
      </w:pPr>
      <w:bookmarkStart w:id="146" w:name="_Toc8872_WPSOffice_Level3"/>
      <w:r>
        <w:rPr>
          <w:rFonts w:hint="eastAsia" w:ascii="仿宋_GB2312" w:hAnsi="仿宋_GB2312" w:eastAsia="仿宋_GB2312" w:cs="仿宋_GB2312"/>
          <w:b/>
          <w:bCs/>
          <w:color w:val="auto"/>
          <w:sz w:val="28"/>
          <w:szCs w:val="28"/>
        </w:rPr>
        <w:t>（三）</w:t>
      </w:r>
      <w:r>
        <w:rPr>
          <w:rFonts w:hint="eastAsia" w:ascii="仿宋_GB2312" w:hAnsi="仿宋_GB2312" w:eastAsia="仿宋_GB2312" w:cs="仿宋_GB2312"/>
          <w:b/>
          <w:bCs/>
          <w:color w:val="auto"/>
          <w:sz w:val="28"/>
          <w:szCs w:val="28"/>
          <w:shd w:val="clear" w:color="auto" w:fill="FFFFFF"/>
        </w:rPr>
        <w:t>集中采购机构负责组织评审工作，并履行下列职责：</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1、核对评审专家身份和采购人代表授权函，对评审专家在政府采购活动中的职责履行情况予以记录，并及时将有关违法违规行为向财政部门报告;</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2、宣布评审纪律;</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3、公布</w:t>
      </w:r>
      <w:r>
        <w:rPr>
          <w:rFonts w:hint="eastAsia" w:ascii="仿宋_GB2312" w:hAnsi="仿宋_GB2312" w:eastAsia="仿宋_GB2312" w:cs="仿宋_GB2312"/>
          <w:color w:val="auto"/>
          <w:sz w:val="28"/>
          <w:szCs w:val="28"/>
          <w:shd w:val="clear" w:color="auto" w:fill="FFFFFF"/>
          <w:lang w:val="en-US" w:eastAsia="zh-CN"/>
        </w:rPr>
        <w:t>供应商</w:t>
      </w:r>
      <w:r>
        <w:rPr>
          <w:rFonts w:hint="eastAsia" w:ascii="仿宋_GB2312" w:hAnsi="仿宋_GB2312" w:eastAsia="仿宋_GB2312" w:cs="仿宋_GB2312"/>
          <w:color w:val="auto"/>
          <w:sz w:val="28"/>
          <w:szCs w:val="28"/>
          <w:shd w:val="clear" w:color="auto" w:fill="FFFFFF"/>
        </w:rPr>
        <w:t>名单，告知评审专家应当回避的情形;</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4、组织磋商小组推选评审组长，采购人代表不得担任组长;</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5、在评审期间采取必要的通讯管理措施，保证评审活动不受外界干扰;</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6、根据磋商小组的要求介绍政府采购相关政策法规、磋商文件;</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7、维护评审秩序，监督磋商小组依照磋商文件规定的评审程序、方法和标准进行独立评审，及时制止和纠正采购人代表、评审专家的倾向性言论或者违法违规行为;</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8、核对评审结果;</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9、评审工作完成后，按照规定向评审专家支付劳务报酬和异地评审差旅费，不得向评审专家以外的其他人员支付评审劳务报酬;</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10、处理与评审有关的其他事项。</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采购人可以在评审前说明项目背景和采购需求，说明内容不得含有歧视性、倾向性意见，不得超出磋商文件所述范围。说明应当提交书面材料，并随采购文件一并存档。</w:t>
      </w:r>
      <w:bookmarkEnd w:id="146"/>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147" w:name="_Toc4079_WPSOffice_Level3"/>
      <w:r>
        <w:rPr>
          <w:rFonts w:hint="eastAsia" w:ascii="仿宋_GB2312" w:hAnsi="仿宋_GB2312" w:eastAsia="仿宋_GB2312" w:cs="仿宋_GB2312"/>
          <w:b/>
          <w:color w:val="auto"/>
          <w:sz w:val="28"/>
          <w:szCs w:val="28"/>
        </w:rPr>
        <w:t>（四）评审方法：综合评分法</w:t>
      </w:r>
      <w:bookmarkEnd w:id="147"/>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综合评分法，是指响应文件满足磋商文件全部实质性要求且按评审因 素的量化指标评审得分最高的供应商为成交候选供应商的评审方法。</w:t>
      </w:r>
    </w:p>
    <w:p>
      <w:pPr>
        <w:pageBreakBefore w:val="0"/>
        <w:widowControl/>
        <w:kinsoku/>
        <w:overflowPunct/>
        <w:topLinePunct w:val="0"/>
        <w:autoSpaceDE/>
        <w:autoSpaceDN/>
        <w:bidi w:val="0"/>
        <w:adjustRightInd/>
        <w:snapToGrid/>
        <w:spacing w:line="500" w:lineRule="exact"/>
        <w:ind w:left="567"/>
        <w:textAlignment w:val="auto"/>
        <w:rPr>
          <w:rFonts w:hint="eastAsia" w:ascii="仿宋_GB2312" w:hAnsi="仿宋_GB2312" w:eastAsia="仿宋_GB2312" w:cs="仿宋_GB2312"/>
          <w:color w:val="auto"/>
          <w:sz w:val="28"/>
          <w:szCs w:val="28"/>
        </w:rPr>
      </w:pPr>
      <w:bookmarkStart w:id="148" w:name="_Toc25396_WPSOffice_Level3"/>
      <w:r>
        <w:rPr>
          <w:rFonts w:hint="eastAsia" w:ascii="仿宋_GB2312" w:hAnsi="仿宋_GB2312" w:eastAsia="仿宋_GB2312" w:cs="仿宋_GB2312"/>
          <w:b/>
          <w:color w:val="auto"/>
          <w:sz w:val="28"/>
          <w:szCs w:val="28"/>
        </w:rPr>
        <w:t>（五）评审程序</w:t>
      </w:r>
      <w:bookmarkEnd w:id="148"/>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分步评审，每一步评审不符合磋商文件要求者，不得进入下一步评审，全部评审合格的供应商，进入最后的打分，最后按得分由高向低排序，推荐成交候选供应商。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1、资格性审查</w:t>
      </w:r>
    </w:p>
    <w:p>
      <w:pPr>
        <w:pageBreakBefore w:val="0"/>
        <w:widowControl/>
        <w:kinsoku/>
        <w:overflowPunct/>
        <w:topLinePunct w:val="0"/>
        <w:autoSpaceDE/>
        <w:autoSpaceDN/>
        <w:bidi w:val="0"/>
        <w:adjustRightInd/>
        <w:snapToGrid/>
        <w:spacing w:after="190" w:afterLines="50"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响应文件开启</w:t>
      </w:r>
      <w:r>
        <w:rPr>
          <w:rFonts w:hint="eastAsia" w:ascii="仿宋_GB2312" w:hAnsi="仿宋_GB2312" w:eastAsia="仿宋_GB2312" w:cs="仿宋_GB2312"/>
          <w:color w:val="auto"/>
          <w:sz w:val="28"/>
          <w:szCs w:val="28"/>
        </w:rPr>
        <w:t>结束后，磋商小组依据法律法规和磋商文件的规定，对响应文件中的供应商资格证明文件进行审查，以确定供应商是否具备磋商资格。</w:t>
      </w:r>
    </w:p>
    <w:p>
      <w:pPr>
        <w:pageBreakBefore w:val="0"/>
        <w:kinsoku/>
        <w:overflowPunct/>
        <w:topLinePunct w:val="0"/>
        <w:bidi w:val="0"/>
        <w:spacing w:line="50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资格审查表</w:t>
      </w:r>
    </w:p>
    <w:tbl>
      <w:tblPr>
        <w:tblStyle w:val="20"/>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40"/>
        <w:gridCol w:w="5053"/>
        <w:gridCol w:w="7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资格审查项</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通过条件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结论</w:t>
            </w: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营业执照等主体资格证明文件</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提供有效存续的企业营业执照（副本）/事业单位法人证书/专业服务机构执业许可证/民办非企业单位登记证书。</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法定代表人授权委托书</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资格承诺函</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提供《汉中市政府采购供应商资格承诺函》。（按第五章格式填写）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highlight w:val="none"/>
              </w:rPr>
              <w:t>落实政府采购政策需满足的资格要求</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sz w:val="28"/>
                <w:szCs w:val="28"/>
                <w:highlight w:val="none"/>
              </w:rPr>
              <w:t>本项目专门面向中小企业采购，供应商应为中小微企业，磋商时须提供《中小企业声明函》（按第五章格式填写）。本项目采购标的对应的中小企业划分标准所属行业为：</w:t>
            </w:r>
            <w:r>
              <w:rPr>
                <w:rFonts w:hint="eastAsia" w:ascii="仿宋_GB2312" w:hAnsi="仿宋_GB2312" w:eastAsia="仿宋_GB2312" w:cs="仿宋_GB2312"/>
                <w:color w:val="auto"/>
                <w:sz w:val="28"/>
                <w:szCs w:val="28"/>
                <w:highlight w:val="none"/>
                <w:lang w:val="en-US" w:eastAsia="zh-CN"/>
              </w:rPr>
              <w:t>物业管理</w:t>
            </w:r>
            <w:r>
              <w:rPr>
                <w:rFonts w:hint="eastAsia" w:ascii="仿宋_GB2312" w:hAnsi="仿宋_GB2312" w:eastAsia="仿宋_GB2312" w:cs="仿宋_GB2312"/>
                <w:color w:val="auto"/>
                <w:sz w:val="28"/>
                <w:szCs w:val="28"/>
                <w:highlight w:val="none"/>
              </w:rPr>
              <w:t>。</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kern w:val="0"/>
                <w:sz w:val="28"/>
                <w:szCs w:val="28"/>
              </w:rPr>
              <w:t>磋商小组成员：（签字或盖章）</w:t>
            </w:r>
          </w:p>
        </w:tc>
      </w:tr>
    </w:tbl>
    <w:p>
      <w:pPr>
        <w:pageBreakBefore w:val="0"/>
        <w:kinsoku/>
        <w:overflowPunct/>
        <w:topLinePunct w:val="0"/>
        <w:bidi w:val="0"/>
        <w:spacing w:line="500" w:lineRule="exact"/>
        <w:textAlignment w:val="auto"/>
        <w:rPr>
          <w:rFonts w:ascii="Calibri" w:hAnsi="Calibri"/>
          <w:b/>
          <w:bCs/>
          <w:color w:val="auto"/>
          <w:sz w:val="28"/>
          <w:szCs w:val="28"/>
        </w:rPr>
      </w:pP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出现下列情形的，响应文件将被视为无效：</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（1）不具备磋商文件中规定的资格要求的；</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（2）未按磋商文件要求提供资格证明文件原件，或未按磋商文件要求加盖公章的；</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（3）磋商小组认为供应商的资格证明文件存在疑点，要求供应商现场提供原件，供应商不能在规定时限内提供原件或其所提供的原件无法证实响应文件所附证明文件有效性的。</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资格审查结束后，磋商小组成员应当对审查结果进行签字确认，并告知无效投标供应商资格审查未通过的原因。</w:t>
      </w:r>
    </w:p>
    <w:p>
      <w:pPr>
        <w:pStyle w:val="8"/>
        <w:keepNext w:val="0"/>
        <w:keepLines w:val="0"/>
        <w:pageBreakBefore w:val="0"/>
        <w:kinsoku/>
        <w:wordWrap/>
        <w:overflowPunct/>
        <w:topLinePunct w:val="0"/>
        <w:autoSpaceDE/>
        <w:autoSpaceDN/>
        <w:bidi w:val="0"/>
        <w:adjustRightInd/>
        <w:spacing w:after="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通过资格审查的供应商不足3家的，不得进行符合性审查。</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2、响应文件的符合性审查</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磋商小组依据磋商文件的规定，对响应文件的有效性、完整性和对磋商文件的响应程度进行审查，以确定是否对磋商文件的全部实质性要求做出响应。</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pPr>
        <w:pageBreakBefore w:val="0"/>
        <w:kinsoku/>
        <w:overflowPunct/>
        <w:topLinePunct w:val="0"/>
        <w:bidi w:val="0"/>
        <w:spacing w:line="500" w:lineRule="exact"/>
        <w:ind w:firstLine="566" w:firstLineChars="20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响应文件的符合性审查</w:t>
      </w:r>
    </w:p>
    <w:tbl>
      <w:tblPr>
        <w:tblStyle w:val="20"/>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518"/>
        <w:gridCol w:w="4173"/>
        <w:gridCol w:w="80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序号</w:t>
            </w:r>
          </w:p>
        </w:tc>
        <w:tc>
          <w:tcPr>
            <w:tcW w:w="2518"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符合性审查项</w:t>
            </w:r>
          </w:p>
        </w:tc>
        <w:tc>
          <w:tcPr>
            <w:tcW w:w="417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通过条件</w:t>
            </w:r>
          </w:p>
        </w:tc>
        <w:tc>
          <w:tcPr>
            <w:tcW w:w="807"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结论</w:t>
            </w:r>
          </w:p>
        </w:tc>
        <w:tc>
          <w:tcPr>
            <w:tcW w:w="144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1</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响应文件语言及有效期</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响应文件语言</w:t>
            </w:r>
            <w:r>
              <w:rPr>
                <w:rFonts w:hint="eastAsia" w:ascii="仿宋_GB2312" w:hAnsi="仿宋_GB2312" w:eastAsia="仿宋_GB2312" w:cs="仿宋_GB2312"/>
                <w:bCs/>
                <w:color w:val="auto"/>
                <w:kern w:val="0"/>
                <w:sz w:val="28"/>
                <w:szCs w:val="28"/>
              </w:rPr>
              <w:t>及有效期</w:t>
            </w:r>
            <w:r>
              <w:rPr>
                <w:rFonts w:hint="eastAsia" w:ascii="仿宋_GB2312" w:hAnsi="仿宋_GB2312" w:eastAsia="仿宋_GB2312" w:cs="仿宋_GB2312"/>
                <w:color w:val="auto"/>
                <w:sz w:val="28"/>
                <w:szCs w:val="28"/>
              </w:rPr>
              <w:t>符合磋商文件要求。</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响应文件封面、响应 函、法定代表人授权 委托书三处的项目名 称、项目编号、标段 （如有）</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三处均无遗漏，且与所投项目名称、 项目编号、标段（如有）一致。</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3</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响应文件签署、盖章</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均按磋商文件要求签字、盖章（评分标准中要求提供的证明材料除外）。</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4</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第一次磋商报价表</w:t>
            </w:r>
          </w:p>
        </w:tc>
        <w:tc>
          <w:tcPr>
            <w:tcW w:w="4173" w:type="dxa"/>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（1）第一次磋商报价表填写符合要求；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（2）计量单位、报价货币均符合磋商文件要求；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（3）第一次磋商报价未超出采购预算或磋商文件规定的最高限价。</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5</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响应文件完整性</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响应文件按照磋商文件要求编制，三部分内容齐全，无重大缺漏项。</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6</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技术服务要求</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完全理解并接受对合格供应商、合格的货物、工程或服务要求，根据响应文件中《技术服务偏差表》第三章“★”标识的实质性要求没有负偏离。</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7</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合同草案响应</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有完全理解并接受磋商文件合同草案 条款要求的描述。</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8</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供应商承诺书</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完全理解并填写《拒绝政府采购领域商业贿赂承诺书》。</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9</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无其他磋商文件或法规明确规定响应无效的事项</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没有不符合磋商文件规定的被视为无效响应的其他条款。</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7"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磋商小组成员：（签字或盖章）</w:t>
            </w:r>
          </w:p>
        </w:tc>
      </w:tr>
    </w:tbl>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3、响应文件的澄清</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（1）磋商小组在对响应文件的有效性、完整性和响应程度进行审查时，可以要求供应商对响应文件中含义不明确、同类问题表述不一致或者有明显文字和计算错误的内容等做出必要的澄清、说明或者更正。</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（2）依照《中华人民共和国民法典》中的过失责任原则，澄清、说明 或更正前磋商小组将按最不利于参与本次磋商供应商的原则对响应文件做 出评判。</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要求供应商澄清、说明或者更正响应文件应通过电子交易平台或电子邮件等书面形式做出。供应商应当在规定的澄清时限内通过公共资源交易平台（以下简称“平台”）或电子邮件（在平台无法支持的情况下）等书面形式提交，</w:t>
      </w:r>
      <w:r>
        <w:rPr>
          <w:rFonts w:hint="eastAsia" w:ascii="仿宋_GB2312" w:hAnsi="仿宋_GB2312" w:eastAsia="仿宋_GB2312" w:cs="仿宋_GB2312"/>
          <w:color w:val="auto"/>
          <w:sz w:val="28"/>
          <w:szCs w:val="28"/>
          <w:lang w:val="en-US" w:eastAsia="zh-CN"/>
        </w:rPr>
        <w:t>通过电子邮件提交的</w:t>
      </w:r>
      <w:r>
        <w:rPr>
          <w:rFonts w:hint="eastAsia" w:ascii="仿宋_GB2312" w:hAnsi="仿宋_GB2312" w:eastAsia="仿宋_GB2312" w:cs="仿宋_GB2312"/>
          <w:color w:val="auto"/>
          <w:sz w:val="28"/>
          <w:szCs w:val="28"/>
        </w:rPr>
        <w:t>澄清、说明或者更正应当由法定代表人或其授权代表签字或者加盖公章。</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（4）供应商的澄清、说明或者更正不得超出响应文件的范围或者改变响应文件的实质性内容。澄清、说明或者更正的内容将作为</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sz w:val="28"/>
          <w:szCs w:val="28"/>
        </w:rPr>
        <w:t>履行的重要依据。</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除采用竞争性磋商方式采购的政府购买服务项目、市场竞争不充分的 科研项目以及需要扶持的科技成果转化项目外，通过符合性审查的供应商 不足3家的，不得进行后续磋商活动，应予以</w:t>
      </w:r>
      <w:r>
        <w:rPr>
          <w:rFonts w:hint="eastAsia" w:ascii="仿宋_GB2312" w:hAnsi="仿宋_GB2312" w:eastAsia="仿宋_GB2312" w:cs="仿宋_GB2312"/>
          <w:b/>
          <w:bCs/>
          <w:color w:val="auto"/>
          <w:sz w:val="28"/>
          <w:szCs w:val="28"/>
          <w:lang w:val="en-US" w:eastAsia="zh-CN"/>
        </w:rPr>
        <w:t>终止</w:t>
      </w:r>
      <w:r>
        <w:rPr>
          <w:rFonts w:hint="eastAsia" w:ascii="仿宋_GB2312" w:hAnsi="仿宋_GB2312" w:eastAsia="仿宋_GB2312" w:cs="仿宋_GB2312"/>
          <w:b/>
          <w:bCs/>
          <w:color w:val="auto"/>
          <w:sz w:val="28"/>
          <w:szCs w:val="28"/>
        </w:rPr>
        <w:t>。</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4、进行磋商</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磋商小组所有成员应当集中与单一供应商分别进行磋商，并给予所有参加磋商的供应商平等的磋商机会。需要供应商书面答复磋商内容的，供应商应当按照磋商小组的要求，在磋商小组规定的时限内通过全国公共资源交易平台（汉中市）（sxggzyjy.hanzhong.gov.cn）（以下简称“平台”）〖首页·〉电子交易平台·〉企业端·〉我的项目·〉项目流程·〉澄清答复〗或电子邮件（在平台无法支持的情况下）等书面形式答复磋商的内容，</w:t>
      </w:r>
      <w:r>
        <w:rPr>
          <w:rFonts w:hint="eastAsia" w:ascii="仿宋_GB2312" w:hAnsi="仿宋_GB2312" w:eastAsia="仿宋_GB2312" w:cs="仿宋_GB2312"/>
          <w:bCs/>
          <w:color w:val="auto"/>
          <w:sz w:val="28"/>
          <w:szCs w:val="28"/>
          <w:lang w:val="en-US" w:eastAsia="zh-CN"/>
        </w:rPr>
        <w:t>通过电子邮件答复的内容应当</w:t>
      </w:r>
      <w:r>
        <w:rPr>
          <w:rFonts w:hint="eastAsia" w:ascii="仿宋_GB2312" w:hAnsi="仿宋_GB2312" w:eastAsia="仿宋_GB2312" w:cs="仿宋_GB2312"/>
          <w:bCs/>
          <w:color w:val="auto"/>
          <w:sz w:val="28"/>
          <w:szCs w:val="28"/>
        </w:rPr>
        <w:t>由法定代表人或其授权代表签字或者加盖公章。</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5、磋商文件的实质性变更</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（1）在磋商过程中，磋商小组可以根据磋商文件和磋商情况实质性变动采购需求中的技术、服务要求以及合同</w:t>
      </w:r>
      <w:r>
        <w:rPr>
          <w:rFonts w:hint="eastAsia" w:ascii="仿宋_GB2312" w:hAnsi="仿宋_GB2312" w:eastAsia="仿宋_GB2312" w:cs="仿宋_GB2312"/>
          <w:color w:val="auto"/>
          <w:sz w:val="28"/>
          <w:szCs w:val="28"/>
          <w:lang w:val="en-US" w:eastAsia="zh-CN"/>
        </w:rPr>
        <w:t>草案</w:t>
      </w:r>
      <w:r>
        <w:rPr>
          <w:rFonts w:hint="eastAsia" w:ascii="仿宋_GB2312" w:hAnsi="仿宋_GB2312" w:eastAsia="仿宋_GB2312" w:cs="仿宋_GB2312"/>
          <w:color w:val="auto"/>
          <w:sz w:val="28"/>
          <w:szCs w:val="28"/>
        </w:rPr>
        <w:t>条款，但不得变动磋商文件中的其他内容。实质性变动的内容，须经采购人代表确认。</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实质性变动不得改变原标的物，且应遵循有利于采购活动顺利实施的原则，当出现下列情形时，可实质性变动：</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当磋商小组发现磋商文件有明显错误、自相矛盾时，可通过实质性变动纠正错误，且应尽可能保证该变动不会排除各参与供应商；</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当进入最后报价环节的供应商不足</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家时，可通过实质性变动实现不少于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家供应商提交最后报价，但不得通过实质性变动将原本进入最后报价环节的供应商排除在外。</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）对磋商文件作出的实质性变动是磋商文件的有效组成部分，磋商小组将通过公共资源交易平台（以下简称“平台”）或电子邮件（在平台无法支持的情况下）等书面形式通知所有参加磋商的供应商。</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）供应商应当按照磋商文件的变动情况和磋商小组的要求，在磋商 小组规定的时限内重新提交响应文件，并用数字认证证书（CA 锁）签章或 由法定代表人或其授权代表签字或者加盖公章。</w:t>
      </w:r>
    </w:p>
    <w:p>
      <w:pPr>
        <w:pStyle w:val="19"/>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）供应商未能在规定的时间内按照磋商小组的要求通过公共资源交易平台（以下简称“平台”）或电子邮件（在平台无法支持的情况下）等书面形式提交实质性变更响应文件的，视作未实质性响应。</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6、最后报价</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（1）磋商文件能够详细列明采购标的的技术、服务要求的，磋商结束 后，磋商小组应当要求所有实质性响应的供应商在规定时间内提交最后报 价，提交最后报价的供应商不得少于3家。</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 2 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要在全国公共资源交易平台（汉中市）（sxggzyjy.hanzhong.gov.cn）（以下简称“平台”）〖首页·〉电子交易平台·〉企业端·〉我的项目·〉项目流程·〉网上报价〗中提交最后报价，并用数字认证证书（CA锁）签章。平台系统无法使用时，供应商要以书面形式提交最后报价。最后报价表应由其法定代表人或被授权代表签字或者加盖公章。最后报价将作为综合评分法中价格分的计算依据。</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（5）已提交响应文件的供应商，在提交最后报价之前，可以根据磋商 情况书面申请退出磋商，书面申请应由其法定代表人或被授权代表签字或 者加盖公章。</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6）磋商小组认为供应商的报价明显低于其他通过符合性和响应性审查供应商的报价，有可能影响工程、货物、服务质量或者不能诚信履约的，要求供应商在规定时间内通过公共资源交易平台（以下简称“平台”）或电子邮件（在平台无法支持的情况下）等书面形式提供说明（必要时提交相关证明材料），供应商不能证明其报价合理性的，按无效响应</w:t>
      </w:r>
      <w:r>
        <w:rPr>
          <w:rFonts w:hint="eastAsia" w:ascii="仿宋_GB2312" w:hAnsi="仿宋_GB2312" w:eastAsia="仿宋_GB2312" w:cs="仿宋_GB2312"/>
          <w:color w:val="auto"/>
          <w:sz w:val="28"/>
          <w:szCs w:val="28"/>
          <w:lang w:val="en-US" w:eastAsia="zh-CN"/>
        </w:rPr>
        <w:t>处理</w:t>
      </w:r>
      <w:r>
        <w:rPr>
          <w:rFonts w:hint="eastAsia" w:ascii="仿宋_GB2312" w:hAnsi="仿宋_GB2312" w:eastAsia="仿宋_GB2312" w:cs="仿宋_GB2312"/>
          <w:color w:val="auto"/>
          <w:sz w:val="28"/>
          <w:szCs w:val="28"/>
        </w:rPr>
        <w:t>。</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7、综合比较与评价</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经磋商确定最终采购需求和提交最后报价的供应商后，由磋商小组按“评审要素及分值一览表”中规定的评审方法和标准，对提交最后报价的供应商的响应文件和最后报价进行综合评分。</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评审时，磋商小组各成员应当独立对每个有效响应的文件进行评价、打分，然后汇总每个供应商每项评审因素的得分。</w:t>
      </w:r>
    </w:p>
    <w:p>
      <w:pPr>
        <w:pageBreakBefore w:val="0"/>
        <w:kinsoku/>
        <w:overflowPunct/>
        <w:topLinePunct w:val="0"/>
        <w:bidi w:val="0"/>
        <w:spacing w:after="190" w:afterLines="50" w:line="500" w:lineRule="exact"/>
        <w:jc w:val="center"/>
        <w:textAlignment w:val="auto"/>
        <w:rPr>
          <w:rFonts w:hint="eastAsia" w:ascii="仿宋_GB2312" w:hAnsi="仿宋_GB2312" w:eastAsia="仿宋_GB2312" w:cs="仿宋_GB2312"/>
          <w:b/>
          <w:bCs/>
          <w:color w:val="auto"/>
          <w:sz w:val="28"/>
          <w:szCs w:val="28"/>
        </w:rPr>
      </w:pPr>
      <w:bookmarkStart w:id="149" w:name="_Toc27797"/>
      <w:bookmarkStart w:id="150" w:name="_Toc9626"/>
      <w:bookmarkStart w:id="151" w:name="_Toc27187"/>
      <w:bookmarkStart w:id="152" w:name="_Toc2392"/>
      <w:r>
        <w:rPr>
          <w:rFonts w:hint="eastAsia" w:ascii="仿宋_GB2312" w:hAnsi="仿宋_GB2312" w:eastAsia="仿宋_GB2312" w:cs="仿宋_GB2312"/>
          <w:b/>
          <w:bCs/>
          <w:color w:val="auto"/>
          <w:sz w:val="28"/>
          <w:szCs w:val="28"/>
        </w:rPr>
        <w:t>评审要素及分值一览表</w:t>
      </w:r>
      <w:bookmarkEnd w:id="149"/>
      <w:bookmarkEnd w:id="150"/>
      <w:bookmarkEnd w:id="151"/>
      <w:bookmarkEnd w:id="152"/>
    </w:p>
    <w:tbl>
      <w:tblPr>
        <w:tblStyle w:val="20"/>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40"/>
        <w:gridCol w:w="826"/>
        <w:gridCol w:w="787"/>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31" w:type="dxa"/>
            <w:gridSpan w:val="2"/>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项别</w:t>
            </w:r>
          </w:p>
        </w:tc>
        <w:tc>
          <w:tcPr>
            <w:tcW w:w="1613" w:type="dxa"/>
            <w:gridSpan w:val="2"/>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w:t>
            </w:r>
          </w:p>
        </w:tc>
        <w:tc>
          <w:tcPr>
            <w:tcW w:w="5838" w:type="dxa"/>
            <w:vMerge w:val="restart"/>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91"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840" w:type="dxa"/>
            <w:vAlign w:val="center"/>
          </w:tcPr>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总分值100</w:t>
            </w:r>
          </w:p>
        </w:tc>
        <w:tc>
          <w:tcPr>
            <w:tcW w:w="826"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787"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分项最高分值</w:t>
            </w:r>
          </w:p>
        </w:tc>
        <w:tc>
          <w:tcPr>
            <w:tcW w:w="5838"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91" w:type="dxa"/>
            <w:vAlign w:val="center"/>
          </w:tcPr>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840"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826" w:type="dxa"/>
            <w:vAlign w:val="center"/>
          </w:tcPr>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787"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5838" w:type="dxa"/>
            <w:vAlign w:val="center"/>
          </w:tcPr>
          <w:p>
            <w:pPr>
              <w:keepNext w:val="0"/>
              <w:keepLines w:val="0"/>
              <w:pageBreakBefore w:val="0"/>
              <w:tabs>
                <w:tab w:val="left" w:pos="547"/>
              </w:tabs>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有效供应商最低报价为基准价得</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分，其他各供应商的报价得分按下列公式计算：</w:t>
            </w:r>
          </w:p>
          <w:p>
            <w:pPr>
              <w:keepNext w:val="0"/>
              <w:keepLines w:val="0"/>
              <w:pageBreakBefore w:val="0"/>
              <w:tabs>
                <w:tab w:val="left" w:pos="547"/>
              </w:tabs>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（基准价/磋商报价）×</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0</w:t>
            </w:r>
            <w:r>
              <w:rPr>
                <w:rFonts w:hint="eastAsia" w:ascii="仿宋_GB2312" w:hAnsi="仿宋_GB2312" w:eastAsia="仿宋_GB2312" w:cs="仿宋_GB2312"/>
                <w:b/>
                <w:bCs/>
                <w:sz w:val="28"/>
                <w:szCs w:val="28"/>
                <w:lang w:eastAsia="zh-CN"/>
              </w:rPr>
              <w:t>。</w:t>
            </w:r>
          </w:p>
          <w:p>
            <w:pPr>
              <w:pStyle w:val="5"/>
              <w:keepNext/>
              <w:keepLines/>
              <w:pageBreakBefore w:val="0"/>
              <w:widowControl/>
              <w:kinsoku/>
              <w:wordWrap/>
              <w:overflowPunct/>
              <w:topLinePunct w:val="0"/>
              <w:autoSpaceDE/>
              <w:autoSpaceDN/>
              <w:bidi w:val="0"/>
              <w:adjustRightInd w:val="0"/>
              <w:snapToGrid/>
              <w:spacing w:before="0" w:after="0" w:line="400" w:lineRule="exact"/>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spacing w:val="0"/>
                <w:kern w:val="2"/>
                <w:sz w:val="28"/>
                <w:szCs w:val="28"/>
                <w:lang w:val="en-US" w:eastAsia="zh-CN" w:bidi="ar-SA"/>
              </w:rPr>
              <w:t>根据“最后报价”计算价格得分。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jc w:val="center"/>
        </w:trPr>
        <w:tc>
          <w:tcPr>
            <w:tcW w:w="791" w:type="dxa"/>
            <w:vMerge w:val="restart"/>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服务方案</w:t>
            </w:r>
          </w:p>
        </w:tc>
        <w:tc>
          <w:tcPr>
            <w:tcW w:w="840" w:type="dxa"/>
            <w:vMerge w:val="restart"/>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64</w:t>
            </w: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总体服务方案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响应人提供本项目总体服务方案，包括①</w:t>
            </w:r>
            <w:r>
              <w:rPr>
                <w:rFonts w:hint="eastAsia" w:ascii="仿宋_GB2312" w:hAnsi="仿宋_GB2312" w:eastAsia="仿宋_GB2312" w:cs="仿宋_GB2312"/>
                <w:kern w:val="2"/>
                <w:sz w:val="28"/>
                <w:szCs w:val="28"/>
                <w:lang w:val="en-US" w:eastAsia="zh-CN" w:bidi="ar-SA"/>
              </w:rPr>
              <w:t>服务目标</w:t>
            </w:r>
            <w:r>
              <w:rPr>
                <w:rFonts w:hint="eastAsia" w:ascii="仿宋_GB2312" w:hAnsi="仿宋_GB2312" w:eastAsia="仿宋_GB2312" w:cs="仿宋_GB2312"/>
                <w:sz w:val="28"/>
                <w:szCs w:val="28"/>
                <w:lang w:val="en-US" w:eastAsia="zh-CN"/>
              </w:rPr>
              <w:t>②</w:t>
            </w:r>
            <w:r>
              <w:rPr>
                <w:rFonts w:hint="eastAsia" w:ascii="仿宋_GB2312" w:hAnsi="仿宋_GB2312" w:eastAsia="仿宋_GB2312" w:cs="仿宋_GB2312"/>
                <w:kern w:val="2"/>
                <w:sz w:val="28"/>
                <w:szCs w:val="28"/>
                <w:lang w:val="en-US" w:eastAsia="zh-CN" w:bidi="ar-SA"/>
              </w:rPr>
              <w:t>管理理念</w:t>
            </w:r>
            <w:r>
              <w:rPr>
                <w:rFonts w:hint="eastAsia" w:ascii="仿宋_GB2312" w:hAnsi="仿宋_GB2312" w:eastAsia="仿宋_GB2312" w:cs="仿宋_GB2312"/>
                <w:sz w:val="28"/>
                <w:szCs w:val="28"/>
                <w:lang w:val="en-US" w:eastAsia="zh-CN"/>
              </w:rPr>
              <w:t>③</w:t>
            </w:r>
            <w:r>
              <w:rPr>
                <w:rFonts w:hint="eastAsia" w:ascii="仿宋_GB2312" w:hAnsi="仿宋_GB2312" w:eastAsia="仿宋_GB2312" w:cs="仿宋_GB2312"/>
                <w:kern w:val="2"/>
                <w:sz w:val="28"/>
                <w:szCs w:val="28"/>
                <w:lang w:val="en-US" w:eastAsia="zh-CN" w:bidi="ar-SA"/>
              </w:rPr>
              <w:t>重难点分析及保障措施④项目进驻及筹备程序</w:t>
            </w:r>
            <w:r>
              <w:rPr>
                <w:rFonts w:hint="eastAsia" w:ascii="仿宋_GB2312" w:hAnsi="仿宋_GB2312" w:eastAsia="仿宋_GB2312" w:cs="仿宋_GB2312"/>
                <w:sz w:val="28"/>
                <w:szCs w:val="28"/>
                <w:lang w:val="en-US" w:eastAsia="zh-CN"/>
              </w:rPr>
              <w:t>。</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bookmarkStart w:id="423" w:name="_GoBack"/>
            <w:bookmarkEnd w:id="423"/>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1、完整性：方案内容完整全面，对上述各项内容均有详细描述及说明，得2分；缺1项，得1.5分；缺2项，得1分；缺3项，得0.5分。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组织机构设置</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响应人提供本项目组织机构设置，包括①</w:t>
            </w:r>
            <w:r>
              <w:rPr>
                <w:rFonts w:hint="eastAsia" w:ascii="仿宋_GB2312" w:hAnsi="仿宋_GB2312" w:eastAsia="仿宋_GB2312" w:cs="仿宋_GB2312"/>
                <w:kern w:val="2"/>
                <w:sz w:val="28"/>
                <w:szCs w:val="28"/>
                <w:lang w:val="en-US" w:eastAsia="zh-CN" w:bidi="ar-SA"/>
              </w:rPr>
              <w:t>公司组织机构设置</w:t>
            </w:r>
            <w:r>
              <w:rPr>
                <w:rFonts w:hint="eastAsia" w:ascii="仿宋_GB2312" w:hAnsi="仿宋_GB2312" w:eastAsia="仿宋_GB2312" w:cs="仿宋_GB2312"/>
                <w:sz w:val="28"/>
                <w:szCs w:val="28"/>
                <w:lang w:val="en-US" w:eastAsia="zh-CN"/>
              </w:rPr>
              <w:t>②项目组织机构设置③</w:t>
            </w:r>
            <w:r>
              <w:rPr>
                <w:rFonts w:hint="eastAsia" w:ascii="仿宋_GB2312" w:hAnsi="仿宋_GB2312" w:eastAsia="仿宋_GB2312" w:cs="仿宋_GB2312"/>
                <w:kern w:val="2"/>
                <w:sz w:val="28"/>
                <w:szCs w:val="28"/>
                <w:lang w:val="en-US" w:eastAsia="zh-CN" w:bidi="ar-SA"/>
              </w:rPr>
              <w:t>拟派人员清单</w:t>
            </w:r>
            <w:r>
              <w:rPr>
                <w:rFonts w:hint="eastAsia" w:ascii="仿宋_GB2312" w:hAnsi="仿宋_GB2312" w:eastAsia="仿宋_GB2312" w:cs="仿宋_GB2312"/>
                <w:kern w:val="2"/>
                <w:sz w:val="28"/>
                <w:szCs w:val="28"/>
                <w:highlight w:val="none"/>
                <w:lang w:val="en-US" w:eastAsia="zh-CN" w:bidi="ar-SA"/>
              </w:rPr>
              <w:t>（包含姓名、年龄、工作经验等信息）</w:t>
            </w:r>
            <w:r>
              <w:rPr>
                <w:rFonts w:hint="eastAsia" w:ascii="仿宋_GB2312" w:hAnsi="仿宋_GB2312" w:eastAsia="仿宋_GB2312" w:cs="仿宋_GB2312"/>
                <w:kern w:val="2"/>
                <w:sz w:val="28"/>
                <w:szCs w:val="28"/>
                <w:lang w:val="en-US" w:eastAsia="zh-CN" w:bidi="ar-SA"/>
              </w:rPr>
              <w:t>④拟派人员分工及岗位职责</w:t>
            </w:r>
            <w:r>
              <w:rPr>
                <w:rFonts w:hint="eastAsia" w:ascii="仿宋_GB2312" w:hAnsi="仿宋_GB2312" w:eastAsia="仿宋_GB2312" w:cs="仿宋_GB2312"/>
                <w:sz w:val="28"/>
                <w:szCs w:val="28"/>
                <w:lang w:val="en-US" w:eastAsia="zh-CN"/>
              </w:rPr>
              <w:t>。</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1、完整性：方案内容完整全面，对上述各项内容均有详细描述及说明，得2分；缺1项，得1.5分；缺2项，得1分；缺3项，得0.5分。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2、针对性：针对性强，得3分；针对性一般，得1.5分；缺乏针对性，得0分。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3、可实施性：可实施性强，得3分；可实施性一般，得1.5分；缺乏可实施性，得0分。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日常运行服务方案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响应人提供本项目日常运行服务方案，包括①引导、运送乘客</w:t>
            </w:r>
            <w:r>
              <w:rPr>
                <w:rFonts w:hint="eastAsia" w:ascii="仿宋_GB2312" w:hAnsi="仿宋_GB2312" w:eastAsia="仿宋_GB2312" w:cs="仿宋_GB2312"/>
                <w:kern w:val="2"/>
                <w:sz w:val="28"/>
                <w:szCs w:val="28"/>
                <w:lang w:val="en-US" w:eastAsia="zh-CN" w:bidi="ar-SA"/>
              </w:rPr>
              <w:t>实施方案</w:t>
            </w:r>
            <w:r>
              <w:rPr>
                <w:rFonts w:hint="eastAsia" w:ascii="仿宋_GB2312" w:hAnsi="仿宋_GB2312" w:eastAsia="仿宋_GB2312" w:cs="仿宋_GB2312"/>
                <w:sz w:val="28"/>
                <w:szCs w:val="28"/>
                <w:lang w:val="en-US" w:eastAsia="zh-CN"/>
              </w:rPr>
              <w:t>②电梯卫生清洁</w:t>
            </w:r>
            <w:r>
              <w:rPr>
                <w:rFonts w:hint="eastAsia" w:ascii="仿宋_GB2312" w:hAnsi="仿宋_GB2312" w:eastAsia="仿宋_GB2312" w:cs="仿宋_GB2312"/>
                <w:kern w:val="2"/>
                <w:sz w:val="28"/>
                <w:szCs w:val="28"/>
                <w:lang w:val="en-US" w:eastAsia="zh-CN" w:bidi="ar-SA"/>
              </w:rPr>
              <w:t>实施方案</w:t>
            </w:r>
            <w:r>
              <w:rPr>
                <w:rFonts w:hint="eastAsia" w:ascii="仿宋_GB2312" w:hAnsi="仿宋_GB2312" w:eastAsia="仿宋_GB2312" w:cs="仿宋_GB2312"/>
                <w:sz w:val="28"/>
                <w:szCs w:val="28"/>
                <w:lang w:val="en-US" w:eastAsia="zh-CN"/>
              </w:rPr>
              <w:t>③电梯安全巡查实施方案④开、关电梯</w:t>
            </w:r>
            <w:r>
              <w:rPr>
                <w:rFonts w:hint="eastAsia" w:ascii="仿宋_GB2312" w:hAnsi="仿宋_GB2312" w:eastAsia="仿宋_GB2312" w:cs="仿宋_GB2312"/>
                <w:kern w:val="2"/>
                <w:sz w:val="28"/>
                <w:szCs w:val="28"/>
                <w:lang w:val="en-US" w:eastAsia="zh-CN" w:bidi="ar-SA"/>
              </w:rPr>
              <w:t>实施方案</w:t>
            </w:r>
            <w:r>
              <w:rPr>
                <w:rFonts w:hint="eastAsia" w:ascii="仿宋_GB2312" w:hAnsi="仿宋_GB2312" w:eastAsia="仿宋_GB2312" w:cs="仿宋_GB2312"/>
                <w:sz w:val="28"/>
                <w:szCs w:val="28"/>
                <w:lang w:val="en-US" w:eastAsia="zh-CN"/>
              </w:rPr>
              <w:t>。</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1、完整性：方案内容完整全面，对上述各项内容均有详细描述及说明，得2分；缺1项，得1.5分；缺2项，得1分；缺3项，得0.5分。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2、针对性：针对性强，得4分；针对性一般，得2分；缺乏针对性，得0分。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3、可实施性：可实施性强，得4分；可实施性一般，得2分；缺乏可实施性，得0分。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特殊情况服务方案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w:t>
            </w:r>
            <w:r>
              <w:rPr>
                <w:rFonts w:hint="eastAsia" w:ascii="仿宋_GB2312" w:hAnsi="仿宋_GB2312" w:eastAsia="仿宋_GB2312" w:cs="仿宋_GB2312"/>
                <w:kern w:val="2"/>
                <w:sz w:val="28"/>
                <w:szCs w:val="28"/>
                <w:lang w:val="en-US" w:eastAsia="zh-CN" w:bidi="ar-SA"/>
              </w:rPr>
              <w:t>特殊情况服务方案</w:t>
            </w:r>
            <w:r>
              <w:rPr>
                <w:rFonts w:hint="eastAsia" w:ascii="仿宋_GB2312" w:hAnsi="仿宋_GB2312" w:eastAsia="仿宋_GB2312" w:cs="仿宋_GB2312"/>
                <w:sz w:val="28"/>
                <w:szCs w:val="28"/>
                <w:lang w:val="en-US" w:eastAsia="zh-CN"/>
              </w:rPr>
              <w:t>，包括①工作日</w:t>
            </w:r>
            <w:r>
              <w:rPr>
                <w:rFonts w:hint="eastAsia" w:ascii="仿宋_GB2312" w:hAnsi="仿宋_GB2312" w:eastAsia="仿宋_GB2312" w:cs="仿宋_GB2312"/>
                <w:kern w:val="2"/>
                <w:sz w:val="28"/>
                <w:szCs w:val="28"/>
                <w:lang w:val="en-US" w:eastAsia="zh-CN" w:bidi="ar-SA"/>
              </w:rPr>
              <w:t>下班时间及节假日服务</w:t>
            </w:r>
            <w:r>
              <w:rPr>
                <w:rFonts w:hint="eastAsia" w:ascii="仿宋_GB2312" w:hAnsi="仿宋_GB2312" w:eastAsia="仿宋_GB2312" w:cs="仿宋_GB2312"/>
                <w:sz w:val="28"/>
                <w:szCs w:val="28"/>
                <w:lang w:val="en-US" w:eastAsia="zh-CN"/>
              </w:rPr>
              <w:t>方案②就诊高峰期</w:t>
            </w:r>
            <w:r>
              <w:rPr>
                <w:rFonts w:hint="eastAsia" w:ascii="仿宋_GB2312" w:hAnsi="仿宋_GB2312" w:eastAsia="仿宋_GB2312" w:cs="仿宋_GB2312"/>
                <w:kern w:val="2"/>
                <w:sz w:val="28"/>
                <w:szCs w:val="28"/>
                <w:lang w:val="en-US" w:eastAsia="zh-CN" w:bidi="ar-SA"/>
              </w:rPr>
              <w:t>服务</w:t>
            </w:r>
            <w:r>
              <w:rPr>
                <w:rFonts w:hint="eastAsia" w:ascii="仿宋_GB2312" w:hAnsi="仿宋_GB2312" w:eastAsia="仿宋_GB2312" w:cs="仿宋_GB2312"/>
                <w:sz w:val="28"/>
                <w:szCs w:val="28"/>
                <w:lang w:val="en-US" w:eastAsia="zh-CN"/>
              </w:rPr>
              <w:t>方案③临时活动（大型会议、上级检查等）服务方案。</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1、完整性：方案内容完整全面，对上述各项内容均有详细描述及说明，得2分；缺1项，得1.3分；缺2项，得0.6分。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应急预案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w:t>
            </w:r>
            <w:r>
              <w:rPr>
                <w:rFonts w:hint="eastAsia" w:ascii="仿宋_GB2312" w:hAnsi="仿宋_GB2312" w:eastAsia="仿宋_GB2312" w:cs="仿宋_GB2312"/>
                <w:kern w:val="2"/>
                <w:sz w:val="28"/>
                <w:szCs w:val="28"/>
                <w:lang w:val="en-US" w:eastAsia="zh-CN" w:bidi="ar-SA"/>
              </w:rPr>
              <w:t>应急预案</w:t>
            </w:r>
            <w:r>
              <w:rPr>
                <w:rFonts w:hint="eastAsia" w:ascii="仿宋_GB2312" w:hAnsi="仿宋_GB2312" w:eastAsia="仿宋_GB2312" w:cs="仿宋_GB2312"/>
                <w:sz w:val="28"/>
                <w:szCs w:val="28"/>
                <w:lang w:val="en-US" w:eastAsia="zh-CN"/>
              </w:rPr>
              <w:t>，包括①电梯事故应急预案（</w:t>
            </w:r>
            <w:r>
              <w:rPr>
                <w:rFonts w:hint="eastAsia" w:ascii="仿宋_GB2312" w:hAnsi="仿宋_GB2312" w:eastAsia="仿宋_GB2312" w:cs="仿宋_GB2312"/>
                <w:kern w:val="2"/>
                <w:sz w:val="28"/>
                <w:szCs w:val="28"/>
                <w:lang w:val="en-US" w:eastAsia="zh-CN" w:bidi="ar-SA"/>
              </w:rPr>
              <w:t>停电、困人、溢水、火灾、地震等突发事件</w:t>
            </w:r>
            <w:r>
              <w:rPr>
                <w:rFonts w:hint="eastAsia" w:ascii="仿宋_GB2312" w:hAnsi="仿宋_GB2312" w:eastAsia="仿宋_GB2312" w:cs="仿宋_GB2312"/>
                <w:sz w:val="28"/>
                <w:szCs w:val="28"/>
                <w:lang w:val="en-US" w:eastAsia="zh-CN"/>
              </w:rPr>
              <w:t>）②危重病人紧急运送实施方案。</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1、完整性：方案内容完整全面，对上述各项内容均有详细描述及说明，得1分；缺1项，得0.5分。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2、针对性：针对性强，得3分；针对性一般，得1.5分；缺乏针对性，得0分。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3、可实施性：可实施性强，得3分；可实施性一般，得1.5分；缺乏可实施性，得0分。</w:t>
            </w:r>
          </w:p>
          <w:p>
            <w:pPr>
              <w:keepNext w:val="0"/>
              <w:keepLines w:val="0"/>
              <w:pageBreakBefore w:val="0"/>
              <w:kinsoku/>
              <w:wordWrap/>
              <w:overflowPunct/>
              <w:topLinePunct w:val="0"/>
              <w:bidi w:val="0"/>
              <w:spacing w:line="400" w:lineRule="exact"/>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安全保障方案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838" w:type="dxa"/>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一、评审内容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响应人提供本项目安全保障方案，包括①维持乘梯秩序方案②故障处置措施③电梯维保配合工作方案④消防安全管理方案。</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二、赋分标准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1、完整性：方案内容完整全面，对上述各项内容均有详细描述及说明，得2分；缺1项，得1.5分；缺2项，得1分；缺3项，得0.5分。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2、针对性：针对性强，得3分；针对性一般，得1.5分；缺乏针对性，得0分。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3、可实施性：可实施性强，得3分；可实施性一般，得1.5分；缺乏可实施性，得0分。</w:t>
            </w:r>
          </w:p>
          <w:p>
            <w:pPr>
              <w:keepNext w:val="0"/>
              <w:keepLines w:val="0"/>
              <w:pageBreakBefore w:val="0"/>
              <w:kinsoku/>
              <w:wordWrap/>
              <w:overflowPunct/>
              <w:topLinePunct w:val="0"/>
              <w:bidi w:val="0"/>
              <w:spacing w:line="400" w:lineRule="exact"/>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此项不提供不得分。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管理制度</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838" w:type="dxa"/>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一、评审内容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人提供本项目管理制度，包括①工作制度：岗位工作职责、服务质量标准、工作记录及档案管理制度②内控制度：服务质量监督考核办法、奖惩制度、问责机制③人员制度：人员考勤及请销假制度、仪容仪表制度、人员培训制度。</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二、赋分标准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1、完整性：方案内容完整全面，对上述各项内容均有详细描述及说明，得2分；缺1项，得1.3分；缺2项，得0.6分。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2、针对性：针对性强，得3分；针对性一般，得1.5分；缺乏针对性，得0分。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3、可实施性：可实施性强，得3分；可实施性一般，得1.5分；缺乏可实施性，得0分。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培训实施方案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838" w:type="dxa"/>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一、评审内容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响应人提供本项目的培训实施方案，包括①培训计划②培训形式③培训内容。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二、赋分标准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1、完整性：方案内容完整全面，对上述各项内容均有详细描述及说明，得2分；缺1项，得1.3分；缺2项，得0.6分。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2、针对性：针对性强，得2分；针对性一般，得1分；缺乏针对性，得0分。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3、可实施性：可实施性强，得2分；可实施性一般，得1分；缺乏可实施性，得0分。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服务优化</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838" w:type="dxa"/>
            <w:vAlign w:val="center"/>
          </w:tcPr>
          <w:p>
            <w:pPr>
              <w:keepNext w:val="0"/>
              <w:keepLines w:val="0"/>
              <w:pageBreakBefore w:val="0"/>
              <w:kinsoku/>
              <w:wordWrap/>
              <w:overflowPunct/>
              <w:topLinePunct w:val="0"/>
              <w:bidi w:val="0"/>
              <w:spacing w:line="400" w:lineRule="exact"/>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针对本项目提供具有特色的管理服务思路和措施、增值服务等，每采纳一项得1分，最多得2分。此项不提供或不被采纳不得分。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791" w:type="dxa"/>
            <w:vMerge w:val="continue"/>
            <w:vAlign w:val="center"/>
          </w:tcPr>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kinsoku/>
              <w:wordWrap/>
              <w:overflowPunct/>
              <w:topLinePunct w:val="0"/>
              <w:bidi w:val="0"/>
              <w:snapToGrid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人员配备</w:t>
            </w:r>
          </w:p>
        </w:tc>
        <w:tc>
          <w:tcPr>
            <w:tcW w:w="787"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5838" w:type="dxa"/>
            <w:vAlign w:val="center"/>
          </w:tcPr>
          <w:p>
            <w:pPr>
              <w:keepNext w:val="0"/>
              <w:keepLines w:val="0"/>
              <w:pageBreakBefore w:val="0"/>
              <w:numPr>
                <w:ilvl w:val="0"/>
                <w:numId w:val="0"/>
              </w:numPr>
              <w:kinsoku/>
              <w:wordWrap/>
              <w:overflowPunct/>
              <w:topLinePunct w:val="0"/>
              <w:bidi w:val="0"/>
              <w:spacing w:line="400" w:lineRule="exact"/>
              <w:ind w:left="0" w:leftChars="0" w:firstLine="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拟派管理人员具有电梯运行服务管理经验的，每年得1分，最多得3分。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赋分依据：</w:t>
            </w:r>
            <w:r>
              <w:rPr>
                <w:rFonts w:hint="eastAsia" w:ascii="仿宋_GB2312" w:hAnsi="仿宋_GB2312" w:eastAsia="仿宋_GB2312" w:cs="仿宋_GB2312"/>
                <w:sz w:val="28"/>
                <w:szCs w:val="28"/>
                <w:lang w:val="en-US" w:eastAsia="zh-CN"/>
              </w:rPr>
              <w:t>提供相关管理经验证明材料或被服务单位加盖公章的管理经验证明材料，证明材料可累计，格式不限，不提供或提供无效材料均不得分。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91" w:type="dxa"/>
            <w:vMerge w:val="restart"/>
            <w:vAlign w:val="center"/>
          </w:tcPr>
          <w:p>
            <w:pPr>
              <w:pStyle w:val="17"/>
              <w:keepNext w:val="0"/>
              <w:keepLines w:val="0"/>
              <w:pageBreakBefore w:val="0"/>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商务</w:t>
            </w:r>
          </w:p>
        </w:tc>
        <w:tc>
          <w:tcPr>
            <w:tcW w:w="840" w:type="dxa"/>
            <w:vMerge w:val="restart"/>
            <w:vAlign w:val="center"/>
          </w:tcPr>
          <w:p>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826"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业绩</w:t>
            </w:r>
          </w:p>
        </w:tc>
        <w:tc>
          <w:tcPr>
            <w:tcW w:w="787"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4</w:t>
            </w:r>
          </w:p>
        </w:tc>
        <w:tc>
          <w:tcPr>
            <w:tcW w:w="5838" w:type="dxa"/>
            <w:vAlign w:val="center"/>
          </w:tcPr>
          <w:p>
            <w:pPr>
              <w:keepNext w:val="0"/>
              <w:keepLines w:val="0"/>
              <w:pageBreakBefore w:val="0"/>
              <w:kinsoku/>
              <w:wordWrap/>
              <w:overflowPunct/>
              <w:topLinePunct w:val="0"/>
              <w:bidi w:val="0"/>
              <w:spacing w:line="4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年1月1日以来</w:t>
            </w:r>
            <w:r>
              <w:rPr>
                <w:rFonts w:hint="eastAsia" w:ascii="仿宋_GB2312" w:hAnsi="仿宋_GB2312" w:eastAsia="仿宋_GB2312" w:cs="仿宋_GB2312"/>
                <w:sz w:val="28"/>
                <w:szCs w:val="28"/>
                <w:lang w:val="en-US" w:eastAsia="zh-CN"/>
              </w:rPr>
              <w:t>同类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复印件加盖响应人公章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以合同签订日期为准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，每份1分，</w:t>
            </w:r>
            <w:r>
              <w:rPr>
                <w:rFonts w:hint="eastAsia" w:ascii="仿宋_GB2312" w:hAnsi="仿宋_GB2312" w:eastAsia="仿宋_GB2312" w:cs="仿宋_GB2312"/>
                <w:sz w:val="28"/>
                <w:szCs w:val="28"/>
                <w:lang w:val="en-US" w:eastAsia="zh-CN"/>
              </w:rPr>
              <w:t>最多得4</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91" w:type="dxa"/>
            <w:vMerge w:val="continue"/>
            <w:vAlign w:val="center"/>
          </w:tcPr>
          <w:p>
            <w:pPr>
              <w:pStyle w:val="17"/>
              <w:keepNext w:val="0"/>
              <w:keepLines w:val="0"/>
              <w:pageBreakBefore w:val="0"/>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rPr>
            </w:pPr>
          </w:p>
        </w:tc>
        <w:tc>
          <w:tcPr>
            <w:tcW w:w="840" w:type="dxa"/>
            <w:vMerge w:val="continue"/>
            <w:vAlign w:val="center"/>
          </w:tcPr>
          <w:p>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服务承诺</w:t>
            </w:r>
          </w:p>
        </w:tc>
        <w:tc>
          <w:tcPr>
            <w:tcW w:w="787" w:type="dxa"/>
            <w:vAlign w:val="center"/>
          </w:tcPr>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w:t>
            </w:r>
          </w:p>
        </w:tc>
        <w:tc>
          <w:tcPr>
            <w:tcW w:w="5838" w:type="dxa"/>
            <w:vAlign w:val="center"/>
          </w:tcPr>
          <w:p>
            <w:pPr>
              <w:keepNext w:val="0"/>
              <w:keepLines w:val="0"/>
              <w:pageBreakBefore w:val="0"/>
              <w:numPr>
                <w:ilvl w:val="0"/>
                <w:numId w:val="0"/>
              </w:numPr>
              <w:kinsoku/>
              <w:wordWrap/>
              <w:overflowPunct/>
              <w:topLinePunct w:val="0"/>
              <w:bidi w:val="0"/>
              <w:spacing w:line="40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lang w:val="en-US" w:eastAsia="zh-CN"/>
              </w:rPr>
              <w:t>承诺：</w:t>
            </w:r>
            <w:r>
              <w:rPr>
                <w:rFonts w:hint="eastAsia" w:ascii="仿宋_GB2312" w:hAnsi="仿宋_GB2312" w:eastAsia="仿宋_GB2312" w:cs="仿宋_GB2312"/>
                <w:sz w:val="28"/>
                <w:szCs w:val="28"/>
              </w:rPr>
              <w:t>上岗人员固定，不随意更换，若出现人员因事、病等不能工作的，及时调整其他人员补充，确保服务工作的正常进行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得1分，无承诺不得分</w:t>
            </w:r>
            <w:r>
              <w:rPr>
                <w:rFonts w:hint="eastAsia" w:ascii="仿宋_GB2312" w:hAnsi="仿宋_GB2312" w:eastAsia="仿宋_GB2312" w:cs="仿宋_GB2312"/>
                <w:sz w:val="28"/>
                <w:szCs w:val="28"/>
                <w:lang w:eastAsia="zh-CN"/>
              </w:rPr>
              <w:t>。</w:t>
            </w:r>
          </w:p>
          <w:p>
            <w:pPr>
              <w:keepNext w:val="0"/>
              <w:keepLines w:val="0"/>
              <w:pageBreakBefore w:val="0"/>
              <w:numPr>
                <w:ilvl w:val="0"/>
                <w:numId w:val="0"/>
              </w:numPr>
              <w:kinsoku/>
              <w:wordWrap/>
              <w:overflowPunct/>
              <w:topLinePunct w:val="0"/>
              <w:bidi w:val="0"/>
              <w:spacing w:line="40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sz w:val="28"/>
                <w:szCs w:val="28"/>
                <w:lang w:val="en-US" w:eastAsia="zh-CN"/>
              </w:rPr>
              <w:t>承诺：</w:t>
            </w:r>
            <w:r>
              <w:rPr>
                <w:rFonts w:hint="eastAsia" w:ascii="仿宋_GB2312" w:hAnsi="仿宋_GB2312" w:eastAsia="仿宋_GB2312" w:cs="仿宋_GB2312"/>
                <w:sz w:val="28"/>
                <w:szCs w:val="28"/>
              </w:rPr>
              <w:t>储备可调度人员，调度人员</w:t>
            </w:r>
            <w:r>
              <w:rPr>
                <w:rFonts w:hint="eastAsia" w:ascii="仿宋_GB2312" w:hAnsi="仿宋_GB2312" w:eastAsia="仿宋_GB2312" w:cs="仿宋_GB2312"/>
                <w:sz w:val="28"/>
                <w:szCs w:val="28"/>
                <w:lang w:val="en-US" w:eastAsia="zh-CN"/>
              </w:rPr>
              <w:t>能够</w:t>
            </w:r>
            <w:r>
              <w:rPr>
                <w:rFonts w:hint="eastAsia" w:ascii="仿宋_GB2312" w:hAnsi="仿宋_GB2312" w:eastAsia="仿宋_GB2312" w:cs="仿宋_GB2312"/>
                <w:sz w:val="28"/>
                <w:szCs w:val="28"/>
              </w:rPr>
              <w:t>保障临时性工作需要及处置突发事件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得1分，无承诺不得分。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1" w:type="dxa"/>
            <w:vMerge w:val="restart"/>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c>
          <w:tcPr>
            <w:tcW w:w="8291" w:type="dxa"/>
            <w:gridSpan w:val="4"/>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评审标准</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（1）针对性强：方案能够完全切合本项目实际情况。</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（2）针对性一般：方案中多数内容能够切合本项目实际情况，但存在至少一处不适用本项目实际的内容。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（3）缺乏针对性：方案描述不符合本项目</w:t>
            </w:r>
            <w:r>
              <w:rPr>
                <w:rFonts w:hint="eastAsia" w:ascii="仿宋_GB2312" w:hAnsi="仿宋_GB2312" w:eastAsia="仿宋_GB2312" w:cs="仿宋_GB2312"/>
                <w:sz w:val="28"/>
                <w:szCs w:val="28"/>
                <w:highlight w:val="none"/>
                <w:lang w:val="en-US" w:eastAsia="zh-CN"/>
              </w:rPr>
              <w:t>实际情况</w:t>
            </w:r>
            <w:r>
              <w:rPr>
                <w:rFonts w:hint="eastAsia" w:ascii="仿宋_GB2312" w:hAnsi="仿宋_GB2312" w:eastAsia="仿宋_GB2312" w:cs="仿宋_GB2312"/>
                <w:sz w:val="28"/>
                <w:szCs w:val="28"/>
                <w:lang w:eastAsia="zh-CN"/>
              </w:rPr>
              <w:t>，存在明显套用其他项目方案的内容。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2、可实施性：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（1）可实施性强：方案</w:t>
            </w:r>
            <w:r>
              <w:rPr>
                <w:rFonts w:hint="eastAsia" w:ascii="仿宋_GB2312" w:hAnsi="仿宋_GB2312" w:eastAsia="仿宋_GB2312" w:cs="仿宋_GB2312"/>
                <w:sz w:val="28"/>
                <w:szCs w:val="28"/>
                <w:lang w:val="en-US" w:eastAsia="zh-CN"/>
              </w:rPr>
              <w:t>工作流程完善，</w:t>
            </w:r>
            <w:r>
              <w:rPr>
                <w:rFonts w:hint="eastAsia" w:ascii="仿宋_GB2312" w:hAnsi="仿宋_GB2312" w:eastAsia="仿宋_GB2312" w:cs="仿宋_GB2312"/>
                <w:sz w:val="28"/>
                <w:szCs w:val="28"/>
                <w:lang w:eastAsia="zh-CN"/>
              </w:rPr>
              <w:t>实施步骤清晰，科学合理，可操作性强。</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（2）可实施性一般：方案中存在至少一处表述模糊、难以执行或不够科学合理</w:t>
            </w:r>
            <w:r>
              <w:rPr>
                <w:rFonts w:hint="eastAsia" w:ascii="仿宋_GB2312" w:hAnsi="仿宋_GB2312" w:eastAsia="仿宋_GB2312" w:cs="仿宋_GB2312"/>
                <w:sz w:val="28"/>
                <w:szCs w:val="28"/>
                <w:highlight w:val="none"/>
                <w:lang w:eastAsia="zh-CN"/>
              </w:rPr>
              <w:t>的内容。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highlight w:val="none"/>
                <w:lang w:eastAsia="zh-CN"/>
              </w:rPr>
              <w:t>（3）缺乏可实施性：方案内容空洞，工作流程不完善，实施标准、实施质量不利于采购需求的实现，存在逻辑漏洞、</w:t>
            </w:r>
            <w:r>
              <w:rPr>
                <w:rFonts w:hint="eastAsia" w:ascii="仿宋_GB2312" w:hAnsi="仿宋_GB2312" w:eastAsia="仿宋_GB2312" w:cs="仿宋_GB2312"/>
                <w:sz w:val="28"/>
                <w:szCs w:val="28"/>
                <w:highlight w:val="none"/>
                <w:lang w:val="en-US" w:eastAsia="zh-CN"/>
              </w:rPr>
              <w:t>常识错误</w:t>
            </w:r>
            <w:r>
              <w:rPr>
                <w:rFonts w:hint="eastAsia" w:ascii="仿宋_GB2312" w:hAnsi="仿宋_GB2312" w:eastAsia="仿宋_GB2312" w:cs="仿宋_GB2312"/>
                <w:sz w:val="28"/>
                <w:szCs w:val="28"/>
                <w:highlight w:val="none"/>
                <w:lang w:eastAsia="zh-CN"/>
              </w:rPr>
              <w:t>或合理性差</w:t>
            </w:r>
            <w:r>
              <w:rPr>
                <w:rFonts w:hint="eastAsia" w:ascii="仿宋_GB2312" w:hAnsi="仿宋_GB2312" w:eastAsia="仿宋_GB2312" w:cs="仿宋_GB2312"/>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sz w:val="28"/>
                <w:szCs w:val="28"/>
              </w:rPr>
            </w:pPr>
          </w:p>
        </w:tc>
        <w:tc>
          <w:tcPr>
            <w:tcW w:w="8291" w:type="dxa"/>
            <w:gridSpan w:val="4"/>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磋商小组成员必须按照本评审要素据实打分，各类数字计算均按“四舍五入”保留小数点后两位</w:t>
            </w:r>
            <w:r>
              <w:rPr>
                <w:rFonts w:hint="eastAsia" w:ascii="仿宋_GB2312" w:hAnsi="仿宋_GB2312" w:eastAsia="仿宋_GB2312" w:cs="仿宋_GB2312"/>
                <w:sz w:val="28"/>
                <w:szCs w:val="28"/>
                <w:lang w:eastAsia="zh-CN"/>
              </w:rPr>
              <w:t>。</w:t>
            </w:r>
          </w:p>
        </w:tc>
      </w:tr>
    </w:tbl>
    <w:p>
      <w:pPr>
        <w:pStyle w:val="19"/>
        <w:pageBreakBefore w:val="0"/>
        <w:kinsoku/>
        <w:overflowPunct/>
        <w:topLinePunct w:val="0"/>
        <w:bidi w:val="0"/>
        <w:spacing w:line="500" w:lineRule="exact"/>
        <w:ind w:firstLine="0" w:firstLineChars="0"/>
        <w:textAlignment w:val="auto"/>
        <w:rPr>
          <w:color w:val="auto"/>
        </w:rPr>
      </w:pP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8、推荐成交候选供应商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9、编写评审报告</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当排序推荐磋商供应商名单出现多数评委成员的评审意见比较一致，某一个别评委的赋分畸高畸低，导致排序结果改变的，该评委</w:t>
      </w:r>
      <w:r>
        <w:rPr>
          <w:rFonts w:hint="eastAsia" w:ascii="仿宋_GB2312" w:hAnsi="仿宋_GB2312" w:eastAsia="仿宋_GB2312" w:cs="仿宋_GB2312"/>
          <w:color w:val="auto"/>
          <w:sz w:val="28"/>
          <w:szCs w:val="28"/>
          <w:lang w:val="en-US" w:eastAsia="zh-CN"/>
        </w:rPr>
        <w:t>应当</w:t>
      </w:r>
      <w:r>
        <w:rPr>
          <w:rFonts w:hint="eastAsia" w:ascii="仿宋_GB2312" w:hAnsi="仿宋_GB2312" w:eastAsia="仿宋_GB2312" w:cs="仿宋_GB2312"/>
          <w:color w:val="auto"/>
          <w:sz w:val="28"/>
          <w:szCs w:val="28"/>
        </w:rPr>
        <w:t>重新进行评价，并向磋商</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说明其赋分的合理理由，对拒绝说明、拒绝重新评价的，报告同级财政政府采购管理部门处理。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除下列情形外，任何人不得以任何理由组织重新评审：</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资格性检查认定错误的；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 xml:space="preserve">分值汇总计算错误的； </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③</w:t>
      </w:r>
      <w:r>
        <w:rPr>
          <w:rFonts w:hint="eastAsia" w:ascii="仿宋_GB2312" w:hAnsi="仿宋_GB2312" w:eastAsia="仿宋_GB2312" w:cs="仿宋_GB2312"/>
          <w:color w:val="auto"/>
          <w:sz w:val="28"/>
          <w:szCs w:val="28"/>
        </w:rPr>
        <w:t>分项评分超出评分标准范围的；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④</w:t>
      </w:r>
      <w:r>
        <w:rPr>
          <w:rFonts w:hint="eastAsia" w:ascii="仿宋_GB2312" w:hAnsi="仿宋_GB2312" w:eastAsia="仿宋_GB2312" w:cs="仿宋_GB2312"/>
          <w:color w:val="auto"/>
          <w:sz w:val="28"/>
          <w:szCs w:val="28"/>
        </w:rPr>
        <w:t>客观分因素评分不一致的；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⑤</w:t>
      </w:r>
      <w:r>
        <w:rPr>
          <w:rFonts w:hint="eastAsia" w:ascii="仿宋_GB2312" w:hAnsi="仿宋_GB2312" w:eastAsia="仿宋_GB2312" w:cs="仿宋_GB2312"/>
          <w:color w:val="auto"/>
          <w:sz w:val="28"/>
          <w:szCs w:val="28"/>
        </w:rPr>
        <w:t>经磋商小组一致认定评分畸高、畸低的情形。</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（六）有下列情况之一的，视为供应商串通投标，其投标无效：</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1、不同供应商的响应文件由同一单位或者个人编制；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2、不同供应商的响应文件由同一台电脑编制；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3、不同供应商委托同一单位或者个人办理投标事宜；</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4、不同供应商的响应文件载明的项目管理成员或者联系人员为同一人；</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5、不同供应商的响应文件异常一致或者磋商报价呈规律性差异；</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6、政府采购法律法规及磋商文件规定的其他情形。</w:t>
      </w:r>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53" w:name="_Toc28384"/>
      <w:bookmarkStart w:id="154" w:name="_Toc3023"/>
      <w:bookmarkStart w:id="155" w:name="_Toc4670"/>
      <w:bookmarkStart w:id="156" w:name="_Toc28287"/>
      <w:bookmarkStart w:id="157" w:name="_Toc25855"/>
      <w:bookmarkStart w:id="158" w:name="_Toc17612"/>
      <w:bookmarkStart w:id="159" w:name="_Toc22712"/>
      <w:bookmarkStart w:id="160" w:name="_Toc424636365"/>
      <w:bookmarkStart w:id="161" w:name="_Toc495014920"/>
      <w:bookmarkStart w:id="162" w:name="_Toc619_WPSOffice_Level1"/>
      <w:bookmarkStart w:id="163" w:name="_Toc495014585"/>
      <w:bookmarkStart w:id="164" w:name="_Toc495014649"/>
      <w:bookmarkStart w:id="165" w:name="_Toc495012821"/>
      <w:bookmarkStart w:id="166" w:name="_Toc495014611"/>
      <w:bookmarkStart w:id="167" w:name="_Toc28286_WPSOffice_Level1"/>
      <w:bookmarkStart w:id="168" w:name="_Toc445306493"/>
      <w:bookmarkStart w:id="169" w:name="_Toc495014954"/>
      <w:bookmarkStart w:id="170" w:name="_Toc495012771"/>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、成交</w:t>
      </w:r>
      <w:bookmarkEnd w:id="153"/>
      <w:bookmarkEnd w:id="154"/>
      <w:bookmarkEnd w:id="155"/>
      <w:bookmarkEnd w:id="156"/>
      <w:bookmarkEnd w:id="157"/>
      <w:bookmarkEnd w:id="158"/>
      <w:bookmarkEnd w:id="159"/>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在评审结束后2个工作日内将评审报告送采购人确认。</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将在成交供应商确定之日起2个工作日内，在</w:t>
      </w:r>
      <w:r>
        <w:rPr>
          <w:rFonts w:hint="eastAsia" w:ascii="仿宋_GB2312" w:hAnsi="仿宋_GB2312" w:eastAsia="仿宋_GB2312" w:cs="仿宋_GB2312"/>
          <w:color w:val="auto"/>
          <w:sz w:val="28"/>
          <w:szCs w:val="28"/>
          <w:lang w:val="en-US" w:eastAsia="zh-CN"/>
        </w:rPr>
        <w:t>以下网址发布结果公告：</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【陕西省政府采购网（www.ccgp-shaanxi.gov.cn/）】中的〖首页·〉市级公告·〉</w:t>
      </w:r>
      <w:r>
        <w:rPr>
          <w:rFonts w:hint="eastAsia" w:ascii="仿宋_GB2312" w:hAnsi="仿宋_GB2312" w:eastAsia="仿宋_GB2312" w:cs="仿宋_GB2312"/>
          <w:color w:val="auto"/>
          <w:sz w:val="28"/>
          <w:szCs w:val="28"/>
          <w:lang w:val="en-US" w:eastAsia="zh-CN"/>
        </w:rPr>
        <w:t>结果</w:t>
      </w:r>
      <w:r>
        <w:rPr>
          <w:rFonts w:hint="eastAsia"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val="en-US" w:eastAsia="zh-CN"/>
        </w:rPr>
        <w:t>/终止公告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【全国公共资源交易平台（汉中市）（sxggzyjy.hanzhong.gov.cn/）】中的〖首页·〉交易大厅·〉政府采购·〉</w:t>
      </w:r>
      <w:r>
        <w:rPr>
          <w:rFonts w:hint="eastAsia" w:ascii="仿宋_GB2312" w:hAnsi="仿宋_GB2312" w:eastAsia="仿宋_GB2312" w:cs="仿宋_GB2312"/>
          <w:color w:val="auto"/>
          <w:sz w:val="28"/>
          <w:szCs w:val="28"/>
          <w:lang w:val="en-US" w:eastAsia="zh-CN"/>
        </w:rPr>
        <w:t>中标（成交）结果/终止公告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向成交供应商发出成交通知书。</w:t>
      </w:r>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71" w:name="_Toc20049"/>
      <w:bookmarkStart w:id="172" w:name="_Toc18233"/>
      <w:bookmarkStart w:id="173" w:name="_Toc10386"/>
      <w:bookmarkStart w:id="174" w:name="_Toc3100"/>
      <w:bookmarkStart w:id="175" w:name="_Toc14009"/>
      <w:bookmarkStart w:id="176" w:name="_Toc28870"/>
      <w:bookmarkStart w:id="177" w:name="_Toc23938"/>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、签订</w:t>
      </w:r>
      <w:r>
        <w:rPr>
          <w:rFonts w:hint="eastAsia" w:ascii="仿宋_GB2312" w:hAnsi="仿宋_GB2312" w:eastAsia="仿宋_GB2312" w:cs="仿宋_GB2312"/>
          <w:color w:val="auto"/>
          <w:kern w:val="0"/>
          <w:sz w:val="28"/>
          <w:szCs w:val="28"/>
        </w:rPr>
        <w:t>政府采购合同</w:t>
      </w:r>
      <w:bookmarkEnd w:id="171"/>
      <w:bookmarkEnd w:id="172"/>
      <w:bookmarkEnd w:id="173"/>
      <w:bookmarkEnd w:id="174"/>
      <w:bookmarkEnd w:id="175"/>
      <w:bookmarkEnd w:id="176"/>
      <w:bookmarkEnd w:id="177"/>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（一）采购人与成交供应商应当在《成交通知书》发出之后，洽谈合同条款内容，拟定合同文本草案。并在《成交通知书》发出之日起30日内签订书面合同。</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（二）合同在执行过程中，确需修改、变更时，应当按照相应的审核批准程序办理。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（三）磋商文件、补充通知、磋商响应文件、补充协议等为合同的组成部分，具有同等法律效力。成交供应商不得将合同分包、转让他人。</w:t>
      </w:r>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ascii="黑体" w:hAnsi="黑体" w:eastAsia="黑体"/>
          <w:color w:val="auto"/>
          <w:sz w:val="28"/>
          <w:szCs w:val="28"/>
        </w:rPr>
        <w:sectPr>
          <w:headerReference r:id="rId7" w:type="default"/>
          <w:footerReference r:id="rId8" w:type="default"/>
          <w:pgSz w:w="11906" w:h="16838"/>
          <w:pgMar w:top="1417" w:right="1417" w:bottom="1134"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bookmarkStart w:id="178" w:name="_Toc23303"/>
      <w:bookmarkStart w:id="179" w:name="_Toc17324"/>
      <w:bookmarkStart w:id="180" w:name="_Toc11780"/>
      <w:bookmarkStart w:id="181" w:name="_Toc5278"/>
      <w:bookmarkStart w:id="182" w:name="_Toc11584"/>
      <w:bookmarkStart w:id="183" w:name="_Toc4764"/>
      <w:bookmarkStart w:id="184" w:name="_Toc10336"/>
      <w:bookmarkStart w:id="185" w:name="_Toc8426"/>
      <w:bookmarkStart w:id="186" w:name="_Toc14560"/>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采购代理服务费：免费</w:t>
      </w:r>
      <w:bookmarkEnd w:id="178"/>
      <w:bookmarkEnd w:id="179"/>
      <w:bookmarkEnd w:id="180"/>
      <w:bookmarkEnd w:id="181"/>
      <w:bookmarkEnd w:id="182"/>
      <w:bookmarkEnd w:id="183"/>
      <w:bookmarkEnd w:id="184"/>
      <w:bookmarkEnd w:id="185"/>
      <w:bookmarkEnd w:id="186"/>
    </w:p>
    <w:p>
      <w:pPr>
        <w:pStyle w:val="2"/>
        <w:rPr>
          <w:rFonts w:hint="eastAsia"/>
          <w:b/>
          <w:sz w:val="32"/>
          <w:szCs w:val="32"/>
        </w:rPr>
      </w:pPr>
      <w:bookmarkStart w:id="187" w:name="_Toc10476_WPSOffice_Level1"/>
      <w:bookmarkStart w:id="188" w:name="_Toc22915"/>
      <w:bookmarkStart w:id="189" w:name="_Toc6345"/>
      <w:bookmarkStart w:id="190" w:name="_Toc2772"/>
      <w:bookmarkStart w:id="191" w:name="_Toc31517"/>
      <w:r>
        <w:rPr>
          <w:rFonts w:hint="eastAsia" w:ascii="黑体" w:hAnsi="黑体" w:eastAsia="黑体" w:cs="黑体"/>
          <w:b w:val="0"/>
          <w:bCs/>
          <w:color w:val="auto"/>
          <w:sz w:val="32"/>
          <w:szCs w:val="40"/>
        </w:rPr>
        <w:t>第三章  磋商内容及采</w:t>
      </w:r>
      <w:bookmarkEnd w:id="187"/>
      <w:r>
        <w:rPr>
          <w:rFonts w:hint="eastAsia" w:ascii="黑体" w:hAnsi="黑体" w:eastAsia="黑体" w:cs="黑体"/>
          <w:b w:val="0"/>
          <w:bCs/>
          <w:color w:val="auto"/>
          <w:sz w:val="32"/>
          <w:szCs w:val="40"/>
        </w:rPr>
        <w:t>购要求</w:t>
      </w:r>
      <w:bookmarkEnd w:id="160"/>
      <w:bookmarkEnd w:id="161"/>
      <w:bookmarkEnd w:id="162"/>
      <w:bookmarkEnd w:id="163"/>
      <w:bookmarkEnd w:id="164"/>
      <w:bookmarkEnd w:id="165"/>
      <w:bookmarkEnd w:id="166"/>
      <w:bookmarkEnd w:id="167"/>
      <w:bookmarkEnd w:id="168"/>
      <w:bookmarkEnd w:id="169"/>
      <w:bookmarkEnd w:id="170"/>
      <w:bookmarkEnd w:id="188"/>
      <w:bookmarkEnd w:id="189"/>
      <w:bookmarkEnd w:id="190"/>
      <w:bookmarkEnd w:id="191"/>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一、项目名称：电梯运行服务采购项目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二、招标范围：汉中市中心医院本部现有的</w:t>
      </w:r>
      <w:r>
        <w:rPr>
          <w:rFonts w:hint="eastAsia" w:ascii="仿宋_GB2312" w:hAnsi="仿宋_GB2312" w:eastAsia="仿宋_GB2312" w:cs="仿宋_GB2312"/>
          <w:sz w:val="28"/>
          <w:szCs w:val="28"/>
          <w:lang w:val="en-US" w:eastAsia="zh-CN"/>
        </w:rPr>
        <w:t>55</w:t>
      </w:r>
      <w:r>
        <w:rPr>
          <w:rFonts w:hint="eastAsia" w:ascii="仿宋_GB2312" w:hAnsi="仿宋_GB2312" w:eastAsia="仿宋_GB2312" w:cs="仿宋_GB2312"/>
          <w:sz w:val="28"/>
          <w:szCs w:val="28"/>
        </w:rPr>
        <w:t>部电梯</w:t>
      </w:r>
      <w:r>
        <w:rPr>
          <w:rFonts w:hint="eastAsia" w:ascii="仿宋_GB2312" w:hAnsi="仿宋_GB2312" w:eastAsia="仿宋_GB2312" w:cs="仿宋_GB2312"/>
          <w:sz w:val="28"/>
          <w:szCs w:val="28"/>
          <w:lang w:eastAsia="zh-CN"/>
        </w:rPr>
        <w:t>（其中扶梯</w:t>
      </w:r>
      <w:r>
        <w:rPr>
          <w:rFonts w:hint="eastAsia" w:ascii="仿宋_GB2312" w:hAnsi="仿宋_GB2312" w:eastAsia="仿宋_GB2312" w:cs="仿宋_GB2312"/>
          <w:sz w:val="28"/>
          <w:szCs w:val="28"/>
          <w:lang w:val="en-US" w:eastAsia="zh-CN"/>
        </w:rPr>
        <w:t>16部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龙岗院区</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部电梯</w:t>
      </w:r>
      <w:r>
        <w:rPr>
          <w:rFonts w:hint="eastAsia" w:ascii="仿宋_GB2312" w:hAnsi="仿宋_GB2312" w:eastAsia="仿宋_GB2312" w:cs="仿宋_GB2312"/>
          <w:sz w:val="28"/>
          <w:szCs w:val="28"/>
          <w:lang w:eastAsia="zh-CN"/>
        </w:rPr>
        <w:t>（其中扶梯</w:t>
      </w:r>
      <w:r>
        <w:rPr>
          <w:rFonts w:hint="eastAsia" w:ascii="仿宋_GB2312" w:hAnsi="仿宋_GB2312" w:eastAsia="仿宋_GB2312" w:cs="仿宋_GB2312"/>
          <w:sz w:val="28"/>
          <w:szCs w:val="28"/>
          <w:lang w:val="en-US" w:eastAsia="zh-CN"/>
        </w:rPr>
        <w:t>4部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的日常运行管理、清洁保养和应急事件处理，不含电梯的维修保养。本项目投入总计</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sz w:val="28"/>
          <w:szCs w:val="28"/>
        </w:rPr>
        <w:t>人，具体人员配置见附件</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、服务期限：</w:t>
      </w:r>
      <w:r>
        <w:rPr>
          <w:rFonts w:hint="eastAsia" w:ascii="仿宋_GB2312" w:hAnsi="仿宋_GB2312" w:eastAsia="仿宋_GB2312" w:cs="仿宋_GB2312"/>
          <w:sz w:val="28"/>
          <w:szCs w:val="28"/>
          <w:highlight w:val="none"/>
          <w:lang w:val="en-US" w:eastAsia="zh-CN"/>
        </w:rPr>
        <w:t>一年。</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、服务要求：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1、所有电梯运行服务人员年龄必须在50岁以下，其中年龄在40岁以下的不少于</w:t>
      </w:r>
      <w:r>
        <w:rPr>
          <w:rFonts w:hint="eastAsia" w:ascii="仿宋_GB2312" w:hAnsi="仿宋_GB2312" w:eastAsia="仿宋_GB2312" w:cs="仿宋_GB2312"/>
          <w:color w:val="FF0000"/>
          <w:sz w:val="28"/>
          <w:szCs w:val="28"/>
          <w:lang w:val="en-US" w:eastAsia="zh-CN"/>
        </w:rPr>
        <w:t>12</w:t>
      </w:r>
      <w:r>
        <w:rPr>
          <w:rFonts w:hint="eastAsia" w:ascii="仿宋_GB2312" w:hAnsi="仿宋_GB2312" w:eastAsia="仿宋_GB2312" w:cs="仿宋_GB2312"/>
          <w:sz w:val="28"/>
          <w:szCs w:val="28"/>
        </w:rPr>
        <w:t>人，全体人员服装统一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eastAsia="zh-CN"/>
        </w:rPr>
        <w:t>容貌姣好</w:t>
      </w:r>
      <w:r>
        <w:rPr>
          <w:rFonts w:hint="eastAsia" w:ascii="仿宋_GB2312" w:hAnsi="仿宋_GB2312" w:eastAsia="仿宋_GB2312" w:cs="仿宋_GB2312"/>
          <w:color w:val="auto"/>
          <w:sz w:val="28"/>
          <w:szCs w:val="28"/>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2、负责为院内电梯提供相关服务，主要包括：开、关电梯，引导、运送乘客，卫生清洁、电梯安全巡查等，熟知医院各科室及病房的位置，并提供电梯指引咨询服务。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3、在电梯出现故障时，</w:t>
      </w:r>
      <w:r>
        <w:rPr>
          <w:rFonts w:hint="eastAsia" w:ascii="仿宋_GB2312" w:hAnsi="仿宋_GB2312" w:eastAsia="仿宋_GB2312" w:cs="仿宋_GB2312"/>
          <w:color w:val="auto"/>
          <w:sz w:val="28"/>
          <w:szCs w:val="28"/>
          <w:lang w:eastAsia="zh-CN"/>
        </w:rPr>
        <w:t>能够</w:t>
      </w:r>
      <w:r>
        <w:rPr>
          <w:rFonts w:hint="eastAsia" w:ascii="仿宋_GB2312" w:hAnsi="仿宋_GB2312" w:eastAsia="仿宋_GB2312" w:cs="仿宋_GB2312"/>
          <w:sz w:val="28"/>
          <w:szCs w:val="28"/>
        </w:rPr>
        <w:t>做好应急处置工作，及时上报电梯运行公司负责人、电梯维保公司负责人、医院后勤保障或相关职能部门，配合电梯维保人员做好应急救援：设置警示标识围栏、及时疏散乘客、安抚被困乘客、严禁乘客入内等。</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4、负责电梯运行状况的巡视工作，维持乘梯秩序，提示病人注意安全，每日做好相关记录。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5、按照医院电梯运行管理制度，电梯运行服务规程、操作规程认真落实电梯运行管理工作，保证电梯处于良好的运行状态。</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6、按照特种设备运行管理要求做好电梯运行管理人员的岗位培训工作，全体人员每年必须经过一次培训，经医院主管部门考核合格后，方可上岗。严禁未经培训的人员上岗。公司每季度对电梯运行管理人员进行一次电梯安全知识培训。参加医院组织的一年一次的电梯应急救援演练工作。</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7、在电梯运行管理过程中，因电梯操作不当或应急处置不当，对医院造成的一切损失由电梯运行管理方负责。</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、投标费用包括：所有人员的工资、辞职补偿金、夜班补助、加班费、过节补助费、劳保费、电梯清洁费、职工四项基金（养老、失业、医保、</w:t>
      </w:r>
      <w:r>
        <w:rPr>
          <w:rFonts w:hint="eastAsia" w:ascii="仿宋_GB2312" w:hAnsi="仿宋_GB2312" w:eastAsia="仿宋_GB2312" w:cs="仿宋_GB2312"/>
          <w:color w:val="000000"/>
          <w:sz w:val="28"/>
          <w:szCs w:val="28"/>
        </w:rPr>
        <w:t>工伤保险）</w:t>
      </w:r>
      <w:r>
        <w:rPr>
          <w:rFonts w:hint="eastAsia" w:ascii="仿宋_GB2312" w:hAnsi="仿宋_GB2312" w:eastAsia="仿宋_GB2312" w:cs="仿宋_GB2312"/>
          <w:sz w:val="28"/>
          <w:szCs w:val="28"/>
        </w:rPr>
        <w:t>。企业管理费（含利润）、税金等。</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、费用支付：按照双方约定的考核办法对公司每月进行考核，根据考核结果每两月支付一次承包费。</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附：1、《汉中市中心医院电梯运行管理制度》</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2、《电梯运行人员配置表》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3、《医院电梯运行质量考核表》</w:t>
      </w:r>
    </w:p>
    <w:p>
      <w:pPr>
        <w:jc w:val="center"/>
        <w:rPr>
          <w:rFonts w:hint="eastAsia" w:ascii="宋体" w:hAnsi="宋体" w:cs="宋体"/>
          <w:sz w:val="28"/>
          <w:szCs w:val="28"/>
        </w:rPr>
      </w:pPr>
    </w:p>
    <w:p>
      <w:pPr>
        <w:jc w:val="center"/>
        <w:rPr>
          <w:rFonts w:hint="eastAsia"/>
          <w:sz w:val="36"/>
          <w:szCs w:val="36"/>
        </w:rPr>
      </w:pPr>
      <w:r>
        <w:rPr>
          <w:rFonts w:hint="eastAsia" w:ascii="宋体" w:hAnsi="宋体" w:cs="宋体"/>
          <w:sz w:val="28"/>
          <w:szCs w:val="28"/>
        </w:rPr>
        <w:t xml:space="preserve">                                             </w:t>
      </w:r>
    </w:p>
    <w:p>
      <w:pPr>
        <w:jc w:val="center"/>
        <w:rPr>
          <w:rFonts w:hint="eastAsia"/>
          <w:sz w:val="36"/>
          <w:szCs w:val="36"/>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keepNext w:val="0"/>
        <w:keepLines w:val="0"/>
        <w:pageBreakBefore w:val="0"/>
        <w:widowControl/>
        <w:kinsoku/>
        <w:wordWrap/>
        <w:overflowPunct/>
        <w:topLinePunct w:val="0"/>
        <w:autoSpaceDE/>
        <w:autoSpaceDN/>
        <w:bidi w:val="0"/>
        <w:adjustRightInd/>
        <w:snapToGrid/>
        <w:spacing w:line="500" w:lineRule="exact"/>
        <w:ind w:firstLine="562" w:firstLineChars="20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汉中市中心医院电梯运行管理制度</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（一）为加强社会化电梯服务公司管理，保证医院电梯设备正常运行，保证乘梯人员人身安全，制定本制度。</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（二）医院所有电梯设备安装使用严格执行国家标准，落实上级卫生健康行政等部门相关法规制度要求。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（三）社会化电梯服务公司制订电梯运行管理人员培训计划，周密组织实施，培训考核合格后方可持证上岗。</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（四）厢式电梯由司梯值守，严格执行电梯安全操作规程，详细记录运行状态，熟练掌握应急预案流程。</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（五）司梯文明礼貌服务，引导乘客有序乘梯，对不合理要求婉言拒绝。</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（六）严格交接班。出现违章等现象时，交班人员处理完毕方可交接班。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（七）司梯不得脱岗，不得空梯，电梯不得超载，运送医疗废物的电梯设置警示标志禁止医疗废物与人同乘。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（八）电梯维护保养期间，设置警示标识围栏，严禁乘客入内。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（九）电梯机房随时上锁，钥匙专人保管，未经批准严禁内。机房通风良好，照明满足要求，消防器材置于显著位置。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（十）电梯出现异常情况时，司梯立即采取紧急措施，疏散乘客，上报电梯服务公司负责人、医院后勤保障或相关专职管理部门，紧急情况启动应急预案。</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 （十一）加强消防安全管理，及时清理杂物。电梯间及机房配备消防器材设施，严禁存放易燃易爆或危险品、私人用品和杂物。</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keepNext w:val="0"/>
        <w:keepLines w:val="0"/>
        <w:pageBreakBefore w:val="0"/>
        <w:widowControl/>
        <w:kinsoku/>
        <w:wordWrap/>
        <w:overflowPunct/>
        <w:topLinePunct w:val="0"/>
        <w:autoSpaceDE/>
        <w:autoSpaceDN/>
        <w:bidi w:val="0"/>
        <w:adjustRightInd/>
        <w:snapToGrid/>
        <w:spacing w:line="500" w:lineRule="exact"/>
        <w:ind w:firstLine="562" w:firstLineChars="20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医院电梯班人员配置清单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205"/>
        <w:gridCol w:w="829"/>
        <w:gridCol w:w="1134"/>
        <w:gridCol w:w="1146"/>
        <w:gridCol w:w="854"/>
        <w:gridCol w:w="1093"/>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区域</w:t>
            </w:r>
          </w:p>
        </w:tc>
        <w:tc>
          <w:tcPr>
            <w:tcW w:w="120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位置</w:t>
            </w:r>
          </w:p>
        </w:tc>
        <w:tc>
          <w:tcPr>
            <w:tcW w:w="82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司机</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大厅</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引导员</w:t>
            </w: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扶梯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引导员</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夜班</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管理员</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院</w:t>
            </w:r>
          </w:p>
        </w:tc>
        <w:tc>
          <w:tcPr>
            <w:tcW w:w="120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1#楼</w:t>
            </w:r>
          </w:p>
        </w:tc>
        <w:tc>
          <w:tcPr>
            <w:tcW w:w="82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p>
        </w:tc>
        <w:tc>
          <w:tcPr>
            <w:tcW w:w="8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109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c>
          <w:tcPr>
            <w:tcW w:w="120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2#楼</w:t>
            </w:r>
          </w:p>
        </w:tc>
        <w:tc>
          <w:tcPr>
            <w:tcW w:w="82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c>
          <w:tcPr>
            <w:tcW w:w="8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c>
          <w:tcPr>
            <w:tcW w:w="109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c>
          <w:tcPr>
            <w:tcW w:w="8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c>
          <w:tcPr>
            <w:tcW w:w="120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3#楼</w:t>
            </w:r>
          </w:p>
        </w:tc>
        <w:tc>
          <w:tcPr>
            <w:tcW w:w="82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c>
          <w:tcPr>
            <w:tcW w:w="8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c>
          <w:tcPr>
            <w:tcW w:w="109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c>
          <w:tcPr>
            <w:tcW w:w="8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c>
          <w:tcPr>
            <w:tcW w:w="120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妇儿楼</w:t>
            </w:r>
          </w:p>
        </w:tc>
        <w:tc>
          <w:tcPr>
            <w:tcW w:w="82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lang w:val="en-US" w:eastAsia="zh-CN"/>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8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c>
          <w:tcPr>
            <w:tcW w:w="109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c>
          <w:tcPr>
            <w:tcW w:w="8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龙岗院区</w:t>
            </w:r>
          </w:p>
        </w:tc>
        <w:tc>
          <w:tcPr>
            <w:tcW w:w="120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c>
          <w:tcPr>
            <w:tcW w:w="82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c>
          <w:tcPr>
            <w:tcW w:w="109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总计</w:t>
            </w:r>
          </w:p>
        </w:tc>
        <w:tc>
          <w:tcPr>
            <w:tcW w:w="120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tc>
        <w:tc>
          <w:tcPr>
            <w:tcW w:w="82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r>
    </w:tbl>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sectPr>
          <w:pgSz w:w="11906" w:h="16838"/>
          <w:pgMar w:top="1440" w:right="1134" w:bottom="1440" w:left="1134" w:header="851" w:footer="992" w:gutter="0"/>
          <w:cols w:space="720" w:num="1"/>
          <w:docGrid w:type="lines" w:linePitch="312" w:charSpace="0"/>
        </w:sectPr>
      </w:pPr>
    </w:p>
    <w:p>
      <w:pPr>
        <w:rPr>
          <w:rFonts w:hint="eastAsia" w:ascii="仿宋_GB2312" w:hAnsi="仿宋_GB2312" w:eastAsia="仿宋_GB2312" w:cs="仿宋_GB2312"/>
          <w:sz w:val="28"/>
          <w:szCs w:val="28"/>
        </w:rPr>
      </w:pPr>
      <w:r>
        <w:rPr>
          <w:rFonts w:hint="eastAsia"/>
          <w:sz w:val="36"/>
          <w:szCs w:val="36"/>
        </w:rPr>
        <w:t xml:space="preserve"> </w:t>
      </w:r>
      <w:r>
        <w:rPr>
          <w:rFonts w:hint="eastAsia" w:ascii="仿宋_GB2312" w:hAnsi="仿宋_GB2312" w:eastAsia="仿宋_GB2312" w:cs="仿宋_GB2312"/>
          <w:sz w:val="28"/>
          <w:szCs w:val="28"/>
        </w:rPr>
        <w:t xml:space="preserve">    附件3</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年   月医院电梯运行质量考核表</w:t>
      </w:r>
    </w:p>
    <w:tbl>
      <w:tblPr>
        <w:tblStyle w:val="20"/>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120"/>
        <w:gridCol w:w="822"/>
        <w:gridCol w:w="4307"/>
        <w:gridCol w:w="853"/>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2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612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质量标准</w:t>
            </w:r>
          </w:p>
        </w:tc>
        <w:tc>
          <w:tcPr>
            <w:tcW w:w="822"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满分</w:t>
            </w:r>
          </w:p>
        </w:tc>
        <w:tc>
          <w:tcPr>
            <w:tcW w:w="430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考核内容</w:t>
            </w:r>
          </w:p>
        </w:tc>
        <w:tc>
          <w:tcPr>
            <w:tcW w:w="853"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扣分</w:t>
            </w:r>
          </w:p>
        </w:tc>
        <w:tc>
          <w:tcPr>
            <w:tcW w:w="157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2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配置</w:t>
            </w:r>
          </w:p>
        </w:tc>
        <w:tc>
          <w:tcPr>
            <w:tcW w:w="612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配置标准：1、按照医院要求配置</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名运行管理人员。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2、所有人员需取得医院上岗合格证后，方可上岗。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3、具有良好的沟通能力，应对得体。</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4、电梯司机着装统一形象好，训练有素，能充分展示医院的雄厚实力和美好形象。</w:t>
            </w:r>
          </w:p>
        </w:tc>
        <w:tc>
          <w:tcPr>
            <w:tcW w:w="822"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4307"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1、运行人员</w:t>
            </w:r>
            <w:r>
              <w:rPr>
                <w:rFonts w:hint="eastAsia" w:ascii="仿宋_GB2312" w:hAnsi="仿宋_GB2312" w:eastAsia="仿宋_GB2312" w:cs="仿宋_GB2312"/>
                <w:sz w:val="28"/>
                <w:szCs w:val="28"/>
                <w:lang w:eastAsia="zh-CN"/>
              </w:rPr>
              <w:t>年龄在</w:t>
            </w:r>
            <w:r>
              <w:rPr>
                <w:rFonts w:hint="eastAsia" w:ascii="仿宋_GB2312" w:hAnsi="仿宋_GB2312" w:eastAsia="仿宋_GB2312" w:cs="仿宋_GB2312"/>
                <w:sz w:val="28"/>
                <w:szCs w:val="28"/>
                <w:lang w:val="en-US" w:eastAsia="zh-CN"/>
              </w:rPr>
              <w:t>50岁以下，</w:t>
            </w:r>
            <w:r>
              <w:rPr>
                <w:rFonts w:hint="eastAsia" w:ascii="仿宋_GB2312" w:hAnsi="仿宋_GB2312" w:eastAsia="仿宋_GB2312" w:cs="仿宋_GB2312"/>
                <w:sz w:val="28"/>
                <w:szCs w:val="28"/>
                <w:lang w:eastAsia="zh-CN"/>
              </w:rPr>
              <w:t>其中</w:t>
            </w:r>
            <w:r>
              <w:rPr>
                <w:rFonts w:hint="eastAsia" w:ascii="仿宋_GB2312" w:hAnsi="仿宋_GB2312" w:eastAsia="仿宋_GB2312" w:cs="仿宋_GB2312"/>
                <w:sz w:val="28"/>
                <w:szCs w:val="28"/>
              </w:rPr>
              <w:t>40岁以下不少于</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人，发现一名不达标扣10分；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2、发现一名人员未取得上岗合格证，扣5分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3、无故缺勤或人员不到位发现一次扣2分；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4、人员形象差，未按规定统一着装，发现一次扣2分</w:t>
            </w:r>
          </w:p>
        </w:tc>
        <w:tc>
          <w:tcPr>
            <w:tcW w:w="853" w:type="dxa"/>
            <w:noWrap w:val="0"/>
            <w:vAlign w:val="center"/>
          </w:tcPr>
          <w:p>
            <w:pPr>
              <w:jc w:val="center"/>
              <w:rPr>
                <w:rFonts w:hint="eastAsia" w:ascii="仿宋_GB2312" w:hAnsi="仿宋_GB2312" w:eastAsia="仿宋_GB2312" w:cs="仿宋_GB2312"/>
                <w:sz w:val="28"/>
                <w:szCs w:val="28"/>
              </w:rPr>
            </w:pPr>
          </w:p>
        </w:tc>
        <w:tc>
          <w:tcPr>
            <w:tcW w:w="1578" w:type="dxa"/>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8" w:type="dxa"/>
            <w:vMerge w:val="restart"/>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梯</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养</w:t>
            </w:r>
          </w:p>
        </w:tc>
        <w:tc>
          <w:tcPr>
            <w:tcW w:w="6120" w:type="dxa"/>
            <w:noWrap w:val="0"/>
            <w:vAlign w:val="top"/>
          </w:tcPr>
          <w:p>
            <w:pPr>
              <w:spacing w:line="1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1、在电梯正常情况下保证医用电梯和乘客电梯按规定运行，负责垂直电梯轿厢内的设施和警示标志完好无损。</w:t>
            </w:r>
          </w:p>
        </w:tc>
        <w:tc>
          <w:tcPr>
            <w:tcW w:w="822"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307"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无故停梯或电梯轿厢内的设施和警示标志损坏，发现一次扣1分</w:t>
            </w:r>
          </w:p>
        </w:tc>
        <w:tc>
          <w:tcPr>
            <w:tcW w:w="853" w:type="dxa"/>
            <w:noWrap w:val="0"/>
            <w:vAlign w:val="center"/>
          </w:tcPr>
          <w:p>
            <w:pPr>
              <w:rPr>
                <w:rFonts w:hint="eastAsia" w:ascii="仿宋_GB2312" w:hAnsi="仿宋_GB2312" w:eastAsia="仿宋_GB2312" w:cs="仿宋_GB2312"/>
                <w:sz w:val="28"/>
                <w:szCs w:val="28"/>
              </w:rPr>
            </w:pPr>
          </w:p>
        </w:tc>
        <w:tc>
          <w:tcPr>
            <w:tcW w:w="1578" w:type="dxa"/>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28" w:type="dxa"/>
            <w:vMerge w:val="continue"/>
            <w:noWrap w:val="0"/>
            <w:vAlign w:val="top"/>
          </w:tcPr>
          <w:p>
            <w:pPr>
              <w:rPr>
                <w:rFonts w:hint="eastAsia" w:ascii="仿宋_GB2312" w:hAnsi="仿宋_GB2312" w:eastAsia="仿宋_GB2312" w:cs="仿宋_GB2312"/>
                <w:sz w:val="28"/>
                <w:szCs w:val="28"/>
              </w:rPr>
            </w:pPr>
          </w:p>
        </w:tc>
        <w:tc>
          <w:tcPr>
            <w:tcW w:w="612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2、按甲方要求时间准时开关电梯。</w:t>
            </w:r>
          </w:p>
        </w:tc>
        <w:tc>
          <w:tcPr>
            <w:tcW w:w="822"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307"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未按医院规定开关电梯，发现一次扣1分</w:t>
            </w:r>
          </w:p>
        </w:tc>
        <w:tc>
          <w:tcPr>
            <w:tcW w:w="853" w:type="dxa"/>
            <w:noWrap w:val="0"/>
            <w:vAlign w:val="center"/>
          </w:tcPr>
          <w:p>
            <w:pPr>
              <w:rPr>
                <w:rFonts w:hint="eastAsia" w:ascii="仿宋_GB2312" w:hAnsi="仿宋_GB2312" w:eastAsia="仿宋_GB2312" w:cs="仿宋_GB2312"/>
                <w:sz w:val="28"/>
                <w:szCs w:val="28"/>
              </w:rPr>
            </w:pPr>
          </w:p>
        </w:tc>
        <w:tc>
          <w:tcPr>
            <w:tcW w:w="1578" w:type="dxa"/>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828" w:type="dxa"/>
            <w:vMerge w:val="continue"/>
            <w:noWrap w:val="0"/>
            <w:vAlign w:val="top"/>
          </w:tcPr>
          <w:p>
            <w:pPr>
              <w:rPr>
                <w:rFonts w:hint="eastAsia" w:ascii="仿宋_GB2312" w:hAnsi="仿宋_GB2312" w:eastAsia="仿宋_GB2312" w:cs="仿宋_GB2312"/>
                <w:sz w:val="28"/>
                <w:szCs w:val="28"/>
              </w:rPr>
            </w:pPr>
          </w:p>
        </w:tc>
        <w:tc>
          <w:tcPr>
            <w:tcW w:w="612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3、负责电梯门、轿厢、电梯值班室的卫生，做好相关设施的保护工作，防止丢失或人为损坏电梯设备。</w:t>
            </w:r>
          </w:p>
        </w:tc>
        <w:tc>
          <w:tcPr>
            <w:tcW w:w="822"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307"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卫生及设施保护工作不到位，发现一次扣1分</w:t>
            </w:r>
          </w:p>
        </w:tc>
        <w:tc>
          <w:tcPr>
            <w:tcW w:w="853" w:type="dxa"/>
            <w:noWrap w:val="0"/>
            <w:vAlign w:val="center"/>
          </w:tcPr>
          <w:p>
            <w:pPr>
              <w:jc w:val="center"/>
              <w:rPr>
                <w:rFonts w:hint="eastAsia" w:ascii="仿宋_GB2312" w:hAnsi="仿宋_GB2312" w:eastAsia="仿宋_GB2312" w:cs="仿宋_GB2312"/>
                <w:sz w:val="28"/>
                <w:szCs w:val="28"/>
              </w:rPr>
            </w:pPr>
          </w:p>
        </w:tc>
        <w:tc>
          <w:tcPr>
            <w:tcW w:w="1578" w:type="dxa"/>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28" w:type="dxa"/>
            <w:vMerge w:val="continue"/>
            <w:noWrap w:val="0"/>
            <w:vAlign w:val="top"/>
          </w:tcPr>
          <w:p>
            <w:pPr>
              <w:rPr>
                <w:rFonts w:hint="eastAsia" w:ascii="仿宋_GB2312" w:hAnsi="仿宋_GB2312" w:eastAsia="仿宋_GB2312" w:cs="仿宋_GB2312"/>
                <w:sz w:val="28"/>
                <w:szCs w:val="28"/>
              </w:rPr>
            </w:pPr>
          </w:p>
        </w:tc>
        <w:tc>
          <w:tcPr>
            <w:tcW w:w="6120" w:type="dxa"/>
            <w:noWrap w:val="0"/>
            <w:vAlign w:val="top"/>
          </w:tcPr>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4、填写当天电梯运行情况记录</w:t>
            </w:r>
          </w:p>
        </w:tc>
        <w:tc>
          <w:tcPr>
            <w:tcW w:w="822"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307"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运行记录不完整、不正确，发现一次扣1分</w:t>
            </w:r>
          </w:p>
        </w:tc>
        <w:tc>
          <w:tcPr>
            <w:tcW w:w="853" w:type="dxa"/>
            <w:noWrap w:val="0"/>
            <w:vAlign w:val="center"/>
          </w:tcPr>
          <w:p>
            <w:pPr>
              <w:rPr>
                <w:rFonts w:hint="eastAsia" w:ascii="仿宋_GB2312" w:hAnsi="仿宋_GB2312" w:eastAsia="仿宋_GB2312" w:cs="仿宋_GB2312"/>
                <w:sz w:val="28"/>
                <w:szCs w:val="28"/>
              </w:rPr>
            </w:pPr>
          </w:p>
        </w:tc>
        <w:tc>
          <w:tcPr>
            <w:tcW w:w="1578" w:type="dxa"/>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28" w:type="dxa"/>
            <w:vMerge w:val="continue"/>
            <w:noWrap w:val="0"/>
            <w:vAlign w:val="top"/>
          </w:tcPr>
          <w:p>
            <w:pPr>
              <w:rPr>
                <w:rFonts w:hint="eastAsia" w:ascii="仿宋_GB2312" w:hAnsi="仿宋_GB2312" w:eastAsia="仿宋_GB2312" w:cs="仿宋_GB2312"/>
                <w:sz w:val="28"/>
                <w:szCs w:val="28"/>
              </w:rPr>
            </w:pPr>
          </w:p>
        </w:tc>
        <w:tc>
          <w:tcPr>
            <w:tcW w:w="612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5、预约电梯公司做好设备日常保养工作，及时反映电梯运行情况，开关机房门窗、照明，检查机房、底坑有无渗水等，重大问题有书面报告</w:t>
            </w:r>
          </w:p>
        </w:tc>
        <w:tc>
          <w:tcPr>
            <w:tcW w:w="822"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307"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预约保养及报修不及时，发现一次扣1分，</w:t>
            </w:r>
          </w:p>
        </w:tc>
        <w:tc>
          <w:tcPr>
            <w:tcW w:w="853" w:type="dxa"/>
            <w:noWrap w:val="0"/>
            <w:vAlign w:val="center"/>
          </w:tcPr>
          <w:p>
            <w:pPr>
              <w:rPr>
                <w:rFonts w:hint="eastAsia" w:ascii="仿宋_GB2312" w:hAnsi="仿宋_GB2312" w:eastAsia="仿宋_GB2312" w:cs="仿宋_GB2312"/>
                <w:sz w:val="28"/>
                <w:szCs w:val="28"/>
              </w:rPr>
            </w:pPr>
          </w:p>
        </w:tc>
        <w:tc>
          <w:tcPr>
            <w:tcW w:w="1578" w:type="dxa"/>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28" w:type="dxa"/>
            <w:vMerge w:val="continue"/>
            <w:noWrap w:val="0"/>
            <w:vAlign w:val="top"/>
          </w:tcPr>
          <w:p>
            <w:pPr>
              <w:rPr>
                <w:rFonts w:hint="eastAsia" w:ascii="仿宋_GB2312" w:hAnsi="仿宋_GB2312" w:eastAsia="仿宋_GB2312" w:cs="仿宋_GB2312"/>
                <w:sz w:val="28"/>
                <w:szCs w:val="28"/>
              </w:rPr>
            </w:pPr>
          </w:p>
        </w:tc>
        <w:tc>
          <w:tcPr>
            <w:tcW w:w="612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6、负责电梯事故应急处理，如：停电、困人、溢水、火灾、地震等突发事件的应急处理应符合救援预案要求，最大限度减少甲方损失。</w:t>
            </w:r>
          </w:p>
        </w:tc>
        <w:tc>
          <w:tcPr>
            <w:tcW w:w="822"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307"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应急处理不及时或未按预案要求处理，发现一次扣5分</w:t>
            </w:r>
          </w:p>
        </w:tc>
        <w:tc>
          <w:tcPr>
            <w:tcW w:w="853" w:type="dxa"/>
            <w:noWrap w:val="0"/>
            <w:vAlign w:val="center"/>
          </w:tcPr>
          <w:p>
            <w:pPr>
              <w:rPr>
                <w:rFonts w:hint="eastAsia" w:ascii="仿宋_GB2312" w:hAnsi="仿宋_GB2312" w:eastAsia="仿宋_GB2312" w:cs="仿宋_GB2312"/>
                <w:sz w:val="28"/>
                <w:szCs w:val="28"/>
              </w:rPr>
            </w:pPr>
          </w:p>
        </w:tc>
        <w:tc>
          <w:tcPr>
            <w:tcW w:w="1578" w:type="dxa"/>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28" w:type="dxa"/>
            <w:vMerge w:val="continue"/>
            <w:noWrap w:val="0"/>
            <w:vAlign w:val="center"/>
          </w:tcPr>
          <w:p>
            <w:pPr>
              <w:jc w:val="center"/>
              <w:rPr>
                <w:rFonts w:hint="eastAsia" w:ascii="仿宋_GB2312" w:hAnsi="仿宋_GB2312" w:eastAsia="仿宋_GB2312" w:cs="仿宋_GB2312"/>
                <w:sz w:val="28"/>
                <w:szCs w:val="28"/>
              </w:rPr>
            </w:pPr>
          </w:p>
        </w:tc>
        <w:tc>
          <w:tcPr>
            <w:tcW w:w="612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7、在新、旧门诊楼安排电梯引导员进行疏导，保证危重病人和手术病床优先乘坐电梯，引导五层以下人员乘坐低层电梯或扶梯，确保乘梯有序、通畅。</w:t>
            </w:r>
          </w:p>
        </w:tc>
        <w:tc>
          <w:tcPr>
            <w:tcW w:w="822"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307"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引导员不到位及乘梯拥堵、秩序混乱，发现一次扣2分</w:t>
            </w:r>
          </w:p>
        </w:tc>
        <w:tc>
          <w:tcPr>
            <w:tcW w:w="853" w:type="dxa"/>
            <w:noWrap w:val="0"/>
            <w:vAlign w:val="center"/>
          </w:tcPr>
          <w:p>
            <w:pPr>
              <w:rPr>
                <w:rFonts w:hint="eastAsia" w:ascii="仿宋_GB2312" w:hAnsi="仿宋_GB2312" w:eastAsia="仿宋_GB2312" w:cs="仿宋_GB2312"/>
                <w:sz w:val="28"/>
                <w:szCs w:val="28"/>
              </w:rPr>
            </w:pPr>
          </w:p>
        </w:tc>
        <w:tc>
          <w:tcPr>
            <w:tcW w:w="1578" w:type="dxa"/>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vMerge w:val="continue"/>
            <w:noWrap w:val="0"/>
            <w:vAlign w:val="center"/>
          </w:tcPr>
          <w:p>
            <w:pPr>
              <w:jc w:val="center"/>
              <w:rPr>
                <w:rFonts w:hint="eastAsia" w:ascii="仿宋_GB2312" w:hAnsi="仿宋_GB2312" w:eastAsia="仿宋_GB2312" w:cs="仿宋_GB2312"/>
                <w:sz w:val="28"/>
                <w:szCs w:val="28"/>
              </w:rPr>
            </w:pPr>
          </w:p>
        </w:tc>
        <w:tc>
          <w:tcPr>
            <w:tcW w:w="6120" w:type="dxa"/>
            <w:noWrap w:val="0"/>
            <w:vAlign w:val="top"/>
          </w:tcPr>
          <w:p>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8、负责下班时间、节假日时间手术的正常接送和电梯的正常运行</w:t>
            </w:r>
          </w:p>
        </w:tc>
        <w:tc>
          <w:tcPr>
            <w:tcW w:w="822"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307"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值班人员不到位及影响手术正常接送，发现一次扣2分</w:t>
            </w:r>
          </w:p>
        </w:tc>
        <w:tc>
          <w:tcPr>
            <w:tcW w:w="853" w:type="dxa"/>
            <w:noWrap w:val="0"/>
            <w:vAlign w:val="center"/>
          </w:tcPr>
          <w:p>
            <w:pPr>
              <w:rPr>
                <w:rFonts w:hint="eastAsia" w:ascii="仿宋_GB2312" w:hAnsi="仿宋_GB2312" w:eastAsia="仿宋_GB2312" w:cs="仿宋_GB2312"/>
                <w:sz w:val="28"/>
                <w:szCs w:val="28"/>
              </w:rPr>
            </w:pPr>
          </w:p>
        </w:tc>
        <w:tc>
          <w:tcPr>
            <w:tcW w:w="1578" w:type="dxa"/>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2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服务满意度</w:t>
            </w:r>
          </w:p>
        </w:tc>
        <w:tc>
          <w:tcPr>
            <w:tcW w:w="6120" w:type="dxa"/>
            <w:noWrap w:val="0"/>
            <w:vAlign w:val="top"/>
          </w:tcPr>
          <w:p>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医院将定期根据服务态度，电梯环境卫生、电梯故障率、投诉等方面情况进行满意度调查</w:t>
            </w:r>
          </w:p>
        </w:tc>
        <w:tc>
          <w:tcPr>
            <w:tcW w:w="822"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4307"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如服务态度、电梯环境卫生等发生投诉，一经核实，每一个投诉扣5分</w:t>
            </w:r>
          </w:p>
        </w:tc>
        <w:tc>
          <w:tcPr>
            <w:tcW w:w="853" w:type="dxa"/>
            <w:noWrap w:val="0"/>
            <w:vAlign w:val="center"/>
          </w:tcPr>
          <w:p>
            <w:pPr>
              <w:rPr>
                <w:rFonts w:hint="eastAsia" w:ascii="仿宋_GB2312" w:hAnsi="仿宋_GB2312" w:eastAsia="仿宋_GB2312" w:cs="仿宋_GB2312"/>
                <w:sz w:val="28"/>
                <w:szCs w:val="28"/>
              </w:rPr>
            </w:pPr>
          </w:p>
        </w:tc>
        <w:tc>
          <w:tcPr>
            <w:tcW w:w="1578" w:type="dxa"/>
            <w:noWrap w:val="0"/>
            <w:vAlign w:val="center"/>
          </w:tcPr>
          <w:p>
            <w:pPr>
              <w:rPr>
                <w:rFonts w:hint="eastAsia" w:ascii="仿宋_GB2312" w:hAnsi="仿宋_GB2312" w:eastAsia="仿宋_GB2312" w:cs="仿宋_GB2312"/>
                <w:sz w:val="28"/>
                <w:szCs w:val="28"/>
              </w:rPr>
            </w:pP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备注:月质量考核扣分达到30分，合同自行终止。</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项目考核负责人：          考核时间：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8"/>
          <w:szCs w:val="28"/>
          <w:lang w:eastAsia="zh-CN"/>
        </w:rPr>
      </w:pPr>
      <w:r>
        <w:rPr>
          <w:rFonts w:hint="eastAsia" w:ascii="仿宋_GB2312" w:hAnsi="仿宋_GB2312" w:eastAsia="仿宋_GB2312" w:cs="仿宋_GB2312"/>
          <w:b/>
          <w:bCs/>
          <w:color w:val="auto"/>
          <w:sz w:val="28"/>
          <w:szCs w:val="28"/>
        </w:rPr>
        <w:t>备注：</w:t>
      </w:r>
      <w:r>
        <w:rPr>
          <w:rFonts w:hint="eastAsia" w:ascii="仿宋_GB2312" w:hAnsi="仿宋_GB2312" w:eastAsia="仿宋_GB2312" w:cs="仿宋_GB2312"/>
          <w:b/>
          <w:bCs/>
          <w:color w:val="auto"/>
          <w:sz w:val="28"/>
          <w:szCs w:val="28"/>
          <w:lang w:val="en-US" w:eastAsia="zh-CN"/>
        </w:rPr>
        <w:t>以上均是</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内容，</w:t>
      </w:r>
      <w:r>
        <w:rPr>
          <w:rFonts w:hint="eastAsia" w:ascii="仿宋_GB2312" w:hAnsi="仿宋_GB2312" w:eastAsia="仿宋_GB2312" w:cs="仿宋_GB2312"/>
          <w:b/>
          <w:bCs/>
          <w:color w:val="auto"/>
          <w:sz w:val="28"/>
          <w:szCs w:val="28"/>
        </w:rPr>
        <w:t>为实质性要求，</w:t>
      </w: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rPr>
        <w:t>人未逐条响应、有缺漏或负偏离将视为无效</w:t>
      </w: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lang w:eastAsia="zh-CN"/>
        </w:rPr>
        <w:t>。</w:t>
      </w:r>
    </w:p>
    <w:p>
      <w:pPr>
        <w:pStyle w:val="2"/>
        <w:jc w:val="center"/>
        <w:rPr>
          <w:rFonts w:ascii="宋体" w:hAnsi="宋体" w:eastAsia="宋体" w:cs="宋体"/>
          <w:color w:val="auto"/>
          <w:sz w:val="28"/>
          <w:szCs w:val="28"/>
        </w:rPr>
        <w:sectPr>
          <w:headerReference r:id="rId9" w:type="default"/>
          <w:footerReference r:id="rId10" w:type="default"/>
          <w:pgSz w:w="16838" w:h="11906" w:orient="landscape"/>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716"/>
        </w:sectPr>
      </w:pPr>
      <w:r>
        <w:rPr>
          <w:rFonts w:ascii="宋体" w:hAnsi="宋体" w:eastAsia="宋体" w:cs="宋体"/>
          <w:color w:val="auto"/>
          <w:sz w:val="28"/>
          <w:szCs w:val="28"/>
        </w:rPr>
        <w:br w:type="page"/>
      </w:r>
      <w:bookmarkStart w:id="192" w:name="_Toc10371"/>
      <w:bookmarkStart w:id="193" w:name="_Toc35871571"/>
      <w:bookmarkStart w:id="194" w:name="_Toc19317"/>
      <w:bookmarkStart w:id="195" w:name="_Toc18466_WPSOffice_Level1"/>
      <w:bookmarkStart w:id="196" w:name="_Toc12628"/>
      <w:bookmarkStart w:id="197" w:name="_Toc14089"/>
      <w:bookmarkStart w:id="198" w:name="_Toc18484_WPSOffice_Level1"/>
      <w:bookmarkStart w:id="199" w:name="_Toc495014613"/>
      <w:bookmarkStart w:id="200" w:name="_Toc495012773"/>
      <w:bookmarkStart w:id="201" w:name="_Toc495014956"/>
      <w:bookmarkStart w:id="202" w:name="_Toc495012823"/>
      <w:bookmarkStart w:id="203" w:name="_Toc784_WPSOffice_Level1"/>
      <w:bookmarkStart w:id="204" w:name="_Toc495014651"/>
      <w:bookmarkStart w:id="205" w:name="_Toc495014922"/>
      <w:bookmarkStart w:id="206" w:name="_Toc495014587"/>
      <w:bookmarkStart w:id="207" w:name="_Toc445306495"/>
    </w:p>
    <w:p>
      <w:pPr>
        <w:pStyle w:val="2"/>
        <w:jc w:val="center"/>
        <w:rPr>
          <w:rFonts w:hint="eastAsia" w:ascii="华文仿宋" w:hAnsi="华文仿宋" w:cs="华文仿宋"/>
          <w:color w:val="auto"/>
        </w:rPr>
      </w:pPr>
      <w:r>
        <w:rPr>
          <w:rFonts w:ascii="黑体" w:hAnsi="黑体" w:eastAsia="黑体"/>
          <w:b w:val="0"/>
          <w:color w:val="auto"/>
          <w:sz w:val="32"/>
          <w:szCs w:val="32"/>
        </w:rPr>
        <w:t>第</w:t>
      </w:r>
      <w:r>
        <w:rPr>
          <w:rFonts w:hint="eastAsia" w:ascii="黑体" w:hAnsi="黑体" w:eastAsia="黑体"/>
          <w:b w:val="0"/>
          <w:color w:val="auto"/>
          <w:sz w:val="32"/>
          <w:szCs w:val="32"/>
        </w:rPr>
        <w:t>四</w:t>
      </w:r>
      <w:r>
        <w:rPr>
          <w:rFonts w:ascii="黑体" w:hAnsi="黑体" w:eastAsia="黑体"/>
          <w:b w:val="0"/>
          <w:color w:val="auto"/>
          <w:sz w:val="32"/>
          <w:szCs w:val="32"/>
        </w:rPr>
        <w:t xml:space="preserve">章 </w:t>
      </w:r>
      <w:r>
        <w:rPr>
          <w:rFonts w:hint="eastAsia" w:ascii="黑体" w:hAnsi="黑体" w:eastAsia="黑体"/>
          <w:b w:val="0"/>
          <w:color w:val="auto"/>
          <w:sz w:val="32"/>
          <w:szCs w:val="32"/>
        </w:rPr>
        <w:t>合同</w:t>
      </w:r>
      <w:r>
        <w:rPr>
          <w:rFonts w:hint="eastAsia" w:ascii="黑体" w:hAnsi="黑体" w:eastAsia="黑体"/>
          <w:b w:val="0"/>
          <w:color w:val="auto"/>
          <w:sz w:val="32"/>
          <w:szCs w:val="32"/>
          <w:lang w:val="en-US" w:eastAsia="zh-CN"/>
        </w:rPr>
        <w:t>草案</w:t>
      </w:r>
      <w:r>
        <w:rPr>
          <w:rFonts w:hint="eastAsia" w:ascii="黑体" w:hAnsi="黑体" w:eastAsia="黑体"/>
          <w:b w:val="0"/>
          <w:color w:val="auto"/>
          <w:sz w:val="32"/>
          <w:szCs w:val="32"/>
        </w:rPr>
        <w:t>条款</w:t>
      </w:r>
      <w:bookmarkEnd w:id="192"/>
      <w:bookmarkEnd w:id="193"/>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一、基本条件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0"/>
          <w:sz w:val="28"/>
          <w:szCs w:val="28"/>
          <w:lang w:val="en-US" w:eastAsia="zh-CN" w:bidi="ar"/>
        </w:rPr>
        <w:t>（一）服务</w:t>
      </w:r>
      <w:r>
        <w:rPr>
          <w:rFonts w:hint="eastAsia" w:ascii="仿宋_GB2312" w:hAnsi="仿宋_GB2312" w:eastAsia="仿宋_GB2312" w:cs="仿宋_GB2312"/>
          <w:color w:val="auto"/>
          <w:kern w:val="0"/>
          <w:sz w:val="28"/>
          <w:szCs w:val="28"/>
          <w:highlight w:val="none"/>
          <w:lang w:val="en-US" w:eastAsia="zh-CN" w:bidi="ar"/>
        </w:rPr>
        <w:t>地点：汉中市中心医院</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0"/>
          <w:sz w:val="28"/>
          <w:szCs w:val="28"/>
          <w:highlight w:val="none"/>
          <w:lang w:val="en-US" w:eastAsia="zh-CN" w:bidi="ar"/>
        </w:rPr>
        <w:t>（二）服务期：一年</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二、合同价款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合同总价一次性包死，不受市场价格变化因素的影响。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三、款项结算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（一）支付方式：银行转账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（二）货币单位：人民币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（三）</w:t>
      </w:r>
      <w:r>
        <w:rPr>
          <w:rFonts w:hint="eastAsia" w:ascii="仿宋_GB2312" w:hAnsi="仿宋_GB2312" w:eastAsia="仿宋_GB2312" w:cs="仿宋_GB2312"/>
          <w:color w:val="auto"/>
          <w:kern w:val="0"/>
          <w:sz w:val="28"/>
          <w:szCs w:val="28"/>
          <w:highlight w:val="none"/>
          <w:lang w:val="en-US" w:eastAsia="zh-CN" w:bidi="ar"/>
        </w:rPr>
        <w:t xml:space="preserve">结算方式：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 xml:space="preserve">按照双方约定的考核办法对公司每月进行考核，根据考核结果每两月支付一次承包费。 </w:t>
      </w:r>
    </w:p>
    <w:p>
      <w:pPr>
        <w:keepNext/>
        <w:keepLines/>
        <w:pageBreakBefore w:val="0"/>
        <w:widowControl/>
        <w:kinsoku/>
        <w:wordWrap/>
        <w:overflowPunct/>
        <w:topLinePunct w:val="0"/>
        <w:autoSpaceDE/>
        <w:autoSpaceDN/>
        <w:bidi w:val="0"/>
        <w:adjustRightInd/>
        <w:snapToGrid/>
        <w:spacing w:line="500" w:lineRule="exact"/>
        <w:ind w:firstLine="566" w:firstLineChars="200"/>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lang w:val="en-US" w:eastAsia="zh-CN" w:bidi="ar"/>
        </w:rPr>
        <w:t>四、</w:t>
      </w:r>
      <w:r>
        <w:rPr>
          <w:rFonts w:hint="eastAsia" w:ascii="仿宋_GB2312" w:hAnsi="仿宋_GB2312" w:eastAsia="仿宋_GB2312" w:cs="仿宋_GB2312"/>
          <w:b/>
          <w:bCs/>
          <w:color w:val="auto"/>
          <w:sz w:val="28"/>
          <w:szCs w:val="28"/>
        </w:rPr>
        <w:t>服务保证</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1、成交供应商提供服务时，服务要求应按不低于国家、省、市有关部门规定的质量标准执行。</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2、成交供应商承诺与拟投入人员均有劳动合同或聘用协议。</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、成交供应商承诺工作人员按磋商文件落实。</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五、服务承诺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以响应文件、澄清表（函）、合同等相关文件为准。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六、违约责任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成交供应商违约的，采购人有权终止合同；若给采购人造成经济损失的，采购人可依法向成交供应商进行经济索赔，并报请政府采购监管机关依法进行相应的行政处罚。采购人违约的，须依法赔偿给成交供应商造成的经济损失。</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七、争议解决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执行本合同中产生纠纷，由采购人与成交供应商双方协商解决；协商不成，向有管辖权的人民法院提起诉讼。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八、合同生效及其他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1、本合同自签订之日起生效。</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2、本项目采用一次采购沿用三年，实行一年一考核一签合同的办法。服务期满后，在预算有保障，政府采购管理部门同意的前提下，由成交供应商提出申请，经采购人考核合格后，可以续签合同。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3、合同份数由采购人和成交供应商具体商定。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4、未尽事宜由双方在签订合同时具体明确。</w:t>
      </w:r>
    </w:p>
    <w:p>
      <w:pPr>
        <w:pageBreakBefore w:val="0"/>
        <w:widowControl/>
        <w:kinsoku/>
        <w:wordWrap/>
        <w:overflowPunct/>
        <w:topLinePunct w:val="0"/>
        <w:autoSpaceDE/>
        <w:autoSpaceDN/>
        <w:bidi w:val="0"/>
        <w:adjustRightInd/>
        <w:snapToGrid/>
        <w:spacing w:line="500" w:lineRule="exact"/>
        <w:jc w:val="left"/>
        <w:textAlignment w:val="auto"/>
        <w:rPr>
          <w:rFonts w:ascii="黑体" w:hAnsi="黑体" w:eastAsia="黑体"/>
          <w:b/>
          <w:bCs/>
          <w:color w:val="auto"/>
          <w:kern w:val="44"/>
          <w:sz w:val="28"/>
          <w:szCs w:val="28"/>
        </w:rPr>
      </w:pPr>
      <w:r>
        <w:rPr>
          <w:rFonts w:ascii="黑体" w:hAnsi="黑体" w:eastAsia="黑体"/>
          <w:bCs/>
          <w:color w:val="auto"/>
          <w:sz w:val="28"/>
          <w:szCs w:val="28"/>
        </w:rPr>
        <w:br w:type="page"/>
      </w:r>
    </w:p>
    <w:p>
      <w:pPr>
        <w:pStyle w:val="2"/>
        <w:rPr>
          <w:rFonts w:ascii="黑体" w:hAnsi="黑体" w:eastAsia="黑体" w:cs="黑体"/>
          <w:b w:val="0"/>
          <w:bCs/>
          <w:color w:val="auto"/>
          <w:sz w:val="32"/>
          <w:szCs w:val="32"/>
        </w:rPr>
      </w:pPr>
      <w:bookmarkStart w:id="208" w:name="_Toc5571"/>
      <w:r>
        <w:rPr>
          <w:rFonts w:hint="eastAsia" w:ascii="黑体" w:hAnsi="黑体" w:eastAsia="黑体" w:cs="黑体"/>
          <w:b w:val="0"/>
          <w:bCs/>
          <w:color w:val="auto"/>
          <w:sz w:val="32"/>
          <w:szCs w:val="32"/>
        </w:rPr>
        <w:t>第五章  响应文件构成及格式</w:t>
      </w:r>
      <w:bookmarkEnd w:id="194"/>
      <w:bookmarkEnd w:id="195"/>
      <w:bookmarkEnd w:id="196"/>
      <w:bookmarkEnd w:id="197"/>
      <w:bookmarkEnd w:id="208"/>
    </w:p>
    <w:p>
      <w:pPr>
        <w:pStyle w:val="40"/>
        <w:rPr>
          <w:color w:val="auto"/>
        </w:rPr>
      </w:pPr>
    </w:p>
    <w:p>
      <w:pPr>
        <w:pStyle w:val="40"/>
        <w:rPr>
          <w:color w:val="auto"/>
        </w:rPr>
      </w:pPr>
    </w:p>
    <w:p>
      <w:pPr>
        <w:pStyle w:val="40"/>
        <w:rPr>
          <w:color w:val="auto"/>
        </w:rPr>
      </w:pPr>
    </w:p>
    <w:p>
      <w:pPr>
        <w:pStyle w:val="40"/>
        <w:rPr>
          <w:color w:val="auto"/>
        </w:rPr>
      </w:pPr>
      <w:r>
        <w:rPr>
          <w:rFonts w:hint="eastAsia"/>
          <w:color w:val="auto"/>
        </w:rPr>
        <w:t xml:space="preserve">  </w:t>
      </w:r>
    </w:p>
    <w:tbl>
      <w:tblPr>
        <w:tblStyle w:val="20"/>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注释： </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1、本章分为三部分，是为方便投标人制作响应文件设计。第一、二部分应按要求或给定格式选择填报。</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2、第三部分</w:t>
            </w:r>
            <w:r>
              <w:rPr>
                <w:rFonts w:hint="eastAsia" w:ascii="仿宋_GB2312" w:hAnsi="仿宋_GB2312" w:eastAsia="仿宋_GB2312" w:cs="仿宋_GB2312"/>
                <w:color w:val="auto"/>
                <w:sz w:val="24"/>
                <w:szCs w:val="24"/>
                <w:lang w:val="en-US" w:eastAsia="zh-CN"/>
              </w:rPr>
              <w:t>响应</w:t>
            </w:r>
            <w:r>
              <w:rPr>
                <w:rFonts w:hint="eastAsia" w:ascii="仿宋_GB2312" w:hAnsi="仿宋_GB2312" w:eastAsia="仿宋_GB2312" w:cs="仿宋_GB2312"/>
                <w:color w:val="auto"/>
                <w:sz w:val="24"/>
                <w:szCs w:val="24"/>
              </w:rPr>
              <w:t>方案格式仅供参考，</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应根据项目特点，结合本次</w:t>
            </w:r>
            <w:r>
              <w:rPr>
                <w:rFonts w:hint="eastAsia" w:ascii="仿宋_GB2312" w:hAnsi="仿宋_GB2312" w:eastAsia="仿宋_GB2312" w:cs="仿宋_GB2312"/>
                <w:color w:val="auto"/>
                <w:sz w:val="24"/>
                <w:szCs w:val="24"/>
                <w:lang w:val="en-US" w:eastAsia="zh-CN"/>
              </w:rPr>
              <w:t>磋商</w:t>
            </w:r>
            <w:r>
              <w:rPr>
                <w:rFonts w:hint="eastAsia" w:ascii="仿宋_GB2312" w:hAnsi="仿宋_GB2312" w:eastAsia="仿宋_GB2312" w:cs="仿宋_GB2312"/>
                <w:color w:val="auto"/>
                <w:sz w:val="24"/>
                <w:szCs w:val="24"/>
              </w:rPr>
              <w:t>要求，对有关表格进行补充或修改，但不得对实质性文件的相关条款作出变动。</w:t>
            </w:r>
          </w:p>
        </w:tc>
      </w:tr>
    </w:tbl>
    <w:p>
      <w:pPr>
        <w:pStyle w:val="40"/>
        <w:rPr>
          <w:color w:val="auto"/>
          <w:sz w:val="20"/>
        </w:rPr>
      </w:pPr>
    </w:p>
    <w:p>
      <w:pPr>
        <w:pStyle w:val="37"/>
        <w:spacing w:line="240" w:lineRule="auto"/>
        <w:ind w:firstLine="253" w:firstLineChars="70"/>
        <w:jc w:val="center"/>
        <w:rPr>
          <w:rFonts w:ascii="宋体" w:hAnsi="宋体" w:eastAsia="宋体"/>
          <w:color w:val="auto"/>
          <w:sz w:val="36"/>
          <w:szCs w:val="36"/>
        </w:rPr>
      </w:pPr>
    </w:p>
    <w:p>
      <w:pPr>
        <w:pStyle w:val="37"/>
        <w:spacing w:line="240" w:lineRule="auto"/>
        <w:ind w:firstLine="253" w:firstLineChars="70"/>
        <w:jc w:val="center"/>
        <w:rPr>
          <w:color w:val="auto"/>
          <w:sz w:val="36"/>
          <w:szCs w:val="36"/>
        </w:rPr>
      </w:pPr>
      <w:r>
        <w:rPr>
          <w:rFonts w:ascii="宋体" w:hAnsi="宋体" w:eastAsia="宋体"/>
          <w:color w:val="auto"/>
          <w:sz w:val="36"/>
          <w:szCs w:val="36"/>
        </w:rPr>
        <w:br w:type="page"/>
      </w:r>
    </w:p>
    <w:p>
      <w:pPr>
        <w:spacing w:line="240" w:lineRule="auto"/>
        <w:jc w:val="left"/>
        <w:outlineLvl w:val="0"/>
        <w:rPr>
          <w:rFonts w:hint="eastAsia" w:ascii="华文中宋" w:hAnsi="华文中宋" w:eastAsia="华文中宋" w:cs="华文中宋"/>
          <w:color w:val="auto"/>
          <w:sz w:val="60"/>
          <w:szCs w:val="60"/>
        </w:rPr>
      </w:pPr>
      <w:bookmarkStart w:id="209" w:name="_Toc23235"/>
      <w:bookmarkStart w:id="210" w:name="_Toc26293"/>
      <w:bookmarkStart w:id="211" w:name="_Toc6132"/>
      <w:bookmarkStart w:id="212" w:name="_Toc257"/>
      <w:bookmarkStart w:id="213" w:name="_Toc26349"/>
      <w:bookmarkStart w:id="214" w:name="_Toc10248"/>
      <w:bookmarkStart w:id="215" w:name="_Toc24786"/>
    </w:p>
    <w:p>
      <w:pPr>
        <w:spacing w:line="240" w:lineRule="auto"/>
        <w:jc w:val="center"/>
        <w:outlineLvl w:val="0"/>
        <w:rPr>
          <w:rFonts w:hint="eastAsia" w:ascii="方正小标宋简体" w:hAnsi="方正小标宋简体" w:eastAsia="方正小标宋简体" w:cs="方正小标宋简体"/>
          <w:color w:val="auto"/>
          <w:sz w:val="52"/>
          <w:szCs w:val="52"/>
        </w:rPr>
      </w:pPr>
      <w:bookmarkStart w:id="216" w:name="_Toc14411"/>
      <w:r>
        <w:rPr>
          <w:rFonts w:hint="eastAsia" w:ascii="方正小标宋简体" w:hAnsi="方正小标宋简体" w:eastAsia="方正小标宋简体" w:cs="方正小标宋简体"/>
          <w:color w:val="auto"/>
          <w:sz w:val="52"/>
          <w:szCs w:val="52"/>
          <w:lang w:val="en-US" w:eastAsia="zh-CN"/>
        </w:rPr>
        <w:t>汉中市</w:t>
      </w:r>
      <w:r>
        <w:rPr>
          <w:rFonts w:hint="eastAsia" w:ascii="方正小标宋简体" w:hAnsi="方正小标宋简体" w:eastAsia="方正小标宋简体" w:cs="方正小标宋简体"/>
          <w:color w:val="auto"/>
          <w:sz w:val="52"/>
          <w:szCs w:val="52"/>
        </w:rPr>
        <w:t>政府采购</w:t>
      </w:r>
      <w:r>
        <w:rPr>
          <w:rFonts w:hint="eastAsia" w:ascii="方正小标宋简体" w:hAnsi="方正小标宋简体" w:eastAsia="方正小标宋简体" w:cs="方正小标宋简体"/>
          <w:color w:val="auto"/>
          <w:sz w:val="52"/>
          <w:szCs w:val="52"/>
          <w:lang w:val="en-US" w:eastAsia="zh-CN"/>
        </w:rPr>
        <w:t>竞争性磋商</w:t>
      </w:r>
      <w:r>
        <w:rPr>
          <w:rFonts w:hint="eastAsia" w:ascii="方正小标宋简体" w:hAnsi="方正小标宋简体" w:eastAsia="方正小标宋简体" w:cs="方正小标宋简体"/>
          <w:color w:val="auto"/>
          <w:sz w:val="52"/>
          <w:szCs w:val="52"/>
        </w:rPr>
        <w:t>项目</w:t>
      </w:r>
      <w:bookmarkEnd w:id="209"/>
      <w:bookmarkEnd w:id="210"/>
      <w:bookmarkEnd w:id="211"/>
      <w:bookmarkEnd w:id="212"/>
      <w:bookmarkEnd w:id="213"/>
      <w:bookmarkEnd w:id="214"/>
      <w:bookmarkEnd w:id="215"/>
      <w:bookmarkEnd w:id="216"/>
    </w:p>
    <w:p>
      <w:pPr>
        <w:pStyle w:val="37"/>
        <w:spacing w:line="240" w:lineRule="auto"/>
        <w:ind w:left="0" w:leftChars="0" w:firstLine="0" w:firstLineChars="0"/>
        <w:jc w:val="both"/>
        <w:rPr>
          <w:rFonts w:hint="eastAsia" w:ascii="方正小标宋简体" w:hAnsi="方正小标宋简体" w:eastAsia="方正小标宋简体" w:cs="方正小标宋简体"/>
          <w:color w:val="auto"/>
          <w:sz w:val="36"/>
          <w:szCs w:val="36"/>
        </w:rPr>
      </w:pPr>
    </w:p>
    <w:p>
      <w:pPr>
        <w:spacing w:line="240" w:lineRule="auto"/>
        <w:jc w:val="center"/>
        <w:outlineLvl w:val="0"/>
        <w:rPr>
          <w:rFonts w:hint="eastAsia" w:ascii="方正小标宋简体" w:hAnsi="方正小标宋简体" w:eastAsia="方正小标宋简体" w:cs="方正小标宋简体"/>
          <w:color w:val="auto"/>
          <w:sz w:val="100"/>
          <w:szCs w:val="100"/>
          <w:lang w:val="en-US" w:eastAsia="zh-CN"/>
        </w:rPr>
      </w:pPr>
      <w:bookmarkStart w:id="217" w:name="_Toc6733"/>
      <w:bookmarkStart w:id="218" w:name="_Toc19569"/>
      <w:bookmarkStart w:id="219" w:name="_Toc13950"/>
      <w:bookmarkStart w:id="220" w:name="_Toc17700"/>
      <w:bookmarkStart w:id="221" w:name="_Toc76"/>
      <w:bookmarkStart w:id="222" w:name="_Toc8257"/>
      <w:bookmarkStart w:id="223" w:name="_Toc20481"/>
      <w:bookmarkStart w:id="224" w:name="_Toc26378"/>
      <w:r>
        <w:rPr>
          <w:rFonts w:hint="eastAsia" w:ascii="方正小标宋简体" w:hAnsi="方正小标宋简体" w:eastAsia="方正小标宋简体" w:cs="方正小标宋简体"/>
          <w:color w:val="auto"/>
          <w:sz w:val="100"/>
          <w:szCs w:val="100"/>
          <w:lang w:val="en-US" w:eastAsia="zh-CN"/>
        </w:rPr>
        <w:t>响应文件</w:t>
      </w:r>
      <w:bookmarkEnd w:id="217"/>
      <w:bookmarkEnd w:id="218"/>
      <w:bookmarkEnd w:id="219"/>
      <w:bookmarkEnd w:id="220"/>
      <w:bookmarkEnd w:id="221"/>
      <w:bookmarkEnd w:id="222"/>
      <w:bookmarkEnd w:id="223"/>
      <w:bookmarkEnd w:id="224"/>
    </w:p>
    <w:p>
      <w:pPr>
        <w:pStyle w:val="37"/>
        <w:spacing w:line="240" w:lineRule="auto"/>
        <w:ind w:firstLine="0" w:firstLineChars="0"/>
        <w:jc w:val="center"/>
        <w:rPr>
          <w:rFonts w:ascii="华文仿宋" w:hAnsi="华文仿宋" w:cs="华文仿宋"/>
          <w:color w:val="auto"/>
          <w:sz w:val="36"/>
          <w:szCs w:val="36"/>
        </w:rPr>
      </w:pPr>
    </w:p>
    <w:p>
      <w:pPr>
        <w:pStyle w:val="37"/>
        <w:spacing w:line="240" w:lineRule="auto"/>
        <w:ind w:firstLine="0" w:firstLineChars="0"/>
        <w:jc w:val="both"/>
        <w:rPr>
          <w:rFonts w:ascii="华文仿宋" w:hAnsi="华文仿宋" w:cs="华文仿宋"/>
          <w:color w:val="auto"/>
          <w:sz w:val="36"/>
          <w:szCs w:val="36"/>
        </w:rPr>
      </w:pPr>
    </w:p>
    <w:p>
      <w:pPr>
        <w:pStyle w:val="37"/>
        <w:spacing w:line="240" w:lineRule="auto"/>
        <w:ind w:firstLine="0" w:firstLineChars="0"/>
        <w:jc w:val="both"/>
        <w:rPr>
          <w:rFonts w:ascii="华文仿宋" w:hAnsi="华文仿宋" w:cs="华文仿宋"/>
          <w:color w:val="auto"/>
          <w:sz w:val="36"/>
          <w:szCs w:val="36"/>
        </w:rPr>
      </w:pPr>
    </w:p>
    <w:p>
      <w:pPr>
        <w:pStyle w:val="37"/>
        <w:spacing w:line="240" w:lineRule="auto"/>
        <w:ind w:firstLine="0" w:firstLineChars="0"/>
        <w:jc w:val="center"/>
        <w:rPr>
          <w:rFonts w:ascii="华文仿宋" w:hAnsi="华文仿宋" w:cs="华文仿宋"/>
          <w:color w:val="auto"/>
          <w:sz w:val="36"/>
        </w:rPr>
      </w:pPr>
    </w:p>
    <w:p>
      <w:pPr>
        <w:pStyle w:val="37"/>
        <w:spacing w:line="240" w:lineRule="auto"/>
        <w:ind w:firstLine="0" w:firstLineChars="0"/>
        <w:jc w:val="center"/>
        <w:rPr>
          <w:rFonts w:ascii="华文仿宋" w:hAnsi="华文仿宋" w:cs="华文仿宋"/>
          <w:color w:val="auto"/>
          <w:sz w:val="36"/>
        </w:rPr>
      </w:pPr>
    </w:p>
    <w:p>
      <w:pPr>
        <w:pStyle w:val="37"/>
        <w:spacing w:line="240" w:lineRule="auto"/>
        <w:ind w:firstLine="0" w:firstLineChars="0"/>
        <w:jc w:val="center"/>
        <w:rPr>
          <w:rFonts w:hint="eastAsia" w:ascii="仿宋_GB2312" w:hAnsi="仿宋_GB2312" w:eastAsia="仿宋_GB2312" w:cs="仿宋_GB2312"/>
          <w:color w:val="auto"/>
          <w:sz w:val="36"/>
        </w:rPr>
      </w:pPr>
    </w:p>
    <w:p>
      <w:pPr>
        <w:pStyle w:val="37"/>
        <w:spacing w:line="240" w:lineRule="auto"/>
        <w:ind w:firstLine="1452" w:firstLineChars="400"/>
        <w:outlineLvl w:val="0"/>
        <w:rPr>
          <w:rFonts w:hint="eastAsia" w:ascii="仿宋_GB2312" w:hAnsi="仿宋_GB2312" w:eastAsia="仿宋_GB2312" w:cs="仿宋_GB2312"/>
          <w:b/>
          <w:color w:val="auto"/>
          <w:sz w:val="36"/>
          <w:szCs w:val="36"/>
          <w:u w:val="single"/>
        </w:rPr>
      </w:pPr>
      <w:bookmarkStart w:id="225" w:name="_Toc12627"/>
      <w:bookmarkStart w:id="226" w:name="_Toc15913"/>
      <w:bookmarkStart w:id="227" w:name="_Toc23171"/>
      <w:bookmarkStart w:id="228" w:name="_Toc24486"/>
      <w:bookmarkStart w:id="229" w:name="_Toc24457"/>
      <w:bookmarkStart w:id="230" w:name="_Toc2030"/>
      <w:bookmarkStart w:id="231" w:name="_Toc15354"/>
      <w:bookmarkStart w:id="232" w:name="_Toc22280"/>
      <w:r>
        <w:rPr>
          <w:rFonts w:hint="eastAsia" w:ascii="仿宋_GB2312" w:hAnsi="仿宋_GB2312" w:eastAsia="仿宋_GB2312" w:cs="仿宋_GB2312"/>
          <w:bCs/>
          <w:color w:val="auto"/>
          <w:sz w:val="36"/>
          <w:szCs w:val="36"/>
        </w:rPr>
        <w:t>项目名称：</w:t>
      </w:r>
      <w:bookmarkEnd w:id="225"/>
      <w:bookmarkEnd w:id="226"/>
      <w:bookmarkEnd w:id="227"/>
      <w:bookmarkEnd w:id="228"/>
      <w:bookmarkEnd w:id="229"/>
      <w:bookmarkEnd w:id="230"/>
      <w:bookmarkEnd w:id="231"/>
      <w:bookmarkEnd w:id="232"/>
      <w:r>
        <w:rPr>
          <w:rFonts w:hint="eastAsia" w:ascii="仿宋_GB2312" w:hAnsi="仿宋_GB2312" w:eastAsia="仿宋_GB2312" w:cs="仿宋_GB2312"/>
          <w:color w:val="auto"/>
          <w:sz w:val="36"/>
          <w:szCs w:val="36"/>
          <w:u w:val="single"/>
        </w:rPr>
        <w:t xml:space="preserve">             </w:t>
      </w:r>
    </w:p>
    <w:p>
      <w:pPr>
        <w:pStyle w:val="37"/>
        <w:spacing w:line="240" w:lineRule="auto"/>
        <w:ind w:firstLine="1452" w:firstLineChars="400"/>
        <w:outlineLvl w:val="0"/>
        <w:rPr>
          <w:rFonts w:hint="eastAsia" w:ascii="仿宋_GB2312" w:hAnsi="仿宋_GB2312" w:eastAsia="仿宋_GB2312" w:cs="仿宋_GB2312"/>
          <w:color w:val="auto"/>
          <w:sz w:val="36"/>
          <w:szCs w:val="36"/>
          <w:u w:val="single"/>
        </w:rPr>
      </w:pPr>
      <w:bookmarkStart w:id="233" w:name="_Toc16607"/>
      <w:bookmarkStart w:id="234" w:name="_Toc29966"/>
      <w:bookmarkStart w:id="235" w:name="_Toc22519"/>
      <w:bookmarkStart w:id="236" w:name="_Toc5428"/>
      <w:bookmarkStart w:id="237" w:name="_Toc15987"/>
      <w:bookmarkStart w:id="238" w:name="_Toc1120"/>
      <w:bookmarkStart w:id="239" w:name="_Toc21054"/>
      <w:bookmarkStart w:id="240" w:name="_Toc11267"/>
      <w:r>
        <w:rPr>
          <w:rFonts w:hint="eastAsia" w:ascii="仿宋_GB2312" w:hAnsi="仿宋_GB2312" w:eastAsia="仿宋_GB2312" w:cs="仿宋_GB2312"/>
          <w:bCs/>
          <w:color w:val="auto"/>
          <w:sz w:val="36"/>
          <w:szCs w:val="36"/>
        </w:rPr>
        <w:t>项目</w:t>
      </w:r>
      <w:r>
        <w:rPr>
          <w:rFonts w:hint="eastAsia" w:ascii="仿宋_GB2312" w:hAnsi="仿宋_GB2312" w:eastAsia="仿宋_GB2312" w:cs="仿宋_GB2312"/>
          <w:bCs/>
          <w:color w:val="auto"/>
          <w:sz w:val="36"/>
          <w:szCs w:val="36"/>
          <w:lang w:val="en-US" w:eastAsia="zh-CN"/>
        </w:rPr>
        <w:t>编号</w:t>
      </w:r>
      <w:r>
        <w:rPr>
          <w:rFonts w:hint="eastAsia" w:ascii="仿宋_GB2312" w:hAnsi="仿宋_GB2312" w:eastAsia="仿宋_GB2312" w:cs="仿宋_GB2312"/>
          <w:bCs/>
          <w:color w:val="auto"/>
          <w:sz w:val="36"/>
          <w:szCs w:val="36"/>
        </w:rPr>
        <w:t>：</w:t>
      </w:r>
      <w:bookmarkEnd w:id="233"/>
      <w:r>
        <w:rPr>
          <w:rFonts w:hint="eastAsia" w:ascii="仿宋_GB2312" w:hAnsi="仿宋_GB2312" w:eastAsia="仿宋_GB2312" w:cs="仿宋_GB2312"/>
          <w:color w:val="auto"/>
          <w:sz w:val="36"/>
          <w:szCs w:val="36"/>
          <w:u w:val="single"/>
        </w:rPr>
        <w:t xml:space="preserve">             </w:t>
      </w:r>
    </w:p>
    <w:p>
      <w:pPr>
        <w:pStyle w:val="37"/>
        <w:spacing w:line="240" w:lineRule="auto"/>
        <w:ind w:firstLine="1452" w:firstLineChars="400"/>
        <w:outlineLvl w:val="0"/>
        <w:rPr>
          <w:rFonts w:hint="eastAsia" w:ascii="仿宋_GB2312" w:hAnsi="仿宋_GB2312" w:eastAsia="仿宋_GB2312" w:cs="仿宋_GB2312"/>
          <w:color w:val="auto"/>
          <w:sz w:val="36"/>
        </w:rPr>
      </w:pPr>
      <w:bookmarkStart w:id="241" w:name="_Toc18959"/>
      <w:r>
        <w:rPr>
          <w:rFonts w:hint="eastAsia" w:ascii="仿宋_GB2312" w:hAnsi="仿宋_GB2312" w:eastAsia="仿宋_GB2312" w:cs="仿宋_GB2312"/>
          <w:color w:val="auto"/>
          <w:sz w:val="36"/>
        </w:rPr>
        <w:t>供 应 商：</w:t>
      </w:r>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color w:val="auto"/>
          <w:sz w:val="36"/>
        </w:rPr>
        <w:t>（公章）</w:t>
      </w:r>
      <w:bookmarkEnd w:id="234"/>
      <w:bookmarkEnd w:id="235"/>
      <w:bookmarkEnd w:id="236"/>
      <w:bookmarkEnd w:id="237"/>
      <w:bookmarkEnd w:id="238"/>
      <w:bookmarkEnd w:id="239"/>
      <w:bookmarkEnd w:id="240"/>
      <w:bookmarkEnd w:id="241"/>
    </w:p>
    <w:p>
      <w:pPr>
        <w:pStyle w:val="37"/>
        <w:spacing w:line="240" w:lineRule="auto"/>
        <w:ind w:firstLine="1452" w:firstLineChars="400"/>
        <w:jc w:val="left"/>
        <w:outlineLvl w:val="0"/>
        <w:rPr>
          <w:rFonts w:hint="eastAsia" w:ascii="仿宋" w:hAnsi="仿宋" w:eastAsia="仿宋" w:cs="仿宋"/>
          <w:color w:val="auto"/>
          <w:sz w:val="36"/>
          <w:szCs w:val="36"/>
          <w:u w:val="single"/>
        </w:rPr>
      </w:pPr>
      <w:bookmarkStart w:id="242" w:name="_Toc7734"/>
      <w:bookmarkStart w:id="243" w:name="_Toc9715"/>
      <w:bookmarkStart w:id="244" w:name="_Toc21702"/>
      <w:bookmarkStart w:id="245" w:name="_Toc15429"/>
      <w:bookmarkStart w:id="246" w:name="_Toc26250"/>
      <w:bookmarkStart w:id="247" w:name="_Toc880"/>
      <w:bookmarkStart w:id="248" w:name="_Toc24294"/>
      <w:bookmarkStart w:id="249" w:name="_Toc5243"/>
      <w:r>
        <w:rPr>
          <w:rFonts w:hint="eastAsia" w:ascii="仿宋_GB2312" w:hAnsi="仿宋_GB2312" w:eastAsia="仿宋_GB2312" w:cs="仿宋_GB2312"/>
          <w:color w:val="auto"/>
          <w:sz w:val="36"/>
        </w:rPr>
        <w:t>时　  间：</w:t>
      </w:r>
      <w:bookmarkEnd w:id="242"/>
      <w:bookmarkEnd w:id="243"/>
      <w:bookmarkEnd w:id="244"/>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bookmarkEnd w:id="245"/>
      <w:bookmarkEnd w:id="246"/>
      <w:bookmarkEnd w:id="247"/>
      <w:bookmarkEnd w:id="248"/>
      <w:bookmarkEnd w:id="249"/>
    </w:p>
    <w:p>
      <w:pPr>
        <w:pStyle w:val="37"/>
        <w:spacing w:line="240" w:lineRule="auto"/>
        <w:ind w:firstLine="1452" w:firstLineChars="400"/>
        <w:jc w:val="left"/>
        <w:outlineLvl w:val="0"/>
        <w:rPr>
          <w:rFonts w:hint="eastAsia" w:ascii="仿宋" w:hAnsi="仿宋" w:eastAsia="仿宋" w:cs="仿宋"/>
          <w:color w:val="auto"/>
          <w:sz w:val="36"/>
          <w:szCs w:val="36"/>
          <w:u w:val="single"/>
        </w:rPr>
      </w:pPr>
    </w:p>
    <w:bookmarkEnd w:id="198"/>
    <w:bookmarkEnd w:id="199"/>
    <w:bookmarkEnd w:id="200"/>
    <w:bookmarkEnd w:id="201"/>
    <w:bookmarkEnd w:id="202"/>
    <w:bookmarkEnd w:id="203"/>
    <w:bookmarkEnd w:id="204"/>
    <w:bookmarkEnd w:id="205"/>
    <w:bookmarkEnd w:id="206"/>
    <w:bookmarkEnd w:id="207"/>
    <w:p>
      <w:pPr>
        <w:rPr>
          <w:rFonts w:ascii="华文仿宋" w:hAnsi="华文仿宋" w:cs="华文仿宋"/>
          <w:color w:val="auto"/>
          <w:sz w:val="36"/>
        </w:rPr>
      </w:pPr>
      <w:bookmarkStart w:id="250" w:name="_Toc31082_WPSOffice_Level1"/>
      <w:bookmarkStart w:id="251" w:name="_Toc21571_WPSOffice_Level1"/>
      <w:bookmarkStart w:id="252" w:name="_Toc22476_WPSOffice_Level1"/>
      <w:bookmarkStart w:id="253" w:name="_Toc2071_WPSOffice_Level1"/>
      <w:r>
        <w:rPr>
          <w:rFonts w:ascii="华文仿宋" w:hAnsi="华文仿宋" w:cs="华文仿宋"/>
          <w:color w:val="auto"/>
          <w:sz w:val="36"/>
        </w:rPr>
        <w:br w:type="page"/>
      </w:r>
    </w:p>
    <w:p>
      <w:pPr>
        <w:pStyle w:val="41"/>
        <w:rPr>
          <w:rFonts w:hint="eastAsia" w:ascii="黑体" w:hAnsi="黑体" w:eastAsia="黑体" w:cs="黑体"/>
          <w:b w:val="0"/>
          <w:bCs w:val="0"/>
          <w:color w:val="auto"/>
          <w:sz w:val="36"/>
          <w:szCs w:val="36"/>
        </w:rPr>
      </w:pPr>
      <w:bookmarkStart w:id="254" w:name="_Toc27037"/>
      <w:bookmarkStart w:id="255" w:name="_Toc24906"/>
      <w:bookmarkStart w:id="256" w:name="_Toc11156"/>
      <w:bookmarkStart w:id="257" w:name="_Toc10193"/>
      <w:bookmarkStart w:id="258" w:name="_Toc23450"/>
      <w:r>
        <w:rPr>
          <w:rFonts w:hint="eastAsia" w:ascii="黑体" w:hAnsi="黑体" w:eastAsia="黑体" w:cs="黑体"/>
          <w:b w:val="0"/>
          <w:bCs w:val="0"/>
          <w:color w:val="auto"/>
          <w:sz w:val="44"/>
          <w:szCs w:val="44"/>
        </w:rPr>
        <w:t>目  录</w:t>
      </w:r>
      <w:bookmarkEnd w:id="250"/>
      <w:bookmarkEnd w:id="251"/>
      <w:bookmarkEnd w:id="252"/>
      <w:bookmarkEnd w:id="253"/>
      <w:bookmarkEnd w:id="254"/>
      <w:bookmarkEnd w:id="255"/>
      <w:bookmarkEnd w:id="256"/>
      <w:bookmarkEnd w:id="257"/>
      <w:bookmarkEnd w:id="25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59" w:name="_Toc8294_WPSOffice_Level1"/>
      <w:bookmarkStart w:id="260" w:name="_Toc26192_WPSOffice_Level1"/>
      <w:bookmarkStart w:id="261" w:name="_Toc25537_WPSOffice_Level1"/>
      <w:bookmarkStart w:id="262" w:name="_Toc19993_WPSOffice_Level1"/>
      <w:r>
        <w:rPr>
          <w:rFonts w:hint="eastAsia" w:ascii="黑体" w:hAnsi="黑体" w:eastAsia="黑体" w:cs="黑体"/>
          <w:color w:val="auto"/>
          <w:sz w:val="32"/>
          <w:szCs w:val="32"/>
        </w:rPr>
        <w:t>第一部分  资格证明文件</w:t>
      </w:r>
      <w:r>
        <w:rPr>
          <w:rFonts w:hint="eastAsia" w:ascii="黑体" w:hAnsi="黑体" w:eastAsia="黑体" w:cs="黑体"/>
          <w:color w:val="auto"/>
          <w:sz w:val="32"/>
          <w:szCs w:val="32"/>
        </w:rPr>
        <w:tab/>
      </w:r>
      <w:r>
        <w:rPr>
          <w:rFonts w:hint="eastAsia" w:ascii="黑体" w:hAnsi="黑体" w:eastAsia="黑体" w:cs="黑体"/>
          <w:color w:val="auto"/>
          <w:sz w:val="32"/>
          <w:szCs w:val="32"/>
        </w:rPr>
        <w:t>X</w:t>
      </w:r>
      <w:bookmarkEnd w:id="259"/>
      <w:bookmarkEnd w:id="260"/>
      <w:bookmarkEnd w:id="261"/>
      <w:bookmarkEnd w:id="26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3" w:name="_Toc31082_WPSOffice_Level2"/>
      <w:bookmarkStart w:id="264" w:name="_Toc25969_WPSOffice_Level2"/>
      <w:bookmarkStart w:id="265" w:name="_Toc14464_WPSOffice_Level2"/>
      <w:bookmarkStart w:id="266" w:name="_Toc19993_WPSOffice_Level2"/>
      <w:r>
        <w:rPr>
          <w:rFonts w:hint="eastAsia" w:ascii="仿宋_GB2312" w:hAnsi="仿宋_GB2312" w:eastAsia="仿宋_GB2312" w:cs="仿宋_GB2312"/>
          <w:color w:val="auto"/>
          <w:sz w:val="32"/>
          <w:szCs w:val="32"/>
        </w:rPr>
        <w:t>一、营业执照等主体资格证明文件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3"/>
      <w:bookmarkEnd w:id="264"/>
      <w:bookmarkEnd w:id="265"/>
      <w:bookmarkEnd w:id="26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7" w:name="_Toc27026_WPSOffice_Level2"/>
      <w:bookmarkStart w:id="268" w:name="_Toc25537_WPSOffice_Level2"/>
      <w:bookmarkStart w:id="269" w:name="_Toc10078_WPSOffice_Level2"/>
      <w:bookmarkStart w:id="270" w:name="_Toc5830_WPSOffice_Level2"/>
      <w:r>
        <w:rPr>
          <w:rFonts w:hint="eastAsia" w:ascii="仿宋_GB2312" w:hAnsi="仿宋_GB2312" w:eastAsia="仿宋_GB2312" w:cs="仿宋_GB2312"/>
          <w:color w:val="auto"/>
          <w:sz w:val="32"/>
          <w:szCs w:val="32"/>
        </w:rPr>
        <w:t>二、</w:t>
      </w:r>
      <w:bookmarkEnd w:id="267"/>
      <w:bookmarkEnd w:id="268"/>
      <w:bookmarkEnd w:id="269"/>
      <w:bookmarkEnd w:id="270"/>
      <w:bookmarkStart w:id="271" w:name="_Toc25801_WPSOffice_Level2"/>
      <w:bookmarkStart w:id="272" w:name="_Toc17511_WPSOffice_Level2"/>
      <w:bookmarkStart w:id="273" w:name="_Toc10792_WPSOffice_Level2"/>
      <w:bookmarkStart w:id="274" w:name="_Toc3534_WPSOffice_Level2"/>
      <w:r>
        <w:rPr>
          <w:rFonts w:hint="eastAsia" w:ascii="仿宋_GB2312" w:hAnsi="仿宋_GB2312" w:eastAsia="仿宋_GB2312" w:cs="仿宋_GB2312"/>
          <w:color w:val="auto"/>
          <w:sz w:val="32"/>
          <w:szCs w:val="32"/>
        </w:rPr>
        <w:t>法定代表人授权委托书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1"/>
      <w:bookmarkEnd w:id="272"/>
      <w:bookmarkEnd w:id="273"/>
      <w:bookmarkEnd w:id="27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5" w:name="_Toc17236_WPSOffice_Level2"/>
      <w:bookmarkStart w:id="276" w:name="_Toc5115_WPSOffice_Level2"/>
      <w:bookmarkStart w:id="277" w:name="_Toc21196_WPSOffice_Level2"/>
      <w:bookmarkStart w:id="278" w:name="_Toc12145_WPSOffice_Level2"/>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、资格承诺函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5"/>
      <w:bookmarkEnd w:id="276"/>
      <w:bookmarkEnd w:id="277"/>
      <w:bookmarkEnd w:id="27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落实政府采购政策需满足的资格要求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79" w:name="_Toc22849_WPSOffice_Level1"/>
      <w:bookmarkStart w:id="280" w:name="_Toc28184_WPSOffice_Level1"/>
      <w:bookmarkStart w:id="281" w:name="_Toc30252_WPSOffice_Level1"/>
      <w:bookmarkStart w:id="282" w:name="_Toc27026_WPSOffice_Level1"/>
      <w:r>
        <w:rPr>
          <w:rFonts w:hint="eastAsia" w:ascii="黑体" w:hAnsi="黑体" w:eastAsia="黑体" w:cs="黑体"/>
          <w:color w:val="auto"/>
          <w:sz w:val="32"/>
          <w:szCs w:val="32"/>
        </w:rPr>
        <w:t>第二部分  符合性证明文件</w:t>
      </w:r>
      <w:r>
        <w:rPr>
          <w:color w:val="auto"/>
          <w:sz w:val="32"/>
          <w:szCs w:val="32"/>
        </w:rPr>
        <w:tab/>
      </w:r>
      <w:r>
        <w:rPr>
          <w:color w:val="auto"/>
          <w:sz w:val="32"/>
          <w:szCs w:val="32"/>
        </w:rPr>
        <w:t>X</w:t>
      </w:r>
      <w:bookmarkEnd w:id="279"/>
      <w:bookmarkEnd w:id="280"/>
      <w:bookmarkEnd w:id="281"/>
      <w:bookmarkEnd w:id="28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83" w:name="_Toc183_WPSOffice_Level2"/>
      <w:bookmarkStart w:id="284" w:name="_Toc7348_WPSOffice_Level2"/>
      <w:bookmarkStart w:id="285" w:name="_Toc5795_WPSOffice_Level2"/>
      <w:bookmarkStart w:id="286" w:name="_Toc28631_WPSOffice_Level2"/>
      <w:r>
        <w:rPr>
          <w:rFonts w:hint="eastAsia" w:ascii="仿宋_GB2312" w:hAnsi="仿宋_GB2312" w:eastAsia="仿宋_GB2312" w:cs="仿宋_GB2312"/>
          <w:color w:val="auto"/>
          <w:sz w:val="32"/>
          <w:szCs w:val="32"/>
        </w:rPr>
        <w:t>一、响应函格式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3"/>
      <w:bookmarkEnd w:id="284"/>
      <w:bookmarkEnd w:id="285"/>
      <w:bookmarkEnd w:id="28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87" w:name="_Toc1168_WPSOffice_Level2"/>
      <w:bookmarkStart w:id="288" w:name="_Toc8116_WPSOffice_Level2"/>
      <w:bookmarkStart w:id="289" w:name="_Toc27223_WPSOffice_Level2"/>
      <w:bookmarkStart w:id="290" w:name="_Toc9021_WPSOffice_Level2"/>
      <w:r>
        <w:rPr>
          <w:rFonts w:hint="eastAsia" w:ascii="仿宋_GB2312" w:hAnsi="仿宋_GB2312" w:eastAsia="仿宋_GB2312" w:cs="仿宋_GB2312"/>
          <w:color w:val="auto"/>
          <w:sz w:val="32"/>
          <w:szCs w:val="32"/>
        </w:rPr>
        <w:t>二、第一次磋商报价表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7"/>
      <w:bookmarkEnd w:id="288"/>
      <w:bookmarkEnd w:id="289"/>
      <w:bookmarkEnd w:id="29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分项报价表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1" w:name="_Toc11630_WPSOffice_Level2"/>
      <w:bookmarkStart w:id="292" w:name="_Toc29414_WPSOffice_Level2"/>
      <w:bookmarkStart w:id="293" w:name="_Toc3525_WPSOffice_Level2"/>
      <w:bookmarkStart w:id="294" w:name="_Toc27170_WPSOffice_Level2"/>
      <w:r>
        <w:rPr>
          <w:rFonts w:hint="eastAsia" w:ascii="仿宋_GB2312" w:hAnsi="仿宋_GB2312" w:eastAsia="仿宋_GB2312" w:cs="仿宋_GB2312"/>
          <w:color w:val="auto"/>
          <w:sz w:val="32"/>
          <w:szCs w:val="32"/>
        </w:rPr>
        <w:t>三、供应商参加政府采购活动承诺书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1"/>
      <w:bookmarkEnd w:id="292"/>
      <w:bookmarkEnd w:id="293"/>
      <w:bookmarkEnd w:id="29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5" w:name="_Toc31457_WPSOffice_Level2"/>
      <w:bookmarkStart w:id="296" w:name="_Toc18811_WPSOffice_Level2"/>
      <w:bookmarkStart w:id="297" w:name="_Toc1782_WPSOffice_Level2"/>
      <w:bookmarkStart w:id="298" w:name="_Toc20504_WPSOffice_Level2"/>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、技术服务偏差表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5"/>
      <w:bookmarkEnd w:id="296"/>
      <w:bookmarkEnd w:id="297"/>
      <w:bookmarkEnd w:id="29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9" w:name="_Toc28279_WPSOffice_Level2"/>
      <w:bookmarkStart w:id="300" w:name="_Toc17428_WPSOffice_Level2"/>
      <w:bookmarkStart w:id="301" w:name="_Toc19486_WPSOffice_Level2"/>
      <w:bookmarkStart w:id="302" w:name="_Toc13258_WPSOffice_Level2"/>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条款响应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9"/>
      <w:bookmarkEnd w:id="300"/>
      <w:bookmarkEnd w:id="301"/>
      <w:bookmarkEnd w:id="30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646" w:firstLineChars="200"/>
        <w:textAlignment w:val="auto"/>
        <w:rPr>
          <w:rFonts w:ascii="黑体" w:hAnsi="黑体" w:eastAsia="黑体" w:cs="黑体"/>
          <w:color w:val="auto"/>
          <w:sz w:val="32"/>
          <w:szCs w:val="32"/>
        </w:rPr>
      </w:pPr>
      <w:bookmarkStart w:id="303" w:name="_Toc22808_WPSOffice_Level1"/>
      <w:bookmarkStart w:id="304" w:name="_Toc23092_WPSOffice_Level1"/>
      <w:bookmarkStart w:id="305" w:name="_Toc21905_WPSOffice_Level1"/>
      <w:bookmarkStart w:id="306" w:name="_Toc27464_WPSOffice_Level1"/>
      <w:r>
        <w:rPr>
          <w:rFonts w:hint="eastAsia" w:ascii="黑体" w:hAnsi="黑体" w:eastAsia="黑体" w:cs="黑体"/>
          <w:color w:val="auto"/>
          <w:sz w:val="32"/>
          <w:szCs w:val="32"/>
        </w:rPr>
        <w:t>第三部分  响应方案</w:t>
      </w:r>
      <w:bookmarkEnd w:id="303"/>
      <w:bookmarkEnd w:id="304"/>
      <w:bookmarkEnd w:id="305"/>
      <w:bookmarkEnd w:id="30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7" w:name="_Toc7951_WPSOffice_Level2"/>
      <w:bookmarkStart w:id="308" w:name="_Toc980_WPSOffice_Level2"/>
      <w:bookmarkStart w:id="309" w:name="_Toc7544_WPSOffice_Level2"/>
      <w:bookmarkStart w:id="310" w:name="_Toc8316_WPSOffice_Level2"/>
      <w:r>
        <w:rPr>
          <w:rFonts w:hint="eastAsia" w:ascii="仿宋_GB2312" w:hAnsi="仿宋_GB2312" w:eastAsia="仿宋_GB2312" w:cs="仿宋_GB2312"/>
          <w:color w:val="auto"/>
          <w:sz w:val="32"/>
          <w:szCs w:val="32"/>
        </w:rPr>
        <w:t>一、供应商</w:t>
      </w:r>
      <w:bookmarkEnd w:id="307"/>
      <w:r>
        <w:rPr>
          <w:rFonts w:hint="eastAsia" w:ascii="仿宋_GB2312" w:hAnsi="仿宋_GB2312" w:eastAsia="仿宋_GB2312" w:cs="仿宋_GB2312"/>
          <w:color w:val="auto"/>
          <w:sz w:val="32"/>
          <w:szCs w:val="32"/>
          <w:lang w:val="en-US" w:eastAsia="zh-CN"/>
        </w:rPr>
        <w:t>基本情况及其性质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8"/>
      <w:bookmarkEnd w:id="309"/>
      <w:bookmarkEnd w:id="31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11" w:name="_Toc10127_WPSOffice_Level2"/>
      <w:bookmarkStart w:id="312" w:name="_Toc2999_WPSOffice_Level2"/>
      <w:bookmarkStart w:id="313" w:name="_Toc15474_WPSOffice_Level2"/>
      <w:bookmarkStart w:id="314" w:name="_Toc2987_WPSOffice_Level2"/>
      <w:r>
        <w:rPr>
          <w:rFonts w:hint="eastAsia" w:ascii="仿宋_GB2312" w:hAnsi="仿宋_GB2312" w:eastAsia="仿宋_GB2312" w:cs="仿宋_GB2312"/>
          <w:color w:val="auto"/>
          <w:sz w:val="32"/>
          <w:szCs w:val="32"/>
        </w:rPr>
        <w:t>二、技术服务方案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1"/>
      <w:bookmarkEnd w:id="312"/>
      <w:bookmarkEnd w:id="313"/>
      <w:bookmarkEnd w:id="314"/>
    </w:p>
    <w:p>
      <w:pPr>
        <w:keepNext w:val="0"/>
        <w:keepLines w:val="0"/>
        <w:pageBreakBefore w:val="0"/>
        <w:widowControl/>
        <w:numPr>
          <w:ilvl w:val="0"/>
          <w:numId w:val="0"/>
        </w:numPr>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15" w:name="_Toc28542_WPSOffice_Level2"/>
      <w:bookmarkStart w:id="316" w:name="_Toc22913_WPSOffice_Level2"/>
      <w:bookmarkStart w:id="317" w:name="_Toc15492_WPSOffice_Level2"/>
      <w:bookmarkStart w:id="318" w:name="_Toc13401_WPSOffice_Level2"/>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参考样表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5"/>
      <w:bookmarkEnd w:id="316"/>
      <w:bookmarkEnd w:id="317"/>
      <w:bookmarkEnd w:id="318"/>
    </w:p>
    <w:p>
      <w:pPr>
        <w:spacing w:line="500" w:lineRule="exact"/>
        <w:jc w:val="center"/>
        <w:rPr>
          <w:rFonts w:ascii="黑体" w:hAnsi="黑体" w:eastAsia="黑体"/>
          <w:b/>
          <w:color w:val="auto"/>
        </w:rPr>
      </w:pPr>
    </w:p>
    <w:p>
      <w:pPr>
        <w:spacing w:line="500" w:lineRule="exact"/>
        <w:jc w:val="center"/>
        <w:rPr>
          <w:rFonts w:ascii="黑体" w:hAnsi="黑体" w:eastAsia="黑体"/>
          <w:b/>
          <w:color w:val="auto"/>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b/>
          <w:color w:val="auto"/>
        </w:rPr>
      </w:pPr>
      <w:r>
        <w:rPr>
          <w:rFonts w:ascii="黑体" w:hAnsi="黑体" w:eastAsia="黑体"/>
          <w:b/>
          <w:color w:val="auto"/>
        </w:rPr>
        <w:br w:type="page"/>
      </w:r>
      <w:bookmarkStart w:id="319" w:name="_Toc5115_WPSOffice_Level1"/>
      <w:bookmarkStart w:id="320" w:name="_Toc3534_WPSOffice_Level1"/>
      <w:bookmarkStart w:id="321" w:name="_Toc14670_WPSOffice_Level1"/>
      <w:bookmarkStart w:id="322" w:name="_Toc6199"/>
      <w:bookmarkStart w:id="323" w:name="_Toc8079"/>
      <w:bookmarkStart w:id="324" w:name="_Toc23478"/>
      <w:bookmarkStart w:id="325" w:name="_Toc16498"/>
      <w:r>
        <w:rPr>
          <w:rStyle w:val="42"/>
          <w:rFonts w:hint="eastAsia" w:ascii="黑体" w:hAnsi="黑体" w:eastAsia="黑体" w:cs="黑体"/>
          <w:b w:val="0"/>
          <w:bCs/>
          <w:color w:val="auto"/>
          <w:sz w:val="32"/>
          <w:szCs w:val="40"/>
        </w:rPr>
        <w:t>第一部分  资格证明文件</w:t>
      </w:r>
      <w:bookmarkEnd w:id="319"/>
      <w:bookmarkEnd w:id="320"/>
      <w:bookmarkEnd w:id="321"/>
      <w:bookmarkEnd w:id="322"/>
      <w:bookmarkEnd w:id="323"/>
      <w:bookmarkEnd w:id="324"/>
      <w:bookmarkEnd w:id="325"/>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供应商应按照磋商文件第</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章</w:t>
      </w:r>
      <w:r>
        <w:rPr>
          <w:rFonts w:hint="eastAsia" w:ascii="仿宋_GB2312" w:hAnsi="仿宋_GB2312" w:eastAsia="仿宋_GB2312" w:cs="仿宋_GB2312"/>
          <w:color w:val="auto"/>
          <w:sz w:val="28"/>
          <w:szCs w:val="28"/>
          <w:lang w:val="en-US" w:eastAsia="zh-CN"/>
        </w:rPr>
        <w:t>《资格审查表》</w:t>
      </w:r>
      <w:r>
        <w:rPr>
          <w:rFonts w:hint="eastAsia" w:ascii="仿宋_GB2312" w:hAnsi="仿宋_GB2312" w:eastAsia="仿宋_GB2312" w:cs="仿宋_GB2312"/>
          <w:color w:val="auto"/>
          <w:sz w:val="28"/>
          <w:szCs w:val="28"/>
        </w:rPr>
        <w:t>所列</w:t>
      </w:r>
      <w:r>
        <w:rPr>
          <w:rFonts w:hint="eastAsia" w:ascii="仿宋_GB2312" w:hAnsi="仿宋_GB2312" w:eastAsia="仿宋_GB2312" w:cs="仿宋_GB2312"/>
          <w:color w:val="auto"/>
          <w:sz w:val="28"/>
          <w:szCs w:val="28"/>
          <w:lang w:val="en-US" w:eastAsia="zh-CN"/>
        </w:rPr>
        <w:t>审查项</w:t>
      </w:r>
      <w:r>
        <w:rPr>
          <w:rFonts w:hint="eastAsia" w:ascii="仿宋_GB2312" w:hAnsi="仿宋_GB2312" w:eastAsia="仿宋_GB2312" w:cs="仿宋_GB2312"/>
          <w:color w:val="auto"/>
          <w:sz w:val="28"/>
          <w:szCs w:val="28"/>
        </w:rPr>
        <w:t>逐一提供全部资格证明文件。缺少其中任何一项，其响应文件将被视为无效文件。</w:t>
      </w:r>
    </w:p>
    <w:p>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其中，《法定代表人授权委托书》《汉中市政府采购供应商资格承诺函》《中小企业声明函》须按下文给定格式填写，否则按无效处理。特别说明，法定代表人亲自参加</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的，可不提供法定代表人授权委托书，但须提供其本人身份证（正反面）复印件。</w:t>
      </w:r>
    </w:p>
    <w:p>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eastAsia" w:ascii="仿宋" w:hAnsi="仿宋" w:eastAsia="仿宋"/>
          <w:b/>
          <w:color w:val="auto"/>
          <w:sz w:val="28"/>
          <w:szCs w:val="28"/>
        </w:rPr>
      </w:pPr>
      <w:bookmarkStart w:id="326" w:name="_Toc26041_WPSOffice_Level2"/>
      <w:bookmarkStart w:id="327" w:name="_Toc19075_WPSOffice_Level2"/>
      <w:bookmarkStart w:id="328" w:name="_Toc6967_WPSOffice_Level2"/>
      <w:bookmarkStart w:id="329" w:name="_Toc9954_WPSOffice_Level2"/>
      <w:r>
        <w:rPr>
          <w:rFonts w:hint="eastAsia" w:ascii="仿宋_GB2312" w:hAnsi="仿宋_GB2312" w:eastAsia="仿宋_GB2312" w:cs="仿宋_GB2312"/>
          <w:b/>
          <w:color w:val="auto"/>
          <w:sz w:val="28"/>
          <w:szCs w:val="28"/>
        </w:rPr>
        <w:t>一、营业执照等主体资格证明文件</w:t>
      </w:r>
      <w:bookmarkEnd w:id="326"/>
      <w:bookmarkEnd w:id="327"/>
      <w:bookmarkEnd w:id="328"/>
      <w:bookmarkEnd w:id="329"/>
      <w:bookmarkStart w:id="330" w:name="_Toc1079_WPSOffice_Level2"/>
      <w:bookmarkStart w:id="331" w:name="_Toc32533_WPSOffice_Level2"/>
      <w:bookmarkStart w:id="332" w:name="_Toc10483_WPSOffice_Level2"/>
      <w:bookmarkStart w:id="333" w:name="_Toc30636_WPSOffice_Level2"/>
    </w:p>
    <w:p>
      <w:pPr>
        <w:spacing w:line="500" w:lineRule="exact"/>
        <w:ind w:firstLine="566" w:firstLineChars="200"/>
        <w:rPr>
          <w:rFonts w:hint="eastAsia" w:ascii="仿宋" w:hAnsi="仿宋" w:eastAsia="仿宋"/>
          <w:b/>
          <w:color w:val="auto"/>
        </w:rPr>
      </w:pPr>
    </w:p>
    <w:p>
      <w:pPr>
        <w:spacing w:line="500" w:lineRule="exact"/>
        <w:ind w:firstLine="566" w:firstLineChars="200"/>
        <w:rPr>
          <w:rFonts w:hint="eastAsia" w:ascii="仿宋" w:hAnsi="仿宋" w:eastAsia="仿宋"/>
          <w:b/>
          <w:color w:val="auto"/>
        </w:rPr>
      </w:pPr>
    </w:p>
    <w:p>
      <w:pPr>
        <w:spacing w:line="500" w:lineRule="exact"/>
        <w:ind w:firstLine="566" w:firstLineChars="200"/>
        <w:rPr>
          <w:rFonts w:hint="eastAsia" w:ascii="仿宋" w:hAnsi="仿宋" w:eastAsia="仿宋"/>
          <w:b/>
          <w:color w:val="auto"/>
        </w:rPr>
      </w:pPr>
    </w:p>
    <w:p>
      <w:pPr>
        <w:rPr>
          <w:b/>
          <w:bCs/>
          <w:color w:val="auto"/>
          <w:sz w:val="30"/>
          <w:szCs w:val="30"/>
        </w:rPr>
      </w:pPr>
      <w:r>
        <w:rPr>
          <w:rFonts w:hint="eastAsia" w:ascii="仿宋" w:hAnsi="仿宋" w:eastAsia="仿宋"/>
          <w:b/>
          <w:color w:val="auto"/>
        </w:rPr>
        <w:br w:type="page"/>
      </w:r>
      <w:bookmarkEnd w:id="330"/>
      <w:bookmarkEnd w:id="331"/>
      <w:bookmarkEnd w:id="332"/>
      <w:bookmarkEnd w:id="333"/>
    </w:p>
    <w:p>
      <w:pPr>
        <w:pStyle w:val="43"/>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color w:val="auto"/>
          <w:sz w:val="30"/>
          <w:szCs w:val="30"/>
        </w:rPr>
      </w:pPr>
      <w:bookmarkStart w:id="334" w:name="_Toc23486_WPSOffice_Level2"/>
      <w:bookmarkStart w:id="335" w:name="_Toc14516_WPSOffice_Level2"/>
      <w:bookmarkStart w:id="336" w:name="_Toc24625_WPSOffice_Level2"/>
      <w:bookmarkStart w:id="337" w:name="_Toc13298_WPSOffice_Level2"/>
      <w:r>
        <w:rPr>
          <w:rFonts w:hint="eastAsia" w:ascii="仿宋_GB2312" w:hAnsi="仿宋_GB2312" w:eastAsia="仿宋_GB2312" w:cs="仿宋_GB2312"/>
          <w:color w:val="auto"/>
          <w:sz w:val="30"/>
          <w:szCs w:val="30"/>
          <w:lang w:val="en-US" w:eastAsia="zh-CN"/>
        </w:rPr>
        <w:t>二</w:t>
      </w:r>
      <w:r>
        <w:rPr>
          <w:rFonts w:hint="eastAsia" w:ascii="仿宋_GB2312" w:hAnsi="仿宋_GB2312" w:eastAsia="仿宋_GB2312" w:cs="仿宋_GB2312"/>
          <w:color w:val="auto"/>
          <w:sz w:val="30"/>
          <w:szCs w:val="30"/>
        </w:rPr>
        <w:t>、法定代表人授权委托书</w:t>
      </w:r>
      <w:bookmarkEnd w:id="334"/>
      <w:bookmarkEnd w:id="335"/>
      <w:bookmarkEnd w:id="336"/>
      <w:bookmarkEnd w:id="337"/>
      <w:bookmarkStart w:id="338" w:name="_Toc19993_WPSOffice_Level3"/>
    </w:p>
    <w:p>
      <w:pPr>
        <w:pStyle w:val="43"/>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法定代表人授权委托书</w:t>
      </w:r>
      <w:bookmarkEnd w:id="338"/>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汉中市</w:t>
      </w:r>
      <w:r>
        <w:rPr>
          <w:rFonts w:hint="eastAsia" w:ascii="仿宋_GB2312" w:hAnsi="仿宋_GB2312" w:eastAsia="仿宋_GB2312" w:cs="仿宋_GB2312"/>
          <w:color w:val="auto"/>
        </w:rPr>
        <w:t>政府采购中心：</w:t>
      </w:r>
    </w:p>
    <w:p>
      <w:pPr>
        <w:pageBreakBefore w:val="0"/>
        <w:widowControl/>
        <w:kinsoku/>
        <w:wordWrap/>
        <w:overflowPunct/>
        <w:topLinePunct w:val="0"/>
        <w:autoSpaceDE/>
        <w:autoSpaceDN/>
        <w:bidi w:val="0"/>
        <w:adjustRightInd/>
        <w:spacing w:line="560" w:lineRule="exact"/>
        <w:ind w:right="11"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现委派</w:t>
      </w:r>
      <w:r>
        <w:rPr>
          <w:rFonts w:hint="eastAsia" w:ascii="仿宋_GB2312" w:hAnsi="仿宋_GB2312" w:eastAsia="仿宋_GB2312" w:cs="仿宋_GB2312"/>
          <w:color w:val="auto"/>
          <w:u w:val="single"/>
        </w:rPr>
        <w:t>（授权代表姓名）</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lang w:val="en-US" w:eastAsia="zh-CN"/>
        </w:rPr>
        <w:t>身份证号：</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rPr>
        <w:t>为本公司的授权代表，参加贵方组织的</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项目名称 </w:t>
      </w:r>
      <w:r>
        <w:rPr>
          <w:rFonts w:hint="eastAsia" w:ascii="仿宋_GB2312" w:hAnsi="仿宋_GB2312" w:eastAsia="仿宋_GB2312" w:cs="仿宋_GB2312"/>
          <w:color w:val="auto"/>
        </w:rPr>
        <w:t>（项目编号：</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）第___标段政府采购活动，就该项目的</w:t>
      </w:r>
      <w:r>
        <w:rPr>
          <w:rFonts w:hint="eastAsia" w:ascii="仿宋_GB2312" w:hAnsi="仿宋_GB2312" w:eastAsia="仿宋_GB2312" w:cs="仿宋_GB2312"/>
          <w:color w:val="auto"/>
          <w:lang w:val="en-US" w:eastAsia="zh-CN"/>
        </w:rPr>
        <w:t>磋商</w:t>
      </w:r>
      <w:r>
        <w:rPr>
          <w:rFonts w:hint="eastAsia" w:ascii="仿宋_GB2312" w:hAnsi="仿宋_GB2312" w:eastAsia="仿宋_GB2312" w:cs="仿宋_GB2312"/>
          <w:color w:val="auto"/>
        </w:rPr>
        <w:t>及合同的执行和完成，以本公司的名义处理一切与之有关的事宜。本授权自开标之日起生效，有效期与投标文件有效期一致。</w:t>
      </w:r>
    </w:p>
    <w:p>
      <w:pPr>
        <w:pageBreakBefore w:val="0"/>
        <w:widowControl/>
        <w:tabs>
          <w:tab w:val="left" w:pos="5245"/>
          <w:tab w:val="left" w:pos="6946"/>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授权代表姓名：_______________</w:t>
      </w:r>
      <w:r>
        <w:rPr>
          <w:rFonts w:hint="eastAsia" w:ascii="仿宋_GB2312" w:hAnsi="仿宋_GB2312" w:eastAsia="仿宋_GB2312" w:cs="仿宋_GB2312"/>
          <w:color w:val="auto"/>
        </w:rPr>
        <w:tab/>
      </w:r>
      <w:r>
        <w:rPr>
          <w:rFonts w:hint="eastAsia" w:ascii="仿宋_GB2312" w:hAnsi="仿宋_GB2312" w:eastAsia="仿宋_GB2312" w:cs="仿宋_GB2312"/>
          <w:color w:val="auto"/>
        </w:rPr>
        <w:t>性别：_____</w:t>
      </w:r>
      <w:r>
        <w:rPr>
          <w:rFonts w:hint="eastAsia" w:ascii="仿宋_GB2312" w:hAnsi="仿宋_GB2312" w:eastAsia="仿宋_GB2312" w:cs="仿宋_GB2312"/>
          <w:color w:val="auto"/>
        </w:rPr>
        <w:tab/>
      </w:r>
    </w:p>
    <w:p>
      <w:pPr>
        <w:pageBreakBefore w:val="0"/>
        <w:widowControl/>
        <w:tabs>
          <w:tab w:val="left" w:pos="5245"/>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职务：________________           电话：_________</w:t>
      </w:r>
    </w:p>
    <w:p>
      <w:pPr>
        <w:pageBreakBefore w:val="0"/>
        <w:widowControl/>
        <w:tabs>
          <w:tab w:val="left" w:pos="3828"/>
          <w:tab w:val="left" w:pos="6237"/>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通讯地址：__________________     邮政编码：__________</w:t>
      </w:r>
    </w:p>
    <w:tbl>
      <w:tblPr>
        <w:tblStyle w:val="20"/>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法定代表人身份证复印件</w:t>
            </w:r>
          </w:p>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4072"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c>
          <w:tcPr>
            <w:tcW w:w="4098"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r>
    </w:tbl>
    <w:p>
      <w:pPr>
        <w:pageBreakBefore w:val="0"/>
        <w:widowControl/>
        <w:tabs>
          <w:tab w:val="right" w:pos="8931"/>
        </w:tabs>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供应商：名称（加盖公章）        法定代表人：（签字或盖章）</w:t>
      </w:r>
    </w:p>
    <w:p>
      <w:pPr>
        <w:pageBreakBefore w:val="0"/>
        <w:widowControl/>
        <w:kinsoku/>
        <w:wordWrap/>
        <w:overflowPunct/>
        <w:topLinePunct w:val="0"/>
        <w:autoSpaceDE/>
        <w:autoSpaceDN/>
        <w:bidi w:val="0"/>
        <w:adjustRightInd/>
        <w:spacing w:line="560" w:lineRule="exact"/>
        <w:ind w:firstLine="5943" w:firstLineChars="21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日期：　年　月　日</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2、法定代表人亲自参加</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的，无需提供该委托授权书，但须提供法定代表人本人身份证（正反面）复印件。</w:t>
      </w:r>
    </w:p>
    <w:p>
      <w:pPr>
        <w:pStyle w:val="19"/>
        <w:keepNext w:val="0"/>
        <w:keepLines w:val="0"/>
        <w:pageBreakBefore w:val="0"/>
        <w:widowControl/>
        <w:kinsoku/>
        <w:wordWrap/>
        <w:overflowPunct/>
        <w:topLinePunct w:val="0"/>
        <w:autoSpaceDE/>
        <w:autoSpaceDN/>
        <w:bidi w:val="0"/>
        <w:adjustRightInd/>
        <w:snapToGrid/>
        <w:spacing w:after="0" w:line="360" w:lineRule="exact"/>
        <w:ind w:left="0" w:leftChars="0" w:firstLine="426"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rPr>
        <w:t>3、法定代表人签字或盖章可采用纸质签字或盖章后，上传至电子响应文件，也可使用法定代表人CA锁在电子响应文件制作软件中签章。</w:t>
      </w:r>
      <w:r>
        <w:rPr>
          <w:rFonts w:hint="eastAsia" w:ascii="宋体" w:hAnsi="宋体" w:eastAsia="宋体"/>
          <w:color w:val="auto"/>
          <w:sz w:val="21"/>
          <w:szCs w:val="21"/>
          <w:lang w:val="en-US" w:eastAsia="zh-CN"/>
        </w:rPr>
        <w:t xml:space="preserve">   </w:t>
      </w:r>
    </w:p>
    <w:p>
      <w:pP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br w:type="page"/>
      </w:r>
    </w:p>
    <w:p>
      <w:pPr>
        <w:pStyle w:val="43"/>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default" w:ascii="仿宋_GB2312" w:hAnsi="仿宋_GB2312" w:eastAsia="仿宋_GB2312" w:cs="仿宋_GB2312"/>
          <w:color w:val="auto"/>
          <w:sz w:val="30"/>
          <w:szCs w:val="30"/>
          <w:lang w:val="en-US" w:eastAsia="zh-CN"/>
        </w:rPr>
      </w:pPr>
      <w:bookmarkStart w:id="339" w:name="_Toc28770"/>
      <w:bookmarkStart w:id="340" w:name="_Toc18829"/>
      <w:bookmarkStart w:id="341" w:name="_Toc2083"/>
      <w:bookmarkStart w:id="342" w:name="_Toc1034"/>
      <w:bookmarkStart w:id="343" w:name="_Toc29866"/>
      <w:bookmarkStart w:id="344" w:name="_Toc29102_WPSOffice_Level2"/>
      <w:bookmarkStart w:id="345" w:name="_Toc9519_WPSOffice_Level2"/>
      <w:bookmarkStart w:id="346" w:name="_Toc17773_WPSOffice_Level2"/>
      <w:bookmarkStart w:id="347" w:name="_Toc20137"/>
      <w:bookmarkStart w:id="348" w:name="_Toc29990_WPSOffice_Level2"/>
      <w:r>
        <w:rPr>
          <w:rFonts w:hint="eastAsia" w:ascii="仿宋_GB2312" w:hAnsi="仿宋_GB2312" w:eastAsia="仿宋_GB2312" w:cs="仿宋_GB2312"/>
          <w:color w:val="auto"/>
          <w:sz w:val="30"/>
          <w:szCs w:val="30"/>
          <w:lang w:val="en-US" w:eastAsia="zh-CN"/>
        </w:rPr>
        <w:t>三、</w:t>
      </w:r>
      <w:bookmarkStart w:id="349" w:name="OLE_LINK2"/>
      <w:r>
        <w:rPr>
          <w:rFonts w:hint="eastAsia" w:ascii="仿宋_GB2312" w:hAnsi="仿宋_GB2312" w:eastAsia="仿宋_GB2312" w:cs="仿宋_GB2312"/>
          <w:color w:val="auto"/>
          <w:sz w:val="30"/>
          <w:szCs w:val="30"/>
          <w:lang w:val="en-US" w:eastAsia="zh-CN"/>
        </w:rPr>
        <w:t>汉中市政府采购供应商资格承诺函</w:t>
      </w:r>
      <w:bookmarkEnd w:id="349"/>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汉中市政府采购供应商资格承诺函</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致：（采购人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采购代理机构名称）</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（投标人名称）郑重承诺：</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1.我方具有良好的商业信誉和健全的财务会计制度，具有履行合同所必需的设备和专业技术能力，具有依法缴纳税收和社会保障金的良好记录，参加本项目采购活动前三年内无重大违法活动记录。</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2.我方未列入在信用中国网站“失信被执行人”、“重大税收违法案件当事人名单”中（www.creditchina.gov.cn），也未列入中国政府采购网“政府采购严重违法失信行为记录名单”中（www.ccgp.g</w:t>
      </w:r>
      <w:r>
        <w:rPr>
          <w:rFonts w:hint="eastAsia" w:ascii="仿宋_GB2312" w:hAnsi="仿宋_GB2312" w:eastAsia="仿宋_GB2312" w:cs="仿宋_GB2312"/>
          <w:sz w:val="28"/>
          <w:szCs w:val="28"/>
          <w:lang w:val="en-US" w:eastAsia="zh-CN"/>
        </w:rPr>
        <w:t>o</w:t>
      </w:r>
      <w:r>
        <w:rPr>
          <w:rFonts w:hint="eastAsia" w:ascii="仿宋_GB2312" w:hAnsi="仿宋_GB2312" w:eastAsia="仿宋_GB2312" w:cs="仿宋_GB2312"/>
          <w:sz w:val="28"/>
          <w:szCs w:val="28"/>
        </w:rPr>
        <w:t>v.cn）</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3.我方在采购项目评审（评标）环节结束后，随时接受采购人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采购代理机构的检查验证，配合提供相关证明材料，证明符合《中华人民共和国政府采购法》规定的投标人基本资格条件。</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我方对以上承诺负全部法律责任。</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keepNext w:val="0"/>
        <w:keepLines w:val="0"/>
        <w:pageBreakBefore w:val="0"/>
        <w:widowControl w:val="0"/>
        <w:kinsoku/>
        <w:wordWrap w:val="0"/>
        <w:overflowPunct/>
        <w:topLinePunct w:val="0"/>
        <w:autoSpaceDE/>
        <w:autoSpaceDN/>
        <w:bidi w:val="0"/>
        <w:adjustRightInd/>
        <w:snapToGrid/>
        <w:spacing w:line="560" w:lineRule="exact"/>
        <w:ind w:firstLine="566" w:firstLineChars="200"/>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人公章）</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566"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jc w:val="right"/>
        <w:textAlignment w:val="auto"/>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四、</w:t>
      </w:r>
      <w:r>
        <w:rPr>
          <w:rFonts w:hint="eastAsia" w:ascii="仿宋_GB2312" w:hAnsi="仿宋_GB2312" w:eastAsia="仿宋_GB2312" w:cs="仿宋_GB2312"/>
          <w:b/>
          <w:bCs/>
          <w:color w:val="auto"/>
          <w:sz w:val="32"/>
          <w:szCs w:val="32"/>
          <w:highlight w:val="none"/>
          <w:lang w:val="en-US" w:eastAsia="zh-CN"/>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中小企业声明函</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本公司（联合体）郑重声明，根据《政府采购促进中小企业发展管理办法》（财库﹝2020﹞46 号）的规定，本公司（联合体）参加</w:t>
      </w:r>
      <w:r>
        <w:rPr>
          <w:rFonts w:hint="eastAsia" w:ascii="仿宋_GB2312" w:hAnsi="仿宋_GB2312" w:eastAsia="仿宋_GB2312" w:cs="仿宋_GB2312"/>
          <w:i/>
          <w:iCs/>
          <w:color w:val="auto"/>
          <w:sz w:val="28"/>
          <w:szCs w:val="28"/>
          <w:u w:val="single"/>
          <w:lang w:val="en-US" w:eastAsia="zh-CN"/>
        </w:rPr>
        <w:t>（单位名称）</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i/>
          <w:iCs/>
          <w:color w:val="auto"/>
          <w:sz w:val="28"/>
          <w:szCs w:val="28"/>
          <w:u w:val="single"/>
          <w:lang w:val="en-US" w:eastAsia="zh-CN"/>
        </w:rPr>
        <w:t>（项目名称）</w:t>
      </w:r>
      <w:r>
        <w:rPr>
          <w:rFonts w:hint="eastAsia" w:ascii="仿宋_GB2312" w:hAnsi="仿宋_GB2312" w:eastAsia="仿宋_GB2312" w:cs="仿宋_GB2312"/>
          <w:color w:val="auto"/>
          <w:sz w:val="28"/>
          <w:szCs w:val="28"/>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i/>
          <w:iCs/>
          <w:color w:val="auto"/>
          <w:sz w:val="28"/>
          <w:szCs w:val="28"/>
          <w:u w:val="single"/>
          <w:lang w:val="en-US" w:eastAsia="zh-CN"/>
        </w:rPr>
        <w:t xml:space="preserve"> （标的名称） </w:t>
      </w:r>
      <w:r>
        <w:rPr>
          <w:rFonts w:hint="eastAsia" w:ascii="仿宋_GB2312" w:hAnsi="仿宋_GB2312" w:eastAsia="仿宋_GB2312" w:cs="仿宋_GB2312"/>
          <w:color w:val="auto"/>
          <w:sz w:val="28"/>
          <w:szCs w:val="28"/>
          <w:lang w:val="en-US" w:eastAsia="zh-CN"/>
        </w:rPr>
        <w:t>，属于</w:t>
      </w:r>
      <w:r>
        <w:rPr>
          <w:rFonts w:hint="eastAsia" w:ascii="仿宋_GB2312" w:hAnsi="仿宋_GB2312" w:eastAsia="仿宋_GB2312" w:cs="仿宋_GB2312"/>
          <w:i/>
          <w:iCs/>
          <w:color w:val="auto"/>
          <w:sz w:val="28"/>
          <w:szCs w:val="28"/>
          <w:u w:val="single"/>
          <w:lang w:val="en-US" w:eastAsia="zh-CN"/>
        </w:rPr>
        <w:t>（采购文件中明确的所属行业）</w:t>
      </w:r>
      <w:r>
        <w:rPr>
          <w:rFonts w:hint="eastAsia" w:ascii="仿宋_GB2312" w:hAnsi="仿宋_GB2312" w:eastAsia="仿宋_GB2312" w:cs="仿宋_GB2312"/>
          <w:color w:val="auto"/>
          <w:sz w:val="28"/>
          <w:szCs w:val="28"/>
          <w:lang w:val="en-US" w:eastAsia="zh-CN"/>
        </w:rPr>
        <w:t>；承建（承接）企业为</w:t>
      </w:r>
      <w:r>
        <w:rPr>
          <w:rFonts w:hint="eastAsia" w:ascii="仿宋_GB2312" w:hAnsi="仿宋_GB2312" w:eastAsia="仿宋_GB2312" w:cs="仿宋_GB2312"/>
          <w:i/>
          <w:iCs/>
          <w:color w:val="auto"/>
          <w:sz w:val="28"/>
          <w:szCs w:val="28"/>
          <w:u w:val="single"/>
          <w:lang w:val="en-US" w:eastAsia="zh-CN"/>
        </w:rPr>
        <w:t>（企业名称）</w:t>
      </w:r>
      <w:r>
        <w:rPr>
          <w:rFonts w:hint="eastAsia" w:ascii="仿宋_GB2312" w:hAnsi="仿宋_GB2312" w:eastAsia="仿宋_GB2312" w:cs="仿宋_GB2312"/>
          <w:color w:val="auto"/>
          <w:sz w:val="28"/>
          <w:szCs w:val="28"/>
          <w:lang w:val="en-US" w:eastAsia="zh-CN"/>
        </w:rPr>
        <w:t>，从业人员</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人，营业收入为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万元，资产总额为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万元，属于</w:t>
      </w:r>
      <w:r>
        <w:rPr>
          <w:rFonts w:hint="eastAsia" w:ascii="仿宋_GB2312" w:hAnsi="仿宋_GB2312" w:eastAsia="仿宋_GB2312" w:cs="仿宋_GB2312"/>
          <w:i/>
          <w:iCs/>
          <w:color w:val="auto"/>
          <w:sz w:val="28"/>
          <w:szCs w:val="28"/>
          <w:u w:val="single"/>
          <w:lang w:val="en-US" w:eastAsia="zh-CN"/>
        </w:rPr>
        <w:t>（中型企业、小型企业、微型企业）</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i/>
          <w:iCs/>
          <w:color w:val="auto"/>
          <w:sz w:val="28"/>
          <w:szCs w:val="28"/>
          <w:u w:val="single"/>
          <w:lang w:val="en-US" w:eastAsia="zh-CN"/>
        </w:rPr>
        <w:t xml:space="preserve"> （标的名称） </w:t>
      </w:r>
      <w:r>
        <w:rPr>
          <w:rFonts w:hint="eastAsia" w:ascii="仿宋_GB2312" w:hAnsi="仿宋_GB2312" w:eastAsia="仿宋_GB2312" w:cs="仿宋_GB2312"/>
          <w:color w:val="auto"/>
          <w:sz w:val="28"/>
          <w:szCs w:val="28"/>
          <w:lang w:val="en-US" w:eastAsia="zh-CN"/>
        </w:rPr>
        <w:t>，属于</w:t>
      </w:r>
      <w:r>
        <w:rPr>
          <w:rFonts w:hint="eastAsia" w:ascii="仿宋_GB2312" w:hAnsi="仿宋_GB2312" w:eastAsia="仿宋_GB2312" w:cs="仿宋_GB2312"/>
          <w:i/>
          <w:iCs/>
          <w:color w:val="auto"/>
          <w:sz w:val="28"/>
          <w:szCs w:val="28"/>
          <w:u w:val="single"/>
          <w:lang w:val="en-US" w:eastAsia="zh-CN"/>
        </w:rPr>
        <w:t>（采购文件中明确的所属行业）</w:t>
      </w:r>
      <w:r>
        <w:rPr>
          <w:rFonts w:hint="eastAsia" w:ascii="仿宋_GB2312" w:hAnsi="仿宋_GB2312" w:eastAsia="仿宋_GB2312" w:cs="仿宋_GB2312"/>
          <w:color w:val="auto"/>
          <w:sz w:val="28"/>
          <w:szCs w:val="28"/>
          <w:lang w:val="en-US" w:eastAsia="zh-CN"/>
        </w:rPr>
        <w:t>；承建（承接）企业为</w:t>
      </w:r>
      <w:r>
        <w:rPr>
          <w:rFonts w:hint="eastAsia" w:ascii="仿宋_GB2312" w:hAnsi="仿宋_GB2312" w:eastAsia="仿宋_GB2312" w:cs="仿宋_GB2312"/>
          <w:i/>
          <w:iCs/>
          <w:color w:val="auto"/>
          <w:sz w:val="28"/>
          <w:szCs w:val="28"/>
          <w:u w:val="single"/>
          <w:lang w:val="en-US" w:eastAsia="zh-CN"/>
        </w:rPr>
        <w:t>（企业名称）</w:t>
      </w:r>
      <w:r>
        <w:rPr>
          <w:rFonts w:hint="eastAsia" w:ascii="仿宋_GB2312" w:hAnsi="仿宋_GB2312" w:eastAsia="仿宋_GB2312" w:cs="仿宋_GB2312"/>
          <w:color w:val="auto"/>
          <w:sz w:val="28"/>
          <w:szCs w:val="28"/>
          <w:lang w:val="en-US" w:eastAsia="zh-CN"/>
        </w:rPr>
        <w:t>，从业人员</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人，营业收入为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万元，资产总额为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万元，属于</w:t>
      </w:r>
      <w:r>
        <w:rPr>
          <w:rFonts w:hint="eastAsia" w:ascii="仿宋_GB2312" w:hAnsi="仿宋_GB2312" w:eastAsia="仿宋_GB2312" w:cs="仿宋_GB2312"/>
          <w:i/>
          <w:iCs/>
          <w:color w:val="auto"/>
          <w:sz w:val="28"/>
          <w:szCs w:val="28"/>
          <w:u w:val="single"/>
          <w:lang w:val="en-US" w:eastAsia="zh-CN"/>
        </w:rPr>
        <w:t>（中型企业、小型企业、微型企业）</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企业名称（盖章）：</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日 期：</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备注：1、</w:t>
      </w:r>
      <w:r>
        <w:rPr>
          <w:rFonts w:hint="eastAsia" w:ascii="宋体" w:hAnsi="宋体" w:eastAsia="宋体" w:cs="宋体"/>
          <w:color w:val="auto"/>
          <w:sz w:val="21"/>
          <w:szCs w:val="21"/>
        </w:rPr>
        <w:t>本项目采购标的对应的中小企业划分标准所属行业</w:t>
      </w:r>
      <w:r>
        <w:rPr>
          <w:rFonts w:hint="eastAsia" w:ascii="宋体" w:hAnsi="宋体" w:eastAsia="宋体" w:cs="宋体"/>
          <w:color w:val="auto"/>
          <w:sz w:val="21"/>
          <w:szCs w:val="21"/>
          <w:highlight w:val="none"/>
        </w:rPr>
        <w:t>为：</w:t>
      </w:r>
      <w:r>
        <w:rPr>
          <w:rFonts w:hint="eastAsia" w:ascii="宋体" w:hAnsi="宋体" w:eastAsia="宋体" w:cs="宋体"/>
          <w:b/>
          <w:bCs/>
          <w:color w:val="auto"/>
          <w:sz w:val="21"/>
          <w:szCs w:val="21"/>
          <w:highlight w:val="none"/>
          <w:lang w:val="en-US" w:eastAsia="zh-CN"/>
        </w:rPr>
        <w:t>物业管理</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2、成交供应商的《中小企业声明函》将随成交结果公告一同公布。 </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各供应商可根据企业从业人员、营业收入、资产总额等指标，按照磋商文件约定的采购标的对应的中小企业划分标准所属行业和《中小企业划型标准规定》（工信部联企业〔2011〕300号）进行自测。可登录工业和信息化部的中小企业规模类型自测小程序（https://baosong.miit.gov.cn/ScaleTest）进行测算。  </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pPr>
        <w:pStyle w:val="41"/>
        <w:pageBreakBefore w:val="0"/>
        <w:widowControl/>
        <w:kinsoku/>
        <w:wordWrap/>
        <w:overflowPunct/>
        <w:topLinePunct w:val="0"/>
        <w:autoSpaceDE/>
        <w:autoSpaceDN/>
        <w:bidi w:val="0"/>
        <w:adjustRightInd/>
        <w:snapToGrid/>
        <w:spacing w:line="560" w:lineRule="exact"/>
        <w:textAlignment w:val="auto"/>
        <w:rPr>
          <w:rFonts w:ascii="黑体" w:hAnsi="黑体" w:eastAsia="黑体"/>
          <w:b w:val="0"/>
          <w:color w:val="auto"/>
          <w:sz w:val="32"/>
          <w:szCs w:val="32"/>
        </w:rPr>
      </w:pPr>
      <w:bookmarkStart w:id="350" w:name="_Toc9751"/>
      <w:r>
        <w:rPr>
          <w:rFonts w:hint="eastAsia" w:ascii="黑体" w:hAnsi="黑体" w:eastAsia="黑体"/>
          <w:b w:val="0"/>
          <w:color w:val="auto"/>
          <w:sz w:val="32"/>
          <w:szCs w:val="32"/>
        </w:rPr>
        <w:t>第二部分  符合性证明文件</w:t>
      </w:r>
      <w:bookmarkEnd w:id="339"/>
      <w:bookmarkEnd w:id="340"/>
      <w:bookmarkEnd w:id="341"/>
      <w:bookmarkEnd w:id="342"/>
      <w:bookmarkEnd w:id="343"/>
      <w:bookmarkEnd w:id="350"/>
    </w:p>
    <w:p>
      <w:pPr>
        <w:pStyle w:val="41"/>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351" w:name="_Toc19788"/>
      <w:bookmarkStart w:id="352" w:name="_Toc22486"/>
      <w:bookmarkStart w:id="353" w:name="_Toc28961"/>
      <w:bookmarkStart w:id="354" w:name="_Toc7047"/>
      <w:bookmarkStart w:id="355" w:name="_Toc26585"/>
      <w:bookmarkStart w:id="356" w:name="_Toc3857"/>
      <w:bookmarkStart w:id="357" w:name="_Toc14262"/>
      <w:bookmarkStart w:id="358" w:name="_Toc26623"/>
      <w:bookmarkStart w:id="359" w:name="_Toc2230"/>
      <w:r>
        <w:rPr>
          <w:rFonts w:hint="eastAsia" w:ascii="仿宋_GB2312" w:hAnsi="仿宋_GB2312" w:eastAsia="仿宋_GB2312" w:cs="仿宋_GB2312"/>
          <w:bCs w:val="0"/>
          <w:color w:val="auto"/>
          <w:sz w:val="32"/>
          <w:szCs w:val="32"/>
        </w:rPr>
        <w:t>一、响应函格式</w:t>
      </w:r>
      <w:bookmarkEnd w:id="351"/>
      <w:bookmarkEnd w:id="352"/>
      <w:bookmarkEnd w:id="353"/>
      <w:bookmarkEnd w:id="354"/>
      <w:bookmarkEnd w:id="355"/>
      <w:bookmarkEnd w:id="356"/>
      <w:bookmarkEnd w:id="357"/>
      <w:bookmarkEnd w:id="358"/>
      <w:bookmarkEnd w:id="359"/>
    </w:p>
    <w:p>
      <w:pPr>
        <w:pStyle w:val="37"/>
        <w:pageBreakBefore w:val="0"/>
        <w:widowControl/>
        <w:kinsoku/>
        <w:wordWrap/>
        <w:overflowPunct/>
        <w:topLinePunct w:val="0"/>
        <w:autoSpaceDE/>
        <w:autoSpaceDN/>
        <w:bidi w:val="0"/>
        <w:adjustRightInd/>
        <w:snapToGrid/>
        <w:spacing w:line="560" w:lineRule="exact"/>
        <w:ind w:firstLine="647"/>
        <w:jc w:val="center"/>
        <w:textAlignment w:val="auto"/>
        <w:rPr>
          <w:rFonts w:hint="eastAsia" w:ascii="仿宋_GB2312" w:hAnsi="仿宋_GB2312" w:eastAsia="仿宋_GB2312" w:cs="仿宋_GB2312"/>
          <w:b/>
          <w:bCs/>
          <w:color w:val="auto"/>
          <w:sz w:val="32"/>
          <w:szCs w:val="32"/>
        </w:rPr>
      </w:pPr>
      <w:bookmarkStart w:id="360" w:name="_Toc10617"/>
      <w:bookmarkStart w:id="361" w:name="_Toc22777"/>
      <w:bookmarkStart w:id="362" w:name="_Toc23334"/>
      <w:r>
        <w:rPr>
          <w:rFonts w:hint="eastAsia" w:ascii="仿宋_GB2312" w:hAnsi="仿宋_GB2312" w:eastAsia="仿宋_GB2312" w:cs="仿宋_GB2312"/>
          <w:b/>
          <w:bCs/>
          <w:color w:val="auto"/>
          <w:sz w:val="32"/>
          <w:szCs w:val="32"/>
        </w:rPr>
        <w:t>响应函</w:t>
      </w:r>
      <w:bookmarkEnd w:id="360"/>
      <w:bookmarkEnd w:id="361"/>
      <w:bookmarkEnd w:id="362"/>
    </w:p>
    <w:p>
      <w:pPr>
        <w:pStyle w:val="37"/>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zh-CN"/>
        </w:rPr>
        <w:t>：</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我方收到贵中心发布的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u w:val="single"/>
        </w:rPr>
        <w:t>___</w:t>
      </w:r>
      <w:r>
        <w:rPr>
          <w:rFonts w:hint="eastAsia" w:ascii="仿宋_GB2312" w:hAnsi="仿宋_GB2312" w:eastAsia="仿宋_GB2312" w:cs="仿宋_GB2312"/>
          <w:color w:val="auto"/>
          <w:sz w:val="28"/>
          <w:szCs w:val="28"/>
        </w:rPr>
        <w:t>标段磋商文件，经详细研究，我方决定参加该项目第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标段</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活动。为此，我方郑重声明以下诸点，并负法律责任。</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一、我方已详细阅读了磋商文件，完全理解并同意磋商文件的所有事项及内容。</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三、我方同意向贵方提供与本</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有关的任何证明材料，保证所提交的证明材料真实、合法、有效。</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四、我方</w:t>
      </w:r>
      <w:r>
        <w:rPr>
          <w:rFonts w:hint="eastAsia" w:ascii="仿宋_GB2312" w:hAnsi="仿宋_GB2312" w:eastAsia="仿宋_GB2312" w:cs="仿宋_GB2312"/>
          <w:color w:val="auto"/>
          <w:sz w:val="28"/>
          <w:szCs w:val="28"/>
        </w:rPr>
        <w:t>尊重磋商小组的评审结果。</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如若成交，</w:t>
      </w:r>
      <w:r>
        <w:rPr>
          <w:rFonts w:hint="eastAsia" w:ascii="仿宋_GB2312" w:hAnsi="仿宋_GB2312" w:eastAsia="仿宋_GB2312" w:cs="仿宋_GB2312"/>
          <w:color w:val="auto"/>
          <w:sz w:val="28"/>
          <w:szCs w:val="28"/>
        </w:rPr>
        <w:t>我方愿意按照磋商文件中的一切要求，完成本项目合同责任和义务。</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、我方提交</w:t>
      </w:r>
      <w:r>
        <w:rPr>
          <w:rFonts w:hint="eastAsia" w:ascii="仿宋_GB2312" w:hAnsi="仿宋_GB2312" w:eastAsia="仿宋_GB2312" w:cs="仿宋_GB2312"/>
          <w:b/>
          <w:color w:val="auto"/>
          <w:sz w:val="28"/>
          <w:szCs w:val="28"/>
        </w:rPr>
        <w:t>电子响应文件一份</w:t>
      </w:r>
      <w:r>
        <w:rPr>
          <w:rFonts w:hint="eastAsia" w:ascii="仿宋_GB2312" w:hAnsi="仿宋_GB2312" w:eastAsia="仿宋_GB2312" w:cs="仿宋_GB2312"/>
          <w:b/>
          <w:bCs/>
          <w:color w:val="auto"/>
          <w:sz w:val="28"/>
          <w:szCs w:val="28"/>
        </w:rPr>
        <w:t>。</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、供应商在提交响应文件截止时间后撤回响应文件的，我们愿接受政府采购的有关处罚决定。</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、我方的响应文件在开标之日起</w:t>
      </w:r>
      <w:r>
        <w:rPr>
          <w:rFonts w:hint="eastAsia" w:ascii="仿宋_GB2312" w:hAnsi="仿宋_GB2312" w:eastAsia="仿宋_GB2312" w:cs="仿宋_GB2312"/>
          <w:b/>
          <w:bCs/>
          <w:color w:val="auto"/>
          <w:sz w:val="28"/>
          <w:szCs w:val="28"/>
          <w:u w:val="single"/>
        </w:rPr>
        <w:t xml:space="preserve"> 90 </w:t>
      </w:r>
      <w:r>
        <w:rPr>
          <w:rFonts w:hint="eastAsia" w:ascii="仿宋_GB2312" w:hAnsi="仿宋_GB2312" w:eastAsia="仿宋_GB2312" w:cs="仿宋_GB2312"/>
          <w:color w:val="auto"/>
          <w:sz w:val="28"/>
          <w:szCs w:val="28"/>
        </w:rPr>
        <w:t>个日历日内有效，如成交，延长至合同执行完毕时止。</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、所有关于此次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活动的函电，请按下列地址联系：</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传真：</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邮编：</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 xml:space="preserve">电子邮箱：         </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7"/>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pStyle w:val="37"/>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2、除可填报项目外，对本响应函的任何实质性内容修改将被视为非实质性响应，在评审时将其视为无效响应。</w:t>
      </w:r>
    </w:p>
    <w:p>
      <w:pPr>
        <w:pStyle w:val="37"/>
        <w:ind w:firstLine="639" w:firstLineChars="300"/>
        <w:rPr>
          <w:rFonts w:hint="eastAsia" w:ascii="宋体" w:hAnsi="宋体" w:eastAsia="宋体" w:cs="宋体"/>
          <w:b/>
          <w:bCs/>
          <w:color w:val="auto"/>
          <w:sz w:val="21"/>
          <w:szCs w:val="21"/>
        </w:rPr>
      </w:pPr>
    </w:p>
    <w:p>
      <w:pPr>
        <w:pStyle w:val="37"/>
        <w:ind w:firstLine="639" w:firstLineChars="300"/>
        <w:rPr>
          <w:rFonts w:hint="eastAsia" w:ascii="宋体" w:hAnsi="宋体" w:eastAsia="宋体" w:cs="宋体"/>
          <w:b/>
          <w:bCs/>
          <w:color w:val="auto"/>
          <w:sz w:val="21"/>
          <w:szCs w:val="21"/>
        </w:rPr>
      </w:pPr>
    </w:p>
    <w:p>
      <w:pPr>
        <w:pStyle w:val="37"/>
        <w:ind w:firstLine="639" w:firstLineChars="300"/>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bookmarkEnd w:id="344"/>
    <w:bookmarkEnd w:id="345"/>
    <w:bookmarkEnd w:id="346"/>
    <w:bookmarkEnd w:id="347"/>
    <w:bookmarkEnd w:id="348"/>
    <w:p>
      <w:pPr>
        <w:pStyle w:val="41"/>
        <w:jc w:val="both"/>
        <w:rPr>
          <w:rFonts w:ascii="仿宋" w:hAnsi="仿宋" w:eastAsia="仿宋"/>
          <w:color w:val="auto"/>
          <w:sz w:val="24"/>
          <w:szCs w:val="24"/>
        </w:rPr>
      </w:pPr>
      <w:bookmarkStart w:id="363" w:name="_Toc6154"/>
      <w:bookmarkStart w:id="364" w:name="_Toc13216"/>
      <w:bookmarkStart w:id="365" w:name="_Toc6921"/>
      <w:bookmarkStart w:id="366" w:name="_Toc24876"/>
      <w:bookmarkStart w:id="367" w:name="_Toc15883"/>
      <w:bookmarkStart w:id="368" w:name="_Toc8175"/>
      <w:bookmarkStart w:id="369" w:name="_Toc23955"/>
      <w:bookmarkStart w:id="370" w:name="_Toc30525"/>
      <w:bookmarkStart w:id="371" w:name="_Toc23660"/>
      <w:bookmarkStart w:id="372" w:name="_Toc17656_WPSOffice_Level2"/>
      <w:r>
        <w:rPr>
          <w:rFonts w:hint="eastAsia" w:ascii="仿宋" w:hAnsi="仿宋" w:eastAsia="仿宋" w:cs="仿宋"/>
          <w:bCs w:val="0"/>
          <w:color w:val="auto"/>
        </w:rPr>
        <w:t>二、第一次磋商报价表</w:t>
      </w:r>
      <w:bookmarkEnd w:id="363"/>
      <w:bookmarkEnd w:id="364"/>
      <w:bookmarkEnd w:id="365"/>
      <w:bookmarkEnd w:id="366"/>
      <w:bookmarkEnd w:id="367"/>
      <w:bookmarkEnd w:id="368"/>
      <w:bookmarkEnd w:id="369"/>
      <w:bookmarkEnd w:id="370"/>
      <w:bookmarkEnd w:id="371"/>
    </w:p>
    <w:p>
      <w:pPr>
        <w:spacing w:line="50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项目名称：</w:t>
      </w:r>
    </w:p>
    <w:p>
      <w:pPr>
        <w:pStyle w:val="17"/>
        <w:wordWrap w:val="0"/>
        <w:spacing w:beforeAutospacing="0" w:afterAutospacing="0" w:line="50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项目编号：</w:t>
      </w:r>
    </w:p>
    <w:p>
      <w:pPr>
        <w:pStyle w:val="13"/>
        <w:rPr>
          <w:rFonts w:hint="eastAsia" w:ascii="仿宋_GB2312" w:hAnsi="仿宋_GB2312" w:eastAsia="仿宋_GB2312" w:cs="仿宋_GB2312"/>
          <w:color w:val="auto"/>
          <w:sz w:val="32"/>
          <w:szCs w:val="32"/>
          <w:shd w:val="clear" w:color="auto" w:fill="FFFFFF"/>
        </w:rPr>
      </w:pPr>
    </w:p>
    <w:tbl>
      <w:tblPr>
        <w:tblStyle w:val="20"/>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p>
        </w:tc>
        <w:tc>
          <w:tcPr>
            <w:tcW w:w="5752" w:type="dxa"/>
            <w:vAlign w:val="center"/>
          </w:tcPr>
          <w:p>
            <w:pPr>
              <w:spacing w:line="4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磋商报价</w:t>
            </w:r>
          </w:p>
        </w:tc>
        <w:tc>
          <w:tcPr>
            <w:tcW w:w="5752" w:type="dxa"/>
            <w:vAlign w:val="center"/>
          </w:tcPr>
          <w:p>
            <w:pPr>
              <w:autoSpaceDE w:val="0"/>
              <w:autoSpaceDN w:val="0"/>
              <w:spacing w:line="360" w:lineRule="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小写：</w:t>
            </w:r>
          </w:p>
          <w:p>
            <w:pPr>
              <w:pStyle w:val="13"/>
              <w:rPr>
                <w:rFonts w:hint="eastAsia" w:ascii="仿宋_GB2312" w:hAnsi="仿宋_GB2312" w:eastAsia="仿宋_GB2312" w:cs="仿宋_GB2312"/>
                <w:color w:val="auto"/>
                <w:sz w:val="28"/>
                <w:szCs w:val="28"/>
                <w:lang w:val="zh-CN"/>
              </w:rPr>
            </w:pP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大写</w:t>
            </w:r>
            <w:r>
              <w:rPr>
                <w:rFonts w:hint="eastAsia" w:ascii="仿宋_GB2312" w:hAnsi="仿宋_GB2312" w:eastAsia="仿宋_GB2312" w:cs="仿宋_GB2312"/>
                <w:color w:val="auto"/>
                <w:sz w:val="28"/>
                <w:szCs w:val="28"/>
              </w:rPr>
              <w:t>：</w:t>
            </w: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单位：元（保留到元）</w:t>
            </w:r>
          </w:p>
        </w:tc>
      </w:tr>
    </w:tbl>
    <w:p>
      <w:pPr>
        <w:autoSpaceDE w:val="0"/>
        <w:autoSpaceDN w:val="0"/>
        <w:spacing w:line="240" w:lineRule="auto"/>
        <w:ind w:firstLine="480"/>
        <w:rPr>
          <w:rFonts w:hint="eastAsia" w:ascii="宋体" w:hAnsi="宋体" w:eastAsia="宋体" w:cs="宋体"/>
          <w:b/>
          <w:bCs/>
          <w:color w:val="auto"/>
          <w:kern w:val="0"/>
          <w:sz w:val="21"/>
          <w:szCs w:val="21"/>
        </w:rPr>
      </w:pPr>
    </w:p>
    <w:p>
      <w:pPr>
        <w:autoSpaceDE w:val="0"/>
        <w:autoSpaceDN w:val="0"/>
        <w:spacing w:line="240" w:lineRule="auto"/>
        <w:ind w:firstLine="48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rPr>
        <w:t>备注</w:t>
      </w:r>
      <w:r>
        <w:rPr>
          <w:rFonts w:hint="eastAsia" w:ascii="宋体" w:hAnsi="宋体" w:eastAsia="宋体" w:cs="宋体"/>
          <w:b/>
          <w:bCs/>
          <w:color w:val="auto"/>
          <w:kern w:val="0"/>
          <w:sz w:val="21"/>
          <w:szCs w:val="21"/>
          <w:lang w:val="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rPr>
        <w:t>“磋商报价”为磋商总价。磋商</w:t>
      </w:r>
      <w:r>
        <w:rPr>
          <w:rFonts w:ascii="宋体" w:hAnsi="宋体" w:eastAsia="宋体" w:cs="宋体"/>
          <w:color w:val="auto"/>
          <w:kern w:val="0"/>
          <w:sz w:val="21"/>
          <w:szCs w:val="21"/>
          <w:lang w:val="zh-CN"/>
        </w:rPr>
        <w:t>报价必须包括</w:t>
      </w:r>
      <w:r>
        <w:rPr>
          <w:rFonts w:hint="eastAsia" w:ascii="宋体" w:hAnsi="宋体" w:eastAsia="宋体" w:cs="宋体"/>
          <w:color w:val="auto"/>
          <w:kern w:val="0"/>
          <w:sz w:val="21"/>
          <w:szCs w:val="21"/>
          <w:lang w:val="zh-CN"/>
        </w:rPr>
        <w:t>本项目所需</w:t>
      </w:r>
      <w:r>
        <w:rPr>
          <w:rFonts w:ascii="宋体" w:hAnsi="宋体" w:eastAsia="宋体" w:cs="宋体"/>
          <w:color w:val="auto"/>
          <w:kern w:val="0"/>
          <w:sz w:val="21"/>
          <w:szCs w:val="21"/>
          <w:lang w:val="zh-CN"/>
        </w:rPr>
        <w:t>全部费用</w:t>
      </w:r>
      <w:r>
        <w:rPr>
          <w:rFonts w:hint="eastAsia" w:ascii="宋体" w:hAnsi="宋体" w:eastAsia="宋体" w:cs="宋体"/>
          <w:color w:val="auto"/>
          <w:kern w:val="0"/>
          <w:sz w:val="21"/>
          <w:szCs w:val="21"/>
          <w:lang w:val="zh-CN"/>
        </w:rPr>
        <w:t>。</w:t>
      </w:r>
    </w:p>
    <w:p>
      <w:pPr>
        <w:autoSpaceDE w:val="0"/>
        <w:autoSpaceDN w:val="0"/>
        <w:spacing w:line="240" w:lineRule="auto"/>
        <w:ind w:firstLine="48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2、该报价须与标书信息确认中的报价一致，如不一致，以标书信息确认中的报价为准，请各供应商仔细填写。</w:t>
      </w:r>
    </w:p>
    <w:p>
      <w:pPr>
        <w:autoSpaceDE w:val="0"/>
        <w:autoSpaceDN w:val="0"/>
        <w:spacing w:line="240" w:lineRule="auto"/>
        <w:ind w:firstLine="1065" w:firstLineChars="500"/>
        <w:rPr>
          <w:rFonts w:ascii="宋体" w:hAnsi="宋体" w:eastAsia="宋体" w:cs="宋体"/>
          <w:color w:val="auto"/>
          <w:sz w:val="21"/>
          <w:szCs w:val="21"/>
        </w:rPr>
      </w:pPr>
    </w:p>
    <w:p>
      <w:pPr>
        <w:spacing w:line="440" w:lineRule="exact"/>
        <w:ind w:right="560"/>
        <w:jc w:val="right"/>
        <w:rPr>
          <w:rFonts w:ascii="仿宋" w:hAnsi="仿宋" w:eastAsia="仿宋"/>
          <w:color w:val="auto"/>
          <w:sz w:val="24"/>
          <w:szCs w:val="24"/>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u w:val="single"/>
        </w:rPr>
        <w:t>名称</w:t>
      </w:r>
      <w:r>
        <w:rPr>
          <w:rFonts w:hint="eastAsia" w:ascii="仿宋_GB2312" w:hAnsi="仿宋_GB2312" w:eastAsia="仿宋_GB2312" w:cs="仿宋_GB2312"/>
          <w:color w:val="auto"/>
          <w:sz w:val="32"/>
          <w:szCs w:val="32"/>
        </w:rPr>
        <w:t>（加盖公章）</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日期：　　年　月　日</w:t>
      </w:r>
      <w:r>
        <w:rPr>
          <w:rFonts w:hint="eastAsia" w:ascii="仿宋_GB2312" w:hAnsi="仿宋_GB2312" w:eastAsia="仿宋_GB2312" w:cs="仿宋_GB2312"/>
          <w:color w:val="auto"/>
          <w:sz w:val="32"/>
          <w:szCs w:val="32"/>
          <w:lang w:val="en-US" w:eastAsia="zh-CN"/>
        </w:rPr>
        <w:t xml:space="preserve">  </w:t>
      </w:r>
    </w:p>
    <w:p>
      <w:pPr>
        <w:spacing w:line="500" w:lineRule="exact"/>
        <w:ind w:firstLine="566" w:firstLineChars="200"/>
        <w:rPr>
          <w:rFonts w:ascii="华文仿宋" w:hAnsi="华文仿宋" w:cs="华文仿宋"/>
          <w:b/>
          <w:color w:val="auto"/>
        </w:rPr>
      </w:pPr>
    </w:p>
    <w:bookmarkEnd w:id="372"/>
    <w:p>
      <w:pPr>
        <w:rPr>
          <w:rFonts w:ascii="宋体" w:hAnsi="宋体"/>
          <w:b/>
          <w:bCs/>
          <w:color w:val="auto"/>
          <w:sz w:val="32"/>
          <w:szCs w:val="32"/>
        </w:rPr>
      </w:pPr>
      <w:r>
        <w:rPr>
          <w:rFonts w:ascii="华文仿宋" w:hAnsi="华文仿宋" w:cs="华文仿宋"/>
          <w:b w:val="0"/>
          <w:color w:val="auto"/>
          <w:sz w:val="28"/>
          <w:szCs w:val="28"/>
        </w:rPr>
        <w:br w:type="page"/>
      </w:r>
    </w:p>
    <w:p>
      <w:pPr>
        <w:spacing w:line="240" w:lineRule="auto"/>
        <w:jc w:val="center"/>
        <w:rPr>
          <w:rFonts w:hint="eastAsia" w:ascii="仿宋_GB2312" w:hAnsi="仿宋_GB2312" w:eastAsia="仿宋_GB2312" w:cs="仿宋_GB2312"/>
          <w:b/>
          <w:color w:val="auto"/>
        </w:rPr>
      </w:pPr>
      <w:r>
        <w:rPr>
          <w:rFonts w:hint="eastAsia" w:ascii="仿宋_GB2312" w:hAnsi="仿宋_GB2312" w:eastAsia="仿宋_GB2312" w:cs="仿宋_GB2312"/>
          <w:b/>
          <w:bCs/>
          <w:color w:val="auto"/>
          <w:sz w:val="32"/>
          <w:szCs w:val="32"/>
        </w:rPr>
        <w:t>分项报价表（样表）</w:t>
      </w:r>
      <w:r>
        <w:rPr>
          <w:rFonts w:hint="eastAsia" w:ascii="仿宋_GB2312" w:hAnsi="仿宋_GB2312" w:eastAsia="仿宋_GB2312" w:cs="仿宋_GB2312"/>
          <w:b/>
          <w:color w:val="auto"/>
        </w:rPr>
        <w:tab/>
      </w:r>
    </w:p>
    <w:tbl>
      <w:tblPr>
        <w:tblStyle w:val="21"/>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855"/>
        <w:gridCol w:w="1625"/>
        <w:gridCol w:w="1342"/>
        <w:gridCol w:w="1833"/>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bookmarkStart w:id="373" w:name="_Toc16723"/>
            <w:bookmarkStart w:id="374" w:name="_Toc32361"/>
            <w:bookmarkStart w:id="375" w:name="_Toc18433"/>
            <w:bookmarkStart w:id="376" w:name="_Toc11534"/>
            <w:bookmarkStart w:id="377" w:name="_Toc28408"/>
            <w:bookmarkStart w:id="378" w:name="_Toc1934"/>
            <w:bookmarkStart w:id="379" w:name="_Toc22090"/>
            <w:bookmarkStart w:id="380" w:name="_Toc26257"/>
            <w:bookmarkStart w:id="381" w:name="_Toc11855"/>
            <w:r>
              <w:rPr>
                <w:rFonts w:hint="eastAsia" w:ascii="仿宋_GB2312" w:hAnsi="仿宋_GB2312" w:eastAsia="仿宋_GB2312" w:cs="仿宋_GB2312"/>
                <w:bCs w:val="0"/>
                <w:color w:val="auto"/>
                <w:sz w:val="24"/>
                <w:szCs w:val="24"/>
              </w:rPr>
              <w:t>序号</w:t>
            </w:r>
            <w:bookmarkEnd w:id="373"/>
            <w:bookmarkEnd w:id="374"/>
            <w:bookmarkEnd w:id="375"/>
            <w:bookmarkEnd w:id="376"/>
            <w:bookmarkEnd w:id="377"/>
            <w:bookmarkEnd w:id="378"/>
            <w:bookmarkEnd w:id="379"/>
            <w:bookmarkEnd w:id="380"/>
            <w:bookmarkEnd w:id="381"/>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服务项目</w:t>
            </w: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单价</w:t>
            </w: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数量</w:t>
            </w: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小计</w:t>
            </w: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bookmarkStart w:id="382" w:name="_Toc31519"/>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pStyle w:val="41"/>
              <w:widowControl w:val="0"/>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color w:val="auto"/>
                <w:sz w:val="24"/>
                <w:szCs w:val="24"/>
                <w:lang w:val="en-US" w:eastAsia="zh-CN"/>
              </w:rPr>
              <w:t>合计</w:t>
            </w:r>
            <w:bookmarkEnd w:id="382"/>
          </w:p>
        </w:tc>
        <w:tc>
          <w:tcPr>
            <w:tcW w:w="8007" w:type="dxa"/>
            <w:gridSpan w:val="5"/>
            <w:vAlign w:val="center"/>
          </w:tcPr>
          <w:p>
            <w:pPr>
              <w:widowControl w:val="0"/>
              <w:autoSpaceDE w:val="0"/>
              <w:autoSpaceDN w:val="0"/>
              <w:spacing w:line="240" w:lineRule="auto"/>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小写：</w:t>
            </w:r>
          </w:p>
          <w:p>
            <w:pPr>
              <w:pStyle w:val="41"/>
              <w:widowControl w:val="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                                 </w:t>
            </w:r>
            <w:bookmarkStart w:id="383" w:name="_Toc17991"/>
            <w:bookmarkStart w:id="384" w:name="_Toc7253"/>
            <w:bookmarkStart w:id="385" w:name="_Toc22162"/>
            <w:bookmarkStart w:id="386" w:name="_Toc28010"/>
            <w:bookmarkStart w:id="387" w:name="_Toc10552"/>
            <w:bookmarkStart w:id="388" w:name="_Toc8004"/>
            <w:bookmarkStart w:id="389" w:name="_Toc31429"/>
            <w:r>
              <w:rPr>
                <w:rFonts w:hint="eastAsia" w:ascii="仿宋_GB2312" w:hAnsi="仿宋_GB2312" w:eastAsia="仿宋_GB2312" w:cs="仿宋_GB2312"/>
                <w:b w:val="0"/>
                <w:bCs w:val="0"/>
                <w:color w:val="auto"/>
                <w:sz w:val="24"/>
                <w:szCs w:val="24"/>
              </w:rPr>
              <w:t>单位：元（保留到元）</w:t>
            </w:r>
            <w:bookmarkEnd w:id="383"/>
            <w:bookmarkEnd w:id="384"/>
            <w:bookmarkEnd w:id="385"/>
            <w:bookmarkEnd w:id="386"/>
            <w:bookmarkEnd w:id="387"/>
            <w:bookmarkEnd w:id="388"/>
            <w:bookmarkEnd w:id="389"/>
          </w:p>
        </w:tc>
      </w:tr>
    </w:tbl>
    <w:p>
      <w:pPr>
        <w:tabs>
          <w:tab w:val="right" w:pos="9072"/>
        </w:tabs>
        <w:spacing w:line="500" w:lineRule="exact"/>
        <w:ind w:firstLine="566" w:firstLineChars="200"/>
        <w:jc w:val="right"/>
        <w:rPr>
          <w:rFonts w:ascii="仿宋" w:hAnsi="仿宋" w:eastAsia="仿宋"/>
          <w:b/>
          <w:color w:val="auto"/>
        </w:rPr>
      </w:pPr>
    </w:p>
    <w:p>
      <w:pPr>
        <w:tabs>
          <w:tab w:val="right" w:pos="9072"/>
        </w:tabs>
        <w:spacing w:line="240" w:lineRule="auto"/>
        <w:ind w:firstLine="243"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备注：1、本表“</w:t>
      </w:r>
      <w:r>
        <w:rPr>
          <w:rFonts w:hint="eastAsia" w:ascii="仿宋_GB2312" w:hAnsi="仿宋_GB2312" w:eastAsia="仿宋_GB2312" w:cs="仿宋_GB2312"/>
          <w:color w:val="auto"/>
          <w:sz w:val="24"/>
          <w:szCs w:val="24"/>
          <w:lang w:val="en-US" w:eastAsia="zh-CN"/>
        </w:rPr>
        <w:t>合计</w:t>
      </w:r>
      <w:r>
        <w:rPr>
          <w:rFonts w:hint="eastAsia" w:ascii="仿宋_GB2312" w:hAnsi="仿宋_GB2312" w:eastAsia="仿宋_GB2312" w:cs="仿宋_GB2312"/>
          <w:color w:val="auto"/>
          <w:sz w:val="24"/>
          <w:szCs w:val="24"/>
        </w:rPr>
        <w:t>”金额应与“第一次磋商报价表”中的“磋商报价”一致；</w:t>
      </w:r>
    </w:p>
    <w:p>
      <w:pPr>
        <w:tabs>
          <w:tab w:val="right" w:pos="9072"/>
        </w:tabs>
        <w:spacing w:line="240" w:lineRule="auto"/>
        <w:ind w:firstLine="972" w:firstLineChars="4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2、本表为样表，仅供参考，供应商根据项目实际需求进行填写</w:t>
      </w:r>
      <w:r>
        <w:rPr>
          <w:rFonts w:hint="eastAsia" w:ascii="仿宋_GB2312" w:hAnsi="仿宋_GB2312" w:eastAsia="仿宋_GB2312" w:cs="仿宋_GB2312"/>
          <w:color w:val="auto"/>
          <w:sz w:val="24"/>
          <w:szCs w:val="24"/>
          <w:lang w:eastAsia="zh-CN"/>
        </w:rPr>
        <w:t>；</w:t>
      </w:r>
    </w:p>
    <w:p>
      <w:pPr>
        <w:tabs>
          <w:tab w:val="right" w:pos="9072"/>
        </w:tabs>
        <w:spacing w:line="240" w:lineRule="auto"/>
        <w:ind w:firstLine="972" w:firstLineChars="400"/>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3、人员工资不得低于2023年度汉中市汉台区最低工资标准。</w:t>
      </w:r>
    </w:p>
    <w:p>
      <w:pPr>
        <w:tabs>
          <w:tab w:val="right" w:pos="9072"/>
        </w:tabs>
        <w:spacing w:line="500" w:lineRule="exact"/>
        <w:ind w:firstLine="486" w:firstLineChars="200"/>
        <w:rPr>
          <w:rFonts w:ascii="华文仿宋" w:hAnsi="华文仿宋" w:cs="华文仿宋"/>
          <w:color w:val="auto"/>
          <w:sz w:val="24"/>
          <w:szCs w:val="24"/>
        </w:rPr>
      </w:pPr>
    </w:p>
    <w:p>
      <w:pPr>
        <w:tabs>
          <w:tab w:val="right" w:pos="9072"/>
        </w:tabs>
        <w:spacing w:line="500" w:lineRule="exact"/>
        <w:ind w:firstLine="486" w:firstLineChars="200"/>
        <w:rPr>
          <w:rFonts w:ascii="华文仿宋" w:hAnsi="华文仿宋" w:cs="华文仿宋"/>
          <w:color w:val="auto"/>
          <w:sz w:val="24"/>
          <w:szCs w:val="24"/>
        </w:rPr>
      </w:pPr>
    </w:p>
    <w:p>
      <w:pPr>
        <w:tabs>
          <w:tab w:val="right" w:pos="9072"/>
        </w:tabs>
        <w:spacing w:line="500" w:lineRule="exact"/>
        <w:ind w:firstLine="646" w:firstLineChars="200"/>
        <w:rPr>
          <w:rFonts w:ascii="华文仿宋" w:hAnsi="华文仿宋" w:cs="华文仿宋"/>
          <w:b/>
          <w:color w:val="auto"/>
          <w:sz w:val="32"/>
          <w:szCs w:val="32"/>
        </w:rPr>
      </w:pPr>
    </w:p>
    <w:p>
      <w:pPr>
        <w:spacing w:line="500" w:lineRule="exact"/>
        <w:ind w:firstLine="5491" w:firstLineChars="1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u w:val="single"/>
        </w:rPr>
        <w:t>名称</w:t>
      </w:r>
      <w:r>
        <w:rPr>
          <w:rFonts w:hint="eastAsia" w:ascii="仿宋_GB2312" w:hAnsi="仿宋_GB2312" w:eastAsia="仿宋_GB2312" w:cs="仿宋_GB2312"/>
          <w:color w:val="auto"/>
          <w:sz w:val="32"/>
          <w:szCs w:val="32"/>
        </w:rPr>
        <w:t>（加盖公章）</w:t>
      </w:r>
    </w:p>
    <w:p>
      <w:pPr>
        <w:tabs>
          <w:tab w:val="right" w:pos="9070"/>
        </w:tabs>
        <w:spacing w:line="500" w:lineRule="exact"/>
        <w:ind w:firstLine="5491" w:firstLineChars="17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日期：　　年　月　日</w:t>
      </w:r>
      <w:r>
        <w:rPr>
          <w:rFonts w:hint="eastAsia" w:ascii="仿宋_GB2312" w:hAnsi="仿宋_GB2312" w:eastAsia="仿宋_GB2312" w:cs="仿宋_GB2312"/>
          <w:bCs/>
          <w:color w:val="auto"/>
          <w:sz w:val="32"/>
          <w:szCs w:val="32"/>
        </w:rPr>
        <w:tab/>
      </w:r>
      <w:r>
        <w:rPr>
          <w:rFonts w:hint="eastAsia" w:ascii="仿宋_GB2312" w:hAnsi="仿宋_GB2312" w:eastAsia="仿宋_GB2312" w:cs="仿宋_GB2312"/>
          <w:bCs/>
          <w:color w:val="auto"/>
          <w:sz w:val="32"/>
          <w:szCs w:val="32"/>
        </w:rPr>
        <w:t xml:space="preserve">  </w:t>
      </w:r>
    </w:p>
    <w:p>
      <w:pPr>
        <w:tabs>
          <w:tab w:val="right" w:pos="9070"/>
        </w:tabs>
        <w:spacing w:line="500" w:lineRule="exact"/>
        <w:rPr>
          <w:rFonts w:ascii="华文仿宋" w:hAnsi="华文仿宋" w:cs="华文仿宋"/>
          <w:bCs/>
          <w:color w:val="auto"/>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r>
        <w:rPr>
          <w:rFonts w:ascii="仿宋" w:hAnsi="仿宋" w:eastAsia="仿宋" w:cs="仿宋"/>
          <w:color w:val="auto"/>
          <w:sz w:val="32"/>
          <w:szCs w:val="32"/>
        </w:rPr>
        <w:br w:type="page"/>
      </w:r>
    </w:p>
    <w:p>
      <w:pPr>
        <w:pStyle w:val="41"/>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390" w:name="_Toc13309_WPSOffice_Level2"/>
      <w:bookmarkStart w:id="391" w:name="_Toc2393"/>
      <w:bookmarkStart w:id="392" w:name="_Toc20416"/>
      <w:bookmarkStart w:id="393" w:name="_Toc26668"/>
      <w:bookmarkStart w:id="394" w:name="_Toc13794"/>
      <w:bookmarkStart w:id="395" w:name="_Toc18036_WPSOffice_Level2"/>
      <w:bookmarkStart w:id="396" w:name="_Toc9727_WPSOffice_Level2"/>
      <w:bookmarkStart w:id="397" w:name="_Toc1823_WPSOffice_Level2"/>
      <w:bookmarkStart w:id="398" w:name="_Toc26536_WPSOffice_Level2"/>
      <w:r>
        <w:rPr>
          <w:rFonts w:hint="eastAsia" w:ascii="仿宋_GB2312" w:hAnsi="仿宋_GB2312" w:eastAsia="仿宋_GB2312" w:cs="仿宋_GB2312"/>
          <w:bCs w:val="0"/>
          <w:color w:val="auto"/>
          <w:sz w:val="32"/>
          <w:szCs w:val="32"/>
        </w:rPr>
        <w:t>三、</w:t>
      </w:r>
      <w:bookmarkEnd w:id="390"/>
      <w:bookmarkEnd w:id="391"/>
      <w:bookmarkStart w:id="399" w:name="_Toc4322"/>
      <w:bookmarkStart w:id="400" w:name="_Toc31081"/>
      <w:r>
        <w:rPr>
          <w:rFonts w:hint="eastAsia" w:ascii="仿宋_GB2312" w:hAnsi="仿宋_GB2312" w:eastAsia="仿宋_GB2312" w:cs="仿宋_GB2312"/>
          <w:bCs w:val="0"/>
          <w:color w:val="auto"/>
          <w:sz w:val="32"/>
          <w:szCs w:val="32"/>
        </w:rPr>
        <w:t>供应商参加政府采购活动承诺书</w:t>
      </w:r>
      <w:bookmarkEnd w:id="392"/>
      <w:bookmarkEnd w:id="399"/>
      <w:bookmarkEnd w:id="400"/>
    </w:p>
    <w:bookmarkEnd w:id="393"/>
    <w:bookmarkEnd w:id="394"/>
    <w:bookmarkEnd w:id="395"/>
    <w:bookmarkEnd w:id="396"/>
    <w:bookmarkEnd w:id="397"/>
    <w:bookmarkEnd w:id="398"/>
    <w:p>
      <w:pPr>
        <w:pageBreakBefore w:val="0"/>
        <w:widowControl/>
        <w:kinsoku/>
        <w:wordWrap/>
        <w:overflowPunct/>
        <w:topLinePunct w:val="0"/>
        <w:autoSpaceDE/>
        <w:autoSpaceDN/>
        <w:bidi w:val="0"/>
        <w:adjustRightInd/>
        <w:snapToGrid/>
        <w:spacing w:before="190" w:beforeLines="50" w:line="560" w:lineRule="exact"/>
        <w:ind w:firstLine="566" w:firstLineChars="20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拒绝政府采购领域商业贿赂承诺书</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为响应党中央、国务院关于治理政府采购领域商业贿赂行为的号召，我公司在此庄严承诺：</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1、在参与政府采购活动中遵纪守法、诚信经营、公平竞标。</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2、不向政府采购人、采购代理机构和政府采购评审专家进行任何形式的商业贿赂以谋取交易机会。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3、不向政府采购代理机构和采购人提供虚假资质文件或采用虚假应标方式参与政府采购市场竞争并谋取中标、成交。</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4、不采取“围标、陪标”等商业欺诈手段获得政府采购定单。</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5、不采取不正当手段诋毁、排挤其他供应商。</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6、不在提供商品和服务时“偷梁换柱、以次充好”损害采购人的合法权益。</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7、不与采购人、采购代理机构政府采购评审专家或其它供应商恶意串通，进行质疑和投诉，维护政府采购市场秩序。</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8、尊重和接受政府采购监督管理部门的监督和政府采购代理机构招标采购要求，承担因违约行为给采购人造成的损失。</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9、不发生其他有悖于政府采购公开、公平、公正和诚信原则的行为。</w:t>
      </w:r>
    </w:p>
    <w:p>
      <w:pPr>
        <w:pStyle w:val="19"/>
        <w:pageBreakBefore w:val="0"/>
        <w:widowControl/>
        <w:kinsoku/>
        <w:wordWrap/>
        <w:overflowPunct/>
        <w:topLinePunct w:val="0"/>
        <w:autoSpaceDE/>
        <w:autoSpaceDN/>
        <w:bidi w:val="0"/>
        <w:adjustRightInd/>
        <w:snapToGrid/>
        <w:spacing w:line="560" w:lineRule="exact"/>
        <w:ind w:firstLine="183"/>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377" w:firstLineChars="190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rPr>
          <w:rFonts w:ascii="仿宋" w:hAnsi="仿宋" w:eastAsia="仿宋"/>
          <w:b/>
          <w:color w:val="auto"/>
          <w:sz w:val="32"/>
          <w:szCs w:val="32"/>
        </w:rPr>
      </w:pPr>
      <w:r>
        <w:rPr>
          <w:rFonts w:hint="eastAsia"/>
          <w:color w:val="auto"/>
        </w:rPr>
        <w:br w:type="page"/>
      </w:r>
      <w:bookmarkStart w:id="401" w:name="_Toc16442_WPSOffice_Level2"/>
      <w:bookmarkStart w:id="402" w:name="_Toc27976_WPSOffice_Level2"/>
      <w:bookmarkStart w:id="403" w:name="_Toc10928_WPSOffice_Level2"/>
      <w:bookmarkStart w:id="404" w:name="_Toc16564_WPSOffice_Level2"/>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rPr>
        <w:t>、</w:t>
      </w:r>
      <w:r>
        <w:rPr>
          <w:rFonts w:ascii="仿宋" w:hAnsi="仿宋" w:eastAsia="仿宋"/>
          <w:b/>
          <w:color w:val="auto"/>
          <w:sz w:val="32"/>
          <w:szCs w:val="32"/>
        </w:rPr>
        <w:t>技术</w:t>
      </w:r>
      <w:r>
        <w:rPr>
          <w:rFonts w:hint="eastAsia" w:ascii="仿宋" w:hAnsi="仿宋" w:eastAsia="仿宋"/>
          <w:b/>
          <w:color w:val="auto"/>
          <w:sz w:val="32"/>
          <w:szCs w:val="32"/>
        </w:rPr>
        <w:t>服务偏差表</w:t>
      </w:r>
      <w:bookmarkEnd w:id="401"/>
      <w:bookmarkEnd w:id="402"/>
      <w:bookmarkEnd w:id="403"/>
      <w:bookmarkEnd w:id="404"/>
    </w:p>
    <w:tbl>
      <w:tblPr>
        <w:tblStyle w:val="20"/>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423"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磋商文件要求</w:t>
            </w:r>
          </w:p>
        </w:tc>
        <w:tc>
          <w:tcPr>
            <w:tcW w:w="2599"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响应文件响应条款</w:t>
            </w:r>
          </w:p>
        </w:tc>
        <w:tc>
          <w:tcPr>
            <w:tcW w:w="1375"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偏离程度</w:t>
            </w:r>
          </w:p>
        </w:tc>
        <w:tc>
          <w:tcPr>
            <w:tcW w:w="235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偏离简述</w:t>
            </w:r>
          </w:p>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bl>
    <w:p>
      <w:pPr>
        <w:keepNext w:val="0"/>
        <w:keepLines w:val="0"/>
        <w:pageBreakBefore w:val="0"/>
        <w:widowControl/>
        <w:tabs>
          <w:tab w:val="right" w:pos="9070"/>
        </w:tabs>
        <w:kinsoku/>
        <w:wordWrap/>
        <w:overflowPunct/>
        <w:topLinePunct w:val="0"/>
        <w:autoSpaceDE/>
        <w:autoSpaceDN/>
        <w:bidi w:val="0"/>
        <w:adjustRightInd/>
        <w:snapToGrid/>
        <w:spacing w:line="240" w:lineRule="auto"/>
        <w:ind w:firstLine="486" w:firstLineChars="200"/>
        <w:textAlignment w:val="auto"/>
        <w:rPr>
          <w:rFonts w:hint="eastAsia" w:ascii="仿宋_GB2312" w:hAnsi="仿宋_GB2312" w:eastAsia="仿宋_GB2312" w:cs="仿宋_GB2312"/>
          <w:color w:val="auto"/>
          <w:sz w:val="24"/>
          <w:szCs w:val="24"/>
          <w:lang w:eastAsia="zh-CN"/>
        </w:rPr>
      </w:pPr>
      <w:bookmarkStart w:id="405" w:name="_Toc9021_WPSOffice_Level1"/>
      <w:bookmarkStart w:id="406" w:name="_Toc5795_WPSOffice_Level1"/>
      <w:bookmarkStart w:id="407" w:name="_Toc31624_WPSOffice_Level1"/>
      <w:r>
        <w:rPr>
          <w:rFonts w:hint="eastAsia" w:ascii="仿宋_GB2312" w:hAnsi="仿宋_GB2312" w:eastAsia="仿宋_GB2312" w:cs="仿宋_GB2312"/>
          <w:color w:val="auto"/>
          <w:sz w:val="24"/>
          <w:szCs w:val="24"/>
        </w:rPr>
        <w:t>备注：填写此表时以第三章“磋商内容及采购要求”各条款为基本响应要求，满足磋商文件要求的，“偏离程度”注明“0”，无需填写“偏离简述”项。超出、不满足磋商文件要求的，列出“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”偏差，并在“偏离简述”项做出详细说明；如果加“★”内容的“响应条款”</w:t>
      </w:r>
      <w:r>
        <w:rPr>
          <w:rFonts w:hint="eastAsia" w:ascii="仿宋_GB2312" w:hAnsi="仿宋_GB2312" w:eastAsia="仿宋_GB2312" w:cs="仿宋_GB2312"/>
          <w:color w:val="auto"/>
          <w:sz w:val="24"/>
          <w:szCs w:val="24"/>
          <w:lang w:val="en-US" w:eastAsia="zh-CN"/>
        </w:rPr>
        <w:t>或</w:t>
      </w:r>
      <w:r>
        <w:rPr>
          <w:rFonts w:hint="eastAsia" w:ascii="仿宋_GB2312" w:hAnsi="仿宋_GB2312" w:eastAsia="仿宋_GB2312" w:cs="仿宋_GB2312"/>
          <w:color w:val="auto"/>
          <w:sz w:val="24"/>
          <w:szCs w:val="24"/>
        </w:rPr>
        <w:t>“偏离程度”项未填写，将视为该项指标未响应，投标无效</w:t>
      </w:r>
      <w:r>
        <w:rPr>
          <w:rFonts w:hint="eastAsia" w:ascii="仿宋_GB2312" w:hAnsi="仿宋_GB2312" w:eastAsia="仿宋_GB2312" w:cs="仿宋_GB2312"/>
          <w:color w:val="auto"/>
          <w:sz w:val="24"/>
          <w:szCs w:val="24"/>
          <w:lang w:eastAsia="zh-CN"/>
        </w:rPr>
        <w:t>。</w:t>
      </w:r>
    </w:p>
    <w:p>
      <w:pPr>
        <w:spacing w:line="240" w:lineRule="auto"/>
        <w:ind w:firstLine="426" w:firstLineChars="200"/>
        <w:rPr>
          <w:rFonts w:ascii="宋体" w:hAnsi="宋体" w:eastAsia="宋体" w:cs="宋体"/>
          <w:color w:val="auto"/>
          <w:sz w:val="21"/>
          <w:szCs w:val="21"/>
        </w:rPr>
      </w:pPr>
    </w:p>
    <w:p>
      <w:pPr>
        <w:spacing w:line="500" w:lineRule="exact"/>
        <w:ind w:firstLine="566" w:firstLineChars="200"/>
        <w:rPr>
          <w:color w:val="auto"/>
        </w:rPr>
      </w:pPr>
    </w:p>
    <w:p>
      <w:pPr>
        <w:spacing w:line="500" w:lineRule="exact"/>
        <w:ind w:firstLine="5094" w:firstLineChars="1800"/>
        <w:rPr>
          <w:rFonts w:hint="eastAsia"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u w:val="single"/>
        </w:rPr>
        <w:t>名称</w:t>
      </w:r>
      <w:r>
        <w:rPr>
          <w:rFonts w:hint="eastAsia" w:ascii="仿宋_GB2312" w:hAnsi="仿宋_GB2312" w:eastAsia="仿宋_GB2312" w:cs="仿宋_GB2312"/>
          <w:color w:val="auto"/>
        </w:rPr>
        <w:t>（加盖公章）</w:t>
      </w:r>
    </w:p>
    <w:p>
      <w:pPr>
        <w:tabs>
          <w:tab w:val="right" w:pos="9070"/>
        </w:tabs>
        <w:spacing w:line="500" w:lineRule="exact"/>
        <w:ind w:firstLine="5094" w:firstLineChars="1800"/>
        <w:rPr>
          <w:rFonts w:hint="eastAsia" w:ascii="仿宋_GB2312" w:hAnsi="仿宋_GB2312" w:eastAsia="仿宋_GB2312" w:cs="仿宋_GB2312"/>
          <w:bCs/>
          <w:color w:val="auto"/>
        </w:rPr>
      </w:pPr>
      <w:r>
        <w:rPr>
          <w:rFonts w:hint="eastAsia" w:ascii="仿宋_GB2312" w:hAnsi="仿宋_GB2312" w:eastAsia="仿宋_GB2312" w:cs="仿宋_GB2312"/>
          <w:color w:val="auto"/>
        </w:rPr>
        <w:t>日期：　　年　月　日</w:t>
      </w:r>
      <w:r>
        <w:rPr>
          <w:rFonts w:hint="eastAsia" w:ascii="仿宋_GB2312" w:hAnsi="仿宋_GB2312" w:eastAsia="仿宋_GB2312" w:cs="仿宋_GB2312"/>
          <w:bCs/>
          <w:color w:val="auto"/>
        </w:rPr>
        <w:tab/>
      </w:r>
    </w:p>
    <w:p>
      <w:pPr>
        <w:tabs>
          <w:tab w:val="right" w:pos="9070"/>
        </w:tabs>
        <w:spacing w:line="500" w:lineRule="exact"/>
        <w:ind w:firstLine="566" w:firstLineChars="200"/>
        <w:rPr>
          <w:rFonts w:ascii="仿宋" w:hAnsi="仿宋" w:eastAsia="仿宋"/>
          <w:bCs/>
          <w:color w:val="auto"/>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rPr>
          <w:color w:val="auto"/>
        </w:rPr>
      </w:pPr>
      <w:r>
        <w:rPr>
          <w:rFonts w:ascii="仿宋" w:hAnsi="仿宋" w:eastAsia="仿宋" w:cs="仿宋"/>
          <w:b/>
          <w:color w:val="auto"/>
          <w:sz w:val="32"/>
          <w:szCs w:val="32"/>
        </w:rPr>
        <w:br w:type="page"/>
      </w:r>
    </w:p>
    <w:p>
      <w:pPr>
        <w:spacing w:line="240" w:lineRule="auto"/>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rPr>
        <w:t>、合同</w:t>
      </w:r>
      <w:r>
        <w:rPr>
          <w:rFonts w:hint="eastAsia" w:ascii="仿宋_GB2312" w:hAnsi="仿宋_GB2312" w:eastAsia="仿宋_GB2312" w:cs="仿宋_GB2312"/>
          <w:b/>
          <w:color w:val="auto"/>
          <w:sz w:val="32"/>
          <w:szCs w:val="32"/>
          <w:lang w:val="en-US" w:eastAsia="zh-CN"/>
        </w:rPr>
        <w:t>草案</w:t>
      </w:r>
      <w:r>
        <w:rPr>
          <w:rFonts w:hint="eastAsia" w:ascii="仿宋_GB2312" w:hAnsi="仿宋_GB2312" w:eastAsia="仿宋_GB2312" w:cs="仿宋_GB2312"/>
          <w:b/>
          <w:color w:val="auto"/>
          <w:sz w:val="32"/>
          <w:szCs w:val="32"/>
        </w:rPr>
        <w:t>条款响应</w:t>
      </w:r>
    </w:p>
    <w:p>
      <w:pPr>
        <w:spacing w:line="500" w:lineRule="exact"/>
        <w:ind w:firstLine="566"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完全理解并接受磋商文件中“合同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条款”要求。</w:t>
      </w:r>
    </w:p>
    <w:p>
      <w:pPr>
        <w:pStyle w:val="19"/>
        <w:ind w:firstLine="183"/>
        <w:rPr>
          <w:rFonts w:hint="eastAsia" w:ascii="仿宋_GB2312" w:hAnsi="仿宋_GB2312" w:eastAsia="仿宋_GB2312" w:cs="仿宋_GB2312"/>
          <w:color w:val="auto"/>
          <w:sz w:val="28"/>
          <w:szCs w:val="28"/>
        </w:rPr>
      </w:pPr>
    </w:p>
    <w:p>
      <w:pPr>
        <w:pStyle w:val="19"/>
        <w:ind w:firstLine="183"/>
        <w:rPr>
          <w:rFonts w:hint="eastAsia" w:ascii="仿宋_GB2312" w:hAnsi="仿宋_GB2312" w:eastAsia="仿宋_GB2312" w:cs="仿宋_GB2312"/>
          <w:color w:val="auto"/>
          <w:sz w:val="28"/>
          <w:szCs w:val="28"/>
        </w:rPr>
      </w:pPr>
    </w:p>
    <w:p>
      <w:pPr>
        <w:pStyle w:val="19"/>
        <w:ind w:firstLine="183"/>
        <w:jc w:val="right"/>
        <w:rPr>
          <w:rFonts w:hint="eastAsia" w:ascii="仿宋_GB2312" w:hAnsi="仿宋_GB2312" w:eastAsia="仿宋_GB2312" w:cs="仿宋_GB2312"/>
          <w:color w:val="auto"/>
          <w:sz w:val="28"/>
          <w:szCs w:val="28"/>
        </w:rPr>
      </w:pPr>
    </w:p>
    <w:p>
      <w:pPr>
        <w:spacing w:line="500" w:lineRule="exact"/>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wordWrap w:val="0"/>
        <w:spacing w:line="500" w:lineRule="exact"/>
        <w:jc w:val="right"/>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rPr>
          <w:color w:val="auto"/>
        </w:rPr>
      </w:pPr>
      <w:r>
        <w:rPr>
          <w:color w:val="auto"/>
        </w:rPr>
        <w:br w:type="page"/>
      </w:r>
    </w:p>
    <w:p>
      <w:pPr>
        <w:pStyle w:val="41"/>
        <w:spacing w:line="500" w:lineRule="exact"/>
        <w:rPr>
          <w:rFonts w:ascii="黑体" w:hAnsi="黑体" w:eastAsia="黑体"/>
          <w:b w:val="0"/>
          <w:color w:val="auto"/>
        </w:rPr>
      </w:pPr>
      <w:bookmarkStart w:id="408" w:name="_Toc17248"/>
      <w:bookmarkStart w:id="409" w:name="_Toc28832"/>
      <w:bookmarkStart w:id="410" w:name="_Toc19912"/>
      <w:bookmarkStart w:id="411" w:name="_Toc30940"/>
      <w:r>
        <w:rPr>
          <w:rStyle w:val="42"/>
          <w:rFonts w:hint="eastAsia" w:ascii="黑体" w:hAnsi="黑体" w:eastAsia="黑体"/>
          <w:b w:val="0"/>
          <w:bCs w:val="0"/>
          <w:color w:val="auto"/>
          <w:sz w:val="32"/>
          <w:szCs w:val="40"/>
        </w:rPr>
        <w:t>第三部分  响应方案</w:t>
      </w:r>
      <w:bookmarkEnd w:id="405"/>
      <w:bookmarkEnd w:id="406"/>
      <w:bookmarkEnd w:id="407"/>
      <w:bookmarkEnd w:id="408"/>
      <w:bookmarkEnd w:id="409"/>
      <w:bookmarkEnd w:id="410"/>
      <w:bookmarkEnd w:id="411"/>
    </w:p>
    <w:p>
      <w:pPr>
        <w:pStyle w:val="41"/>
        <w:spacing w:before="190" w:beforeLines="50" w:after="190" w:afterLines="50" w:line="500" w:lineRule="exact"/>
        <w:jc w:val="both"/>
        <w:rPr>
          <w:rFonts w:hint="eastAsia" w:ascii="仿宋_GB2312" w:hAnsi="仿宋_GB2312" w:eastAsia="仿宋_GB2312" w:cs="仿宋_GB2312"/>
          <w:bCs w:val="0"/>
          <w:color w:val="auto"/>
          <w:lang w:val="en-US" w:eastAsia="zh-CN"/>
        </w:rPr>
      </w:pPr>
      <w:bookmarkStart w:id="412" w:name="_Toc11555"/>
      <w:bookmarkStart w:id="413" w:name="_Toc9337_WPSOffice_Level2"/>
      <w:bookmarkStart w:id="414" w:name="_Toc11401"/>
      <w:bookmarkStart w:id="415" w:name="_Toc29975_WPSOffice_Level2"/>
      <w:bookmarkStart w:id="416" w:name="_Toc17062_WPSOffice_Level2"/>
      <w:bookmarkStart w:id="417" w:name="_Toc15660_WPSOffice_Level2"/>
      <w:bookmarkStart w:id="418" w:name="_Toc27817"/>
      <w:bookmarkStart w:id="419" w:name="_Toc1481"/>
      <w:bookmarkStart w:id="420" w:name="_Toc9079"/>
      <w:r>
        <w:rPr>
          <w:rFonts w:hint="eastAsia" w:ascii="仿宋_GB2312" w:hAnsi="仿宋_GB2312" w:eastAsia="仿宋_GB2312" w:cs="仿宋_GB2312"/>
          <w:bCs w:val="0"/>
          <w:color w:val="auto"/>
        </w:rPr>
        <w:t>一、供应商</w:t>
      </w:r>
      <w:bookmarkEnd w:id="412"/>
      <w:bookmarkEnd w:id="413"/>
      <w:bookmarkEnd w:id="414"/>
      <w:bookmarkEnd w:id="415"/>
      <w:bookmarkEnd w:id="416"/>
      <w:bookmarkEnd w:id="417"/>
      <w:bookmarkEnd w:id="418"/>
      <w:bookmarkEnd w:id="419"/>
      <w:bookmarkEnd w:id="420"/>
      <w:r>
        <w:rPr>
          <w:rFonts w:hint="eastAsia" w:ascii="仿宋_GB2312" w:hAnsi="仿宋_GB2312" w:eastAsia="仿宋_GB2312" w:cs="仿宋_GB2312"/>
          <w:bCs w:val="0"/>
          <w:color w:val="auto"/>
          <w:lang w:val="en-US" w:eastAsia="zh-CN"/>
        </w:rPr>
        <w:t>基本情况及其性质</w:t>
      </w:r>
    </w:p>
    <w:p>
      <w:pPr>
        <w:spacing w:line="500" w:lineRule="exact"/>
        <w:ind w:firstLine="566" w:firstLineChars="200"/>
        <w:rPr>
          <w:rFonts w:ascii="仿宋" w:hAnsi="仿宋" w:eastAsia="仿宋" w:cs="仿宋"/>
          <w:b/>
          <w:color w:val="auto"/>
        </w:rPr>
      </w:pPr>
      <w:bookmarkStart w:id="421" w:name="_Toc27223_WPSOffice_Level3"/>
      <w:r>
        <w:rPr>
          <w:rFonts w:hint="eastAsia"/>
          <w:b/>
          <w:color w:val="auto"/>
        </w:rPr>
        <w:t>（</w:t>
      </w:r>
      <w:r>
        <w:rPr>
          <w:b/>
          <w:color w:val="auto"/>
        </w:rPr>
        <w:t>一</w:t>
      </w:r>
      <w:r>
        <w:rPr>
          <w:rFonts w:hint="eastAsia"/>
          <w:b/>
          <w:color w:val="auto"/>
        </w:rPr>
        <w:t>）供应</w:t>
      </w:r>
      <w:r>
        <w:rPr>
          <w:b/>
          <w:color w:val="auto"/>
        </w:rPr>
        <w:t>商基本信息</w:t>
      </w:r>
      <w:bookmarkEnd w:id="421"/>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39"/>
        <w:gridCol w:w="1770"/>
        <w:gridCol w:w="1395"/>
        <w:gridCol w:w="1692"/>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供应商全称</w:t>
            </w:r>
          </w:p>
        </w:tc>
        <w:tc>
          <w:tcPr>
            <w:tcW w:w="7494"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注册地址</w:t>
            </w:r>
          </w:p>
        </w:tc>
        <w:tc>
          <w:tcPr>
            <w:tcW w:w="3009" w:type="dxa"/>
            <w:gridSpan w:val="2"/>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成立时间</w:t>
            </w:r>
          </w:p>
        </w:tc>
        <w:tc>
          <w:tcPr>
            <w:tcW w:w="3090"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登记证号</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单位性质</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法定代表人</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(主要负责人)</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所属行业</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上年度</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营业收入</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资产总额</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基本存款账户</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开户银行</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账户账号</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邮箱</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所获得资质及等级(国家行政部门颁发)</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经营范围</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从业人员总数</w:t>
            </w:r>
          </w:p>
        </w:tc>
        <w:tc>
          <w:tcPr>
            <w:tcW w:w="1239" w:type="dxa"/>
            <w:vMerge w:val="restart"/>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管理人员数量</w:t>
            </w: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专业技术</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239" w:type="dxa"/>
            <w:vMerge w:val="continue"/>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残疾人人数</w:t>
            </w:r>
          </w:p>
        </w:tc>
        <w:tc>
          <w:tcPr>
            <w:tcW w:w="1395"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tc>
        <w:tc>
          <w:tcPr>
            <w:tcW w:w="7494" w:type="dxa"/>
            <w:gridSpan w:val="5"/>
            <w:tcBorders>
              <w:bottom w:val="single" w:color="auto" w:sz="12" w:space="0"/>
              <w:right w:val="single" w:color="auto" w:sz="12" w:space="0"/>
            </w:tcBorders>
            <w:vAlign w:val="center"/>
          </w:tcPr>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1、登记证号指营业执照/事业单位法人证书/专业服务机构执业许可证/民办非企业单位登记证书中的登记号。</w:t>
            </w:r>
          </w:p>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2、成立时间至提交响应文件截止时间不足一年的可不提供“上年度营业收入”。</w:t>
            </w:r>
          </w:p>
          <w:p>
            <w:pPr>
              <w:spacing w:line="320" w:lineRule="exact"/>
              <w:ind w:left="360" w:hanging="36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3、供应商应如实填写上述信息。</w:t>
            </w:r>
            <w:bookmarkStart w:id="422" w:name="■AcceptUnion_CH5_A■"/>
            <w:r>
              <w:rPr>
                <w:rFonts w:hint="eastAsia" w:ascii="仿宋_GB2312" w:hAnsi="仿宋_GB2312" w:eastAsia="仿宋_GB2312" w:cs="仿宋_GB2312"/>
                <w:color w:val="auto"/>
                <w:sz w:val="24"/>
                <w:szCs w:val="24"/>
              </w:rPr>
              <w:t>磋商文件允许联合体投标的，联合体各方均应提供。</w:t>
            </w:r>
            <w:bookmarkEnd w:id="422"/>
          </w:p>
        </w:tc>
      </w:tr>
    </w:tbl>
    <w:p>
      <w:pPr>
        <w:spacing w:line="500" w:lineRule="exact"/>
        <w:ind w:firstLine="566"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供应商其他情况</w:t>
      </w:r>
    </w:p>
    <w:p>
      <w:pPr>
        <w:tabs>
          <w:tab w:val="right" w:pos="8364"/>
        </w:tabs>
        <w:spacing w:line="500" w:lineRule="exact"/>
        <w:ind w:firstLine="566"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包括但不限于总公司分公司分布及经营状况、股权变更、管理制度、人员配备、用户评价、正在实施的项目，评优获奖等情况，以及供应商认为有利于成交的其他情况说明。</w:t>
      </w:r>
    </w:p>
    <w:p>
      <w:pPr>
        <w:spacing w:line="500" w:lineRule="exact"/>
        <w:ind w:firstLine="4811" w:firstLineChars="1700"/>
        <w:rPr>
          <w:rFonts w:hint="eastAsia"/>
          <w:b/>
          <w:color w:val="auto"/>
          <w:sz w:val="28"/>
          <w:szCs w:val="28"/>
        </w:rPr>
      </w:pPr>
      <w:r>
        <w:rPr>
          <w:rFonts w:hint="eastAsia"/>
          <w:b/>
          <w:color w:val="auto"/>
          <w:sz w:val="28"/>
          <w:szCs w:val="28"/>
        </w:rPr>
        <w:br w:type="page"/>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参照磋商文件第二章《组织评审》各条款的要求，结合第三章《磋商内容及采购要求》编制技术服务方案。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一</w:t>
      </w:r>
      <w:r>
        <w:rPr>
          <w:rFonts w:hint="eastAsia" w:ascii="仿宋_GB2312" w:hAnsi="仿宋_GB2312" w:eastAsia="仿宋_GB2312" w:cs="仿宋_GB2312"/>
          <w:bCs/>
          <w:color w:val="auto"/>
          <w:sz w:val="28"/>
          <w:szCs w:val="28"/>
          <w:highlight w:val="none"/>
          <w:lang w:eastAsia="zh-CN"/>
        </w:rPr>
        <w:t>）总体服务方案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组织机构设置</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三</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日常运行服务方案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四</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特殊情况服务方案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五</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应急预案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六</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安全保障方案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管理制度</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八</w:t>
      </w:r>
      <w:r>
        <w:rPr>
          <w:rFonts w:hint="eastAsia" w:ascii="仿宋_GB2312" w:hAnsi="仿宋_GB2312" w:eastAsia="仿宋_GB2312" w:cs="仿宋_GB2312"/>
          <w:bCs/>
          <w:color w:val="auto"/>
          <w:sz w:val="28"/>
          <w:szCs w:val="28"/>
          <w:highlight w:val="none"/>
          <w:lang w:eastAsia="zh-CN"/>
        </w:rPr>
        <w:t>）培训实施方案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九</w:t>
      </w:r>
      <w:r>
        <w:rPr>
          <w:rFonts w:hint="eastAsia" w:ascii="仿宋_GB2312" w:hAnsi="仿宋_GB2312" w:eastAsia="仿宋_GB2312" w:cs="仿宋_GB2312"/>
          <w:bCs/>
          <w:color w:val="auto"/>
          <w:sz w:val="28"/>
          <w:szCs w:val="28"/>
          <w:highlight w:val="none"/>
          <w:lang w:eastAsia="zh-CN"/>
        </w:rPr>
        <w:t>）服务优化</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w:t>
      </w:r>
      <w:r>
        <w:rPr>
          <w:rFonts w:hint="eastAsia" w:ascii="仿宋_GB2312" w:hAnsi="仿宋_GB2312" w:eastAsia="仿宋_GB2312" w:cs="仿宋_GB2312"/>
          <w:bCs/>
          <w:color w:val="auto"/>
          <w:sz w:val="28"/>
          <w:szCs w:val="28"/>
          <w:highlight w:val="none"/>
          <w:lang w:eastAsia="zh-CN"/>
        </w:rPr>
        <w:t>）人员配备</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十一</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业绩</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服务承诺</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十三</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其他有必要说明的内容</w:t>
      </w:r>
    </w:p>
    <w:p>
      <w:pPr>
        <w:rPr>
          <w:color w:val="auto"/>
        </w:rPr>
      </w:pPr>
      <w:r>
        <w:rPr>
          <w:color w:val="auto"/>
        </w:rPr>
        <w:br w:type="page"/>
      </w:r>
    </w:p>
    <w:p>
      <w:pPr>
        <w:tabs>
          <w:tab w:val="right" w:pos="9070"/>
        </w:tabs>
        <w:spacing w:line="500" w:lineRule="exact"/>
        <w:rPr>
          <w:rFonts w:ascii="仿宋" w:hAnsi="仿宋" w:eastAsia="仿宋"/>
          <w:bCs/>
          <w:color w:val="auto"/>
          <w:sz w:val="32"/>
          <w:szCs w:val="32"/>
        </w:rPr>
      </w:pPr>
      <w:r>
        <w:rPr>
          <w:rFonts w:hint="eastAsia" w:ascii="仿宋" w:hAnsi="仿宋" w:eastAsia="仿宋"/>
          <w:b/>
          <w:color w:val="auto"/>
          <w:sz w:val="32"/>
          <w:szCs w:val="32"/>
        </w:rPr>
        <w:t>三、参考样表</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（一）履约进度计划表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8"/>
        <w:gridCol w:w="309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序号</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拟定时间安排</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计划完成的工作内容</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拟定  年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签订</w:t>
            </w:r>
            <w:r>
              <w:rPr>
                <w:rFonts w:hint="eastAsia" w:ascii="仿宋_GB2312" w:hAnsi="仿宋_GB2312" w:eastAsia="仿宋_GB2312" w:cs="仿宋_GB2312"/>
                <w:color w:val="auto"/>
                <w:sz w:val="28"/>
                <w:szCs w:val="28"/>
              </w:rPr>
              <w:t>合同并生效</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质保期</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bl>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业绩合同样表</w:t>
      </w:r>
    </w:p>
    <w:tbl>
      <w:tblPr>
        <w:tblStyle w:val="20"/>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20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采购单位名称</w:t>
            </w:r>
          </w:p>
        </w:tc>
        <w:tc>
          <w:tcPr>
            <w:tcW w:w="15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合同名称</w:t>
            </w:r>
          </w:p>
        </w:tc>
        <w:tc>
          <w:tcPr>
            <w:tcW w:w="237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合同起止时间</w:t>
            </w:r>
          </w:p>
        </w:tc>
        <w:tc>
          <w:tcPr>
            <w:tcW w:w="19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数量合计（个）</w:t>
            </w:r>
            <w:r>
              <w:rPr>
                <w:rFonts w:hint="eastAsia" w:ascii="仿宋_GB2312" w:hAnsi="仿宋_GB2312" w:eastAsia="仿宋_GB2312" w:cs="仿宋_GB2312"/>
                <w:color w:val="auto"/>
                <w:sz w:val="28"/>
                <w:szCs w:val="28"/>
              </w:rPr>
              <w:t>：</w:t>
            </w:r>
          </w:p>
        </w:tc>
      </w:tr>
    </w:tbl>
    <w:p>
      <w:pPr>
        <w:tabs>
          <w:tab w:val="right" w:pos="9070"/>
        </w:tabs>
        <w:snapToGrid w:val="0"/>
        <w:spacing w:line="240" w:lineRule="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 xml:space="preserve">    注：</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后附20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年1月1日以来同类项目合同复印件加盖响应人公章（以合同签订日期为准）</w:t>
      </w:r>
      <w:r>
        <w:rPr>
          <w:rFonts w:hint="eastAsia" w:ascii="仿宋_GB2312" w:hAnsi="仿宋_GB2312" w:eastAsia="仿宋_GB2312" w:cs="仿宋_GB2312"/>
          <w:bCs/>
          <w:color w:val="auto"/>
          <w:sz w:val="28"/>
          <w:szCs w:val="28"/>
          <w:lang w:val="en-US" w:eastAsia="zh-CN"/>
        </w:rPr>
        <w:t>2、视情况，此表一并随《成交结果》公示。</w:t>
      </w:r>
    </w:p>
    <w:p>
      <w:pPr>
        <w:tabs>
          <w:tab w:val="right" w:pos="9070"/>
        </w:tabs>
        <w:snapToGrid w:val="0"/>
        <w:spacing w:line="500" w:lineRule="exact"/>
        <w:ind w:left="566" w:left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）项目团队样表</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1、项目团队情况概述</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概述内容包括但不限于为本项目提供服务的团队整体情况、团队负责人、联系人基本情况、背景、能力介绍等，具体内容自行编制。</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2、项目团队人员清单</w:t>
      </w:r>
    </w:p>
    <w:tbl>
      <w:tblPr>
        <w:tblStyle w:val="20"/>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023"/>
        <w:gridCol w:w="1968"/>
        <w:gridCol w:w="1672"/>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l2br w:val="nil"/>
              <w:tr2bl w:val="nil"/>
            </w:tcBorders>
            <w:vAlign w:val="center"/>
          </w:tcPr>
          <w:p>
            <w:pPr>
              <w:keepNext w:val="0"/>
              <w:keepLines w:val="0"/>
              <w:pageBreakBefore w:val="0"/>
              <w:tabs>
                <w:tab w:val="right" w:pos="9070"/>
              </w:tabs>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7"/>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实施人员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本项目</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051" w:type="dxa"/>
            <w:gridSpan w:val="6"/>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表格空间不足时请自行扩展。</w:t>
            </w:r>
          </w:p>
        </w:tc>
      </w:tr>
    </w:tbl>
    <w:p>
      <w:pPr>
        <w:pStyle w:val="8"/>
        <w:rPr>
          <w:color w:val="auto"/>
          <w:sz w:val="28"/>
          <w:szCs w:val="28"/>
        </w:rPr>
      </w:pPr>
    </w:p>
    <w:sectPr>
      <w:pgSz w:w="11906" w:h="16838"/>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52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52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52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52 </w:t>
                    </w:r>
                    <w:r>
                      <w:rPr>
                        <w:rFonts w:hint="eastAsia"/>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宋体" w:hAnsi="宋体" w:eastAsia="宋体" w:cs="华文仿宋"/>
        <w:lang w:val="en-US" w:eastAsia="zh-CN"/>
      </w:rPr>
      <w:t>汉中市政府采购中心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eastAsia="宋体"/>
        <w:sz w:val="21"/>
        <w:szCs w:val="21"/>
        <w:lang w:val="en-US" w:eastAsia="zh-CN"/>
      </w:rPr>
    </w:pPr>
    <w:r>
      <w:rPr>
        <w:rFonts w:hint="eastAsia" w:ascii="宋体" w:hAnsi="宋体" w:eastAsia="宋体" w:cs="华文仿宋"/>
        <w:lang w:val="en-US" w:eastAsia="zh-CN"/>
      </w:rPr>
      <w:t>汉中市政府采购中心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A63B9"/>
    <w:multiLevelType w:val="singleLevel"/>
    <w:tmpl w:val="D7BA63B9"/>
    <w:lvl w:ilvl="0" w:tentative="0">
      <w:start w:val="1"/>
      <w:numFmt w:val="chineseCounting"/>
      <w:suff w:val="space"/>
      <w:lvlText w:val="第%1章"/>
      <w:lvlJc w:val="left"/>
      <w:rPr>
        <w:rFonts w:hint="eastAsia"/>
      </w:rPr>
    </w:lvl>
  </w:abstractNum>
  <w:abstractNum w:abstractNumId="1">
    <w:nsid w:val="0053208E"/>
    <w:multiLevelType w:val="singleLevel"/>
    <w:tmpl w:val="0053208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2"/>
  <w:drawingGridVerticalSpacing w:val="197"/>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15DB7622"/>
    <w:rsid w:val="0007204D"/>
    <w:rsid w:val="00294CF0"/>
    <w:rsid w:val="002B30BD"/>
    <w:rsid w:val="002D269B"/>
    <w:rsid w:val="00331341"/>
    <w:rsid w:val="00340C6A"/>
    <w:rsid w:val="0038572B"/>
    <w:rsid w:val="003917EE"/>
    <w:rsid w:val="003E41D4"/>
    <w:rsid w:val="004F3FD4"/>
    <w:rsid w:val="007378C6"/>
    <w:rsid w:val="007A39DA"/>
    <w:rsid w:val="00934F0E"/>
    <w:rsid w:val="009716B8"/>
    <w:rsid w:val="00975546"/>
    <w:rsid w:val="00BA4780"/>
    <w:rsid w:val="00D54DC4"/>
    <w:rsid w:val="00DA0F8E"/>
    <w:rsid w:val="00EF498E"/>
    <w:rsid w:val="00F058FE"/>
    <w:rsid w:val="010518F0"/>
    <w:rsid w:val="0138166C"/>
    <w:rsid w:val="015A5870"/>
    <w:rsid w:val="015C7263"/>
    <w:rsid w:val="015D1C6F"/>
    <w:rsid w:val="016439CE"/>
    <w:rsid w:val="01684E01"/>
    <w:rsid w:val="01903397"/>
    <w:rsid w:val="0192363A"/>
    <w:rsid w:val="019422A6"/>
    <w:rsid w:val="01A050EF"/>
    <w:rsid w:val="01BD7E6C"/>
    <w:rsid w:val="01C82D28"/>
    <w:rsid w:val="01CD6A8A"/>
    <w:rsid w:val="01CE3474"/>
    <w:rsid w:val="01D515BB"/>
    <w:rsid w:val="01F159D6"/>
    <w:rsid w:val="01FA3AC8"/>
    <w:rsid w:val="0204742C"/>
    <w:rsid w:val="02343D5B"/>
    <w:rsid w:val="023E3EED"/>
    <w:rsid w:val="02557B87"/>
    <w:rsid w:val="025A0286"/>
    <w:rsid w:val="02891DCB"/>
    <w:rsid w:val="02BD0EE2"/>
    <w:rsid w:val="02C11391"/>
    <w:rsid w:val="02C4205E"/>
    <w:rsid w:val="02D15085"/>
    <w:rsid w:val="02E307E4"/>
    <w:rsid w:val="02FC284D"/>
    <w:rsid w:val="02FF61B8"/>
    <w:rsid w:val="03427B4F"/>
    <w:rsid w:val="03460878"/>
    <w:rsid w:val="034B3DA3"/>
    <w:rsid w:val="03526AB2"/>
    <w:rsid w:val="03531D00"/>
    <w:rsid w:val="036C3D74"/>
    <w:rsid w:val="037E48A2"/>
    <w:rsid w:val="0387207F"/>
    <w:rsid w:val="039F5F7A"/>
    <w:rsid w:val="03A7685B"/>
    <w:rsid w:val="03B2157C"/>
    <w:rsid w:val="03BD2FA8"/>
    <w:rsid w:val="03D43FC2"/>
    <w:rsid w:val="03E823D6"/>
    <w:rsid w:val="03EC3438"/>
    <w:rsid w:val="03EF1CB8"/>
    <w:rsid w:val="03F22485"/>
    <w:rsid w:val="0426080F"/>
    <w:rsid w:val="044762AA"/>
    <w:rsid w:val="045F127B"/>
    <w:rsid w:val="0467205E"/>
    <w:rsid w:val="046E5030"/>
    <w:rsid w:val="047F7D42"/>
    <w:rsid w:val="0489653F"/>
    <w:rsid w:val="048A6B28"/>
    <w:rsid w:val="04981D44"/>
    <w:rsid w:val="049F3DB3"/>
    <w:rsid w:val="04A04E7B"/>
    <w:rsid w:val="04A56CCB"/>
    <w:rsid w:val="04B01582"/>
    <w:rsid w:val="04C17D44"/>
    <w:rsid w:val="04C57B89"/>
    <w:rsid w:val="05016CE4"/>
    <w:rsid w:val="050E718A"/>
    <w:rsid w:val="05210E5D"/>
    <w:rsid w:val="05214B13"/>
    <w:rsid w:val="055F2FF6"/>
    <w:rsid w:val="05634469"/>
    <w:rsid w:val="05686454"/>
    <w:rsid w:val="057139B6"/>
    <w:rsid w:val="057754F2"/>
    <w:rsid w:val="05A35D71"/>
    <w:rsid w:val="05B065AB"/>
    <w:rsid w:val="05D17456"/>
    <w:rsid w:val="05FB57F0"/>
    <w:rsid w:val="062335AF"/>
    <w:rsid w:val="06243474"/>
    <w:rsid w:val="062B0BE3"/>
    <w:rsid w:val="06410743"/>
    <w:rsid w:val="064B18B7"/>
    <w:rsid w:val="064E03A2"/>
    <w:rsid w:val="068157BD"/>
    <w:rsid w:val="06843B5A"/>
    <w:rsid w:val="06B51EAB"/>
    <w:rsid w:val="06B869C0"/>
    <w:rsid w:val="06C17517"/>
    <w:rsid w:val="07195343"/>
    <w:rsid w:val="07250E2E"/>
    <w:rsid w:val="07254389"/>
    <w:rsid w:val="07280963"/>
    <w:rsid w:val="073843F7"/>
    <w:rsid w:val="074E0A56"/>
    <w:rsid w:val="076C6CA2"/>
    <w:rsid w:val="076D5CE6"/>
    <w:rsid w:val="078508C6"/>
    <w:rsid w:val="07C92D47"/>
    <w:rsid w:val="07CA4DE5"/>
    <w:rsid w:val="07DB28A2"/>
    <w:rsid w:val="07E020CE"/>
    <w:rsid w:val="07EA4D10"/>
    <w:rsid w:val="08097B10"/>
    <w:rsid w:val="080F1B46"/>
    <w:rsid w:val="0813234A"/>
    <w:rsid w:val="08211FD1"/>
    <w:rsid w:val="08243795"/>
    <w:rsid w:val="083537ED"/>
    <w:rsid w:val="083C734E"/>
    <w:rsid w:val="083F4CD5"/>
    <w:rsid w:val="08417A7B"/>
    <w:rsid w:val="085F77E6"/>
    <w:rsid w:val="086E5C87"/>
    <w:rsid w:val="08707E21"/>
    <w:rsid w:val="08712B08"/>
    <w:rsid w:val="08763D9D"/>
    <w:rsid w:val="088F579F"/>
    <w:rsid w:val="089366B6"/>
    <w:rsid w:val="08955C70"/>
    <w:rsid w:val="08970F3A"/>
    <w:rsid w:val="08976949"/>
    <w:rsid w:val="08A10645"/>
    <w:rsid w:val="08AC12A9"/>
    <w:rsid w:val="08BA2649"/>
    <w:rsid w:val="08C85A1D"/>
    <w:rsid w:val="08D06A36"/>
    <w:rsid w:val="08D8683B"/>
    <w:rsid w:val="08DC0FE3"/>
    <w:rsid w:val="08E24872"/>
    <w:rsid w:val="08EF588E"/>
    <w:rsid w:val="08F6330D"/>
    <w:rsid w:val="090C54BA"/>
    <w:rsid w:val="092F16EE"/>
    <w:rsid w:val="09555E20"/>
    <w:rsid w:val="096F7367"/>
    <w:rsid w:val="097F6C5F"/>
    <w:rsid w:val="098900BC"/>
    <w:rsid w:val="09921B5C"/>
    <w:rsid w:val="09A44801"/>
    <w:rsid w:val="09E319B7"/>
    <w:rsid w:val="09ED721B"/>
    <w:rsid w:val="0A16231D"/>
    <w:rsid w:val="0A394E5E"/>
    <w:rsid w:val="0A4214E6"/>
    <w:rsid w:val="0A58676A"/>
    <w:rsid w:val="0A622F41"/>
    <w:rsid w:val="0A7A446C"/>
    <w:rsid w:val="0A7D5CED"/>
    <w:rsid w:val="0A7F7130"/>
    <w:rsid w:val="0A870BFA"/>
    <w:rsid w:val="0A9B2547"/>
    <w:rsid w:val="0ACA0AE6"/>
    <w:rsid w:val="0AF11BC9"/>
    <w:rsid w:val="0AFB176D"/>
    <w:rsid w:val="0B0B31B3"/>
    <w:rsid w:val="0B144A64"/>
    <w:rsid w:val="0B1C7012"/>
    <w:rsid w:val="0B240833"/>
    <w:rsid w:val="0B3031ED"/>
    <w:rsid w:val="0B354EB2"/>
    <w:rsid w:val="0B373F04"/>
    <w:rsid w:val="0B3F0F07"/>
    <w:rsid w:val="0B4C17B5"/>
    <w:rsid w:val="0B5155F7"/>
    <w:rsid w:val="0B6901C4"/>
    <w:rsid w:val="0B692F04"/>
    <w:rsid w:val="0B6A096C"/>
    <w:rsid w:val="0B721EFB"/>
    <w:rsid w:val="0B7E024F"/>
    <w:rsid w:val="0B8556F0"/>
    <w:rsid w:val="0B894B9F"/>
    <w:rsid w:val="0B8E23DB"/>
    <w:rsid w:val="0B9C58ED"/>
    <w:rsid w:val="0BC4039D"/>
    <w:rsid w:val="0BD14F4E"/>
    <w:rsid w:val="0BDF2684"/>
    <w:rsid w:val="0BDF30E8"/>
    <w:rsid w:val="0BDF5D7D"/>
    <w:rsid w:val="0BE60A01"/>
    <w:rsid w:val="0BEC43AB"/>
    <w:rsid w:val="0C182E69"/>
    <w:rsid w:val="0C1D529F"/>
    <w:rsid w:val="0C1E1870"/>
    <w:rsid w:val="0C325E86"/>
    <w:rsid w:val="0C424E69"/>
    <w:rsid w:val="0C5D7BD6"/>
    <w:rsid w:val="0C620A1C"/>
    <w:rsid w:val="0C7C7D5B"/>
    <w:rsid w:val="0C8E6CD7"/>
    <w:rsid w:val="0CB11F5E"/>
    <w:rsid w:val="0CC20327"/>
    <w:rsid w:val="0CC24884"/>
    <w:rsid w:val="0CE86762"/>
    <w:rsid w:val="0CEC4544"/>
    <w:rsid w:val="0CEE7177"/>
    <w:rsid w:val="0D085996"/>
    <w:rsid w:val="0D256266"/>
    <w:rsid w:val="0D6E60A1"/>
    <w:rsid w:val="0D9171AE"/>
    <w:rsid w:val="0DA9338A"/>
    <w:rsid w:val="0DE037BA"/>
    <w:rsid w:val="0DE85E53"/>
    <w:rsid w:val="0E0E1F7D"/>
    <w:rsid w:val="0E0E4861"/>
    <w:rsid w:val="0E132C75"/>
    <w:rsid w:val="0E2E2A82"/>
    <w:rsid w:val="0E407A3D"/>
    <w:rsid w:val="0E550C71"/>
    <w:rsid w:val="0E5F01E5"/>
    <w:rsid w:val="0E8363B6"/>
    <w:rsid w:val="0EB253C1"/>
    <w:rsid w:val="0EB957D3"/>
    <w:rsid w:val="0ECE1CDE"/>
    <w:rsid w:val="0ECF35E0"/>
    <w:rsid w:val="0EDB7766"/>
    <w:rsid w:val="0EED3D24"/>
    <w:rsid w:val="0F1B578D"/>
    <w:rsid w:val="0F1D03EF"/>
    <w:rsid w:val="0F3533CF"/>
    <w:rsid w:val="0F461A45"/>
    <w:rsid w:val="0F684453"/>
    <w:rsid w:val="0F7165DD"/>
    <w:rsid w:val="0F8B2DA9"/>
    <w:rsid w:val="0FB15E33"/>
    <w:rsid w:val="0FDA797C"/>
    <w:rsid w:val="0FE75496"/>
    <w:rsid w:val="0FF86D48"/>
    <w:rsid w:val="100C563E"/>
    <w:rsid w:val="10292C44"/>
    <w:rsid w:val="10841837"/>
    <w:rsid w:val="10883FD1"/>
    <w:rsid w:val="109F5877"/>
    <w:rsid w:val="10BB57F6"/>
    <w:rsid w:val="10BC00C6"/>
    <w:rsid w:val="10E13394"/>
    <w:rsid w:val="10FD2B76"/>
    <w:rsid w:val="110C102F"/>
    <w:rsid w:val="11181B40"/>
    <w:rsid w:val="114333A1"/>
    <w:rsid w:val="114A462A"/>
    <w:rsid w:val="1169081A"/>
    <w:rsid w:val="118249C0"/>
    <w:rsid w:val="11AB1672"/>
    <w:rsid w:val="11B03DAF"/>
    <w:rsid w:val="11BE795D"/>
    <w:rsid w:val="11DE655A"/>
    <w:rsid w:val="12303C06"/>
    <w:rsid w:val="123E6579"/>
    <w:rsid w:val="12421048"/>
    <w:rsid w:val="124E27C4"/>
    <w:rsid w:val="125C0391"/>
    <w:rsid w:val="126F2075"/>
    <w:rsid w:val="128D6FC9"/>
    <w:rsid w:val="12950F85"/>
    <w:rsid w:val="12960862"/>
    <w:rsid w:val="12A04BDA"/>
    <w:rsid w:val="12A86650"/>
    <w:rsid w:val="12E51257"/>
    <w:rsid w:val="12F57C06"/>
    <w:rsid w:val="12FD6D66"/>
    <w:rsid w:val="12FF18AF"/>
    <w:rsid w:val="131953F9"/>
    <w:rsid w:val="134C233A"/>
    <w:rsid w:val="136C6BDF"/>
    <w:rsid w:val="136F7A26"/>
    <w:rsid w:val="137B051A"/>
    <w:rsid w:val="138222F2"/>
    <w:rsid w:val="13837718"/>
    <w:rsid w:val="138C0895"/>
    <w:rsid w:val="138D048A"/>
    <w:rsid w:val="13900013"/>
    <w:rsid w:val="13931510"/>
    <w:rsid w:val="13A11597"/>
    <w:rsid w:val="13AE09B3"/>
    <w:rsid w:val="13C04FD2"/>
    <w:rsid w:val="13C31130"/>
    <w:rsid w:val="13C85D12"/>
    <w:rsid w:val="13C937D6"/>
    <w:rsid w:val="13E737B7"/>
    <w:rsid w:val="13EE393F"/>
    <w:rsid w:val="1402440B"/>
    <w:rsid w:val="1408673E"/>
    <w:rsid w:val="140E39DD"/>
    <w:rsid w:val="141C207A"/>
    <w:rsid w:val="142D54E1"/>
    <w:rsid w:val="14336CEA"/>
    <w:rsid w:val="14341855"/>
    <w:rsid w:val="14477D16"/>
    <w:rsid w:val="144B4426"/>
    <w:rsid w:val="14633F0B"/>
    <w:rsid w:val="14663EA5"/>
    <w:rsid w:val="14743D20"/>
    <w:rsid w:val="14774D9D"/>
    <w:rsid w:val="14817EA1"/>
    <w:rsid w:val="148D32B1"/>
    <w:rsid w:val="1493627B"/>
    <w:rsid w:val="14A539EC"/>
    <w:rsid w:val="14DA45EC"/>
    <w:rsid w:val="14E56F92"/>
    <w:rsid w:val="14ED3D4F"/>
    <w:rsid w:val="14F33389"/>
    <w:rsid w:val="14FB602E"/>
    <w:rsid w:val="150E3E9E"/>
    <w:rsid w:val="151F1ED6"/>
    <w:rsid w:val="1564126D"/>
    <w:rsid w:val="15645D6E"/>
    <w:rsid w:val="157F0489"/>
    <w:rsid w:val="15A614D9"/>
    <w:rsid w:val="15CA6D94"/>
    <w:rsid w:val="15D226A2"/>
    <w:rsid w:val="15DB7622"/>
    <w:rsid w:val="162271CE"/>
    <w:rsid w:val="163D2276"/>
    <w:rsid w:val="1646616E"/>
    <w:rsid w:val="164B7078"/>
    <w:rsid w:val="16545E33"/>
    <w:rsid w:val="16961986"/>
    <w:rsid w:val="16984A31"/>
    <w:rsid w:val="16A724A2"/>
    <w:rsid w:val="16DF64BF"/>
    <w:rsid w:val="16E25B8A"/>
    <w:rsid w:val="16FF6F24"/>
    <w:rsid w:val="170555E3"/>
    <w:rsid w:val="172547B0"/>
    <w:rsid w:val="17562AFA"/>
    <w:rsid w:val="178701A0"/>
    <w:rsid w:val="178D3B42"/>
    <w:rsid w:val="17CD1BB2"/>
    <w:rsid w:val="17EB105E"/>
    <w:rsid w:val="17F54509"/>
    <w:rsid w:val="180D61E0"/>
    <w:rsid w:val="181417AB"/>
    <w:rsid w:val="18460FF6"/>
    <w:rsid w:val="184B4224"/>
    <w:rsid w:val="184F21B3"/>
    <w:rsid w:val="186802BC"/>
    <w:rsid w:val="18864D3A"/>
    <w:rsid w:val="189A4C02"/>
    <w:rsid w:val="18A626E9"/>
    <w:rsid w:val="18A74FE1"/>
    <w:rsid w:val="18A90755"/>
    <w:rsid w:val="18B77BA2"/>
    <w:rsid w:val="18BA17D8"/>
    <w:rsid w:val="18C835DC"/>
    <w:rsid w:val="18CB4DD4"/>
    <w:rsid w:val="18D41CCF"/>
    <w:rsid w:val="18E1122A"/>
    <w:rsid w:val="190A1374"/>
    <w:rsid w:val="19192C89"/>
    <w:rsid w:val="193006AE"/>
    <w:rsid w:val="19364865"/>
    <w:rsid w:val="19392B48"/>
    <w:rsid w:val="195E4D01"/>
    <w:rsid w:val="19961403"/>
    <w:rsid w:val="19A07745"/>
    <w:rsid w:val="19B25FC3"/>
    <w:rsid w:val="19BF282D"/>
    <w:rsid w:val="19C0263E"/>
    <w:rsid w:val="19CA0B03"/>
    <w:rsid w:val="19CD08FA"/>
    <w:rsid w:val="19D22C3D"/>
    <w:rsid w:val="1A0D68EB"/>
    <w:rsid w:val="1A116732"/>
    <w:rsid w:val="1A2B68D6"/>
    <w:rsid w:val="1A50307B"/>
    <w:rsid w:val="1A810701"/>
    <w:rsid w:val="1A9D590B"/>
    <w:rsid w:val="1AA441E5"/>
    <w:rsid w:val="1AC85D1B"/>
    <w:rsid w:val="1ACC5E1B"/>
    <w:rsid w:val="1AD304B8"/>
    <w:rsid w:val="1AE006FC"/>
    <w:rsid w:val="1AFF05E0"/>
    <w:rsid w:val="1B0374CB"/>
    <w:rsid w:val="1B1021D6"/>
    <w:rsid w:val="1B2E0D2F"/>
    <w:rsid w:val="1B34316D"/>
    <w:rsid w:val="1B3C49CA"/>
    <w:rsid w:val="1B4771C2"/>
    <w:rsid w:val="1B7D49F7"/>
    <w:rsid w:val="1B8E56AB"/>
    <w:rsid w:val="1BA80A6F"/>
    <w:rsid w:val="1BB14E66"/>
    <w:rsid w:val="1BE04391"/>
    <w:rsid w:val="1BE31C2B"/>
    <w:rsid w:val="1BF8652E"/>
    <w:rsid w:val="1C2E65C9"/>
    <w:rsid w:val="1C2F716F"/>
    <w:rsid w:val="1C3E54EB"/>
    <w:rsid w:val="1C3F3D72"/>
    <w:rsid w:val="1C552039"/>
    <w:rsid w:val="1C796C6B"/>
    <w:rsid w:val="1C8A3C5A"/>
    <w:rsid w:val="1C8F7303"/>
    <w:rsid w:val="1C901B90"/>
    <w:rsid w:val="1C967A89"/>
    <w:rsid w:val="1CAE291B"/>
    <w:rsid w:val="1CC21924"/>
    <w:rsid w:val="1CD15C79"/>
    <w:rsid w:val="1CF511D4"/>
    <w:rsid w:val="1D1B4F27"/>
    <w:rsid w:val="1D20081E"/>
    <w:rsid w:val="1D335514"/>
    <w:rsid w:val="1D356CC0"/>
    <w:rsid w:val="1D501181"/>
    <w:rsid w:val="1D8343E7"/>
    <w:rsid w:val="1D992236"/>
    <w:rsid w:val="1DA51267"/>
    <w:rsid w:val="1DC27599"/>
    <w:rsid w:val="1DE42258"/>
    <w:rsid w:val="1DE71C83"/>
    <w:rsid w:val="1DF82208"/>
    <w:rsid w:val="1DFB27F1"/>
    <w:rsid w:val="1E150EE3"/>
    <w:rsid w:val="1E3C4FCE"/>
    <w:rsid w:val="1E5A2132"/>
    <w:rsid w:val="1E776749"/>
    <w:rsid w:val="1E820D2A"/>
    <w:rsid w:val="1E8F1ECA"/>
    <w:rsid w:val="1E9546A5"/>
    <w:rsid w:val="1E9B1F5F"/>
    <w:rsid w:val="1EA37146"/>
    <w:rsid w:val="1EA96F39"/>
    <w:rsid w:val="1EAB1ADB"/>
    <w:rsid w:val="1EAC4085"/>
    <w:rsid w:val="1EBF5830"/>
    <w:rsid w:val="1EC645BF"/>
    <w:rsid w:val="1EC67C8F"/>
    <w:rsid w:val="1ED8574D"/>
    <w:rsid w:val="1EDC1A7B"/>
    <w:rsid w:val="1EDD7FA9"/>
    <w:rsid w:val="1F0268BD"/>
    <w:rsid w:val="1F0F280A"/>
    <w:rsid w:val="1F1260D8"/>
    <w:rsid w:val="1F2422DF"/>
    <w:rsid w:val="1F2B2168"/>
    <w:rsid w:val="1F306773"/>
    <w:rsid w:val="1F346CA0"/>
    <w:rsid w:val="1F417171"/>
    <w:rsid w:val="1F4C66FE"/>
    <w:rsid w:val="1F5844BB"/>
    <w:rsid w:val="1F5A6485"/>
    <w:rsid w:val="1F77014D"/>
    <w:rsid w:val="1F827198"/>
    <w:rsid w:val="1F876088"/>
    <w:rsid w:val="1F925678"/>
    <w:rsid w:val="1F9F20EA"/>
    <w:rsid w:val="1FB47EFC"/>
    <w:rsid w:val="1FBE4E55"/>
    <w:rsid w:val="1FD35342"/>
    <w:rsid w:val="1FDB5C4A"/>
    <w:rsid w:val="200705EA"/>
    <w:rsid w:val="203945B9"/>
    <w:rsid w:val="2042167B"/>
    <w:rsid w:val="204D2CD4"/>
    <w:rsid w:val="20500A32"/>
    <w:rsid w:val="205D4EF1"/>
    <w:rsid w:val="20677454"/>
    <w:rsid w:val="20787973"/>
    <w:rsid w:val="207F496E"/>
    <w:rsid w:val="20885D40"/>
    <w:rsid w:val="20A21E92"/>
    <w:rsid w:val="20A37050"/>
    <w:rsid w:val="20A91698"/>
    <w:rsid w:val="20B53E4A"/>
    <w:rsid w:val="20BA6848"/>
    <w:rsid w:val="20C430EF"/>
    <w:rsid w:val="20E07AF1"/>
    <w:rsid w:val="20E223FB"/>
    <w:rsid w:val="20F37841"/>
    <w:rsid w:val="210F4172"/>
    <w:rsid w:val="215E7F7D"/>
    <w:rsid w:val="216A5B17"/>
    <w:rsid w:val="21881D08"/>
    <w:rsid w:val="218C5F60"/>
    <w:rsid w:val="218D3E5D"/>
    <w:rsid w:val="21910AEA"/>
    <w:rsid w:val="21AA2BB6"/>
    <w:rsid w:val="21CE6EEF"/>
    <w:rsid w:val="21D073B0"/>
    <w:rsid w:val="21D72497"/>
    <w:rsid w:val="21DE4542"/>
    <w:rsid w:val="21EB6A1B"/>
    <w:rsid w:val="21ED538F"/>
    <w:rsid w:val="21F0447F"/>
    <w:rsid w:val="21F77868"/>
    <w:rsid w:val="21FB63BA"/>
    <w:rsid w:val="220F17A9"/>
    <w:rsid w:val="2217504C"/>
    <w:rsid w:val="223E2DC4"/>
    <w:rsid w:val="22491C26"/>
    <w:rsid w:val="22497597"/>
    <w:rsid w:val="224E07D8"/>
    <w:rsid w:val="22554647"/>
    <w:rsid w:val="22575CE6"/>
    <w:rsid w:val="2264646B"/>
    <w:rsid w:val="226C52A0"/>
    <w:rsid w:val="226E2973"/>
    <w:rsid w:val="226F59C8"/>
    <w:rsid w:val="22887BC3"/>
    <w:rsid w:val="22FA3D86"/>
    <w:rsid w:val="231150AD"/>
    <w:rsid w:val="231A1B0E"/>
    <w:rsid w:val="231B09DE"/>
    <w:rsid w:val="23222DE2"/>
    <w:rsid w:val="23244A98"/>
    <w:rsid w:val="23373684"/>
    <w:rsid w:val="23567880"/>
    <w:rsid w:val="237D15F6"/>
    <w:rsid w:val="23876DB6"/>
    <w:rsid w:val="238C2D74"/>
    <w:rsid w:val="239048BE"/>
    <w:rsid w:val="23A93BDB"/>
    <w:rsid w:val="23A96390"/>
    <w:rsid w:val="23B35841"/>
    <w:rsid w:val="23C41338"/>
    <w:rsid w:val="23EF46D5"/>
    <w:rsid w:val="23F724F4"/>
    <w:rsid w:val="23FB1FD3"/>
    <w:rsid w:val="24042BDB"/>
    <w:rsid w:val="24234AF6"/>
    <w:rsid w:val="24404FB3"/>
    <w:rsid w:val="244C739C"/>
    <w:rsid w:val="245B144E"/>
    <w:rsid w:val="245D3144"/>
    <w:rsid w:val="246B7E66"/>
    <w:rsid w:val="246F4AAC"/>
    <w:rsid w:val="247E599E"/>
    <w:rsid w:val="248E26A9"/>
    <w:rsid w:val="249155FE"/>
    <w:rsid w:val="24C22B02"/>
    <w:rsid w:val="24E16FE1"/>
    <w:rsid w:val="24EB6423"/>
    <w:rsid w:val="250A773C"/>
    <w:rsid w:val="25136D8E"/>
    <w:rsid w:val="25384B48"/>
    <w:rsid w:val="25471D43"/>
    <w:rsid w:val="254D418D"/>
    <w:rsid w:val="255179ED"/>
    <w:rsid w:val="256B6EB4"/>
    <w:rsid w:val="2571095A"/>
    <w:rsid w:val="258549DE"/>
    <w:rsid w:val="259326F1"/>
    <w:rsid w:val="26016813"/>
    <w:rsid w:val="2606196B"/>
    <w:rsid w:val="26072636"/>
    <w:rsid w:val="26143C85"/>
    <w:rsid w:val="26156A2E"/>
    <w:rsid w:val="261750D0"/>
    <w:rsid w:val="261D1E42"/>
    <w:rsid w:val="262364AE"/>
    <w:rsid w:val="26414B12"/>
    <w:rsid w:val="2664395E"/>
    <w:rsid w:val="26712A32"/>
    <w:rsid w:val="26755ECA"/>
    <w:rsid w:val="2685584E"/>
    <w:rsid w:val="26906045"/>
    <w:rsid w:val="269E5D92"/>
    <w:rsid w:val="26A37629"/>
    <w:rsid w:val="26C02358"/>
    <w:rsid w:val="26C77C48"/>
    <w:rsid w:val="26D272A7"/>
    <w:rsid w:val="26D93911"/>
    <w:rsid w:val="26E63298"/>
    <w:rsid w:val="271543D2"/>
    <w:rsid w:val="27475541"/>
    <w:rsid w:val="275E46A6"/>
    <w:rsid w:val="27723BE0"/>
    <w:rsid w:val="27835FC2"/>
    <w:rsid w:val="27886618"/>
    <w:rsid w:val="278A15B2"/>
    <w:rsid w:val="278C71E1"/>
    <w:rsid w:val="279845D2"/>
    <w:rsid w:val="27B256E3"/>
    <w:rsid w:val="27D305C7"/>
    <w:rsid w:val="27D91A5B"/>
    <w:rsid w:val="27DB1F8C"/>
    <w:rsid w:val="27E31A18"/>
    <w:rsid w:val="27E964AC"/>
    <w:rsid w:val="27EE6269"/>
    <w:rsid w:val="27F947FC"/>
    <w:rsid w:val="280B2A12"/>
    <w:rsid w:val="282C4737"/>
    <w:rsid w:val="283F53A6"/>
    <w:rsid w:val="28424EE2"/>
    <w:rsid w:val="28453086"/>
    <w:rsid w:val="285E08D0"/>
    <w:rsid w:val="28637E3D"/>
    <w:rsid w:val="28651224"/>
    <w:rsid w:val="287B7B56"/>
    <w:rsid w:val="288D49B8"/>
    <w:rsid w:val="288D78CB"/>
    <w:rsid w:val="28A15125"/>
    <w:rsid w:val="28CB1F56"/>
    <w:rsid w:val="28D30D37"/>
    <w:rsid w:val="28DF504B"/>
    <w:rsid w:val="28E76FDC"/>
    <w:rsid w:val="28F224E1"/>
    <w:rsid w:val="28FC7ED2"/>
    <w:rsid w:val="290410FD"/>
    <w:rsid w:val="291A586C"/>
    <w:rsid w:val="292045F7"/>
    <w:rsid w:val="292B0B20"/>
    <w:rsid w:val="29514F8D"/>
    <w:rsid w:val="29613908"/>
    <w:rsid w:val="2967676A"/>
    <w:rsid w:val="298C582A"/>
    <w:rsid w:val="299568ED"/>
    <w:rsid w:val="299E4141"/>
    <w:rsid w:val="29CD2E3F"/>
    <w:rsid w:val="29D02637"/>
    <w:rsid w:val="29D432EC"/>
    <w:rsid w:val="29D67228"/>
    <w:rsid w:val="2A144AFA"/>
    <w:rsid w:val="2A212221"/>
    <w:rsid w:val="2A230158"/>
    <w:rsid w:val="2A3B2025"/>
    <w:rsid w:val="2A3D706A"/>
    <w:rsid w:val="2A5F55C3"/>
    <w:rsid w:val="2A6F48BA"/>
    <w:rsid w:val="2A8339A2"/>
    <w:rsid w:val="2ACE1EC8"/>
    <w:rsid w:val="2ADD059B"/>
    <w:rsid w:val="2ADE61BC"/>
    <w:rsid w:val="2AE632C3"/>
    <w:rsid w:val="2B007F78"/>
    <w:rsid w:val="2B290297"/>
    <w:rsid w:val="2B4A4876"/>
    <w:rsid w:val="2B6F55CF"/>
    <w:rsid w:val="2B9A382D"/>
    <w:rsid w:val="2BA0394B"/>
    <w:rsid w:val="2BA35BA3"/>
    <w:rsid w:val="2BB2311B"/>
    <w:rsid w:val="2BBD4C5A"/>
    <w:rsid w:val="2BCD150F"/>
    <w:rsid w:val="2BD93648"/>
    <w:rsid w:val="2BEC377F"/>
    <w:rsid w:val="2BFC2CAF"/>
    <w:rsid w:val="2C26758B"/>
    <w:rsid w:val="2C286B86"/>
    <w:rsid w:val="2C292C06"/>
    <w:rsid w:val="2C357305"/>
    <w:rsid w:val="2C383938"/>
    <w:rsid w:val="2C473F94"/>
    <w:rsid w:val="2C475FE3"/>
    <w:rsid w:val="2C4958B7"/>
    <w:rsid w:val="2C5E4EB5"/>
    <w:rsid w:val="2C89125C"/>
    <w:rsid w:val="2C916EC8"/>
    <w:rsid w:val="2CA65861"/>
    <w:rsid w:val="2CC828D8"/>
    <w:rsid w:val="2D0E75A7"/>
    <w:rsid w:val="2D197F39"/>
    <w:rsid w:val="2D272F05"/>
    <w:rsid w:val="2D3145A1"/>
    <w:rsid w:val="2D472455"/>
    <w:rsid w:val="2D477E26"/>
    <w:rsid w:val="2D4E0FF6"/>
    <w:rsid w:val="2D551367"/>
    <w:rsid w:val="2D8F19F0"/>
    <w:rsid w:val="2D9939FD"/>
    <w:rsid w:val="2DA06D16"/>
    <w:rsid w:val="2DB53831"/>
    <w:rsid w:val="2DCE3C7D"/>
    <w:rsid w:val="2DCF0D38"/>
    <w:rsid w:val="2DDB0505"/>
    <w:rsid w:val="2DDB7535"/>
    <w:rsid w:val="2DF77CC5"/>
    <w:rsid w:val="2DFF70AD"/>
    <w:rsid w:val="2E197228"/>
    <w:rsid w:val="2E490CF6"/>
    <w:rsid w:val="2E494294"/>
    <w:rsid w:val="2E616693"/>
    <w:rsid w:val="2E640E80"/>
    <w:rsid w:val="2E685A4D"/>
    <w:rsid w:val="2E786928"/>
    <w:rsid w:val="2E85670C"/>
    <w:rsid w:val="2E93683E"/>
    <w:rsid w:val="2EAE51C5"/>
    <w:rsid w:val="2ECE0FF5"/>
    <w:rsid w:val="2EDB35F4"/>
    <w:rsid w:val="2EE80E9D"/>
    <w:rsid w:val="2F305550"/>
    <w:rsid w:val="2F340AB1"/>
    <w:rsid w:val="2F3E05FD"/>
    <w:rsid w:val="2F5A04F1"/>
    <w:rsid w:val="2F702A20"/>
    <w:rsid w:val="2F7601D5"/>
    <w:rsid w:val="2F7B4429"/>
    <w:rsid w:val="2F951036"/>
    <w:rsid w:val="2F9C3813"/>
    <w:rsid w:val="2FB13E9F"/>
    <w:rsid w:val="2FB214E2"/>
    <w:rsid w:val="2FC13835"/>
    <w:rsid w:val="2FC17679"/>
    <w:rsid w:val="2FCB33B7"/>
    <w:rsid w:val="2FE82DA7"/>
    <w:rsid w:val="2FE8558C"/>
    <w:rsid w:val="2FED6249"/>
    <w:rsid w:val="2FF724D0"/>
    <w:rsid w:val="3012072F"/>
    <w:rsid w:val="301A150C"/>
    <w:rsid w:val="302D1BB3"/>
    <w:rsid w:val="30342F1D"/>
    <w:rsid w:val="30395C43"/>
    <w:rsid w:val="303F40CB"/>
    <w:rsid w:val="305344F9"/>
    <w:rsid w:val="305658CA"/>
    <w:rsid w:val="306C1DBC"/>
    <w:rsid w:val="307A4AC9"/>
    <w:rsid w:val="308929C6"/>
    <w:rsid w:val="30893359"/>
    <w:rsid w:val="308E0291"/>
    <w:rsid w:val="30942A46"/>
    <w:rsid w:val="309E477A"/>
    <w:rsid w:val="30A42698"/>
    <w:rsid w:val="30DB652B"/>
    <w:rsid w:val="30E639BE"/>
    <w:rsid w:val="30E74C0B"/>
    <w:rsid w:val="30F02844"/>
    <w:rsid w:val="30F30335"/>
    <w:rsid w:val="31051699"/>
    <w:rsid w:val="310D5CA5"/>
    <w:rsid w:val="311321B5"/>
    <w:rsid w:val="311A5A74"/>
    <w:rsid w:val="311F02AF"/>
    <w:rsid w:val="313A7E15"/>
    <w:rsid w:val="3145771C"/>
    <w:rsid w:val="3151177C"/>
    <w:rsid w:val="317A3376"/>
    <w:rsid w:val="318031CF"/>
    <w:rsid w:val="31890866"/>
    <w:rsid w:val="318A77C5"/>
    <w:rsid w:val="31905D36"/>
    <w:rsid w:val="31A063FD"/>
    <w:rsid w:val="31B4416D"/>
    <w:rsid w:val="31E150A9"/>
    <w:rsid w:val="31F5271A"/>
    <w:rsid w:val="320061DC"/>
    <w:rsid w:val="32327209"/>
    <w:rsid w:val="32352A7B"/>
    <w:rsid w:val="323671A4"/>
    <w:rsid w:val="3237369F"/>
    <w:rsid w:val="32406CCF"/>
    <w:rsid w:val="32463A26"/>
    <w:rsid w:val="32552500"/>
    <w:rsid w:val="326E6E6C"/>
    <w:rsid w:val="32700042"/>
    <w:rsid w:val="327166EE"/>
    <w:rsid w:val="327C087E"/>
    <w:rsid w:val="328141BD"/>
    <w:rsid w:val="328F5EAD"/>
    <w:rsid w:val="32933F60"/>
    <w:rsid w:val="329A2FAD"/>
    <w:rsid w:val="329B4993"/>
    <w:rsid w:val="32CA3359"/>
    <w:rsid w:val="32E02AEF"/>
    <w:rsid w:val="32E5571A"/>
    <w:rsid w:val="32EB65E8"/>
    <w:rsid w:val="32EC120E"/>
    <w:rsid w:val="32EE756C"/>
    <w:rsid w:val="331623EA"/>
    <w:rsid w:val="33165D81"/>
    <w:rsid w:val="331F562A"/>
    <w:rsid w:val="331F7CDC"/>
    <w:rsid w:val="33201918"/>
    <w:rsid w:val="33275293"/>
    <w:rsid w:val="333B2E78"/>
    <w:rsid w:val="33441CFD"/>
    <w:rsid w:val="33634E42"/>
    <w:rsid w:val="3386499B"/>
    <w:rsid w:val="33B12A74"/>
    <w:rsid w:val="33B755E0"/>
    <w:rsid w:val="33EA22B9"/>
    <w:rsid w:val="33EE561B"/>
    <w:rsid w:val="33F2005B"/>
    <w:rsid w:val="340915D9"/>
    <w:rsid w:val="341660D6"/>
    <w:rsid w:val="343321E4"/>
    <w:rsid w:val="3449718C"/>
    <w:rsid w:val="345A7CDA"/>
    <w:rsid w:val="346B239F"/>
    <w:rsid w:val="3477169F"/>
    <w:rsid w:val="347845C3"/>
    <w:rsid w:val="347A4A94"/>
    <w:rsid w:val="348061C8"/>
    <w:rsid w:val="348E726D"/>
    <w:rsid w:val="34A72740"/>
    <w:rsid w:val="34A83CBD"/>
    <w:rsid w:val="34C90259"/>
    <w:rsid w:val="34EC01CD"/>
    <w:rsid w:val="34F23FA0"/>
    <w:rsid w:val="34F5398E"/>
    <w:rsid w:val="35232779"/>
    <w:rsid w:val="354E7917"/>
    <w:rsid w:val="35533564"/>
    <w:rsid w:val="357F3C0D"/>
    <w:rsid w:val="359C482A"/>
    <w:rsid w:val="35A2648D"/>
    <w:rsid w:val="35B244CD"/>
    <w:rsid w:val="35EE3F20"/>
    <w:rsid w:val="363A1A40"/>
    <w:rsid w:val="365057CB"/>
    <w:rsid w:val="366F05D1"/>
    <w:rsid w:val="36707E4B"/>
    <w:rsid w:val="369E2CA4"/>
    <w:rsid w:val="36C06D6C"/>
    <w:rsid w:val="36C0742F"/>
    <w:rsid w:val="36C848DD"/>
    <w:rsid w:val="36CB72FE"/>
    <w:rsid w:val="370B22B6"/>
    <w:rsid w:val="3720617D"/>
    <w:rsid w:val="375335A8"/>
    <w:rsid w:val="375A115E"/>
    <w:rsid w:val="376F7161"/>
    <w:rsid w:val="37757EA8"/>
    <w:rsid w:val="37786996"/>
    <w:rsid w:val="37AB7604"/>
    <w:rsid w:val="38152477"/>
    <w:rsid w:val="381A3FBC"/>
    <w:rsid w:val="383115F5"/>
    <w:rsid w:val="386A4D8B"/>
    <w:rsid w:val="387060FE"/>
    <w:rsid w:val="38780152"/>
    <w:rsid w:val="387D2978"/>
    <w:rsid w:val="388242C0"/>
    <w:rsid w:val="388D490B"/>
    <w:rsid w:val="38A35CBB"/>
    <w:rsid w:val="38AA19BF"/>
    <w:rsid w:val="38C53CA2"/>
    <w:rsid w:val="38CA274D"/>
    <w:rsid w:val="38DB3D3B"/>
    <w:rsid w:val="38EC7CF6"/>
    <w:rsid w:val="391A3434"/>
    <w:rsid w:val="3950579F"/>
    <w:rsid w:val="39511C84"/>
    <w:rsid w:val="396759FD"/>
    <w:rsid w:val="397958BD"/>
    <w:rsid w:val="397D3884"/>
    <w:rsid w:val="39801E55"/>
    <w:rsid w:val="398048E2"/>
    <w:rsid w:val="398F55AF"/>
    <w:rsid w:val="39916AF0"/>
    <w:rsid w:val="399B079A"/>
    <w:rsid w:val="39AF7201"/>
    <w:rsid w:val="39BB72A2"/>
    <w:rsid w:val="39C61315"/>
    <w:rsid w:val="39DA200A"/>
    <w:rsid w:val="39DB1464"/>
    <w:rsid w:val="39EC4848"/>
    <w:rsid w:val="39FB1FB5"/>
    <w:rsid w:val="3A1D23B3"/>
    <w:rsid w:val="3A3620BE"/>
    <w:rsid w:val="3A3932E5"/>
    <w:rsid w:val="3A3F327A"/>
    <w:rsid w:val="3A402C8E"/>
    <w:rsid w:val="3A461688"/>
    <w:rsid w:val="3A502A4B"/>
    <w:rsid w:val="3A57294E"/>
    <w:rsid w:val="3A725720"/>
    <w:rsid w:val="3A88285F"/>
    <w:rsid w:val="3A8A623C"/>
    <w:rsid w:val="3A8D36C6"/>
    <w:rsid w:val="3A9E50EE"/>
    <w:rsid w:val="3ABC50BD"/>
    <w:rsid w:val="3AC416E1"/>
    <w:rsid w:val="3AE47E5B"/>
    <w:rsid w:val="3AFB0727"/>
    <w:rsid w:val="3B0E7AE4"/>
    <w:rsid w:val="3B34709E"/>
    <w:rsid w:val="3B374E54"/>
    <w:rsid w:val="3B662A70"/>
    <w:rsid w:val="3B7216AD"/>
    <w:rsid w:val="3B7A2E9E"/>
    <w:rsid w:val="3B815EBA"/>
    <w:rsid w:val="3B8B5E54"/>
    <w:rsid w:val="3B924D83"/>
    <w:rsid w:val="3B9C0F7B"/>
    <w:rsid w:val="3BA044D9"/>
    <w:rsid w:val="3BE54BE6"/>
    <w:rsid w:val="3C043541"/>
    <w:rsid w:val="3C1D0ABD"/>
    <w:rsid w:val="3C456A27"/>
    <w:rsid w:val="3C7B42E0"/>
    <w:rsid w:val="3C894E88"/>
    <w:rsid w:val="3CA37266"/>
    <w:rsid w:val="3CEF7ADE"/>
    <w:rsid w:val="3CF010B9"/>
    <w:rsid w:val="3CF61A27"/>
    <w:rsid w:val="3D1B7EA2"/>
    <w:rsid w:val="3D2116F3"/>
    <w:rsid w:val="3D2E7CCB"/>
    <w:rsid w:val="3D4B512D"/>
    <w:rsid w:val="3D612479"/>
    <w:rsid w:val="3D741EAE"/>
    <w:rsid w:val="3D7E2A2B"/>
    <w:rsid w:val="3D7E6297"/>
    <w:rsid w:val="3D834075"/>
    <w:rsid w:val="3D8D740C"/>
    <w:rsid w:val="3DBA72BA"/>
    <w:rsid w:val="3DC92869"/>
    <w:rsid w:val="3DD3562E"/>
    <w:rsid w:val="3DDE52D5"/>
    <w:rsid w:val="3DEE0AC0"/>
    <w:rsid w:val="3E077CBE"/>
    <w:rsid w:val="3E0F16C4"/>
    <w:rsid w:val="3E102F58"/>
    <w:rsid w:val="3E1B01C4"/>
    <w:rsid w:val="3E1C24A8"/>
    <w:rsid w:val="3E29618D"/>
    <w:rsid w:val="3E3C7AEA"/>
    <w:rsid w:val="3E3D4BD0"/>
    <w:rsid w:val="3E683EEA"/>
    <w:rsid w:val="3E824C64"/>
    <w:rsid w:val="3E8A0F75"/>
    <w:rsid w:val="3E987AEE"/>
    <w:rsid w:val="3E9A2284"/>
    <w:rsid w:val="3EAC34A7"/>
    <w:rsid w:val="3EB472BD"/>
    <w:rsid w:val="3F15252A"/>
    <w:rsid w:val="3F1B5750"/>
    <w:rsid w:val="3F3177A8"/>
    <w:rsid w:val="3F496CBE"/>
    <w:rsid w:val="3F587306"/>
    <w:rsid w:val="3F95733A"/>
    <w:rsid w:val="3FAE024D"/>
    <w:rsid w:val="3FF033EE"/>
    <w:rsid w:val="3FF67573"/>
    <w:rsid w:val="40213BB3"/>
    <w:rsid w:val="40250F00"/>
    <w:rsid w:val="40275EA5"/>
    <w:rsid w:val="40546C48"/>
    <w:rsid w:val="406B6B72"/>
    <w:rsid w:val="40701A4C"/>
    <w:rsid w:val="40741F5B"/>
    <w:rsid w:val="40774232"/>
    <w:rsid w:val="40860801"/>
    <w:rsid w:val="40865A6A"/>
    <w:rsid w:val="408E7435"/>
    <w:rsid w:val="40924816"/>
    <w:rsid w:val="40A427E0"/>
    <w:rsid w:val="40AE3E97"/>
    <w:rsid w:val="40FA1B12"/>
    <w:rsid w:val="4122513C"/>
    <w:rsid w:val="41355EF0"/>
    <w:rsid w:val="41392674"/>
    <w:rsid w:val="414763FC"/>
    <w:rsid w:val="415D1E0C"/>
    <w:rsid w:val="41794F45"/>
    <w:rsid w:val="41A46837"/>
    <w:rsid w:val="41AA074E"/>
    <w:rsid w:val="41C51A2C"/>
    <w:rsid w:val="41E24A0A"/>
    <w:rsid w:val="41E54201"/>
    <w:rsid w:val="41EA0EFE"/>
    <w:rsid w:val="42517364"/>
    <w:rsid w:val="4262363F"/>
    <w:rsid w:val="42866E0B"/>
    <w:rsid w:val="42887741"/>
    <w:rsid w:val="429F792A"/>
    <w:rsid w:val="42A10A0B"/>
    <w:rsid w:val="42A82704"/>
    <w:rsid w:val="42AF630A"/>
    <w:rsid w:val="42CE76C5"/>
    <w:rsid w:val="4305085A"/>
    <w:rsid w:val="431742E7"/>
    <w:rsid w:val="43312BDE"/>
    <w:rsid w:val="433862B6"/>
    <w:rsid w:val="43457D5C"/>
    <w:rsid w:val="43743B53"/>
    <w:rsid w:val="43763D41"/>
    <w:rsid w:val="43843137"/>
    <w:rsid w:val="4391176E"/>
    <w:rsid w:val="43B545F0"/>
    <w:rsid w:val="43CF397F"/>
    <w:rsid w:val="43EC3C39"/>
    <w:rsid w:val="43F539A2"/>
    <w:rsid w:val="442447FA"/>
    <w:rsid w:val="4427252A"/>
    <w:rsid w:val="442A447D"/>
    <w:rsid w:val="44391ED2"/>
    <w:rsid w:val="444903F3"/>
    <w:rsid w:val="444F12A9"/>
    <w:rsid w:val="449A28A3"/>
    <w:rsid w:val="449A4C45"/>
    <w:rsid w:val="44A85A06"/>
    <w:rsid w:val="44C252E7"/>
    <w:rsid w:val="44E43D61"/>
    <w:rsid w:val="44E72DD0"/>
    <w:rsid w:val="44EE10CA"/>
    <w:rsid w:val="452250F1"/>
    <w:rsid w:val="4525639F"/>
    <w:rsid w:val="452623E2"/>
    <w:rsid w:val="45284541"/>
    <w:rsid w:val="45316B5D"/>
    <w:rsid w:val="45593BE6"/>
    <w:rsid w:val="456875F0"/>
    <w:rsid w:val="456F5A54"/>
    <w:rsid w:val="45A96C77"/>
    <w:rsid w:val="45AC7614"/>
    <w:rsid w:val="45B33761"/>
    <w:rsid w:val="45C53DA9"/>
    <w:rsid w:val="45CC6425"/>
    <w:rsid w:val="45D3296A"/>
    <w:rsid w:val="45FE550D"/>
    <w:rsid w:val="46000F1C"/>
    <w:rsid w:val="461C2E0A"/>
    <w:rsid w:val="463F07A1"/>
    <w:rsid w:val="46B67097"/>
    <w:rsid w:val="46BA5F18"/>
    <w:rsid w:val="46BC3AE3"/>
    <w:rsid w:val="46BF57EA"/>
    <w:rsid w:val="46E22B80"/>
    <w:rsid w:val="46EC0F77"/>
    <w:rsid w:val="47073A3C"/>
    <w:rsid w:val="471C6162"/>
    <w:rsid w:val="471D1AE4"/>
    <w:rsid w:val="471E63A8"/>
    <w:rsid w:val="474B7E8D"/>
    <w:rsid w:val="474F4C0B"/>
    <w:rsid w:val="475F38B6"/>
    <w:rsid w:val="47685614"/>
    <w:rsid w:val="476D294A"/>
    <w:rsid w:val="47A428C2"/>
    <w:rsid w:val="47B75973"/>
    <w:rsid w:val="47C00874"/>
    <w:rsid w:val="47D236CB"/>
    <w:rsid w:val="47E41648"/>
    <w:rsid w:val="47E71D6B"/>
    <w:rsid w:val="47E801AB"/>
    <w:rsid w:val="47EC4B78"/>
    <w:rsid w:val="47F02948"/>
    <w:rsid w:val="480D47B9"/>
    <w:rsid w:val="48233849"/>
    <w:rsid w:val="48277842"/>
    <w:rsid w:val="482A083B"/>
    <w:rsid w:val="483D20C4"/>
    <w:rsid w:val="48776E5E"/>
    <w:rsid w:val="48795C23"/>
    <w:rsid w:val="48881D4F"/>
    <w:rsid w:val="488C2FD7"/>
    <w:rsid w:val="48974A79"/>
    <w:rsid w:val="489F5422"/>
    <w:rsid w:val="48D14BB0"/>
    <w:rsid w:val="48D70F6B"/>
    <w:rsid w:val="48E50E7E"/>
    <w:rsid w:val="490E63AC"/>
    <w:rsid w:val="490F1DBB"/>
    <w:rsid w:val="49260A0E"/>
    <w:rsid w:val="492A7C7B"/>
    <w:rsid w:val="493556E9"/>
    <w:rsid w:val="49750ACF"/>
    <w:rsid w:val="498768B0"/>
    <w:rsid w:val="498F1EC9"/>
    <w:rsid w:val="498F281F"/>
    <w:rsid w:val="49E1306F"/>
    <w:rsid w:val="4A0A6A2A"/>
    <w:rsid w:val="4A104F60"/>
    <w:rsid w:val="4A1277D9"/>
    <w:rsid w:val="4A204EC8"/>
    <w:rsid w:val="4A236AB7"/>
    <w:rsid w:val="4A4C7A60"/>
    <w:rsid w:val="4A5730A3"/>
    <w:rsid w:val="4A7D1B58"/>
    <w:rsid w:val="4A7D6FF8"/>
    <w:rsid w:val="4AD34EFA"/>
    <w:rsid w:val="4ADD1B95"/>
    <w:rsid w:val="4AE04400"/>
    <w:rsid w:val="4AE93111"/>
    <w:rsid w:val="4B30754A"/>
    <w:rsid w:val="4B37594E"/>
    <w:rsid w:val="4B3C44DC"/>
    <w:rsid w:val="4B4546E2"/>
    <w:rsid w:val="4B5F5FC3"/>
    <w:rsid w:val="4B6549DC"/>
    <w:rsid w:val="4B6E06DF"/>
    <w:rsid w:val="4B937C35"/>
    <w:rsid w:val="4B9F2EFD"/>
    <w:rsid w:val="4BAC3285"/>
    <w:rsid w:val="4BAF63DD"/>
    <w:rsid w:val="4BB57285"/>
    <w:rsid w:val="4BBD1489"/>
    <w:rsid w:val="4BDB0C2D"/>
    <w:rsid w:val="4C0478A6"/>
    <w:rsid w:val="4C3A380D"/>
    <w:rsid w:val="4C513FD9"/>
    <w:rsid w:val="4C6A0DCA"/>
    <w:rsid w:val="4C6B04B5"/>
    <w:rsid w:val="4C7F272A"/>
    <w:rsid w:val="4CB01933"/>
    <w:rsid w:val="4CB45732"/>
    <w:rsid w:val="4CBD3D2C"/>
    <w:rsid w:val="4CC24367"/>
    <w:rsid w:val="4CD160C0"/>
    <w:rsid w:val="4D022C05"/>
    <w:rsid w:val="4D1F5342"/>
    <w:rsid w:val="4D2C7AF3"/>
    <w:rsid w:val="4D343260"/>
    <w:rsid w:val="4D452701"/>
    <w:rsid w:val="4D484218"/>
    <w:rsid w:val="4D5D0D6B"/>
    <w:rsid w:val="4D5F4C58"/>
    <w:rsid w:val="4D677E3B"/>
    <w:rsid w:val="4D7267BE"/>
    <w:rsid w:val="4D9B3762"/>
    <w:rsid w:val="4DAA2AAB"/>
    <w:rsid w:val="4DD067B1"/>
    <w:rsid w:val="4DDC7FA5"/>
    <w:rsid w:val="4DF441B9"/>
    <w:rsid w:val="4E143766"/>
    <w:rsid w:val="4E4906EE"/>
    <w:rsid w:val="4E5C0BF1"/>
    <w:rsid w:val="4E692982"/>
    <w:rsid w:val="4E81128D"/>
    <w:rsid w:val="4EAA2B9B"/>
    <w:rsid w:val="4EAC63A7"/>
    <w:rsid w:val="4EB44450"/>
    <w:rsid w:val="4EBE06E2"/>
    <w:rsid w:val="4EF018DD"/>
    <w:rsid w:val="4F04640B"/>
    <w:rsid w:val="4F0E3BBD"/>
    <w:rsid w:val="4F144EEE"/>
    <w:rsid w:val="4F1F277C"/>
    <w:rsid w:val="4F4C2A01"/>
    <w:rsid w:val="4F697E9B"/>
    <w:rsid w:val="4F6B7BB9"/>
    <w:rsid w:val="4F981B6D"/>
    <w:rsid w:val="4FA6654E"/>
    <w:rsid w:val="4FCC7BD9"/>
    <w:rsid w:val="4FD51E77"/>
    <w:rsid w:val="4FEF0962"/>
    <w:rsid w:val="4FF51ACA"/>
    <w:rsid w:val="4FF659D3"/>
    <w:rsid w:val="4FFB6AF8"/>
    <w:rsid w:val="502D6990"/>
    <w:rsid w:val="503A7C33"/>
    <w:rsid w:val="503B7503"/>
    <w:rsid w:val="505408EF"/>
    <w:rsid w:val="50626FEC"/>
    <w:rsid w:val="50802698"/>
    <w:rsid w:val="50B36090"/>
    <w:rsid w:val="50B62460"/>
    <w:rsid w:val="50DF4E67"/>
    <w:rsid w:val="50E15827"/>
    <w:rsid w:val="51002F0E"/>
    <w:rsid w:val="51071B0C"/>
    <w:rsid w:val="51753008"/>
    <w:rsid w:val="517D7903"/>
    <w:rsid w:val="51E809A2"/>
    <w:rsid w:val="51EF6CDE"/>
    <w:rsid w:val="51F219E4"/>
    <w:rsid w:val="52151A1A"/>
    <w:rsid w:val="521A27C6"/>
    <w:rsid w:val="52214FE4"/>
    <w:rsid w:val="522C13B9"/>
    <w:rsid w:val="5234116C"/>
    <w:rsid w:val="52391B1D"/>
    <w:rsid w:val="5254213E"/>
    <w:rsid w:val="526650E8"/>
    <w:rsid w:val="5274323B"/>
    <w:rsid w:val="527812C6"/>
    <w:rsid w:val="52804735"/>
    <w:rsid w:val="52AE3750"/>
    <w:rsid w:val="52B5436D"/>
    <w:rsid w:val="52BE1CC3"/>
    <w:rsid w:val="52DB195C"/>
    <w:rsid w:val="52E25026"/>
    <w:rsid w:val="52F03D33"/>
    <w:rsid w:val="53053AB0"/>
    <w:rsid w:val="531655AF"/>
    <w:rsid w:val="531E0F9C"/>
    <w:rsid w:val="5367764E"/>
    <w:rsid w:val="536E66F9"/>
    <w:rsid w:val="53733BF6"/>
    <w:rsid w:val="53764934"/>
    <w:rsid w:val="53873D44"/>
    <w:rsid w:val="53962B3E"/>
    <w:rsid w:val="539F4BC3"/>
    <w:rsid w:val="53C7637D"/>
    <w:rsid w:val="53C9708E"/>
    <w:rsid w:val="53CD6E9C"/>
    <w:rsid w:val="53E3217E"/>
    <w:rsid w:val="53E51640"/>
    <w:rsid w:val="5410069F"/>
    <w:rsid w:val="541F502B"/>
    <w:rsid w:val="5428422D"/>
    <w:rsid w:val="542850CE"/>
    <w:rsid w:val="54405195"/>
    <w:rsid w:val="54412AB9"/>
    <w:rsid w:val="54484B90"/>
    <w:rsid w:val="545430A1"/>
    <w:rsid w:val="5459131B"/>
    <w:rsid w:val="5471114B"/>
    <w:rsid w:val="54B14A15"/>
    <w:rsid w:val="54B14ED7"/>
    <w:rsid w:val="54BE73BB"/>
    <w:rsid w:val="54C0392D"/>
    <w:rsid w:val="54EC1A3E"/>
    <w:rsid w:val="550876C8"/>
    <w:rsid w:val="552473CE"/>
    <w:rsid w:val="55273084"/>
    <w:rsid w:val="553918DB"/>
    <w:rsid w:val="554F3566"/>
    <w:rsid w:val="55694C7A"/>
    <w:rsid w:val="557A1F24"/>
    <w:rsid w:val="557B277B"/>
    <w:rsid w:val="55974A50"/>
    <w:rsid w:val="55A939CC"/>
    <w:rsid w:val="55AA7895"/>
    <w:rsid w:val="55DF443D"/>
    <w:rsid w:val="55E62380"/>
    <w:rsid w:val="55FB34EE"/>
    <w:rsid w:val="5628417F"/>
    <w:rsid w:val="562B489D"/>
    <w:rsid w:val="56310FE7"/>
    <w:rsid w:val="564357FC"/>
    <w:rsid w:val="5650554F"/>
    <w:rsid w:val="565C7725"/>
    <w:rsid w:val="56721800"/>
    <w:rsid w:val="568820D4"/>
    <w:rsid w:val="568D45BE"/>
    <w:rsid w:val="56936B3D"/>
    <w:rsid w:val="569D5052"/>
    <w:rsid w:val="56D33E1D"/>
    <w:rsid w:val="56EB5C17"/>
    <w:rsid w:val="56F67432"/>
    <w:rsid w:val="56FC10C4"/>
    <w:rsid w:val="570C2AAA"/>
    <w:rsid w:val="57196811"/>
    <w:rsid w:val="57230876"/>
    <w:rsid w:val="5725461D"/>
    <w:rsid w:val="57440F69"/>
    <w:rsid w:val="5754503F"/>
    <w:rsid w:val="576378C6"/>
    <w:rsid w:val="57645644"/>
    <w:rsid w:val="57664CC0"/>
    <w:rsid w:val="577D0987"/>
    <w:rsid w:val="578C51EE"/>
    <w:rsid w:val="57AC7CFA"/>
    <w:rsid w:val="57C2639A"/>
    <w:rsid w:val="57C43D39"/>
    <w:rsid w:val="57E27D6D"/>
    <w:rsid w:val="58135902"/>
    <w:rsid w:val="581D05D2"/>
    <w:rsid w:val="581E7B89"/>
    <w:rsid w:val="58203E2B"/>
    <w:rsid w:val="58363A1E"/>
    <w:rsid w:val="583B5B55"/>
    <w:rsid w:val="583E7652"/>
    <w:rsid w:val="586C0F12"/>
    <w:rsid w:val="586E0CF8"/>
    <w:rsid w:val="587F7675"/>
    <w:rsid w:val="58A957AC"/>
    <w:rsid w:val="58AA2D4B"/>
    <w:rsid w:val="58B0376F"/>
    <w:rsid w:val="58D24194"/>
    <w:rsid w:val="590251D7"/>
    <w:rsid w:val="59075246"/>
    <w:rsid w:val="590810D4"/>
    <w:rsid w:val="592B1BE2"/>
    <w:rsid w:val="592D2065"/>
    <w:rsid w:val="593E07E2"/>
    <w:rsid w:val="59517920"/>
    <w:rsid w:val="59617A34"/>
    <w:rsid w:val="59657C29"/>
    <w:rsid w:val="596C32A7"/>
    <w:rsid w:val="59721B65"/>
    <w:rsid w:val="599574FB"/>
    <w:rsid w:val="59A25F54"/>
    <w:rsid w:val="59A87F44"/>
    <w:rsid w:val="59C451A3"/>
    <w:rsid w:val="59C46400"/>
    <w:rsid w:val="59CE01AC"/>
    <w:rsid w:val="59FD3B38"/>
    <w:rsid w:val="5A2B7D90"/>
    <w:rsid w:val="5A3E0765"/>
    <w:rsid w:val="5A406DEB"/>
    <w:rsid w:val="5A4640AD"/>
    <w:rsid w:val="5A493D64"/>
    <w:rsid w:val="5A583C89"/>
    <w:rsid w:val="5A5E3DF2"/>
    <w:rsid w:val="5A6E567A"/>
    <w:rsid w:val="5A8238C1"/>
    <w:rsid w:val="5A824E8E"/>
    <w:rsid w:val="5AAF6D4A"/>
    <w:rsid w:val="5AB74837"/>
    <w:rsid w:val="5ABB6038"/>
    <w:rsid w:val="5AC530DC"/>
    <w:rsid w:val="5AC54D73"/>
    <w:rsid w:val="5ADB7D78"/>
    <w:rsid w:val="5ADF16B5"/>
    <w:rsid w:val="5B034F7D"/>
    <w:rsid w:val="5B077572"/>
    <w:rsid w:val="5B1C48F7"/>
    <w:rsid w:val="5B3D2335"/>
    <w:rsid w:val="5B596518"/>
    <w:rsid w:val="5B825172"/>
    <w:rsid w:val="5B95101E"/>
    <w:rsid w:val="5BA43574"/>
    <w:rsid w:val="5BAA3237"/>
    <w:rsid w:val="5BBA2229"/>
    <w:rsid w:val="5BC46FC8"/>
    <w:rsid w:val="5BC91312"/>
    <w:rsid w:val="5BDD6EA5"/>
    <w:rsid w:val="5BDE1220"/>
    <w:rsid w:val="5BDE3B67"/>
    <w:rsid w:val="5C1F62D6"/>
    <w:rsid w:val="5C4471CE"/>
    <w:rsid w:val="5C470EA6"/>
    <w:rsid w:val="5C510CA7"/>
    <w:rsid w:val="5C6C4B26"/>
    <w:rsid w:val="5C70627F"/>
    <w:rsid w:val="5C78121F"/>
    <w:rsid w:val="5C7E3B46"/>
    <w:rsid w:val="5C8E6AD3"/>
    <w:rsid w:val="5C962A0F"/>
    <w:rsid w:val="5C9C63C8"/>
    <w:rsid w:val="5CA04BF9"/>
    <w:rsid w:val="5CBA15A3"/>
    <w:rsid w:val="5CD82D18"/>
    <w:rsid w:val="5CDC0BDD"/>
    <w:rsid w:val="5CE96DCA"/>
    <w:rsid w:val="5CFB0D0E"/>
    <w:rsid w:val="5D077EF5"/>
    <w:rsid w:val="5D0D570F"/>
    <w:rsid w:val="5D4708ED"/>
    <w:rsid w:val="5D5061F6"/>
    <w:rsid w:val="5D590772"/>
    <w:rsid w:val="5D670BC7"/>
    <w:rsid w:val="5D6F385A"/>
    <w:rsid w:val="5D8E4CA8"/>
    <w:rsid w:val="5DB86D54"/>
    <w:rsid w:val="5DBE6255"/>
    <w:rsid w:val="5DCA043A"/>
    <w:rsid w:val="5DDC5EE5"/>
    <w:rsid w:val="5DE06080"/>
    <w:rsid w:val="5E026B09"/>
    <w:rsid w:val="5E103836"/>
    <w:rsid w:val="5E1C1E8A"/>
    <w:rsid w:val="5E1C4572"/>
    <w:rsid w:val="5E246A8B"/>
    <w:rsid w:val="5E303CE5"/>
    <w:rsid w:val="5E4B5198"/>
    <w:rsid w:val="5E642265"/>
    <w:rsid w:val="5EA70CDE"/>
    <w:rsid w:val="5EBE0A06"/>
    <w:rsid w:val="5ECB1CD4"/>
    <w:rsid w:val="5ED50ED8"/>
    <w:rsid w:val="5EF779D7"/>
    <w:rsid w:val="5EFA1803"/>
    <w:rsid w:val="5EFC2014"/>
    <w:rsid w:val="5F0465E4"/>
    <w:rsid w:val="5F0E78E8"/>
    <w:rsid w:val="5F1B0A3E"/>
    <w:rsid w:val="5F3B2D6C"/>
    <w:rsid w:val="5F4D0535"/>
    <w:rsid w:val="5F57453E"/>
    <w:rsid w:val="5F5B53F6"/>
    <w:rsid w:val="5F60685A"/>
    <w:rsid w:val="5FA570E4"/>
    <w:rsid w:val="5FAC744F"/>
    <w:rsid w:val="5FC353A5"/>
    <w:rsid w:val="5FDC62ED"/>
    <w:rsid w:val="5FE819D3"/>
    <w:rsid w:val="5FED7100"/>
    <w:rsid w:val="5FF44887"/>
    <w:rsid w:val="602472A5"/>
    <w:rsid w:val="604550F9"/>
    <w:rsid w:val="6049085F"/>
    <w:rsid w:val="6051231A"/>
    <w:rsid w:val="60554CDC"/>
    <w:rsid w:val="60580311"/>
    <w:rsid w:val="60751E3A"/>
    <w:rsid w:val="60963944"/>
    <w:rsid w:val="60994E7B"/>
    <w:rsid w:val="60DC5B8D"/>
    <w:rsid w:val="60E77EFC"/>
    <w:rsid w:val="60ED27E4"/>
    <w:rsid w:val="611C61A9"/>
    <w:rsid w:val="6143479C"/>
    <w:rsid w:val="619A1950"/>
    <w:rsid w:val="619D4186"/>
    <w:rsid w:val="61AE7D97"/>
    <w:rsid w:val="61F80AC1"/>
    <w:rsid w:val="62031A89"/>
    <w:rsid w:val="621F43E9"/>
    <w:rsid w:val="622163B3"/>
    <w:rsid w:val="62316AA4"/>
    <w:rsid w:val="623E241B"/>
    <w:rsid w:val="624A237C"/>
    <w:rsid w:val="62685D90"/>
    <w:rsid w:val="62686EAA"/>
    <w:rsid w:val="62722A66"/>
    <w:rsid w:val="627D508D"/>
    <w:rsid w:val="62A226C2"/>
    <w:rsid w:val="62C8546B"/>
    <w:rsid w:val="62D813F4"/>
    <w:rsid w:val="62DC4BD7"/>
    <w:rsid w:val="630615B2"/>
    <w:rsid w:val="632073D1"/>
    <w:rsid w:val="6329520B"/>
    <w:rsid w:val="63362285"/>
    <w:rsid w:val="635C5213"/>
    <w:rsid w:val="636D7EBA"/>
    <w:rsid w:val="639064E8"/>
    <w:rsid w:val="63CE15FA"/>
    <w:rsid w:val="63D83474"/>
    <w:rsid w:val="63DB6EED"/>
    <w:rsid w:val="63EF2296"/>
    <w:rsid w:val="64044E99"/>
    <w:rsid w:val="643F15A9"/>
    <w:rsid w:val="644D1BED"/>
    <w:rsid w:val="64743A57"/>
    <w:rsid w:val="64962060"/>
    <w:rsid w:val="64A81117"/>
    <w:rsid w:val="64B27796"/>
    <w:rsid w:val="64B308E0"/>
    <w:rsid w:val="64C32CDA"/>
    <w:rsid w:val="64E85323"/>
    <w:rsid w:val="64E86B5E"/>
    <w:rsid w:val="64EC5266"/>
    <w:rsid w:val="653320C8"/>
    <w:rsid w:val="65336F33"/>
    <w:rsid w:val="655834E5"/>
    <w:rsid w:val="65774DE2"/>
    <w:rsid w:val="658F6A2D"/>
    <w:rsid w:val="65A9123D"/>
    <w:rsid w:val="65AF7C90"/>
    <w:rsid w:val="65B124D6"/>
    <w:rsid w:val="65BD2414"/>
    <w:rsid w:val="65FB194F"/>
    <w:rsid w:val="661208FC"/>
    <w:rsid w:val="661C3008"/>
    <w:rsid w:val="6626043C"/>
    <w:rsid w:val="662D301C"/>
    <w:rsid w:val="664A36D1"/>
    <w:rsid w:val="665A7A13"/>
    <w:rsid w:val="6664740F"/>
    <w:rsid w:val="6665384F"/>
    <w:rsid w:val="66807B4C"/>
    <w:rsid w:val="66843DD5"/>
    <w:rsid w:val="66943F9D"/>
    <w:rsid w:val="6695367E"/>
    <w:rsid w:val="66986EFA"/>
    <w:rsid w:val="66B91561"/>
    <w:rsid w:val="66B91976"/>
    <w:rsid w:val="66B97C81"/>
    <w:rsid w:val="66F43DD4"/>
    <w:rsid w:val="66FC4493"/>
    <w:rsid w:val="670C7116"/>
    <w:rsid w:val="67101666"/>
    <w:rsid w:val="673452B8"/>
    <w:rsid w:val="674B7A80"/>
    <w:rsid w:val="675C0C10"/>
    <w:rsid w:val="67B75509"/>
    <w:rsid w:val="67C004EE"/>
    <w:rsid w:val="67CB3049"/>
    <w:rsid w:val="67DF5789"/>
    <w:rsid w:val="67E5058E"/>
    <w:rsid w:val="67E553B0"/>
    <w:rsid w:val="67EF2889"/>
    <w:rsid w:val="67FA4E8C"/>
    <w:rsid w:val="67FB568E"/>
    <w:rsid w:val="680B2738"/>
    <w:rsid w:val="681E1C8A"/>
    <w:rsid w:val="681E74FC"/>
    <w:rsid w:val="68246020"/>
    <w:rsid w:val="682C4BB0"/>
    <w:rsid w:val="6846531F"/>
    <w:rsid w:val="685A18FB"/>
    <w:rsid w:val="687C28DB"/>
    <w:rsid w:val="68907DEF"/>
    <w:rsid w:val="68976136"/>
    <w:rsid w:val="68A0278A"/>
    <w:rsid w:val="68C812E7"/>
    <w:rsid w:val="68CE0B86"/>
    <w:rsid w:val="68F540D3"/>
    <w:rsid w:val="69082643"/>
    <w:rsid w:val="69256E15"/>
    <w:rsid w:val="692764EA"/>
    <w:rsid w:val="695976F5"/>
    <w:rsid w:val="699219DD"/>
    <w:rsid w:val="69A654F2"/>
    <w:rsid w:val="69B00A10"/>
    <w:rsid w:val="69B42EE2"/>
    <w:rsid w:val="69D92366"/>
    <w:rsid w:val="69DE72A2"/>
    <w:rsid w:val="69E40BF9"/>
    <w:rsid w:val="69FA5E67"/>
    <w:rsid w:val="69FE2EB5"/>
    <w:rsid w:val="6A206100"/>
    <w:rsid w:val="6A263131"/>
    <w:rsid w:val="6A263720"/>
    <w:rsid w:val="6A330B04"/>
    <w:rsid w:val="6A426472"/>
    <w:rsid w:val="6A436AEC"/>
    <w:rsid w:val="6A717CE3"/>
    <w:rsid w:val="6A730EA4"/>
    <w:rsid w:val="6A9260A0"/>
    <w:rsid w:val="6AAB68AC"/>
    <w:rsid w:val="6AB574DF"/>
    <w:rsid w:val="6ACC62E0"/>
    <w:rsid w:val="6ACE4105"/>
    <w:rsid w:val="6AD03793"/>
    <w:rsid w:val="6AE608D0"/>
    <w:rsid w:val="6AFC29BB"/>
    <w:rsid w:val="6B1B6AC3"/>
    <w:rsid w:val="6B327AFB"/>
    <w:rsid w:val="6B336006"/>
    <w:rsid w:val="6B3C7DBA"/>
    <w:rsid w:val="6B467F07"/>
    <w:rsid w:val="6B4904A7"/>
    <w:rsid w:val="6B5E78FE"/>
    <w:rsid w:val="6B622E3D"/>
    <w:rsid w:val="6B94255A"/>
    <w:rsid w:val="6B966DF8"/>
    <w:rsid w:val="6BA554C4"/>
    <w:rsid w:val="6BB06E24"/>
    <w:rsid w:val="6BB211A1"/>
    <w:rsid w:val="6BF71AE5"/>
    <w:rsid w:val="6BFA67A6"/>
    <w:rsid w:val="6C0C2360"/>
    <w:rsid w:val="6C1D733F"/>
    <w:rsid w:val="6C296A44"/>
    <w:rsid w:val="6C2C23C0"/>
    <w:rsid w:val="6C395525"/>
    <w:rsid w:val="6C3D028D"/>
    <w:rsid w:val="6C54338D"/>
    <w:rsid w:val="6C5F747B"/>
    <w:rsid w:val="6C6643BF"/>
    <w:rsid w:val="6C667726"/>
    <w:rsid w:val="6C6B1CC8"/>
    <w:rsid w:val="6C813704"/>
    <w:rsid w:val="6C8163CC"/>
    <w:rsid w:val="6CA65E33"/>
    <w:rsid w:val="6CCD618B"/>
    <w:rsid w:val="6CD41A5B"/>
    <w:rsid w:val="6CD45481"/>
    <w:rsid w:val="6CD57FE1"/>
    <w:rsid w:val="6D0059E8"/>
    <w:rsid w:val="6D0D058A"/>
    <w:rsid w:val="6D155705"/>
    <w:rsid w:val="6D2102DD"/>
    <w:rsid w:val="6D4F5F3E"/>
    <w:rsid w:val="6D654AF0"/>
    <w:rsid w:val="6D672DF1"/>
    <w:rsid w:val="6D6973ED"/>
    <w:rsid w:val="6D702BDA"/>
    <w:rsid w:val="6D7607C6"/>
    <w:rsid w:val="6D7C6B93"/>
    <w:rsid w:val="6D91680B"/>
    <w:rsid w:val="6DBE61E8"/>
    <w:rsid w:val="6DF45B50"/>
    <w:rsid w:val="6E0237C7"/>
    <w:rsid w:val="6E0F5CB7"/>
    <w:rsid w:val="6E3C46FC"/>
    <w:rsid w:val="6E487B8A"/>
    <w:rsid w:val="6E547FBE"/>
    <w:rsid w:val="6E62419F"/>
    <w:rsid w:val="6E9D322D"/>
    <w:rsid w:val="6EBB757B"/>
    <w:rsid w:val="6EC519AE"/>
    <w:rsid w:val="6ECA1928"/>
    <w:rsid w:val="6ED17380"/>
    <w:rsid w:val="6EE726EF"/>
    <w:rsid w:val="6EEE6897"/>
    <w:rsid w:val="6F080E6D"/>
    <w:rsid w:val="6F086931"/>
    <w:rsid w:val="6F175ED7"/>
    <w:rsid w:val="6F1A63C1"/>
    <w:rsid w:val="6F222ACE"/>
    <w:rsid w:val="6F231DA4"/>
    <w:rsid w:val="6F4106F3"/>
    <w:rsid w:val="6F724588"/>
    <w:rsid w:val="6F734606"/>
    <w:rsid w:val="6F812514"/>
    <w:rsid w:val="6F8C7562"/>
    <w:rsid w:val="6F8D5CB6"/>
    <w:rsid w:val="6FA9005F"/>
    <w:rsid w:val="6FB56DFF"/>
    <w:rsid w:val="6FC71C5E"/>
    <w:rsid w:val="6FCC43BD"/>
    <w:rsid w:val="6FD26F3F"/>
    <w:rsid w:val="6FD91702"/>
    <w:rsid w:val="6FE657EB"/>
    <w:rsid w:val="6FED00FF"/>
    <w:rsid w:val="6FF84890"/>
    <w:rsid w:val="70383246"/>
    <w:rsid w:val="704E6956"/>
    <w:rsid w:val="70A54970"/>
    <w:rsid w:val="70AB4394"/>
    <w:rsid w:val="70D3169F"/>
    <w:rsid w:val="70DC4E9C"/>
    <w:rsid w:val="711F45B9"/>
    <w:rsid w:val="712802B3"/>
    <w:rsid w:val="713B1222"/>
    <w:rsid w:val="714E63D6"/>
    <w:rsid w:val="71756349"/>
    <w:rsid w:val="71905F74"/>
    <w:rsid w:val="71AC3EEB"/>
    <w:rsid w:val="71C11019"/>
    <w:rsid w:val="71E33AEE"/>
    <w:rsid w:val="71F71DF5"/>
    <w:rsid w:val="71FC66A6"/>
    <w:rsid w:val="71FD217F"/>
    <w:rsid w:val="720601C5"/>
    <w:rsid w:val="72206BCE"/>
    <w:rsid w:val="72210924"/>
    <w:rsid w:val="722B123D"/>
    <w:rsid w:val="724541FF"/>
    <w:rsid w:val="72842B7E"/>
    <w:rsid w:val="72982C3D"/>
    <w:rsid w:val="729C6937"/>
    <w:rsid w:val="72AC0994"/>
    <w:rsid w:val="72C20476"/>
    <w:rsid w:val="72D32E9D"/>
    <w:rsid w:val="72D95E85"/>
    <w:rsid w:val="72E47E1D"/>
    <w:rsid w:val="72E66B78"/>
    <w:rsid w:val="72E7502A"/>
    <w:rsid w:val="73044502"/>
    <w:rsid w:val="7306762B"/>
    <w:rsid w:val="730832B1"/>
    <w:rsid w:val="7345735F"/>
    <w:rsid w:val="734E1B56"/>
    <w:rsid w:val="73577E87"/>
    <w:rsid w:val="736528CC"/>
    <w:rsid w:val="736D4CD8"/>
    <w:rsid w:val="73A019BD"/>
    <w:rsid w:val="73A9592E"/>
    <w:rsid w:val="73A960E7"/>
    <w:rsid w:val="73BC23E0"/>
    <w:rsid w:val="73DB7AF6"/>
    <w:rsid w:val="73DE0A03"/>
    <w:rsid w:val="73E96B3C"/>
    <w:rsid w:val="740A43A4"/>
    <w:rsid w:val="74314148"/>
    <w:rsid w:val="744C7E0E"/>
    <w:rsid w:val="745775DE"/>
    <w:rsid w:val="745D758A"/>
    <w:rsid w:val="745F712C"/>
    <w:rsid w:val="74695686"/>
    <w:rsid w:val="746C3BCF"/>
    <w:rsid w:val="74726218"/>
    <w:rsid w:val="74813987"/>
    <w:rsid w:val="74AF7B7D"/>
    <w:rsid w:val="74B15097"/>
    <w:rsid w:val="74B174B7"/>
    <w:rsid w:val="74B662A6"/>
    <w:rsid w:val="74C14C55"/>
    <w:rsid w:val="74C730E6"/>
    <w:rsid w:val="74D40C14"/>
    <w:rsid w:val="74DD408E"/>
    <w:rsid w:val="74EF0204"/>
    <w:rsid w:val="74F4000B"/>
    <w:rsid w:val="74F53565"/>
    <w:rsid w:val="750C0702"/>
    <w:rsid w:val="75290C8A"/>
    <w:rsid w:val="75354D85"/>
    <w:rsid w:val="753A05F3"/>
    <w:rsid w:val="75490817"/>
    <w:rsid w:val="755E271D"/>
    <w:rsid w:val="75611E78"/>
    <w:rsid w:val="756646E4"/>
    <w:rsid w:val="75674CA9"/>
    <w:rsid w:val="756C26AF"/>
    <w:rsid w:val="758B541D"/>
    <w:rsid w:val="75A152BF"/>
    <w:rsid w:val="75B5699E"/>
    <w:rsid w:val="75EF0431"/>
    <w:rsid w:val="761D6F02"/>
    <w:rsid w:val="7628317F"/>
    <w:rsid w:val="763846D6"/>
    <w:rsid w:val="765C2A9A"/>
    <w:rsid w:val="76616E2A"/>
    <w:rsid w:val="76647254"/>
    <w:rsid w:val="769470CC"/>
    <w:rsid w:val="76B4739E"/>
    <w:rsid w:val="76B90DB8"/>
    <w:rsid w:val="76CC293A"/>
    <w:rsid w:val="76CE0460"/>
    <w:rsid w:val="76E1191A"/>
    <w:rsid w:val="76EE01F5"/>
    <w:rsid w:val="7709593C"/>
    <w:rsid w:val="770F4A0E"/>
    <w:rsid w:val="77161E07"/>
    <w:rsid w:val="771B662C"/>
    <w:rsid w:val="771C23B1"/>
    <w:rsid w:val="772E2BF6"/>
    <w:rsid w:val="774804CC"/>
    <w:rsid w:val="77547927"/>
    <w:rsid w:val="77722EAD"/>
    <w:rsid w:val="777234E1"/>
    <w:rsid w:val="777C270F"/>
    <w:rsid w:val="777C39DF"/>
    <w:rsid w:val="77CF75E3"/>
    <w:rsid w:val="77DD3B92"/>
    <w:rsid w:val="77F12A59"/>
    <w:rsid w:val="78063C29"/>
    <w:rsid w:val="780B46B4"/>
    <w:rsid w:val="782021D6"/>
    <w:rsid w:val="782C17E6"/>
    <w:rsid w:val="7831720A"/>
    <w:rsid w:val="784A371B"/>
    <w:rsid w:val="784D0268"/>
    <w:rsid w:val="78511BFB"/>
    <w:rsid w:val="78570929"/>
    <w:rsid w:val="78720F0B"/>
    <w:rsid w:val="787B6CEB"/>
    <w:rsid w:val="7889250C"/>
    <w:rsid w:val="7895540D"/>
    <w:rsid w:val="789629A1"/>
    <w:rsid w:val="78972AD3"/>
    <w:rsid w:val="78AA212A"/>
    <w:rsid w:val="78B47E62"/>
    <w:rsid w:val="78BD3A19"/>
    <w:rsid w:val="78CA743F"/>
    <w:rsid w:val="78FC723E"/>
    <w:rsid w:val="7903576C"/>
    <w:rsid w:val="791059C4"/>
    <w:rsid w:val="794013BD"/>
    <w:rsid w:val="79471A66"/>
    <w:rsid w:val="794B4FBB"/>
    <w:rsid w:val="79715F03"/>
    <w:rsid w:val="79832C90"/>
    <w:rsid w:val="79B34D12"/>
    <w:rsid w:val="79BA09EE"/>
    <w:rsid w:val="79CD40FA"/>
    <w:rsid w:val="79EA60FA"/>
    <w:rsid w:val="7A1376CB"/>
    <w:rsid w:val="7A28257D"/>
    <w:rsid w:val="7A2D1941"/>
    <w:rsid w:val="7A3F563E"/>
    <w:rsid w:val="7A47368D"/>
    <w:rsid w:val="7A477AC9"/>
    <w:rsid w:val="7A487312"/>
    <w:rsid w:val="7A4A7E2B"/>
    <w:rsid w:val="7A4B0FE0"/>
    <w:rsid w:val="7A4C2BA3"/>
    <w:rsid w:val="7A662F0C"/>
    <w:rsid w:val="7A922A62"/>
    <w:rsid w:val="7A9B7021"/>
    <w:rsid w:val="7AAB161A"/>
    <w:rsid w:val="7AB744CE"/>
    <w:rsid w:val="7AD622E1"/>
    <w:rsid w:val="7AE019BD"/>
    <w:rsid w:val="7AE31DB8"/>
    <w:rsid w:val="7AF2300E"/>
    <w:rsid w:val="7B0C07ED"/>
    <w:rsid w:val="7B192506"/>
    <w:rsid w:val="7B2B7492"/>
    <w:rsid w:val="7B3B29FD"/>
    <w:rsid w:val="7B440233"/>
    <w:rsid w:val="7B505C2F"/>
    <w:rsid w:val="7B590514"/>
    <w:rsid w:val="7B631BC2"/>
    <w:rsid w:val="7B66424C"/>
    <w:rsid w:val="7BAC3148"/>
    <w:rsid w:val="7BBC0F77"/>
    <w:rsid w:val="7BBF003E"/>
    <w:rsid w:val="7BC86099"/>
    <w:rsid w:val="7BCF61EF"/>
    <w:rsid w:val="7BDE4FC2"/>
    <w:rsid w:val="7C251BB9"/>
    <w:rsid w:val="7C270A47"/>
    <w:rsid w:val="7C526BA2"/>
    <w:rsid w:val="7C66738C"/>
    <w:rsid w:val="7C7A2444"/>
    <w:rsid w:val="7C887303"/>
    <w:rsid w:val="7C9E49BB"/>
    <w:rsid w:val="7CBE33F7"/>
    <w:rsid w:val="7CDE5CED"/>
    <w:rsid w:val="7CE20075"/>
    <w:rsid w:val="7CE77E19"/>
    <w:rsid w:val="7CF873D9"/>
    <w:rsid w:val="7CFC31CC"/>
    <w:rsid w:val="7D023B87"/>
    <w:rsid w:val="7D094AC2"/>
    <w:rsid w:val="7D277784"/>
    <w:rsid w:val="7D281411"/>
    <w:rsid w:val="7D2D0E92"/>
    <w:rsid w:val="7D2F1335"/>
    <w:rsid w:val="7D5E7AAB"/>
    <w:rsid w:val="7D613541"/>
    <w:rsid w:val="7D623196"/>
    <w:rsid w:val="7D6A383D"/>
    <w:rsid w:val="7D787EF8"/>
    <w:rsid w:val="7D853F17"/>
    <w:rsid w:val="7D8E26F7"/>
    <w:rsid w:val="7DB3008D"/>
    <w:rsid w:val="7DB32A7F"/>
    <w:rsid w:val="7DC3439E"/>
    <w:rsid w:val="7DE435B1"/>
    <w:rsid w:val="7DF123E8"/>
    <w:rsid w:val="7E0064D6"/>
    <w:rsid w:val="7E032F24"/>
    <w:rsid w:val="7E09202D"/>
    <w:rsid w:val="7E113552"/>
    <w:rsid w:val="7E34384C"/>
    <w:rsid w:val="7E3D470A"/>
    <w:rsid w:val="7E3E2ED1"/>
    <w:rsid w:val="7E481050"/>
    <w:rsid w:val="7E4F112B"/>
    <w:rsid w:val="7E5132C5"/>
    <w:rsid w:val="7E725143"/>
    <w:rsid w:val="7E7722A2"/>
    <w:rsid w:val="7E8D040A"/>
    <w:rsid w:val="7EB75211"/>
    <w:rsid w:val="7ED17784"/>
    <w:rsid w:val="7EDA761A"/>
    <w:rsid w:val="7EFC4E2F"/>
    <w:rsid w:val="7F0B6042"/>
    <w:rsid w:val="7F0E3744"/>
    <w:rsid w:val="7F20708C"/>
    <w:rsid w:val="7F413AA5"/>
    <w:rsid w:val="7F4E67C5"/>
    <w:rsid w:val="7F5E3540"/>
    <w:rsid w:val="7F6C5324"/>
    <w:rsid w:val="7F8A2AB7"/>
    <w:rsid w:val="7F8C2BED"/>
    <w:rsid w:val="7F8F0454"/>
    <w:rsid w:val="7FA75CF2"/>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42"/>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autoRedefine/>
    <w:qFormat/>
    <w:uiPriority w:val="9"/>
    <w:pPr>
      <w:keepNext/>
      <w:keepLines/>
      <w:spacing w:line="240" w:lineRule="auto"/>
      <w:outlineLvl w:val="1"/>
    </w:pPr>
    <w:rPr>
      <w:rFonts w:ascii="Calibri" w:hAnsi="Calibri" w:cs="黑体"/>
      <w:b/>
      <w:bCs/>
      <w:sz w:val="32"/>
      <w:szCs w:val="32"/>
    </w:rPr>
  </w:style>
  <w:style w:type="paragraph" w:styleId="4">
    <w:name w:val="heading 3"/>
    <w:basedOn w:val="1"/>
    <w:next w:val="1"/>
    <w:autoRedefine/>
    <w:qFormat/>
    <w:uiPriority w:val="9"/>
    <w:pPr>
      <w:keepNext/>
      <w:keepLines/>
      <w:spacing w:line="400" w:lineRule="atLeast"/>
      <w:jc w:val="center"/>
      <w:outlineLvl w:val="2"/>
    </w:pPr>
    <w:rPr>
      <w:b/>
      <w:bCs/>
      <w:sz w:val="32"/>
      <w:szCs w:val="32"/>
      <w:u w:val="double"/>
    </w:rPr>
  </w:style>
  <w:style w:type="paragraph" w:styleId="5">
    <w:name w:val="heading 4"/>
    <w:basedOn w:val="1"/>
    <w:next w:val="1"/>
    <w:autoRedefine/>
    <w:unhideWhenUsed/>
    <w:qFormat/>
    <w:uiPriority w:val="0"/>
    <w:pPr>
      <w:keepNext/>
      <w:keepLines/>
      <w:jc w:val="left"/>
      <w:outlineLvl w:val="3"/>
    </w:pPr>
    <w:rPr>
      <w:rFonts w:ascii="Arial" w:hAnsi="Arial" w:cs="Times New Roman"/>
      <w:b/>
      <w:sz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annotation text"/>
    <w:basedOn w:val="1"/>
    <w:link w:val="46"/>
    <w:autoRedefine/>
    <w:qFormat/>
    <w:uiPriority w:val="0"/>
    <w:pPr>
      <w:jc w:val="left"/>
    </w:pPr>
  </w:style>
  <w:style w:type="paragraph" w:styleId="8">
    <w:name w:val="Body Text"/>
    <w:basedOn w:val="1"/>
    <w:next w:val="1"/>
    <w:autoRedefine/>
    <w:qFormat/>
    <w:uiPriority w:val="99"/>
    <w:pPr>
      <w:spacing w:after="120"/>
    </w:pPr>
  </w:style>
  <w:style w:type="paragraph" w:styleId="9">
    <w:name w:val="Body Text Indent"/>
    <w:basedOn w:val="1"/>
    <w:autoRedefine/>
    <w:qFormat/>
    <w:uiPriority w:val="0"/>
    <w:pPr>
      <w:spacing w:after="120"/>
      <w:ind w:left="420" w:leftChars="200"/>
    </w:pPr>
  </w:style>
  <w:style w:type="paragraph" w:styleId="10">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styleId="11">
    <w:name w:val="Date"/>
    <w:next w:val="1"/>
    <w:autoRedefine/>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2">
    <w:name w:val="Balloon Text"/>
    <w:basedOn w:val="1"/>
    <w:link w:val="48"/>
    <w:autoRedefine/>
    <w:qFormat/>
    <w:uiPriority w:val="0"/>
    <w:pPr>
      <w:spacing w:line="240" w:lineRule="auto"/>
    </w:pPr>
    <w:rPr>
      <w:sz w:val="18"/>
      <w:szCs w:val="18"/>
    </w:rPr>
  </w:style>
  <w:style w:type="paragraph" w:styleId="13">
    <w:name w:val="footer"/>
    <w:basedOn w:val="1"/>
    <w:autoRedefine/>
    <w:qFormat/>
    <w:uiPriority w:val="99"/>
    <w:pPr>
      <w:widowControl w:val="0"/>
      <w:tabs>
        <w:tab w:val="center" w:pos="4153"/>
        <w:tab w:val="right" w:pos="8306"/>
      </w:tabs>
      <w:snapToGrid w:val="0"/>
      <w:spacing w:line="240" w:lineRule="auto"/>
      <w:jc w:val="left"/>
    </w:pPr>
    <w:rPr>
      <w:sz w:val="18"/>
    </w:rPr>
  </w:style>
  <w:style w:type="paragraph" w:styleId="14">
    <w:name w:val="header"/>
    <w:basedOn w:val="1"/>
    <w:autoRedefine/>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5">
    <w:name w:val="toc 1"/>
    <w:basedOn w:val="1"/>
    <w:next w:val="1"/>
    <w:autoRedefine/>
    <w:qFormat/>
    <w:uiPriority w:val="39"/>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99"/>
    <w:pPr>
      <w:spacing w:beforeAutospacing="1" w:afterAutospacing="1"/>
      <w:jc w:val="left"/>
    </w:pPr>
    <w:rPr>
      <w:rFonts w:cs="Times New Roman"/>
      <w:kern w:val="0"/>
      <w:sz w:val="24"/>
    </w:rPr>
  </w:style>
  <w:style w:type="paragraph" w:styleId="18">
    <w:name w:val="annotation subject"/>
    <w:basedOn w:val="7"/>
    <w:next w:val="7"/>
    <w:link w:val="47"/>
    <w:autoRedefine/>
    <w:qFormat/>
    <w:uiPriority w:val="0"/>
    <w:rPr>
      <w:b/>
      <w:bCs/>
    </w:rPr>
  </w:style>
  <w:style w:type="paragraph" w:styleId="19">
    <w:name w:val="Body Text First Indent"/>
    <w:basedOn w:val="8"/>
    <w:autoRedefine/>
    <w:unhideWhenUsed/>
    <w:qFormat/>
    <w:uiPriority w:val="0"/>
    <w:pPr>
      <w:spacing w:line="240" w:lineRule="auto"/>
      <w:ind w:firstLine="420" w:firstLineChars="100"/>
    </w:pPr>
    <w:rPr>
      <w:rFonts w:ascii="Times New Roman" w:hAnsi="Times New Roman"/>
      <w:sz w:val="18"/>
      <w:szCs w:val="18"/>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FollowedHyperlink"/>
    <w:basedOn w:val="22"/>
    <w:autoRedefine/>
    <w:semiHidden/>
    <w:unhideWhenUsed/>
    <w:qFormat/>
    <w:uiPriority w:val="0"/>
    <w:rPr>
      <w:color w:val="800080"/>
      <w:u w:val="none"/>
    </w:rPr>
  </w:style>
  <w:style w:type="character" w:styleId="25">
    <w:name w:val="Emphasis"/>
    <w:basedOn w:val="22"/>
    <w:autoRedefine/>
    <w:qFormat/>
    <w:uiPriority w:val="0"/>
    <w:rPr>
      <w:b/>
    </w:rPr>
  </w:style>
  <w:style w:type="character" w:styleId="26">
    <w:name w:val="HTML Definition"/>
    <w:basedOn w:val="22"/>
    <w:autoRedefine/>
    <w:semiHidden/>
    <w:unhideWhenUsed/>
    <w:qFormat/>
    <w:uiPriority w:val="0"/>
  </w:style>
  <w:style w:type="character" w:styleId="27">
    <w:name w:val="HTML Typewriter"/>
    <w:basedOn w:val="22"/>
    <w:autoRedefine/>
    <w:semiHidden/>
    <w:unhideWhenUsed/>
    <w:qFormat/>
    <w:uiPriority w:val="0"/>
    <w:rPr>
      <w:rFonts w:ascii="monospace" w:hAnsi="monospace" w:eastAsia="monospace" w:cs="monospace"/>
      <w:sz w:val="20"/>
    </w:rPr>
  </w:style>
  <w:style w:type="character" w:styleId="28">
    <w:name w:val="HTML Acronym"/>
    <w:basedOn w:val="22"/>
    <w:autoRedefine/>
    <w:semiHidden/>
    <w:unhideWhenUsed/>
    <w:qFormat/>
    <w:uiPriority w:val="0"/>
  </w:style>
  <w:style w:type="character" w:styleId="29">
    <w:name w:val="HTML Variable"/>
    <w:basedOn w:val="22"/>
    <w:autoRedefine/>
    <w:semiHidden/>
    <w:unhideWhenUsed/>
    <w:qFormat/>
    <w:uiPriority w:val="0"/>
  </w:style>
  <w:style w:type="character" w:styleId="30">
    <w:name w:val="Hyperlink"/>
    <w:autoRedefine/>
    <w:qFormat/>
    <w:uiPriority w:val="99"/>
    <w:rPr>
      <w:color w:val="000000"/>
      <w:sz w:val="18"/>
      <w:szCs w:val="18"/>
      <w:u w:val="none"/>
    </w:rPr>
  </w:style>
  <w:style w:type="character" w:styleId="31">
    <w:name w:val="HTML Code"/>
    <w:basedOn w:val="22"/>
    <w:autoRedefine/>
    <w:semiHidden/>
    <w:unhideWhenUsed/>
    <w:qFormat/>
    <w:uiPriority w:val="0"/>
    <w:rPr>
      <w:rFonts w:hint="default" w:ascii="monospace" w:hAnsi="monospace" w:eastAsia="monospace" w:cs="monospace"/>
      <w:sz w:val="20"/>
    </w:rPr>
  </w:style>
  <w:style w:type="character" w:styleId="32">
    <w:name w:val="annotation reference"/>
    <w:basedOn w:val="22"/>
    <w:autoRedefine/>
    <w:qFormat/>
    <w:uiPriority w:val="0"/>
    <w:rPr>
      <w:sz w:val="21"/>
      <w:szCs w:val="21"/>
    </w:rPr>
  </w:style>
  <w:style w:type="character" w:styleId="33">
    <w:name w:val="HTML Cite"/>
    <w:basedOn w:val="22"/>
    <w:autoRedefine/>
    <w:semiHidden/>
    <w:unhideWhenUsed/>
    <w:qFormat/>
    <w:uiPriority w:val="0"/>
  </w:style>
  <w:style w:type="character" w:styleId="34">
    <w:name w:val="HTML Keyboard"/>
    <w:basedOn w:val="22"/>
    <w:autoRedefine/>
    <w:semiHidden/>
    <w:unhideWhenUsed/>
    <w:qFormat/>
    <w:uiPriority w:val="0"/>
    <w:rPr>
      <w:rFonts w:hint="default" w:ascii="monospace" w:hAnsi="monospace" w:eastAsia="monospace" w:cs="monospace"/>
      <w:sz w:val="18"/>
      <w:szCs w:val="18"/>
      <w:bdr w:val="single" w:color="D2D2D2" w:sz="2" w:space="0"/>
    </w:rPr>
  </w:style>
  <w:style w:type="character" w:styleId="35">
    <w:name w:val="HTML Sample"/>
    <w:basedOn w:val="22"/>
    <w:autoRedefine/>
    <w:semiHidden/>
    <w:unhideWhenUsed/>
    <w:qFormat/>
    <w:uiPriority w:val="0"/>
    <w:rPr>
      <w:rFonts w:hint="default" w:ascii="monospace" w:hAnsi="monospace" w:eastAsia="monospace" w:cs="monospace"/>
    </w:rPr>
  </w:style>
  <w:style w:type="paragraph" w:customStyle="1" w:styleId="36">
    <w:name w:val="正文缩进1"/>
    <w:basedOn w:val="1"/>
    <w:autoRedefine/>
    <w:qFormat/>
    <w:uiPriority w:val="0"/>
    <w:pPr>
      <w:ind w:firstLine="420" w:firstLineChars="200"/>
    </w:pPr>
  </w:style>
  <w:style w:type="paragraph" w:customStyle="1" w:styleId="37">
    <w:name w:val="正文（缩进 2 字符）"/>
    <w:basedOn w:val="1"/>
    <w:autoRedefine/>
    <w:qFormat/>
    <w:uiPriority w:val="0"/>
    <w:pPr>
      <w:ind w:firstLine="200" w:firstLineChars="200"/>
    </w:pPr>
  </w:style>
  <w:style w:type="paragraph" w:customStyle="1" w:styleId="38">
    <w:name w:val="正文（缩进 4 字符）"/>
    <w:basedOn w:val="1"/>
    <w:autoRedefine/>
    <w:qFormat/>
    <w:uiPriority w:val="0"/>
    <w:pPr>
      <w:ind w:firstLine="1134" w:firstLineChars="400"/>
    </w:pPr>
  </w:style>
  <w:style w:type="paragraph" w:customStyle="1" w:styleId="39">
    <w:name w:val="列出段落1"/>
    <w:basedOn w:val="1"/>
    <w:autoRedefine/>
    <w:qFormat/>
    <w:uiPriority w:val="99"/>
    <w:pPr>
      <w:ind w:firstLine="420" w:firstLineChars="200"/>
    </w:pPr>
  </w:style>
  <w:style w:type="paragraph" w:customStyle="1" w:styleId="4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1">
    <w:name w:val="标题 2（投标文件）"/>
    <w:basedOn w:val="3"/>
    <w:autoRedefine/>
    <w:qFormat/>
    <w:uiPriority w:val="0"/>
    <w:pPr>
      <w:jc w:val="center"/>
    </w:pPr>
  </w:style>
  <w:style w:type="character" w:customStyle="1" w:styleId="42">
    <w:name w:val="标题 1 字符"/>
    <w:link w:val="2"/>
    <w:autoRedefine/>
    <w:qFormat/>
    <w:uiPriority w:val="9"/>
    <w:rPr>
      <w:rFonts w:eastAsia="仿宋"/>
      <w:b/>
      <w:color w:val="000000"/>
      <w:kern w:val="44"/>
      <w:sz w:val="36"/>
      <w:szCs w:val="44"/>
    </w:rPr>
  </w:style>
  <w:style w:type="paragraph" w:customStyle="1" w:styleId="43">
    <w:name w:val="标题 3（投标文件）"/>
    <w:basedOn w:val="4"/>
    <w:autoRedefine/>
    <w:qFormat/>
    <w:uiPriority w:val="0"/>
    <w:pPr>
      <w:jc w:val="left"/>
    </w:pPr>
    <w:rPr>
      <w:u w:val="none"/>
    </w:rPr>
  </w:style>
  <w:style w:type="character" w:customStyle="1" w:styleId="44">
    <w:name w:val="font21"/>
    <w:basedOn w:val="22"/>
    <w:autoRedefine/>
    <w:qFormat/>
    <w:uiPriority w:val="0"/>
    <w:rPr>
      <w:rFonts w:hint="default" w:ascii="Tahoma" w:hAnsi="Tahoma" w:eastAsia="Tahoma" w:cs="Tahoma"/>
      <w:color w:val="000000"/>
      <w:sz w:val="22"/>
      <w:szCs w:val="22"/>
      <w:u w:val="none"/>
    </w:rPr>
  </w:style>
  <w:style w:type="character" w:customStyle="1" w:styleId="45">
    <w:name w:val="font01"/>
    <w:basedOn w:val="22"/>
    <w:autoRedefine/>
    <w:qFormat/>
    <w:uiPriority w:val="0"/>
    <w:rPr>
      <w:rFonts w:hint="eastAsia" w:ascii="宋体" w:hAnsi="宋体" w:eastAsia="宋体" w:cs="宋体"/>
      <w:color w:val="000000"/>
      <w:sz w:val="22"/>
      <w:szCs w:val="22"/>
      <w:u w:val="none"/>
    </w:rPr>
  </w:style>
  <w:style w:type="character" w:customStyle="1" w:styleId="46">
    <w:name w:val="批注文字 字符"/>
    <w:basedOn w:val="22"/>
    <w:link w:val="7"/>
    <w:autoRedefine/>
    <w:qFormat/>
    <w:uiPriority w:val="0"/>
    <w:rPr>
      <w:rFonts w:ascii="Calibri Light" w:hAnsi="Calibri Light" w:eastAsia="华文仿宋" w:cs="Calibri Light"/>
      <w:kern w:val="2"/>
      <w:sz w:val="28"/>
      <w:szCs w:val="28"/>
    </w:rPr>
  </w:style>
  <w:style w:type="character" w:customStyle="1" w:styleId="47">
    <w:name w:val="批注主题 字符"/>
    <w:basedOn w:val="46"/>
    <w:link w:val="18"/>
    <w:autoRedefine/>
    <w:qFormat/>
    <w:uiPriority w:val="0"/>
    <w:rPr>
      <w:rFonts w:ascii="Calibri Light" w:hAnsi="Calibri Light" w:eastAsia="华文仿宋" w:cs="Calibri Light"/>
      <w:b/>
      <w:bCs/>
      <w:kern w:val="2"/>
      <w:sz w:val="28"/>
      <w:szCs w:val="28"/>
    </w:rPr>
  </w:style>
  <w:style w:type="character" w:customStyle="1" w:styleId="48">
    <w:name w:val="批注框文本 字符"/>
    <w:basedOn w:val="22"/>
    <w:link w:val="12"/>
    <w:autoRedefine/>
    <w:qFormat/>
    <w:uiPriority w:val="0"/>
    <w:rPr>
      <w:rFonts w:ascii="Calibri Light" w:hAnsi="Calibri Light" w:eastAsia="华文仿宋" w:cs="Calibri Light"/>
      <w:kern w:val="2"/>
      <w:sz w:val="18"/>
      <w:szCs w:val="18"/>
    </w:rPr>
  </w:style>
  <w:style w:type="paragraph" w:styleId="49">
    <w:name w:val="List Paragraph"/>
    <w:basedOn w:val="1"/>
    <w:autoRedefine/>
    <w:qFormat/>
    <w:uiPriority w:val="34"/>
    <w:pPr>
      <w:ind w:firstLine="420" w:firstLineChars="200"/>
    </w:pPr>
  </w:style>
  <w:style w:type="paragraph" w:customStyle="1" w:styleId="50">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23360</Words>
  <Characters>24369</Characters>
  <Lines>245</Lines>
  <Paragraphs>68</Paragraphs>
  <TotalTime>32</TotalTime>
  <ScaleCrop>false</ScaleCrop>
  <LinksUpToDate>false</LinksUpToDate>
  <CharactersWithSpaces>24952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王月</cp:lastModifiedBy>
  <cp:lastPrinted>2024-01-08T07:09:00Z</cp:lastPrinted>
  <dcterms:modified xsi:type="dcterms:W3CDTF">2025-01-21T02:54:22Z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C1863EAD3B154342B8010F7CF7AB9BA7</vt:lpwstr>
  </property>
</Properties>
</file>