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95"/>
        <w:gridCol w:w="395"/>
        <w:gridCol w:w="7732"/>
      </w:tblGrid>
      <w:tr w14:paraId="133C1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5" w:type="dxa"/>
          </w:tcPr>
          <w:p w14:paraId="3B841B3D">
            <w:pPr>
              <w:pStyle w:val="5"/>
            </w:pPr>
            <w:r>
              <w:t xml:space="preserve"> 参数性质</w:t>
            </w:r>
          </w:p>
        </w:tc>
        <w:tc>
          <w:tcPr>
            <w:tcW w:w="395" w:type="dxa"/>
          </w:tcPr>
          <w:p w14:paraId="42DCC948">
            <w:pPr>
              <w:pStyle w:val="5"/>
            </w:pPr>
            <w:r>
              <w:t xml:space="preserve"> 序号</w:t>
            </w:r>
          </w:p>
        </w:tc>
        <w:tc>
          <w:tcPr>
            <w:tcW w:w="7478" w:type="dxa"/>
          </w:tcPr>
          <w:p w14:paraId="00ED162A">
            <w:pPr>
              <w:pStyle w:val="5"/>
              <w:rPr>
                <w:rFonts w:hint="eastAsia" w:ascii="宋体" w:hAnsi="宋体" w:eastAsia="宋体" w:cs="宋体"/>
                <w:b w:val="0"/>
                <w:bCs w:val="0"/>
                <w:sz w:val="18"/>
                <w:szCs w:val="18"/>
              </w:rPr>
            </w:pPr>
            <w:r>
              <w:rPr>
                <w:rFonts w:hint="eastAsia" w:ascii="宋体" w:hAnsi="宋体" w:eastAsia="宋体" w:cs="宋体"/>
                <w:b w:val="0"/>
                <w:bCs w:val="0"/>
                <w:sz w:val="18"/>
                <w:szCs w:val="18"/>
              </w:rPr>
              <w:t xml:space="preserve"> 技术参数与性能指标</w:t>
            </w:r>
          </w:p>
        </w:tc>
      </w:tr>
      <w:tr w14:paraId="760BB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5" w:type="dxa"/>
          </w:tcPr>
          <w:p w14:paraId="72108B2D"/>
        </w:tc>
        <w:tc>
          <w:tcPr>
            <w:tcW w:w="395" w:type="dxa"/>
          </w:tcPr>
          <w:p w14:paraId="5A92B9D2">
            <w:pPr>
              <w:pStyle w:val="5"/>
            </w:pPr>
            <w:r>
              <w:t>1</w:t>
            </w:r>
          </w:p>
        </w:tc>
        <w:tc>
          <w:tcPr>
            <w:tcW w:w="7478" w:type="dxa"/>
          </w:tcPr>
          <w:p w14:paraId="03C4AE59">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服务范围</w:t>
            </w:r>
          </w:p>
          <w:p w14:paraId="3DD0F0EB">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本次运维服务范围包括传输系统、网管系统、程控交换系统、ODF光纤配线架、传输系统配套备用供电系统（通信电源、配电柜、UPS及电池）、通信设备环境等。</w:t>
            </w:r>
          </w:p>
          <w:p w14:paraId="171BB2DF">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通信系统维护清单</w:t>
            </w:r>
          </w:p>
          <w:tbl>
            <w:tblPr>
              <w:tblStyle w:val="3"/>
              <w:tblW w:w="83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78"/>
              <w:gridCol w:w="1583"/>
              <w:gridCol w:w="4129"/>
              <w:gridCol w:w="1779"/>
            </w:tblGrid>
            <w:tr w14:paraId="08F5D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blHeader/>
              </w:trPr>
              <w:tc>
                <w:tcPr>
                  <w:tcW w:w="878" w:type="dxa"/>
                  <w:vAlign w:val="center"/>
                </w:tcPr>
                <w:p w14:paraId="1C9759E7">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序号</w:t>
                  </w:r>
                </w:p>
              </w:tc>
              <w:tc>
                <w:tcPr>
                  <w:tcW w:w="1583" w:type="dxa"/>
                  <w:vAlign w:val="center"/>
                </w:tcPr>
                <w:p w14:paraId="11FD404B">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类型</w:t>
                  </w:r>
                </w:p>
              </w:tc>
              <w:tc>
                <w:tcPr>
                  <w:tcW w:w="4129" w:type="dxa"/>
                  <w:vAlign w:val="center"/>
                </w:tcPr>
                <w:p w14:paraId="5688B0DA">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设备品牌型号</w:t>
                  </w:r>
                </w:p>
              </w:tc>
              <w:tc>
                <w:tcPr>
                  <w:tcW w:w="1779" w:type="dxa"/>
                  <w:vAlign w:val="center"/>
                </w:tcPr>
                <w:p w14:paraId="22C0CACA">
                  <w:pPr>
                    <w:pStyle w:val="5"/>
                    <w:ind w:firstLine="0"/>
                    <w:jc w:val="left"/>
                    <w:rPr>
                      <w:rFonts w:hint="eastAsia" w:ascii="宋体" w:hAnsi="宋体" w:eastAsia="宋体" w:cs="宋体"/>
                      <w:b w:val="0"/>
                      <w:bCs w:val="0"/>
                      <w:sz w:val="18"/>
                      <w:szCs w:val="18"/>
                    </w:rPr>
                  </w:pPr>
                  <w:r>
                    <w:rPr>
                      <w:rFonts w:hint="eastAsia" w:asciiTheme="minorHAnsi" w:hAnsiTheme="minorHAnsi" w:eastAsiaTheme="minorEastAsia" w:cstheme="minorBidi"/>
                      <w:b w:val="0"/>
                      <w:bCs w:val="0"/>
                      <w:sz w:val="20"/>
                      <w:szCs w:val="20"/>
                    </w:rPr>
                    <w:t>数量（套）</w:t>
                  </w:r>
                </w:p>
              </w:tc>
            </w:tr>
            <w:tr w14:paraId="3E8C9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8" w:type="dxa"/>
                  <w:vAlign w:val="center"/>
                </w:tcPr>
                <w:p w14:paraId="29267A5C">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c>
                <w:tcPr>
                  <w:tcW w:w="1583" w:type="dxa"/>
                  <w:vMerge w:val="restart"/>
                  <w:vAlign w:val="center"/>
                </w:tcPr>
                <w:p w14:paraId="39D45EF5">
                  <w:pPr>
                    <w:pStyle w:val="5"/>
                    <w:ind w:firstLine="400"/>
                    <w:jc w:val="both"/>
                    <w:rPr>
                      <w:rFonts w:hint="eastAsia" w:ascii="宋体" w:hAnsi="宋体" w:eastAsia="宋体" w:cs="宋体"/>
                      <w:b w:val="0"/>
                      <w:bCs w:val="0"/>
                      <w:sz w:val="18"/>
                      <w:szCs w:val="18"/>
                    </w:rPr>
                  </w:pPr>
                </w:p>
                <w:p w14:paraId="183D9CEB">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SDH</w:t>
                  </w:r>
                </w:p>
                <w:p w14:paraId="55CB21F6">
                  <w:pPr>
                    <w:pStyle w:val="5"/>
                    <w:ind w:firstLine="400"/>
                    <w:jc w:val="both"/>
                    <w:rPr>
                      <w:rFonts w:hint="eastAsia" w:ascii="宋体" w:hAnsi="宋体" w:eastAsia="宋体" w:cs="宋体"/>
                      <w:b w:val="0"/>
                      <w:bCs w:val="0"/>
                      <w:sz w:val="18"/>
                      <w:szCs w:val="18"/>
                    </w:rPr>
                  </w:pPr>
                </w:p>
              </w:tc>
              <w:tc>
                <w:tcPr>
                  <w:tcW w:w="4129" w:type="dxa"/>
                  <w:vAlign w:val="center"/>
                </w:tcPr>
                <w:p w14:paraId="50B7F92D">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华为Metro3000（Optix 2500+</w:t>
                  </w:r>
                </w:p>
              </w:tc>
              <w:tc>
                <w:tcPr>
                  <w:tcW w:w="1779" w:type="dxa"/>
                  <w:vAlign w:val="center"/>
                </w:tcPr>
                <w:p w14:paraId="78DFE7BF">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w:t>
                  </w:r>
                </w:p>
              </w:tc>
            </w:tr>
            <w:tr w14:paraId="26D6A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8" w:type="dxa"/>
                  <w:vAlign w:val="center"/>
                </w:tcPr>
                <w:p w14:paraId="56868222">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w:t>
                  </w:r>
                </w:p>
              </w:tc>
              <w:tc>
                <w:tcPr>
                  <w:tcW w:w="1583" w:type="dxa"/>
                  <w:vMerge w:val="continue"/>
                  <w:tcBorders>
                    <w:top w:val="nil"/>
                  </w:tcBorders>
                  <w:vAlign w:val="center"/>
                </w:tcPr>
                <w:p w14:paraId="522F65AE">
                  <w:pPr>
                    <w:pStyle w:val="5"/>
                    <w:ind w:firstLine="400"/>
                    <w:jc w:val="both"/>
                    <w:rPr>
                      <w:rFonts w:hint="eastAsia" w:ascii="宋体" w:hAnsi="宋体" w:eastAsia="宋体" w:cs="宋体"/>
                      <w:b w:val="0"/>
                      <w:bCs w:val="0"/>
                      <w:sz w:val="18"/>
                      <w:szCs w:val="18"/>
                    </w:rPr>
                  </w:pPr>
                </w:p>
              </w:tc>
              <w:tc>
                <w:tcPr>
                  <w:tcW w:w="4129" w:type="dxa"/>
                  <w:vAlign w:val="center"/>
                </w:tcPr>
                <w:p w14:paraId="6D7987BC">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华为 OSN 7500</w:t>
                  </w:r>
                </w:p>
              </w:tc>
              <w:tc>
                <w:tcPr>
                  <w:tcW w:w="1779" w:type="dxa"/>
                  <w:vAlign w:val="center"/>
                </w:tcPr>
                <w:p w14:paraId="0C6ED10C">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6EE04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8" w:type="dxa"/>
                  <w:tcBorders>
                    <w:bottom w:val="single" w:color="auto" w:sz="4" w:space="0"/>
                  </w:tcBorders>
                  <w:vAlign w:val="center"/>
                </w:tcPr>
                <w:p w14:paraId="2D77ACD7">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3</w:t>
                  </w:r>
                </w:p>
              </w:tc>
              <w:tc>
                <w:tcPr>
                  <w:tcW w:w="1583" w:type="dxa"/>
                  <w:vMerge w:val="continue"/>
                  <w:tcBorders>
                    <w:top w:val="nil"/>
                    <w:bottom w:val="single" w:color="auto" w:sz="4" w:space="0"/>
                  </w:tcBorders>
                  <w:vAlign w:val="center"/>
                </w:tcPr>
                <w:p w14:paraId="0EDB02FA">
                  <w:pPr>
                    <w:pStyle w:val="5"/>
                    <w:ind w:firstLine="400"/>
                    <w:jc w:val="both"/>
                    <w:rPr>
                      <w:rFonts w:hint="eastAsia" w:ascii="宋体" w:hAnsi="宋体" w:eastAsia="宋体" w:cs="宋体"/>
                      <w:b w:val="0"/>
                      <w:bCs w:val="0"/>
                      <w:sz w:val="18"/>
                      <w:szCs w:val="18"/>
                    </w:rPr>
                  </w:pPr>
                </w:p>
              </w:tc>
              <w:tc>
                <w:tcPr>
                  <w:tcW w:w="4129" w:type="dxa"/>
                  <w:tcBorders>
                    <w:bottom w:val="single" w:color="auto" w:sz="4" w:space="0"/>
                  </w:tcBorders>
                  <w:vAlign w:val="center"/>
                </w:tcPr>
                <w:p w14:paraId="092A887D">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华为 OSN 3500</w:t>
                  </w:r>
                </w:p>
              </w:tc>
              <w:tc>
                <w:tcPr>
                  <w:tcW w:w="1779" w:type="dxa"/>
                  <w:vAlign w:val="center"/>
                </w:tcPr>
                <w:p w14:paraId="278E2A3B">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136E0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8" w:type="dxa"/>
                  <w:tcBorders>
                    <w:top w:val="single" w:color="auto" w:sz="4" w:space="0"/>
                    <w:left w:val="single" w:color="auto" w:sz="4" w:space="0"/>
                    <w:bottom w:val="single" w:color="auto" w:sz="4" w:space="0"/>
                  </w:tcBorders>
                  <w:vAlign w:val="center"/>
                </w:tcPr>
                <w:p w14:paraId="78335A29">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4</w:t>
                  </w:r>
                </w:p>
              </w:tc>
              <w:tc>
                <w:tcPr>
                  <w:tcW w:w="1583" w:type="dxa"/>
                  <w:vMerge w:val="continue"/>
                  <w:tcBorders>
                    <w:top w:val="single" w:color="auto" w:sz="4" w:space="0"/>
                    <w:bottom w:val="single" w:color="auto" w:sz="4" w:space="0"/>
                  </w:tcBorders>
                  <w:vAlign w:val="center"/>
                </w:tcPr>
                <w:p w14:paraId="072C7471">
                  <w:pPr>
                    <w:pStyle w:val="5"/>
                    <w:ind w:firstLine="400"/>
                    <w:jc w:val="both"/>
                    <w:rPr>
                      <w:rFonts w:hint="eastAsia" w:ascii="宋体" w:hAnsi="宋体" w:eastAsia="宋体" w:cs="宋体"/>
                      <w:b w:val="0"/>
                      <w:bCs w:val="0"/>
                      <w:sz w:val="18"/>
                      <w:szCs w:val="18"/>
                    </w:rPr>
                  </w:pPr>
                </w:p>
              </w:tc>
              <w:tc>
                <w:tcPr>
                  <w:tcW w:w="4129" w:type="dxa"/>
                  <w:tcBorders>
                    <w:top w:val="single" w:color="auto" w:sz="4" w:space="0"/>
                    <w:bottom w:val="single" w:color="auto" w:sz="4" w:space="0"/>
                    <w:right w:val="single" w:color="auto" w:sz="4" w:space="0"/>
                  </w:tcBorders>
                  <w:vAlign w:val="center"/>
                </w:tcPr>
                <w:p w14:paraId="75A6AC99">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中兴 ZMP S385</w:t>
                  </w:r>
                </w:p>
              </w:tc>
              <w:tc>
                <w:tcPr>
                  <w:tcW w:w="1779" w:type="dxa"/>
                  <w:tcBorders>
                    <w:left w:val="single" w:color="auto" w:sz="4" w:space="0"/>
                  </w:tcBorders>
                  <w:vAlign w:val="center"/>
                </w:tcPr>
                <w:p w14:paraId="293304D2">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w:t>
                  </w:r>
                </w:p>
              </w:tc>
            </w:tr>
            <w:tr w14:paraId="12D14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8" w:type="dxa"/>
                  <w:tcBorders>
                    <w:top w:val="single" w:color="auto" w:sz="4" w:space="0"/>
                  </w:tcBorders>
                  <w:vAlign w:val="center"/>
                </w:tcPr>
                <w:p w14:paraId="5D5CD972">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5</w:t>
                  </w:r>
                </w:p>
              </w:tc>
              <w:tc>
                <w:tcPr>
                  <w:tcW w:w="1583" w:type="dxa"/>
                  <w:vMerge w:val="restart"/>
                  <w:tcBorders>
                    <w:top w:val="single" w:color="auto" w:sz="4" w:space="0"/>
                  </w:tcBorders>
                  <w:vAlign w:val="center"/>
                </w:tcPr>
                <w:p w14:paraId="43B09FF9">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OTN</w:t>
                  </w:r>
                </w:p>
              </w:tc>
              <w:tc>
                <w:tcPr>
                  <w:tcW w:w="4129" w:type="dxa"/>
                  <w:tcBorders>
                    <w:top w:val="single" w:color="auto" w:sz="4" w:space="0"/>
                  </w:tcBorders>
                  <w:vAlign w:val="center"/>
                </w:tcPr>
                <w:p w14:paraId="35F1DBAE">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华为 OSN 9800</w:t>
                  </w:r>
                </w:p>
              </w:tc>
              <w:tc>
                <w:tcPr>
                  <w:tcW w:w="1779" w:type="dxa"/>
                  <w:vAlign w:val="center"/>
                </w:tcPr>
                <w:p w14:paraId="4847D47F">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51ED9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8" w:type="dxa"/>
                  <w:vAlign w:val="center"/>
                </w:tcPr>
                <w:p w14:paraId="79F3ADFE">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6</w:t>
                  </w:r>
                </w:p>
              </w:tc>
              <w:tc>
                <w:tcPr>
                  <w:tcW w:w="1583" w:type="dxa"/>
                  <w:vMerge w:val="continue"/>
                  <w:tcBorders>
                    <w:top w:val="nil"/>
                  </w:tcBorders>
                  <w:vAlign w:val="center"/>
                </w:tcPr>
                <w:p w14:paraId="3EED74F6">
                  <w:pPr>
                    <w:pStyle w:val="5"/>
                    <w:ind w:firstLine="400"/>
                    <w:jc w:val="both"/>
                    <w:rPr>
                      <w:rFonts w:hint="eastAsia" w:ascii="宋体" w:hAnsi="宋体" w:eastAsia="宋体" w:cs="宋体"/>
                      <w:b w:val="0"/>
                      <w:bCs w:val="0"/>
                      <w:sz w:val="18"/>
                      <w:szCs w:val="18"/>
                    </w:rPr>
                  </w:pPr>
                </w:p>
              </w:tc>
              <w:tc>
                <w:tcPr>
                  <w:tcW w:w="4129" w:type="dxa"/>
                  <w:vAlign w:val="center"/>
                </w:tcPr>
                <w:p w14:paraId="13867F17">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中兴 ZXONE8700</w:t>
                  </w:r>
                </w:p>
              </w:tc>
              <w:tc>
                <w:tcPr>
                  <w:tcW w:w="1779" w:type="dxa"/>
                  <w:vAlign w:val="center"/>
                </w:tcPr>
                <w:p w14:paraId="4B54308A">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2277D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8" w:type="dxa"/>
                  <w:vAlign w:val="center"/>
                </w:tcPr>
                <w:p w14:paraId="31CF7F18">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7</w:t>
                  </w:r>
                </w:p>
              </w:tc>
              <w:tc>
                <w:tcPr>
                  <w:tcW w:w="1583" w:type="dxa"/>
                  <w:vAlign w:val="center"/>
                </w:tcPr>
                <w:p w14:paraId="38F10780">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程控交换机</w:t>
                  </w:r>
                </w:p>
              </w:tc>
              <w:tc>
                <w:tcPr>
                  <w:tcW w:w="4129" w:type="dxa"/>
                  <w:vAlign w:val="center"/>
                </w:tcPr>
                <w:p w14:paraId="58B631CE">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华为 CC8808</w:t>
                  </w:r>
                </w:p>
              </w:tc>
              <w:tc>
                <w:tcPr>
                  <w:tcW w:w="1779" w:type="dxa"/>
                  <w:vAlign w:val="center"/>
                </w:tcPr>
                <w:p w14:paraId="6E56E936">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w:t>
                  </w:r>
                </w:p>
              </w:tc>
            </w:tr>
            <w:tr w14:paraId="0D05F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8" w:type="dxa"/>
                  <w:vAlign w:val="center"/>
                </w:tcPr>
                <w:p w14:paraId="6BB89C97">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8</w:t>
                  </w:r>
                </w:p>
              </w:tc>
              <w:tc>
                <w:tcPr>
                  <w:tcW w:w="1583" w:type="dxa"/>
                  <w:tcBorders>
                    <w:bottom w:val="single" w:color="auto" w:sz="4" w:space="0"/>
                  </w:tcBorders>
                  <w:vAlign w:val="center"/>
                </w:tcPr>
                <w:p w14:paraId="4649D18E">
                  <w:pPr>
                    <w:pStyle w:val="5"/>
                    <w:ind w:firstLine="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ODF光纤配线架</w:t>
                  </w:r>
                </w:p>
              </w:tc>
              <w:tc>
                <w:tcPr>
                  <w:tcW w:w="4129" w:type="dxa"/>
                  <w:vAlign w:val="center"/>
                </w:tcPr>
                <w:p w14:paraId="765BC2AB">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w:t>
                  </w:r>
                </w:p>
              </w:tc>
              <w:tc>
                <w:tcPr>
                  <w:tcW w:w="1779" w:type="dxa"/>
                  <w:vAlign w:val="center"/>
                </w:tcPr>
                <w:p w14:paraId="118CC1EF">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33F60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8" w:type="dxa"/>
                  <w:tcBorders>
                    <w:right w:val="single" w:color="auto" w:sz="4" w:space="0"/>
                  </w:tcBorders>
                  <w:vAlign w:val="center"/>
                </w:tcPr>
                <w:p w14:paraId="45BDDC08">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9</w:t>
                  </w:r>
                </w:p>
              </w:tc>
              <w:tc>
                <w:tcPr>
                  <w:tcW w:w="1583" w:type="dxa"/>
                  <w:vMerge w:val="restart"/>
                  <w:tcBorders>
                    <w:top w:val="single" w:color="auto" w:sz="4" w:space="0"/>
                    <w:left w:val="single" w:color="auto" w:sz="4" w:space="0"/>
                    <w:bottom w:val="single" w:color="auto" w:sz="4" w:space="0"/>
                    <w:right w:val="single" w:color="auto" w:sz="4" w:space="0"/>
                  </w:tcBorders>
                  <w:vAlign w:val="center"/>
                </w:tcPr>
                <w:p w14:paraId="7325EE53">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电源</w:t>
                  </w:r>
                </w:p>
                <w:p w14:paraId="0194F140">
                  <w:pPr>
                    <w:pStyle w:val="5"/>
                    <w:ind w:firstLine="400"/>
                    <w:jc w:val="both"/>
                    <w:rPr>
                      <w:rFonts w:hint="eastAsia" w:ascii="宋体" w:hAnsi="宋体" w:eastAsia="宋体" w:cs="宋体"/>
                      <w:b w:val="0"/>
                      <w:bCs w:val="0"/>
                      <w:sz w:val="18"/>
                      <w:szCs w:val="18"/>
                    </w:rPr>
                  </w:pPr>
                </w:p>
                <w:p w14:paraId="235947B7">
                  <w:pPr>
                    <w:pStyle w:val="5"/>
                    <w:ind w:firstLine="400"/>
                    <w:jc w:val="both"/>
                    <w:rPr>
                      <w:rFonts w:hint="eastAsia" w:ascii="宋体" w:hAnsi="宋体" w:eastAsia="宋体" w:cs="宋体"/>
                      <w:b w:val="0"/>
                      <w:bCs w:val="0"/>
                      <w:sz w:val="18"/>
                      <w:szCs w:val="18"/>
                    </w:rPr>
                  </w:pPr>
                </w:p>
                <w:p w14:paraId="70D62FEA">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电源</w:t>
                  </w:r>
                </w:p>
              </w:tc>
              <w:tc>
                <w:tcPr>
                  <w:tcW w:w="4129" w:type="dxa"/>
                  <w:tcBorders>
                    <w:left w:val="single" w:color="auto" w:sz="4" w:space="0"/>
                  </w:tcBorders>
                  <w:vAlign w:val="center"/>
                </w:tcPr>
                <w:p w14:paraId="393E0E00">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艾默生PS48300 电源柜</w:t>
                  </w:r>
                </w:p>
              </w:tc>
              <w:tc>
                <w:tcPr>
                  <w:tcW w:w="1779" w:type="dxa"/>
                  <w:vAlign w:val="center"/>
                </w:tcPr>
                <w:p w14:paraId="3E63A7CD">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739F0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8" w:type="dxa"/>
                  <w:tcBorders>
                    <w:right w:val="single" w:color="auto" w:sz="4" w:space="0"/>
                  </w:tcBorders>
                  <w:vAlign w:val="center"/>
                </w:tcPr>
                <w:p w14:paraId="6E2CD3EB">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10</w:t>
                  </w:r>
                </w:p>
              </w:tc>
              <w:tc>
                <w:tcPr>
                  <w:tcW w:w="1583" w:type="dxa"/>
                  <w:vMerge w:val="continue"/>
                  <w:tcBorders>
                    <w:top w:val="single" w:color="auto" w:sz="4" w:space="0"/>
                    <w:left w:val="single" w:color="auto" w:sz="4" w:space="0"/>
                    <w:bottom w:val="single" w:color="auto" w:sz="4" w:space="0"/>
                    <w:right w:val="single" w:color="auto" w:sz="4" w:space="0"/>
                  </w:tcBorders>
                  <w:vAlign w:val="center"/>
                </w:tcPr>
                <w:p w14:paraId="108238EE">
                  <w:pPr>
                    <w:pStyle w:val="5"/>
                    <w:ind w:firstLine="400"/>
                    <w:jc w:val="both"/>
                    <w:rPr>
                      <w:rFonts w:hint="eastAsia" w:ascii="宋体" w:hAnsi="宋体" w:eastAsia="宋体" w:cs="宋体"/>
                      <w:b w:val="0"/>
                      <w:bCs w:val="0"/>
                      <w:sz w:val="18"/>
                      <w:szCs w:val="18"/>
                    </w:rPr>
                  </w:pPr>
                </w:p>
              </w:tc>
              <w:tc>
                <w:tcPr>
                  <w:tcW w:w="4129" w:type="dxa"/>
                  <w:tcBorders>
                    <w:left w:val="single" w:color="auto" w:sz="4" w:space="0"/>
                  </w:tcBorders>
                  <w:vAlign w:val="center"/>
                </w:tcPr>
                <w:p w14:paraId="4A6D09CE">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中兴 新S385 ZXDU48 电源柜</w:t>
                  </w:r>
                </w:p>
              </w:tc>
              <w:tc>
                <w:tcPr>
                  <w:tcW w:w="1779" w:type="dxa"/>
                  <w:vAlign w:val="center"/>
                </w:tcPr>
                <w:p w14:paraId="2E42DCD0">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1AE56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8" w:type="dxa"/>
                  <w:tcBorders>
                    <w:right w:val="single" w:color="auto" w:sz="4" w:space="0"/>
                  </w:tcBorders>
                  <w:vAlign w:val="center"/>
                </w:tcPr>
                <w:p w14:paraId="601CF3CB">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11</w:t>
                  </w:r>
                </w:p>
              </w:tc>
              <w:tc>
                <w:tcPr>
                  <w:tcW w:w="1583" w:type="dxa"/>
                  <w:vMerge w:val="continue"/>
                  <w:tcBorders>
                    <w:top w:val="single" w:color="auto" w:sz="4" w:space="0"/>
                    <w:left w:val="single" w:color="auto" w:sz="4" w:space="0"/>
                    <w:bottom w:val="single" w:color="auto" w:sz="4" w:space="0"/>
                    <w:right w:val="single" w:color="auto" w:sz="4" w:space="0"/>
                  </w:tcBorders>
                  <w:vAlign w:val="center"/>
                </w:tcPr>
                <w:p w14:paraId="4382139F">
                  <w:pPr>
                    <w:pStyle w:val="5"/>
                    <w:ind w:firstLine="400"/>
                    <w:jc w:val="both"/>
                    <w:rPr>
                      <w:rFonts w:hint="eastAsia" w:ascii="宋体" w:hAnsi="宋体" w:eastAsia="宋体" w:cs="宋体"/>
                      <w:b w:val="0"/>
                      <w:bCs w:val="0"/>
                      <w:sz w:val="18"/>
                      <w:szCs w:val="18"/>
                    </w:rPr>
                  </w:pPr>
                </w:p>
              </w:tc>
              <w:tc>
                <w:tcPr>
                  <w:tcW w:w="4129" w:type="dxa"/>
                  <w:tcBorders>
                    <w:left w:val="single" w:color="auto" w:sz="4" w:space="0"/>
                  </w:tcBorders>
                  <w:vAlign w:val="center"/>
                </w:tcPr>
                <w:p w14:paraId="253C3D7C">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华为新 7500 3500 ETP4890 电源柜</w:t>
                  </w:r>
                </w:p>
              </w:tc>
              <w:tc>
                <w:tcPr>
                  <w:tcW w:w="1779" w:type="dxa"/>
                  <w:vAlign w:val="center"/>
                </w:tcPr>
                <w:p w14:paraId="0D55B177">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10F3C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8" w:type="dxa"/>
                  <w:tcBorders>
                    <w:right w:val="single" w:color="auto" w:sz="4" w:space="0"/>
                  </w:tcBorders>
                  <w:vAlign w:val="center"/>
                </w:tcPr>
                <w:p w14:paraId="3947BCCB">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12</w:t>
                  </w:r>
                </w:p>
              </w:tc>
              <w:tc>
                <w:tcPr>
                  <w:tcW w:w="1583" w:type="dxa"/>
                  <w:vMerge w:val="continue"/>
                  <w:tcBorders>
                    <w:top w:val="single" w:color="auto" w:sz="4" w:space="0"/>
                    <w:left w:val="single" w:color="auto" w:sz="4" w:space="0"/>
                    <w:bottom w:val="single" w:color="auto" w:sz="4" w:space="0"/>
                    <w:right w:val="single" w:color="auto" w:sz="4" w:space="0"/>
                  </w:tcBorders>
                  <w:vAlign w:val="center"/>
                </w:tcPr>
                <w:p w14:paraId="51904354">
                  <w:pPr>
                    <w:pStyle w:val="5"/>
                    <w:ind w:firstLine="400"/>
                    <w:jc w:val="both"/>
                    <w:rPr>
                      <w:rFonts w:hint="eastAsia" w:ascii="宋体" w:hAnsi="宋体" w:eastAsia="宋体" w:cs="宋体"/>
                      <w:b w:val="0"/>
                      <w:bCs w:val="0"/>
                      <w:sz w:val="18"/>
                      <w:szCs w:val="18"/>
                    </w:rPr>
                  </w:pPr>
                </w:p>
              </w:tc>
              <w:tc>
                <w:tcPr>
                  <w:tcW w:w="4129" w:type="dxa"/>
                  <w:tcBorders>
                    <w:left w:val="single" w:color="auto" w:sz="4" w:space="0"/>
                  </w:tcBorders>
                  <w:vAlign w:val="center"/>
                </w:tcPr>
                <w:p w14:paraId="457912BF">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中兴 OTN 电源柜</w:t>
                  </w:r>
                </w:p>
              </w:tc>
              <w:tc>
                <w:tcPr>
                  <w:tcW w:w="1779" w:type="dxa"/>
                  <w:vAlign w:val="center"/>
                </w:tcPr>
                <w:p w14:paraId="2C80B94B">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5F8BD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8" w:type="dxa"/>
                  <w:tcBorders>
                    <w:right w:val="single" w:color="auto" w:sz="4" w:space="0"/>
                  </w:tcBorders>
                  <w:vAlign w:val="center"/>
                </w:tcPr>
                <w:p w14:paraId="1145F30B">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13</w:t>
                  </w:r>
                </w:p>
              </w:tc>
              <w:tc>
                <w:tcPr>
                  <w:tcW w:w="1583" w:type="dxa"/>
                  <w:vMerge w:val="continue"/>
                  <w:tcBorders>
                    <w:top w:val="single" w:color="auto" w:sz="4" w:space="0"/>
                    <w:left w:val="single" w:color="auto" w:sz="4" w:space="0"/>
                    <w:bottom w:val="single" w:color="auto" w:sz="4" w:space="0"/>
                    <w:right w:val="single" w:color="auto" w:sz="4" w:space="0"/>
                  </w:tcBorders>
                  <w:vAlign w:val="center"/>
                </w:tcPr>
                <w:p w14:paraId="4F66C7E7">
                  <w:pPr>
                    <w:pStyle w:val="5"/>
                    <w:ind w:firstLine="400"/>
                    <w:jc w:val="both"/>
                    <w:rPr>
                      <w:rFonts w:hint="eastAsia" w:ascii="宋体" w:hAnsi="宋体" w:eastAsia="宋体" w:cs="宋体"/>
                      <w:b w:val="0"/>
                      <w:bCs w:val="0"/>
                      <w:sz w:val="18"/>
                      <w:szCs w:val="18"/>
                    </w:rPr>
                  </w:pPr>
                </w:p>
              </w:tc>
              <w:tc>
                <w:tcPr>
                  <w:tcW w:w="4129" w:type="dxa"/>
                  <w:tcBorders>
                    <w:left w:val="single" w:color="auto" w:sz="4" w:space="0"/>
                  </w:tcBorders>
                  <w:vAlign w:val="center"/>
                </w:tcPr>
                <w:p w14:paraId="32ECCB99">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华为 OTN 电源柜</w:t>
                  </w:r>
                </w:p>
              </w:tc>
              <w:tc>
                <w:tcPr>
                  <w:tcW w:w="1779" w:type="dxa"/>
                  <w:vAlign w:val="center"/>
                </w:tcPr>
                <w:p w14:paraId="6A4FED5E">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5209D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8" w:type="dxa"/>
                  <w:vAlign w:val="center"/>
                </w:tcPr>
                <w:p w14:paraId="10FE94AC">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14</w:t>
                  </w:r>
                </w:p>
              </w:tc>
              <w:tc>
                <w:tcPr>
                  <w:tcW w:w="1583" w:type="dxa"/>
                  <w:vMerge w:val="restart"/>
                  <w:tcBorders>
                    <w:top w:val="single" w:color="auto" w:sz="4" w:space="0"/>
                    <w:bottom w:val="single" w:color="auto" w:sz="4" w:space="0"/>
                  </w:tcBorders>
                  <w:vAlign w:val="center"/>
                </w:tcPr>
                <w:p w14:paraId="5F0001A5">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网管</w:t>
                  </w:r>
                </w:p>
              </w:tc>
              <w:tc>
                <w:tcPr>
                  <w:tcW w:w="4129" w:type="dxa"/>
                  <w:vAlign w:val="center"/>
                </w:tcPr>
                <w:p w14:paraId="1B36DB3A">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华为U2000 SDH 网管</w:t>
                  </w:r>
                </w:p>
              </w:tc>
              <w:tc>
                <w:tcPr>
                  <w:tcW w:w="1779" w:type="dxa"/>
                  <w:vAlign w:val="center"/>
                </w:tcPr>
                <w:p w14:paraId="1A392E55">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4E89A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8" w:type="dxa"/>
                  <w:vAlign w:val="center"/>
                </w:tcPr>
                <w:p w14:paraId="013895E2">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15</w:t>
                  </w:r>
                </w:p>
              </w:tc>
              <w:tc>
                <w:tcPr>
                  <w:tcW w:w="1583" w:type="dxa"/>
                  <w:vMerge w:val="continue"/>
                  <w:tcBorders>
                    <w:top w:val="single" w:color="auto" w:sz="4" w:space="0"/>
                    <w:bottom w:val="single" w:color="auto" w:sz="4" w:space="0"/>
                  </w:tcBorders>
                  <w:vAlign w:val="center"/>
                </w:tcPr>
                <w:p w14:paraId="15A52B3B">
                  <w:pPr>
                    <w:pStyle w:val="5"/>
                    <w:ind w:firstLine="400"/>
                    <w:jc w:val="both"/>
                    <w:rPr>
                      <w:rFonts w:hint="eastAsia" w:ascii="宋体" w:hAnsi="宋体" w:eastAsia="宋体" w:cs="宋体"/>
                      <w:b w:val="0"/>
                      <w:bCs w:val="0"/>
                      <w:sz w:val="18"/>
                      <w:szCs w:val="18"/>
                    </w:rPr>
                  </w:pPr>
                </w:p>
              </w:tc>
              <w:tc>
                <w:tcPr>
                  <w:tcW w:w="4129" w:type="dxa"/>
                  <w:vAlign w:val="center"/>
                </w:tcPr>
                <w:p w14:paraId="44A47E73">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华为 NCE OTN 网管</w:t>
                  </w:r>
                </w:p>
              </w:tc>
              <w:tc>
                <w:tcPr>
                  <w:tcW w:w="1779" w:type="dxa"/>
                  <w:vAlign w:val="center"/>
                </w:tcPr>
                <w:p w14:paraId="42A739FE">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552DC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8" w:type="dxa"/>
                  <w:vAlign w:val="center"/>
                </w:tcPr>
                <w:p w14:paraId="48AEB1CF">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16</w:t>
                  </w:r>
                </w:p>
              </w:tc>
              <w:tc>
                <w:tcPr>
                  <w:tcW w:w="1583" w:type="dxa"/>
                  <w:vMerge w:val="continue"/>
                  <w:tcBorders>
                    <w:top w:val="single" w:color="auto" w:sz="4" w:space="0"/>
                    <w:bottom w:val="single" w:color="auto" w:sz="4" w:space="0"/>
                  </w:tcBorders>
                  <w:vAlign w:val="center"/>
                </w:tcPr>
                <w:p w14:paraId="60C187A5">
                  <w:pPr>
                    <w:pStyle w:val="5"/>
                    <w:ind w:firstLine="400"/>
                    <w:jc w:val="both"/>
                    <w:rPr>
                      <w:rFonts w:hint="eastAsia" w:ascii="宋体" w:hAnsi="宋体" w:eastAsia="宋体" w:cs="宋体"/>
                      <w:b w:val="0"/>
                      <w:bCs w:val="0"/>
                      <w:sz w:val="18"/>
                      <w:szCs w:val="18"/>
                    </w:rPr>
                  </w:pPr>
                </w:p>
              </w:tc>
              <w:tc>
                <w:tcPr>
                  <w:tcW w:w="4129" w:type="dxa"/>
                  <w:vAlign w:val="center"/>
                </w:tcPr>
                <w:p w14:paraId="18DF6AE4">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中兴U31 OTN 网管</w:t>
                  </w:r>
                </w:p>
              </w:tc>
              <w:tc>
                <w:tcPr>
                  <w:tcW w:w="1779" w:type="dxa"/>
                  <w:vAlign w:val="center"/>
                </w:tcPr>
                <w:p w14:paraId="597A4207">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7B8A3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78" w:type="dxa"/>
                  <w:vAlign w:val="center"/>
                </w:tcPr>
                <w:p w14:paraId="061C08BF">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17</w:t>
                  </w:r>
                </w:p>
              </w:tc>
              <w:tc>
                <w:tcPr>
                  <w:tcW w:w="1583" w:type="dxa"/>
                  <w:vMerge w:val="continue"/>
                  <w:tcBorders>
                    <w:top w:val="single" w:color="auto" w:sz="4" w:space="0"/>
                    <w:bottom w:val="single" w:color="auto" w:sz="4" w:space="0"/>
                  </w:tcBorders>
                  <w:vAlign w:val="center"/>
                </w:tcPr>
                <w:p w14:paraId="06A22E41">
                  <w:pPr>
                    <w:pStyle w:val="5"/>
                    <w:ind w:firstLine="400"/>
                    <w:jc w:val="both"/>
                    <w:rPr>
                      <w:rFonts w:hint="eastAsia" w:ascii="宋体" w:hAnsi="宋体" w:eastAsia="宋体" w:cs="宋体"/>
                      <w:b w:val="0"/>
                      <w:bCs w:val="0"/>
                      <w:sz w:val="18"/>
                      <w:szCs w:val="18"/>
                    </w:rPr>
                  </w:pPr>
                </w:p>
              </w:tc>
              <w:tc>
                <w:tcPr>
                  <w:tcW w:w="4129" w:type="dxa"/>
                  <w:vAlign w:val="center"/>
                </w:tcPr>
                <w:p w14:paraId="488CF39B">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中兴U31 SDH 网管</w:t>
                  </w:r>
                </w:p>
              </w:tc>
              <w:tc>
                <w:tcPr>
                  <w:tcW w:w="1779" w:type="dxa"/>
                  <w:vAlign w:val="center"/>
                </w:tcPr>
                <w:p w14:paraId="08C24923">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3C25B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78" w:type="dxa"/>
                  <w:vAlign w:val="center"/>
                </w:tcPr>
                <w:p w14:paraId="570EF134">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18</w:t>
                  </w:r>
                </w:p>
              </w:tc>
              <w:tc>
                <w:tcPr>
                  <w:tcW w:w="1583" w:type="dxa"/>
                  <w:vMerge w:val="continue"/>
                  <w:tcBorders>
                    <w:top w:val="single" w:color="auto" w:sz="4" w:space="0"/>
                    <w:bottom w:val="single" w:color="auto" w:sz="4" w:space="0"/>
                  </w:tcBorders>
                  <w:vAlign w:val="center"/>
                </w:tcPr>
                <w:p w14:paraId="56821662">
                  <w:pPr>
                    <w:pStyle w:val="5"/>
                    <w:ind w:firstLine="400"/>
                    <w:jc w:val="both"/>
                    <w:rPr>
                      <w:rFonts w:hint="eastAsia" w:ascii="宋体" w:hAnsi="宋体" w:eastAsia="宋体" w:cs="宋体"/>
                      <w:b w:val="0"/>
                      <w:bCs w:val="0"/>
                      <w:sz w:val="18"/>
                      <w:szCs w:val="18"/>
                    </w:rPr>
                  </w:pPr>
                </w:p>
              </w:tc>
              <w:tc>
                <w:tcPr>
                  <w:tcW w:w="4129" w:type="dxa"/>
                  <w:vAlign w:val="center"/>
                </w:tcPr>
                <w:p w14:paraId="38CB2926">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华为 C&amp;C 08 网管</w:t>
                  </w:r>
                </w:p>
              </w:tc>
              <w:tc>
                <w:tcPr>
                  <w:tcW w:w="1779" w:type="dxa"/>
                  <w:vAlign w:val="center"/>
                </w:tcPr>
                <w:p w14:paraId="33FF1772">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525D2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78" w:type="dxa"/>
                  <w:vAlign w:val="center"/>
                </w:tcPr>
                <w:p w14:paraId="10D59237">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19</w:t>
                  </w:r>
                </w:p>
              </w:tc>
              <w:tc>
                <w:tcPr>
                  <w:tcW w:w="1583" w:type="dxa"/>
                  <w:vMerge w:val="continue"/>
                  <w:tcBorders>
                    <w:top w:val="single" w:color="auto" w:sz="4" w:space="0"/>
                    <w:bottom w:val="single" w:color="auto" w:sz="4" w:space="0"/>
                  </w:tcBorders>
                  <w:vAlign w:val="center"/>
                </w:tcPr>
                <w:p w14:paraId="5F6E4230">
                  <w:pPr>
                    <w:pStyle w:val="5"/>
                    <w:ind w:firstLine="400"/>
                    <w:jc w:val="both"/>
                    <w:rPr>
                      <w:rFonts w:hint="eastAsia" w:ascii="宋体" w:hAnsi="宋体" w:eastAsia="宋体" w:cs="宋体"/>
                      <w:b w:val="0"/>
                      <w:bCs w:val="0"/>
                      <w:sz w:val="18"/>
                      <w:szCs w:val="18"/>
                    </w:rPr>
                  </w:pPr>
                </w:p>
              </w:tc>
              <w:tc>
                <w:tcPr>
                  <w:tcW w:w="4129" w:type="dxa"/>
                  <w:tcBorders>
                    <w:bottom w:val="single" w:color="auto" w:sz="4" w:space="0"/>
                  </w:tcBorders>
                  <w:vAlign w:val="center"/>
                </w:tcPr>
                <w:p w14:paraId="07147D29">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华为 SYNLOCK 网管</w:t>
                  </w:r>
                </w:p>
              </w:tc>
              <w:tc>
                <w:tcPr>
                  <w:tcW w:w="1779" w:type="dxa"/>
                  <w:tcBorders>
                    <w:bottom w:val="single" w:color="auto" w:sz="4" w:space="0"/>
                  </w:tcBorders>
                  <w:vAlign w:val="center"/>
                </w:tcPr>
                <w:p w14:paraId="32A00CF9">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6F3CE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78" w:type="dxa"/>
                  <w:tcBorders>
                    <w:right w:val="single" w:color="auto" w:sz="4" w:space="0"/>
                  </w:tcBorders>
                  <w:vAlign w:val="center"/>
                </w:tcPr>
                <w:p w14:paraId="6B29EA88">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20</w:t>
                  </w:r>
                </w:p>
              </w:tc>
              <w:tc>
                <w:tcPr>
                  <w:tcW w:w="1583" w:type="dxa"/>
                  <w:vMerge w:val="restart"/>
                  <w:tcBorders>
                    <w:top w:val="single" w:color="auto" w:sz="4" w:space="0"/>
                    <w:left w:val="single" w:color="auto" w:sz="4" w:space="0"/>
                    <w:bottom w:val="single" w:color="auto" w:sz="4" w:space="0"/>
                    <w:right w:val="single" w:color="auto" w:sz="4" w:space="0"/>
                  </w:tcBorders>
                  <w:vAlign w:val="center"/>
                </w:tcPr>
                <w:p w14:paraId="3C2BE5CF">
                  <w:pPr>
                    <w:pStyle w:val="5"/>
                    <w:ind w:firstLine="400"/>
                    <w:jc w:val="both"/>
                    <w:rPr>
                      <w:rFonts w:hint="eastAsia" w:ascii="宋体" w:hAnsi="宋体" w:eastAsia="宋体" w:cs="宋体"/>
                      <w:b w:val="0"/>
                      <w:bCs w:val="0"/>
                      <w:sz w:val="18"/>
                      <w:szCs w:val="18"/>
                    </w:rPr>
                  </w:pPr>
                </w:p>
                <w:p w14:paraId="5E70B511">
                  <w:pPr>
                    <w:pStyle w:val="5"/>
                    <w:ind w:firstLine="400"/>
                    <w:jc w:val="both"/>
                    <w:rPr>
                      <w:rFonts w:hint="eastAsia" w:ascii="宋体" w:hAnsi="宋体" w:eastAsia="宋体" w:cs="宋体"/>
                      <w:b w:val="0"/>
                      <w:bCs w:val="0"/>
                      <w:sz w:val="18"/>
                      <w:szCs w:val="18"/>
                    </w:rPr>
                  </w:pPr>
                </w:p>
                <w:p w14:paraId="75346C83">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蓄电池</w:t>
                  </w:r>
                </w:p>
                <w:p w14:paraId="749E3D19">
                  <w:pPr>
                    <w:pStyle w:val="5"/>
                    <w:ind w:firstLine="400"/>
                    <w:jc w:val="both"/>
                    <w:rPr>
                      <w:rFonts w:hint="eastAsia" w:ascii="宋体" w:hAnsi="宋体" w:eastAsia="宋体" w:cs="宋体"/>
                      <w:b w:val="0"/>
                      <w:bCs w:val="0"/>
                      <w:sz w:val="18"/>
                      <w:szCs w:val="18"/>
                    </w:rPr>
                  </w:pPr>
                </w:p>
              </w:tc>
              <w:tc>
                <w:tcPr>
                  <w:tcW w:w="4129" w:type="dxa"/>
                  <w:tcBorders>
                    <w:top w:val="single" w:color="auto" w:sz="4" w:space="0"/>
                    <w:left w:val="single" w:color="auto" w:sz="4" w:space="0"/>
                    <w:bottom w:val="single" w:color="auto" w:sz="4" w:space="0"/>
                    <w:right w:val="single" w:color="auto" w:sz="4" w:space="0"/>
                  </w:tcBorders>
                  <w:vAlign w:val="center"/>
                </w:tcPr>
                <w:p w14:paraId="758D5BBD">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24块2V 200 Ah（中兴 SDH）</w:t>
                  </w:r>
                </w:p>
              </w:tc>
              <w:tc>
                <w:tcPr>
                  <w:tcW w:w="1779" w:type="dxa"/>
                  <w:tcBorders>
                    <w:top w:val="single" w:color="auto" w:sz="4" w:space="0"/>
                    <w:left w:val="single" w:color="auto" w:sz="4" w:space="0"/>
                    <w:bottom w:val="single" w:color="auto" w:sz="4" w:space="0"/>
                    <w:right w:val="single" w:color="auto" w:sz="4" w:space="0"/>
                  </w:tcBorders>
                  <w:vAlign w:val="center"/>
                </w:tcPr>
                <w:p w14:paraId="6BCB868F">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w:t>
                  </w:r>
                </w:p>
              </w:tc>
            </w:tr>
            <w:tr w14:paraId="03CF1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78" w:type="dxa"/>
                  <w:tcBorders>
                    <w:right w:val="single" w:color="auto" w:sz="4" w:space="0"/>
                  </w:tcBorders>
                  <w:vAlign w:val="center"/>
                </w:tcPr>
                <w:p w14:paraId="5ECC8079">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21</w:t>
                  </w:r>
                </w:p>
              </w:tc>
              <w:tc>
                <w:tcPr>
                  <w:tcW w:w="1583" w:type="dxa"/>
                  <w:vMerge w:val="continue"/>
                  <w:tcBorders>
                    <w:top w:val="single" w:color="auto" w:sz="4" w:space="0"/>
                    <w:left w:val="single" w:color="auto" w:sz="4" w:space="0"/>
                    <w:bottom w:val="single" w:color="auto" w:sz="4" w:space="0"/>
                    <w:right w:val="single" w:color="auto" w:sz="4" w:space="0"/>
                  </w:tcBorders>
                  <w:vAlign w:val="center"/>
                </w:tcPr>
                <w:p w14:paraId="6BE323B7">
                  <w:pPr>
                    <w:pStyle w:val="5"/>
                    <w:ind w:firstLine="400"/>
                    <w:jc w:val="both"/>
                    <w:rPr>
                      <w:rFonts w:hint="eastAsia" w:ascii="宋体" w:hAnsi="宋体" w:eastAsia="宋体" w:cs="宋体"/>
                      <w:b w:val="0"/>
                      <w:bCs w:val="0"/>
                      <w:sz w:val="18"/>
                      <w:szCs w:val="18"/>
                    </w:rPr>
                  </w:pPr>
                </w:p>
              </w:tc>
              <w:tc>
                <w:tcPr>
                  <w:tcW w:w="4129" w:type="dxa"/>
                  <w:tcBorders>
                    <w:top w:val="single" w:color="auto" w:sz="4" w:space="0"/>
                    <w:left w:val="single" w:color="auto" w:sz="4" w:space="0"/>
                    <w:bottom w:val="single" w:color="auto" w:sz="4" w:space="0"/>
                    <w:right w:val="single" w:color="auto" w:sz="4" w:space="0"/>
                  </w:tcBorders>
                  <w:vAlign w:val="center"/>
                </w:tcPr>
                <w:p w14:paraId="07DD9C96">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24块 2V 200 Ah（华为SDH）</w:t>
                  </w:r>
                </w:p>
              </w:tc>
              <w:tc>
                <w:tcPr>
                  <w:tcW w:w="1779" w:type="dxa"/>
                  <w:tcBorders>
                    <w:top w:val="single" w:color="auto" w:sz="4" w:space="0"/>
                    <w:left w:val="single" w:color="auto" w:sz="4" w:space="0"/>
                    <w:bottom w:val="single" w:color="auto" w:sz="4" w:space="0"/>
                    <w:right w:val="single" w:color="auto" w:sz="4" w:space="0"/>
                  </w:tcBorders>
                  <w:vAlign w:val="center"/>
                </w:tcPr>
                <w:p w14:paraId="443D8EFD">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w:t>
                  </w:r>
                </w:p>
              </w:tc>
            </w:tr>
            <w:tr w14:paraId="275ED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78" w:type="dxa"/>
                  <w:tcBorders>
                    <w:right w:val="single" w:color="auto" w:sz="4" w:space="0"/>
                  </w:tcBorders>
                  <w:vAlign w:val="center"/>
                </w:tcPr>
                <w:p w14:paraId="59830E5F">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22</w:t>
                  </w:r>
                </w:p>
              </w:tc>
              <w:tc>
                <w:tcPr>
                  <w:tcW w:w="1583" w:type="dxa"/>
                  <w:vMerge w:val="continue"/>
                  <w:tcBorders>
                    <w:top w:val="single" w:color="auto" w:sz="4" w:space="0"/>
                    <w:left w:val="single" w:color="auto" w:sz="4" w:space="0"/>
                    <w:bottom w:val="single" w:color="auto" w:sz="4" w:space="0"/>
                    <w:right w:val="single" w:color="auto" w:sz="4" w:space="0"/>
                  </w:tcBorders>
                  <w:vAlign w:val="center"/>
                </w:tcPr>
                <w:p w14:paraId="68AD88F4">
                  <w:pPr>
                    <w:pStyle w:val="5"/>
                    <w:ind w:firstLine="400"/>
                    <w:jc w:val="both"/>
                    <w:rPr>
                      <w:rFonts w:hint="eastAsia" w:ascii="宋体" w:hAnsi="宋体" w:eastAsia="宋体" w:cs="宋体"/>
                      <w:b w:val="0"/>
                      <w:bCs w:val="0"/>
                      <w:sz w:val="18"/>
                      <w:szCs w:val="18"/>
                    </w:rPr>
                  </w:pPr>
                </w:p>
              </w:tc>
              <w:tc>
                <w:tcPr>
                  <w:tcW w:w="4129" w:type="dxa"/>
                  <w:tcBorders>
                    <w:top w:val="single" w:color="auto" w:sz="4" w:space="0"/>
                    <w:left w:val="single" w:color="auto" w:sz="4" w:space="0"/>
                    <w:bottom w:val="single" w:color="auto" w:sz="4" w:space="0"/>
                    <w:right w:val="single" w:color="auto" w:sz="4" w:space="0"/>
                  </w:tcBorders>
                  <w:vAlign w:val="center"/>
                </w:tcPr>
                <w:p w14:paraId="2F15438A">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4块48V200 Ah（中兴 OTN）</w:t>
                  </w:r>
                </w:p>
              </w:tc>
              <w:tc>
                <w:tcPr>
                  <w:tcW w:w="1779" w:type="dxa"/>
                  <w:tcBorders>
                    <w:top w:val="single" w:color="auto" w:sz="4" w:space="0"/>
                    <w:left w:val="single" w:color="auto" w:sz="4" w:space="0"/>
                    <w:bottom w:val="single" w:color="auto" w:sz="4" w:space="0"/>
                    <w:right w:val="single" w:color="auto" w:sz="4" w:space="0"/>
                  </w:tcBorders>
                  <w:vAlign w:val="center"/>
                </w:tcPr>
                <w:p w14:paraId="64186125">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15BCB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78" w:type="dxa"/>
                  <w:tcBorders>
                    <w:right w:val="single" w:color="auto" w:sz="4" w:space="0"/>
                  </w:tcBorders>
                  <w:vAlign w:val="center"/>
                </w:tcPr>
                <w:p w14:paraId="6E845F01">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23</w:t>
                  </w:r>
                </w:p>
              </w:tc>
              <w:tc>
                <w:tcPr>
                  <w:tcW w:w="1583" w:type="dxa"/>
                  <w:vMerge w:val="continue"/>
                  <w:tcBorders>
                    <w:top w:val="single" w:color="auto" w:sz="4" w:space="0"/>
                    <w:left w:val="single" w:color="auto" w:sz="4" w:space="0"/>
                    <w:bottom w:val="single" w:color="auto" w:sz="4" w:space="0"/>
                    <w:right w:val="single" w:color="auto" w:sz="4" w:space="0"/>
                  </w:tcBorders>
                  <w:vAlign w:val="center"/>
                </w:tcPr>
                <w:p w14:paraId="498AE26E">
                  <w:pPr>
                    <w:pStyle w:val="5"/>
                    <w:ind w:firstLine="400"/>
                    <w:jc w:val="both"/>
                    <w:rPr>
                      <w:rFonts w:hint="eastAsia" w:ascii="宋体" w:hAnsi="宋体" w:eastAsia="宋体" w:cs="宋体"/>
                      <w:b w:val="0"/>
                      <w:bCs w:val="0"/>
                      <w:sz w:val="18"/>
                      <w:szCs w:val="18"/>
                    </w:rPr>
                  </w:pPr>
                </w:p>
              </w:tc>
              <w:tc>
                <w:tcPr>
                  <w:tcW w:w="4129" w:type="dxa"/>
                  <w:tcBorders>
                    <w:top w:val="single" w:color="auto" w:sz="4" w:space="0"/>
                    <w:left w:val="single" w:color="auto" w:sz="4" w:space="0"/>
                    <w:bottom w:val="single" w:color="auto" w:sz="4" w:space="0"/>
                    <w:right w:val="single" w:color="auto" w:sz="4" w:space="0"/>
                  </w:tcBorders>
                  <w:vAlign w:val="center"/>
                </w:tcPr>
                <w:p w14:paraId="442D80DF">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4块48V200 Ah（华为 OTN）</w:t>
                  </w:r>
                </w:p>
              </w:tc>
              <w:tc>
                <w:tcPr>
                  <w:tcW w:w="1779" w:type="dxa"/>
                  <w:tcBorders>
                    <w:top w:val="single" w:color="auto" w:sz="4" w:space="0"/>
                    <w:left w:val="single" w:color="auto" w:sz="4" w:space="0"/>
                    <w:bottom w:val="single" w:color="auto" w:sz="4" w:space="0"/>
                    <w:right w:val="single" w:color="auto" w:sz="4" w:space="0"/>
                  </w:tcBorders>
                  <w:vAlign w:val="center"/>
                </w:tcPr>
                <w:p w14:paraId="7C266FB2">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r>
            <w:tr w14:paraId="23F12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78" w:type="dxa"/>
                  <w:tcBorders>
                    <w:right w:val="single" w:color="auto" w:sz="4" w:space="0"/>
                  </w:tcBorders>
                  <w:vAlign w:val="center"/>
                </w:tcPr>
                <w:p w14:paraId="7662F82E">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24</w:t>
                  </w:r>
                </w:p>
              </w:tc>
              <w:tc>
                <w:tcPr>
                  <w:tcW w:w="7491" w:type="dxa"/>
                  <w:gridSpan w:val="3"/>
                  <w:tcBorders>
                    <w:top w:val="single" w:color="auto" w:sz="4" w:space="0"/>
                    <w:left w:val="single" w:color="auto" w:sz="4" w:space="0"/>
                    <w:bottom w:val="single" w:color="auto" w:sz="4" w:space="0"/>
                    <w:right w:val="single" w:color="auto" w:sz="4" w:space="0"/>
                  </w:tcBorders>
                  <w:vAlign w:val="center"/>
                </w:tcPr>
                <w:p w14:paraId="51179CDE">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其它通信相关协议转换设备、通信环境等</w:t>
                  </w:r>
                </w:p>
              </w:tc>
            </w:tr>
          </w:tbl>
          <w:p w14:paraId="486D2A47">
            <w:pPr>
              <w:pStyle w:val="5"/>
              <w:ind w:firstLine="400"/>
              <w:jc w:val="both"/>
              <w:rPr>
                <w:rFonts w:hint="eastAsia" w:ascii="宋体" w:hAnsi="宋体" w:eastAsia="宋体" w:cs="宋体"/>
                <w:b w:val="0"/>
                <w:bCs w:val="0"/>
                <w:sz w:val="18"/>
                <w:szCs w:val="18"/>
              </w:rPr>
            </w:pPr>
          </w:p>
          <w:p w14:paraId="5AB8A303">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二、服务内容</w:t>
            </w:r>
          </w:p>
          <w:p w14:paraId="43BCC29F">
            <w:pPr>
              <w:pStyle w:val="5"/>
              <w:ind w:firstLine="40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供应商应安排驻场运维工程师提供5*8小时的传输设备、网管系统、程控交换设备、ODF光纤配线架、配套的备用供电系统等运行情况进行现场巡检、实时监测和预警服务。常规时期现场巡检不少于每天2次，特殊时期，如电力故障或重保期间现场巡检不少于每天4次，并做好每日巡检记录。如出现设备故障问题，及时协助省中心协调相关厂商进行维修，并做好事件记录和故障报告的编写工作。通信系统维护内容</w:t>
            </w:r>
          </w:p>
          <w:tbl>
            <w:tblPr>
              <w:tblStyle w:val="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27"/>
              <w:gridCol w:w="2386"/>
              <w:gridCol w:w="608"/>
              <w:gridCol w:w="1381"/>
              <w:gridCol w:w="487"/>
              <w:gridCol w:w="1198"/>
            </w:tblGrid>
            <w:tr w14:paraId="2CD1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trPr>
              <w:tc>
                <w:tcPr>
                  <w:tcW w:w="0" w:type="auto"/>
                  <w:shd w:val="clear" w:color="000000" w:fill="auto"/>
                  <w:vAlign w:val="center"/>
                </w:tcPr>
                <w:p w14:paraId="13F729ED">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序号</w:t>
                  </w:r>
                </w:p>
              </w:tc>
              <w:tc>
                <w:tcPr>
                  <w:tcW w:w="0" w:type="auto"/>
                  <w:shd w:val="clear" w:color="000000" w:fill="auto"/>
                  <w:vAlign w:val="center"/>
                </w:tcPr>
                <w:p w14:paraId="54B3DC03">
                  <w:pPr>
                    <w:rPr>
                      <w:rFonts w:hint="eastAsia" w:ascii="宋体" w:hAnsi="宋体" w:eastAsia="宋体" w:cs="宋体"/>
                      <w:b w:val="0"/>
                      <w:bCs w:val="0"/>
                      <w:sz w:val="18"/>
                      <w:szCs w:val="18"/>
                    </w:rPr>
                  </w:pPr>
                  <w:r>
                    <w:rPr>
                      <w:rFonts w:hint="eastAsia" w:ascii="宋体" w:hAnsi="宋体" w:eastAsia="宋体" w:cs="宋体"/>
                      <w:b w:val="0"/>
                      <w:bCs w:val="0"/>
                      <w:sz w:val="18"/>
                      <w:szCs w:val="18"/>
                    </w:rPr>
                    <w:t>服务</w:t>
                  </w:r>
                </w:p>
                <w:p w14:paraId="7F591C46">
                  <w:pPr>
                    <w:rPr>
                      <w:rFonts w:hint="eastAsia" w:ascii="宋体" w:hAnsi="宋体" w:eastAsia="宋体" w:cs="宋体"/>
                      <w:b w:val="0"/>
                      <w:bCs w:val="0"/>
                      <w:sz w:val="18"/>
                      <w:szCs w:val="18"/>
                    </w:rPr>
                  </w:pPr>
                  <w:r>
                    <w:rPr>
                      <w:rFonts w:hint="eastAsia" w:ascii="宋体" w:hAnsi="宋体" w:eastAsia="宋体" w:cs="宋体"/>
                      <w:b w:val="0"/>
                      <w:bCs w:val="0"/>
                      <w:sz w:val="18"/>
                      <w:szCs w:val="18"/>
                    </w:rPr>
                    <w:t>名称</w:t>
                  </w:r>
                </w:p>
              </w:tc>
              <w:tc>
                <w:tcPr>
                  <w:tcW w:w="0" w:type="auto"/>
                  <w:shd w:val="clear" w:color="000000" w:fill="auto"/>
                  <w:vAlign w:val="center"/>
                </w:tcPr>
                <w:p w14:paraId="4858399F">
                  <w:pPr>
                    <w:rPr>
                      <w:rFonts w:hint="eastAsia" w:ascii="宋体" w:hAnsi="宋体" w:eastAsia="宋体" w:cs="宋体"/>
                      <w:b w:val="0"/>
                      <w:bCs w:val="0"/>
                      <w:sz w:val="18"/>
                      <w:szCs w:val="18"/>
                    </w:rPr>
                  </w:pPr>
                  <w:r>
                    <w:rPr>
                      <w:rFonts w:hint="eastAsia" w:ascii="宋体" w:hAnsi="宋体" w:eastAsia="宋体" w:cs="宋体"/>
                      <w:b w:val="0"/>
                      <w:bCs w:val="0"/>
                      <w:sz w:val="18"/>
                      <w:szCs w:val="18"/>
                    </w:rPr>
                    <w:t>服务描述</w:t>
                  </w:r>
                </w:p>
              </w:tc>
              <w:tc>
                <w:tcPr>
                  <w:tcW w:w="0" w:type="auto"/>
                  <w:shd w:val="clear" w:color="000000" w:fill="auto"/>
                  <w:vAlign w:val="center"/>
                </w:tcPr>
                <w:p w14:paraId="6DB79C8F">
                  <w:pPr>
                    <w:rPr>
                      <w:rFonts w:hint="eastAsia" w:ascii="宋体" w:hAnsi="宋体" w:eastAsia="宋体" w:cs="宋体"/>
                      <w:b w:val="0"/>
                      <w:bCs w:val="0"/>
                      <w:sz w:val="18"/>
                      <w:szCs w:val="18"/>
                    </w:rPr>
                  </w:pPr>
                  <w:r>
                    <w:rPr>
                      <w:rFonts w:hint="eastAsia" w:ascii="宋体" w:hAnsi="宋体" w:eastAsia="宋体" w:cs="宋体"/>
                      <w:b w:val="0"/>
                      <w:bCs w:val="0"/>
                      <w:sz w:val="18"/>
                      <w:szCs w:val="18"/>
                    </w:rPr>
                    <w:t>服务时间</w:t>
                  </w:r>
                </w:p>
              </w:tc>
              <w:tc>
                <w:tcPr>
                  <w:tcW w:w="0" w:type="auto"/>
                  <w:shd w:val="clear" w:color="000000" w:fill="auto"/>
                  <w:vAlign w:val="center"/>
                </w:tcPr>
                <w:p w14:paraId="787CCC8C">
                  <w:pPr>
                    <w:rPr>
                      <w:rFonts w:hint="eastAsia" w:ascii="宋体" w:hAnsi="宋体" w:eastAsia="宋体" w:cs="宋体"/>
                      <w:b w:val="0"/>
                      <w:bCs w:val="0"/>
                      <w:sz w:val="18"/>
                      <w:szCs w:val="18"/>
                    </w:rPr>
                  </w:pPr>
                  <w:r>
                    <w:rPr>
                      <w:rFonts w:hint="eastAsia" w:ascii="宋体" w:hAnsi="宋体" w:eastAsia="宋体" w:cs="宋体"/>
                      <w:b w:val="0"/>
                      <w:bCs w:val="0"/>
                      <w:sz w:val="18"/>
                      <w:szCs w:val="18"/>
                    </w:rPr>
                    <w:t>服务频度</w:t>
                  </w:r>
                </w:p>
              </w:tc>
              <w:tc>
                <w:tcPr>
                  <w:tcW w:w="0" w:type="auto"/>
                  <w:shd w:val="clear" w:color="000000" w:fill="auto"/>
                  <w:vAlign w:val="center"/>
                </w:tcPr>
                <w:p w14:paraId="1C88D2D1">
                  <w:pPr>
                    <w:rPr>
                      <w:rFonts w:hint="eastAsia" w:ascii="宋体" w:hAnsi="宋体" w:eastAsia="宋体" w:cs="宋体"/>
                      <w:b w:val="0"/>
                      <w:bCs w:val="0"/>
                      <w:sz w:val="18"/>
                      <w:szCs w:val="18"/>
                    </w:rPr>
                  </w:pPr>
                  <w:r>
                    <w:rPr>
                      <w:rFonts w:hint="eastAsia" w:ascii="宋体" w:hAnsi="宋体" w:eastAsia="宋体" w:cs="宋体"/>
                      <w:b w:val="0"/>
                      <w:bCs w:val="0"/>
                      <w:sz w:val="18"/>
                      <w:szCs w:val="18"/>
                    </w:rPr>
                    <w:t>交付方式</w:t>
                  </w:r>
                </w:p>
              </w:tc>
              <w:tc>
                <w:tcPr>
                  <w:tcW w:w="0" w:type="auto"/>
                  <w:shd w:val="clear" w:color="000000" w:fill="auto"/>
                  <w:vAlign w:val="center"/>
                </w:tcPr>
                <w:p w14:paraId="4147A288">
                  <w:pPr>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交付成果</w:t>
                  </w:r>
                </w:p>
              </w:tc>
            </w:tr>
            <w:tr w14:paraId="7870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0" w:type="auto"/>
                  <w:shd w:val="clear" w:color="000000" w:fill="auto"/>
                  <w:vAlign w:val="center"/>
                </w:tcPr>
                <w:p w14:paraId="43E6A8EE">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c>
                <w:tcPr>
                  <w:tcW w:w="0" w:type="auto"/>
                  <w:shd w:val="clear" w:color="000000" w:fill="auto"/>
                  <w:vAlign w:val="center"/>
                </w:tcPr>
                <w:p w14:paraId="18A3F60C">
                  <w:pPr>
                    <w:rPr>
                      <w:rFonts w:hint="eastAsia" w:ascii="宋体" w:hAnsi="宋体" w:eastAsia="宋体" w:cs="宋体"/>
                      <w:b w:val="0"/>
                      <w:bCs w:val="0"/>
                      <w:sz w:val="18"/>
                      <w:szCs w:val="18"/>
                    </w:rPr>
                  </w:pPr>
                </w:p>
                <w:p w14:paraId="6640DE2E">
                  <w:pPr>
                    <w:rPr>
                      <w:rFonts w:hint="eastAsia" w:ascii="宋体" w:hAnsi="宋体" w:eastAsia="宋体" w:cs="宋体"/>
                      <w:b w:val="0"/>
                      <w:bCs w:val="0"/>
                      <w:sz w:val="18"/>
                      <w:szCs w:val="18"/>
                    </w:rPr>
                  </w:pPr>
                </w:p>
                <w:p w14:paraId="1862A9A6">
                  <w:pPr>
                    <w:rPr>
                      <w:rFonts w:hint="eastAsia" w:ascii="宋体" w:hAnsi="宋体" w:eastAsia="宋体" w:cs="宋体"/>
                      <w:b w:val="0"/>
                      <w:bCs w:val="0"/>
                      <w:sz w:val="18"/>
                      <w:szCs w:val="18"/>
                    </w:rPr>
                  </w:pPr>
                  <w:r>
                    <w:rPr>
                      <w:rFonts w:hint="eastAsia" w:ascii="宋体" w:hAnsi="宋体" w:eastAsia="宋体" w:cs="宋体"/>
                      <w:b w:val="0"/>
                      <w:bCs w:val="0"/>
                      <w:sz w:val="18"/>
                      <w:szCs w:val="18"/>
                    </w:rPr>
                    <w:t>传输设备运行监控</w:t>
                  </w:r>
                </w:p>
              </w:tc>
              <w:tc>
                <w:tcPr>
                  <w:tcW w:w="0" w:type="auto"/>
                  <w:shd w:val="clear" w:color="000000" w:fill="auto"/>
                  <w:vAlign w:val="center"/>
                </w:tcPr>
                <w:p w14:paraId="24533C88">
                  <w:pPr>
                    <w:rPr>
                      <w:rFonts w:hint="eastAsia" w:ascii="宋体" w:hAnsi="宋体" w:eastAsia="宋体" w:cs="宋体"/>
                      <w:b w:val="0"/>
                      <w:bCs w:val="0"/>
                      <w:sz w:val="18"/>
                      <w:szCs w:val="18"/>
                    </w:rPr>
                  </w:pPr>
                  <w:r>
                    <w:rPr>
                      <w:rFonts w:hint="eastAsia" w:ascii="宋体" w:hAnsi="宋体" w:eastAsia="宋体" w:cs="宋体"/>
                      <w:b w:val="0"/>
                      <w:bCs w:val="0"/>
                      <w:sz w:val="18"/>
                      <w:szCs w:val="18"/>
                    </w:rPr>
                    <w:t>（1）通过现场巡查的方式对中心机房传输硬件设备的运行状态进行巡检、记录。</w:t>
                  </w:r>
                </w:p>
                <w:p w14:paraId="031D16F3">
                  <w:pPr>
                    <w:rPr>
                      <w:rFonts w:hint="eastAsia" w:ascii="宋体" w:hAnsi="宋体" w:eastAsia="宋体" w:cs="宋体"/>
                      <w:b w:val="0"/>
                      <w:bCs w:val="0"/>
                      <w:sz w:val="18"/>
                      <w:szCs w:val="18"/>
                    </w:rPr>
                  </w:pPr>
                  <w:r>
                    <w:rPr>
                      <w:rFonts w:hint="eastAsia" w:ascii="宋体" w:hAnsi="宋体" w:eastAsia="宋体" w:cs="宋体"/>
                      <w:b w:val="0"/>
                      <w:bCs w:val="0"/>
                      <w:sz w:val="18"/>
                      <w:szCs w:val="18"/>
                    </w:rPr>
                    <w:t>（2）如发生异常情况，应第一时间报告省中心协助省中心协调相关厂商进行故障排查和维修。</w:t>
                  </w:r>
                </w:p>
              </w:tc>
              <w:tc>
                <w:tcPr>
                  <w:tcW w:w="0" w:type="auto"/>
                  <w:shd w:val="clear" w:color="000000" w:fill="auto"/>
                  <w:vAlign w:val="center"/>
                </w:tcPr>
                <w:p w14:paraId="722A9AE3">
                  <w:pPr>
                    <w:rPr>
                      <w:rFonts w:hint="eastAsia" w:ascii="宋体" w:hAnsi="宋体" w:eastAsia="宋体" w:cs="宋体"/>
                      <w:b w:val="0"/>
                      <w:bCs w:val="0"/>
                      <w:sz w:val="18"/>
                      <w:szCs w:val="18"/>
                    </w:rPr>
                  </w:pPr>
                  <w:r>
                    <w:rPr>
                      <w:rFonts w:hint="eastAsia" w:ascii="宋体" w:hAnsi="宋体" w:eastAsia="宋体" w:cs="宋体"/>
                      <w:b w:val="0"/>
                      <w:bCs w:val="0"/>
                      <w:sz w:val="18"/>
                      <w:szCs w:val="18"/>
                    </w:rPr>
                    <w:t>每周5*8小时</w:t>
                  </w:r>
                </w:p>
              </w:tc>
              <w:tc>
                <w:tcPr>
                  <w:tcW w:w="0" w:type="auto"/>
                  <w:shd w:val="clear" w:color="000000" w:fill="auto"/>
                  <w:vAlign w:val="center"/>
                </w:tcPr>
                <w:p w14:paraId="1BAF1FD7">
                  <w:pPr>
                    <w:rPr>
                      <w:rFonts w:hint="eastAsia" w:ascii="宋体" w:hAnsi="宋体" w:eastAsia="宋体" w:cs="宋体"/>
                      <w:b w:val="0"/>
                      <w:bCs w:val="0"/>
                      <w:sz w:val="18"/>
                      <w:szCs w:val="18"/>
                    </w:rPr>
                  </w:pPr>
                </w:p>
                <w:p w14:paraId="1D356D8C">
                  <w:pPr>
                    <w:rPr>
                      <w:rFonts w:hint="eastAsia" w:ascii="宋体" w:hAnsi="宋体" w:eastAsia="宋体" w:cs="宋体"/>
                      <w:b w:val="0"/>
                      <w:bCs w:val="0"/>
                      <w:sz w:val="18"/>
                      <w:szCs w:val="18"/>
                    </w:rPr>
                  </w:pPr>
                  <w:r>
                    <w:rPr>
                      <w:rFonts w:hint="eastAsia" w:ascii="宋体" w:hAnsi="宋体" w:eastAsia="宋体" w:cs="宋体"/>
                      <w:b w:val="0"/>
                      <w:bCs w:val="0"/>
                      <w:sz w:val="18"/>
                      <w:szCs w:val="18"/>
                    </w:rPr>
                    <w:t>（1）巡检：2次/天，特殊情况下4次/天；（2）发生故障时</w:t>
                  </w:r>
                </w:p>
              </w:tc>
              <w:tc>
                <w:tcPr>
                  <w:tcW w:w="0" w:type="auto"/>
                  <w:shd w:val="clear" w:color="000000" w:fill="auto"/>
                  <w:vAlign w:val="center"/>
                </w:tcPr>
                <w:p w14:paraId="34FB2941">
                  <w:pPr>
                    <w:rPr>
                      <w:rFonts w:hint="eastAsia" w:ascii="宋体" w:hAnsi="宋体" w:eastAsia="宋体" w:cs="宋体"/>
                      <w:b w:val="0"/>
                      <w:bCs w:val="0"/>
                      <w:sz w:val="18"/>
                      <w:szCs w:val="18"/>
                    </w:rPr>
                  </w:pPr>
                  <w:r>
                    <w:rPr>
                      <w:rFonts w:hint="eastAsia" w:ascii="宋体" w:hAnsi="宋体" w:eastAsia="宋体" w:cs="宋体"/>
                      <w:b w:val="0"/>
                      <w:bCs w:val="0"/>
                      <w:sz w:val="18"/>
                      <w:szCs w:val="18"/>
                    </w:rPr>
                    <w:t>现场</w:t>
                  </w:r>
                </w:p>
              </w:tc>
              <w:tc>
                <w:tcPr>
                  <w:tcW w:w="0" w:type="auto"/>
                  <w:shd w:val="clear" w:color="000000" w:fill="auto"/>
                  <w:vAlign w:val="center"/>
                </w:tcPr>
                <w:p w14:paraId="6DED7582">
                  <w:pPr>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（1）《巡检报告》；</w:t>
                  </w:r>
                </w:p>
                <w:p w14:paraId="5CD257D3">
                  <w:pPr>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（2）《服务事件记录》、《故障报告》</w:t>
                  </w:r>
                </w:p>
              </w:tc>
            </w:tr>
            <w:tr w14:paraId="24B4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0" w:type="auto"/>
                  <w:shd w:val="clear" w:color="000000" w:fill="auto"/>
                  <w:vAlign w:val="center"/>
                </w:tcPr>
                <w:p w14:paraId="286A6900">
                  <w:pPr>
                    <w:jc w:val="center"/>
                    <w:rPr>
                      <w:rFonts w:hint="eastAsia" w:ascii="宋体" w:hAnsi="宋体" w:eastAsia="宋体" w:cs="宋体"/>
                      <w:b w:val="0"/>
                      <w:bCs w:val="0"/>
                      <w:sz w:val="18"/>
                      <w:szCs w:val="18"/>
                    </w:rPr>
                  </w:pPr>
                </w:p>
                <w:p w14:paraId="6B373EDA">
                  <w:pPr>
                    <w:jc w:val="center"/>
                    <w:rPr>
                      <w:rFonts w:hint="eastAsia" w:ascii="宋体" w:hAnsi="宋体" w:eastAsia="宋体" w:cs="宋体"/>
                      <w:b w:val="0"/>
                      <w:bCs w:val="0"/>
                      <w:sz w:val="18"/>
                      <w:szCs w:val="18"/>
                    </w:rPr>
                  </w:pPr>
                </w:p>
                <w:p w14:paraId="0602B0D0">
                  <w:pPr>
                    <w:jc w:val="center"/>
                    <w:rPr>
                      <w:rFonts w:hint="eastAsia" w:ascii="宋体" w:hAnsi="宋体" w:eastAsia="宋体" w:cs="宋体"/>
                      <w:b w:val="0"/>
                      <w:bCs w:val="0"/>
                      <w:sz w:val="18"/>
                      <w:szCs w:val="18"/>
                    </w:rPr>
                  </w:pPr>
                </w:p>
                <w:p w14:paraId="11F685BD">
                  <w:pPr>
                    <w:jc w:val="center"/>
                    <w:rPr>
                      <w:rFonts w:hint="eastAsia" w:ascii="宋体" w:hAnsi="宋体" w:eastAsia="宋体" w:cs="宋体"/>
                      <w:b w:val="0"/>
                      <w:bCs w:val="0"/>
                      <w:sz w:val="18"/>
                      <w:szCs w:val="18"/>
                    </w:rPr>
                  </w:pPr>
                </w:p>
                <w:p w14:paraId="0A134FA1">
                  <w:pPr>
                    <w:jc w:val="center"/>
                    <w:rPr>
                      <w:rFonts w:hint="eastAsia" w:ascii="宋体" w:hAnsi="宋体" w:eastAsia="宋体" w:cs="宋体"/>
                      <w:b w:val="0"/>
                      <w:bCs w:val="0"/>
                      <w:sz w:val="18"/>
                      <w:szCs w:val="18"/>
                    </w:rPr>
                  </w:pPr>
                </w:p>
                <w:p w14:paraId="6566BA08">
                  <w:pPr>
                    <w:jc w:val="center"/>
                    <w:rPr>
                      <w:rFonts w:hint="eastAsia" w:ascii="宋体" w:hAnsi="宋体" w:eastAsia="宋体" w:cs="宋体"/>
                      <w:b w:val="0"/>
                      <w:bCs w:val="0"/>
                      <w:sz w:val="18"/>
                      <w:szCs w:val="18"/>
                    </w:rPr>
                  </w:pPr>
                </w:p>
                <w:p w14:paraId="1292EF30">
                  <w:pPr>
                    <w:jc w:val="center"/>
                    <w:rPr>
                      <w:rFonts w:hint="eastAsia" w:ascii="宋体" w:hAnsi="宋体" w:eastAsia="宋体" w:cs="宋体"/>
                      <w:b w:val="0"/>
                      <w:bCs w:val="0"/>
                      <w:sz w:val="18"/>
                      <w:szCs w:val="18"/>
                    </w:rPr>
                  </w:pPr>
                </w:p>
                <w:p w14:paraId="15F4B84D">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2</w:t>
                  </w:r>
                </w:p>
              </w:tc>
              <w:tc>
                <w:tcPr>
                  <w:tcW w:w="0" w:type="auto"/>
                  <w:shd w:val="clear" w:color="000000" w:fill="auto"/>
                  <w:vAlign w:val="center"/>
                </w:tcPr>
                <w:p w14:paraId="7327BB2B">
                  <w:pPr>
                    <w:rPr>
                      <w:rFonts w:hint="eastAsia" w:ascii="宋体" w:hAnsi="宋体" w:eastAsia="宋体" w:cs="宋体"/>
                      <w:b w:val="0"/>
                      <w:bCs w:val="0"/>
                      <w:sz w:val="18"/>
                      <w:szCs w:val="18"/>
                    </w:rPr>
                  </w:pPr>
                </w:p>
                <w:p w14:paraId="49AAEA49">
                  <w:pPr>
                    <w:rPr>
                      <w:rFonts w:hint="eastAsia" w:ascii="宋体" w:hAnsi="宋体" w:eastAsia="宋体" w:cs="宋体"/>
                      <w:b w:val="0"/>
                      <w:bCs w:val="0"/>
                      <w:sz w:val="18"/>
                      <w:szCs w:val="18"/>
                    </w:rPr>
                  </w:pPr>
                </w:p>
                <w:p w14:paraId="39AFFC81">
                  <w:pPr>
                    <w:rPr>
                      <w:rFonts w:hint="eastAsia" w:ascii="宋体" w:hAnsi="宋体" w:eastAsia="宋体" w:cs="宋体"/>
                      <w:b w:val="0"/>
                      <w:bCs w:val="0"/>
                      <w:sz w:val="18"/>
                      <w:szCs w:val="18"/>
                    </w:rPr>
                  </w:pPr>
                </w:p>
                <w:p w14:paraId="08D90C6B">
                  <w:pPr>
                    <w:rPr>
                      <w:rFonts w:hint="eastAsia" w:ascii="宋体" w:hAnsi="宋体" w:eastAsia="宋体" w:cs="宋体"/>
                      <w:b w:val="0"/>
                      <w:bCs w:val="0"/>
                      <w:sz w:val="18"/>
                      <w:szCs w:val="18"/>
                    </w:rPr>
                  </w:pPr>
                </w:p>
                <w:p w14:paraId="25A3D030">
                  <w:pPr>
                    <w:rPr>
                      <w:rFonts w:hint="eastAsia" w:ascii="宋体" w:hAnsi="宋体" w:eastAsia="宋体" w:cs="宋体"/>
                      <w:b w:val="0"/>
                      <w:bCs w:val="0"/>
                      <w:sz w:val="18"/>
                      <w:szCs w:val="18"/>
                    </w:rPr>
                  </w:pPr>
                  <w:r>
                    <w:rPr>
                      <w:rFonts w:hint="eastAsia" w:ascii="宋体" w:hAnsi="宋体" w:eastAsia="宋体" w:cs="宋体"/>
                      <w:b w:val="0"/>
                      <w:bCs w:val="0"/>
                      <w:sz w:val="18"/>
                      <w:szCs w:val="18"/>
                    </w:rPr>
                    <w:t>网管系统运行监测</w:t>
                  </w:r>
                </w:p>
                <w:p w14:paraId="3B6F3ADA">
                  <w:pPr>
                    <w:rPr>
                      <w:rFonts w:hint="eastAsia" w:ascii="宋体" w:hAnsi="宋体" w:eastAsia="宋体" w:cs="宋体"/>
                      <w:b w:val="0"/>
                      <w:bCs w:val="0"/>
                      <w:sz w:val="18"/>
                      <w:szCs w:val="18"/>
                    </w:rPr>
                  </w:pPr>
                </w:p>
                <w:p w14:paraId="60E8C267">
                  <w:pPr>
                    <w:rPr>
                      <w:rFonts w:hint="eastAsia" w:ascii="宋体" w:hAnsi="宋体" w:eastAsia="宋体" w:cs="宋体"/>
                      <w:b w:val="0"/>
                      <w:bCs w:val="0"/>
                      <w:sz w:val="18"/>
                      <w:szCs w:val="18"/>
                    </w:rPr>
                  </w:pPr>
                </w:p>
                <w:p w14:paraId="624A5570">
                  <w:pPr>
                    <w:rPr>
                      <w:rFonts w:hint="eastAsia" w:ascii="宋体" w:hAnsi="宋体" w:eastAsia="宋体" w:cs="宋体"/>
                      <w:b w:val="0"/>
                      <w:bCs w:val="0"/>
                      <w:sz w:val="18"/>
                      <w:szCs w:val="18"/>
                    </w:rPr>
                  </w:pPr>
                </w:p>
              </w:tc>
              <w:tc>
                <w:tcPr>
                  <w:tcW w:w="0" w:type="auto"/>
                  <w:shd w:val="clear" w:color="000000" w:fill="auto"/>
                  <w:vAlign w:val="center"/>
                </w:tcPr>
                <w:p w14:paraId="33B64F4F">
                  <w:pPr>
                    <w:rPr>
                      <w:rFonts w:hint="eastAsia" w:ascii="宋体" w:hAnsi="宋体" w:eastAsia="宋体" w:cs="宋体"/>
                      <w:b w:val="0"/>
                      <w:bCs w:val="0"/>
                      <w:sz w:val="18"/>
                      <w:szCs w:val="18"/>
                    </w:rPr>
                  </w:pPr>
                  <w:r>
                    <w:rPr>
                      <w:rFonts w:hint="eastAsia" w:ascii="宋体" w:hAnsi="宋体" w:eastAsia="宋体" w:cs="宋体"/>
                      <w:b w:val="0"/>
                      <w:bCs w:val="0"/>
                      <w:sz w:val="18"/>
                      <w:szCs w:val="18"/>
                    </w:rPr>
                    <w:t>（1）通过现场巡查的方式对中心网管系统的运行状态进行巡检、记录。</w:t>
                  </w:r>
                </w:p>
                <w:p w14:paraId="074595D1">
                  <w:pPr>
                    <w:rPr>
                      <w:rFonts w:hint="eastAsia" w:ascii="宋体" w:hAnsi="宋体" w:eastAsia="宋体" w:cs="宋体"/>
                      <w:b w:val="0"/>
                      <w:bCs w:val="0"/>
                      <w:sz w:val="18"/>
                      <w:szCs w:val="18"/>
                    </w:rPr>
                  </w:pPr>
                  <w:r>
                    <w:rPr>
                      <w:rFonts w:hint="eastAsia" w:ascii="宋体" w:hAnsi="宋体" w:eastAsia="宋体" w:cs="宋体"/>
                      <w:b w:val="0"/>
                      <w:bCs w:val="0"/>
                      <w:sz w:val="18"/>
                      <w:szCs w:val="18"/>
                    </w:rPr>
                    <w:t>（2）对中心网管系统日志进行监测，及时通告、处置相关告警。</w:t>
                  </w:r>
                </w:p>
                <w:p w14:paraId="5ACE2C3C">
                  <w:pPr>
                    <w:rPr>
                      <w:rFonts w:hint="eastAsia" w:ascii="宋体" w:hAnsi="宋体" w:eastAsia="宋体" w:cs="宋体"/>
                      <w:b w:val="0"/>
                      <w:bCs w:val="0"/>
                      <w:sz w:val="18"/>
                      <w:szCs w:val="18"/>
                    </w:rPr>
                  </w:pPr>
                  <w:r>
                    <w:rPr>
                      <w:rFonts w:hint="eastAsia" w:ascii="宋体" w:hAnsi="宋体" w:eastAsia="宋体" w:cs="宋体"/>
                      <w:b w:val="0"/>
                      <w:bCs w:val="0"/>
                      <w:sz w:val="18"/>
                      <w:szCs w:val="18"/>
                    </w:rPr>
                    <w:t>（3）如发生异常情况，应第一时间报告省中心协助省中心协调相关厂商进行故障排查和维修。</w:t>
                  </w:r>
                </w:p>
              </w:tc>
              <w:tc>
                <w:tcPr>
                  <w:tcW w:w="0" w:type="auto"/>
                  <w:shd w:val="clear" w:color="000000" w:fill="auto"/>
                  <w:vAlign w:val="center"/>
                </w:tcPr>
                <w:p w14:paraId="0342F74E">
                  <w:pPr>
                    <w:rPr>
                      <w:rFonts w:hint="eastAsia" w:ascii="宋体" w:hAnsi="宋体" w:eastAsia="宋体" w:cs="宋体"/>
                      <w:b w:val="0"/>
                      <w:bCs w:val="0"/>
                      <w:sz w:val="18"/>
                      <w:szCs w:val="18"/>
                    </w:rPr>
                  </w:pPr>
                </w:p>
                <w:p w14:paraId="278C963A">
                  <w:pPr>
                    <w:rPr>
                      <w:rFonts w:hint="eastAsia" w:ascii="宋体" w:hAnsi="宋体" w:eastAsia="宋体" w:cs="宋体"/>
                      <w:b w:val="0"/>
                      <w:bCs w:val="0"/>
                      <w:sz w:val="18"/>
                      <w:szCs w:val="18"/>
                    </w:rPr>
                  </w:pPr>
                </w:p>
                <w:p w14:paraId="6A1C5575">
                  <w:pPr>
                    <w:rPr>
                      <w:rFonts w:hint="eastAsia" w:ascii="宋体" w:hAnsi="宋体" w:eastAsia="宋体" w:cs="宋体"/>
                      <w:b w:val="0"/>
                      <w:bCs w:val="0"/>
                      <w:sz w:val="18"/>
                      <w:szCs w:val="18"/>
                    </w:rPr>
                  </w:pPr>
                </w:p>
                <w:p w14:paraId="60FF557F">
                  <w:pPr>
                    <w:rPr>
                      <w:rFonts w:hint="eastAsia" w:ascii="宋体" w:hAnsi="宋体" w:eastAsia="宋体" w:cs="宋体"/>
                      <w:b w:val="0"/>
                      <w:bCs w:val="0"/>
                      <w:sz w:val="18"/>
                      <w:szCs w:val="18"/>
                    </w:rPr>
                  </w:pPr>
                  <w:r>
                    <w:rPr>
                      <w:rFonts w:hint="eastAsia" w:ascii="宋体" w:hAnsi="宋体" w:eastAsia="宋体" w:cs="宋体"/>
                      <w:b w:val="0"/>
                      <w:bCs w:val="0"/>
                      <w:sz w:val="18"/>
                      <w:szCs w:val="18"/>
                    </w:rPr>
                    <w:t>每周</w:t>
                  </w:r>
                </w:p>
                <w:p w14:paraId="2DEFB2B0">
                  <w:pPr>
                    <w:rPr>
                      <w:rFonts w:hint="eastAsia" w:ascii="宋体" w:hAnsi="宋体" w:eastAsia="宋体" w:cs="宋体"/>
                      <w:b w:val="0"/>
                      <w:bCs w:val="0"/>
                      <w:sz w:val="18"/>
                      <w:szCs w:val="18"/>
                    </w:rPr>
                  </w:pPr>
                  <w:r>
                    <w:rPr>
                      <w:rFonts w:hint="eastAsia" w:ascii="宋体" w:hAnsi="宋体" w:eastAsia="宋体" w:cs="宋体"/>
                      <w:b w:val="0"/>
                      <w:bCs w:val="0"/>
                      <w:sz w:val="18"/>
                      <w:szCs w:val="18"/>
                    </w:rPr>
                    <w:t>5*8小时</w:t>
                  </w:r>
                </w:p>
              </w:tc>
              <w:tc>
                <w:tcPr>
                  <w:tcW w:w="0" w:type="auto"/>
                  <w:shd w:val="clear" w:color="000000" w:fill="auto"/>
                  <w:vAlign w:val="center"/>
                </w:tcPr>
                <w:p w14:paraId="24890441">
                  <w:pPr>
                    <w:rPr>
                      <w:rFonts w:hint="eastAsia" w:ascii="宋体" w:hAnsi="宋体" w:eastAsia="宋体" w:cs="宋体"/>
                      <w:b w:val="0"/>
                      <w:bCs w:val="0"/>
                      <w:sz w:val="18"/>
                      <w:szCs w:val="18"/>
                    </w:rPr>
                  </w:pPr>
                </w:p>
                <w:p w14:paraId="0B5333FA">
                  <w:pPr>
                    <w:rPr>
                      <w:rFonts w:hint="eastAsia" w:ascii="宋体" w:hAnsi="宋体" w:eastAsia="宋体" w:cs="宋体"/>
                      <w:b w:val="0"/>
                      <w:bCs w:val="0"/>
                      <w:sz w:val="18"/>
                      <w:szCs w:val="18"/>
                    </w:rPr>
                  </w:pPr>
                </w:p>
                <w:p w14:paraId="77835A23">
                  <w:pPr>
                    <w:rPr>
                      <w:rFonts w:hint="eastAsia" w:ascii="宋体" w:hAnsi="宋体" w:eastAsia="宋体" w:cs="宋体"/>
                      <w:b w:val="0"/>
                      <w:bCs w:val="0"/>
                      <w:sz w:val="18"/>
                      <w:szCs w:val="18"/>
                    </w:rPr>
                  </w:pPr>
                </w:p>
                <w:p w14:paraId="383662EE">
                  <w:pPr>
                    <w:rPr>
                      <w:rFonts w:hint="eastAsia" w:ascii="宋体" w:hAnsi="宋体" w:eastAsia="宋体" w:cs="宋体"/>
                      <w:b w:val="0"/>
                      <w:bCs w:val="0"/>
                      <w:sz w:val="18"/>
                      <w:szCs w:val="18"/>
                    </w:rPr>
                  </w:pPr>
                </w:p>
                <w:p w14:paraId="03AA3279">
                  <w:pPr>
                    <w:rPr>
                      <w:rFonts w:hint="eastAsia" w:ascii="宋体" w:hAnsi="宋体" w:eastAsia="宋体" w:cs="宋体"/>
                      <w:b w:val="0"/>
                      <w:bCs w:val="0"/>
                      <w:sz w:val="18"/>
                      <w:szCs w:val="18"/>
                    </w:rPr>
                  </w:pPr>
                  <w:r>
                    <w:rPr>
                      <w:rFonts w:hint="eastAsia" w:ascii="宋体" w:hAnsi="宋体" w:eastAsia="宋体" w:cs="宋体"/>
                      <w:b w:val="0"/>
                      <w:bCs w:val="0"/>
                      <w:sz w:val="18"/>
                      <w:szCs w:val="18"/>
                    </w:rPr>
                    <w:t>（1）巡检：2次/天，特殊情况下4次/天；（2）发生故障时</w:t>
                  </w:r>
                </w:p>
              </w:tc>
              <w:tc>
                <w:tcPr>
                  <w:tcW w:w="0" w:type="auto"/>
                  <w:shd w:val="clear" w:color="000000" w:fill="auto"/>
                  <w:vAlign w:val="center"/>
                </w:tcPr>
                <w:p w14:paraId="545E3C0F">
                  <w:pPr>
                    <w:rPr>
                      <w:rFonts w:hint="eastAsia" w:ascii="宋体" w:hAnsi="宋体" w:eastAsia="宋体" w:cs="宋体"/>
                      <w:b w:val="0"/>
                      <w:bCs w:val="0"/>
                      <w:sz w:val="18"/>
                      <w:szCs w:val="18"/>
                    </w:rPr>
                  </w:pPr>
                  <w:r>
                    <w:rPr>
                      <w:rFonts w:hint="eastAsia" w:ascii="宋体" w:hAnsi="宋体" w:eastAsia="宋体" w:cs="宋体"/>
                      <w:b w:val="0"/>
                      <w:bCs w:val="0"/>
                      <w:sz w:val="18"/>
                      <w:szCs w:val="18"/>
                    </w:rPr>
                    <w:t>现场</w:t>
                  </w:r>
                </w:p>
              </w:tc>
              <w:tc>
                <w:tcPr>
                  <w:tcW w:w="0" w:type="auto"/>
                  <w:shd w:val="clear" w:color="000000" w:fill="auto"/>
                  <w:vAlign w:val="center"/>
                </w:tcPr>
                <w:p w14:paraId="48C4E863">
                  <w:pPr>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（1）《巡检报告》；</w:t>
                  </w:r>
                </w:p>
                <w:p w14:paraId="673CCDC0">
                  <w:pPr>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（2）《服务事件记录》、《故障报告》</w:t>
                  </w:r>
                </w:p>
              </w:tc>
            </w:tr>
            <w:tr w14:paraId="602D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0" w:type="auto"/>
                  <w:shd w:val="clear" w:color="000000" w:fill="auto"/>
                  <w:vAlign w:val="center"/>
                </w:tcPr>
                <w:p w14:paraId="0B491FD3">
                  <w:pPr>
                    <w:jc w:val="center"/>
                    <w:rPr>
                      <w:rFonts w:hint="eastAsia" w:ascii="宋体" w:hAnsi="宋体" w:eastAsia="宋体" w:cs="宋体"/>
                      <w:b w:val="0"/>
                      <w:bCs w:val="0"/>
                      <w:sz w:val="18"/>
                      <w:szCs w:val="18"/>
                    </w:rPr>
                  </w:pPr>
                </w:p>
                <w:p w14:paraId="203646D6">
                  <w:pPr>
                    <w:jc w:val="center"/>
                    <w:rPr>
                      <w:rFonts w:hint="eastAsia" w:ascii="宋体" w:hAnsi="宋体" w:eastAsia="宋体" w:cs="宋体"/>
                      <w:b w:val="0"/>
                      <w:bCs w:val="0"/>
                      <w:sz w:val="18"/>
                      <w:szCs w:val="18"/>
                    </w:rPr>
                  </w:pPr>
                </w:p>
                <w:p w14:paraId="5D8F56C0">
                  <w:pPr>
                    <w:jc w:val="center"/>
                    <w:rPr>
                      <w:rFonts w:hint="eastAsia" w:ascii="宋体" w:hAnsi="宋体" w:eastAsia="宋体" w:cs="宋体"/>
                      <w:b w:val="0"/>
                      <w:bCs w:val="0"/>
                      <w:sz w:val="18"/>
                      <w:szCs w:val="18"/>
                    </w:rPr>
                  </w:pPr>
                </w:p>
                <w:p w14:paraId="2BBB15AC">
                  <w:pPr>
                    <w:jc w:val="center"/>
                    <w:rPr>
                      <w:rFonts w:hint="eastAsia" w:ascii="宋体" w:hAnsi="宋体" w:eastAsia="宋体" w:cs="宋体"/>
                      <w:b w:val="0"/>
                      <w:bCs w:val="0"/>
                      <w:sz w:val="18"/>
                      <w:szCs w:val="18"/>
                    </w:rPr>
                  </w:pPr>
                </w:p>
                <w:p w14:paraId="30EA3A56">
                  <w:pPr>
                    <w:jc w:val="center"/>
                    <w:rPr>
                      <w:rFonts w:hint="eastAsia" w:ascii="宋体" w:hAnsi="宋体" w:eastAsia="宋体" w:cs="宋体"/>
                      <w:b w:val="0"/>
                      <w:bCs w:val="0"/>
                      <w:sz w:val="18"/>
                      <w:szCs w:val="18"/>
                    </w:rPr>
                  </w:pPr>
                </w:p>
                <w:p w14:paraId="0D22266E">
                  <w:pPr>
                    <w:jc w:val="center"/>
                    <w:rPr>
                      <w:rFonts w:hint="eastAsia" w:ascii="宋体" w:hAnsi="宋体" w:eastAsia="宋体" w:cs="宋体"/>
                      <w:b w:val="0"/>
                      <w:bCs w:val="0"/>
                      <w:sz w:val="18"/>
                      <w:szCs w:val="18"/>
                    </w:rPr>
                  </w:pPr>
                </w:p>
                <w:p w14:paraId="18ECFEFE">
                  <w:pPr>
                    <w:jc w:val="center"/>
                    <w:rPr>
                      <w:rFonts w:hint="eastAsia" w:ascii="宋体" w:hAnsi="宋体" w:eastAsia="宋体" w:cs="宋体"/>
                      <w:b w:val="0"/>
                      <w:bCs w:val="0"/>
                      <w:sz w:val="18"/>
                      <w:szCs w:val="18"/>
                    </w:rPr>
                  </w:pPr>
                </w:p>
                <w:p w14:paraId="33434966">
                  <w:pPr>
                    <w:jc w:val="center"/>
                    <w:rPr>
                      <w:rFonts w:hint="eastAsia" w:ascii="宋体" w:hAnsi="宋体" w:eastAsia="宋体" w:cs="宋体"/>
                      <w:b w:val="0"/>
                      <w:bCs w:val="0"/>
                      <w:sz w:val="18"/>
                      <w:szCs w:val="18"/>
                    </w:rPr>
                  </w:pPr>
                </w:p>
                <w:p w14:paraId="5944883F">
                  <w:pPr>
                    <w:jc w:val="center"/>
                    <w:rPr>
                      <w:rFonts w:hint="eastAsia" w:ascii="宋体" w:hAnsi="宋体" w:eastAsia="宋体" w:cs="宋体"/>
                      <w:b w:val="0"/>
                      <w:bCs w:val="0"/>
                      <w:sz w:val="18"/>
                      <w:szCs w:val="18"/>
                    </w:rPr>
                  </w:pPr>
                </w:p>
                <w:p w14:paraId="1D5B4ADE">
                  <w:pPr>
                    <w:jc w:val="center"/>
                    <w:rPr>
                      <w:rFonts w:hint="eastAsia" w:ascii="宋体" w:hAnsi="宋体" w:eastAsia="宋体" w:cs="宋体"/>
                      <w:b w:val="0"/>
                      <w:bCs w:val="0"/>
                      <w:sz w:val="18"/>
                      <w:szCs w:val="18"/>
                    </w:rPr>
                  </w:pPr>
                </w:p>
                <w:p w14:paraId="07F4FCA4">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3</w:t>
                  </w:r>
                </w:p>
              </w:tc>
              <w:tc>
                <w:tcPr>
                  <w:tcW w:w="0" w:type="auto"/>
                  <w:shd w:val="clear" w:color="000000" w:fill="auto"/>
                  <w:vAlign w:val="center"/>
                </w:tcPr>
                <w:p w14:paraId="23ACD28D">
                  <w:pPr>
                    <w:rPr>
                      <w:rFonts w:hint="eastAsia" w:ascii="宋体" w:hAnsi="宋体" w:eastAsia="宋体" w:cs="宋体"/>
                      <w:b w:val="0"/>
                      <w:bCs w:val="0"/>
                      <w:sz w:val="18"/>
                      <w:szCs w:val="18"/>
                    </w:rPr>
                  </w:pPr>
                </w:p>
                <w:p w14:paraId="3B6953A6">
                  <w:pPr>
                    <w:rPr>
                      <w:rFonts w:hint="eastAsia" w:ascii="宋体" w:hAnsi="宋体" w:eastAsia="宋体" w:cs="宋体"/>
                      <w:b w:val="0"/>
                      <w:bCs w:val="0"/>
                      <w:sz w:val="18"/>
                      <w:szCs w:val="18"/>
                    </w:rPr>
                  </w:pPr>
                </w:p>
                <w:p w14:paraId="09C623C1">
                  <w:pPr>
                    <w:rPr>
                      <w:rFonts w:hint="eastAsia" w:ascii="宋体" w:hAnsi="宋体" w:eastAsia="宋体" w:cs="宋体"/>
                      <w:b w:val="0"/>
                      <w:bCs w:val="0"/>
                      <w:sz w:val="18"/>
                      <w:szCs w:val="18"/>
                    </w:rPr>
                  </w:pPr>
                </w:p>
                <w:p w14:paraId="2C9D9B7B">
                  <w:pPr>
                    <w:rPr>
                      <w:rFonts w:hint="eastAsia" w:ascii="宋体" w:hAnsi="宋体" w:eastAsia="宋体" w:cs="宋体"/>
                      <w:b w:val="0"/>
                      <w:bCs w:val="0"/>
                      <w:sz w:val="18"/>
                      <w:szCs w:val="18"/>
                    </w:rPr>
                  </w:pPr>
                  <w:r>
                    <w:rPr>
                      <w:rFonts w:hint="eastAsia" w:ascii="宋体" w:hAnsi="宋体" w:eastAsia="宋体" w:cs="宋体"/>
                      <w:b w:val="0"/>
                      <w:bCs w:val="0"/>
                      <w:sz w:val="18"/>
                      <w:szCs w:val="18"/>
                    </w:rPr>
                    <w:t>ODF光纤配线架运行监测</w:t>
                  </w:r>
                </w:p>
              </w:tc>
              <w:tc>
                <w:tcPr>
                  <w:tcW w:w="0" w:type="auto"/>
                  <w:shd w:val="clear" w:color="000000" w:fill="auto"/>
                  <w:vAlign w:val="center"/>
                </w:tcPr>
                <w:p w14:paraId="030FCB94">
                  <w:pPr>
                    <w:rPr>
                      <w:rFonts w:hint="eastAsia" w:ascii="宋体" w:hAnsi="宋体" w:eastAsia="宋体" w:cs="宋体"/>
                      <w:b w:val="0"/>
                      <w:bCs w:val="0"/>
                      <w:sz w:val="18"/>
                      <w:szCs w:val="18"/>
                    </w:rPr>
                  </w:pPr>
                  <w:r>
                    <w:rPr>
                      <w:rFonts w:hint="eastAsia" w:ascii="宋体" w:hAnsi="宋体" w:eastAsia="宋体" w:cs="宋体"/>
                      <w:b w:val="0"/>
                      <w:bCs w:val="0"/>
                      <w:sz w:val="18"/>
                      <w:szCs w:val="18"/>
                    </w:rPr>
                    <w:t>通过现场巡查方式对ODF光纤配线架的检查连接状态和光纤的外观损耗情况并进行巡检和记录。</w:t>
                  </w:r>
                </w:p>
                <w:p w14:paraId="1AA55982">
                  <w:pPr>
                    <w:rPr>
                      <w:rFonts w:hint="eastAsia" w:ascii="宋体" w:hAnsi="宋体" w:eastAsia="宋体" w:cs="宋体"/>
                      <w:b w:val="0"/>
                      <w:bCs w:val="0"/>
                      <w:sz w:val="18"/>
                      <w:szCs w:val="18"/>
                    </w:rPr>
                  </w:pPr>
                  <w:r>
                    <w:rPr>
                      <w:rFonts w:hint="eastAsia" w:ascii="宋体" w:hAnsi="宋体" w:eastAsia="宋体" w:cs="宋体"/>
                      <w:b w:val="0"/>
                      <w:bCs w:val="0"/>
                      <w:sz w:val="18"/>
                      <w:szCs w:val="18"/>
                    </w:rPr>
                    <w:t>应定期对ODF光纤配线架清洁避免灰尘和污垢的积累影响光信号的传输。</w:t>
                  </w:r>
                </w:p>
                <w:p w14:paraId="7AD62CF5">
                  <w:pPr>
                    <w:rPr>
                      <w:rFonts w:hint="eastAsia" w:ascii="宋体" w:hAnsi="宋体" w:eastAsia="宋体" w:cs="宋体"/>
                      <w:b w:val="0"/>
                      <w:bCs w:val="0"/>
                      <w:sz w:val="18"/>
                      <w:szCs w:val="18"/>
                    </w:rPr>
                  </w:pPr>
                  <w:r>
                    <w:rPr>
                      <w:rFonts w:hint="eastAsia" w:ascii="宋体" w:hAnsi="宋体" w:eastAsia="宋体" w:cs="宋体"/>
                      <w:b w:val="0"/>
                      <w:bCs w:val="0"/>
                      <w:sz w:val="18"/>
                      <w:szCs w:val="18"/>
                    </w:rPr>
                    <w:t>（3）如发生异常情况，应第一时间报告省中心协助省中心协调相关厂商进行故障排查和维修。</w:t>
                  </w:r>
                </w:p>
              </w:tc>
              <w:tc>
                <w:tcPr>
                  <w:tcW w:w="0" w:type="auto"/>
                  <w:shd w:val="clear" w:color="000000" w:fill="auto"/>
                  <w:vAlign w:val="center"/>
                </w:tcPr>
                <w:p w14:paraId="23983F51">
                  <w:pPr>
                    <w:rPr>
                      <w:rFonts w:hint="eastAsia" w:ascii="宋体" w:hAnsi="宋体" w:eastAsia="宋体" w:cs="宋体"/>
                      <w:b w:val="0"/>
                      <w:bCs w:val="0"/>
                      <w:sz w:val="18"/>
                      <w:szCs w:val="18"/>
                    </w:rPr>
                  </w:pPr>
                </w:p>
                <w:p w14:paraId="371BCF2C">
                  <w:pPr>
                    <w:rPr>
                      <w:rFonts w:hint="eastAsia" w:ascii="宋体" w:hAnsi="宋体" w:eastAsia="宋体" w:cs="宋体"/>
                      <w:b w:val="0"/>
                      <w:bCs w:val="0"/>
                      <w:sz w:val="18"/>
                      <w:szCs w:val="18"/>
                    </w:rPr>
                  </w:pPr>
                </w:p>
                <w:p w14:paraId="5FA59A70">
                  <w:pPr>
                    <w:rPr>
                      <w:rFonts w:hint="eastAsia" w:ascii="宋体" w:hAnsi="宋体" w:eastAsia="宋体" w:cs="宋体"/>
                      <w:b w:val="0"/>
                      <w:bCs w:val="0"/>
                      <w:sz w:val="18"/>
                      <w:szCs w:val="18"/>
                    </w:rPr>
                  </w:pPr>
                </w:p>
                <w:p w14:paraId="00475EAC">
                  <w:pPr>
                    <w:rPr>
                      <w:rFonts w:hint="eastAsia" w:ascii="宋体" w:hAnsi="宋体" w:eastAsia="宋体" w:cs="宋体"/>
                      <w:b w:val="0"/>
                      <w:bCs w:val="0"/>
                      <w:sz w:val="18"/>
                      <w:szCs w:val="18"/>
                    </w:rPr>
                  </w:pPr>
                </w:p>
                <w:p w14:paraId="39E32747">
                  <w:pPr>
                    <w:rPr>
                      <w:rFonts w:hint="eastAsia" w:ascii="宋体" w:hAnsi="宋体" w:eastAsia="宋体" w:cs="宋体"/>
                      <w:b w:val="0"/>
                      <w:bCs w:val="0"/>
                      <w:sz w:val="18"/>
                      <w:szCs w:val="18"/>
                    </w:rPr>
                  </w:pPr>
                </w:p>
                <w:p w14:paraId="2A0F2F47">
                  <w:pPr>
                    <w:rPr>
                      <w:rFonts w:hint="eastAsia" w:ascii="宋体" w:hAnsi="宋体" w:eastAsia="宋体" w:cs="宋体"/>
                      <w:b w:val="0"/>
                      <w:bCs w:val="0"/>
                      <w:sz w:val="18"/>
                      <w:szCs w:val="18"/>
                    </w:rPr>
                  </w:pPr>
                  <w:r>
                    <w:rPr>
                      <w:rFonts w:hint="eastAsia" w:ascii="宋体" w:hAnsi="宋体" w:eastAsia="宋体" w:cs="宋体"/>
                      <w:b w:val="0"/>
                      <w:bCs w:val="0"/>
                      <w:sz w:val="18"/>
                      <w:szCs w:val="18"/>
                    </w:rPr>
                    <w:t>每周</w:t>
                  </w:r>
                </w:p>
                <w:p w14:paraId="2AB66274">
                  <w:pPr>
                    <w:rPr>
                      <w:rFonts w:hint="eastAsia" w:ascii="宋体" w:hAnsi="宋体" w:eastAsia="宋体" w:cs="宋体"/>
                      <w:b w:val="0"/>
                      <w:bCs w:val="0"/>
                      <w:sz w:val="18"/>
                      <w:szCs w:val="18"/>
                    </w:rPr>
                  </w:pPr>
                  <w:r>
                    <w:rPr>
                      <w:rFonts w:hint="eastAsia" w:ascii="宋体" w:hAnsi="宋体" w:eastAsia="宋体" w:cs="宋体"/>
                      <w:b w:val="0"/>
                      <w:bCs w:val="0"/>
                      <w:sz w:val="18"/>
                      <w:szCs w:val="18"/>
                    </w:rPr>
                    <w:t>5*8小时</w:t>
                  </w:r>
                </w:p>
              </w:tc>
              <w:tc>
                <w:tcPr>
                  <w:tcW w:w="0" w:type="auto"/>
                  <w:shd w:val="clear" w:color="000000" w:fill="auto"/>
                  <w:vAlign w:val="center"/>
                </w:tcPr>
                <w:p w14:paraId="7CA32AA9">
                  <w:pPr>
                    <w:rPr>
                      <w:rFonts w:hint="eastAsia" w:ascii="宋体" w:hAnsi="宋体" w:eastAsia="宋体" w:cs="宋体"/>
                      <w:b w:val="0"/>
                      <w:bCs w:val="0"/>
                      <w:sz w:val="18"/>
                      <w:szCs w:val="18"/>
                    </w:rPr>
                  </w:pPr>
                  <w:r>
                    <w:rPr>
                      <w:rFonts w:hint="eastAsia" w:ascii="宋体" w:hAnsi="宋体" w:eastAsia="宋体" w:cs="宋体"/>
                      <w:b w:val="0"/>
                      <w:bCs w:val="0"/>
                      <w:sz w:val="18"/>
                      <w:szCs w:val="18"/>
                    </w:rPr>
                    <w:t>（1）巡检：2次/天，特殊情况下4次/天；（2）发生故障时</w:t>
                  </w:r>
                </w:p>
              </w:tc>
              <w:tc>
                <w:tcPr>
                  <w:tcW w:w="0" w:type="auto"/>
                  <w:shd w:val="clear" w:color="000000" w:fill="auto"/>
                  <w:vAlign w:val="center"/>
                </w:tcPr>
                <w:p w14:paraId="407A3123">
                  <w:pPr>
                    <w:rPr>
                      <w:rFonts w:hint="eastAsia" w:ascii="宋体" w:hAnsi="宋体" w:eastAsia="宋体" w:cs="宋体"/>
                      <w:b w:val="0"/>
                      <w:bCs w:val="0"/>
                      <w:sz w:val="18"/>
                      <w:szCs w:val="18"/>
                    </w:rPr>
                  </w:pPr>
                  <w:r>
                    <w:rPr>
                      <w:rFonts w:hint="eastAsia" w:ascii="宋体" w:hAnsi="宋体" w:eastAsia="宋体" w:cs="宋体"/>
                      <w:b w:val="0"/>
                      <w:bCs w:val="0"/>
                      <w:sz w:val="18"/>
                      <w:szCs w:val="18"/>
                    </w:rPr>
                    <w:t>现场</w:t>
                  </w:r>
                </w:p>
              </w:tc>
              <w:tc>
                <w:tcPr>
                  <w:tcW w:w="0" w:type="auto"/>
                  <w:shd w:val="clear" w:color="000000" w:fill="auto"/>
                  <w:vAlign w:val="center"/>
                </w:tcPr>
                <w:p w14:paraId="79957F47">
                  <w:pPr>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（1）《巡检报告》；</w:t>
                  </w:r>
                </w:p>
                <w:p w14:paraId="1069A4E7">
                  <w:pPr>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（2）《服务事件记录》、《故障报告》</w:t>
                  </w:r>
                </w:p>
              </w:tc>
            </w:tr>
            <w:tr w14:paraId="1156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0" w:type="auto"/>
                  <w:shd w:val="clear" w:color="000000" w:fill="auto"/>
                  <w:vAlign w:val="center"/>
                </w:tcPr>
                <w:p w14:paraId="22B906A8">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4</w:t>
                  </w:r>
                </w:p>
              </w:tc>
              <w:tc>
                <w:tcPr>
                  <w:tcW w:w="0" w:type="auto"/>
                  <w:shd w:val="clear" w:color="000000" w:fill="auto"/>
                  <w:vAlign w:val="center"/>
                </w:tcPr>
                <w:p w14:paraId="23094CC9">
                  <w:pPr>
                    <w:rPr>
                      <w:rFonts w:hint="eastAsia" w:ascii="宋体" w:hAnsi="宋体" w:eastAsia="宋体" w:cs="宋体"/>
                      <w:b w:val="0"/>
                      <w:bCs w:val="0"/>
                      <w:sz w:val="18"/>
                      <w:szCs w:val="18"/>
                    </w:rPr>
                  </w:pPr>
                  <w:r>
                    <w:rPr>
                      <w:rFonts w:hint="eastAsia" w:ascii="宋体" w:hAnsi="宋体" w:eastAsia="宋体" w:cs="宋体"/>
                      <w:b w:val="0"/>
                      <w:bCs w:val="0"/>
                      <w:sz w:val="18"/>
                      <w:szCs w:val="18"/>
                    </w:rPr>
                    <w:t>程控交换系统运行监测</w:t>
                  </w:r>
                </w:p>
              </w:tc>
              <w:tc>
                <w:tcPr>
                  <w:tcW w:w="0" w:type="auto"/>
                  <w:shd w:val="clear" w:color="000000" w:fill="auto"/>
                  <w:vAlign w:val="center"/>
                </w:tcPr>
                <w:p w14:paraId="22B07AF0">
                  <w:pPr>
                    <w:rPr>
                      <w:rFonts w:hint="eastAsia" w:ascii="宋体" w:hAnsi="宋体" w:eastAsia="宋体" w:cs="宋体"/>
                      <w:b w:val="0"/>
                      <w:bCs w:val="0"/>
                      <w:sz w:val="18"/>
                      <w:szCs w:val="18"/>
                    </w:rPr>
                  </w:pPr>
                  <w:r>
                    <w:rPr>
                      <w:rFonts w:hint="eastAsia" w:ascii="宋体" w:hAnsi="宋体" w:eastAsia="宋体" w:cs="宋体"/>
                      <w:b w:val="0"/>
                      <w:bCs w:val="0"/>
                      <w:sz w:val="18"/>
                      <w:szCs w:val="18"/>
                    </w:rPr>
                    <w:t>（1）通过现场巡查的方式对中心程控交换系统的运行状态进行巡检、记录。</w:t>
                  </w:r>
                </w:p>
                <w:p w14:paraId="5466817D">
                  <w:pPr>
                    <w:rPr>
                      <w:rFonts w:hint="eastAsia" w:ascii="宋体" w:hAnsi="宋体" w:eastAsia="宋体" w:cs="宋体"/>
                      <w:b w:val="0"/>
                      <w:bCs w:val="0"/>
                      <w:sz w:val="18"/>
                      <w:szCs w:val="18"/>
                    </w:rPr>
                  </w:pPr>
                  <w:r>
                    <w:rPr>
                      <w:rFonts w:hint="eastAsia" w:ascii="宋体" w:hAnsi="宋体" w:eastAsia="宋体" w:cs="宋体"/>
                      <w:b w:val="0"/>
                      <w:bCs w:val="0"/>
                      <w:sz w:val="18"/>
                      <w:szCs w:val="18"/>
                    </w:rPr>
                    <w:t>（2）如发生异常情况，应第一时间报告省中心协助省中心协调相关厂商进行故障排查和维修。</w:t>
                  </w:r>
                </w:p>
              </w:tc>
              <w:tc>
                <w:tcPr>
                  <w:tcW w:w="0" w:type="auto"/>
                  <w:shd w:val="clear" w:color="000000" w:fill="auto"/>
                  <w:vAlign w:val="center"/>
                </w:tcPr>
                <w:p w14:paraId="772C9903">
                  <w:pPr>
                    <w:rPr>
                      <w:rFonts w:hint="eastAsia" w:ascii="宋体" w:hAnsi="宋体" w:eastAsia="宋体" w:cs="宋体"/>
                      <w:b w:val="0"/>
                      <w:bCs w:val="0"/>
                      <w:sz w:val="18"/>
                      <w:szCs w:val="18"/>
                    </w:rPr>
                  </w:pPr>
                  <w:r>
                    <w:rPr>
                      <w:rFonts w:hint="eastAsia" w:ascii="宋体" w:hAnsi="宋体" w:eastAsia="宋体" w:cs="宋体"/>
                      <w:b w:val="0"/>
                      <w:bCs w:val="0"/>
                      <w:sz w:val="18"/>
                      <w:szCs w:val="18"/>
                    </w:rPr>
                    <w:t>每周5*8小时</w:t>
                  </w:r>
                </w:p>
              </w:tc>
              <w:tc>
                <w:tcPr>
                  <w:tcW w:w="0" w:type="auto"/>
                  <w:shd w:val="clear" w:color="000000" w:fill="auto"/>
                  <w:vAlign w:val="center"/>
                </w:tcPr>
                <w:p w14:paraId="6F67F702">
                  <w:pPr>
                    <w:rPr>
                      <w:rFonts w:hint="eastAsia" w:ascii="宋体" w:hAnsi="宋体" w:eastAsia="宋体" w:cs="宋体"/>
                      <w:b w:val="0"/>
                      <w:bCs w:val="0"/>
                      <w:sz w:val="18"/>
                      <w:szCs w:val="18"/>
                    </w:rPr>
                  </w:pPr>
                  <w:r>
                    <w:rPr>
                      <w:rFonts w:hint="eastAsia" w:ascii="宋体" w:hAnsi="宋体" w:eastAsia="宋体" w:cs="宋体"/>
                      <w:b w:val="0"/>
                      <w:bCs w:val="0"/>
                      <w:sz w:val="18"/>
                      <w:szCs w:val="18"/>
                    </w:rPr>
                    <w:t>（1）巡检：2次/天，特殊情况下4次/天；（2）发生故障时</w:t>
                  </w:r>
                </w:p>
              </w:tc>
              <w:tc>
                <w:tcPr>
                  <w:tcW w:w="0" w:type="auto"/>
                  <w:shd w:val="clear" w:color="000000" w:fill="auto"/>
                  <w:vAlign w:val="center"/>
                </w:tcPr>
                <w:p w14:paraId="1E67AF39">
                  <w:pPr>
                    <w:rPr>
                      <w:rFonts w:hint="eastAsia" w:ascii="宋体" w:hAnsi="宋体" w:eastAsia="宋体" w:cs="宋体"/>
                      <w:b w:val="0"/>
                      <w:bCs w:val="0"/>
                      <w:sz w:val="18"/>
                      <w:szCs w:val="18"/>
                    </w:rPr>
                  </w:pPr>
                  <w:r>
                    <w:rPr>
                      <w:rFonts w:hint="eastAsia" w:ascii="宋体" w:hAnsi="宋体" w:eastAsia="宋体" w:cs="宋体"/>
                      <w:b w:val="0"/>
                      <w:bCs w:val="0"/>
                      <w:sz w:val="18"/>
                      <w:szCs w:val="18"/>
                    </w:rPr>
                    <w:t>现场</w:t>
                  </w:r>
                </w:p>
              </w:tc>
              <w:tc>
                <w:tcPr>
                  <w:tcW w:w="0" w:type="auto"/>
                  <w:shd w:val="clear" w:color="000000" w:fill="auto"/>
                  <w:vAlign w:val="center"/>
                </w:tcPr>
                <w:p w14:paraId="26E043D3">
                  <w:pPr>
                    <w:ind w:leftChars="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（1）《巡检报告》；</w:t>
                  </w:r>
                </w:p>
                <w:p w14:paraId="514EA2B3">
                  <w:pPr>
                    <w:ind w:leftChars="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（2）《服务事件记录》、《故障报告》</w:t>
                  </w:r>
                </w:p>
              </w:tc>
            </w:tr>
            <w:tr w14:paraId="28FA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0" w:type="auto"/>
                  <w:shd w:val="clear" w:color="000000" w:fill="auto"/>
                  <w:vAlign w:val="center"/>
                </w:tcPr>
                <w:p w14:paraId="503AC254">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5</w:t>
                  </w:r>
                </w:p>
              </w:tc>
              <w:tc>
                <w:tcPr>
                  <w:tcW w:w="0" w:type="auto"/>
                  <w:shd w:val="clear" w:color="000000" w:fill="auto"/>
                  <w:vAlign w:val="center"/>
                </w:tcPr>
                <w:p w14:paraId="74A241DE">
                  <w:pPr>
                    <w:rPr>
                      <w:rFonts w:hint="eastAsia" w:ascii="宋体" w:hAnsi="宋体" w:eastAsia="宋体" w:cs="宋体"/>
                      <w:b w:val="0"/>
                      <w:bCs w:val="0"/>
                      <w:sz w:val="18"/>
                      <w:szCs w:val="18"/>
                    </w:rPr>
                  </w:pPr>
                  <w:r>
                    <w:rPr>
                      <w:rFonts w:hint="eastAsia" w:ascii="宋体" w:hAnsi="宋体" w:eastAsia="宋体" w:cs="宋体"/>
                      <w:b w:val="0"/>
                      <w:bCs w:val="0"/>
                      <w:sz w:val="18"/>
                      <w:szCs w:val="18"/>
                    </w:rPr>
                    <w:t>传输系统配套备用供电系统运行监测</w:t>
                  </w:r>
                </w:p>
              </w:tc>
              <w:tc>
                <w:tcPr>
                  <w:tcW w:w="0" w:type="auto"/>
                  <w:shd w:val="clear" w:color="000000" w:fill="auto"/>
                  <w:vAlign w:val="center"/>
                </w:tcPr>
                <w:p w14:paraId="6A27F3E5">
                  <w:pPr>
                    <w:rPr>
                      <w:rFonts w:hint="eastAsia" w:ascii="宋体" w:hAnsi="宋体" w:eastAsia="宋体" w:cs="宋体"/>
                      <w:b w:val="0"/>
                      <w:bCs w:val="0"/>
                      <w:sz w:val="18"/>
                      <w:szCs w:val="18"/>
                    </w:rPr>
                  </w:pPr>
                  <w:r>
                    <w:rPr>
                      <w:rFonts w:hint="eastAsia" w:ascii="宋体" w:hAnsi="宋体" w:eastAsia="宋体" w:cs="宋体"/>
                      <w:b w:val="0"/>
                      <w:bCs w:val="0"/>
                      <w:sz w:val="18"/>
                      <w:szCs w:val="18"/>
                    </w:rPr>
                    <w:t>（1）通过现场巡查的方式对中心传输系统配套电源的运行状态进行巡检、记录。</w:t>
                  </w:r>
                </w:p>
                <w:p w14:paraId="641C8DAA">
                  <w:pPr>
                    <w:rPr>
                      <w:rFonts w:hint="eastAsia" w:ascii="宋体" w:hAnsi="宋体" w:eastAsia="宋体" w:cs="宋体"/>
                      <w:b w:val="0"/>
                      <w:bCs w:val="0"/>
                      <w:sz w:val="18"/>
                      <w:szCs w:val="18"/>
                    </w:rPr>
                  </w:pPr>
                  <w:r>
                    <w:rPr>
                      <w:rFonts w:hint="eastAsia" w:ascii="宋体" w:hAnsi="宋体" w:eastAsia="宋体" w:cs="宋体"/>
                      <w:b w:val="0"/>
                      <w:bCs w:val="0"/>
                      <w:sz w:val="18"/>
                      <w:szCs w:val="18"/>
                    </w:rPr>
                    <w:t>（2）在不经常停电时，每半年人为充放电一次，测试UPS电池应急运行状态。</w:t>
                  </w:r>
                </w:p>
                <w:p w14:paraId="72245E7C">
                  <w:pPr>
                    <w:rPr>
                      <w:rFonts w:hint="eastAsia" w:ascii="宋体" w:hAnsi="宋体" w:eastAsia="宋体" w:cs="宋体"/>
                      <w:b w:val="0"/>
                      <w:bCs w:val="0"/>
                      <w:sz w:val="18"/>
                      <w:szCs w:val="18"/>
                    </w:rPr>
                  </w:pPr>
                  <w:r>
                    <w:rPr>
                      <w:rFonts w:hint="eastAsia" w:ascii="宋体" w:hAnsi="宋体" w:eastAsia="宋体" w:cs="宋体"/>
                      <w:b w:val="0"/>
                      <w:bCs w:val="0"/>
                      <w:sz w:val="18"/>
                      <w:szCs w:val="18"/>
                    </w:rPr>
                    <w:t>（3）如发生异常情况，应第一时间报告省中心协助省中心协调相关厂商进行故障排查和维修。</w:t>
                  </w:r>
                </w:p>
              </w:tc>
              <w:tc>
                <w:tcPr>
                  <w:tcW w:w="0" w:type="auto"/>
                  <w:shd w:val="clear" w:color="000000" w:fill="auto"/>
                  <w:vAlign w:val="center"/>
                </w:tcPr>
                <w:p w14:paraId="241B5480">
                  <w:pPr>
                    <w:rPr>
                      <w:rFonts w:hint="eastAsia" w:ascii="宋体" w:hAnsi="宋体" w:eastAsia="宋体" w:cs="宋体"/>
                      <w:b w:val="0"/>
                      <w:bCs w:val="0"/>
                      <w:sz w:val="18"/>
                      <w:szCs w:val="18"/>
                    </w:rPr>
                  </w:pPr>
                  <w:r>
                    <w:rPr>
                      <w:rFonts w:hint="eastAsia" w:ascii="宋体" w:hAnsi="宋体" w:eastAsia="宋体" w:cs="宋体"/>
                      <w:b w:val="0"/>
                      <w:bCs w:val="0"/>
                      <w:sz w:val="18"/>
                      <w:szCs w:val="18"/>
                    </w:rPr>
                    <w:t>每周5*8小时</w:t>
                  </w:r>
                </w:p>
              </w:tc>
              <w:tc>
                <w:tcPr>
                  <w:tcW w:w="0" w:type="auto"/>
                  <w:shd w:val="clear" w:color="000000" w:fill="auto"/>
                  <w:vAlign w:val="center"/>
                </w:tcPr>
                <w:p w14:paraId="57A2D3EF">
                  <w:pPr>
                    <w:rPr>
                      <w:rFonts w:hint="eastAsia" w:ascii="宋体" w:hAnsi="宋体" w:eastAsia="宋体" w:cs="宋体"/>
                      <w:b w:val="0"/>
                      <w:bCs w:val="0"/>
                      <w:sz w:val="18"/>
                      <w:szCs w:val="18"/>
                    </w:rPr>
                  </w:pPr>
                  <w:r>
                    <w:rPr>
                      <w:rFonts w:hint="eastAsia" w:ascii="宋体" w:hAnsi="宋体" w:eastAsia="宋体" w:cs="宋体"/>
                      <w:b w:val="0"/>
                      <w:bCs w:val="0"/>
                      <w:sz w:val="18"/>
                      <w:szCs w:val="18"/>
                    </w:rPr>
                    <w:t>（1）巡检：2次/天，特殊情况下4次/天；（2）发生故障时</w:t>
                  </w:r>
                </w:p>
              </w:tc>
              <w:tc>
                <w:tcPr>
                  <w:tcW w:w="0" w:type="auto"/>
                  <w:shd w:val="clear" w:color="000000" w:fill="auto"/>
                  <w:vAlign w:val="center"/>
                </w:tcPr>
                <w:p w14:paraId="025F01FD">
                  <w:pPr>
                    <w:rPr>
                      <w:rFonts w:hint="eastAsia" w:ascii="宋体" w:hAnsi="宋体" w:eastAsia="宋体" w:cs="宋体"/>
                      <w:b w:val="0"/>
                      <w:bCs w:val="0"/>
                      <w:sz w:val="18"/>
                      <w:szCs w:val="18"/>
                    </w:rPr>
                  </w:pPr>
                  <w:r>
                    <w:rPr>
                      <w:rFonts w:hint="eastAsia" w:ascii="宋体" w:hAnsi="宋体" w:eastAsia="宋体" w:cs="宋体"/>
                      <w:b w:val="0"/>
                      <w:bCs w:val="0"/>
                      <w:sz w:val="18"/>
                      <w:szCs w:val="18"/>
                    </w:rPr>
                    <w:t>现场</w:t>
                  </w:r>
                </w:p>
              </w:tc>
              <w:tc>
                <w:tcPr>
                  <w:tcW w:w="0" w:type="auto"/>
                  <w:shd w:val="clear" w:color="000000" w:fill="auto"/>
                  <w:vAlign w:val="center"/>
                </w:tcPr>
                <w:p w14:paraId="60D3661A">
                  <w:pPr>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（1）《巡检报告》；</w:t>
                  </w:r>
                </w:p>
                <w:p w14:paraId="2450997E">
                  <w:pPr>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（2）《服务事件记录》、《故障报告》</w:t>
                  </w:r>
                </w:p>
              </w:tc>
            </w:tr>
            <w:tr w14:paraId="6F78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0" w:type="auto"/>
                  <w:shd w:val="clear" w:color="000000" w:fill="auto"/>
                  <w:vAlign w:val="center"/>
                </w:tcPr>
                <w:p w14:paraId="002E3F26">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6</w:t>
                  </w:r>
                </w:p>
              </w:tc>
              <w:tc>
                <w:tcPr>
                  <w:tcW w:w="0" w:type="auto"/>
                  <w:shd w:val="clear" w:color="000000" w:fill="auto"/>
                  <w:vAlign w:val="center"/>
                </w:tcPr>
                <w:p w14:paraId="37E1068B">
                  <w:pPr>
                    <w:rPr>
                      <w:rFonts w:hint="eastAsia" w:ascii="宋体" w:hAnsi="宋体" w:eastAsia="宋体" w:cs="宋体"/>
                      <w:b w:val="0"/>
                      <w:bCs w:val="0"/>
                      <w:sz w:val="18"/>
                      <w:szCs w:val="18"/>
                    </w:rPr>
                  </w:pPr>
                  <w:r>
                    <w:rPr>
                      <w:rFonts w:hint="eastAsia" w:ascii="宋体" w:hAnsi="宋体" w:eastAsia="宋体" w:cs="宋体"/>
                      <w:b w:val="0"/>
                      <w:bCs w:val="0"/>
                      <w:sz w:val="18"/>
                      <w:szCs w:val="18"/>
                    </w:rPr>
                    <w:t>传输资产管理</w:t>
                  </w:r>
                </w:p>
              </w:tc>
              <w:tc>
                <w:tcPr>
                  <w:tcW w:w="0" w:type="auto"/>
                  <w:shd w:val="clear" w:color="000000" w:fill="auto"/>
                  <w:vAlign w:val="center"/>
                </w:tcPr>
                <w:p w14:paraId="7628D503">
                  <w:pPr>
                    <w:rPr>
                      <w:rFonts w:hint="eastAsia" w:ascii="宋体" w:hAnsi="宋体" w:eastAsia="宋体" w:cs="宋体"/>
                      <w:b w:val="0"/>
                      <w:bCs w:val="0"/>
                      <w:sz w:val="18"/>
                      <w:szCs w:val="18"/>
                    </w:rPr>
                  </w:pPr>
                  <w:r>
                    <w:rPr>
                      <w:rFonts w:hint="eastAsia" w:ascii="宋体" w:hAnsi="宋体" w:eastAsia="宋体" w:cs="宋体"/>
                      <w:b w:val="0"/>
                      <w:bCs w:val="0"/>
                      <w:sz w:val="18"/>
                      <w:szCs w:val="18"/>
                    </w:rPr>
                    <w:t>提供传输详细的时隙业务分配、光缆拓扑、设备软硬件配置、电路使用、其它各系统设备的软硬件配置、资源分配等方面的文字材料。</w:t>
                  </w:r>
                </w:p>
              </w:tc>
              <w:tc>
                <w:tcPr>
                  <w:tcW w:w="0" w:type="auto"/>
                  <w:shd w:val="clear" w:color="000000" w:fill="auto"/>
                  <w:vAlign w:val="center"/>
                </w:tcPr>
                <w:p w14:paraId="5F66E749">
                  <w:pPr>
                    <w:rPr>
                      <w:rFonts w:hint="eastAsia" w:ascii="宋体" w:hAnsi="宋体" w:eastAsia="宋体" w:cs="宋体"/>
                      <w:b w:val="0"/>
                      <w:bCs w:val="0"/>
                      <w:sz w:val="18"/>
                      <w:szCs w:val="18"/>
                    </w:rPr>
                  </w:pPr>
                  <w:r>
                    <w:rPr>
                      <w:rFonts w:hint="eastAsia" w:ascii="宋体" w:hAnsi="宋体" w:eastAsia="宋体" w:cs="宋体"/>
                      <w:b w:val="0"/>
                      <w:bCs w:val="0"/>
                      <w:sz w:val="18"/>
                      <w:szCs w:val="18"/>
                    </w:rPr>
                    <w:t>5*8</w:t>
                  </w:r>
                </w:p>
              </w:tc>
              <w:tc>
                <w:tcPr>
                  <w:tcW w:w="0" w:type="auto"/>
                  <w:shd w:val="clear" w:color="000000" w:fill="auto"/>
                  <w:vAlign w:val="center"/>
                </w:tcPr>
                <w:p w14:paraId="7961CBDF">
                  <w:pPr>
                    <w:rPr>
                      <w:rFonts w:hint="eastAsia" w:ascii="宋体" w:hAnsi="宋体" w:eastAsia="宋体" w:cs="宋体"/>
                      <w:b w:val="0"/>
                      <w:bCs w:val="0"/>
                      <w:sz w:val="18"/>
                      <w:szCs w:val="18"/>
                    </w:rPr>
                  </w:pPr>
                  <w:r>
                    <w:rPr>
                      <w:rFonts w:hint="eastAsia" w:ascii="宋体" w:hAnsi="宋体" w:eastAsia="宋体" w:cs="宋体"/>
                      <w:b w:val="0"/>
                      <w:bCs w:val="0"/>
                      <w:sz w:val="18"/>
                      <w:szCs w:val="18"/>
                    </w:rPr>
                    <w:t>1次/年</w:t>
                  </w:r>
                </w:p>
              </w:tc>
              <w:tc>
                <w:tcPr>
                  <w:tcW w:w="0" w:type="auto"/>
                  <w:shd w:val="clear" w:color="000000" w:fill="auto"/>
                  <w:vAlign w:val="center"/>
                </w:tcPr>
                <w:p w14:paraId="33E69A0C">
                  <w:pPr>
                    <w:rPr>
                      <w:rFonts w:hint="eastAsia" w:ascii="宋体" w:hAnsi="宋体" w:eastAsia="宋体" w:cs="宋体"/>
                      <w:b w:val="0"/>
                      <w:bCs w:val="0"/>
                      <w:sz w:val="18"/>
                      <w:szCs w:val="18"/>
                    </w:rPr>
                  </w:pPr>
                  <w:r>
                    <w:rPr>
                      <w:rFonts w:hint="eastAsia" w:ascii="宋体" w:hAnsi="宋体" w:eastAsia="宋体" w:cs="宋体"/>
                      <w:b w:val="0"/>
                      <w:bCs w:val="0"/>
                      <w:sz w:val="18"/>
                      <w:szCs w:val="18"/>
                    </w:rPr>
                    <w:t>现场</w:t>
                  </w:r>
                </w:p>
              </w:tc>
              <w:tc>
                <w:tcPr>
                  <w:tcW w:w="0" w:type="auto"/>
                  <w:shd w:val="clear" w:color="000000" w:fill="auto"/>
                  <w:vAlign w:val="center"/>
                </w:tcPr>
                <w:p w14:paraId="7D8EAF9C">
                  <w:pPr>
                    <w:wordWrap w:val="0"/>
                    <w:autoSpaceDE/>
                    <w:autoSpaceDN/>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《资产清单》</w:t>
                  </w:r>
                </w:p>
              </w:tc>
            </w:tr>
          </w:tbl>
          <w:p w14:paraId="4D996412">
            <w:pPr>
              <w:pStyle w:val="5"/>
              <w:ind w:firstLine="400"/>
              <w:jc w:val="both"/>
              <w:rPr>
                <w:rFonts w:hint="eastAsia" w:ascii="宋体" w:hAnsi="宋体" w:eastAsia="宋体" w:cs="宋体"/>
                <w:b w:val="0"/>
                <w:bCs w:val="0"/>
                <w:sz w:val="18"/>
                <w:szCs w:val="18"/>
              </w:rPr>
            </w:pPr>
          </w:p>
          <w:p w14:paraId="79B085CC">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（一）传输设备运行监控</w:t>
            </w:r>
          </w:p>
          <w:p w14:paraId="783DFC2C">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1.通过现场巡查的方式对中心机房传输硬件设备的运行状态进行巡检、记录。</w:t>
            </w:r>
          </w:p>
          <w:p w14:paraId="61695E6E">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2.如发生异常情况，应第一时间报告省中心协助省中心协调相关厂商进行故障排查和维修。</w:t>
            </w:r>
          </w:p>
          <w:p w14:paraId="2EC8D9B4">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（二）网管系统运行监测</w:t>
            </w:r>
          </w:p>
          <w:p w14:paraId="431A994C">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1.通过现场巡查的方式对中心网管系统的运行状态进行巡检、记录。</w:t>
            </w:r>
          </w:p>
          <w:p w14:paraId="0AA1A3CB">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2.对中心网管系统日志进行监测，及时通告、处置相关告警。</w:t>
            </w:r>
          </w:p>
          <w:p w14:paraId="34D777EC">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3.如发生异常情况，应第一时间报告省中心协助省中心协调相关厂商进行故障排查和维修。</w:t>
            </w:r>
          </w:p>
          <w:p w14:paraId="2013C473">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（三）ODF光纤配线架运行监测</w:t>
            </w:r>
          </w:p>
          <w:p w14:paraId="69C65AA9">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1.通过现场巡查方式对ODF光纤配线架的检查连接状态和光纤的外观损耗情况并进行巡检和记录。</w:t>
            </w:r>
          </w:p>
          <w:p w14:paraId="73BB75B9">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2.定期对ODF光纤配线架清洁避免灰尘和污垢的积累影响光信号的传输。</w:t>
            </w:r>
          </w:p>
          <w:p w14:paraId="470A1D74">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3.如发生异常情况，应第一时间报告省中心协助省中心协调相关厂商进行故障排查和维修。</w:t>
            </w:r>
          </w:p>
          <w:p w14:paraId="2318529E">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（四）程控交换系统运行监测</w:t>
            </w:r>
          </w:p>
          <w:p w14:paraId="394CEB2D">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1.通过现场巡查的方式对中心程控交换系统的运行状态进行巡检、记录。</w:t>
            </w:r>
          </w:p>
          <w:p w14:paraId="45D93EB1">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2.如发生异常情况，应第一时间报告省中心协助省中心协调相关厂商进行故障排查和维修。</w:t>
            </w:r>
          </w:p>
          <w:p w14:paraId="312BC130">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（五）传输系统配套备用供电系统运行监测</w:t>
            </w:r>
          </w:p>
          <w:p w14:paraId="1A349540">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1.通过现场巡查的方式对中心传输系统配套电源的运行状态进行巡检、记录。</w:t>
            </w:r>
          </w:p>
          <w:p w14:paraId="4A0C8150">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2.每半年人为充放电一次，测试UPS电池应急运行状态。</w:t>
            </w:r>
          </w:p>
          <w:p w14:paraId="57E3D5BE">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3.如发生异常情况，应第一时间报告省中心协助省中心协调相关厂商进行故障排查和维修。</w:t>
            </w:r>
          </w:p>
          <w:p w14:paraId="77CD1CD0">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（六）传输资产管理</w:t>
            </w:r>
          </w:p>
          <w:p w14:paraId="2814FAFD">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提供传输详细的时隙业务分配、光缆拓扑、设备软硬件配置、电路使用、其它各系统设备的软硬件配置、资源分配等方面的文字材料。</w:t>
            </w:r>
          </w:p>
          <w:p w14:paraId="074AF017">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技术支持服务</w:t>
            </w:r>
          </w:p>
          <w:p w14:paraId="5ACEC5F3">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（1）传输设备维护内容至少应包括：电源输出电压监测，机柜顶端指示灯、单板指示灯、设备风扇运行的状态监测、电源线连接检查、线缆标签检查及接地电阻检测等。</w:t>
            </w:r>
          </w:p>
          <w:p w14:paraId="66409F1F">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网管系统维护内容至少包括：网元检查、单板状态检查、告警及性能事件检查、保护倒换检查、高级设置检查、网关的启动关闭检查、ECC路由检查、网元时间及单板配置信息查询、NES网管数据库的转储和整理、网管数据库的备份、网管计算机的维护、各种硬件接口测试等。</w:t>
            </w:r>
          </w:p>
          <w:p w14:paraId="312D1B1D">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（3）ODF光纤配线架维护内容至少包括：ODF光纤配线架的检查连接状态和光纤外观损耗情况进行检查，对ODF光纤配线架清洁避免灰尘和污垢的积累影响光信号的传输，检查尾纤标签是否清晰、准确。</w:t>
            </w:r>
          </w:p>
          <w:p w14:paraId="28DE3314">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4）程控交换系统维护内容至少包括：数据维护（公共配置、中继、信令）、BAM、供电系统、时钟校准、告警系统、各级软硬件、信令链路、中继设备、接地电阻、线路检查记录、断线检查、话机故障检查、用户数据备份、保险装置性能检查、单板除尘等。</w:t>
            </w:r>
          </w:p>
          <w:p w14:paraId="6D2FA23B">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5）电源设备维护内容至少包括：参数配置检查、工作状态检查、滤尘网及风扇清洁、通信电源的交流配电单元、整流模块、直流配电单元、蓄电池组、监控系统、防雷保护等进行检查、维护。电源主机的清洁及变换器的维护；在不经常停电时，至少每半年人为充放电一次，测试蓄电池应急运行状态。蓄电池每月检查整组电池的浮充电压、单体电池浮充电压，有无漏液的情况、电池架、连接线、端子是否有松动或锈蚀等。</w:t>
            </w:r>
          </w:p>
          <w:p w14:paraId="4D792AF3">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6）通信设备环境维护内容至少包括：设备环境变量检查、环境清洁度、温度检查、湿度检查、地面清扫、检查地板平整度、地面吸尘、地面保温层检查等；每季度进行一次地面完好度检查和排除设备周边环境可能存在的隐患；每年对通信设备环境进行深度清洁保养及全面排查可能存在的隐患。</w:t>
            </w:r>
          </w:p>
          <w:p w14:paraId="07B2D3BC">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（7）至少每半年对各系统接地地线、电源线连接检查一次。</w:t>
            </w:r>
          </w:p>
          <w:p w14:paraId="3F17205B">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（8）以上项目检查完成后，应提供传输设备的业务分配、光缆拓扑、设备软硬件配置、电路使用、其它各系统设备的软硬件配置、资源分配等方面的文字材料。</w:t>
            </w:r>
          </w:p>
          <w:p w14:paraId="447AFA66">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（9）按月提交维护计划、维护清单、维护记录、维护总结等。</w:t>
            </w:r>
          </w:p>
          <w:p w14:paraId="31FBD4FD">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（10）提供7×24小时不间断的维护技术支持、故障受理及处理。</w:t>
            </w:r>
          </w:p>
          <w:p w14:paraId="019CDD48">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4.其他要求</w:t>
            </w:r>
          </w:p>
          <w:p w14:paraId="4A1BBA41">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（1）供应商在合同签订后10日内，安排驻场运维人员到场，开展运维工作。</w:t>
            </w:r>
          </w:p>
          <w:p w14:paraId="3284A4AE">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（2）供应商应具备完善的技术支持和售后服务体系，并在服务期内承诺提供7*24小时的电话支持服务、故障处理服务等。</w:t>
            </w:r>
          </w:p>
          <w:p w14:paraId="467B7080">
            <w:pPr>
              <w:pStyle w:val="5"/>
              <w:ind w:firstLine="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（3）网络故障承诺2小时到现场进行处理。</w:t>
            </w:r>
          </w:p>
        </w:tc>
      </w:tr>
    </w:tbl>
    <w:p w14:paraId="61E5476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41AEF"/>
    <w:rsid w:val="7C54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ind w:left="415"/>
    </w:pPr>
    <w:rPr>
      <w:sz w:val="28"/>
      <w:szCs w:val="28"/>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2025-03-27T01:28:00Z</dcterms:created>
  <dc:creator>-7</dc:creator>
  <cp:lastModifiedBy>-7</cp:lastModifiedBy>
  <dcterms:modified xsi:type="dcterms:W3CDTF">2025-03-27T01:28:55Z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0B373E63CC304AD4B608E9877043D060_11</vt:lpwstr>
  </property>
  <property fmtid="{D5CDD505-2E9C-101B-9397-08002B2CF9AE}" pid="4" name="KSOTemplateDocerSaveRecord">
    <vt:lpwstr>eyJoZGlkIjoiMmFiMTY0MjE5ODlmZmUzZGU0YWNiZDQ1OGMwNmQ3MzYiLCJ1c2VySWQiOiI0MDcxMjAzOTgifQ==</vt:lpwstr>
  </property>
</Properties>
</file>