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30AA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jc w:val="left"/>
        <w:rPr>
          <w:rFonts w:hint="eastAsia" w:ascii="宋体" w:hAnsi="宋体" w:eastAsia="宋体" w:cs="宋体"/>
          <w:b w:val="0"/>
          <w:bCs w:val="0"/>
          <w:color w:val="auto"/>
          <w:sz w:val="21"/>
          <w:szCs w:val="21"/>
        </w:rPr>
      </w:pPr>
      <w:r>
        <w:rPr>
          <w:rStyle w:val="12"/>
          <w:rFonts w:hint="eastAsia" w:ascii="宋体" w:hAnsi="宋体" w:eastAsia="宋体" w:cs="宋体"/>
          <w:b/>
          <w:bCs/>
          <w:i w:val="0"/>
          <w:iCs w:val="0"/>
          <w:caps w:val="0"/>
          <w:color w:val="auto"/>
          <w:spacing w:val="0"/>
          <w:sz w:val="21"/>
          <w:szCs w:val="21"/>
          <w:shd w:val="clear" w:fill="FFFFFF"/>
        </w:rPr>
        <w:t>项目概况</w:t>
      </w:r>
    </w:p>
    <w:p w14:paraId="5F979A4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《韩城日报》配送服务采购项目的潜在供应商应在西安市南二环西段208号捷瑞智能大厦东区9楼获取采购文件，并于2025年04月29日10时00分（北京时间）前提交响应文件。</w:t>
      </w:r>
    </w:p>
    <w:p w14:paraId="7B1FE22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12"/>
          <w:rFonts w:hint="eastAsia" w:ascii="宋体" w:hAnsi="宋体" w:eastAsia="宋体" w:cs="宋体"/>
          <w:b/>
          <w:bCs/>
          <w:i w:val="0"/>
          <w:iCs w:val="0"/>
          <w:caps w:val="0"/>
          <w:color w:val="auto"/>
          <w:spacing w:val="0"/>
          <w:sz w:val="21"/>
          <w:szCs w:val="21"/>
          <w:shd w:val="clear" w:fill="FFFFFF"/>
        </w:rPr>
        <w:t>一、项目基本情况</w:t>
      </w:r>
    </w:p>
    <w:p w14:paraId="75B9F40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项目编号：JXZB2025-03-12</w:t>
      </w:r>
    </w:p>
    <w:p w14:paraId="117CABF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项目名称：《韩城日报》配送服务</w:t>
      </w:r>
    </w:p>
    <w:p w14:paraId="41CF611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采购方式：竞争性磋商</w:t>
      </w:r>
    </w:p>
    <w:p w14:paraId="434F3B2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预算金额：540,000.00元</w:t>
      </w:r>
    </w:p>
    <w:p w14:paraId="4CE02C5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采购需求：</w:t>
      </w:r>
    </w:p>
    <w:p w14:paraId="4D1593C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合同包1(《韩城日报》配送服务):</w:t>
      </w:r>
    </w:p>
    <w:p w14:paraId="4A1664B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合同包预算金额：540,000.00元</w:t>
      </w:r>
    </w:p>
    <w:p w14:paraId="2E6F625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合同包最高限价：540,000.00元</w:t>
      </w:r>
    </w:p>
    <w:tbl>
      <w:tblPr>
        <w:tblStyle w:val="10"/>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2"/>
        <w:gridCol w:w="1028"/>
        <w:gridCol w:w="1584"/>
        <w:gridCol w:w="1126"/>
        <w:gridCol w:w="1590"/>
        <w:gridCol w:w="1409"/>
        <w:gridCol w:w="1127"/>
      </w:tblGrid>
      <w:tr w14:paraId="61EC8A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191446">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57AB38">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8BA2AE">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BC8761">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F6F435">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D39F44">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581452">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52680B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7DF863">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B8B35F">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其他商务服务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1EA852">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《韩城日报》配送服务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7A0A75">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500FAD">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E2EA4D">
            <w:pPr>
              <w:keepNext w:val="0"/>
              <w:keepLines w:val="0"/>
              <w:widowControl/>
              <w:suppressLineNumbers w:val="0"/>
              <w:shd w:val="clear"/>
              <w:wordWrap/>
              <w:spacing w:before="0" w:beforeAutospacing="0" w:after="0" w:afterAutospacing="0" w:line="240" w:lineRule="auto"/>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540,000.00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22EE36">
            <w:pPr>
              <w:keepNext w:val="0"/>
              <w:keepLines w:val="0"/>
              <w:widowControl/>
              <w:suppressLineNumbers w:val="0"/>
              <w:shd w:val="clear"/>
              <w:wordWrap/>
              <w:spacing w:before="0" w:beforeAutospacing="0" w:after="0" w:afterAutospacing="0" w:line="240" w:lineRule="auto"/>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w:t>
            </w:r>
          </w:p>
        </w:tc>
      </w:tr>
    </w:tbl>
    <w:p w14:paraId="637C04E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14:paraId="4E693FC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合同履行期限：详见采购文件</w:t>
      </w:r>
    </w:p>
    <w:p w14:paraId="2FD4BB9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12"/>
          <w:rFonts w:hint="eastAsia" w:ascii="宋体" w:hAnsi="宋体" w:eastAsia="宋体" w:cs="宋体"/>
          <w:b/>
          <w:bCs/>
          <w:i w:val="0"/>
          <w:iCs w:val="0"/>
          <w:caps w:val="0"/>
          <w:color w:val="auto"/>
          <w:spacing w:val="0"/>
          <w:sz w:val="21"/>
          <w:szCs w:val="21"/>
          <w:shd w:val="clear" w:fill="FFFFFF"/>
        </w:rPr>
        <w:t>二、申请人的资格要求：</w:t>
      </w:r>
    </w:p>
    <w:p w14:paraId="11DC19C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firstLine="420" w:firstLineChars="20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1</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满足《中华人民共和国政府采购法》第二十二条规定</w:t>
      </w:r>
      <w:r>
        <w:rPr>
          <w:rFonts w:hint="eastAsia" w:ascii="宋体" w:hAnsi="宋体" w:eastAsia="宋体" w:cs="宋体"/>
          <w:i w:val="0"/>
          <w:iCs w:val="0"/>
          <w:caps w:val="0"/>
          <w:color w:val="333333"/>
          <w:spacing w:val="0"/>
          <w:sz w:val="21"/>
          <w:szCs w:val="21"/>
          <w:shd w:val="clear" w:fill="FFFFFF"/>
          <w:lang w:eastAsia="zh-CN"/>
        </w:rPr>
        <w:t>，并提供以下资料：</w:t>
      </w:r>
      <w:bookmarkStart w:id="0" w:name="_GoBack"/>
      <w:bookmarkEnd w:id="0"/>
    </w:p>
    <w:p w14:paraId="1712B4D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firstLine="420" w:firstLineChars="20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1、具有独立承担民事责任能力的法人、其它组织或自然人，出具合法有效的营业执照等相关证明文件，自然人参与的提供其身份证明</w:t>
      </w:r>
    </w:p>
    <w:p w14:paraId="18111ED9">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firstLine="420" w:firstLineChars="20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2、财务状况报告：提供2022年至今任意一年完整的财务审计报告或响应文件提交截止时间前六个月内银行出具的资信证明，其他组织和自然人提供银行出具的资信证明</w:t>
      </w:r>
    </w:p>
    <w:p w14:paraId="7068F35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firstLine="420" w:firstLineChars="20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3、社会保障资金缴纳证明：提供响应文件提交截止时间前六个月内至少一个月的社会保障资金缴存单据或社保机构开具的社会保险参保缴费情况证明，依法不需要缴纳社会保障资金的单位应提供相关证明材料</w:t>
      </w:r>
    </w:p>
    <w:p w14:paraId="40728D4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firstLine="420" w:firstLineChars="20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4、税收缴纳证明：提供响应文件提交截止时间前六个月内已缴纳的至少一个月的纳税证明或完税证明，依法免税的单位应提供相关证明材料</w:t>
      </w:r>
    </w:p>
    <w:p w14:paraId="50B0308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firstLine="420" w:firstLineChars="20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5、信用记录：供应商参加政府采购活动前3年内在经营活动中没有重大违法记录；供应商在提交响应文件截止时间前未被“信用中国”网站（www.creditchina.gov.cn）列入失信被执行人、重大税收违法失信主体，未被中国政府采购网（www.ccgp.gov.cn）列入政府采购严重违法失信行为记录名单</w:t>
      </w:r>
    </w:p>
    <w:p w14:paraId="26C238D9">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firstLine="420" w:firstLineChars="20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val="en-US" w:eastAsia="zh-CN"/>
        </w:rPr>
        <w:t>6、提供具有履行合同所必需的设备和专业技术能力的承诺</w:t>
      </w:r>
    </w:p>
    <w:p w14:paraId="39BCFAD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firstLine="420" w:firstLineChars="20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2</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落实政府采购政策需满足的资格要求：</w:t>
      </w:r>
    </w:p>
    <w:p w14:paraId="78B40F6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firstLine="420" w:firstLineChars="20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合同包1(《韩城日报》配送服务)落实政府采购政策需满足的资格要求如下:</w:t>
      </w:r>
    </w:p>
    <w:p w14:paraId="176E49D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firstLine="420" w:firstLineChars="20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本项目为专门面向中小企业项目，供应商应为中型企业或小型、微型企业或监狱企业或残疾人福利性单位</w:t>
      </w:r>
    </w:p>
    <w:p w14:paraId="2B33CD0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3</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本项目的特定资格要求：</w:t>
      </w:r>
    </w:p>
    <w:p w14:paraId="34CD758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合同包1(《韩城日报》配送服务)特定资格要求如下:</w:t>
      </w:r>
    </w:p>
    <w:p w14:paraId="47B3A07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firstLine="420" w:firstLineChars="20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kern w:val="0"/>
          <w:sz w:val="21"/>
          <w:szCs w:val="21"/>
          <w:shd w:val="clear" w:fill="FFFFFF"/>
          <w:lang w:val="en-US" w:eastAsia="zh-CN" w:bidi="ar"/>
        </w:rPr>
        <w:t>1、</w:t>
      </w:r>
      <w:r>
        <w:rPr>
          <w:rFonts w:hint="eastAsia" w:ascii="宋体" w:hAnsi="宋体" w:eastAsia="宋体" w:cs="宋体"/>
          <w:i w:val="0"/>
          <w:iCs w:val="0"/>
          <w:caps w:val="0"/>
          <w:color w:val="auto"/>
          <w:spacing w:val="0"/>
          <w:sz w:val="21"/>
          <w:szCs w:val="21"/>
          <w:shd w:val="clear" w:fill="FFFFFF"/>
        </w:rPr>
        <w:t>法定代表人授权书（附法定代表人、被授权人身份证复印件）（法定代表人直接参加投标，须提供法定代表人身份证明书）</w:t>
      </w:r>
    </w:p>
    <w:p w14:paraId="0A98B51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shd w:val="clear" w:fill="FFFFFF"/>
        </w:rPr>
        <w:t>2、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1E7963"/>
    <w:multiLevelType w:val="multilevel"/>
    <w:tmpl w:val="481E7963"/>
    <w:lvl w:ilvl="0" w:tentative="0">
      <w:start w:val="1"/>
      <w:numFmt w:val="chineseCountingThousand"/>
      <w:pStyle w:val="4"/>
      <w:lvlText w:val="第%1章"/>
      <w:lvlJc w:val="left"/>
      <w:pPr>
        <w:ind w:left="425" w:hanging="425"/>
      </w:pPr>
      <w:rPr>
        <w:rFonts w:hint="default" w:ascii="Times New Roman" w:hAnsi="Times New Roman" w:eastAsia="宋体"/>
        <w:b/>
        <w:i w:val="0"/>
        <w:sz w:val="32"/>
      </w:rPr>
    </w:lvl>
    <w:lvl w:ilvl="1" w:tentative="0">
      <w:start w:val="1"/>
      <w:numFmt w:val="chineseCountingThousand"/>
      <w:lvlText w:val="%2、"/>
      <w:lvlJc w:val="left"/>
      <w:pPr>
        <w:ind w:left="992" w:hanging="567"/>
      </w:pPr>
      <w:rPr>
        <w:rFonts w:cs="Times New Roman"/>
        <w:b/>
        <w:bCs w:val="0"/>
        <w:i w:val="0"/>
        <w:iCs w:val="0"/>
        <w:caps w:val="0"/>
        <w:smallCaps w:val="0"/>
        <w:strike w:val="0"/>
        <w:dstrike w:val="0"/>
        <w:vanish w:val="0"/>
        <w:color w:val="000000"/>
        <w:spacing w:val="0"/>
        <w:position w:val="0"/>
        <w:u w:val="none"/>
        <w:vertAlign w:val="baseline"/>
      </w:rPr>
    </w:lvl>
    <w:lvl w:ilvl="2" w:tentative="0">
      <w:start w:val="1"/>
      <w:numFmt w:val="decimal"/>
      <w:lvlText w:val="%3."/>
      <w:lvlJc w:val="left"/>
      <w:pPr>
        <w:ind w:left="1418" w:hanging="567"/>
      </w:pPr>
      <w:rPr>
        <w:rFonts w:hint="default" w:ascii="Times New Roman" w:hAnsi="Times New Roman" w:eastAsia="宋体"/>
        <w:b/>
        <w:i w:val="0"/>
        <w:sz w:val="28"/>
      </w:rPr>
    </w:lvl>
    <w:lvl w:ilvl="3" w:tentative="0">
      <w:start w:val="1"/>
      <w:numFmt w:val="decimal"/>
      <w:lvlText w:val="%3.%4"/>
      <w:lvlJc w:val="left"/>
      <w:pPr>
        <w:ind w:left="1984" w:hanging="708"/>
      </w:pPr>
      <w:rPr>
        <w:rFonts w:hint="default" w:ascii="Times New Roman" w:hAnsi="Times New Roman" w:eastAsia="宋体"/>
        <w:b/>
        <w:i w:val="0"/>
        <w:sz w:val="28"/>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37449"/>
    <w:rsid w:val="069F0A30"/>
    <w:rsid w:val="0E5928AD"/>
    <w:rsid w:val="112076B2"/>
    <w:rsid w:val="1320310A"/>
    <w:rsid w:val="1D4B7E1E"/>
    <w:rsid w:val="264F6618"/>
    <w:rsid w:val="2C155C0E"/>
    <w:rsid w:val="2D483959"/>
    <w:rsid w:val="30F5600E"/>
    <w:rsid w:val="3D317714"/>
    <w:rsid w:val="3E247216"/>
    <w:rsid w:val="460743C1"/>
    <w:rsid w:val="53BF50F3"/>
    <w:rsid w:val="54931516"/>
    <w:rsid w:val="55A51501"/>
    <w:rsid w:val="5DAF49D6"/>
    <w:rsid w:val="60675D31"/>
    <w:rsid w:val="6BDC7F61"/>
    <w:rsid w:val="6EFA06B8"/>
    <w:rsid w:val="709A17A1"/>
    <w:rsid w:val="71324127"/>
    <w:rsid w:val="7F7D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3"/>
    <w:qFormat/>
    <w:uiPriority w:val="0"/>
    <w:pPr>
      <w:keepNext/>
      <w:keepLines/>
      <w:spacing w:before="340" w:beforeLines="0" w:beforeAutospacing="0" w:after="330" w:afterLines="0" w:afterAutospacing="0" w:line="360" w:lineRule="auto"/>
      <w:jc w:val="center"/>
      <w:outlineLvl w:val="0"/>
    </w:pPr>
    <w:rPr>
      <w:rFonts w:ascii="Tahoma" w:hAnsi="Tahoma" w:eastAsia="宋体" w:cs="Tahoma"/>
      <w:b/>
      <w:kern w:val="44"/>
      <w:sz w:val="32"/>
      <w:szCs w:val="22"/>
    </w:rPr>
  </w:style>
  <w:style w:type="paragraph" w:styleId="6">
    <w:name w:val="heading 2"/>
    <w:basedOn w:val="1"/>
    <w:next w:val="1"/>
    <w:semiHidden/>
    <w:unhideWhenUsed/>
    <w:qFormat/>
    <w:uiPriority w:val="0"/>
    <w:pPr>
      <w:keepNext/>
      <w:keepLines/>
      <w:widowControl w:val="0"/>
      <w:adjustRightInd/>
      <w:snapToGrid/>
      <w:spacing w:before="260" w:after="260" w:line="416" w:lineRule="auto"/>
      <w:jc w:val="center"/>
      <w:outlineLvl w:val="1"/>
    </w:pPr>
    <w:rPr>
      <w:rFonts w:ascii="Arial" w:hAnsi="Arial" w:eastAsia="宋体" w:cs="Arial"/>
      <w:b/>
      <w:bCs/>
      <w:kern w:val="2"/>
      <w:sz w:val="28"/>
      <w:szCs w:val="32"/>
    </w:rPr>
  </w:style>
  <w:style w:type="paragraph" w:styleId="7">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style4"/>
    <w:next w:val="4"/>
    <w:qFormat/>
    <w:uiPriority w:val="0"/>
    <w:pPr>
      <w:widowControl/>
      <w:snapToGrid w:val="0"/>
      <w:spacing w:before="280" w:after="280" w:line="240" w:lineRule="auto"/>
      <w:ind w:left="0" w:firstLine="0" w:firstLineChars="200"/>
      <w:jc w:val="both"/>
    </w:pPr>
    <w:rPr>
      <w:rFonts w:ascii="宋体" w:hAnsi="Times New Roman" w:eastAsia="宋体" w:cs="Times New Roman"/>
      <w:kern w:val="2"/>
      <w:sz w:val="18"/>
      <w:szCs w:val="24"/>
      <w:lang w:val="en-US" w:eastAsia="zh-CN" w:bidi="ar-SA"/>
    </w:rPr>
  </w:style>
  <w:style w:type="paragraph" w:customStyle="1" w:styleId="4">
    <w:name w:val="2"/>
    <w:next w:val="1"/>
    <w:qFormat/>
    <w:uiPriority w:val="0"/>
    <w:pPr>
      <w:keepNext w:val="0"/>
      <w:keepLines/>
      <w:widowControl w:val="0"/>
      <w:numPr>
        <w:ilvl w:val="0"/>
        <w:numId w:val="1"/>
      </w:numPr>
      <w:autoSpaceDE/>
      <w:autoSpaceDN/>
      <w:adjustRightInd/>
      <w:snapToGrid w:val="0"/>
      <w:spacing w:before="50" w:beforeLines="50" w:after="50" w:afterLines="50" w:line="500" w:lineRule="exact"/>
      <w:ind w:firstLine="420" w:firstLineChars="200"/>
      <w:contextualSpacing/>
      <w:jc w:val="both"/>
      <w:outlineLvl w:val="1"/>
    </w:pPr>
    <w:rPr>
      <w:rFonts w:ascii="Times New Roman" w:hAnsi="Times New Roman" w:eastAsia="宋体" w:cs="Times New Roman"/>
      <w:b/>
      <w:bCs/>
      <w:kern w:val="2"/>
      <w:sz w:val="30"/>
      <w:szCs w:val="28"/>
      <w:lang w:val="en-US" w:eastAsia="zh-CN" w:bidi="ar-SA"/>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customStyle="1" w:styleId="13">
    <w:name w:val="标题 1 Char"/>
    <w:link w:val="5"/>
    <w:qFormat/>
    <w:uiPriority w:val="0"/>
    <w:rPr>
      <w:rFonts w:ascii="Tahoma" w:hAnsi="Tahoma" w:eastAsia="宋体" w:cs="Tahoma"/>
      <w:b/>
      <w:kern w:val="44"/>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1018</Words>
  <Characters>1121</Characters>
  <Lines>0</Lines>
  <Paragraphs>0</Paragraphs>
  <TotalTime>0</TotalTime>
  <ScaleCrop>false</ScaleCrop>
  <LinksUpToDate>false</LinksUpToDate>
  <CharactersWithSpaces>1121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2022-12-01T08:53:00Z</dcterms:created>
  <dc:creator>Administrator</dc:creator>
  <cp:lastModifiedBy>Mr.Xu</cp:lastModifiedBy>
  <dcterms:modified xsi:type="dcterms:W3CDTF">2025-04-17T06:53:59Z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1CC9196E6353468ABB619F53B2DEBB11</vt:lpwstr>
  </property>
  <property fmtid="{D5CDD505-2E9C-101B-9397-08002B2CF9AE}" pid="4" name="KSOTemplateDocerSaveRecord">
    <vt:lpwstr>eyJoZGlkIjoiYjExOTMyM2MwMzJjN2Y2NGNlMzZkZjU0YjJlOTVhMjAiLCJ1c2VySWQiOiIzMzg0NTQ0NTYifQ==</vt:lpwstr>
  </property>
</Properties>
</file>