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B0C5D8">
      <w:pPr>
        <w:pStyle w:val="8"/>
        <w:keepNext w:val="0"/>
        <w:keepLines w:val="0"/>
        <w:pageBreakBefore w:val="0"/>
        <w:widowControl/>
        <w:kinsoku/>
        <w:wordWrap/>
        <w:overflowPunct/>
        <w:topLinePunct w:val="0"/>
        <w:autoSpaceDE/>
        <w:autoSpaceDN/>
        <w:bidi w:val="0"/>
        <w:adjustRightInd/>
        <w:snapToGrid/>
        <w:spacing w:line="324" w:lineRule="auto"/>
        <w:jc w:val="center"/>
        <w:textAlignment w:val="auto"/>
        <w:outlineLvl w:val="1"/>
        <w:rPr>
          <w:rFonts w:hint="eastAsia" w:ascii="宋体" w:hAnsi="宋体" w:eastAsia="宋体" w:cs="宋体"/>
          <w:b/>
          <w:color w:val="000000" w:themeColor="text1"/>
          <w:sz w:val="32"/>
          <w:szCs w:val="32"/>
          <w:highlight w:val="none"/>
          <w14:textFill>
            <w14:solidFill>
              <w14:schemeClr w14:val="tx1"/>
            </w14:solidFill>
          </w14:textFill>
        </w:rPr>
      </w:pPr>
      <w:bookmarkStart w:id="0" w:name="_GoBack"/>
      <w:r>
        <w:rPr>
          <w:rFonts w:hint="eastAsia" w:ascii="宋体" w:hAnsi="宋体" w:eastAsia="宋体" w:cs="宋体"/>
          <w:b/>
          <w:color w:val="000000" w:themeColor="text1"/>
          <w:sz w:val="32"/>
          <w:szCs w:val="32"/>
          <w:highlight w:val="none"/>
          <w14:textFill>
            <w14:solidFill>
              <w14:schemeClr w14:val="tx1"/>
            </w14:solidFill>
          </w14:textFill>
        </w:rPr>
        <w:t>拟签订采购合同文本</w:t>
      </w:r>
    </w:p>
    <w:p w14:paraId="4C2C89A1">
      <w:pPr>
        <w:pStyle w:val="2"/>
        <w:spacing w:line="360" w:lineRule="auto"/>
        <w:ind w:firstLine="880"/>
        <w:jc w:val="center"/>
        <w:rPr>
          <w:rFonts w:ascii="黑体" w:eastAsia="黑体"/>
          <w:color w:val="000000" w:themeColor="text1"/>
          <w:sz w:val="44"/>
          <w:szCs w:val="44"/>
          <w:highlight w:val="none"/>
          <w14:textFill>
            <w14:solidFill>
              <w14:schemeClr w14:val="tx1"/>
            </w14:solidFill>
          </w14:textFill>
        </w:rPr>
      </w:pPr>
    </w:p>
    <w:p w14:paraId="03CF5EE4">
      <w:pPr>
        <w:pStyle w:val="2"/>
        <w:spacing w:line="360" w:lineRule="auto"/>
        <w:ind w:firstLine="880"/>
        <w:jc w:val="center"/>
        <w:rPr>
          <w:rFonts w:ascii="黑体" w:eastAsia="黑体"/>
          <w:color w:val="000000" w:themeColor="text1"/>
          <w:sz w:val="44"/>
          <w:szCs w:val="44"/>
          <w:highlight w:val="none"/>
          <w14:textFill>
            <w14:solidFill>
              <w14:schemeClr w14:val="tx1"/>
            </w14:solidFill>
          </w14:textFill>
        </w:rPr>
      </w:pPr>
    </w:p>
    <w:p w14:paraId="1B0F911A">
      <w:pPr>
        <w:rPr>
          <w:rFonts w:ascii="黑体" w:eastAsia="黑体"/>
          <w:color w:val="000000" w:themeColor="text1"/>
          <w:sz w:val="44"/>
          <w:szCs w:val="44"/>
          <w:highlight w:val="none"/>
          <w14:textFill>
            <w14:solidFill>
              <w14:schemeClr w14:val="tx1"/>
            </w14:solidFill>
          </w14:textFill>
        </w:rPr>
      </w:pPr>
    </w:p>
    <w:p w14:paraId="40C3748F">
      <w:pPr>
        <w:pStyle w:val="5"/>
        <w:rPr>
          <w:rFonts w:ascii="黑体" w:eastAsia="黑体"/>
          <w:color w:val="000000" w:themeColor="text1"/>
          <w:sz w:val="44"/>
          <w:szCs w:val="44"/>
          <w:highlight w:val="none"/>
          <w14:textFill>
            <w14:solidFill>
              <w14:schemeClr w14:val="tx1"/>
            </w14:solidFill>
          </w14:textFill>
        </w:rPr>
      </w:pPr>
    </w:p>
    <w:p w14:paraId="05BF1C7F">
      <w:pPr>
        <w:pStyle w:val="5"/>
        <w:rPr>
          <w:rFonts w:ascii="黑体" w:eastAsia="黑体"/>
          <w:color w:val="000000" w:themeColor="text1"/>
          <w:sz w:val="44"/>
          <w:szCs w:val="44"/>
          <w:highlight w:val="none"/>
          <w14:textFill>
            <w14:solidFill>
              <w14:schemeClr w14:val="tx1"/>
            </w14:solidFill>
          </w14:textFill>
        </w:rPr>
      </w:pPr>
    </w:p>
    <w:p w14:paraId="191F10D6">
      <w:pPr>
        <w:pStyle w:val="5"/>
        <w:rPr>
          <w:rFonts w:ascii="黑体" w:eastAsia="黑体"/>
          <w:color w:val="000000" w:themeColor="text1"/>
          <w:sz w:val="44"/>
          <w:szCs w:val="44"/>
          <w:highlight w:val="none"/>
          <w14:textFill>
            <w14:solidFill>
              <w14:schemeClr w14:val="tx1"/>
            </w14:solidFill>
          </w14:textFill>
        </w:rPr>
      </w:pPr>
    </w:p>
    <w:p w14:paraId="01ECF8F9">
      <w:pPr>
        <w:pStyle w:val="3"/>
        <w:ind w:firstLine="640"/>
        <w:jc w:val="center"/>
        <w:rPr>
          <w:rFonts w:ascii="宋体" w:hAnsi="宋体" w:cs="宋体"/>
          <w:b/>
          <w:bCs/>
          <w:color w:val="000000" w:themeColor="text1"/>
          <w:spacing w:val="-20"/>
          <w:kern w:val="44"/>
          <w:sz w:val="36"/>
          <w:szCs w:val="36"/>
          <w:highlight w:val="none"/>
          <w14:textFill>
            <w14:solidFill>
              <w14:schemeClr w14:val="tx1"/>
            </w14:solidFill>
          </w14:textFill>
        </w:rPr>
      </w:pPr>
      <w:r>
        <w:rPr>
          <w:rFonts w:hint="eastAsia" w:ascii="宋体" w:hAnsi="宋体" w:cs="宋体"/>
          <w:bCs/>
          <w:color w:val="000000" w:themeColor="text1"/>
          <w:spacing w:val="-20"/>
          <w:kern w:val="44"/>
          <w:sz w:val="36"/>
          <w:szCs w:val="36"/>
          <w:highlight w:val="none"/>
          <w14:textFill>
            <w14:solidFill>
              <w14:schemeClr w14:val="tx1"/>
            </w14:solidFill>
          </w14:textFill>
        </w:rPr>
        <w:t>政府采购货物买卖合同</w:t>
      </w:r>
    </w:p>
    <w:p w14:paraId="403B1410">
      <w:pPr>
        <w:spacing w:line="360" w:lineRule="auto"/>
        <w:ind w:left="420" w:leftChars="200"/>
        <w:rPr>
          <w:rFonts w:ascii="宋体" w:hAnsi="宋体" w:cs="宋体"/>
          <w:color w:val="000000" w:themeColor="text1"/>
          <w:kern w:val="0"/>
          <w:sz w:val="24"/>
          <w:highlight w:val="none"/>
          <w14:textFill>
            <w14:solidFill>
              <w14:schemeClr w14:val="tx1"/>
            </w14:solidFill>
          </w14:textFill>
        </w:rPr>
      </w:pPr>
    </w:p>
    <w:p w14:paraId="59B0998A">
      <w:pPr>
        <w:spacing w:line="360" w:lineRule="auto"/>
        <w:ind w:left="420" w:leftChars="200"/>
        <w:rPr>
          <w:rFonts w:ascii="宋体" w:hAnsi="宋体" w:cs="宋体"/>
          <w:color w:val="000000" w:themeColor="text1"/>
          <w:kern w:val="0"/>
          <w:sz w:val="24"/>
          <w:highlight w:val="none"/>
          <w14:textFill>
            <w14:solidFill>
              <w14:schemeClr w14:val="tx1"/>
            </w14:solidFill>
          </w14:textFill>
        </w:rPr>
      </w:pPr>
    </w:p>
    <w:p w14:paraId="434E165E">
      <w:pPr>
        <w:spacing w:line="360" w:lineRule="auto"/>
        <w:ind w:left="420" w:leftChars="200"/>
        <w:rPr>
          <w:rFonts w:ascii="宋体" w:hAnsi="宋体" w:cs="宋体"/>
          <w:color w:val="000000" w:themeColor="text1"/>
          <w:kern w:val="0"/>
          <w:sz w:val="24"/>
          <w:highlight w:val="none"/>
          <w14:textFill>
            <w14:solidFill>
              <w14:schemeClr w14:val="tx1"/>
            </w14:solidFill>
          </w14:textFill>
        </w:rPr>
      </w:pPr>
    </w:p>
    <w:p w14:paraId="5F3F1837">
      <w:pPr>
        <w:spacing w:line="360" w:lineRule="auto"/>
        <w:ind w:left="420" w:leftChars="200"/>
        <w:rPr>
          <w:rFonts w:ascii="宋体" w:hAnsi="宋体" w:cs="宋体"/>
          <w:color w:val="000000" w:themeColor="text1"/>
          <w:kern w:val="0"/>
          <w:sz w:val="24"/>
          <w:highlight w:val="none"/>
          <w14:textFill>
            <w14:solidFill>
              <w14:schemeClr w14:val="tx1"/>
            </w14:solidFill>
          </w14:textFill>
        </w:rPr>
      </w:pPr>
    </w:p>
    <w:p w14:paraId="7C101F34">
      <w:pPr>
        <w:spacing w:line="360" w:lineRule="auto"/>
        <w:ind w:firstLine="1205" w:firstLineChars="500"/>
        <w:rPr>
          <w:b/>
          <w:color w:val="000000" w:themeColor="text1"/>
          <w:sz w:val="24"/>
          <w:highlight w:val="none"/>
          <w14:textFill>
            <w14:solidFill>
              <w14:schemeClr w14:val="tx1"/>
            </w14:solidFill>
          </w14:textFill>
        </w:rPr>
      </w:pPr>
      <w:r>
        <w:rPr>
          <w:rFonts w:hint="eastAsia" w:ascii="宋体" w:hAnsi="宋体" w:cs="宋体"/>
          <w:b/>
          <w:color w:val="000000" w:themeColor="text1"/>
          <w:kern w:val="0"/>
          <w:sz w:val="24"/>
          <w:highlight w:val="none"/>
          <w14:textFill>
            <w14:solidFill>
              <w14:schemeClr w14:val="tx1"/>
            </w14:solidFill>
          </w14:textFill>
        </w:rPr>
        <w:t>项目名称：</w:t>
      </w:r>
      <w:r>
        <w:rPr>
          <w:rFonts w:hint="eastAsia" w:ascii="宋体" w:hAnsi="宋体" w:cs="宋体"/>
          <w:color w:val="000000" w:themeColor="text1"/>
          <w:kern w:val="0"/>
          <w:sz w:val="24"/>
          <w:highlight w:val="none"/>
          <w:u w:val="single"/>
          <w14:textFill>
            <w14:solidFill>
              <w14:schemeClr w14:val="tx1"/>
            </w14:solidFill>
          </w14:textFill>
        </w:rPr>
        <w:t>.</w:t>
      </w:r>
      <w:r>
        <w:rPr>
          <w:rFonts w:ascii="宋体" w:hAnsi="宋体" w:cs="宋体"/>
          <w:color w:val="000000" w:themeColor="text1"/>
          <w:kern w:val="0"/>
          <w:sz w:val="24"/>
          <w:highlight w:val="none"/>
          <w:u w:val="single"/>
          <w14:textFill>
            <w14:solidFill>
              <w14:schemeClr w14:val="tx1"/>
            </w14:solidFill>
          </w14:textFill>
        </w:rPr>
        <w:t xml:space="preserve">                                .</w:t>
      </w:r>
    </w:p>
    <w:p w14:paraId="1EB76C68">
      <w:pPr>
        <w:spacing w:line="360" w:lineRule="auto"/>
        <w:ind w:firstLine="1205" w:firstLineChars="500"/>
        <w:rPr>
          <w:b/>
          <w:color w:val="000000" w:themeColor="text1"/>
          <w:sz w:val="24"/>
          <w:highlight w:val="none"/>
          <w14:textFill>
            <w14:solidFill>
              <w14:schemeClr w14:val="tx1"/>
            </w14:solidFill>
          </w14:textFill>
        </w:rPr>
      </w:pPr>
      <w:r>
        <w:rPr>
          <w:rFonts w:hint="eastAsia" w:ascii="宋体" w:hAnsi="宋体" w:cs="宋体"/>
          <w:b/>
          <w:color w:val="000000" w:themeColor="text1"/>
          <w:kern w:val="0"/>
          <w:sz w:val="24"/>
          <w:highlight w:val="none"/>
          <w14:textFill>
            <w14:solidFill>
              <w14:schemeClr w14:val="tx1"/>
            </w14:solidFill>
          </w14:textFill>
        </w:rPr>
        <w:t>合同编号：</w:t>
      </w:r>
      <w:r>
        <w:rPr>
          <w:rFonts w:hint="eastAsia" w:ascii="宋体" w:hAnsi="宋体" w:cs="宋体"/>
          <w:color w:val="000000" w:themeColor="text1"/>
          <w:kern w:val="0"/>
          <w:sz w:val="24"/>
          <w:highlight w:val="none"/>
          <w:u w:val="single"/>
          <w14:textFill>
            <w14:solidFill>
              <w14:schemeClr w14:val="tx1"/>
            </w14:solidFill>
          </w14:textFill>
        </w:rPr>
        <w:t>.</w:t>
      </w:r>
      <w:r>
        <w:rPr>
          <w:rFonts w:ascii="宋体" w:hAnsi="宋体" w:cs="宋体"/>
          <w:color w:val="000000" w:themeColor="text1"/>
          <w:kern w:val="0"/>
          <w:sz w:val="24"/>
          <w:highlight w:val="none"/>
          <w:u w:val="single"/>
          <w14:textFill>
            <w14:solidFill>
              <w14:schemeClr w14:val="tx1"/>
            </w14:solidFill>
          </w14:textFill>
        </w:rPr>
        <w:t xml:space="preserve">                                .</w:t>
      </w:r>
      <w:r>
        <w:rPr>
          <w:rFonts w:hint="eastAsia"/>
          <w:color w:val="000000" w:themeColor="text1"/>
          <w:sz w:val="24"/>
          <w:highlight w:val="none"/>
          <w:u w:val="single"/>
          <w14:textFill>
            <w14:solidFill>
              <w14:schemeClr w14:val="tx1"/>
            </w14:solidFill>
          </w14:textFill>
        </w:rPr>
        <w:t xml:space="preserve"> </w:t>
      </w:r>
    </w:p>
    <w:p w14:paraId="6E8F4708">
      <w:pPr>
        <w:spacing w:line="360" w:lineRule="auto"/>
        <w:ind w:firstLine="1205" w:firstLineChars="500"/>
        <w:rPr>
          <w:rFonts w:ascii="宋体" w:hAnsi="宋体" w:cs="宋体"/>
          <w:b/>
          <w:color w:val="000000" w:themeColor="text1"/>
          <w:kern w:val="0"/>
          <w:sz w:val="24"/>
          <w:highlight w:val="none"/>
          <w14:textFill>
            <w14:solidFill>
              <w14:schemeClr w14:val="tx1"/>
            </w14:solidFill>
          </w14:textFill>
        </w:rPr>
      </w:pPr>
      <w:r>
        <w:rPr>
          <w:rFonts w:hint="eastAsia" w:ascii="宋体" w:hAnsi="宋体" w:cs="宋体"/>
          <w:b/>
          <w:color w:val="000000" w:themeColor="text1"/>
          <w:kern w:val="0"/>
          <w:sz w:val="24"/>
          <w:highlight w:val="none"/>
          <w14:textFill>
            <w14:solidFill>
              <w14:schemeClr w14:val="tx1"/>
            </w14:solidFill>
          </w14:textFill>
        </w:rPr>
        <w:t>甲    方：</w:t>
      </w:r>
      <w:r>
        <w:rPr>
          <w:rFonts w:hint="eastAsia" w:ascii="宋体" w:hAnsi="宋体" w:cs="宋体"/>
          <w:color w:val="000000" w:themeColor="text1"/>
          <w:kern w:val="0"/>
          <w:sz w:val="24"/>
          <w:highlight w:val="none"/>
          <w:u w:val="single"/>
          <w14:textFill>
            <w14:solidFill>
              <w14:schemeClr w14:val="tx1"/>
            </w14:solidFill>
          </w14:textFill>
        </w:rPr>
        <w:t>.</w:t>
      </w:r>
      <w:r>
        <w:rPr>
          <w:rFonts w:ascii="宋体" w:hAnsi="宋体" w:cs="宋体"/>
          <w:color w:val="000000" w:themeColor="text1"/>
          <w:kern w:val="0"/>
          <w:sz w:val="24"/>
          <w:highlight w:val="none"/>
          <w:u w:val="single"/>
          <w14:textFill>
            <w14:solidFill>
              <w14:schemeClr w14:val="tx1"/>
            </w14:solidFill>
          </w14:textFill>
        </w:rPr>
        <w:t xml:space="preserve">                                .</w:t>
      </w:r>
    </w:p>
    <w:p w14:paraId="6050B2FC">
      <w:pPr>
        <w:spacing w:line="360" w:lineRule="auto"/>
        <w:ind w:firstLine="1205" w:firstLineChars="500"/>
        <w:rPr>
          <w:color w:val="000000" w:themeColor="text1"/>
          <w:sz w:val="24"/>
          <w:highlight w:val="none"/>
          <w:u w:val="single"/>
          <w14:textFill>
            <w14:solidFill>
              <w14:schemeClr w14:val="tx1"/>
            </w14:solidFill>
          </w14:textFill>
        </w:rPr>
      </w:pPr>
      <w:r>
        <w:rPr>
          <w:rFonts w:hint="eastAsia" w:ascii="宋体" w:hAnsi="宋体" w:cs="宋体"/>
          <w:b/>
          <w:color w:val="000000" w:themeColor="text1"/>
          <w:kern w:val="0"/>
          <w:sz w:val="24"/>
          <w:highlight w:val="none"/>
          <w14:textFill>
            <w14:solidFill>
              <w14:schemeClr w14:val="tx1"/>
            </w14:solidFill>
          </w14:textFill>
        </w:rPr>
        <w:t>乙    方：</w:t>
      </w:r>
      <w:r>
        <w:rPr>
          <w:rFonts w:hint="eastAsia" w:ascii="宋体" w:hAnsi="宋体" w:cs="宋体"/>
          <w:color w:val="000000" w:themeColor="text1"/>
          <w:kern w:val="0"/>
          <w:sz w:val="24"/>
          <w:highlight w:val="none"/>
          <w:u w:val="single"/>
          <w14:textFill>
            <w14:solidFill>
              <w14:schemeClr w14:val="tx1"/>
            </w14:solidFill>
          </w14:textFill>
        </w:rPr>
        <w:t>.</w:t>
      </w:r>
      <w:r>
        <w:rPr>
          <w:rFonts w:ascii="宋体" w:hAnsi="宋体" w:cs="宋体"/>
          <w:color w:val="000000" w:themeColor="text1"/>
          <w:kern w:val="0"/>
          <w:sz w:val="24"/>
          <w:highlight w:val="none"/>
          <w:u w:val="single"/>
          <w14:textFill>
            <w14:solidFill>
              <w14:schemeClr w14:val="tx1"/>
            </w14:solidFill>
          </w14:textFill>
        </w:rPr>
        <w:t xml:space="preserve">                                .</w:t>
      </w:r>
    </w:p>
    <w:p w14:paraId="028FF731">
      <w:pPr>
        <w:spacing w:line="360" w:lineRule="auto"/>
        <w:ind w:firstLine="1205" w:firstLineChars="500"/>
        <w:rPr>
          <w:color w:val="000000" w:themeColor="text1"/>
          <w:sz w:val="24"/>
          <w:highlight w:val="none"/>
          <w:u w:val="single"/>
          <w14:textFill>
            <w14:solidFill>
              <w14:schemeClr w14:val="tx1"/>
            </w14:solidFill>
          </w14:textFill>
        </w:rPr>
      </w:pPr>
      <w:r>
        <w:rPr>
          <w:rFonts w:hint="eastAsia" w:ascii="宋体" w:hAnsi="宋体" w:cs="宋体"/>
          <w:b/>
          <w:color w:val="000000" w:themeColor="text1"/>
          <w:kern w:val="0"/>
          <w:sz w:val="24"/>
          <w:highlight w:val="none"/>
          <w14:textFill>
            <w14:solidFill>
              <w14:schemeClr w14:val="tx1"/>
            </w14:solidFill>
          </w14:textFill>
        </w:rPr>
        <w:t>签订时间：</w:t>
      </w:r>
      <w:r>
        <w:rPr>
          <w:rFonts w:hint="eastAsia" w:ascii="宋体" w:hAnsi="宋体" w:cs="宋体"/>
          <w:color w:val="000000" w:themeColor="text1"/>
          <w:kern w:val="0"/>
          <w:sz w:val="24"/>
          <w:highlight w:val="none"/>
          <w:u w:val="single"/>
          <w14:textFill>
            <w14:solidFill>
              <w14:schemeClr w14:val="tx1"/>
            </w14:solidFill>
          </w14:textFill>
        </w:rPr>
        <w:t>.</w:t>
      </w:r>
      <w:r>
        <w:rPr>
          <w:rFonts w:ascii="宋体" w:hAnsi="宋体" w:cs="宋体"/>
          <w:color w:val="000000" w:themeColor="text1"/>
          <w:kern w:val="0"/>
          <w:sz w:val="24"/>
          <w:highlight w:val="none"/>
          <w:u w:val="single"/>
          <w14:textFill>
            <w14:solidFill>
              <w14:schemeClr w14:val="tx1"/>
            </w14:solidFill>
          </w14:textFill>
        </w:rPr>
        <w:t xml:space="preserve">                                .</w:t>
      </w:r>
      <w:r>
        <w:rPr>
          <w:rFonts w:hint="eastAsia"/>
          <w:color w:val="000000" w:themeColor="text1"/>
          <w:sz w:val="24"/>
          <w:highlight w:val="none"/>
          <w:u w:val="single"/>
          <w14:textFill>
            <w14:solidFill>
              <w14:schemeClr w14:val="tx1"/>
            </w14:solidFill>
          </w14:textFill>
        </w:rPr>
        <w:t xml:space="preserve"> </w:t>
      </w:r>
      <w:r>
        <w:rPr>
          <w:rFonts w:hint="eastAsia" w:ascii="宋体" w:hAnsi="宋体" w:cs="宋体"/>
          <w:b/>
          <w:color w:val="000000" w:themeColor="text1"/>
          <w:kern w:val="0"/>
          <w:sz w:val="24"/>
          <w:highlight w:val="none"/>
          <w14:textFill>
            <w14:solidFill>
              <w14:schemeClr w14:val="tx1"/>
            </w14:solidFill>
          </w14:textFill>
        </w:rPr>
        <w:t xml:space="preserve"> </w:t>
      </w:r>
    </w:p>
    <w:p w14:paraId="4D4F1F37">
      <w:pPr>
        <w:spacing w:line="360" w:lineRule="auto"/>
        <w:jc w:val="center"/>
        <w:rPr>
          <w:b/>
          <w:color w:val="000000" w:themeColor="text1"/>
          <w:sz w:val="32"/>
          <w:szCs w:val="32"/>
          <w:highlight w:val="none"/>
          <w14:textFill>
            <w14:solidFill>
              <w14:schemeClr w14:val="tx1"/>
            </w14:solidFill>
          </w14:textFill>
        </w:rPr>
      </w:pPr>
      <w:r>
        <w:rPr>
          <w:color w:val="000000" w:themeColor="text1"/>
          <w:sz w:val="32"/>
          <w:szCs w:val="32"/>
          <w:highlight w:val="none"/>
          <w:u w:val="single"/>
          <w14:textFill>
            <w14:solidFill>
              <w14:schemeClr w14:val="tx1"/>
            </w14:solidFill>
          </w14:textFill>
        </w:rPr>
        <w:br w:type="page"/>
      </w:r>
      <w:r>
        <w:rPr>
          <w:rFonts w:hint="eastAsia"/>
          <w:b/>
          <w:color w:val="000000" w:themeColor="text1"/>
          <w:sz w:val="28"/>
          <w:szCs w:val="28"/>
          <w:highlight w:val="none"/>
          <w14:textFill>
            <w14:solidFill>
              <w14:schemeClr w14:val="tx1"/>
            </w14:solidFill>
          </w14:textFill>
        </w:rPr>
        <w:t>使 用 说 明</w:t>
      </w:r>
    </w:p>
    <w:p w14:paraId="17E8A345">
      <w:pPr>
        <w:pStyle w:val="3"/>
        <w:rPr>
          <w:color w:val="000000" w:themeColor="text1"/>
          <w:highlight w:val="none"/>
          <w14:textFill>
            <w14:solidFill>
              <w14:schemeClr w14:val="tx1"/>
            </w14:solidFill>
          </w14:textFill>
        </w:rPr>
      </w:pPr>
    </w:p>
    <w:p w14:paraId="23B30B85">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ascii="仿宋" w:hAnsi="仿宋" w:eastAsia="仿宋"/>
          <w:color w:val="000000" w:themeColor="text1"/>
          <w:sz w:val="24"/>
          <w:highlight w:val="none"/>
          <w14:textFill>
            <w14:solidFill>
              <w14:schemeClr w14:val="tx1"/>
            </w14:solidFill>
          </w14:textFill>
        </w:rPr>
      </w:pPr>
      <w:r>
        <w:rPr>
          <w:rFonts w:hint="eastAsia" w:ascii="仿宋" w:hAnsi="仿宋" w:eastAsia="仿宋"/>
          <w:color w:val="000000" w:themeColor="text1"/>
          <w:sz w:val="24"/>
          <w:highlight w:val="none"/>
          <w14:textFill>
            <w14:solidFill>
              <w14:schemeClr w14:val="tx1"/>
            </w14:solidFill>
          </w14:textFill>
        </w:rPr>
        <w:t>1.本合同标准文本适用于购买现成货物的采购项目，不包括需要供应商定制开发、创新研发的货物采购项目。</w:t>
      </w:r>
    </w:p>
    <w:p w14:paraId="223BB728">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ascii="仿宋" w:hAnsi="仿宋" w:eastAsia="仿宋"/>
          <w:color w:val="000000" w:themeColor="text1"/>
          <w:sz w:val="24"/>
          <w:highlight w:val="none"/>
          <w14:textFill>
            <w14:solidFill>
              <w14:schemeClr w14:val="tx1"/>
            </w14:solidFill>
          </w14:textFill>
        </w:rPr>
      </w:pPr>
      <w:r>
        <w:rPr>
          <w:rFonts w:hint="eastAsia" w:ascii="仿宋" w:hAnsi="仿宋" w:eastAsia="仿宋"/>
          <w:color w:val="000000" w:themeColor="text1"/>
          <w:sz w:val="24"/>
          <w:highlight w:val="none"/>
          <w14:textFill>
            <w14:solidFill>
              <w14:schemeClr w14:val="tx1"/>
            </w14:solidFill>
          </w14:textFill>
        </w:rPr>
        <w:t>2.本合同标准文本为政府采购货物买卖合同编制提供参考，可以结合采购项目具体情况，对文本作必要的调整修订后使用。</w:t>
      </w:r>
    </w:p>
    <w:p w14:paraId="44C1E3A0">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ascii="仿宋" w:hAnsi="仿宋" w:eastAsia="仿宋"/>
          <w:color w:val="000000" w:themeColor="text1"/>
          <w:sz w:val="24"/>
          <w:highlight w:val="none"/>
          <w14:textFill>
            <w14:solidFill>
              <w14:schemeClr w14:val="tx1"/>
            </w14:solidFill>
          </w14:textFill>
        </w:rPr>
      </w:pPr>
      <w:r>
        <w:rPr>
          <w:rFonts w:hint="eastAsia" w:ascii="仿宋" w:hAnsi="仿宋" w:eastAsia="仿宋"/>
          <w:color w:val="000000" w:themeColor="text1"/>
          <w:sz w:val="24"/>
          <w:highlight w:val="none"/>
          <w14:textFill>
            <w14:solidFill>
              <w14:schemeClr w14:val="tx1"/>
            </w14:solidFill>
          </w14:textFill>
        </w:rPr>
        <w:t>3.本合同标准文本各条款中，如涉及填写多家供应商、制造商，多种采购标的、分包主要内容等信息的，可根据采购项目具体情况添加信息项。</w:t>
      </w:r>
    </w:p>
    <w:p w14:paraId="33FB2C36">
      <w:pPr>
        <w:spacing w:line="360" w:lineRule="auto"/>
        <w:jc w:val="center"/>
        <w:rPr>
          <w:rFonts w:ascii="宋体" w:hAnsi="宋体"/>
          <w:b/>
          <w:color w:val="000000" w:themeColor="text1"/>
          <w:szCs w:val="21"/>
          <w:highlight w:val="none"/>
          <w14:textFill>
            <w14:solidFill>
              <w14:schemeClr w14:val="tx1"/>
            </w14:solidFill>
          </w14:textFill>
        </w:rPr>
      </w:pPr>
      <w:r>
        <w:rPr>
          <w:color w:val="000000" w:themeColor="text1"/>
          <w:highlight w:val="none"/>
          <w14:textFill>
            <w14:solidFill>
              <w14:schemeClr w14:val="tx1"/>
            </w14:solidFill>
          </w14:textFill>
        </w:rPr>
        <w:br w:type="page"/>
      </w:r>
      <w:r>
        <w:rPr>
          <w:rFonts w:hint="eastAsia" w:ascii="宋体" w:hAnsi="宋体"/>
          <w:b/>
          <w:color w:val="000000" w:themeColor="text1"/>
          <w:sz w:val="28"/>
          <w:szCs w:val="28"/>
          <w:highlight w:val="none"/>
          <w14:textFill>
            <w14:solidFill>
              <w14:schemeClr w14:val="tx1"/>
            </w14:solidFill>
          </w14:textFill>
        </w:rPr>
        <w:t>第一节 政府采购合同协议书</w:t>
      </w:r>
    </w:p>
    <w:p w14:paraId="4875ECBB">
      <w:pPr>
        <w:keepNext w:val="0"/>
        <w:keepLines w:val="0"/>
        <w:pageBreakBefore w:val="0"/>
        <w:kinsoku/>
        <w:wordWrap/>
        <w:overflowPunct/>
        <w:topLinePunct w:val="0"/>
        <w:bidi w:val="0"/>
        <w:adjustRightInd w:val="0"/>
        <w:snapToGrid w:val="0"/>
        <w:spacing w:line="312" w:lineRule="auto"/>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甲方（全称）：</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（采购人、受采购人委托签订合同的单位或采购文件约定的合同甲方）</w:t>
      </w:r>
    </w:p>
    <w:p w14:paraId="772DDEA4">
      <w:pPr>
        <w:keepNext w:val="0"/>
        <w:keepLines w:val="0"/>
        <w:pageBreakBefore w:val="0"/>
        <w:kinsoku/>
        <w:wordWrap/>
        <w:overflowPunct/>
        <w:topLinePunct w:val="0"/>
        <w:bidi w:val="0"/>
        <w:adjustRightInd w:val="0"/>
        <w:snapToGrid w:val="0"/>
        <w:spacing w:line="312" w:lineRule="auto"/>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乙方（全称）：</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（供应商）</w:t>
      </w:r>
    </w:p>
    <w:p w14:paraId="0BFAAFB8">
      <w:pPr>
        <w:pStyle w:val="4"/>
        <w:keepNext w:val="0"/>
        <w:keepLines w:val="0"/>
        <w:pageBreakBefore w:val="0"/>
        <w:kinsoku/>
        <w:wordWrap/>
        <w:overflowPunct/>
        <w:topLinePunct w:val="0"/>
        <w:bidi w:val="0"/>
        <w:adjustRightInd w:val="0"/>
        <w:snapToGrid w:val="0"/>
        <w:spacing w:after="0"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依据《中华人民共和国民法典》、《中华人民共和国政府采购法》等有关的法律法规，以及本采购项目的招标文件、乙方的投标文件及中标通知书等有关文件，甲乙双方同意签订本合同。具体情况及要求如下：    </w:t>
      </w:r>
    </w:p>
    <w:p w14:paraId="486DD3DC">
      <w:pPr>
        <w:keepNext w:val="0"/>
        <w:keepLines w:val="0"/>
        <w:pageBreakBefore w:val="0"/>
        <w:kinsoku/>
        <w:wordWrap/>
        <w:overflowPunct/>
        <w:topLinePunct w:val="0"/>
        <w:bidi w:val="0"/>
        <w:adjustRightInd w:val="0"/>
        <w:snapToGrid w:val="0"/>
        <w:spacing w:line="312" w:lineRule="auto"/>
        <w:textAlignment w:val="auto"/>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1</w:t>
      </w:r>
      <w:r>
        <w:rPr>
          <w:rFonts w:ascii="宋体" w:hAnsi="宋体"/>
          <w:b/>
          <w:color w:val="000000" w:themeColor="text1"/>
          <w:szCs w:val="21"/>
          <w:highlight w:val="none"/>
          <w14:textFill>
            <w14:solidFill>
              <w14:schemeClr w14:val="tx1"/>
            </w14:solidFill>
          </w14:textFill>
        </w:rPr>
        <w:t>.</w:t>
      </w:r>
      <w:r>
        <w:rPr>
          <w:rFonts w:hint="eastAsia" w:ascii="宋体" w:hAnsi="宋体"/>
          <w:b/>
          <w:color w:val="000000" w:themeColor="text1"/>
          <w:szCs w:val="21"/>
          <w:highlight w:val="none"/>
          <w14:textFill>
            <w14:solidFill>
              <w14:schemeClr w14:val="tx1"/>
            </w14:solidFill>
          </w14:textFill>
        </w:rPr>
        <w:t>项目信息</w:t>
      </w:r>
    </w:p>
    <w:p w14:paraId="3C3260EC">
      <w:pPr>
        <w:pStyle w:val="4"/>
        <w:keepNext w:val="0"/>
        <w:keepLines w:val="0"/>
        <w:pageBreakBefore w:val="0"/>
        <w:kinsoku/>
        <w:wordWrap/>
        <w:overflowPunct/>
        <w:topLinePunct w:val="0"/>
        <w:bidi w:val="0"/>
        <w:adjustRightInd w:val="0"/>
        <w:snapToGrid w:val="0"/>
        <w:spacing w:after="0" w:line="312" w:lineRule="auto"/>
        <w:ind w:firstLine="420" w:firstLineChars="200"/>
        <w:textAlignment w:val="auto"/>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项目名称：</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 </w:t>
      </w:r>
    </w:p>
    <w:p w14:paraId="568267CB">
      <w:pPr>
        <w:pStyle w:val="4"/>
        <w:keepNext w:val="0"/>
        <w:keepLines w:val="0"/>
        <w:pageBreakBefore w:val="0"/>
        <w:tabs>
          <w:tab w:val="left" w:pos="999"/>
        </w:tabs>
        <w:kinsoku/>
        <w:wordWrap/>
        <w:overflowPunct/>
        <w:topLinePunct w:val="0"/>
        <w:bidi w:val="0"/>
        <w:adjustRightInd w:val="0"/>
        <w:snapToGrid w:val="0"/>
        <w:spacing w:after="0" w:line="312" w:lineRule="auto"/>
        <w:ind w:firstLine="21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项目编号：</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 </w:t>
      </w:r>
    </w:p>
    <w:p w14:paraId="1470DBAE">
      <w:pPr>
        <w:pStyle w:val="4"/>
        <w:keepNext w:val="0"/>
        <w:keepLines w:val="0"/>
        <w:pageBreakBefore w:val="0"/>
        <w:kinsoku/>
        <w:wordWrap/>
        <w:overflowPunct/>
        <w:topLinePunct w:val="0"/>
        <w:bidi w:val="0"/>
        <w:adjustRightInd w:val="0"/>
        <w:snapToGrid w:val="0"/>
        <w:spacing w:after="0"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（2）计划编号：</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 </w:t>
      </w:r>
    </w:p>
    <w:p w14:paraId="092E47D4">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（3）项目内容：</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p>
    <w:p w14:paraId="1FADF642">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采购标的及数量（台/套</w:t>
      </w:r>
      <w:r>
        <w:rPr>
          <w:rFonts w:ascii="宋体" w:hAnsi="宋体"/>
          <w:color w:val="000000" w:themeColor="text1"/>
          <w:szCs w:val="21"/>
          <w:highlight w:val="none"/>
          <w:lang w:val="en"/>
          <w14:textFill>
            <w14:solidFill>
              <w14:schemeClr w14:val="tx1"/>
            </w14:solidFill>
          </w14:textFill>
        </w:rPr>
        <w:t>/</w:t>
      </w:r>
      <w:r>
        <w:rPr>
          <w:rFonts w:hint="eastAsia" w:ascii="宋体" w:hAnsi="宋体"/>
          <w:color w:val="000000" w:themeColor="text1"/>
          <w:szCs w:val="21"/>
          <w:highlight w:val="none"/>
          <w:lang w:val="en"/>
          <w14:textFill>
            <w14:solidFill>
              <w14:schemeClr w14:val="tx1"/>
            </w14:solidFill>
          </w14:textFill>
        </w:rPr>
        <w:t>个</w:t>
      </w:r>
      <w:r>
        <w:rPr>
          <w:rFonts w:ascii="宋体" w:hAnsi="宋体"/>
          <w:color w:val="000000" w:themeColor="text1"/>
          <w:szCs w:val="21"/>
          <w:highlight w:val="none"/>
          <w:lang w:val="en"/>
          <w14:textFill>
            <w14:solidFill>
              <w14:schemeClr w14:val="tx1"/>
            </w14:solidFill>
          </w14:textFill>
        </w:rPr>
        <w:t>/</w:t>
      </w:r>
      <w:r>
        <w:rPr>
          <w:rFonts w:hint="eastAsia" w:ascii="宋体" w:hAnsi="宋体"/>
          <w:color w:val="000000" w:themeColor="text1"/>
          <w:szCs w:val="21"/>
          <w:highlight w:val="none"/>
          <w:lang w:val="en"/>
          <w14:textFill>
            <w14:solidFill>
              <w14:schemeClr w14:val="tx1"/>
            </w14:solidFill>
          </w14:textFill>
        </w:rPr>
        <w:t>架</w:t>
      </w:r>
      <w:r>
        <w:rPr>
          <w:rFonts w:ascii="宋体" w:hAnsi="宋体"/>
          <w:color w:val="000000" w:themeColor="text1"/>
          <w:szCs w:val="21"/>
          <w:highlight w:val="none"/>
          <w:lang w:val="en"/>
          <w14:textFill>
            <w14:solidFill>
              <w14:schemeClr w14:val="tx1"/>
            </w14:solidFill>
          </w14:textFill>
        </w:rPr>
        <w:t>/</w:t>
      </w:r>
      <w:r>
        <w:rPr>
          <w:rFonts w:hint="eastAsia" w:ascii="宋体" w:hAnsi="宋体"/>
          <w:color w:val="000000" w:themeColor="text1"/>
          <w:szCs w:val="21"/>
          <w:highlight w:val="none"/>
          <w:lang w:val="en"/>
          <w14:textFill>
            <w14:solidFill>
              <w14:schemeClr w14:val="tx1"/>
            </w14:solidFill>
          </w14:textFill>
        </w:rPr>
        <w:t>组等</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p>
    <w:p w14:paraId="2C2461D0">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s="宋体"/>
          <w:color w:val="000000" w:themeColor="text1"/>
          <w:szCs w:val="21"/>
          <w:highlight w:val="none"/>
          <w:lang w:val="e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品牌：</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u w:val="single"/>
          <w:lang w:val="en"/>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u w:val="single"/>
          <w:lang w:val="en"/>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lang w:val="en"/>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规格型号：</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u w:val="single"/>
          <w:lang w:val="en"/>
          <w14:textFill>
            <w14:solidFill>
              <w14:schemeClr w14:val="tx1"/>
            </w14:solidFill>
          </w14:textFill>
        </w:rPr>
        <w:t xml:space="preserve"> </w:t>
      </w:r>
    </w:p>
    <w:p w14:paraId="3ABAA6E9">
      <w:pPr>
        <w:keepNext w:val="0"/>
        <w:keepLines w:val="0"/>
        <w:pageBreakBefore w:val="0"/>
        <w:kinsoku/>
        <w:wordWrap/>
        <w:overflowPunct/>
        <w:topLinePunct w:val="0"/>
        <w:bidi w:val="0"/>
        <w:adjustRightInd w:val="0"/>
        <w:snapToGrid w:val="0"/>
        <w:spacing w:line="312" w:lineRule="auto"/>
        <w:ind w:firstLine="945" w:firstLineChars="450"/>
        <w:textAlignment w:val="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采购标的的技术要求、商务要求具体见附件。</w:t>
      </w:r>
    </w:p>
    <w:p w14:paraId="59C8C0F3">
      <w:pPr>
        <w:pStyle w:val="9"/>
        <w:keepNext w:val="0"/>
        <w:keepLines w:val="0"/>
        <w:pageBreakBefore w:val="0"/>
        <w:kinsoku/>
        <w:wordWrap/>
        <w:overflowPunct/>
        <w:topLinePunct w:val="0"/>
        <w:bidi w:val="0"/>
        <w:snapToGrid w:val="0"/>
        <w:spacing w:line="312" w:lineRule="auto"/>
        <w:ind w:firstLine="0" w:firstLineChars="0"/>
        <w:textAlignment w:val="auto"/>
        <w:rPr>
          <w:rFonts w:ascii="宋体" w:hAnsi="宋体" w:eastAsia="宋体" w:cs="宋体"/>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14:textFill>
            <w14:solidFill>
              <w14:schemeClr w14:val="tx1"/>
            </w14:solidFill>
          </w14:textFill>
        </w:rPr>
        <w:t xml:space="preserve">    （</w:t>
      </w:r>
      <w:r>
        <w:rPr>
          <w:rFonts w:ascii="宋体" w:hAnsi="宋体" w:eastAsia="宋体" w:cs="宋体"/>
          <w:color w:val="000000" w:themeColor="text1"/>
          <w:sz w:val="21"/>
          <w:highlight w:val="none"/>
          <w:lang w:val="en"/>
          <w14:textFill>
            <w14:solidFill>
              <w14:schemeClr w14:val="tx1"/>
            </w14:solidFill>
          </w14:textFill>
        </w:rPr>
        <w:t>4</w:t>
      </w:r>
      <w:r>
        <w:rPr>
          <w:rFonts w:hint="eastAsia" w:ascii="宋体" w:hAnsi="宋体" w:eastAsia="宋体" w:cs="宋体"/>
          <w:color w:val="000000" w:themeColor="text1"/>
          <w:sz w:val="21"/>
          <w:highlight w:val="none"/>
          <w14:textFill>
            <w14:solidFill>
              <w14:schemeClr w14:val="tx1"/>
            </w14:solidFill>
          </w14:textFill>
        </w:rPr>
        <w:t>）政府采购组织形式：</w:t>
      </w:r>
      <w:r>
        <w:rPr>
          <w:rFonts w:hint="eastAsia" w:ascii="宋体" w:hAnsi="宋体" w:eastAsia="宋体" w:cs="宋体"/>
          <w:color w:val="000000" w:themeColor="text1"/>
          <w:sz w:val="21"/>
          <w:highlight w:val="none"/>
          <w14:textFill>
            <w14:solidFill>
              <w14:schemeClr w14:val="tx1"/>
            </w14:solidFill>
          </w14:textFill>
        </w:rPr>
        <w:sym w:font="Wingdings" w:char="00A8"/>
      </w:r>
      <w:r>
        <w:rPr>
          <w:rFonts w:ascii="宋体" w:hAnsi="宋体" w:eastAsia="宋体" w:cs="宋体"/>
          <w:color w:val="000000" w:themeColor="text1"/>
          <w:sz w:val="21"/>
          <w:highlight w:val="none"/>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 xml:space="preserve">政府集中采购  </w:t>
      </w:r>
      <w:r>
        <w:rPr>
          <w:rFonts w:hint="eastAsia" w:ascii="宋体" w:hAnsi="宋体" w:eastAsia="宋体" w:cs="宋体"/>
          <w:color w:val="000000" w:themeColor="text1"/>
          <w:sz w:val="21"/>
          <w:highlight w:val="none"/>
          <w14:textFill>
            <w14:solidFill>
              <w14:schemeClr w14:val="tx1"/>
            </w14:solidFill>
          </w14:textFill>
        </w:rPr>
        <w:sym w:font="Wingdings" w:char="00A8"/>
      </w:r>
      <w:r>
        <w:rPr>
          <w:rFonts w:ascii="宋体" w:hAnsi="宋体" w:eastAsia="宋体" w:cs="宋体"/>
          <w:color w:val="000000" w:themeColor="text1"/>
          <w:sz w:val="21"/>
          <w:highlight w:val="none"/>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 xml:space="preserve">部门集中采购  </w:t>
      </w:r>
      <w:r>
        <w:rPr>
          <w:rFonts w:hint="eastAsia" w:ascii="宋体" w:hAnsi="宋体" w:eastAsia="宋体" w:cs="宋体"/>
          <w:color w:val="000000" w:themeColor="text1"/>
          <w:sz w:val="21"/>
          <w:highlight w:val="none"/>
          <w14:textFill>
            <w14:solidFill>
              <w14:schemeClr w14:val="tx1"/>
            </w14:solidFill>
          </w14:textFill>
        </w:rPr>
        <w:sym w:font="Wingdings" w:char="00A8"/>
      </w:r>
      <w:r>
        <w:rPr>
          <w:rFonts w:ascii="宋体" w:hAnsi="宋体" w:eastAsia="宋体" w:cs="宋体"/>
          <w:color w:val="000000" w:themeColor="text1"/>
          <w:sz w:val="21"/>
          <w:highlight w:val="none"/>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分散采购</w:t>
      </w:r>
    </w:p>
    <w:p w14:paraId="5DC31BE6">
      <w:pPr>
        <w:pStyle w:val="9"/>
        <w:keepNext w:val="0"/>
        <w:keepLines w:val="0"/>
        <w:pageBreakBefore w:val="0"/>
        <w:kinsoku/>
        <w:wordWrap/>
        <w:overflowPunct/>
        <w:topLinePunct w:val="0"/>
        <w:bidi w:val="0"/>
        <w:snapToGrid w:val="0"/>
        <w:spacing w:line="312" w:lineRule="auto"/>
        <w:ind w:firstLine="420" w:firstLineChars="0"/>
        <w:textAlignment w:val="auto"/>
        <w:rPr>
          <w:rFonts w:ascii="宋体" w:hAnsi="宋体" w:eastAsia="宋体" w:cs="宋体"/>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14:textFill>
            <w14:solidFill>
              <w14:schemeClr w14:val="tx1"/>
            </w14:solidFill>
          </w14:textFill>
        </w:rPr>
        <w:t>（</w:t>
      </w:r>
      <w:r>
        <w:rPr>
          <w:rFonts w:ascii="宋体" w:hAnsi="宋体" w:eastAsia="宋体" w:cs="宋体"/>
          <w:color w:val="000000" w:themeColor="text1"/>
          <w:sz w:val="21"/>
          <w:highlight w:val="none"/>
          <w:lang w:val="en"/>
          <w14:textFill>
            <w14:solidFill>
              <w14:schemeClr w14:val="tx1"/>
            </w14:solidFill>
          </w14:textFill>
        </w:rPr>
        <w:t>5</w:t>
      </w:r>
      <w:r>
        <w:rPr>
          <w:rFonts w:hint="eastAsia" w:ascii="宋体" w:hAnsi="宋体" w:eastAsia="宋体" w:cs="宋体"/>
          <w:color w:val="000000" w:themeColor="text1"/>
          <w:sz w:val="21"/>
          <w:highlight w:val="none"/>
          <w14:textFill>
            <w14:solidFill>
              <w14:schemeClr w14:val="tx1"/>
            </w14:solidFill>
          </w14:textFill>
        </w:rPr>
        <w:t>）政府采购方式：</w:t>
      </w:r>
      <w:r>
        <w:rPr>
          <w:rFonts w:hint="eastAsia" w:ascii="宋体" w:hAnsi="宋体" w:eastAsia="宋体" w:cs="宋体"/>
          <w:color w:val="000000" w:themeColor="text1"/>
          <w:sz w:val="21"/>
          <w:highlight w:val="none"/>
          <w14:textFill>
            <w14:solidFill>
              <w14:schemeClr w14:val="tx1"/>
            </w14:solidFill>
          </w14:textFill>
        </w:rPr>
        <w:sym w:font="Wingdings" w:char="00A8"/>
      </w:r>
      <w:r>
        <w:rPr>
          <w:rFonts w:ascii="宋体" w:hAnsi="宋体" w:eastAsia="宋体" w:cs="宋体"/>
          <w:color w:val="000000" w:themeColor="text1"/>
          <w:sz w:val="21"/>
          <w:highlight w:val="none"/>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 xml:space="preserve">公开招标 </w:t>
      </w:r>
      <w:r>
        <w:rPr>
          <w:rFonts w:hint="eastAsia" w:ascii="宋体" w:hAnsi="宋体" w:eastAsia="宋体" w:cs="宋体"/>
          <w:color w:val="000000" w:themeColor="text1"/>
          <w:sz w:val="21"/>
          <w:highlight w:val="none"/>
          <w14:textFill>
            <w14:solidFill>
              <w14:schemeClr w14:val="tx1"/>
            </w14:solidFill>
          </w14:textFill>
        </w:rPr>
        <w:sym w:font="Wingdings" w:char="00A8"/>
      </w:r>
      <w:r>
        <w:rPr>
          <w:rFonts w:ascii="宋体" w:hAnsi="宋体" w:eastAsia="宋体" w:cs="宋体"/>
          <w:color w:val="000000" w:themeColor="text1"/>
          <w:sz w:val="21"/>
          <w:highlight w:val="none"/>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 xml:space="preserve">邀请招标 </w:t>
      </w:r>
      <w:r>
        <w:rPr>
          <w:rFonts w:hint="eastAsia" w:ascii="宋体" w:hAnsi="宋体" w:eastAsia="宋体" w:cs="宋体"/>
          <w:color w:val="000000" w:themeColor="text1"/>
          <w:sz w:val="21"/>
          <w:highlight w:val="none"/>
          <w14:textFill>
            <w14:solidFill>
              <w14:schemeClr w14:val="tx1"/>
            </w14:solidFill>
          </w14:textFill>
        </w:rPr>
        <w:sym w:font="Wingdings" w:char="00A8"/>
      </w:r>
      <w:r>
        <w:rPr>
          <w:rFonts w:ascii="宋体" w:hAnsi="宋体" w:eastAsia="宋体" w:cs="宋体"/>
          <w:color w:val="000000" w:themeColor="text1"/>
          <w:sz w:val="21"/>
          <w:highlight w:val="none"/>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 xml:space="preserve">竞争性谈判 </w:t>
      </w:r>
      <w:r>
        <w:rPr>
          <w:rFonts w:hint="eastAsia" w:ascii="宋体" w:hAnsi="宋体" w:eastAsia="宋体" w:cs="宋体"/>
          <w:color w:val="000000" w:themeColor="text1"/>
          <w:sz w:val="21"/>
          <w:highlight w:val="none"/>
          <w14:textFill>
            <w14:solidFill>
              <w14:schemeClr w14:val="tx1"/>
            </w14:solidFill>
          </w14:textFill>
        </w:rPr>
        <w:sym w:font="Wingdings" w:char="00A8"/>
      </w:r>
      <w:r>
        <w:rPr>
          <w:rFonts w:ascii="宋体" w:hAnsi="宋体" w:eastAsia="宋体" w:cs="宋体"/>
          <w:color w:val="000000" w:themeColor="text1"/>
          <w:sz w:val="21"/>
          <w:highlight w:val="none"/>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 xml:space="preserve">竞争性磋商 </w:t>
      </w:r>
      <w:r>
        <w:rPr>
          <w:rFonts w:hint="eastAsia" w:ascii="宋体" w:hAnsi="宋体" w:eastAsia="宋体" w:cs="宋体"/>
          <w:color w:val="000000" w:themeColor="text1"/>
          <w:sz w:val="21"/>
          <w:highlight w:val="none"/>
          <w14:textFill>
            <w14:solidFill>
              <w14:schemeClr w14:val="tx1"/>
            </w14:solidFill>
          </w14:textFill>
        </w:rPr>
        <w:sym w:font="Wingdings" w:char="00A8"/>
      </w:r>
      <w:r>
        <w:rPr>
          <w:rFonts w:hint="eastAsia" w:ascii="宋体" w:hAnsi="宋体" w:eastAsia="宋体" w:cs="宋体"/>
          <w:color w:val="000000" w:themeColor="text1"/>
          <w:sz w:val="21"/>
          <w:highlight w:val="none"/>
          <w14:textFill>
            <w14:solidFill>
              <w14:schemeClr w14:val="tx1"/>
            </w14:solidFill>
          </w14:textFill>
        </w:rPr>
        <w:t xml:space="preserve">询价 </w:t>
      </w:r>
      <w:r>
        <w:rPr>
          <w:rFonts w:hint="eastAsia" w:ascii="宋体" w:hAnsi="宋体" w:eastAsia="宋体" w:cs="宋体"/>
          <w:color w:val="000000" w:themeColor="text1"/>
          <w:sz w:val="21"/>
          <w:highlight w:val="none"/>
          <w14:textFill>
            <w14:solidFill>
              <w14:schemeClr w14:val="tx1"/>
            </w14:solidFill>
          </w14:textFill>
        </w:rPr>
        <w:sym w:font="Wingdings" w:char="00A8"/>
      </w:r>
      <w:r>
        <w:rPr>
          <w:rFonts w:ascii="宋体" w:hAnsi="宋体" w:eastAsia="宋体" w:cs="宋体"/>
          <w:color w:val="000000" w:themeColor="text1"/>
          <w:sz w:val="21"/>
          <w:highlight w:val="none"/>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 xml:space="preserve">单一来源 </w:t>
      </w:r>
      <w:r>
        <w:rPr>
          <w:rFonts w:hint="eastAsia" w:ascii="宋体" w:hAnsi="宋体" w:eastAsia="宋体" w:cs="宋体"/>
          <w:color w:val="000000" w:themeColor="text1"/>
          <w:sz w:val="21"/>
          <w:highlight w:val="none"/>
          <w14:textFill>
            <w14:solidFill>
              <w14:schemeClr w14:val="tx1"/>
            </w14:solidFill>
          </w14:textFill>
        </w:rPr>
        <w:sym w:font="Wingdings" w:char="00A8"/>
      </w:r>
      <w:r>
        <w:rPr>
          <w:rFonts w:ascii="宋体" w:hAnsi="宋体" w:eastAsia="宋体" w:cs="宋体"/>
          <w:color w:val="000000" w:themeColor="text1"/>
          <w:sz w:val="21"/>
          <w:highlight w:val="none"/>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 xml:space="preserve">框架协议 </w:t>
      </w:r>
      <w:r>
        <w:rPr>
          <w:rFonts w:hint="eastAsia" w:ascii="宋体" w:hAnsi="宋体" w:eastAsia="宋体" w:cs="宋体"/>
          <w:color w:val="000000" w:themeColor="text1"/>
          <w:sz w:val="21"/>
          <w:highlight w:val="none"/>
          <w14:textFill>
            <w14:solidFill>
              <w14:schemeClr w14:val="tx1"/>
            </w14:solidFill>
          </w14:textFill>
        </w:rPr>
        <w:sym w:font="Wingdings" w:char="00A8"/>
      </w:r>
      <w:r>
        <w:rPr>
          <w:rFonts w:ascii="宋体" w:hAnsi="宋体" w:eastAsia="宋体" w:cs="宋体"/>
          <w:color w:val="000000" w:themeColor="text1"/>
          <w:sz w:val="21"/>
          <w:highlight w:val="none"/>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其他：</w:t>
      </w:r>
      <w:r>
        <w:rPr>
          <w:rFonts w:hint="eastAsia" w:ascii="宋体" w:hAnsi="宋体" w:eastAsia="宋体" w:cs="宋体"/>
          <w:color w:val="000000" w:themeColor="text1"/>
          <w:sz w:val="21"/>
          <w:highlight w:val="none"/>
          <w:u w:val="single"/>
          <w14:textFill>
            <w14:solidFill>
              <w14:schemeClr w14:val="tx1"/>
            </w14:solidFill>
          </w14:textFill>
        </w:rPr>
        <w:t xml:space="preserve">          </w:t>
      </w:r>
    </w:p>
    <w:p w14:paraId="6D1AFA1D">
      <w:pPr>
        <w:pStyle w:val="9"/>
        <w:keepNext w:val="0"/>
        <w:keepLines w:val="0"/>
        <w:pageBreakBefore w:val="0"/>
        <w:kinsoku/>
        <w:wordWrap/>
        <w:overflowPunct/>
        <w:topLinePunct w:val="0"/>
        <w:bidi w:val="0"/>
        <w:snapToGrid w:val="0"/>
        <w:spacing w:line="312" w:lineRule="auto"/>
        <w:ind w:firstLine="210" w:firstLineChars="100"/>
        <w:textAlignment w:val="auto"/>
        <w:rPr>
          <w:rFonts w:ascii="宋体" w:hAnsi="宋体" w:eastAsia="宋体" w:cs="Times New Roman"/>
          <w:color w:val="000000" w:themeColor="text1"/>
          <w:kern w:val="2"/>
          <w:sz w:val="21"/>
          <w:highlight w:val="none"/>
          <w14:textFill>
            <w14:solidFill>
              <w14:schemeClr w14:val="tx1"/>
            </w14:solidFill>
          </w14:textFill>
        </w:rPr>
      </w:pPr>
      <w:r>
        <w:rPr>
          <w:rFonts w:hint="eastAsia" w:ascii="宋体" w:hAnsi="宋体" w:eastAsia="宋体"/>
          <w:color w:val="000000" w:themeColor="text1"/>
          <w:sz w:val="21"/>
          <w:highlight w:val="none"/>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w:t>
      </w:r>
      <w:r>
        <w:rPr>
          <w:rFonts w:ascii="宋体" w:hAnsi="宋体" w:eastAsia="宋体"/>
          <w:color w:val="000000" w:themeColor="text1"/>
          <w:sz w:val="21"/>
          <w:highlight w:val="none"/>
          <w:lang w:val="en"/>
          <w14:textFill>
            <w14:solidFill>
              <w14:schemeClr w14:val="tx1"/>
            </w14:solidFill>
          </w14:textFill>
        </w:rPr>
        <w:t>6</w:t>
      </w:r>
      <w:r>
        <w:rPr>
          <w:rFonts w:hint="eastAsia" w:ascii="宋体" w:hAnsi="宋体" w:eastAsia="宋体" w:cs="宋体"/>
          <w:color w:val="000000" w:themeColor="text1"/>
          <w:sz w:val="21"/>
          <w:highlight w:val="none"/>
          <w14:textFill>
            <w14:solidFill>
              <w14:schemeClr w14:val="tx1"/>
            </w14:solidFill>
          </w14:textFill>
        </w:rPr>
        <w:t>）</w:t>
      </w:r>
      <w:r>
        <w:rPr>
          <w:rFonts w:hint="eastAsia" w:ascii="宋体" w:hAnsi="宋体" w:eastAsia="宋体" w:cs="Times New Roman"/>
          <w:color w:val="000000" w:themeColor="text1"/>
          <w:kern w:val="2"/>
          <w:sz w:val="21"/>
          <w:highlight w:val="none"/>
          <w14:textFill>
            <w14:solidFill>
              <w14:schemeClr w14:val="tx1"/>
            </w14:solidFill>
          </w14:textFill>
        </w:rPr>
        <w:t>中标（成交）采购标的制造商是否为中小企业：</w:t>
      </w:r>
      <w:r>
        <w:rPr>
          <w:rFonts w:hint="eastAsia" w:ascii="宋体" w:hAnsi="宋体" w:eastAsia="宋体" w:cs="Times New Roman"/>
          <w:color w:val="000000" w:themeColor="text1"/>
          <w:kern w:val="2"/>
          <w:sz w:val="21"/>
          <w:highlight w:val="none"/>
          <w14:textFill>
            <w14:solidFill>
              <w14:schemeClr w14:val="tx1"/>
            </w14:solidFill>
          </w14:textFill>
        </w:rPr>
        <w:sym w:font="Wingdings" w:char="00A8"/>
      </w:r>
      <w:r>
        <w:rPr>
          <w:rFonts w:ascii="宋体" w:hAnsi="宋体" w:eastAsia="宋体" w:cs="Times New Roman"/>
          <w:color w:val="000000" w:themeColor="text1"/>
          <w:kern w:val="2"/>
          <w:sz w:val="21"/>
          <w:highlight w:val="none"/>
          <w14:textFill>
            <w14:solidFill>
              <w14:schemeClr w14:val="tx1"/>
            </w14:solidFill>
          </w14:textFill>
        </w:rPr>
        <w:t xml:space="preserve"> </w:t>
      </w:r>
      <w:r>
        <w:rPr>
          <w:rFonts w:hint="eastAsia" w:ascii="宋体" w:hAnsi="宋体" w:eastAsia="宋体" w:cs="Times New Roman"/>
          <w:color w:val="000000" w:themeColor="text1"/>
          <w:kern w:val="2"/>
          <w:sz w:val="21"/>
          <w:highlight w:val="none"/>
          <w14:textFill>
            <w14:solidFill>
              <w14:schemeClr w14:val="tx1"/>
            </w14:solidFill>
          </w14:textFill>
        </w:rPr>
        <w:t xml:space="preserve">是      </w:t>
      </w:r>
      <w:r>
        <w:rPr>
          <w:rFonts w:hint="eastAsia" w:ascii="宋体" w:hAnsi="宋体" w:eastAsia="宋体" w:cs="Times New Roman"/>
          <w:color w:val="000000" w:themeColor="text1"/>
          <w:kern w:val="2"/>
          <w:sz w:val="21"/>
          <w:highlight w:val="none"/>
          <w14:textFill>
            <w14:solidFill>
              <w14:schemeClr w14:val="tx1"/>
            </w14:solidFill>
          </w14:textFill>
        </w:rPr>
        <w:sym w:font="Wingdings" w:char="00A8"/>
      </w:r>
      <w:r>
        <w:rPr>
          <w:rFonts w:ascii="宋体" w:hAnsi="宋体" w:eastAsia="宋体" w:cs="Times New Roman"/>
          <w:color w:val="000000" w:themeColor="text1"/>
          <w:kern w:val="2"/>
          <w:sz w:val="21"/>
          <w:highlight w:val="none"/>
          <w14:textFill>
            <w14:solidFill>
              <w14:schemeClr w14:val="tx1"/>
            </w14:solidFill>
          </w14:textFill>
        </w:rPr>
        <w:t xml:space="preserve"> </w:t>
      </w:r>
      <w:r>
        <w:rPr>
          <w:rFonts w:hint="eastAsia" w:ascii="宋体" w:hAnsi="宋体" w:eastAsia="宋体" w:cs="Times New Roman"/>
          <w:color w:val="000000" w:themeColor="text1"/>
          <w:kern w:val="2"/>
          <w:sz w:val="21"/>
          <w:highlight w:val="none"/>
          <w14:textFill>
            <w14:solidFill>
              <w14:schemeClr w14:val="tx1"/>
            </w14:solidFill>
          </w14:textFill>
        </w:rPr>
        <w:t>否</w:t>
      </w:r>
    </w:p>
    <w:p w14:paraId="6A1CEF45">
      <w:pPr>
        <w:pStyle w:val="9"/>
        <w:keepNext w:val="0"/>
        <w:keepLines w:val="0"/>
        <w:pageBreakBefore w:val="0"/>
        <w:kinsoku/>
        <w:wordWrap/>
        <w:overflowPunct/>
        <w:topLinePunct w:val="0"/>
        <w:bidi w:val="0"/>
        <w:snapToGrid w:val="0"/>
        <w:spacing w:line="312" w:lineRule="auto"/>
        <w:ind w:firstLine="420"/>
        <w:textAlignment w:val="auto"/>
        <w:rPr>
          <w:rFonts w:ascii="宋体" w:hAnsi="宋体" w:eastAsia="宋体" w:cs="Times New Roman"/>
          <w:color w:val="000000" w:themeColor="text1"/>
          <w:kern w:val="2"/>
          <w:sz w:val="21"/>
          <w:highlight w:val="none"/>
          <w14:textFill>
            <w14:solidFill>
              <w14:schemeClr w14:val="tx1"/>
            </w14:solidFill>
          </w14:textFill>
        </w:rPr>
      </w:pPr>
      <w:r>
        <w:rPr>
          <w:rFonts w:hint="eastAsia" w:ascii="宋体" w:hAnsi="宋体" w:eastAsia="宋体" w:cs="宋体"/>
          <w:color w:val="000000" w:themeColor="text1"/>
          <w:sz w:val="21"/>
          <w:highlight w:val="none"/>
          <w14:textFill>
            <w14:solidFill>
              <w14:schemeClr w14:val="tx1"/>
            </w14:solidFill>
          </w14:textFill>
        </w:rPr>
        <w:t>本合同是否为专门面向中小企业的采购合同（中小企业预留合同）：</w:t>
      </w:r>
      <w:r>
        <w:rPr>
          <w:rFonts w:hint="eastAsia" w:ascii="宋体" w:hAnsi="宋体" w:eastAsia="宋体"/>
          <w:iCs/>
          <w:color w:val="000000" w:themeColor="text1"/>
          <w:sz w:val="21"/>
          <w:highlight w:val="none"/>
          <w14:textFill>
            <w14:solidFill>
              <w14:schemeClr w14:val="tx1"/>
            </w14:solidFill>
          </w14:textFill>
        </w:rPr>
        <w:sym w:font="Wingdings" w:char="00A8"/>
      </w:r>
      <w:r>
        <w:rPr>
          <w:rFonts w:ascii="宋体" w:hAnsi="宋体" w:eastAsia="宋体"/>
          <w:iCs/>
          <w:color w:val="000000" w:themeColor="text1"/>
          <w:sz w:val="21"/>
          <w:highlight w:val="none"/>
          <w14:textFill>
            <w14:solidFill>
              <w14:schemeClr w14:val="tx1"/>
            </w14:solidFill>
          </w14:textFill>
        </w:rPr>
        <w:t xml:space="preserve"> </w:t>
      </w:r>
      <w:r>
        <w:rPr>
          <w:rFonts w:hint="eastAsia" w:ascii="宋体" w:hAnsi="宋体" w:eastAsia="宋体" w:cs="宋体"/>
          <w:iCs/>
          <w:color w:val="000000" w:themeColor="text1"/>
          <w:sz w:val="21"/>
          <w:highlight w:val="none"/>
          <w14:textFill>
            <w14:solidFill>
              <w14:schemeClr w14:val="tx1"/>
            </w14:solidFill>
          </w14:textFill>
        </w:rPr>
        <w:t>是</w:t>
      </w:r>
      <w:r>
        <w:rPr>
          <w:rFonts w:hint="eastAsia" w:ascii="宋体" w:hAnsi="宋体" w:eastAsia="宋体"/>
          <w:iCs/>
          <w:color w:val="000000" w:themeColor="text1"/>
          <w:sz w:val="21"/>
          <w:highlight w:val="none"/>
          <w14:textFill>
            <w14:solidFill>
              <w14:schemeClr w14:val="tx1"/>
            </w14:solidFill>
          </w14:textFill>
        </w:rPr>
        <w:t xml:space="preserve"> </w:t>
      </w:r>
      <w:r>
        <w:rPr>
          <w:rFonts w:hint="eastAsia" w:ascii="宋体" w:hAnsi="宋体" w:eastAsia="宋体"/>
          <w:iCs/>
          <w:color w:val="000000" w:themeColor="text1"/>
          <w:sz w:val="21"/>
          <w:highlight w:val="none"/>
          <w14:textFill>
            <w14:solidFill>
              <w14:schemeClr w14:val="tx1"/>
            </w14:solidFill>
          </w14:textFill>
        </w:rPr>
        <w:sym w:font="Wingdings" w:char="00A8"/>
      </w:r>
      <w:r>
        <w:rPr>
          <w:rFonts w:ascii="宋体" w:hAnsi="宋体" w:eastAsia="宋体"/>
          <w:iCs/>
          <w:color w:val="000000" w:themeColor="text1"/>
          <w:sz w:val="21"/>
          <w:highlight w:val="none"/>
          <w14:textFill>
            <w14:solidFill>
              <w14:schemeClr w14:val="tx1"/>
            </w14:solidFill>
          </w14:textFill>
        </w:rPr>
        <w:t xml:space="preserve"> </w:t>
      </w:r>
      <w:r>
        <w:rPr>
          <w:rFonts w:hint="eastAsia" w:ascii="宋体" w:hAnsi="宋体" w:eastAsia="宋体" w:cs="宋体"/>
          <w:iCs/>
          <w:color w:val="000000" w:themeColor="text1"/>
          <w:sz w:val="21"/>
          <w:highlight w:val="none"/>
          <w14:textFill>
            <w14:solidFill>
              <w14:schemeClr w14:val="tx1"/>
            </w14:solidFill>
          </w14:textFill>
        </w:rPr>
        <w:t>否</w:t>
      </w:r>
    </w:p>
    <w:p w14:paraId="4F17C603">
      <w:pPr>
        <w:keepNext w:val="0"/>
        <w:keepLines w:val="0"/>
        <w:pageBreakBefore w:val="0"/>
        <w:kinsoku/>
        <w:wordWrap/>
        <w:overflowPunct/>
        <w:topLinePunct w:val="0"/>
        <w:bidi w:val="0"/>
        <w:adjustRightInd w:val="0"/>
        <w:snapToGrid w:val="0"/>
        <w:spacing w:line="312" w:lineRule="auto"/>
        <w:textAlignment w:val="auto"/>
        <w:rPr>
          <w:rFonts w:ascii="宋体" w:hAnsi="宋体"/>
          <w:iCs/>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若本项目不专门面向中小企业采购，是否给予小微企业评审优惠：</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是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否</w:t>
      </w:r>
    </w:p>
    <w:p w14:paraId="53FCDA9E">
      <w:pPr>
        <w:keepNext w:val="0"/>
        <w:keepLines w:val="0"/>
        <w:pageBreakBefore w:val="0"/>
        <w:kinsoku/>
        <w:wordWrap/>
        <w:overflowPunct/>
        <w:topLinePunct w:val="0"/>
        <w:bidi w:val="0"/>
        <w:adjustRightInd w:val="0"/>
        <w:snapToGrid w:val="0"/>
        <w:spacing w:line="312" w:lineRule="auto"/>
        <w:textAlignment w:val="auto"/>
        <w:rPr>
          <w:rFonts w:ascii="宋体" w:hAnsi="宋体"/>
          <w:iCs/>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中标（成交）采购标的制造商是否为残疾人福利性单位：</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是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否</w:t>
      </w:r>
    </w:p>
    <w:p w14:paraId="6730E7B6">
      <w:pPr>
        <w:keepNext w:val="0"/>
        <w:keepLines w:val="0"/>
        <w:pageBreakBefore w:val="0"/>
        <w:kinsoku/>
        <w:wordWrap/>
        <w:overflowPunct/>
        <w:topLinePunct w:val="0"/>
        <w:bidi w:val="0"/>
        <w:adjustRightInd w:val="0"/>
        <w:snapToGrid w:val="0"/>
        <w:spacing w:line="312" w:lineRule="auto"/>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中标（成交）采购标的制造商是否为监狱企业：</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 xml:space="preserve">是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否</w:t>
      </w:r>
    </w:p>
    <w:p w14:paraId="055E40B5">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lang w:val="e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）合同是否分包：</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 xml:space="preserve">是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否</w:t>
      </w:r>
    </w:p>
    <w:p w14:paraId="1D9B3B1F">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分包主要内容：</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p>
    <w:p w14:paraId="1FA759B6">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分包供应商/制造商名称（如供应商和制造商不同，请分别填写）：</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p>
    <w:p w14:paraId="1FDFEBD7">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分包供应商/制造商类型（如果供应商和制造商不同，只填写制造商类型）：</w:t>
      </w:r>
      <w:r>
        <w:rPr>
          <w:rFonts w:hint="eastAsia"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大型企业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中型企业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小微型企业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残疾人福利性单位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监狱企业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其他</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p>
    <w:p w14:paraId="26619BF1">
      <w:pPr>
        <w:keepNext w:val="0"/>
        <w:keepLines w:val="0"/>
        <w:pageBreakBefore w:val="0"/>
        <w:kinsoku/>
        <w:wordWrap/>
        <w:overflowPunct/>
        <w:topLinePunct w:val="0"/>
        <w:bidi w:val="0"/>
        <w:adjustRightInd w:val="0"/>
        <w:snapToGrid w:val="0"/>
        <w:spacing w:line="312" w:lineRule="auto"/>
        <w:textAlignment w:val="auto"/>
        <w:rPr>
          <w:rFonts w:ascii="宋体" w:hAnsi="宋体" w:cs="宋体"/>
          <w:iCs/>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w:t>
      </w:r>
      <w:r>
        <w:rPr>
          <w:rFonts w:ascii="宋体" w:hAnsi="宋体" w:cs="宋体"/>
          <w:color w:val="000000" w:themeColor="text1"/>
          <w:szCs w:val="21"/>
          <w:highlight w:val="none"/>
          <w:lang w:val="en"/>
          <w14:textFill>
            <w14:solidFill>
              <w14:schemeClr w14:val="tx1"/>
            </w14:solidFill>
          </w14:textFill>
        </w:rPr>
        <w:t>8</w:t>
      </w:r>
      <w:r>
        <w:rPr>
          <w:rFonts w:hint="eastAsia" w:ascii="宋体" w:hAnsi="宋体" w:cs="宋体"/>
          <w:color w:val="000000" w:themeColor="text1"/>
          <w:szCs w:val="21"/>
          <w:highlight w:val="none"/>
          <w14:textFill>
            <w14:solidFill>
              <w14:schemeClr w14:val="tx1"/>
            </w14:solidFill>
          </w14:textFill>
        </w:rPr>
        <w:t>）中标（成交）供应商是否为外商投资企业：</w:t>
      </w:r>
      <w:r>
        <w:rPr>
          <w:rFonts w:hint="eastAsia" w:ascii="宋体" w:hAnsi="宋体" w:cs="宋体"/>
          <w:iCs/>
          <w:color w:val="000000" w:themeColor="text1"/>
          <w:szCs w:val="21"/>
          <w:highlight w:val="none"/>
          <w14:textFill>
            <w14:solidFill>
              <w14:schemeClr w14:val="tx1"/>
            </w14:solidFill>
          </w14:textFill>
        </w:rPr>
        <w:sym w:font="Wingdings" w:char="00A8"/>
      </w:r>
      <w:r>
        <w:rPr>
          <w:rFonts w:ascii="宋体" w:hAnsi="宋体" w:cs="宋体"/>
          <w:iCs/>
          <w:color w:val="000000" w:themeColor="text1"/>
          <w:szCs w:val="21"/>
          <w:highlight w:val="none"/>
          <w14:textFill>
            <w14:solidFill>
              <w14:schemeClr w14:val="tx1"/>
            </w14:solidFill>
          </w14:textFill>
        </w:rPr>
        <w:t xml:space="preserve"> </w:t>
      </w:r>
      <w:r>
        <w:rPr>
          <w:rFonts w:hint="eastAsia" w:ascii="宋体" w:hAnsi="宋体" w:cs="宋体"/>
          <w:iCs/>
          <w:color w:val="000000" w:themeColor="text1"/>
          <w:szCs w:val="21"/>
          <w:highlight w:val="none"/>
          <w14:textFill>
            <w14:solidFill>
              <w14:schemeClr w14:val="tx1"/>
            </w14:solidFill>
          </w14:textFill>
        </w:rPr>
        <w:t>是</w:t>
      </w:r>
      <w:r>
        <w:rPr>
          <w:rFonts w:ascii="宋体" w:hAnsi="宋体" w:cs="宋体"/>
          <w:iCs/>
          <w:color w:val="000000" w:themeColor="text1"/>
          <w:szCs w:val="21"/>
          <w:highlight w:val="none"/>
          <w14:textFill>
            <w14:solidFill>
              <w14:schemeClr w14:val="tx1"/>
            </w14:solidFill>
          </w14:textFill>
        </w:rPr>
        <w:t xml:space="preserve">  </w:t>
      </w:r>
      <w:r>
        <w:rPr>
          <w:rFonts w:hint="eastAsia" w:ascii="宋体" w:hAnsi="宋体" w:cs="宋体"/>
          <w:iCs/>
          <w:color w:val="000000" w:themeColor="text1"/>
          <w:szCs w:val="21"/>
          <w:highlight w:val="none"/>
          <w14:textFill>
            <w14:solidFill>
              <w14:schemeClr w14:val="tx1"/>
            </w14:solidFill>
          </w14:textFill>
        </w:rPr>
        <w:sym w:font="Wingdings" w:char="00A8"/>
      </w:r>
      <w:r>
        <w:rPr>
          <w:rFonts w:ascii="宋体" w:hAnsi="宋体" w:cs="宋体"/>
          <w:iCs/>
          <w:color w:val="000000" w:themeColor="text1"/>
          <w:szCs w:val="21"/>
          <w:highlight w:val="none"/>
          <w14:textFill>
            <w14:solidFill>
              <w14:schemeClr w14:val="tx1"/>
            </w14:solidFill>
          </w14:textFill>
        </w:rPr>
        <w:t xml:space="preserve"> </w:t>
      </w:r>
      <w:r>
        <w:rPr>
          <w:rFonts w:hint="eastAsia" w:ascii="宋体" w:hAnsi="宋体" w:cs="宋体"/>
          <w:iCs/>
          <w:color w:val="000000" w:themeColor="text1"/>
          <w:szCs w:val="21"/>
          <w:highlight w:val="none"/>
          <w14:textFill>
            <w14:solidFill>
              <w14:schemeClr w14:val="tx1"/>
            </w14:solidFill>
          </w14:textFill>
        </w:rPr>
        <w:t>否</w:t>
      </w:r>
    </w:p>
    <w:p w14:paraId="12590567">
      <w:pPr>
        <w:pStyle w:val="9"/>
        <w:keepNext w:val="0"/>
        <w:keepLines w:val="0"/>
        <w:pageBreakBefore w:val="0"/>
        <w:tabs>
          <w:tab w:val="left" w:pos="1340"/>
        </w:tabs>
        <w:kinsoku/>
        <w:wordWrap/>
        <w:overflowPunct/>
        <w:topLinePunct w:val="0"/>
        <w:bidi w:val="0"/>
        <w:spacing w:line="312" w:lineRule="auto"/>
        <w:ind w:firstLine="0" w:firstLineChars="0"/>
        <w:textAlignment w:val="auto"/>
        <w:rPr>
          <w:rFonts w:ascii="宋体" w:hAnsi="宋体" w:eastAsia="宋体" w:cs="宋体"/>
          <w:color w:val="000000" w:themeColor="text1"/>
          <w:sz w:val="21"/>
          <w:highlight w:val="none"/>
          <w:u w:val="single"/>
          <w14:textFill>
            <w14:solidFill>
              <w14:schemeClr w14:val="tx1"/>
            </w14:solidFill>
          </w14:textFill>
        </w:rPr>
      </w:pPr>
      <w:r>
        <w:rPr>
          <w:rFonts w:hint="eastAsia" w:ascii="宋体" w:hAnsi="宋体" w:eastAsia="宋体" w:cs="宋体"/>
          <w:color w:val="000000" w:themeColor="text1"/>
          <w:sz w:val="21"/>
          <w:highlight w:val="none"/>
          <w14:textFill>
            <w14:solidFill>
              <w14:schemeClr w14:val="tx1"/>
            </w14:solidFill>
          </w14:textFill>
        </w:rPr>
        <w:t xml:space="preserve">  </w:t>
      </w:r>
      <w:r>
        <w:rPr>
          <w:rFonts w:ascii="宋体" w:hAnsi="宋体" w:eastAsia="宋体" w:cs="宋体"/>
          <w:color w:val="000000" w:themeColor="text1"/>
          <w:sz w:val="21"/>
          <w:highlight w:val="none"/>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外商投资企业类型：</w:t>
      </w:r>
      <w:r>
        <w:rPr>
          <w:rFonts w:hint="eastAsia" w:ascii="宋体" w:hAnsi="宋体" w:eastAsia="宋体" w:cs="宋体"/>
          <w:iCs/>
          <w:color w:val="000000" w:themeColor="text1"/>
          <w:sz w:val="21"/>
          <w:highlight w:val="none"/>
          <w14:textFill>
            <w14:solidFill>
              <w14:schemeClr w14:val="tx1"/>
            </w14:solidFill>
          </w14:textFill>
        </w:rPr>
        <w:sym w:font="Wingdings" w:char="00A8"/>
      </w:r>
      <w:r>
        <w:rPr>
          <w:rFonts w:ascii="宋体" w:hAnsi="宋体" w:eastAsia="宋体" w:cs="宋体"/>
          <w:iCs/>
          <w:color w:val="000000" w:themeColor="text1"/>
          <w:sz w:val="21"/>
          <w:highlight w:val="none"/>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 xml:space="preserve">全部由外国投资者投资  </w:t>
      </w:r>
      <w:r>
        <w:rPr>
          <w:rFonts w:hint="eastAsia" w:ascii="宋体" w:hAnsi="宋体" w:eastAsia="宋体" w:cs="宋体"/>
          <w:iCs/>
          <w:color w:val="000000" w:themeColor="text1"/>
          <w:sz w:val="21"/>
          <w:highlight w:val="none"/>
          <w14:textFill>
            <w14:solidFill>
              <w14:schemeClr w14:val="tx1"/>
            </w14:solidFill>
          </w14:textFill>
        </w:rPr>
        <w:sym w:font="Wingdings" w:char="00A8"/>
      </w:r>
      <w:r>
        <w:rPr>
          <w:rFonts w:ascii="宋体" w:hAnsi="宋体" w:eastAsia="宋体" w:cs="宋体"/>
          <w:iCs/>
          <w:color w:val="000000" w:themeColor="text1"/>
          <w:sz w:val="21"/>
          <w:highlight w:val="none"/>
          <w14:textFill>
            <w14:solidFill>
              <w14:schemeClr w14:val="tx1"/>
            </w14:solidFill>
          </w14:textFill>
        </w:rPr>
        <w:t xml:space="preserve"> </w:t>
      </w:r>
      <w:r>
        <w:rPr>
          <w:rFonts w:hint="eastAsia" w:ascii="宋体" w:hAnsi="宋体" w:eastAsia="宋体" w:cs="宋体"/>
          <w:iCs/>
          <w:color w:val="000000" w:themeColor="text1"/>
          <w:sz w:val="21"/>
          <w:highlight w:val="none"/>
          <w14:textFill>
            <w14:solidFill>
              <w14:schemeClr w14:val="tx1"/>
            </w14:solidFill>
          </w14:textFill>
        </w:rPr>
        <w:t>部分由外国投资者投资</w:t>
      </w:r>
    </w:p>
    <w:p w14:paraId="29740688">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r>
        <w:rPr>
          <w:rFonts w:ascii="宋体" w:hAnsi="宋体" w:cs="宋体"/>
          <w:color w:val="000000" w:themeColor="text1"/>
          <w:szCs w:val="21"/>
          <w:highlight w:val="none"/>
          <w:lang w:val="en"/>
          <w14:textFill>
            <w14:solidFill>
              <w14:schemeClr w14:val="tx1"/>
            </w14:solidFill>
          </w14:textFill>
        </w:rPr>
        <w:t>9</w:t>
      </w:r>
      <w:r>
        <w:rPr>
          <w:rFonts w:hint="eastAsia" w:ascii="宋体" w:hAnsi="宋体" w:cs="宋体"/>
          <w:color w:val="000000" w:themeColor="text1"/>
          <w:szCs w:val="21"/>
          <w:highlight w:val="none"/>
          <w14:textFill>
            <w14:solidFill>
              <w14:schemeClr w14:val="tx1"/>
            </w14:solidFill>
          </w14:textFill>
        </w:rPr>
        <w:t xml:space="preserve">）是否涉及进口产品： </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是，《政府采购品目分类目录》底级品目名称：</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金额：</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国别：</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品牌：</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规格型号：</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p>
    <w:p w14:paraId="001DD0CC">
      <w:pPr>
        <w:keepNext w:val="0"/>
        <w:keepLines w:val="0"/>
        <w:pageBreakBefore w:val="0"/>
        <w:kinsoku/>
        <w:wordWrap/>
        <w:overflowPunct/>
        <w:topLinePunct w:val="0"/>
        <w:bidi w:val="0"/>
        <w:adjustRightInd w:val="0"/>
        <w:snapToGrid w:val="0"/>
        <w:spacing w:line="312" w:lineRule="auto"/>
        <w:ind w:firstLine="840" w:firstLineChars="4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sym w:font="Wingdings" w:char="00A8"/>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否</w:t>
      </w:r>
    </w:p>
    <w:p w14:paraId="7F29D44F">
      <w:pPr>
        <w:keepNext w:val="0"/>
        <w:keepLines w:val="0"/>
        <w:pageBreakBefore w:val="0"/>
        <w:tabs>
          <w:tab w:val="left" w:pos="740"/>
        </w:tabs>
        <w:kinsoku/>
        <w:wordWrap/>
        <w:overflowPunct/>
        <w:topLinePunct w:val="0"/>
        <w:bidi w:val="0"/>
        <w:adjustRightInd w:val="0"/>
        <w:snapToGrid w:val="0"/>
        <w:spacing w:line="312" w:lineRule="auto"/>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（1</w:t>
      </w:r>
      <w:r>
        <w:rPr>
          <w:rFonts w:ascii="宋体" w:hAnsi="宋体"/>
          <w:color w:val="000000" w:themeColor="text1"/>
          <w:szCs w:val="21"/>
          <w:highlight w:val="none"/>
          <w:lang w:val="en"/>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）是否涉及节能产品：</w:t>
      </w:r>
      <w:r>
        <w:rPr>
          <w:rFonts w:hint="eastAsia" w:ascii="宋体" w:hAnsi="宋体"/>
          <w:color w:val="000000" w:themeColor="text1"/>
          <w:szCs w:val="21"/>
          <w:highlight w:val="none"/>
          <w14:textFill>
            <w14:solidFill>
              <w14:schemeClr w14:val="tx1"/>
            </w14:solidFill>
          </w14:textFill>
        </w:rPr>
        <w:sym w:font="Wingdings" w:char="00A8"/>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是，《节能产品政府采购品目清单》的底级品目名称：</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     </w:t>
      </w:r>
    </w:p>
    <w:p w14:paraId="1CF61B20">
      <w:pPr>
        <w:keepNext w:val="0"/>
        <w:keepLines w:val="0"/>
        <w:pageBreakBefore w:val="0"/>
        <w:tabs>
          <w:tab w:val="left" w:pos="740"/>
        </w:tabs>
        <w:kinsoku/>
        <w:wordWrap/>
        <w:overflowPunct/>
        <w:topLinePunct w:val="0"/>
        <w:bidi w:val="0"/>
        <w:adjustRightInd w:val="0"/>
        <w:snapToGrid w:val="0"/>
        <w:spacing w:line="312" w:lineRule="auto"/>
        <w:textAlignment w:val="auto"/>
        <w:rPr>
          <w:rFonts w:ascii="宋体" w:hAnsi="宋体"/>
          <w:iCs/>
          <w:color w:val="000000" w:themeColor="text1"/>
          <w:szCs w:val="21"/>
          <w:highlight w:val="none"/>
          <w14:textFill>
            <w14:solidFill>
              <w14:schemeClr w14:val="tx1"/>
            </w14:solidFill>
          </w14:textFill>
        </w:rPr>
      </w:pPr>
      <w:r>
        <w:rPr>
          <w:rFonts w:hint="eastAsia"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强制采购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优先采购    </w:t>
      </w:r>
    </w:p>
    <w:p w14:paraId="5C2235E8">
      <w:pPr>
        <w:keepNext w:val="0"/>
        <w:keepLines w:val="0"/>
        <w:pageBreakBefore w:val="0"/>
        <w:tabs>
          <w:tab w:val="left" w:pos="740"/>
        </w:tabs>
        <w:kinsoku/>
        <w:wordWrap/>
        <w:overflowPunct/>
        <w:topLinePunct w:val="0"/>
        <w:bidi w:val="0"/>
        <w:adjustRightInd w:val="0"/>
        <w:snapToGrid w:val="0"/>
        <w:spacing w:line="312" w:lineRule="auto"/>
        <w:textAlignment w:val="auto"/>
        <w:rPr>
          <w:rFonts w:ascii="宋体" w:hAnsi="宋体"/>
          <w:color w:val="000000" w:themeColor="text1"/>
          <w:szCs w:val="21"/>
          <w:highlight w:val="none"/>
          <w14:textFill>
            <w14:solidFill>
              <w14:schemeClr w14:val="tx1"/>
            </w14:solidFill>
          </w14:textFill>
        </w:rPr>
      </w:pPr>
      <w:r>
        <w:rPr>
          <w:rFonts w:hint="eastAsia" w:ascii="宋体" w:hAnsi="宋体"/>
          <w:iCs/>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sym w:font="Wingdings" w:char="00A8"/>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否</w:t>
      </w:r>
    </w:p>
    <w:p w14:paraId="09E9E8DF">
      <w:pPr>
        <w:keepNext w:val="0"/>
        <w:keepLines w:val="0"/>
        <w:pageBreakBefore w:val="0"/>
        <w:tabs>
          <w:tab w:val="left" w:pos="740"/>
        </w:tabs>
        <w:kinsoku/>
        <w:wordWrap/>
        <w:overflowPunct/>
        <w:topLinePunct w:val="0"/>
        <w:bidi w:val="0"/>
        <w:adjustRightInd w:val="0"/>
        <w:snapToGrid w:val="0"/>
        <w:spacing w:line="312" w:lineRule="auto"/>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是否涉及环境标志产品：</w:t>
      </w:r>
    </w:p>
    <w:p w14:paraId="48842185">
      <w:pPr>
        <w:keepNext w:val="0"/>
        <w:keepLines w:val="0"/>
        <w:pageBreakBefore w:val="0"/>
        <w:tabs>
          <w:tab w:val="left" w:pos="740"/>
        </w:tabs>
        <w:kinsoku/>
        <w:wordWrap/>
        <w:overflowPunct/>
        <w:topLinePunct w:val="0"/>
        <w:bidi w:val="0"/>
        <w:adjustRightInd w:val="0"/>
        <w:snapToGrid w:val="0"/>
        <w:spacing w:line="312" w:lineRule="auto"/>
        <w:textAlignment w:val="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sym w:font="Wingdings" w:char="00A8"/>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是，《环境标志产品政府采购品目清单》的底级品目名称：</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p>
    <w:p w14:paraId="52EE3CD6">
      <w:pPr>
        <w:keepNext w:val="0"/>
        <w:keepLines w:val="0"/>
        <w:pageBreakBefore w:val="0"/>
        <w:tabs>
          <w:tab w:val="left" w:pos="740"/>
        </w:tabs>
        <w:kinsoku/>
        <w:wordWrap/>
        <w:overflowPunct/>
        <w:topLinePunct w:val="0"/>
        <w:bidi w:val="0"/>
        <w:adjustRightInd w:val="0"/>
        <w:snapToGrid w:val="0"/>
        <w:spacing w:line="312" w:lineRule="auto"/>
        <w:textAlignment w:val="auto"/>
        <w:rPr>
          <w:rFonts w:ascii="宋体" w:hAnsi="宋体"/>
          <w:iCs/>
          <w:color w:val="000000" w:themeColor="text1"/>
          <w:szCs w:val="21"/>
          <w:highlight w:val="none"/>
          <w14:textFill>
            <w14:solidFill>
              <w14:schemeClr w14:val="tx1"/>
            </w14:solidFill>
          </w14:textFill>
        </w:rPr>
      </w:pPr>
      <w:r>
        <w:rPr>
          <w:rFonts w:hint="eastAsia"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强制采购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优先采购    </w:t>
      </w:r>
    </w:p>
    <w:p w14:paraId="0D192E3E">
      <w:pPr>
        <w:keepNext w:val="0"/>
        <w:keepLines w:val="0"/>
        <w:pageBreakBefore w:val="0"/>
        <w:tabs>
          <w:tab w:val="left" w:pos="740"/>
        </w:tabs>
        <w:kinsoku/>
        <w:wordWrap/>
        <w:overflowPunct/>
        <w:topLinePunct w:val="0"/>
        <w:bidi w:val="0"/>
        <w:adjustRightInd w:val="0"/>
        <w:snapToGrid w:val="0"/>
        <w:spacing w:line="312" w:lineRule="auto"/>
        <w:textAlignment w:val="auto"/>
        <w:rPr>
          <w:rFonts w:ascii="宋体" w:hAnsi="宋体"/>
          <w:color w:val="000000" w:themeColor="text1"/>
          <w:szCs w:val="21"/>
          <w:highlight w:val="none"/>
          <w14:textFill>
            <w14:solidFill>
              <w14:schemeClr w14:val="tx1"/>
            </w14:solidFill>
          </w14:textFill>
        </w:rPr>
      </w:pPr>
      <w:r>
        <w:rPr>
          <w:rFonts w:hint="eastAsia" w:ascii="宋体" w:hAnsi="宋体"/>
          <w:iCs/>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sym w:font="Wingdings" w:char="00A8"/>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否</w:t>
      </w:r>
    </w:p>
    <w:p w14:paraId="681512DC">
      <w:pPr>
        <w:pStyle w:val="9"/>
        <w:keepNext w:val="0"/>
        <w:keepLines w:val="0"/>
        <w:pageBreakBefore w:val="0"/>
        <w:kinsoku/>
        <w:wordWrap/>
        <w:overflowPunct/>
        <w:topLinePunct w:val="0"/>
        <w:bidi w:val="0"/>
        <w:snapToGrid w:val="0"/>
        <w:spacing w:line="312" w:lineRule="auto"/>
        <w:ind w:firstLine="0" w:firstLineChars="0"/>
        <w:textAlignment w:val="auto"/>
        <w:rPr>
          <w:rFonts w:ascii="宋体" w:hAnsi="宋体" w:eastAsia="宋体" w:cs="Times New Roman"/>
          <w:color w:val="000000" w:themeColor="text1"/>
          <w:kern w:val="2"/>
          <w:sz w:val="21"/>
          <w:highlight w:val="none"/>
          <w14:textFill>
            <w14:solidFill>
              <w14:schemeClr w14:val="tx1"/>
            </w14:solidFill>
          </w14:textFill>
        </w:rPr>
      </w:pPr>
      <w:r>
        <w:rPr>
          <w:rFonts w:hint="eastAsia" w:ascii="宋体" w:hAnsi="宋体" w:eastAsia="宋体"/>
          <w:color w:val="000000" w:themeColor="text1"/>
          <w:sz w:val="21"/>
          <w:highlight w:val="none"/>
          <w14:textFill>
            <w14:solidFill>
              <w14:schemeClr w14:val="tx1"/>
            </w14:solidFill>
          </w14:textFill>
        </w:rPr>
        <w:t xml:space="preserve">     </w:t>
      </w:r>
      <w:r>
        <w:rPr>
          <w:rFonts w:hint="eastAsia" w:ascii="宋体" w:hAnsi="宋体" w:eastAsia="宋体" w:cs="Times New Roman"/>
          <w:color w:val="000000" w:themeColor="text1"/>
          <w:kern w:val="2"/>
          <w:sz w:val="21"/>
          <w:highlight w:val="none"/>
          <w14:textFill>
            <w14:solidFill>
              <w14:schemeClr w14:val="tx1"/>
            </w14:solidFill>
          </w14:textFill>
        </w:rPr>
        <w:t xml:space="preserve">是否涉及绿色产品： </w:t>
      </w:r>
    </w:p>
    <w:p w14:paraId="36939530">
      <w:pPr>
        <w:pStyle w:val="9"/>
        <w:keepNext w:val="0"/>
        <w:keepLines w:val="0"/>
        <w:pageBreakBefore w:val="0"/>
        <w:kinsoku/>
        <w:wordWrap/>
        <w:overflowPunct/>
        <w:topLinePunct w:val="0"/>
        <w:bidi w:val="0"/>
        <w:spacing w:line="312" w:lineRule="auto"/>
        <w:ind w:firstLine="420" w:firstLineChars="0"/>
        <w:textAlignment w:val="auto"/>
        <w:rPr>
          <w:rFonts w:ascii="宋体" w:hAnsi="宋体" w:eastAsia="宋体"/>
          <w:color w:val="000000" w:themeColor="text1"/>
          <w:sz w:val="21"/>
          <w:highlight w:val="none"/>
          <w:u w:val="single"/>
          <w14:textFill>
            <w14:solidFill>
              <w14:schemeClr w14:val="tx1"/>
            </w14:solidFill>
          </w14:textFill>
        </w:rPr>
      </w:pPr>
      <w:r>
        <w:rPr>
          <w:rFonts w:hint="eastAsia" w:ascii="宋体" w:hAnsi="宋体" w:eastAsia="宋体" w:cs="Times New Roman"/>
          <w:color w:val="000000" w:themeColor="text1"/>
          <w:kern w:val="2"/>
          <w:sz w:val="21"/>
          <w:highlight w:val="none"/>
          <w14:textFill>
            <w14:solidFill>
              <w14:schemeClr w14:val="tx1"/>
            </w14:solidFill>
          </w14:textFill>
        </w:rPr>
        <w:t xml:space="preserve"> </w:t>
      </w:r>
      <w:r>
        <w:rPr>
          <w:rFonts w:hint="eastAsia" w:ascii="宋体" w:hAnsi="宋体" w:eastAsia="宋体" w:cs="Times New Roman"/>
          <w:color w:val="000000" w:themeColor="text1"/>
          <w:kern w:val="2"/>
          <w:sz w:val="21"/>
          <w:highlight w:val="none"/>
          <w14:textFill>
            <w14:solidFill>
              <w14:schemeClr w14:val="tx1"/>
            </w14:solidFill>
          </w14:textFill>
        </w:rPr>
        <w:sym w:font="Wingdings" w:char="00A8"/>
      </w:r>
      <w:r>
        <w:rPr>
          <w:rFonts w:ascii="宋体" w:hAnsi="宋体" w:eastAsia="宋体" w:cs="Times New Roman"/>
          <w:color w:val="000000" w:themeColor="text1"/>
          <w:kern w:val="2"/>
          <w:sz w:val="21"/>
          <w:highlight w:val="none"/>
          <w14:textFill>
            <w14:solidFill>
              <w14:schemeClr w14:val="tx1"/>
            </w14:solidFill>
          </w14:textFill>
        </w:rPr>
        <w:t xml:space="preserve"> </w:t>
      </w:r>
      <w:r>
        <w:rPr>
          <w:rFonts w:hint="eastAsia" w:ascii="宋体" w:hAnsi="宋体" w:eastAsia="宋体" w:cs="Times New Roman"/>
          <w:color w:val="000000" w:themeColor="text1"/>
          <w:kern w:val="2"/>
          <w:sz w:val="21"/>
          <w:highlight w:val="none"/>
          <w14:textFill>
            <w14:solidFill>
              <w14:schemeClr w14:val="tx1"/>
            </w14:solidFill>
          </w14:textFill>
        </w:rPr>
        <w:t>是，绿色产品政府采购相关政策确定的底级品目名称：</w:t>
      </w:r>
      <w:r>
        <w:rPr>
          <w:rFonts w:hint="eastAsia" w:ascii="宋体" w:hAnsi="宋体"/>
          <w:color w:val="000000" w:themeColor="text1"/>
          <w:sz w:val="21"/>
          <w:highlight w:val="none"/>
          <w:u w:val="single"/>
          <w14:textFill>
            <w14:solidFill>
              <w14:schemeClr w14:val="tx1"/>
            </w14:solidFill>
          </w14:textFill>
        </w:rPr>
        <w:t>.</w:t>
      </w:r>
      <w:r>
        <w:rPr>
          <w:rFonts w:ascii="宋体" w:hAnsi="宋体"/>
          <w:color w:val="000000" w:themeColor="text1"/>
          <w:sz w:val="21"/>
          <w:highlight w:val="none"/>
          <w:u w:val="single"/>
          <w14:textFill>
            <w14:solidFill>
              <w14:schemeClr w14:val="tx1"/>
            </w14:solidFill>
          </w14:textFill>
        </w:rPr>
        <w:t xml:space="preserve">              .</w:t>
      </w:r>
      <w:r>
        <w:rPr>
          <w:rFonts w:hint="eastAsia" w:ascii="宋体" w:hAnsi="宋体" w:eastAsia="宋体"/>
          <w:color w:val="000000" w:themeColor="text1"/>
          <w:sz w:val="21"/>
          <w:highlight w:val="none"/>
          <w:u w:val="single"/>
          <w14:textFill>
            <w14:solidFill>
              <w14:schemeClr w14:val="tx1"/>
            </w14:solidFill>
          </w14:textFill>
        </w:rPr>
        <w:t xml:space="preserve">   </w:t>
      </w:r>
    </w:p>
    <w:p w14:paraId="29121B31">
      <w:pPr>
        <w:keepNext w:val="0"/>
        <w:keepLines w:val="0"/>
        <w:pageBreakBefore w:val="0"/>
        <w:tabs>
          <w:tab w:val="left" w:pos="740"/>
        </w:tabs>
        <w:kinsoku/>
        <w:wordWrap/>
        <w:overflowPunct/>
        <w:topLinePunct w:val="0"/>
        <w:bidi w:val="0"/>
        <w:adjustRightInd w:val="0"/>
        <w:snapToGrid w:val="0"/>
        <w:spacing w:line="312" w:lineRule="auto"/>
        <w:textAlignment w:val="auto"/>
        <w:rPr>
          <w:rFonts w:ascii="宋体" w:hAnsi="宋体"/>
          <w:iCs/>
          <w:color w:val="000000" w:themeColor="text1"/>
          <w:szCs w:val="21"/>
          <w:highlight w:val="none"/>
          <w14:textFill>
            <w14:solidFill>
              <w14:schemeClr w14:val="tx1"/>
            </w14:solidFill>
          </w14:textFill>
        </w:rPr>
      </w:pPr>
      <w:r>
        <w:rPr>
          <w:rFonts w:hint="eastAsia"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强制采购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优先采购    </w:t>
      </w:r>
    </w:p>
    <w:p w14:paraId="3E134896">
      <w:pPr>
        <w:pStyle w:val="9"/>
        <w:keepNext w:val="0"/>
        <w:keepLines w:val="0"/>
        <w:pageBreakBefore w:val="0"/>
        <w:kinsoku/>
        <w:wordWrap/>
        <w:overflowPunct/>
        <w:topLinePunct w:val="0"/>
        <w:bidi w:val="0"/>
        <w:spacing w:line="312" w:lineRule="auto"/>
        <w:ind w:firstLine="420" w:firstLineChars="0"/>
        <w:textAlignment w:val="auto"/>
        <w:rPr>
          <w:rFonts w:ascii="宋体" w:hAnsi="宋体" w:eastAsia="宋体"/>
          <w:color w:val="000000" w:themeColor="text1"/>
          <w:sz w:val="21"/>
          <w:highlight w:val="none"/>
          <w14:textFill>
            <w14:solidFill>
              <w14:schemeClr w14:val="tx1"/>
            </w14:solidFill>
          </w14:textFill>
        </w:rPr>
      </w:pPr>
      <w:r>
        <w:rPr>
          <w:rFonts w:hint="eastAsia" w:ascii="宋体" w:hAnsi="宋体" w:eastAsia="宋体" w:cs="Times New Roman"/>
          <w:color w:val="000000" w:themeColor="text1"/>
          <w:kern w:val="2"/>
          <w:sz w:val="21"/>
          <w:highlight w:val="none"/>
          <w14:textFill>
            <w14:solidFill>
              <w14:schemeClr w14:val="tx1"/>
            </w14:solidFill>
          </w14:textFill>
        </w:rPr>
        <w:t xml:space="preserve"> </w:t>
      </w:r>
      <w:r>
        <w:rPr>
          <w:rFonts w:hint="eastAsia" w:ascii="宋体" w:hAnsi="宋体" w:eastAsia="宋体" w:cs="Times New Roman"/>
          <w:color w:val="000000" w:themeColor="text1"/>
          <w:kern w:val="2"/>
          <w:sz w:val="21"/>
          <w:highlight w:val="none"/>
          <w14:textFill>
            <w14:solidFill>
              <w14:schemeClr w14:val="tx1"/>
            </w14:solidFill>
          </w14:textFill>
        </w:rPr>
        <w:sym w:font="Wingdings" w:char="00A8"/>
      </w:r>
      <w:r>
        <w:rPr>
          <w:rFonts w:ascii="宋体" w:hAnsi="宋体" w:eastAsia="宋体" w:cs="Times New Roman"/>
          <w:color w:val="000000" w:themeColor="text1"/>
          <w:kern w:val="2"/>
          <w:sz w:val="21"/>
          <w:highlight w:val="none"/>
          <w14:textFill>
            <w14:solidFill>
              <w14:schemeClr w14:val="tx1"/>
            </w14:solidFill>
          </w14:textFill>
        </w:rPr>
        <w:t xml:space="preserve"> </w:t>
      </w:r>
      <w:r>
        <w:rPr>
          <w:rFonts w:hint="eastAsia" w:ascii="宋体" w:hAnsi="宋体" w:eastAsia="宋体" w:cs="Times New Roman"/>
          <w:color w:val="000000" w:themeColor="text1"/>
          <w:kern w:val="2"/>
          <w:sz w:val="21"/>
          <w:highlight w:val="none"/>
          <w14:textFill>
            <w14:solidFill>
              <w14:schemeClr w14:val="tx1"/>
            </w14:solidFill>
          </w14:textFill>
        </w:rPr>
        <w:t>否</w:t>
      </w:r>
    </w:p>
    <w:p w14:paraId="18673C19">
      <w:pPr>
        <w:keepNext w:val="0"/>
        <w:keepLines w:val="0"/>
        <w:pageBreakBefore w:val="0"/>
        <w:kinsoku/>
        <w:wordWrap/>
        <w:overflowPunct/>
        <w:topLinePunct w:val="0"/>
        <w:bidi w:val="0"/>
        <w:adjustRightInd w:val="0"/>
        <w:snapToGrid w:val="0"/>
        <w:spacing w:line="312" w:lineRule="auto"/>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（1</w:t>
      </w:r>
      <w:r>
        <w:rPr>
          <w:rFonts w:ascii="宋体" w:hAnsi="宋体"/>
          <w:color w:val="000000" w:themeColor="text1"/>
          <w:szCs w:val="21"/>
          <w:highlight w:val="none"/>
          <w:lang w:val="en"/>
          <w14:textFill>
            <w14:solidFill>
              <w14:schemeClr w14:val="tx1"/>
            </w14:solidFill>
          </w14:textFill>
        </w:rPr>
        <w:t>1</w:t>
      </w:r>
      <w:r>
        <w:rPr>
          <w:rFonts w:hint="eastAsia" w:ascii="宋体" w:hAnsi="宋体"/>
          <w:color w:val="000000" w:themeColor="text1"/>
          <w:szCs w:val="21"/>
          <w:highlight w:val="none"/>
          <w14:textFill>
            <w14:solidFill>
              <w14:schemeClr w14:val="tx1"/>
            </w14:solidFill>
          </w14:textFill>
        </w:rPr>
        <w:t>）涉及商品包装和快递包装的，是否参考《商品包装政府采购需求标准（试行）》、《快递包装政府采购需求标准（试行）》明确产品及相关快递服务的具体包装要求：</w:t>
      </w:r>
      <w:r>
        <w:rPr>
          <w:rFonts w:hint="eastAsia" w:ascii="宋体" w:hAnsi="宋体"/>
          <w:color w:val="000000" w:themeColor="text1"/>
          <w:szCs w:val="21"/>
          <w:highlight w:val="none"/>
          <w14:textFill>
            <w14:solidFill>
              <w14:schemeClr w14:val="tx1"/>
            </w14:solidFill>
          </w14:textFill>
        </w:rPr>
        <w:sym w:font="Wingdings" w:char="00A8"/>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是</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sym w:font="Wingdings" w:char="00A8"/>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否 </w:t>
      </w:r>
      <w:r>
        <w:rPr>
          <w:rFonts w:hint="eastAsia" w:ascii="宋体" w:hAnsi="宋体"/>
          <w:color w:val="000000" w:themeColor="text1"/>
          <w:szCs w:val="21"/>
          <w:highlight w:val="none"/>
          <w14:textFill>
            <w14:solidFill>
              <w14:schemeClr w14:val="tx1"/>
            </w14:solidFill>
          </w14:textFill>
        </w:rPr>
        <w:sym w:font="Wingdings" w:char="00A8"/>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不涉及</w:t>
      </w:r>
    </w:p>
    <w:p w14:paraId="0EBF5AAD">
      <w:pPr>
        <w:keepNext w:val="0"/>
        <w:keepLines w:val="0"/>
        <w:pageBreakBefore w:val="0"/>
        <w:kinsoku/>
        <w:wordWrap/>
        <w:overflowPunct/>
        <w:topLinePunct w:val="0"/>
        <w:bidi w:val="0"/>
        <w:adjustRightInd w:val="0"/>
        <w:snapToGrid w:val="0"/>
        <w:spacing w:line="312" w:lineRule="auto"/>
        <w:textAlignment w:val="auto"/>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2</w:t>
      </w:r>
      <w:r>
        <w:rPr>
          <w:rFonts w:ascii="宋体" w:hAnsi="宋体"/>
          <w:b/>
          <w:color w:val="000000" w:themeColor="text1"/>
          <w:szCs w:val="21"/>
          <w:highlight w:val="none"/>
          <w14:textFill>
            <w14:solidFill>
              <w14:schemeClr w14:val="tx1"/>
            </w14:solidFill>
          </w14:textFill>
        </w:rPr>
        <w:t>.</w:t>
      </w:r>
      <w:r>
        <w:rPr>
          <w:rFonts w:hint="eastAsia" w:ascii="宋体" w:hAnsi="宋体"/>
          <w:b/>
          <w:color w:val="000000" w:themeColor="text1"/>
          <w:szCs w:val="21"/>
          <w:highlight w:val="none"/>
          <w14:textFill>
            <w14:solidFill>
              <w14:schemeClr w14:val="tx1"/>
            </w14:solidFill>
          </w14:textFill>
        </w:rPr>
        <w:t>合同金额</w:t>
      </w:r>
    </w:p>
    <w:p w14:paraId="49279A13">
      <w:pPr>
        <w:keepNext w:val="0"/>
        <w:keepLines w:val="0"/>
        <w:pageBreakBefore w:val="0"/>
        <w:kinsoku/>
        <w:wordWrap/>
        <w:overflowPunct/>
        <w:topLinePunct w:val="0"/>
        <w:bidi w:val="0"/>
        <w:spacing w:line="312" w:lineRule="auto"/>
        <w:ind w:firstLine="420" w:firstLineChars="200"/>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s="宋体"/>
          <w:color w:val="000000" w:themeColor="text1"/>
          <w:szCs w:val="21"/>
          <w:highlight w:val="none"/>
          <w14:textFill>
            <w14:solidFill>
              <w14:schemeClr w14:val="tx1"/>
            </w14:solidFill>
          </w14:textFill>
        </w:rPr>
        <w:t>合同总价：人民币（大写）</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元，（￥</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w:t>
      </w:r>
    </w:p>
    <w:p w14:paraId="16A3B9A8">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本合同总价是货物（产品）设计、材料、制造、包装、运输、安装、调试、检测、验收合格交付使用之前及保修期内保修服务与备用物件等其他有关各项的含税费用。</w:t>
      </w:r>
      <w:r>
        <w:rPr>
          <w:rFonts w:hint="eastAsia" w:ascii="宋体" w:hAnsi="宋体"/>
          <w:color w:val="000000" w:themeColor="text1"/>
          <w:szCs w:val="21"/>
          <w:highlight w:val="none"/>
          <w14:textFill>
            <w14:solidFill>
              <w14:schemeClr w14:val="tx1"/>
            </w14:solidFill>
          </w14:textFill>
        </w:rPr>
        <w:t xml:space="preserve">  </w:t>
      </w:r>
    </w:p>
    <w:p w14:paraId="2FDA6656">
      <w:pPr>
        <w:keepNext w:val="0"/>
        <w:keepLines w:val="0"/>
        <w:pageBreakBefore w:val="0"/>
        <w:kinsoku/>
        <w:wordWrap/>
        <w:overflowPunct/>
        <w:topLinePunct w:val="0"/>
        <w:bidi w:val="0"/>
        <w:adjustRightInd w:val="0"/>
        <w:snapToGrid w:val="0"/>
        <w:spacing w:line="312" w:lineRule="auto"/>
        <w:ind w:firstLine="630" w:firstLineChars="3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分包金额（如有）小写：</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p>
    <w:p w14:paraId="14A8D929">
      <w:pPr>
        <w:keepNext w:val="0"/>
        <w:keepLines w:val="0"/>
        <w:pageBreakBefore w:val="0"/>
        <w:kinsoku/>
        <w:wordWrap/>
        <w:overflowPunct/>
        <w:topLinePunct w:val="0"/>
        <w:bidi w:val="0"/>
        <w:adjustRightInd w:val="0"/>
        <w:snapToGrid w:val="0"/>
        <w:spacing w:line="312" w:lineRule="auto"/>
        <w:textAlignment w:val="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大写：</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p>
    <w:p w14:paraId="121A8D97">
      <w:pPr>
        <w:keepNext w:val="0"/>
        <w:keepLines w:val="0"/>
        <w:pageBreakBefore w:val="0"/>
        <w:kinsoku/>
        <w:wordWrap/>
        <w:overflowPunct/>
        <w:topLinePunct w:val="0"/>
        <w:bidi w:val="0"/>
        <w:adjustRightInd w:val="0"/>
        <w:snapToGrid w:val="0"/>
        <w:spacing w:line="312" w:lineRule="auto"/>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（注：固定单价合同应填写单价和最高限价）</w:t>
      </w:r>
    </w:p>
    <w:p w14:paraId="005460CB">
      <w:pPr>
        <w:keepNext w:val="0"/>
        <w:keepLines w:val="0"/>
        <w:pageBreakBefore w:val="0"/>
        <w:kinsoku/>
        <w:wordWrap/>
        <w:overflowPunct/>
        <w:topLinePunct w:val="0"/>
        <w:bidi w:val="0"/>
        <w:adjustRightInd w:val="0"/>
        <w:snapToGrid w:val="0"/>
        <w:spacing w:line="312" w:lineRule="auto"/>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（2）合同定价方式（采用组合定价方式的，可以勾选多项）：</w:t>
      </w:r>
    </w:p>
    <w:p w14:paraId="08DF4835">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固定总价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固定单价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固定费率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成本补偿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绩效激励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其他</w:t>
      </w:r>
      <w:r>
        <w:rPr>
          <w:rFonts w:hint="eastAsia" w:ascii="宋体" w:hAnsi="宋体"/>
          <w:color w:val="000000" w:themeColor="text1"/>
          <w:szCs w:val="21"/>
          <w:highlight w:val="none"/>
          <w:u w:val="single"/>
          <w14:textFill>
            <w14:solidFill>
              <w14:schemeClr w14:val="tx1"/>
            </w14:solidFill>
          </w14:textFill>
        </w:rPr>
        <w:t xml:space="preserve">       </w:t>
      </w:r>
    </w:p>
    <w:p w14:paraId="239041EE">
      <w:pPr>
        <w:pStyle w:val="10"/>
        <w:keepNext w:val="0"/>
        <w:keepLines w:val="0"/>
        <w:pageBreakBefore w:val="0"/>
        <w:kinsoku/>
        <w:wordWrap/>
        <w:overflowPunct/>
        <w:topLinePunct w:val="0"/>
        <w:bidi w:val="0"/>
        <w:spacing w:line="312" w:lineRule="auto"/>
        <w:textAlignment w:val="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（3）付款方式（按项目实际勾选填写）：</w:t>
      </w:r>
    </w:p>
    <w:p w14:paraId="4339AD8A">
      <w:pPr>
        <w:keepNext w:val="0"/>
        <w:keepLines w:val="0"/>
        <w:pageBreakBefore w:val="0"/>
        <w:kinsoku/>
        <w:wordWrap/>
        <w:overflowPunct/>
        <w:topLinePunct w:val="0"/>
        <w:bidi w:val="0"/>
        <w:adjustRightInd w:val="0"/>
        <w:snapToGrid w:val="0"/>
        <w:spacing w:line="312" w:lineRule="auto"/>
        <w:ind w:firstLine="630" w:firstLineChars="300"/>
        <w:textAlignment w:val="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sym w:font="Wingdings" w:char="00A8"/>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全额付款：</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合同签订生效后，所有货物（产品）供货完成，经验收合格，达到付款条件起</w:t>
      </w:r>
      <w:r>
        <w:rPr>
          <w:rFonts w:hint="eastAsia" w:ascii="宋体" w:hAnsi="宋体"/>
          <w:color w:val="000000" w:themeColor="text1"/>
          <w:szCs w:val="21"/>
          <w:highlight w:val="none"/>
          <w:u w:val="single"/>
          <w:lang w:val="en-US" w:eastAsia="zh-CN"/>
          <w14:textFill>
            <w14:solidFill>
              <w14:schemeClr w14:val="tx1"/>
            </w14:solidFill>
          </w14:textFill>
        </w:rPr>
        <w:t>3</w:t>
      </w:r>
      <w:r>
        <w:rPr>
          <w:rFonts w:ascii="宋体" w:hAnsi="宋体"/>
          <w:color w:val="000000" w:themeColor="text1"/>
          <w:szCs w:val="21"/>
          <w:highlight w:val="none"/>
          <w:u w:val="single"/>
          <w14:textFill>
            <w14:solidFill>
              <w14:schemeClr w14:val="tx1"/>
            </w14:solidFill>
          </w14:textFill>
        </w:rPr>
        <w:t>0</w:t>
      </w:r>
      <w:r>
        <w:rPr>
          <w:rFonts w:hint="eastAsia" w:ascii="宋体" w:hAnsi="宋体"/>
          <w:color w:val="000000" w:themeColor="text1"/>
          <w:szCs w:val="21"/>
          <w:highlight w:val="none"/>
          <w:u w:val="single"/>
          <w14:textFill>
            <w14:solidFill>
              <w14:schemeClr w14:val="tx1"/>
            </w14:solidFill>
          </w14:textFill>
        </w:rPr>
        <w:t>日内甲方一次性支付所有合同款项</w:t>
      </w:r>
      <w:r>
        <w:rPr>
          <w:rFonts w:hint="eastAsia" w:ascii="宋体" w:hAnsi="宋体"/>
          <w:color w:val="000000" w:themeColor="text1"/>
          <w:szCs w:val="21"/>
          <w:highlight w:val="none"/>
          <w:u w:val="single"/>
          <w14:textFill>
            <w14:solidFill>
              <w14:schemeClr w14:val="tx1"/>
            </w14:solidFill>
          </w14:textFill>
        </w:rPr>
        <w:t xml:space="preserve">）   </w:t>
      </w:r>
    </w:p>
    <w:p w14:paraId="6A84DEC3">
      <w:pPr>
        <w:keepNext w:val="0"/>
        <w:keepLines w:val="0"/>
        <w:pageBreakBefore w:val="0"/>
        <w:kinsoku/>
        <w:wordWrap/>
        <w:overflowPunct/>
        <w:topLinePunct w:val="0"/>
        <w:bidi w:val="0"/>
        <w:snapToGrid w:val="0"/>
        <w:spacing w:line="312" w:lineRule="auto"/>
        <w:ind w:firstLine="630" w:firstLineChars="300"/>
        <w:textAlignment w:val="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sym w:font="Wingdings" w:char="00A8"/>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分期付款：</w:t>
      </w:r>
      <w:r>
        <w:rPr>
          <w:rFonts w:hint="eastAsia" w:ascii="宋体" w:hAnsi="宋体"/>
          <w:color w:val="000000" w:themeColor="text1"/>
          <w:szCs w:val="21"/>
          <w:highlight w:val="none"/>
          <w:u w:val="single"/>
          <w14:textFill>
            <w14:solidFill>
              <w14:schemeClr w14:val="tx1"/>
            </w14:solidFill>
          </w14:textFill>
        </w:rPr>
        <w:t xml:space="preserve">  （应明确分期支付合同款项的各期比例和支付条件，各期支付条件应与分期履约验收情况挂钩） </w:t>
      </w:r>
      <w:r>
        <w:rPr>
          <w:rFonts w:hint="eastAsia" w:ascii="宋体" w:hAnsi="宋体"/>
          <w:color w:val="000000" w:themeColor="text1"/>
          <w:szCs w:val="21"/>
          <w:highlight w:val="none"/>
          <w14:textFill>
            <w14:solidFill>
              <w14:schemeClr w14:val="tx1"/>
            </w14:solidFill>
          </w14:textFill>
        </w:rPr>
        <w:t>，其中涉及预付款的：</w:t>
      </w:r>
      <w:r>
        <w:rPr>
          <w:rFonts w:hint="eastAsia" w:ascii="宋体" w:hAnsi="宋体"/>
          <w:color w:val="000000" w:themeColor="text1"/>
          <w:szCs w:val="21"/>
          <w:highlight w:val="none"/>
          <w:u w:val="single"/>
          <w14:textFill>
            <w14:solidFill>
              <w14:schemeClr w14:val="tx1"/>
            </w14:solidFill>
          </w14:textFill>
        </w:rPr>
        <w:t xml:space="preserve"> （应明确预付款的支付比例和支付条件） </w:t>
      </w:r>
    </w:p>
    <w:p w14:paraId="6459DF96">
      <w:pPr>
        <w:keepNext w:val="0"/>
        <w:keepLines w:val="0"/>
        <w:pageBreakBefore w:val="0"/>
        <w:kinsoku/>
        <w:wordWrap/>
        <w:overflowPunct/>
        <w:topLinePunct w:val="0"/>
        <w:bidi w:val="0"/>
        <w:adjustRightInd w:val="0"/>
        <w:snapToGrid w:val="0"/>
        <w:spacing w:line="312" w:lineRule="auto"/>
        <w:ind w:firstLine="630" w:firstLineChars="300"/>
        <w:textAlignment w:val="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sym w:font="Wingdings" w:char="00A8"/>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成本补偿：</w:t>
      </w:r>
      <w:r>
        <w:rPr>
          <w:rFonts w:hint="eastAsia" w:ascii="宋体" w:hAnsi="宋体"/>
          <w:color w:val="000000" w:themeColor="text1"/>
          <w:szCs w:val="21"/>
          <w:highlight w:val="none"/>
          <w:u w:val="single"/>
          <w14:textFill>
            <w14:solidFill>
              <w14:schemeClr w14:val="tx1"/>
            </w14:solidFill>
          </w14:textFill>
        </w:rPr>
        <w:t xml:space="preserve"> （应明确按照成本补偿方式的支付方式和支付条件）   </w:t>
      </w:r>
    </w:p>
    <w:p w14:paraId="3B1120FF">
      <w:pPr>
        <w:keepNext w:val="0"/>
        <w:keepLines w:val="0"/>
        <w:pageBreakBefore w:val="0"/>
        <w:kinsoku/>
        <w:wordWrap/>
        <w:overflowPunct/>
        <w:topLinePunct w:val="0"/>
        <w:bidi w:val="0"/>
        <w:adjustRightInd w:val="0"/>
        <w:snapToGrid w:val="0"/>
        <w:spacing w:line="312" w:lineRule="auto"/>
        <w:ind w:firstLine="630" w:firstLineChars="3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sym w:font="Wingdings" w:char="00A8"/>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绩效激励：</w:t>
      </w:r>
      <w:r>
        <w:rPr>
          <w:rFonts w:hint="eastAsia" w:ascii="宋体" w:hAnsi="宋体"/>
          <w:color w:val="000000" w:themeColor="text1"/>
          <w:szCs w:val="21"/>
          <w:highlight w:val="none"/>
          <w:u w:val="single"/>
          <w14:textFill>
            <w14:solidFill>
              <w14:schemeClr w14:val="tx1"/>
            </w14:solidFill>
          </w14:textFill>
        </w:rPr>
        <w:t xml:space="preserve"> （应明确按照绩效激励方式的支付方式和支付条件）   </w:t>
      </w:r>
    </w:p>
    <w:p w14:paraId="362DC19C">
      <w:pPr>
        <w:keepNext w:val="0"/>
        <w:keepLines w:val="0"/>
        <w:pageBreakBefore w:val="0"/>
        <w:kinsoku/>
        <w:wordWrap/>
        <w:overflowPunct/>
        <w:topLinePunct w:val="0"/>
        <w:bidi w:val="0"/>
        <w:adjustRightInd w:val="0"/>
        <w:snapToGrid w:val="0"/>
        <w:spacing w:line="312" w:lineRule="auto"/>
        <w:textAlignment w:val="auto"/>
        <w:rPr>
          <w:rFonts w:ascii="宋体" w:hAnsi="宋体"/>
          <w:b/>
          <w:color w:val="000000" w:themeColor="text1"/>
          <w:szCs w:val="21"/>
          <w:highlight w:val="none"/>
          <w:u w:val="singl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3</w:t>
      </w:r>
      <w:r>
        <w:rPr>
          <w:rFonts w:ascii="宋体" w:hAnsi="宋体"/>
          <w:b/>
          <w:color w:val="000000" w:themeColor="text1"/>
          <w:szCs w:val="21"/>
          <w:highlight w:val="none"/>
          <w14:textFill>
            <w14:solidFill>
              <w14:schemeClr w14:val="tx1"/>
            </w14:solidFill>
          </w14:textFill>
        </w:rPr>
        <w:t>.</w:t>
      </w:r>
      <w:r>
        <w:rPr>
          <w:rFonts w:hint="eastAsia" w:ascii="宋体" w:hAnsi="宋体"/>
          <w:b/>
          <w:color w:val="000000" w:themeColor="text1"/>
          <w:szCs w:val="21"/>
          <w:highlight w:val="none"/>
          <w14:textFill>
            <w14:solidFill>
              <w14:schemeClr w14:val="tx1"/>
            </w14:solidFill>
          </w14:textFill>
        </w:rPr>
        <w:t>合同履行</w:t>
      </w:r>
    </w:p>
    <w:p w14:paraId="16C918A9">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（1）起始日期：</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日，完成日期：</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7CD98B58">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s="宋体"/>
          <w:color w:val="000000" w:themeColor="text1"/>
          <w:szCs w:val="21"/>
          <w:highlight w:val="none"/>
          <w:u w:val="singl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（2）履约地点</w:t>
      </w:r>
      <w:r>
        <w:rPr>
          <w:rFonts w:hint="eastAsia" w:ascii="宋体" w:hAnsi="宋体" w:cs="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p>
    <w:p w14:paraId="6C768A82">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（3）履约担保：</w:t>
      </w:r>
      <w:r>
        <w:rPr>
          <w:rFonts w:hint="eastAsia" w:ascii="宋体" w:hAnsi="宋体" w:cs="宋体"/>
          <w:color w:val="000000" w:themeColor="text1"/>
          <w:szCs w:val="21"/>
          <w:highlight w:val="none"/>
          <w14:textFill>
            <w14:solidFill>
              <w14:schemeClr w14:val="tx1"/>
            </w14:solidFill>
          </w14:textFill>
        </w:rPr>
        <w:t>是否收取履约保证金：</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是    </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否</w:t>
      </w:r>
    </w:p>
    <w:p w14:paraId="63F34894">
      <w:pPr>
        <w:pStyle w:val="9"/>
        <w:keepNext w:val="0"/>
        <w:keepLines w:val="0"/>
        <w:pageBreakBefore w:val="0"/>
        <w:kinsoku/>
        <w:wordWrap/>
        <w:overflowPunct/>
        <w:topLinePunct w:val="0"/>
        <w:bidi w:val="0"/>
        <w:spacing w:line="312" w:lineRule="auto"/>
        <w:ind w:firstLine="420"/>
        <w:textAlignment w:val="auto"/>
        <w:rPr>
          <w:rFonts w:ascii="宋体" w:hAnsi="宋体" w:eastAsia="宋体" w:cs="宋体"/>
          <w:bCs/>
          <w:color w:val="000000" w:themeColor="text1"/>
          <w:sz w:val="21"/>
          <w:highlight w:val="none"/>
          <w:u w:val="single"/>
          <w14:textFill>
            <w14:solidFill>
              <w14:schemeClr w14:val="tx1"/>
            </w14:solidFill>
          </w14:textFill>
        </w:rPr>
      </w:pPr>
      <w:r>
        <w:rPr>
          <w:rFonts w:hint="eastAsia" w:ascii="宋体" w:hAnsi="宋体" w:eastAsia="宋体" w:cs="宋体"/>
          <w:bCs/>
          <w:color w:val="000000" w:themeColor="text1"/>
          <w:sz w:val="21"/>
          <w:highlight w:val="none"/>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 xml:space="preserve">  收取履约保证金形式：</w:t>
      </w:r>
      <w:r>
        <w:rPr>
          <w:rFonts w:hint="eastAsia" w:ascii="宋体" w:hAnsi="宋体"/>
          <w:color w:val="000000" w:themeColor="text1"/>
          <w:sz w:val="21"/>
          <w:highlight w:val="none"/>
          <w:u w:val="single"/>
          <w14:textFill>
            <w14:solidFill>
              <w14:schemeClr w14:val="tx1"/>
            </w14:solidFill>
          </w14:textFill>
        </w:rPr>
        <w:t>.</w:t>
      </w:r>
      <w:r>
        <w:rPr>
          <w:rFonts w:ascii="宋体" w:hAnsi="宋体"/>
          <w:color w:val="000000" w:themeColor="text1"/>
          <w:sz w:val="21"/>
          <w:highlight w:val="none"/>
          <w:u w:val="single"/>
          <w14:textFill>
            <w14:solidFill>
              <w14:schemeClr w14:val="tx1"/>
            </w14:solidFill>
          </w14:textFill>
        </w:rPr>
        <w:t xml:space="preserve">                      .</w:t>
      </w:r>
      <w:r>
        <w:rPr>
          <w:rFonts w:hint="eastAsia" w:ascii="宋体" w:hAnsi="宋体" w:eastAsia="宋体"/>
          <w:color w:val="000000" w:themeColor="text1"/>
          <w:sz w:val="21"/>
          <w:highlight w:val="none"/>
          <w:u w:val="single"/>
          <w14:textFill>
            <w14:solidFill>
              <w14:schemeClr w14:val="tx1"/>
            </w14:solidFill>
          </w14:textFill>
        </w:rPr>
        <w:t xml:space="preserve"> </w:t>
      </w:r>
      <w:r>
        <w:rPr>
          <w:rFonts w:hint="eastAsia" w:ascii="宋体" w:hAnsi="宋体" w:eastAsia="宋体" w:cs="宋体"/>
          <w:bCs/>
          <w:color w:val="000000" w:themeColor="text1"/>
          <w:sz w:val="21"/>
          <w:highlight w:val="none"/>
          <w:u w:val="single"/>
          <w14:textFill>
            <w14:solidFill>
              <w14:schemeClr w14:val="tx1"/>
            </w14:solidFill>
          </w14:textFill>
        </w:rPr>
        <w:t xml:space="preserve"> </w:t>
      </w:r>
    </w:p>
    <w:p w14:paraId="2080F6C4">
      <w:pPr>
        <w:pStyle w:val="9"/>
        <w:keepNext w:val="0"/>
        <w:keepLines w:val="0"/>
        <w:pageBreakBefore w:val="0"/>
        <w:kinsoku/>
        <w:wordWrap/>
        <w:overflowPunct/>
        <w:topLinePunct w:val="0"/>
        <w:bidi w:val="0"/>
        <w:spacing w:line="312" w:lineRule="auto"/>
        <w:ind w:firstLine="420"/>
        <w:textAlignment w:val="auto"/>
        <w:rPr>
          <w:rFonts w:ascii="宋体" w:hAnsi="宋体" w:eastAsia="宋体" w:cs="宋体"/>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14:textFill>
            <w14:solidFill>
              <w14:schemeClr w14:val="tx1"/>
            </w14:solidFill>
          </w14:textFill>
        </w:rPr>
        <w:t xml:space="preserve">    收取履约保证金金额：</w:t>
      </w:r>
      <w:r>
        <w:rPr>
          <w:rFonts w:hint="eastAsia" w:ascii="宋体" w:hAnsi="宋体" w:eastAsia="宋体" w:cs="宋体"/>
          <w:bCs/>
          <w:color w:val="000000" w:themeColor="text1"/>
          <w:sz w:val="21"/>
          <w:highlight w:val="none"/>
          <w:u w:val="single"/>
          <w14:textFill>
            <w14:solidFill>
              <w14:schemeClr w14:val="tx1"/>
            </w14:solidFill>
          </w14:textFill>
        </w:rPr>
        <w:t xml:space="preserve">  </w:t>
      </w:r>
      <w:r>
        <w:rPr>
          <w:rFonts w:hint="eastAsia" w:ascii="宋体" w:hAnsi="宋体"/>
          <w:color w:val="000000" w:themeColor="text1"/>
          <w:sz w:val="21"/>
          <w:highlight w:val="none"/>
          <w:u w:val="single"/>
          <w14:textFill>
            <w14:solidFill>
              <w14:schemeClr w14:val="tx1"/>
            </w14:solidFill>
          </w14:textFill>
        </w:rPr>
        <w:t>.</w:t>
      </w:r>
      <w:r>
        <w:rPr>
          <w:rFonts w:ascii="宋体" w:hAnsi="宋体"/>
          <w:color w:val="000000" w:themeColor="text1"/>
          <w:sz w:val="21"/>
          <w:highlight w:val="none"/>
          <w:u w:val="single"/>
          <w14:textFill>
            <w14:solidFill>
              <w14:schemeClr w14:val="tx1"/>
            </w14:solidFill>
          </w14:textFill>
        </w:rPr>
        <w:t xml:space="preserve">                      .</w:t>
      </w:r>
      <w:r>
        <w:rPr>
          <w:rFonts w:hint="eastAsia" w:ascii="宋体" w:hAnsi="宋体" w:eastAsia="宋体"/>
          <w:color w:val="000000" w:themeColor="text1"/>
          <w:sz w:val="21"/>
          <w:highlight w:val="none"/>
          <w:u w:val="single"/>
          <w14:textFill>
            <w14:solidFill>
              <w14:schemeClr w14:val="tx1"/>
            </w14:solidFill>
          </w14:textFill>
        </w:rPr>
        <w:t xml:space="preserve"> </w:t>
      </w:r>
    </w:p>
    <w:p w14:paraId="23A3A6FC">
      <w:pPr>
        <w:keepNext w:val="0"/>
        <w:keepLines w:val="0"/>
        <w:pageBreakBefore w:val="0"/>
        <w:kinsoku/>
        <w:wordWrap/>
        <w:overflowPunct/>
        <w:topLinePunct w:val="0"/>
        <w:bidi w:val="0"/>
        <w:snapToGrid w:val="0"/>
        <w:spacing w:line="312" w:lineRule="auto"/>
        <w:ind w:firstLine="420" w:firstLineChars="200"/>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 xml:space="preserve">    履约担保期限：</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u w:val="single"/>
          <w14:textFill>
            <w14:solidFill>
              <w14:schemeClr w14:val="tx1"/>
            </w14:solidFill>
          </w14:textFill>
        </w:rPr>
        <w:t xml:space="preserve">   </w:t>
      </w:r>
    </w:p>
    <w:p w14:paraId="5C27BB95">
      <w:pPr>
        <w:keepNext w:val="0"/>
        <w:keepLines w:val="0"/>
        <w:pageBreakBefore w:val="0"/>
        <w:kinsoku/>
        <w:wordWrap/>
        <w:overflowPunct/>
        <w:topLinePunct w:val="0"/>
        <w:bidi w:val="0"/>
        <w:snapToGrid w:val="0"/>
        <w:spacing w:line="312" w:lineRule="auto"/>
        <w:ind w:firstLine="420" w:firstLineChars="200"/>
        <w:textAlignment w:val="auto"/>
        <w:rPr>
          <w:rFonts w:ascii="宋体" w:hAnsi="宋体" w:cs="宋体"/>
          <w:color w:val="000000" w:themeColor="text1"/>
          <w:szCs w:val="21"/>
          <w:highlight w:val="none"/>
          <w14:textFill>
            <w14:solidFill>
              <w14:schemeClr w14:val="tx1"/>
            </w14:solidFill>
          </w14:textFill>
        </w:rPr>
      </w:pPr>
      <w:r>
        <w:rPr>
          <w:rFonts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4</w:t>
      </w:r>
      <w:r>
        <w:rPr>
          <w:rFonts w:ascii="宋体" w:hAnsi="宋体" w:cs="宋体"/>
          <w:color w:val="000000" w:themeColor="text1"/>
          <w:szCs w:val="21"/>
          <w:highlight w:val="none"/>
          <w14:textFill>
            <w14:solidFill>
              <w14:schemeClr w14:val="tx1"/>
            </w14:solidFill>
          </w14:textFill>
        </w:rPr>
        <w:t>）</w:t>
      </w:r>
      <w:r>
        <w:rPr>
          <w:rFonts w:hint="eastAsia" w:ascii="宋体" w:hAnsi="宋体" w:cs="宋体"/>
          <w:bCs/>
          <w:color w:val="000000" w:themeColor="text1"/>
          <w:szCs w:val="21"/>
          <w:highlight w:val="none"/>
          <w14:textFill>
            <w14:solidFill>
              <w14:schemeClr w14:val="tx1"/>
            </w14:solidFill>
          </w14:textFill>
        </w:rPr>
        <w:t>分期履行要求：</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u w:val="single"/>
          <w14:textFill>
            <w14:solidFill>
              <w14:schemeClr w14:val="tx1"/>
            </w14:solidFill>
          </w14:textFill>
        </w:rPr>
        <w:t xml:space="preserve">  </w:t>
      </w:r>
    </w:p>
    <w:p w14:paraId="1333B367">
      <w:pPr>
        <w:keepNext w:val="0"/>
        <w:keepLines w:val="0"/>
        <w:pageBreakBefore w:val="0"/>
        <w:kinsoku/>
        <w:wordWrap/>
        <w:overflowPunct/>
        <w:topLinePunct w:val="0"/>
        <w:bidi w:val="0"/>
        <w:adjustRightInd w:val="0"/>
        <w:snapToGrid w:val="0"/>
        <w:spacing w:line="312" w:lineRule="auto"/>
        <w:ind w:left="420"/>
        <w:textAlignment w:val="auto"/>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highlight w:val="none"/>
          <w14:textFill>
            <w14:solidFill>
              <w14:schemeClr w14:val="tx1"/>
            </w14:solidFill>
          </w14:textFill>
        </w:rPr>
        <w:t>（5）风险处置措施和替代方案：</w:t>
      </w:r>
      <w:r>
        <w:rPr>
          <w:rFonts w:hint="eastAsia" w:ascii="宋体" w:hAnsi="宋体"/>
          <w:color w:val="000000" w:themeColor="text1"/>
          <w:highlight w:val="none"/>
          <w:u w:val="single"/>
          <w14:textFill>
            <w14:solidFill>
              <w14:schemeClr w14:val="tx1"/>
            </w14:solidFill>
          </w14:textFill>
        </w:rPr>
        <w:t>.</w:t>
      </w:r>
      <w:r>
        <w:rPr>
          <w:rFonts w:ascii="宋体" w:hAnsi="宋体"/>
          <w:color w:val="000000" w:themeColor="text1"/>
          <w:highlight w:val="none"/>
          <w:u w:val="single"/>
          <w14:textFill>
            <w14:solidFill>
              <w14:schemeClr w14:val="tx1"/>
            </w14:solidFill>
          </w14:textFill>
        </w:rPr>
        <w:t xml:space="preserve">                      .</w:t>
      </w:r>
      <w:r>
        <w:rPr>
          <w:rFonts w:hint="eastAsia" w:ascii="宋体" w:hAnsi="宋体"/>
          <w:color w:val="000000" w:themeColor="text1"/>
          <w:highlight w:val="none"/>
          <w:u w:val="single"/>
          <w14:textFill>
            <w14:solidFill>
              <w14:schemeClr w14:val="tx1"/>
            </w14:solidFill>
          </w14:textFill>
        </w:rPr>
        <w:t xml:space="preserve"> </w:t>
      </w:r>
    </w:p>
    <w:p w14:paraId="3430DA33">
      <w:pPr>
        <w:keepNext w:val="0"/>
        <w:keepLines w:val="0"/>
        <w:pageBreakBefore w:val="0"/>
        <w:kinsoku/>
        <w:wordWrap/>
        <w:overflowPunct/>
        <w:topLinePunct w:val="0"/>
        <w:bidi w:val="0"/>
        <w:adjustRightInd w:val="0"/>
        <w:snapToGrid w:val="0"/>
        <w:spacing w:line="312" w:lineRule="auto"/>
        <w:ind w:left="420"/>
        <w:textAlignment w:val="auto"/>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4</w:t>
      </w:r>
      <w:r>
        <w:rPr>
          <w:rFonts w:ascii="宋体" w:hAnsi="宋体"/>
          <w:b/>
          <w:color w:val="000000" w:themeColor="text1"/>
          <w:szCs w:val="21"/>
          <w:highlight w:val="none"/>
          <w14:textFill>
            <w14:solidFill>
              <w14:schemeClr w14:val="tx1"/>
            </w14:solidFill>
          </w14:textFill>
        </w:rPr>
        <w:t>.</w:t>
      </w:r>
      <w:r>
        <w:rPr>
          <w:rFonts w:hint="eastAsia" w:ascii="宋体" w:hAnsi="宋体"/>
          <w:b/>
          <w:color w:val="000000" w:themeColor="text1"/>
          <w:szCs w:val="21"/>
          <w:highlight w:val="none"/>
          <w14:textFill>
            <w14:solidFill>
              <w14:schemeClr w14:val="tx1"/>
            </w14:solidFill>
          </w14:textFill>
        </w:rPr>
        <w:t>合同验收</w:t>
      </w:r>
    </w:p>
    <w:p w14:paraId="027C9C38">
      <w:pPr>
        <w:keepNext w:val="0"/>
        <w:keepLines w:val="0"/>
        <w:pageBreakBefore w:val="0"/>
        <w:numPr>
          <w:ilvl w:val="0"/>
          <w:numId w:val="1"/>
        </w:numPr>
        <w:kinsoku/>
        <w:wordWrap/>
        <w:overflowPunct/>
        <w:topLinePunct w:val="0"/>
        <w:bidi w:val="0"/>
        <w:adjustRightInd w:val="0"/>
        <w:snapToGrid w:val="0"/>
        <w:spacing w:line="312" w:lineRule="auto"/>
        <w:ind w:firstLine="420" w:firstLineChars="200"/>
        <w:textAlignment w:val="auto"/>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验收组织方式：</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 xml:space="preserve">自行组织 </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委托第三方组织</w:t>
      </w:r>
    </w:p>
    <w:p w14:paraId="317C2FC8">
      <w:pPr>
        <w:keepNext w:val="0"/>
        <w:keepLines w:val="0"/>
        <w:pageBreakBefore w:val="0"/>
        <w:kinsoku/>
        <w:wordWrap/>
        <w:overflowPunct/>
        <w:topLinePunct w:val="0"/>
        <w:bidi w:val="0"/>
        <w:adjustRightInd w:val="0"/>
        <w:snapToGrid w:val="0"/>
        <w:spacing w:line="312" w:lineRule="auto"/>
        <w:textAlignment w:val="auto"/>
        <w:rPr>
          <w:rFonts w:ascii="宋体" w:hAnsi="宋体"/>
          <w:bCs/>
          <w:color w:val="000000" w:themeColor="text1"/>
          <w:szCs w:val="21"/>
          <w:highlight w:val="none"/>
          <w:u w:val="singl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 xml:space="preserve">         验收主体：</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u w:val="single"/>
          <w14:textFill>
            <w14:solidFill>
              <w14:schemeClr w14:val="tx1"/>
            </w14:solidFill>
          </w14:textFill>
        </w:rPr>
        <w:t xml:space="preserve"> </w:t>
      </w:r>
    </w:p>
    <w:p w14:paraId="0D003796">
      <w:pPr>
        <w:keepNext w:val="0"/>
        <w:keepLines w:val="0"/>
        <w:pageBreakBefore w:val="0"/>
        <w:kinsoku/>
        <w:wordWrap/>
        <w:overflowPunct/>
        <w:topLinePunct w:val="0"/>
        <w:bidi w:val="0"/>
        <w:adjustRightInd w:val="0"/>
        <w:snapToGrid w:val="0"/>
        <w:spacing w:line="312" w:lineRule="auto"/>
        <w:textAlignment w:val="auto"/>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 xml:space="preserve">        是否邀请本项目的其他供应商参加验收：</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 xml:space="preserve">是  </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否</w:t>
      </w:r>
    </w:p>
    <w:p w14:paraId="53FC418F">
      <w:pPr>
        <w:keepNext w:val="0"/>
        <w:keepLines w:val="0"/>
        <w:pageBreakBefore w:val="0"/>
        <w:kinsoku/>
        <w:wordWrap/>
        <w:overflowPunct/>
        <w:topLinePunct w:val="0"/>
        <w:bidi w:val="0"/>
        <w:adjustRightInd w:val="0"/>
        <w:snapToGrid w:val="0"/>
        <w:spacing w:line="312" w:lineRule="auto"/>
        <w:ind w:firstLine="840" w:firstLineChars="400"/>
        <w:textAlignment w:val="auto"/>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是否邀请专家参加验收：</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 xml:space="preserve">是  </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否</w:t>
      </w:r>
    </w:p>
    <w:p w14:paraId="5DBC2ACE">
      <w:pPr>
        <w:keepNext w:val="0"/>
        <w:keepLines w:val="0"/>
        <w:pageBreakBefore w:val="0"/>
        <w:kinsoku/>
        <w:wordWrap/>
        <w:overflowPunct/>
        <w:topLinePunct w:val="0"/>
        <w:bidi w:val="0"/>
        <w:adjustRightInd w:val="0"/>
        <w:snapToGrid w:val="0"/>
        <w:spacing w:line="312" w:lineRule="auto"/>
        <w:ind w:firstLine="840" w:firstLineChars="400"/>
        <w:textAlignment w:val="auto"/>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是否邀请服务对象参加验收：</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 xml:space="preserve">是  </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否</w:t>
      </w:r>
    </w:p>
    <w:p w14:paraId="1F5DC61C">
      <w:pPr>
        <w:keepNext w:val="0"/>
        <w:keepLines w:val="0"/>
        <w:pageBreakBefore w:val="0"/>
        <w:kinsoku/>
        <w:wordWrap/>
        <w:overflowPunct/>
        <w:topLinePunct w:val="0"/>
        <w:bidi w:val="0"/>
        <w:adjustRightInd w:val="0"/>
        <w:snapToGrid w:val="0"/>
        <w:spacing w:line="312" w:lineRule="auto"/>
        <w:ind w:firstLine="840" w:firstLineChars="400"/>
        <w:textAlignment w:val="auto"/>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是否邀请第三方检测机构参加验收：</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 xml:space="preserve">是  </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否</w:t>
      </w:r>
    </w:p>
    <w:p w14:paraId="4E70703B">
      <w:pPr>
        <w:keepNext w:val="0"/>
        <w:keepLines w:val="0"/>
        <w:pageBreakBefore w:val="0"/>
        <w:kinsoku/>
        <w:wordWrap/>
        <w:overflowPunct/>
        <w:topLinePunct w:val="0"/>
        <w:bidi w:val="0"/>
        <w:adjustRightInd w:val="0"/>
        <w:snapToGrid w:val="0"/>
        <w:spacing w:line="312" w:lineRule="auto"/>
        <w:ind w:firstLine="840" w:firstLineChars="400"/>
        <w:textAlignment w:val="auto"/>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是否进行抽查检测：</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是，抽查比例：</w:t>
      </w:r>
      <w:r>
        <w:rPr>
          <w:rFonts w:hint="eastAsia"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否</w:t>
      </w:r>
    </w:p>
    <w:p w14:paraId="509E1911">
      <w:pPr>
        <w:keepNext w:val="0"/>
        <w:keepLines w:val="0"/>
        <w:pageBreakBefore w:val="0"/>
        <w:kinsoku/>
        <w:wordWrap/>
        <w:overflowPunct/>
        <w:topLinePunct w:val="0"/>
        <w:bidi w:val="0"/>
        <w:adjustRightInd w:val="0"/>
        <w:snapToGrid w:val="0"/>
        <w:spacing w:line="312" w:lineRule="auto"/>
        <w:ind w:firstLine="840" w:firstLineChars="400"/>
        <w:textAlignment w:val="auto"/>
        <w:rPr>
          <w:rFonts w:ascii="宋体" w:hAnsi="宋体"/>
          <w:bCs/>
          <w:color w:val="000000" w:themeColor="text1"/>
          <w:szCs w:val="21"/>
          <w:highlight w:val="none"/>
          <w:u w:val="singl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是否存在破坏性检测：</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是，</w:t>
      </w:r>
      <w:r>
        <w:rPr>
          <w:rFonts w:hint="eastAsia" w:ascii="宋体" w:hAnsi="宋体"/>
          <w:bCs/>
          <w:color w:val="000000" w:themeColor="text1"/>
          <w:szCs w:val="21"/>
          <w:highlight w:val="none"/>
          <w:u w:val="single"/>
          <w14:textFill>
            <w14:solidFill>
              <w14:schemeClr w14:val="tx1"/>
            </w14:solidFill>
          </w14:textFill>
        </w:rPr>
        <w:t>（应明确对被破坏的检测产品的处理方式）</w:t>
      </w:r>
    </w:p>
    <w:p w14:paraId="1D7A7C3E">
      <w:pPr>
        <w:keepNext w:val="0"/>
        <w:keepLines w:val="0"/>
        <w:pageBreakBefore w:val="0"/>
        <w:kinsoku/>
        <w:wordWrap/>
        <w:overflowPunct/>
        <w:topLinePunct w:val="0"/>
        <w:bidi w:val="0"/>
        <w:adjustRightInd w:val="0"/>
        <w:snapToGrid w:val="0"/>
        <w:spacing w:line="312" w:lineRule="auto"/>
        <w:ind w:firstLine="840" w:firstLineChars="400"/>
        <w:textAlignment w:val="auto"/>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否</w:t>
      </w:r>
    </w:p>
    <w:p w14:paraId="500A7250">
      <w:pPr>
        <w:keepNext w:val="0"/>
        <w:keepLines w:val="0"/>
        <w:pageBreakBefore w:val="0"/>
        <w:kinsoku/>
        <w:wordWrap/>
        <w:overflowPunct/>
        <w:topLinePunct w:val="0"/>
        <w:bidi w:val="0"/>
        <w:adjustRightInd w:val="0"/>
        <w:snapToGrid w:val="0"/>
        <w:spacing w:line="312" w:lineRule="auto"/>
        <w:ind w:firstLine="840" w:firstLineChars="400"/>
        <w:textAlignment w:val="auto"/>
        <w:rPr>
          <w:rFonts w:ascii="宋体" w:hAnsi="宋体"/>
          <w:bCs/>
          <w:color w:val="000000" w:themeColor="text1"/>
          <w:szCs w:val="21"/>
          <w:highlight w:val="none"/>
          <w:u w:val="singl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验收组织的其他事项：</w:t>
      </w:r>
      <w:r>
        <w:rPr>
          <w:rFonts w:hint="eastAsia" w:ascii="宋体" w:hAnsi="宋体"/>
          <w:bCs/>
          <w:color w:val="000000" w:themeColor="text1"/>
          <w:szCs w:val="21"/>
          <w:highlight w:val="none"/>
          <w:u w:val="single"/>
          <w14:textFill>
            <w14:solidFill>
              <w14:schemeClr w14:val="tx1"/>
            </w14:solidFill>
          </w14:textFill>
        </w:rPr>
        <w:t xml:space="preserve">                </w:t>
      </w:r>
    </w:p>
    <w:p w14:paraId="627F2441">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bCs/>
          <w:color w:val="000000" w:themeColor="text1"/>
          <w:szCs w:val="21"/>
          <w:highlight w:val="none"/>
          <w:u w:val="singl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（2）履约验收时间：</w:t>
      </w:r>
      <w:r>
        <w:rPr>
          <w:rFonts w:hint="eastAsia" w:ascii="宋体" w:hAnsi="宋体"/>
          <w:bCs/>
          <w:color w:val="000000" w:themeColor="text1"/>
          <w:szCs w:val="21"/>
          <w:highlight w:val="none"/>
          <w:u w:val="single"/>
          <w14:textFill>
            <w14:solidFill>
              <w14:schemeClr w14:val="tx1"/>
            </w14:solidFill>
          </w14:textFill>
        </w:rPr>
        <w:t xml:space="preserve">（计划于何时验收/供应商提出验收申请之日起   日内组织验收） </w:t>
      </w:r>
    </w:p>
    <w:p w14:paraId="7E492342">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（3）履约验收方式：</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 xml:space="preserve">一次性验收         </w:t>
      </w:r>
    </w:p>
    <w:p w14:paraId="2AB3352F">
      <w:pPr>
        <w:keepNext w:val="0"/>
        <w:keepLines w:val="0"/>
        <w:pageBreakBefore w:val="0"/>
        <w:kinsoku/>
        <w:wordWrap/>
        <w:overflowPunct/>
        <w:topLinePunct w:val="0"/>
        <w:bidi w:val="0"/>
        <w:adjustRightInd w:val="0"/>
        <w:snapToGrid w:val="0"/>
        <w:spacing w:line="312" w:lineRule="auto"/>
        <w:textAlignment w:val="auto"/>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分期/分项验收：</w:t>
      </w:r>
      <w:r>
        <w:rPr>
          <w:rFonts w:hint="eastAsia" w:ascii="宋体" w:hAnsi="宋体"/>
          <w:bCs/>
          <w:color w:val="000000" w:themeColor="text1"/>
          <w:szCs w:val="21"/>
          <w:highlight w:val="none"/>
          <w:u w:val="single"/>
          <w14:textFill>
            <w14:solidFill>
              <w14:schemeClr w14:val="tx1"/>
            </w14:solidFill>
          </w14:textFill>
        </w:rPr>
        <w:t xml:space="preserve"> （应明确分期</w:t>
      </w:r>
      <w:r>
        <w:rPr>
          <w:rFonts w:ascii="宋体" w:hAnsi="宋体"/>
          <w:bCs/>
          <w:color w:val="000000" w:themeColor="text1"/>
          <w:szCs w:val="21"/>
          <w:highlight w:val="none"/>
          <w:u w:val="single"/>
          <w:lang w:val="en"/>
          <w14:textFill>
            <w14:solidFill>
              <w14:schemeClr w14:val="tx1"/>
            </w14:solidFill>
          </w14:textFill>
        </w:rPr>
        <w:t>/</w:t>
      </w:r>
      <w:r>
        <w:rPr>
          <w:rFonts w:hint="eastAsia" w:ascii="宋体" w:hAnsi="宋体"/>
          <w:bCs/>
          <w:color w:val="000000" w:themeColor="text1"/>
          <w:szCs w:val="21"/>
          <w:highlight w:val="none"/>
          <w:u w:val="single"/>
          <w:lang w:val="en"/>
          <w14:textFill>
            <w14:solidFill>
              <w14:schemeClr w14:val="tx1"/>
            </w14:solidFill>
          </w14:textFill>
        </w:rPr>
        <w:t>分项验收的工作安排</w:t>
      </w:r>
      <w:r>
        <w:rPr>
          <w:rFonts w:hint="eastAsia" w:ascii="宋体" w:hAnsi="宋体"/>
          <w:bCs/>
          <w:color w:val="000000" w:themeColor="text1"/>
          <w:szCs w:val="21"/>
          <w:highlight w:val="none"/>
          <w:u w:val="single"/>
          <w14:textFill>
            <w14:solidFill>
              <w14:schemeClr w14:val="tx1"/>
            </w14:solidFill>
          </w14:textFill>
        </w:rPr>
        <w:t xml:space="preserve">）  </w:t>
      </w:r>
    </w:p>
    <w:p w14:paraId="2A6743B6">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（4）履约验收程序：</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u w:val="single"/>
          <w14:textFill>
            <w14:solidFill>
              <w14:schemeClr w14:val="tx1"/>
            </w14:solidFill>
          </w14:textFill>
        </w:rPr>
        <w:t xml:space="preserve">     </w:t>
      </w:r>
    </w:p>
    <w:p w14:paraId="75A5B66D">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bCs/>
          <w:color w:val="000000" w:themeColor="text1"/>
          <w:szCs w:val="21"/>
          <w:highlight w:val="none"/>
          <w:u w:val="singl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（5）履约验收的内容：</w:t>
      </w:r>
      <w:r>
        <w:rPr>
          <w:rFonts w:hint="eastAsia" w:ascii="宋体" w:hAnsi="宋体"/>
          <w:bCs/>
          <w:color w:val="000000" w:themeColor="text1"/>
          <w:szCs w:val="21"/>
          <w:highlight w:val="none"/>
          <w:u w:val="single"/>
          <w14:textFill>
            <w14:solidFill>
              <w14:schemeClr w14:val="tx1"/>
            </w14:solidFill>
          </w14:textFill>
        </w:rPr>
        <w:t xml:space="preserve"> （应当包括每一项技术和商务要求的履约情况，特别是落实政府采购扶持中小企业，支持绿色发展和乡村振兴等政策情况）</w:t>
      </w:r>
    </w:p>
    <w:p w14:paraId="6651B7D7">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bCs/>
          <w:color w:val="000000" w:themeColor="text1"/>
          <w:szCs w:val="21"/>
          <w:highlight w:val="none"/>
          <w:u w:val="singl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（6）履约验收标准：</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u w:val="single"/>
          <w14:textFill>
            <w14:solidFill>
              <w14:schemeClr w14:val="tx1"/>
            </w14:solidFill>
          </w14:textFill>
        </w:rPr>
        <w:t xml:space="preserve"> </w:t>
      </w:r>
    </w:p>
    <w:p w14:paraId="34AF258E">
      <w:pPr>
        <w:pStyle w:val="9"/>
        <w:keepNext w:val="0"/>
        <w:keepLines w:val="0"/>
        <w:pageBreakBefore w:val="0"/>
        <w:kinsoku/>
        <w:wordWrap/>
        <w:overflowPunct/>
        <w:topLinePunct w:val="0"/>
        <w:bidi w:val="0"/>
        <w:spacing w:line="312" w:lineRule="auto"/>
        <w:ind w:firstLine="420"/>
        <w:textAlignment w:val="auto"/>
        <w:rPr>
          <w:rFonts w:ascii="宋体" w:hAnsi="宋体" w:eastAsia="宋体" w:cs="宋体"/>
          <w:color w:val="000000" w:themeColor="text1"/>
          <w:sz w:val="21"/>
          <w:highlight w:val="none"/>
          <w14:textFill>
            <w14:solidFill>
              <w14:schemeClr w14:val="tx1"/>
            </w14:solidFill>
          </w14:textFill>
        </w:rPr>
      </w:pPr>
      <w:r>
        <w:rPr>
          <w:rFonts w:hint="eastAsia" w:ascii="宋体" w:hAnsi="宋体" w:eastAsia="宋体" w:cs="宋体"/>
          <w:bCs/>
          <w:color w:val="000000" w:themeColor="text1"/>
          <w:sz w:val="21"/>
          <w:highlight w:val="none"/>
          <w14:textFill>
            <w14:solidFill>
              <w14:schemeClr w14:val="tx1"/>
            </w14:solidFill>
          </w14:textFill>
        </w:rPr>
        <w:t>（7）是否以采购活动中供应商提供的样品作为参考：</w:t>
      </w:r>
      <w:r>
        <w:rPr>
          <w:rFonts w:hint="eastAsia" w:ascii="宋体" w:hAnsi="宋体" w:eastAsia="宋体" w:cs="宋体"/>
          <w:color w:val="000000" w:themeColor="text1"/>
          <w:sz w:val="21"/>
          <w:highlight w:val="none"/>
          <w14:textFill>
            <w14:solidFill>
              <w14:schemeClr w14:val="tx1"/>
            </w14:solidFill>
          </w14:textFill>
        </w:rPr>
        <w:sym w:font="Wingdings" w:char="00A8"/>
      </w:r>
      <w:r>
        <w:rPr>
          <w:rFonts w:ascii="宋体" w:hAnsi="宋体" w:eastAsia="宋体" w:cs="宋体"/>
          <w:color w:val="000000" w:themeColor="text1"/>
          <w:sz w:val="21"/>
          <w:highlight w:val="none"/>
          <w14:textFill>
            <w14:solidFill>
              <w14:schemeClr w14:val="tx1"/>
            </w14:solidFill>
          </w14:textFill>
        </w:rPr>
        <w:t xml:space="preserve"> </w:t>
      </w:r>
      <w:r>
        <w:rPr>
          <w:rFonts w:hint="eastAsia" w:ascii="宋体" w:hAnsi="宋体" w:eastAsia="宋体" w:cs="宋体"/>
          <w:bCs/>
          <w:color w:val="000000" w:themeColor="text1"/>
          <w:sz w:val="21"/>
          <w:highlight w:val="none"/>
          <w14:textFill>
            <w14:solidFill>
              <w14:schemeClr w14:val="tx1"/>
            </w14:solidFill>
          </w14:textFill>
        </w:rPr>
        <w:t xml:space="preserve">是  </w:t>
      </w:r>
      <w:r>
        <w:rPr>
          <w:rFonts w:hint="eastAsia" w:ascii="宋体" w:hAnsi="宋体" w:eastAsia="宋体" w:cs="宋体"/>
          <w:color w:val="000000" w:themeColor="text1"/>
          <w:sz w:val="21"/>
          <w:highlight w:val="none"/>
          <w14:textFill>
            <w14:solidFill>
              <w14:schemeClr w14:val="tx1"/>
            </w14:solidFill>
          </w14:textFill>
        </w:rPr>
        <w:sym w:font="Wingdings" w:char="00A8"/>
      </w:r>
      <w:r>
        <w:rPr>
          <w:rFonts w:ascii="宋体" w:hAnsi="宋体" w:eastAsia="宋体" w:cs="宋体"/>
          <w:color w:val="000000" w:themeColor="text1"/>
          <w:sz w:val="21"/>
          <w:highlight w:val="none"/>
          <w14:textFill>
            <w14:solidFill>
              <w14:schemeClr w14:val="tx1"/>
            </w14:solidFill>
          </w14:textFill>
        </w:rPr>
        <w:t xml:space="preserve"> </w:t>
      </w:r>
      <w:r>
        <w:rPr>
          <w:rFonts w:hint="eastAsia" w:ascii="宋体" w:hAnsi="宋体" w:eastAsia="宋体" w:cs="宋体"/>
          <w:bCs/>
          <w:color w:val="000000" w:themeColor="text1"/>
          <w:sz w:val="21"/>
          <w:highlight w:val="none"/>
          <w14:textFill>
            <w14:solidFill>
              <w14:schemeClr w14:val="tx1"/>
            </w14:solidFill>
          </w14:textFill>
        </w:rPr>
        <w:t>否</w:t>
      </w:r>
    </w:p>
    <w:p w14:paraId="67B6E190">
      <w:pPr>
        <w:pStyle w:val="11"/>
        <w:keepNext w:val="0"/>
        <w:keepLines w:val="0"/>
        <w:pageBreakBefore w:val="0"/>
        <w:numPr>
          <w:ilvl w:val="0"/>
          <w:numId w:val="2"/>
        </w:numPr>
        <w:kinsoku/>
        <w:wordWrap/>
        <w:overflowPunct/>
        <w:topLinePunct w:val="0"/>
        <w:bidi w:val="0"/>
        <w:adjustRightInd w:val="0"/>
        <w:snapToGrid w:val="0"/>
        <w:spacing w:line="312" w:lineRule="auto"/>
        <w:ind w:firstLineChars="0"/>
        <w:textAlignment w:val="auto"/>
        <w:rPr>
          <w:rFonts w:ascii="宋体" w:hAnsi="宋体" w:cs="宋体"/>
          <w:bCs/>
          <w:color w:val="000000" w:themeColor="text1"/>
          <w:highlight w:val="none"/>
          <w:u w:val="single"/>
          <w14:textFill>
            <w14:solidFill>
              <w14:schemeClr w14:val="tx1"/>
            </w14:solidFill>
          </w14:textFill>
        </w:rPr>
      </w:pPr>
      <w:r>
        <w:rPr>
          <w:rFonts w:hint="eastAsia" w:ascii="宋体" w:hAnsi="宋体" w:cs="宋体"/>
          <w:bCs/>
          <w:color w:val="000000" w:themeColor="text1"/>
          <w:highlight w:val="none"/>
          <w14:textFill>
            <w14:solidFill>
              <w14:schemeClr w14:val="tx1"/>
            </w14:solidFill>
          </w14:textFill>
        </w:rPr>
        <w:t>履约验收其他事项：</w:t>
      </w:r>
      <w:r>
        <w:rPr>
          <w:rFonts w:hint="eastAsia" w:ascii="宋体" w:hAnsi="宋体" w:cs="宋体"/>
          <w:bCs/>
          <w:color w:val="000000" w:themeColor="text1"/>
          <w:highlight w:val="none"/>
          <w:u w:val="single"/>
          <w14:textFill>
            <w14:solidFill>
              <w14:schemeClr w14:val="tx1"/>
            </w14:solidFill>
          </w14:textFill>
        </w:rPr>
        <w:t xml:space="preserve">      （产权过户登记等）          </w:t>
      </w:r>
    </w:p>
    <w:p w14:paraId="78E25778">
      <w:pPr>
        <w:keepNext w:val="0"/>
        <w:keepLines w:val="0"/>
        <w:pageBreakBefore w:val="0"/>
        <w:kinsoku/>
        <w:wordWrap/>
        <w:overflowPunct/>
        <w:topLinePunct w:val="0"/>
        <w:bidi w:val="0"/>
        <w:adjustRightInd w:val="0"/>
        <w:snapToGrid w:val="0"/>
        <w:spacing w:line="312" w:lineRule="auto"/>
        <w:textAlignment w:val="auto"/>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5</w:t>
      </w:r>
      <w:r>
        <w:rPr>
          <w:rFonts w:ascii="宋体" w:hAnsi="宋体"/>
          <w:b/>
          <w:color w:val="000000" w:themeColor="text1"/>
          <w:szCs w:val="21"/>
          <w:highlight w:val="none"/>
          <w14:textFill>
            <w14:solidFill>
              <w14:schemeClr w14:val="tx1"/>
            </w14:solidFill>
          </w14:textFill>
        </w:rPr>
        <w:t>.</w:t>
      </w:r>
      <w:r>
        <w:rPr>
          <w:rFonts w:hint="eastAsia" w:ascii="宋体" w:hAnsi="宋体"/>
          <w:b/>
          <w:color w:val="000000" w:themeColor="text1"/>
          <w:szCs w:val="21"/>
          <w:highlight w:val="none"/>
          <w14:textFill>
            <w14:solidFill>
              <w14:schemeClr w14:val="tx1"/>
            </w14:solidFill>
          </w14:textFill>
        </w:rPr>
        <w:t>组成合同的文件</w:t>
      </w:r>
    </w:p>
    <w:p w14:paraId="41FE6210">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本协议书与下列文件一起构成合同文件，如下述文件之间有任何抵触、矛盾或歧义，应按以下顺序解释：</w:t>
      </w:r>
    </w:p>
    <w:p w14:paraId="348960FF">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（1）政府采购合同协议书及其变更、补充协议</w:t>
      </w:r>
    </w:p>
    <w:p w14:paraId="4740BF39">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（2）政府采购合同专用条款</w:t>
      </w:r>
    </w:p>
    <w:p w14:paraId="1D421910">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（3）政府采购合同通用条款</w:t>
      </w:r>
    </w:p>
    <w:p w14:paraId="0820C893">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（4）中标（成交）通知书</w:t>
      </w:r>
    </w:p>
    <w:p w14:paraId="11A7D222">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（5）投标（响应）文件</w:t>
      </w:r>
    </w:p>
    <w:p w14:paraId="01070FA5">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（6）采购文件</w:t>
      </w:r>
    </w:p>
    <w:p w14:paraId="26F34D8F">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（7）有关技术文件，图纸</w:t>
      </w:r>
    </w:p>
    <w:p w14:paraId="5A811CAF">
      <w:pPr>
        <w:pStyle w:val="9"/>
        <w:keepNext w:val="0"/>
        <w:keepLines w:val="0"/>
        <w:pageBreakBefore w:val="0"/>
        <w:kinsoku/>
        <w:wordWrap/>
        <w:overflowPunct/>
        <w:topLinePunct w:val="0"/>
        <w:bidi w:val="0"/>
        <w:spacing w:line="312" w:lineRule="auto"/>
        <w:ind w:firstLineChars="0"/>
        <w:textAlignment w:val="auto"/>
        <w:rPr>
          <w:rFonts w:ascii="宋体" w:hAnsi="宋体" w:eastAsia="宋体" w:cs="宋体"/>
          <w:color w:val="000000" w:themeColor="text1"/>
          <w:kern w:val="2"/>
          <w:sz w:val="21"/>
          <w:highlight w:val="none"/>
          <w14:textFill>
            <w14:solidFill>
              <w14:schemeClr w14:val="tx1"/>
            </w14:solidFill>
          </w14:textFill>
        </w:rPr>
      </w:pPr>
      <w:r>
        <w:rPr>
          <w:rFonts w:hint="eastAsia" w:ascii="宋体" w:hAnsi="宋体" w:eastAsia="宋体" w:cs="宋体"/>
          <w:color w:val="000000" w:themeColor="text1"/>
          <w:kern w:val="2"/>
          <w:sz w:val="21"/>
          <w:highlight w:val="none"/>
          <w14:textFill>
            <w14:solidFill>
              <w14:schemeClr w14:val="tx1"/>
            </w14:solidFill>
          </w14:textFill>
        </w:rPr>
        <w:t>（8）国家法律、行政法规和规章制度规定或合同约定的作为合同组成部分的其他文件</w:t>
      </w:r>
    </w:p>
    <w:p w14:paraId="2B9EA252">
      <w:pPr>
        <w:keepNext w:val="0"/>
        <w:keepLines w:val="0"/>
        <w:pageBreakBefore w:val="0"/>
        <w:kinsoku/>
        <w:wordWrap/>
        <w:overflowPunct/>
        <w:topLinePunct w:val="0"/>
        <w:bidi w:val="0"/>
        <w:adjustRightInd w:val="0"/>
        <w:snapToGrid w:val="0"/>
        <w:spacing w:line="312" w:lineRule="auto"/>
        <w:textAlignment w:val="auto"/>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6</w:t>
      </w:r>
      <w:r>
        <w:rPr>
          <w:rFonts w:ascii="宋体" w:hAnsi="宋体"/>
          <w:b/>
          <w:color w:val="000000" w:themeColor="text1"/>
          <w:szCs w:val="21"/>
          <w:highlight w:val="none"/>
          <w14:textFill>
            <w14:solidFill>
              <w14:schemeClr w14:val="tx1"/>
            </w14:solidFill>
          </w14:textFill>
        </w:rPr>
        <w:t>.</w:t>
      </w:r>
      <w:r>
        <w:rPr>
          <w:rFonts w:hint="eastAsia" w:ascii="宋体" w:hAnsi="宋体"/>
          <w:b/>
          <w:color w:val="000000" w:themeColor="text1"/>
          <w:szCs w:val="21"/>
          <w:highlight w:val="none"/>
          <w14:textFill>
            <w14:solidFill>
              <w14:schemeClr w14:val="tx1"/>
            </w14:solidFill>
          </w14:textFill>
        </w:rPr>
        <w:t>合同生效</w:t>
      </w:r>
    </w:p>
    <w:p w14:paraId="33CC7452">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本合同自</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生效。</w:t>
      </w:r>
    </w:p>
    <w:p w14:paraId="5CEF5774">
      <w:pPr>
        <w:keepNext w:val="0"/>
        <w:keepLines w:val="0"/>
        <w:pageBreakBefore w:val="0"/>
        <w:kinsoku/>
        <w:wordWrap/>
        <w:overflowPunct/>
        <w:topLinePunct w:val="0"/>
        <w:bidi w:val="0"/>
        <w:adjustRightInd w:val="0"/>
        <w:snapToGrid w:val="0"/>
        <w:spacing w:line="312" w:lineRule="auto"/>
        <w:textAlignment w:val="auto"/>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7</w:t>
      </w:r>
      <w:r>
        <w:rPr>
          <w:rFonts w:ascii="宋体" w:hAnsi="宋体"/>
          <w:b/>
          <w:color w:val="000000" w:themeColor="text1"/>
          <w:szCs w:val="21"/>
          <w:highlight w:val="none"/>
          <w14:textFill>
            <w14:solidFill>
              <w14:schemeClr w14:val="tx1"/>
            </w14:solidFill>
          </w14:textFill>
        </w:rPr>
        <w:t>.</w:t>
      </w:r>
      <w:r>
        <w:rPr>
          <w:rFonts w:hint="eastAsia" w:ascii="宋体" w:hAnsi="宋体"/>
          <w:b/>
          <w:color w:val="000000" w:themeColor="text1"/>
          <w:szCs w:val="21"/>
          <w:highlight w:val="none"/>
          <w14:textFill>
            <w14:solidFill>
              <w14:schemeClr w14:val="tx1"/>
            </w14:solidFill>
          </w14:textFill>
        </w:rPr>
        <w:t>合同份数</w:t>
      </w:r>
    </w:p>
    <w:p w14:paraId="30E9B5C5">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本合同一式</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份，甲方执</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份，乙方执</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份，均具有同等法律效力。</w:t>
      </w:r>
    </w:p>
    <w:p w14:paraId="14A3B005">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合同订立时间：</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076218A0">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合同订立地点：</w:t>
      </w:r>
      <w:r>
        <w:rPr>
          <w:rFonts w:hint="eastAsia" w:ascii="宋体" w:hAnsi="宋体"/>
          <w:color w:val="000000" w:themeColor="text1"/>
          <w:szCs w:val="21"/>
          <w:highlight w:val="none"/>
          <w:u w:val="single"/>
          <w14:textFill>
            <w14:solidFill>
              <w14:schemeClr w14:val="tx1"/>
            </w14:solidFill>
          </w14:textFill>
        </w:rPr>
        <w:t xml:space="preserve">                           </w:t>
      </w:r>
    </w:p>
    <w:p w14:paraId="22E2EB3B">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附件：具体标的及其技术要求和商务要求、联合协议、分包意向协议等。</w:t>
      </w:r>
    </w:p>
    <w:p w14:paraId="56265D76">
      <w:pPr>
        <w:pStyle w:val="3"/>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tbl>
      <w:tblPr>
        <w:tblStyle w:val="6"/>
        <w:tblW w:w="5508" w:type="pct"/>
        <w:tblInd w:w="-472"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2475"/>
        <w:gridCol w:w="2411"/>
        <w:gridCol w:w="1977"/>
        <w:gridCol w:w="2525"/>
      </w:tblGrid>
      <w:tr w14:paraId="62C7808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05" w:hRule="atLeast"/>
        </w:trPr>
        <w:tc>
          <w:tcPr>
            <w:tcW w:w="2602" w:type="pct"/>
            <w:gridSpan w:val="2"/>
            <w:tcBorders>
              <w:bottom w:val="single" w:color="auto" w:sz="2" w:space="0"/>
              <w:right w:val="single" w:color="auto" w:sz="2" w:space="0"/>
            </w:tcBorders>
            <w:vAlign w:val="center"/>
          </w:tcPr>
          <w:p w14:paraId="3BDBF85B">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甲方（采购人、受采购人委托签订合同的单位或采购文件约定的合同甲方）</w:t>
            </w:r>
          </w:p>
        </w:tc>
        <w:tc>
          <w:tcPr>
            <w:tcW w:w="2397" w:type="pct"/>
            <w:gridSpan w:val="2"/>
            <w:tcBorders>
              <w:left w:val="single" w:color="auto" w:sz="2" w:space="0"/>
              <w:bottom w:val="single" w:color="auto" w:sz="2" w:space="0"/>
            </w:tcBorders>
            <w:vAlign w:val="center"/>
          </w:tcPr>
          <w:p w14:paraId="400D2C2E">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乙方（供应商）</w:t>
            </w:r>
          </w:p>
        </w:tc>
      </w:tr>
      <w:tr w14:paraId="7DF8400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318" w:type="pct"/>
            <w:tcBorders>
              <w:top w:val="single" w:color="auto" w:sz="2" w:space="0"/>
              <w:bottom w:val="single" w:color="auto" w:sz="2" w:space="0"/>
              <w:right w:val="single" w:color="auto" w:sz="2" w:space="0"/>
            </w:tcBorders>
            <w:vAlign w:val="center"/>
          </w:tcPr>
          <w:p w14:paraId="0186B641">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单位名称（公章或合同章）</w:t>
            </w:r>
          </w:p>
        </w:tc>
        <w:tc>
          <w:tcPr>
            <w:tcW w:w="1284" w:type="pct"/>
            <w:tcBorders>
              <w:top w:val="single" w:color="auto" w:sz="2" w:space="0"/>
              <w:left w:val="single" w:color="auto" w:sz="2" w:space="0"/>
              <w:bottom w:val="single" w:color="auto" w:sz="2" w:space="0"/>
              <w:right w:val="single" w:color="auto" w:sz="2" w:space="0"/>
            </w:tcBorders>
            <w:vAlign w:val="center"/>
          </w:tcPr>
          <w:p w14:paraId="187ECE4B">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053" w:type="pct"/>
            <w:tcBorders>
              <w:top w:val="single" w:color="auto" w:sz="2" w:space="0"/>
              <w:left w:val="single" w:color="auto" w:sz="2" w:space="0"/>
              <w:bottom w:val="single" w:color="auto" w:sz="2" w:space="0"/>
              <w:right w:val="single" w:color="auto" w:sz="2" w:space="0"/>
            </w:tcBorders>
            <w:vAlign w:val="center"/>
          </w:tcPr>
          <w:p w14:paraId="0A2D13F7">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单位名称（公章或合同章）</w:t>
            </w:r>
          </w:p>
        </w:tc>
        <w:tc>
          <w:tcPr>
            <w:tcW w:w="1344" w:type="pct"/>
            <w:tcBorders>
              <w:top w:val="single" w:color="auto" w:sz="2" w:space="0"/>
              <w:left w:val="single" w:color="auto" w:sz="2" w:space="0"/>
              <w:bottom w:val="single" w:color="auto" w:sz="2" w:space="0"/>
            </w:tcBorders>
            <w:vAlign w:val="center"/>
          </w:tcPr>
          <w:p w14:paraId="2705684D">
            <w:pPr>
              <w:adjustRightInd w:val="0"/>
              <w:snapToGrid w:val="0"/>
              <w:spacing w:line="300" w:lineRule="exact"/>
              <w:jc w:val="center"/>
              <w:rPr>
                <w:rFonts w:hint="eastAsia" w:ascii="宋体" w:hAnsi="宋体" w:eastAsia="宋体" w:cs="宋体"/>
                <w:color w:val="000000" w:themeColor="text1"/>
                <w:spacing w:val="20"/>
                <w:sz w:val="18"/>
                <w:szCs w:val="18"/>
                <w:highlight w:val="none"/>
                <w14:textFill>
                  <w14:solidFill>
                    <w14:schemeClr w14:val="tx1"/>
                  </w14:solidFill>
                </w14:textFill>
              </w:rPr>
            </w:pPr>
          </w:p>
        </w:tc>
      </w:tr>
      <w:tr w14:paraId="78B82E4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318" w:type="pct"/>
            <w:vMerge w:val="restart"/>
            <w:tcBorders>
              <w:top w:val="single" w:color="auto" w:sz="2" w:space="0"/>
              <w:right w:val="single" w:color="auto" w:sz="2" w:space="0"/>
            </w:tcBorders>
            <w:vAlign w:val="center"/>
          </w:tcPr>
          <w:p w14:paraId="2358496D">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法定代表人</w:t>
            </w:r>
          </w:p>
          <w:p w14:paraId="005C94F9">
            <w:pPr>
              <w:adjustRightInd w:val="0"/>
              <w:snapToGrid w:val="0"/>
              <w:spacing w:line="300" w:lineRule="exact"/>
              <w:ind w:firstLine="86" w:firstLineChars="48"/>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或其委托代理人（签章）</w:t>
            </w:r>
          </w:p>
        </w:tc>
        <w:tc>
          <w:tcPr>
            <w:tcW w:w="1284" w:type="pct"/>
            <w:vMerge w:val="restart"/>
            <w:tcBorders>
              <w:top w:val="single" w:color="auto" w:sz="2" w:space="0"/>
              <w:left w:val="single" w:color="auto" w:sz="2" w:space="0"/>
              <w:right w:val="single" w:color="auto" w:sz="2" w:space="0"/>
            </w:tcBorders>
            <w:vAlign w:val="center"/>
          </w:tcPr>
          <w:p w14:paraId="4218A6E0">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053" w:type="pct"/>
            <w:tcBorders>
              <w:top w:val="single" w:color="auto" w:sz="2" w:space="0"/>
              <w:left w:val="single" w:color="auto" w:sz="2" w:space="0"/>
              <w:right w:val="single" w:color="auto" w:sz="2" w:space="0"/>
            </w:tcBorders>
            <w:vAlign w:val="center"/>
          </w:tcPr>
          <w:p w14:paraId="7F003EF4">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法定代表人</w:t>
            </w:r>
          </w:p>
          <w:p w14:paraId="7C4ADB54">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或其委托代理人（签章）</w:t>
            </w:r>
          </w:p>
        </w:tc>
        <w:tc>
          <w:tcPr>
            <w:tcW w:w="1344" w:type="pct"/>
            <w:tcBorders>
              <w:top w:val="single" w:color="auto" w:sz="2" w:space="0"/>
              <w:left w:val="single" w:color="auto" w:sz="2" w:space="0"/>
              <w:bottom w:val="single" w:color="auto" w:sz="2" w:space="0"/>
            </w:tcBorders>
            <w:vAlign w:val="center"/>
          </w:tcPr>
          <w:p w14:paraId="36143EF6">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r>
      <w:tr w14:paraId="0AF69C8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318" w:type="pct"/>
            <w:vMerge w:val="continue"/>
            <w:tcBorders>
              <w:bottom w:val="single" w:color="auto" w:sz="2" w:space="0"/>
              <w:right w:val="single" w:color="auto" w:sz="2" w:space="0"/>
            </w:tcBorders>
            <w:vAlign w:val="center"/>
          </w:tcPr>
          <w:p w14:paraId="57F0524D">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284" w:type="pct"/>
            <w:vMerge w:val="continue"/>
            <w:tcBorders>
              <w:left w:val="single" w:color="auto" w:sz="2" w:space="0"/>
              <w:bottom w:val="single" w:color="auto" w:sz="2" w:space="0"/>
              <w:right w:val="single" w:color="auto" w:sz="2" w:space="0"/>
            </w:tcBorders>
            <w:vAlign w:val="center"/>
          </w:tcPr>
          <w:p w14:paraId="5D2CED88">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053" w:type="pct"/>
            <w:tcBorders>
              <w:top w:val="single" w:color="auto" w:sz="2" w:space="0"/>
              <w:left w:val="single" w:color="auto" w:sz="2" w:space="0"/>
              <w:bottom w:val="single" w:color="auto" w:sz="2" w:space="0"/>
              <w:right w:val="single" w:color="auto" w:sz="2" w:space="0"/>
            </w:tcBorders>
            <w:vAlign w:val="center"/>
          </w:tcPr>
          <w:p w14:paraId="0657CF27">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拥有者性别</w:t>
            </w:r>
          </w:p>
        </w:tc>
        <w:tc>
          <w:tcPr>
            <w:tcW w:w="1344" w:type="pct"/>
            <w:tcBorders>
              <w:top w:val="single" w:color="auto" w:sz="2" w:space="0"/>
              <w:left w:val="single" w:color="auto" w:sz="2" w:space="0"/>
              <w:bottom w:val="single" w:color="auto" w:sz="2" w:space="0"/>
            </w:tcBorders>
            <w:vAlign w:val="center"/>
          </w:tcPr>
          <w:p w14:paraId="2E32BE73">
            <w:pPr>
              <w:adjustRightInd w:val="0"/>
              <w:snapToGrid w:val="0"/>
              <w:spacing w:line="300" w:lineRule="exact"/>
              <w:jc w:val="center"/>
              <w:rPr>
                <w:rFonts w:hint="eastAsia" w:ascii="宋体" w:hAnsi="宋体" w:eastAsia="宋体" w:cs="宋体"/>
                <w:color w:val="000000" w:themeColor="text1"/>
                <w:spacing w:val="20"/>
                <w:sz w:val="18"/>
                <w:szCs w:val="18"/>
                <w:highlight w:val="none"/>
                <w14:textFill>
                  <w14:solidFill>
                    <w14:schemeClr w14:val="tx1"/>
                  </w14:solidFill>
                </w14:textFill>
              </w:rPr>
            </w:pPr>
          </w:p>
        </w:tc>
      </w:tr>
      <w:tr w14:paraId="78549AC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318" w:type="pct"/>
            <w:tcBorders>
              <w:top w:val="single" w:color="auto" w:sz="2" w:space="0"/>
              <w:bottom w:val="single" w:color="auto" w:sz="2" w:space="0"/>
              <w:right w:val="single" w:color="auto" w:sz="2" w:space="0"/>
            </w:tcBorders>
            <w:vAlign w:val="center"/>
          </w:tcPr>
          <w:p w14:paraId="671937F0">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住  所</w:t>
            </w:r>
          </w:p>
        </w:tc>
        <w:tc>
          <w:tcPr>
            <w:tcW w:w="1284" w:type="pct"/>
            <w:tcBorders>
              <w:top w:val="single" w:color="auto" w:sz="2" w:space="0"/>
              <w:left w:val="single" w:color="auto" w:sz="2" w:space="0"/>
              <w:bottom w:val="single" w:color="auto" w:sz="2" w:space="0"/>
              <w:right w:val="single" w:color="auto" w:sz="2" w:space="0"/>
            </w:tcBorders>
            <w:vAlign w:val="center"/>
          </w:tcPr>
          <w:p w14:paraId="5227C107">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053" w:type="pct"/>
            <w:tcBorders>
              <w:top w:val="single" w:color="auto" w:sz="2" w:space="0"/>
              <w:left w:val="single" w:color="auto" w:sz="2" w:space="0"/>
              <w:bottom w:val="single" w:color="auto" w:sz="2" w:space="0"/>
              <w:right w:val="single" w:color="auto" w:sz="2" w:space="0"/>
            </w:tcBorders>
            <w:vAlign w:val="center"/>
          </w:tcPr>
          <w:p w14:paraId="68584C98">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住  所</w:t>
            </w:r>
          </w:p>
        </w:tc>
        <w:tc>
          <w:tcPr>
            <w:tcW w:w="1344" w:type="pct"/>
            <w:tcBorders>
              <w:top w:val="single" w:color="auto" w:sz="2" w:space="0"/>
              <w:left w:val="single" w:color="auto" w:sz="2" w:space="0"/>
              <w:bottom w:val="single" w:color="auto" w:sz="2" w:space="0"/>
            </w:tcBorders>
            <w:vAlign w:val="center"/>
          </w:tcPr>
          <w:p w14:paraId="5BA03CFF">
            <w:pPr>
              <w:adjustRightInd w:val="0"/>
              <w:snapToGrid w:val="0"/>
              <w:spacing w:line="300" w:lineRule="exact"/>
              <w:jc w:val="center"/>
              <w:rPr>
                <w:rFonts w:hint="eastAsia" w:ascii="宋体" w:hAnsi="宋体" w:eastAsia="宋体" w:cs="宋体"/>
                <w:color w:val="000000" w:themeColor="text1"/>
                <w:spacing w:val="20"/>
                <w:sz w:val="18"/>
                <w:szCs w:val="18"/>
                <w:highlight w:val="none"/>
                <w14:textFill>
                  <w14:solidFill>
                    <w14:schemeClr w14:val="tx1"/>
                  </w14:solidFill>
                </w14:textFill>
              </w:rPr>
            </w:pPr>
          </w:p>
        </w:tc>
      </w:tr>
      <w:tr w14:paraId="331837E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318" w:type="pct"/>
            <w:tcBorders>
              <w:top w:val="single" w:color="auto" w:sz="2" w:space="0"/>
              <w:bottom w:val="single" w:color="auto" w:sz="2" w:space="0"/>
              <w:right w:val="single" w:color="auto" w:sz="2" w:space="0"/>
            </w:tcBorders>
            <w:vAlign w:val="center"/>
          </w:tcPr>
          <w:p w14:paraId="0E44577A">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联 系 人</w:t>
            </w:r>
          </w:p>
        </w:tc>
        <w:tc>
          <w:tcPr>
            <w:tcW w:w="1284" w:type="pct"/>
            <w:tcBorders>
              <w:top w:val="single" w:color="auto" w:sz="2" w:space="0"/>
              <w:left w:val="single" w:color="auto" w:sz="2" w:space="0"/>
              <w:bottom w:val="single" w:color="auto" w:sz="2" w:space="0"/>
              <w:right w:val="single" w:color="auto" w:sz="2" w:space="0"/>
            </w:tcBorders>
            <w:vAlign w:val="center"/>
          </w:tcPr>
          <w:p w14:paraId="168DFE62">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053" w:type="pct"/>
            <w:tcBorders>
              <w:top w:val="single" w:color="auto" w:sz="2" w:space="0"/>
              <w:left w:val="single" w:color="auto" w:sz="2" w:space="0"/>
              <w:bottom w:val="single" w:color="auto" w:sz="2" w:space="0"/>
              <w:right w:val="single" w:color="auto" w:sz="2" w:space="0"/>
            </w:tcBorders>
            <w:vAlign w:val="center"/>
          </w:tcPr>
          <w:p w14:paraId="07B469AA">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联 系 人</w:t>
            </w:r>
          </w:p>
        </w:tc>
        <w:tc>
          <w:tcPr>
            <w:tcW w:w="1344" w:type="pct"/>
            <w:tcBorders>
              <w:top w:val="single" w:color="auto" w:sz="2" w:space="0"/>
              <w:left w:val="single" w:color="auto" w:sz="2" w:space="0"/>
              <w:bottom w:val="single" w:color="auto" w:sz="2" w:space="0"/>
            </w:tcBorders>
            <w:vAlign w:val="center"/>
          </w:tcPr>
          <w:p w14:paraId="425DE848">
            <w:pPr>
              <w:adjustRightInd w:val="0"/>
              <w:snapToGrid w:val="0"/>
              <w:spacing w:line="300" w:lineRule="exact"/>
              <w:jc w:val="center"/>
              <w:rPr>
                <w:rFonts w:hint="eastAsia" w:ascii="宋体" w:hAnsi="宋体" w:eastAsia="宋体" w:cs="宋体"/>
                <w:color w:val="000000" w:themeColor="text1"/>
                <w:spacing w:val="20"/>
                <w:sz w:val="18"/>
                <w:szCs w:val="18"/>
                <w:highlight w:val="none"/>
                <w14:textFill>
                  <w14:solidFill>
                    <w14:schemeClr w14:val="tx1"/>
                  </w14:solidFill>
                </w14:textFill>
              </w:rPr>
            </w:pPr>
          </w:p>
        </w:tc>
      </w:tr>
      <w:tr w14:paraId="1A1191D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318" w:type="pct"/>
            <w:tcBorders>
              <w:top w:val="single" w:color="auto" w:sz="2" w:space="0"/>
              <w:bottom w:val="single" w:color="auto" w:sz="2" w:space="0"/>
              <w:right w:val="single" w:color="auto" w:sz="2" w:space="0"/>
            </w:tcBorders>
            <w:vAlign w:val="center"/>
          </w:tcPr>
          <w:p w14:paraId="5668CA15">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联系电话</w:t>
            </w:r>
          </w:p>
        </w:tc>
        <w:tc>
          <w:tcPr>
            <w:tcW w:w="1284" w:type="pct"/>
            <w:tcBorders>
              <w:top w:val="single" w:color="auto" w:sz="2" w:space="0"/>
              <w:left w:val="single" w:color="auto" w:sz="2" w:space="0"/>
              <w:bottom w:val="single" w:color="auto" w:sz="2" w:space="0"/>
              <w:right w:val="single" w:color="auto" w:sz="2" w:space="0"/>
            </w:tcBorders>
            <w:vAlign w:val="center"/>
          </w:tcPr>
          <w:p w14:paraId="58C0ABB4">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053" w:type="pct"/>
            <w:tcBorders>
              <w:top w:val="single" w:color="auto" w:sz="2" w:space="0"/>
              <w:left w:val="single" w:color="auto" w:sz="2" w:space="0"/>
              <w:bottom w:val="single" w:color="auto" w:sz="2" w:space="0"/>
              <w:right w:val="single" w:color="auto" w:sz="2" w:space="0"/>
            </w:tcBorders>
            <w:vAlign w:val="center"/>
          </w:tcPr>
          <w:p w14:paraId="01599544">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联系电话</w:t>
            </w:r>
          </w:p>
        </w:tc>
        <w:tc>
          <w:tcPr>
            <w:tcW w:w="1344" w:type="pct"/>
            <w:tcBorders>
              <w:top w:val="single" w:color="auto" w:sz="2" w:space="0"/>
              <w:left w:val="single" w:color="auto" w:sz="2" w:space="0"/>
              <w:bottom w:val="single" w:color="auto" w:sz="2" w:space="0"/>
            </w:tcBorders>
            <w:vAlign w:val="center"/>
          </w:tcPr>
          <w:p w14:paraId="4EB03FCE">
            <w:pPr>
              <w:adjustRightInd w:val="0"/>
              <w:snapToGrid w:val="0"/>
              <w:spacing w:line="300" w:lineRule="exact"/>
              <w:jc w:val="center"/>
              <w:rPr>
                <w:rFonts w:hint="eastAsia" w:ascii="宋体" w:hAnsi="宋体" w:eastAsia="宋体" w:cs="宋体"/>
                <w:color w:val="000000" w:themeColor="text1"/>
                <w:spacing w:val="20"/>
                <w:sz w:val="18"/>
                <w:szCs w:val="18"/>
                <w:highlight w:val="none"/>
                <w14:textFill>
                  <w14:solidFill>
                    <w14:schemeClr w14:val="tx1"/>
                  </w14:solidFill>
                </w14:textFill>
              </w:rPr>
            </w:pPr>
          </w:p>
        </w:tc>
      </w:tr>
      <w:tr w14:paraId="6FD6097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318" w:type="pct"/>
            <w:tcBorders>
              <w:top w:val="single" w:color="auto" w:sz="2" w:space="0"/>
              <w:bottom w:val="single" w:color="auto" w:sz="2" w:space="0"/>
              <w:right w:val="single" w:color="auto" w:sz="2" w:space="0"/>
            </w:tcBorders>
            <w:vAlign w:val="center"/>
          </w:tcPr>
          <w:p w14:paraId="1F7C7219">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通信地址</w:t>
            </w:r>
          </w:p>
        </w:tc>
        <w:tc>
          <w:tcPr>
            <w:tcW w:w="1284" w:type="pct"/>
            <w:tcBorders>
              <w:top w:val="single" w:color="auto" w:sz="2" w:space="0"/>
              <w:left w:val="single" w:color="auto" w:sz="2" w:space="0"/>
              <w:bottom w:val="single" w:color="auto" w:sz="2" w:space="0"/>
              <w:right w:val="single" w:color="auto" w:sz="2" w:space="0"/>
            </w:tcBorders>
            <w:vAlign w:val="center"/>
          </w:tcPr>
          <w:p w14:paraId="733F5BF1">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053" w:type="pct"/>
            <w:tcBorders>
              <w:top w:val="single" w:color="auto" w:sz="2" w:space="0"/>
              <w:left w:val="single" w:color="auto" w:sz="2" w:space="0"/>
              <w:bottom w:val="single" w:color="auto" w:sz="2" w:space="0"/>
              <w:right w:val="single" w:color="auto" w:sz="2" w:space="0"/>
            </w:tcBorders>
            <w:vAlign w:val="center"/>
          </w:tcPr>
          <w:p w14:paraId="0FADB0E1">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通信地址</w:t>
            </w:r>
          </w:p>
        </w:tc>
        <w:tc>
          <w:tcPr>
            <w:tcW w:w="1344" w:type="pct"/>
            <w:tcBorders>
              <w:top w:val="single" w:color="auto" w:sz="2" w:space="0"/>
              <w:left w:val="single" w:color="auto" w:sz="2" w:space="0"/>
              <w:bottom w:val="single" w:color="auto" w:sz="2" w:space="0"/>
            </w:tcBorders>
            <w:vAlign w:val="center"/>
          </w:tcPr>
          <w:p w14:paraId="1251F970">
            <w:pPr>
              <w:adjustRightInd w:val="0"/>
              <w:snapToGrid w:val="0"/>
              <w:spacing w:line="300" w:lineRule="exact"/>
              <w:jc w:val="center"/>
              <w:rPr>
                <w:rFonts w:hint="eastAsia" w:ascii="宋体" w:hAnsi="宋体" w:eastAsia="宋体" w:cs="宋体"/>
                <w:color w:val="000000" w:themeColor="text1"/>
                <w:spacing w:val="20"/>
                <w:sz w:val="18"/>
                <w:szCs w:val="18"/>
                <w:highlight w:val="none"/>
                <w14:textFill>
                  <w14:solidFill>
                    <w14:schemeClr w14:val="tx1"/>
                  </w14:solidFill>
                </w14:textFill>
              </w:rPr>
            </w:pPr>
          </w:p>
        </w:tc>
      </w:tr>
      <w:tr w14:paraId="0E2CC25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318" w:type="pct"/>
            <w:tcBorders>
              <w:top w:val="single" w:color="auto" w:sz="2" w:space="0"/>
              <w:bottom w:val="single" w:color="auto" w:sz="2" w:space="0"/>
              <w:right w:val="single" w:color="auto" w:sz="2" w:space="0"/>
            </w:tcBorders>
            <w:vAlign w:val="center"/>
          </w:tcPr>
          <w:p w14:paraId="1FD75303">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邮政编码</w:t>
            </w:r>
          </w:p>
        </w:tc>
        <w:tc>
          <w:tcPr>
            <w:tcW w:w="1284" w:type="pct"/>
            <w:tcBorders>
              <w:top w:val="single" w:color="auto" w:sz="2" w:space="0"/>
              <w:left w:val="single" w:color="auto" w:sz="2" w:space="0"/>
              <w:bottom w:val="single" w:color="auto" w:sz="2" w:space="0"/>
              <w:right w:val="single" w:color="auto" w:sz="2" w:space="0"/>
            </w:tcBorders>
            <w:vAlign w:val="center"/>
          </w:tcPr>
          <w:p w14:paraId="39952E17">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053" w:type="pct"/>
            <w:tcBorders>
              <w:top w:val="single" w:color="auto" w:sz="2" w:space="0"/>
              <w:left w:val="single" w:color="auto" w:sz="2" w:space="0"/>
              <w:bottom w:val="single" w:color="auto" w:sz="2" w:space="0"/>
              <w:right w:val="single" w:color="auto" w:sz="2" w:space="0"/>
            </w:tcBorders>
            <w:vAlign w:val="center"/>
          </w:tcPr>
          <w:p w14:paraId="05A42F3C">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邮政编码</w:t>
            </w:r>
          </w:p>
        </w:tc>
        <w:tc>
          <w:tcPr>
            <w:tcW w:w="1344" w:type="pct"/>
            <w:tcBorders>
              <w:top w:val="single" w:color="auto" w:sz="2" w:space="0"/>
              <w:left w:val="single" w:color="auto" w:sz="2" w:space="0"/>
              <w:bottom w:val="single" w:color="auto" w:sz="2" w:space="0"/>
            </w:tcBorders>
            <w:vAlign w:val="center"/>
          </w:tcPr>
          <w:p w14:paraId="41D0D406">
            <w:pPr>
              <w:adjustRightInd w:val="0"/>
              <w:snapToGrid w:val="0"/>
              <w:spacing w:line="300" w:lineRule="exact"/>
              <w:jc w:val="center"/>
              <w:rPr>
                <w:rFonts w:hint="eastAsia" w:ascii="宋体" w:hAnsi="宋体" w:eastAsia="宋体" w:cs="宋体"/>
                <w:color w:val="000000" w:themeColor="text1"/>
                <w:spacing w:val="20"/>
                <w:sz w:val="18"/>
                <w:szCs w:val="18"/>
                <w:highlight w:val="none"/>
                <w14:textFill>
                  <w14:solidFill>
                    <w14:schemeClr w14:val="tx1"/>
                  </w14:solidFill>
                </w14:textFill>
              </w:rPr>
            </w:pPr>
          </w:p>
        </w:tc>
      </w:tr>
      <w:tr w14:paraId="10153FF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318" w:type="pct"/>
            <w:tcBorders>
              <w:top w:val="single" w:color="auto" w:sz="2" w:space="0"/>
              <w:bottom w:val="single" w:color="auto" w:sz="2" w:space="0"/>
              <w:right w:val="single" w:color="auto" w:sz="2" w:space="0"/>
            </w:tcBorders>
            <w:vAlign w:val="center"/>
          </w:tcPr>
          <w:p w14:paraId="0581203A">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电子邮箱</w:t>
            </w:r>
          </w:p>
        </w:tc>
        <w:tc>
          <w:tcPr>
            <w:tcW w:w="1284" w:type="pct"/>
            <w:tcBorders>
              <w:top w:val="single" w:color="auto" w:sz="2" w:space="0"/>
              <w:left w:val="single" w:color="auto" w:sz="2" w:space="0"/>
              <w:bottom w:val="single" w:color="auto" w:sz="2" w:space="0"/>
              <w:right w:val="single" w:color="auto" w:sz="2" w:space="0"/>
            </w:tcBorders>
            <w:vAlign w:val="center"/>
          </w:tcPr>
          <w:p w14:paraId="5C049229">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053" w:type="pct"/>
            <w:tcBorders>
              <w:top w:val="single" w:color="auto" w:sz="2" w:space="0"/>
              <w:left w:val="single" w:color="auto" w:sz="2" w:space="0"/>
              <w:bottom w:val="single" w:color="auto" w:sz="2" w:space="0"/>
              <w:right w:val="single" w:color="auto" w:sz="2" w:space="0"/>
            </w:tcBorders>
            <w:vAlign w:val="center"/>
          </w:tcPr>
          <w:p w14:paraId="6C5CFE90">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电子邮箱</w:t>
            </w:r>
          </w:p>
        </w:tc>
        <w:tc>
          <w:tcPr>
            <w:tcW w:w="1344" w:type="pct"/>
            <w:tcBorders>
              <w:top w:val="single" w:color="auto" w:sz="2" w:space="0"/>
              <w:left w:val="single" w:color="auto" w:sz="2" w:space="0"/>
              <w:bottom w:val="single" w:color="auto" w:sz="2" w:space="0"/>
            </w:tcBorders>
            <w:vAlign w:val="center"/>
          </w:tcPr>
          <w:p w14:paraId="7E923A97">
            <w:pPr>
              <w:adjustRightInd w:val="0"/>
              <w:snapToGrid w:val="0"/>
              <w:spacing w:line="300" w:lineRule="exact"/>
              <w:jc w:val="center"/>
              <w:rPr>
                <w:rFonts w:hint="eastAsia" w:ascii="宋体" w:hAnsi="宋体" w:eastAsia="宋体" w:cs="宋体"/>
                <w:color w:val="000000" w:themeColor="text1"/>
                <w:spacing w:val="20"/>
                <w:sz w:val="18"/>
                <w:szCs w:val="18"/>
                <w:highlight w:val="none"/>
                <w14:textFill>
                  <w14:solidFill>
                    <w14:schemeClr w14:val="tx1"/>
                  </w14:solidFill>
                </w14:textFill>
              </w:rPr>
            </w:pPr>
          </w:p>
        </w:tc>
      </w:tr>
      <w:tr w14:paraId="50C3D58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318" w:type="pct"/>
            <w:tcBorders>
              <w:top w:val="single" w:color="auto" w:sz="2" w:space="0"/>
              <w:bottom w:val="single" w:color="auto" w:sz="2" w:space="0"/>
              <w:right w:val="single" w:color="auto" w:sz="2" w:space="0"/>
            </w:tcBorders>
            <w:vAlign w:val="center"/>
          </w:tcPr>
          <w:p w14:paraId="4DD1D332">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统一社会信用代码</w:t>
            </w:r>
          </w:p>
        </w:tc>
        <w:tc>
          <w:tcPr>
            <w:tcW w:w="1284" w:type="pct"/>
            <w:tcBorders>
              <w:top w:val="single" w:color="auto" w:sz="2" w:space="0"/>
              <w:left w:val="single" w:color="auto" w:sz="2" w:space="0"/>
              <w:bottom w:val="single" w:color="auto" w:sz="2" w:space="0"/>
              <w:right w:val="single" w:color="auto" w:sz="2" w:space="0"/>
            </w:tcBorders>
            <w:vAlign w:val="center"/>
          </w:tcPr>
          <w:p w14:paraId="5090243E">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053" w:type="pct"/>
            <w:tcBorders>
              <w:top w:val="single" w:color="auto" w:sz="2" w:space="0"/>
              <w:left w:val="single" w:color="auto" w:sz="2" w:space="0"/>
              <w:bottom w:val="single" w:color="auto" w:sz="2" w:space="0"/>
              <w:right w:val="single" w:color="auto" w:sz="2" w:space="0"/>
            </w:tcBorders>
            <w:vAlign w:val="center"/>
          </w:tcPr>
          <w:p w14:paraId="004C734A">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统一社会信用代码</w:t>
            </w:r>
          </w:p>
        </w:tc>
        <w:tc>
          <w:tcPr>
            <w:tcW w:w="1344" w:type="pct"/>
            <w:tcBorders>
              <w:top w:val="single" w:color="auto" w:sz="2" w:space="0"/>
              <w:left w:val="single" w:color="auto" w:sz="2" w:space="0"/>
              <w:bottom w:val="single" w:color="auto" w:sz="2" w:space="0"/>
            </w:tcBorders>
            <w:vAlign w:val="center"/>
          </w:tcPr>
          <w:p w14:paraId="507FF1EA">
            <w:pPr>
              <w:adjustRightInd w:val="0"/>
              <w:snapToGrid w:val="0"/>
              <w:spacing w:line="300" w:lineRule="exact"/>
              <w:jc w:val="center"/>
              <w:rPr>
                <w:rFonts w:hint="eastAsia" w:ascii="宋体" w:hAnsi="宋体" w:eastAsia="宋体" w:cs="宋体"/>
                <w:color w:val="000000" w:themeColor="text1"/>
                <w:spacing w:val="20"/>
                <w:sz w:val="18"/>
                <w:szCs w:val="18"/>
                <w:highlight w:val="none"/>
                <w14:textFill>
                  <w14:solidFill>
                    <w14:schemeClr w14:val="tx1"/>
                  </w14:solidFill>
                </w14:textFill>
              </w:rPr>
            </w:pPr>
          </w:p>
        </w:tc>
      </w:tr>
      <w:tr w14:paraId="7A8CEB0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318" w:type="pct"/>
            <w:tcBorders>
              <w:top w:val="single" w:color="auto" w:sz="2" w:space="0"/>
              <w:bottom w:val="single" w:color="auto" w:sz="2" w:space="0"/>
              <w:right w:val="single" w:color="auto" w:sz="2" w:space="0"/>
            </w:tcBorders>
            <w:vAlign w:val="center"/>
          </w:tcPr>
          <w:p w14:paraId="20CEBCF0">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284" w:type="pct"/>
            <w:tcBorders>
              <w:top w:val="single" w:color="auto" w:sz="2" w:space="0"/>
              <w:left w:val="single" w:color="auto" w:sz="2" w:space="0"/>
              <w:bottom w:val="single" w:color="auto" w:sz="2" w:space="0"/>
              <w:right w:val="single" w:color="auto" w:sz="2" w:space="0"/>
            </w:tcBorders>
            <w:vAlign w:val="center"/>
          </w:tcPr>
          <w:p w14:paraId="5C19F92C">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053" w:type="pct"/>
            <w:tcBorders>
              <w:top w:val="single" w:color="auto" w:sz="2" w:space="0"/>
              <w:left w:val="single" w:color="auto" w:sz="2" w:space="0"/>
              <w:bottom w:val="single" w:color="auto" w:sz="2" w:space="0"/>
              <w:right w:val="single" w:color="auto" w:sz="2" w:space="0"/>
            </w:tcBorders>
            <w:vAlign w:val="center"/>
          </w:tcPr>
          <w:p w14:paraId="15DD1AC8">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开户名称</w:t>
            </w:r>
          </w:p>
        </w:tc>
        <w:tc>
          <w:tcPr>
            <w:tcW w:w="1344" w:type="pct"/>
            <w:tcBorders>
              <w:top w:val="single" w:color="auto" w:sz="2" w:space="0"/>
              <w:left w:val="single" w:color="auto" w:sz="2" w:space="0"/>
              <w:bottom w:val="single" w:color="auto" w:sz="2" w:space="0"/>
            </w:tcBorders>
            <w:vAlign w:val="center"/>
          </w:tcPr>
          <w:p w14:paraId="517940FE">
            <w:pPr>
              <w:adjustRightInd w:val="0"/>
              <w:snapToGrid w:val="0"/>
              <w:spacing w:line="300" w:lineRule="exact"/>
              <w:jc w:val="center"/>
              <w:rPr>
                <w:rFonts w:hint="eastAsia" w:ascii="宋体" w:hAnsi="宋体" w:eastAsia="宋体" w:cs="宋体"/>
                <w:color w:val="000000" w:themeColor="text1"/>
                <w:spacing w:val="20"/>
                <w:sz w:val="18"/>
                <w:szCs w:val="18"/>
                <w:highlight w:val="none"/>
                <w14:textFill>
                  <w14:solidFill>
                    <w14:schemeClr w14:val="tx1"/>
                  </w14:solidFill>
                </w14:textFill>
              </w:rPr>
            </w:pPr>
          </w:p>
        </w:tc>
      </w:tr>
      <w:tr w14:paraId="07568F8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318" w:type="pct"/>
            <w:tcBorders>
              <w:top w:val="single" w:color="auto" w:sz="2" w:space="0"/>
              <w:bottom w:val="single" w:color="auto" w:sz="2" w:space="0"/>
              <w:right w:val="single" w:color="auto" w:sz="2" w:space="0"/>
            </w:tcBorders>
            <w:vAlign w:val="center"/>
          </w:tcPr>
          <w:p w14:paraId="0195BA96">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284" w:type="pct"/>
            <w:tcBorders>
              <w:top w:val="single" w:color="auto" w:sz="2" w:space="0"/>
              <w:left w:val="single" w:color="auto" w:sz="2" w:space="0"/>
              <w:bottom w:val="single" w:color="auto" w:sz="2" w:space="0"/>
              <w:right w:val="single" w:color="auto" w:sz="2" w:space="0"/>
            </w:tcBorders>
            <w:vAlign w:val="center"/>
          </w:tcPr>
          <w:p w14:paraId="73DFF588">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053" w:type="pct"/>
            <w:tcBorders>
              <w:top w:val="single" w:color="auto" w:sz="2" w:space="0"/>
              <w:left w:val="single" w:color="auto" w:sz="2" w:space="0"/>
              <w:bottom w:val="single" w:color="auto" w:sz="2" w:space="0"/>
              <w:right w:val="single" w:color="auto" w:sz="2" w:space="0"/>
            </w:tcBorders>
            <w:vAlign w:val="center"/>
          </w:tcPr>
          <w:p w14:paraId="6447BFEA">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开户银行</w:t>
            </w:r>
          </w:p>
        </w:tc>
        <w:tc>
          <w:tcPr>
            <w:tcW w:w="1344" w:type="pct"/>
            <w:tcBorders>
              <w:top w:val="single" w:color="auto" w:sz="2" w:space="0"/>
              <w:left w:val="single" w:color="auto" w:sz="2" w:space="0"/>
              <w:bottom w:val="single" w:color="auto" w:sz="2" w:space="0"/>
            </w:tcBorders>
            <w:vAlign w:val="center"/>
          </w:tcPr>
          <w:p w14:paraId="2C3224FC">
            <w:pPr>
              <w:adjustRightInd w:val="0"/>
              <w:snapToGrid w:val="0"/>
              <w:spacing w:line="300" w:lineRule="exact"/>
              <w:jc w:val="center"/>
              <w:rPr>
                <w:rFonts w:hint="eastAsia" w:ascii="宋体" w:hAnsi="宋体" w:eastAsia="宋体" w:cs="宋体"/>
                <w:color w:val="000000" w:themeColor="text1"/>
                <w:spacing w:val="20"/>
                <w:sz w:val="18"/>
                <w:szCs w:val="18"/>
                <w:highlight w:val="none"/>
                <w14:textFill>
                  <w14:solidFill>
                    <w14:schemeClr w14:val="tx1"/>
                  </w14:solidFill>
                </w14:textFill>
              </w:rPr>
            </w:pPr>
          </w:p>
        </w:tc>
      </w:tr>
      <w:tr w14:paraId="02D6834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318" w:type="pct"/>
            <w:tcBorders>
              <w:top w:val="single" w:color="auto" w:sz="2" w:space="0"/>
              <w:bottom w:val="single" w:color="auto" w:sz="2" w:space="0"/>
              <w:right w:val="single" w:color="auto" w:sz="2" w:space="0"/>
            </w:tcBorders>
            <w:vAlign w:val="center"/>
          </w:tcPr>
          <w:p w14:paraId="238316FA">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284" w:type="pct"/>
            <w:tcBorders>
              <w:top w:val="single" w:color="auto" w:sz="2" w:space="0"/>
              <w:left w:val="single" w:color="auto" w:sz="2" w:space="0"/>
              <w:bottom w:val="single" w:color="auto" w:sz="2" w:space="0"/>
              <w:right w:val="single" w:color="auto" w:sz="2" w:space="0"/>
            </w:tcBorders>
            <w:vAlign w:val="center"/>
          </w:tcPr>
          <w:p w14:paraId="7AAC9706">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053" w:type="pct"/>
            <w:tcBorders>
              <w:top w:val="single" w:color="auto" w:sz="2" w:space="0"/>
              <w:left w:val="single" w:color="auto" w:sz="2" w:space="0"/>
              <w:bottom w:val="single" w:color="auto" w:sz="2" w:space="0"/>
              <w:right w:val="single" w:color="auto" w:sz="2" w:space="0"/>
            </w:tcBorders>
            <w:vAlign w:val="center"/>
          </w:tcPr>
          <w:p w14:paraId="61F140AA">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银行账号</w:t>
            </w:r>
          </w:p>
        </w:tc>
        <w:tc>
          <w:tcPr>
            <w:tcW w:w="1344" w:type="pct"/>
            <w:tcBorders>
              <w:top w:val="single" w:color="auto" w:sz="2" w:space="0"/>
              <w:left w:val="single" w:color="auto" w:sz="2" w:space="0"/>
              <w:bottom w:val="single" w:color="auto" w:sz="2" w:space="0"/>
            </w:tcBorders>
            <w:vAlign w:val="center"/>
          </w:tcPr>
          <w:p w14:paraId="1B4500C1">
            <w:pPr>
              <w:adjustRightInd w:val="0"/>
              <w:snapToGrid w:val="0"/>
              <w:spacing w:line="300" w:lineRule="exact"/>
              <w:jc w:val="center"/>
              <w:rPr>
                <w:rFonts w:hint="eastAsia" w:ascii="宋体" w:hAnsi="宋体" w:eastAsia="宋体" w:cs="宋体"/>
                <w:color w:val="000000" w:themeColor="text1"/>
                <w:spacing w:val="20"/>
                <w:sz w:val="18"/>
                <w:szCs w:val="18"/>
                <w:highlight w:val="none"/>
                <w14:textFill>
                  <w14:solidFill>
                    <w14:schemeClr w14:val="tx1"/>
                  </w14:solidFill>
                </w14:textFill>
              </w:rPr>
            </w:pPr>
          </w:p>
        </w:tc>
      </w:tr>
      <w:tr w14:paraId="28AE5C7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0E5D7160">
            <w:pPr>
              <w:pStyle w:val="4"/>
              <w:adjustRightInd w:val="0"/>
              <w:snapToGrid w:val="0"/>
              <w:spacing w:before="156" w:beforeLines="50" w:line="360" w:lineRule="auto"/>
              <w:ind w:firstLine="210"/>
              <w:jc w:val="left"/>
              <w:rPr>
                <w:rFonts w:hint="eastAsia" w:ascii="宋体" w:hAnsi="宋体" w:eastAsia="宋体" w:cs="宋体"/>
                <w:color w:val="000000" w:themeColor="text1"/>
                <w:spacing w:val="20"/>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注：涉及联合体或其他合同主体的信息应按上表格式加列。</w:t>
            </w:r>
          </w:p>
        </w:tc>
      </w:tr>
    </w:tbl>
    <w:p w14:paraId="2161BB2A">
      <w:pPr>
        <w:pStyle w:val="5"/>
        <w:ind w:firstLine="210"/>
        <w:rPr>
          <w:color w:val="000000" w:themeColor="text1"/>
          <w:highlight w:val="none"/>
          <w14:textFill>
            <w14:solidFill>
              <w14:schemeClr w14:val="tx1"/>
            </w14:solidFill>
          </w14:textFill>
        </w:rPr>
      </w:pPr>
    </w:p>
    <w:p w14:paraId="2D6B71EE">
      <w:pPr>
        <w:pStyle w:val="5"/>
        <w:ind w:firstLine="210"/>
        <w:rPr>
          <w:color w:val="000000" w:themeColor="text1"/>
          <w:highlight w:val="none"/>
          <w14:textFill>
            <w14:solidFill>
              <w14:schemeClr w14:val="tx1"/>
            </w14:solidFill>
          </w14:textFill>
        </w:rPr>
      </w:pPr>
    </w:p>
    <w:p w14:paraId="28349D08">
      <w:pPr>
        <w:pStyle w:val="5"/>
        <w:ind w:firstLine="210"/>
        <w:rPr>
          <w:color w:val="000000" w:themeColor="text1"/>
          <w:highlight w:val="none"/>
          <w14:textFill>
            <w14:solidFill>
              <w14:schemeClr w14:val="tx1"/>
            </w14:solidFill>
          </w14:textFill>
        </w:rPr>
      </w:pPr>
    </w:p>
    <w:p w14:paraId="18C1F1FC">
      <w:pPr>
        <w:spacing w:line="360" w:lineRule="auto"/>
        <w:jc w:val="center"/>
        <w:rPr>
          <w:rFonts w:ascii="宋体" w:hAnsi="宋体"/>
          <w:b/>
          <w:color w:val="000000" w:themeColor="text1"/>
          <w:szCs w:val="21"/>
          <w:highlight w:val="none"/>
          <w14:textFill>
            <w14:solidFill>
              <w14:schemeClr w14:val="tx1"/>
            </w14:solidFill>
          </w14:textFill>
        </w:rPr>
      </w:pPr>
      <w:r>
        <w:rPr>
          <w:color w:val="000000" w:themeColor="text1"/>
          <w:highlight w:val="none"/>
          <w14:textFill>
            <w14:solidFill>
              <w14:schemeClr w14:val="tx1"/>
            </w14:solidFill>
          </w14:textFill>
        </w:rPr>
        <w:br w:type="page"/>
      </w:r>
      <w:r>
        <w:rPr>
          <w:rFonts w:hint="eastAsia" w:ascii="宋体" w:hAnsi="宋体" w:eastAsia="宋体" w:cs="Times New Roman"/>
          <w:b/>
          <w:color w:val="000000" w:themeColor="text1"/>
          <w:sz w:val="28"/>
          <w:szCs w:val="28"/>
          <w:highlight w:val="none"/>
          <w14:textFill>
            <w14:solidFill>
              <w14:schemeClr w14:val="tx1"/>
            </w14:solidFill>
          </w14:textFill>
        </w:rPr>
        <w:t>第二节 政府采购合同通用条款</w:t>
      </w:r>
    </w:p>
    <w:p w14:paraId="765BD1E4">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1. 定义</w:t>
      </w:r>
    </w:p>
    <w:p w14:paraId="6A4A0EB7">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1.1合同当事人</w:t>
      </w:r>
    </w:p>
    <w:p w14:paraId="57B499DE">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（1）采购人（以下称甲方）是指使用财政性资金，通过政府采购方式向供应商购买货物及其相关服务的国家机关、事业单位、团体组织。</w:t>
      </w:r>
    </w:p>
    <w:p w14:paraId="5A85087C">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（2）供应商（以下称乙方）是指参加政府采购活动并且中标（成交），向采购人提供合同约定的货物及其相关服务的法人、非法人组织或者自然人。</w:t>
      </w:r>
    </w:p>
    <w:p w14:paraId="537371A9">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（3）其他合同主体是指除采购人和供应商以外，依法参与合同缔结或履行，享有权利、承担义务的合同当事人。</w:t>
      </w:r>
    </w:p>
    <w:p w14:paraId="57CA99AF">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1.2本合同下列术语应解释为：</w:t>
      </w:r>
    </w:p>
    <w:p w14:paraId="2FFA496C">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14:paraId="68F6C7D9">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（2）“合同价款”系指根据本合同规定乙方在全面履行合同义务后甲方应支付给乙方的价款。</w:t>
      </w:r>
    </w:p>
    <w:p w14:paraId="38150BF6">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（3）“货物”系指乙方根据本合同规定须向甲方提供的各种形态和种类的物品，包括原材料、设备、产品（包括软件）及相关的其备品备件、工具、手册及其他技术资料和材料等。</w:t>
      </w:r>
    </w:p>
    <w:p w14:paraId="19E344DC">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14:paraId="77FB2D26">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（5）“分包”系指中标（成交）供应商按采购文件、投标（响应）文件的规定，根据分包意向协议，将中标（成交）项目中的部分履约内容，分给具有相应资质条件的供应商履行合同的行为。</w:t>
      </w:r>
    </w:p>
    <w:p w14:paraId="1F7796B6">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政府采购合同专用条款】。</w:t>
      </w:r>
    </w:p>
    <w:p w14:paraId="46ED67E9">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（7）其他术语解释，见【政府采购合同专用条款】。</w:t>
      </w:r>
    </w:p>
    <w:p w14:paraId="00738258">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2. 合同标的及金额</w:t>
      </w:r>
    </w:p>
    <w:p w14:paraId="3844CAAE">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2.1 合同标的及金额应与中标（成交）结果一致。乙方为履行本合同而发生的所有费用均应包含在合同价款中，甲方不再另行支付其他任何费用。</w:t>
      </w:r>
    </w:p>
    <w:p w14:paraId="5DB32E54">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3. 履行合同的时间、地点和方式</w:t>
      </w:r>
    </w:p>
    <w:p w14:paraId="54D40B67">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3.1 乙方应当在约定的时间、地点，按照约定方式履行合同。</w:t>
      </w:r>
    </w:p>
    <w:p w14:paraId="77B7C943">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4. 甲方的权利和义务</w:t>
      </w:r>
    </w:p>
    <w:p w14:paraId="1230E3B7">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4.1 签署合同后，甲方应确定项目负责人（或项目联系人），负责与本合同有关的事务。甲方有权对乙方的履约行为进行检查，并及时确认乙方提交的事项。甲方应当配合乙方完成相关项目实施工作。</w:t>
      </w:r>
    </w:p>
    <w:p w14:paraId="2AA47813">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4.2 甲方有权要求乙方按时提交各阶段有关安排计划，并有权定期核对乙方提供货物数量、规格、质量等内容。甲方有权督促乙方工作并要求乙方更换不符合要求的货物。</w:t>
      </w:r>
    </w:p>
    <w:p w14:paraId="279B83BB">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4.3 甲方有权要求乙方对缺陷部分予以修复，并按合同约定享有货物保修及其他合同约定的权利。</w:t>
      </w:r>
    </w:p>
    <w:p w14:paraId="49DBA459">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4.4 甲方应当按照合同约定及时对交付的货物进行验收，未在【政府采购合同专用条款】约定的期限内对乙方履约提出任何异议或者向乙方作出任何说明的，视为验收通过。</w:t>
      </w:r>
    </w:p>
    <w:p w14:paraId="5C8C52F1">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4.5 甲方应当根据合同约定及时向乙方支付合同价款，不得以内部人员变更、履行内部付款流程等为由，拒绝或迟延支付。</w:t>
      </w:r>
    </w:p>
    <w:p w14:paraId="294FF882">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4.6 国家法律法规规定及【政府采购合同专用条款】约定应由甲方承担的其他义务和责任。</w:t>
      </w:r>
    </w:p>
    <w:p w14:paraId="290BB958">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5. 乙方的权利和义务</w:t>
      </w:r>
    </w:p>
    <w:p w14:paraId="170813D3">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5.1 签署合同后，乙方应确定项目负责人（或项目联系人），负责与本合同有关的事务。</w:t>
      </w:r>
    </w:p>
    <w:p w14:paraId="295A7843">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4676194A">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5.3乙方有权根据合同约定向甲方收取合同价款。</w:t>
      </w:r>
    </w:p>
    <w:p w14:paraId="312096D2">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5.4国家法律法规规定及【政府采购合同专用条款】约定应由乙方承担的其他义务和责任。</w:t>
      </w:r>
    </w:p>
    <w:p w14:paraId="0206F52E">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6. 合同履行</w:t>
      </w:r>
    </w:p>
    <w:p w14:paraId="4762E9AD">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6.1 甲乙双方应当按照【政府采购合同专用条款】约定顺序履行合同义务；如果没有先后顺序的，应当同时履行。</w:t>
      </w:r>
    </w:p>
    <w:p w14:paraId="38350F22">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6.2 甲乙双方按照合同约定顺序履行合同义务时，应当先履行一方未履行的，后履行一方有权拒绝其履行请求。先履行一方履行不符合约定的，后履行一方有权拒绝其相应的履行请求。</w:t>
      </w:r>
    </w:p>
    <w:p w14:paraId="4F1129D4">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7. 货物包装、运输、保险和交付要求</w:t>
      </w:r>
    </w:p>
    <w:p w14:paraId="290157D6">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7.1 本合同涉及商品包装、快递包装的，除【政府采购合同专用条款】另有约定外，包装应适应远距离运输、防潮、防震、防锈和防野蛮装卸等要求，确保货物安全无损地运抵【政府采购合同专用条款】约定的指定现场。</w:t>
      </w:r>
    </w:p>
    <w:p w14:paraId="1098313C">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7.2 除【政府采购合同专用条款】另有约定外，乙方负责办理将货物运抵本合同规定的交货地点，并装卸、交付至甲方的一切运输事项，相关费用应包含在合同价款中。</w:t>
      </w:r>
    </w:p>
    <w:p w14:paraId="302FC2C2">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7.3 货物保险要求按【政府采购合同专用条款】规定执行。</w:t>
      </w:r>
    </w:p>
    <w:p w14:paraId="46BFBCED">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640AB537">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7.5 乙方在运输到达之前应提前通知甲方，并提示货物运输装卸的注意事项，甲方配合乙方做好货物的接收工作。</w:t>
      </w:r>
    </w:p>
    <w:p w14:paraId="2618A983">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7.6 如因包装、运输问题导致货物损毁、丢失或者品质下降，甲方有权要求降价、换货、拒收部分或整批货物，由此产生的费用和损失，均由乙方承担。</w:t>
      </w:r>
    </w:p>
    <w:p w14:paraId="54B6F6FD">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8. 质量标准和保证</w:t>
      </w:r>
    </w:p>
    <w:p w14:paraId="380E0106">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8.1 质量标准</w:t>
      </w:r>
    </w:p>
    <w:p w14:paraId="6001F49A">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28C3BC85">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（2）采用中华人民共和国法定计量单位。</w:t>
      </w:r>
    </w:p>
    <w:p w14:paraId="7037BCF6">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（3）乙方所提供的货物应符合国家有关安全、环保、卫生的规定。</w:t>
      </w:r>
    </w:p>
    <w:p w14:paraId="140B3EDA">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（4）乙方应向甲方提交所提供货物的技术文件，包括相应的中文技术文件，如：产品目录、图纸、操作手册、使用说明、维护手册或服务指南等。上述文件应包装好随货物一同发运。</w:t>
      </w:r>
    </w:p>
    <w:p w14:paraId="5D1F9740">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8.2 保证</w:t>
      </w:r>
    </w:p>
    <w:p w14:paraId="2C9EF880">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14:paraId="75C9B568">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（2）在质量保证期内所发现的缺陷，甲方应尽快以书面形式通知乙方。</w:t>
      </w:r>
    </w:p>
    <w:p w14:paraId="25784CC1">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（3）乙方收到通知后，应在【政府采购合同专用条款】规定的响应时间内以合理的速度免费维修或更换有缺陷的货物或部件。</w:t>
      </w:r>
    </w:p>
    <w:p w14:paraId="21AACDE8">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（4）在质量保证期内，如果货物的质量或规格与合同不符，或证实货物是有缺陷的，包括潜在的缺陷或使用不符合要求的材料等，甲方可以根据本合同第15.1条规定以书面形式追究乙方的违约责任。</w:t>
      </w:r>
    </w:p>
    <w:p w14:paraId="669191CE">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（5）乙方在约定的时间内未能弥补缺陷，甲方可采取必要的补救措施，但其风险和费用将由乙方承担，甲方根据合同约定对乙方行使的其他权利不受影响。</w:t>
      </w:r>
    </w:p>
    <w:p w14:paraId="15B255E7">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9. 权利瑕疵担保</w:t>
      </w:r>
    </w:p>
    <w:p w14:paraId="337A57B3">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9.1 乙方保证对其出售的货物享有合法的权利。</w:t>
      </w:r>
    </w:p>
    <w:p w14:paraId="62A39A71">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9.2 乙方保证在交付的货物上不存在抵押权等担保物权。</w:t>
      </w:r>
    </w:p>
    <w:p w14:paraId="40022D6C">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9.3 如甲方使用上述货物构成对第三人侵权的，则由乙方承担全部责任。</w:t>
      </w:r>
    </w:p>
    <w:p w14:paraId="44D0F93F">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10. 知识产权保护</w:t>
      </w:r>
    </w:p>
    <w:p w14:paraId="3DDD7487">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14:paraId="1C026F96">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11. 保密义务</w:t>
      </w:r>
    </w:p>
    <w:p w14:paraId="75DF5F92">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政府采购合同专用条款】中约定。</w:t>
      </w:r>
    </w:p>
    <w:p w14:paraId="5E64D02E">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12. 合同价款支付</w:t>
      </w:r>
    </w:p>
    <w:p w14:paraId="372606D3">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12.1 合同价款支付按照国库集中支付制度及财政管理相关规定执行。</w:t>
      </w:r>
    </w:p>
    <w:p w14:paraId="0B34472C">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政府采购合同专用条款】中约定。</w:t>
      </w:r>
    </w:p>
    <w:p w14:paraId="0A891013">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13. 履约保证金</w:t>
      </w:r>
    </w:p>
    <w:p w14:paraId="05202089">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13.1 乙方应当以支票、汇票、本票或者金融机构、担保机构出具的保函等非现金形式提交。</w:t>
      </w:r>
    </w:p>
    <w:p w14:paraId="3FC9273C">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13.2 如果乙方出现【政府采购合同专用条款】约定情形的，履约保证金不予退还；如果乙方未能按合同约定全面履行义务，甲方有权从履约保证金中取得补偿或赔偿，且不影响甲方要求乙方承担合同约定的超过履约保证金的违约责任的权利。</w:t>
      </w:r>
    </w:p>
    <w:p w14:paraId="18E3FC2C">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13.3 甲方在项目通过验收后按照【政府采购合同专用条款】规定的时间内将履约保证金退还乙方；逾期退还的，乙方可要求甲方支付违约金，违约金按照【政府采购合同专用条款】规定支付。</w:t>
      </w:r>
    </w:p>
    <w:p w14:paraId="1C874EDC">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14. 售后服务</w:t>
      </w:r>
    </w:p>
    <w:p w14:paraId="6593E0E0">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14.1 除项目不涉及或采购活动中明确约定无须承担外，乙方还应提供下列服务：</w:t>
      </w:r>
    </w:p>
    <w:p w14:paraId="6EBC8D0F">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（1）货物的现场移动、安装、调试、启动监督及技术支持；</w:t>
      </w:r>
    </w:p>
    <w:p w14:paraId="3CE981F4">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（2）提供货物组装和维修所需的专用工具和辅助材料；</w:t>
      </w:r>
    </w:p>
    <w:p w14:paraId="08C8F36C">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（3）在【政府采购合同专用条款】约定的期限内对所有的货物实施运行监督、维修，但前提条件是该服务并不能免除乙方在质量保证期内所承担的义务；</w:t>
      </w:r>
    </w:p>
    <w:p w14:paraId="39AFA4F0">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（4）在制造商所在地或指定现场就货物的安装、启动、运营、维护、废弃处置等对甲方操作人员进行培训；</w:t>
      </w:r>
    </w:p>
    <w:p w14:paraId="0CC339EC">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（5）依照法律、行政法规的规定或者按照【政府采购合同专用条款】约定，货物在有效使用年限届满后应予回收的，乙方负有自行或者委托第三人对货物予以回收的义务；</w:t>
      </w:r>
    </w:p>
    <w:p w14:paraId="63CB42C6">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（6）【政府采购合同专用条款】规定由乙方提供的其他服务。</w:t>
      </w:r>
    </w:p>
    <w:p w14:paraId="327D77F7">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14.2 乙方提供的售后服务的费用已包含在合同价款中，甲方不再另行支付。</w:t>
      </w:r>
    </w:p>
    <w:p w14:paraId="519C242D">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15. 违约责任</w:t>
      </w:r>
    </w:p>
    <w:p w14:paraId="6DA01A7A">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15.1质量瑕疵的违约责任</w:t>
      </w:r>
    </w:p>
    <w:p w14:paraId="07E7FD27">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乙方提供的产品不符合合同约定的质量标准或存在产品质量缺陷，甲方有权要求乙方根据【政府采购合同专用条款】要求及时修理、重作、更换，并承担由此给甲方造成的损失。</w:t>
      </w:r>
    </w:p>
    <w:p w14:paraId="7557F2C7">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15.2 迟延交货的违约责任</w:t>
      </w:r>
    </w:p>
    <w:p w14:paraId="11AC285C">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07038BE4">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如果乙方没有按照合同规定的时间交货和提供相关服务，甲方有权从货款中扣除误期赔偿费而不影响合同项下的其他补救方法，赔偿费按【政府采购合同专用条款】规定执行。如果涉及公共利益，且赔偿金额无法弥补公共利益损失，甲方可要求继续履行或者采取其他补救措施。</w:t>
      </w:r>
    </w:p>
    <w:p w14:paraId="48835555">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15.3 迟延支付的违约责任</w:t>
      </w:r>
    </w:p>
    <w:p w14:paraId="2C1314C9">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甲方存在迟延支付乙方合同款项的，应当承担【政府采购合同专用条款】规定的逾期付款利息。</w:t>
      </w:r>
    </w:p>
    <w:p w14:paraId="1AE26CB0">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15.4其他违约责任根据项目实际需要按【政府采购合同专用条款】规定执行。</w:t>
      </w:r>
    </w:p>
    <w:p w14:paraId="74D73FCA">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16. 合同变更、中止与终止</w:t>
      </w:r>
    </w:p>
    <w:p w14:paraId="04A61BE7">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16.1合同的变更</w:t>
      </w:r>
    </w:p>
    <w:p w14:paraId="5174D061">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政府采购合同履行中，在不改变合同其他条款的前提下，甲方可以在合同价款10%的范围内追加与合同标的相同的货物，并就此与乙方协商一致后签订补充协议。</w:t>
      </w:r>
    </w:p>
    <w:p w14:paraId="4649117E">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16.2合同的中止</w:t>
      </w:r>
    </w:p>
    <w:p w14:paraId="0F70C0E1">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（1）合同履行过程中因供应商就采购文件、采购过程或结果提起投诉的，甲方认为有必要的，可以中止合同的履行。</w:t>
      </w:r>
    </w:p>
    <w:p w14:paraId="5EFC38DB">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7984BF5D">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（3）乙方分立、合并或者变更住所的，应当及时以书面形式告知甲方。乙方没有及时告知甲方，致使合同履行发生困难的，甲方可以中止合同履行并要求乙方承担由此给甲方造成的损失。</w:t>
      </w:r>
    </w:p>
    <w:p w14:paraId="09C047B0">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（4）甲方不得以行政区划调整、政府换届、机构或者职能调整以及相关责任人更替为由中止合同。</w:t>
      </w:r>
    </w:p>
    <w:p w14:paraId="6EFF01DF">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16.3合同的终止</w:t>
      </w:r>
    </w:p>
    <w:p w14:paraId="13154B1B">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（1）合同因有效期限届满而终止；</w:t>
      </w:r>
    </w:p>
    <w:p w14:paraId="1F02694C">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（2）乙方未按合同约定履行，构成根本性违约的，甲方有权终止合同，并追究乙方的违约责任。</w:t>
      </w:r>
    </w:p>
    <w:p w14:paraId="12841EBF">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16.4 涉及国家利益、社会公共利益的情形</w:t>
      </w:r>
    </w:p>
    <w:p w14:paraId="20022F2B">
      <w:pPr>
        <w:keepNext w:val="0"/>
        <w:keepLines w:val="0"/>
        <w:pageBreakBefore w:val="0"/>
        <w:widowControl w:val="0"/>
        <w:kinsoku/>
        <w:wordWrap/>
        <w:overflowPunct/>
        <w:topLinePunct w:val="0"/>
        <w:autoSpaceDE/>
        <w:autoSpaceDN/>
        <w:bidi w:val="0"/>
        <w:adjustRightInd/>
        <w:snapToGrid/>
        <w:spacing w:line="312" w:lineRule="auto"/>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政府采购合同继续履行将损害国家利益和社会公共利益的，双方当事人应当变更、中止或者终止合同。有过错的一方应当承担赔偿责任，双方都有过错的，各自承担相应的责任。</w:t>
      </w:r>
    </w:p>
    <w:p w14:paraId="4DD53ED4">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17. 合同分包</w:t>
      </w:r>
    </w:p>
    <w:p w14:paraId="3DD316A1">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17.1 乙方不得将合同转包给其他供应商。涉及合同分包的，乙方应根据采购文件和投标（响应）文件规定进行合同分包。</w:t>
      </w:r>
    </w:p>
    <w:p w14:paraId="4A9B3843">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17.2 乙方执行政府采购政策向中小企业依法分包的，乙方应当按采购文件和投标（响应）文件签订分包意向协议，分包意向协议属于本合同组成部分。</w:t>
      </w:r>
    </w:p>
    <w:p w14:paraId="01450977">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18. 不可抗力</w:t>
      </w:r>
    </w:p>
    <w:p w14:paraId="78D6D01A">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18.1 不可抗力是指合同双方不能预见、不能避免且不能克服的客观情况。</w:t>
      </w:r>
    </w:p>
    <w:p w14:paraId="4DCB148D">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18.2 任何一方对由于不可抗力造成的部分或全部不能履行合同不承担违约责任。但迟延履行后发生不可抗力的，不能免除责任。</w:t>
      </w:r>
    </w:p>
    <w:p w14:paraId="105EC728">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180593F2">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19. 解决争议的方法</w:t>
      </w:r>
    </w:p>
    <w:p w14:paraId="794D3BB0">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19.1 因本合同及合同有关事项发生的争议，由甲乙双方友好协商解决。协商不成时，可以向有关组织申请调解。合同一方或双方不愿调解或调解不成的，可以通过仲裁或诉讼的方式解决争议。</w:t>
      </w:r>
    </w:p>
    <w:p w14:paraId="0FF5B26B">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19.2 选择仲裁的，应在【政府采购合同专用条款】中明确仲裁机构及仲裁地；通过诉讼方式解决的，可以在【政府采购合同专用条款】中进一步约定选择与争议有实际联系的地点的人民法院管辖，但管辖法院的约定不得违反级别管辖和专属管辖的规定。</w:t>
      </w:r>
    </w:p>
    <w:p w14:paraId="5A2C593D">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19.3 如甲乙双方有争议的事项不影响合同其他部分的履行，在争议解决期间，合同其他部分应当继续履行。</w:t>
      </w:r>
    </w:p>
    <w:p w14:paraId="22E73F88">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20. 政府采购政策</w:t>
      </w:r>
    </w:p>
    <w:p w14:paraId="607E706B">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20.1 本合同应当按照规定执行政府采购政策。</w:t>
      </w:r>
    </w:p>
    <w:p w14:paraId="7D873E2C">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20.2 本合同依法执行政府采购政策的方式和内容，属于合同履约验收的范围。甲乙双方未按规定要求执行政府采购政策造成损失的，有过错的一方应当承担赔偿责任，双方都有过错的，各自承担相应的责任。</w:t>
      </w:r>
    </w:p>
    <w:p w14:paraId="71E727ED">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33B2FE24">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21. 法律适用</w:t>
      </w:r>
    </w:p>
    <w:p w14:paraId="14939053">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21.1 本合同的订立、生效、解释、履行及与本合同有关的争议解决，均适用法律、行政法规。</w:t>
      </w:r>
    </w:p>
    <w:p w14:paraId="554878C0">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21.2 本合同条款与法律、行政法规的强制性规定不一致的，双方当事人应按照法律、行政法规的强制性规定修改本合同的相关条款。</w:t>
      </w:r>
    </w:p>
    <w:p w14:paraId="142BDB21">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22. 通知</w:t>
      </w:r>
    </w:p>
    <w:p w14:paraId="31D4702C">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22.1 本合同任何一方向对方发出的通知、信件、数据电文等，应当发送至本合同第一部分《政府采购合同协议书》所约定的通讯地址、联系人、联系电话或电子邮箱。</w:t>
      </w:r>
    </w:p>
    <w:p w14:paraId="601B0569">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22.2 一方当事人变更名称、住所、联系人、联系电话或电子邮箱等信息的，应当在变更后3日内及时书面通知对方，对方实际收到变更通知前的送达仍为有效送达。</w:t>
      </w:r>
    </w:p>
    <w:p w14:paraId="3576E0B5">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22.3本合同一方给另一方的通知均应采用书面形式，传真或快递送到本合同中规定的对方的地址和办理签收手续。</w:t>
      </w:r>
    </w:p>
    <w:p w14:paraId="6B422CFD">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22.4通知以送达之日或通知书中规定的生效之日起生效，两者中以较迟之日为准。</w:t>
      </w:r>
    </w:p>
    <w:p w14:paraId="76A18101">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23. 合同未尽事项</w:t>
      </w:r>
    </w:p>
    <w:p w14:paraId="63FA4C57">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23.1合同未尽事项见【政府采购合同专用条款】。</w:t>
      </w:r>
    </w:p>
    <w:p w14:paraId="6EB6723E">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23.2 合同附件与合同正文具有同等的法律效力。</w:t>
      </w:r>
    </w:p>
    <w:p w14:paraId="2DCA2F34">
      <w:pPr>
        <w:spacing w:line="360" w:lineRule="auto"/>
        <w:jc w:val="center"/>
        <w:rPr>
          <w:rFonts w:ascii="宋体" w:hAnsi="宋体"/>
          <w:b/>
          <w:color w:val="000000" w:themeColor="text1"/>
          <w:szCs w:val="21"/>
          <w:highlight w:val="none"/>
          <w14:textFill>
            <w14:solidFill>
              <w14:schemeClr w14:val="tx1"/>
            </w14:solidFill>
          </w14:textFill>
        </w:rPr>
      </w:pPr>
      <w:r>
        <w:rPr>
          <w:color w:val="000000" w:themeColor="text1"/>
          <w:highlight w:val="none"/>
          <w14:textFill>
            <w14:solidFill>
              <w14:schemeClr w14:val="tx1"/>
            </w14:solidFill>
          </w14:textFill>
        </w:rPr>
        <w:br w:type="page"/>
      </w:r>
      <w:r>
        <w:rPr>
          <w:rFonts w:hint="eastAsia" w:ascii="宋体" w:hAnsi="宋体" w:eastAsia="宋体" w:cs="Times New Roman"/>
          <w:b/>
          <w:color w:val="000000" w:themeColor="text1"/>
          <w:sz w:val="28"/>
          <w:szCs w:val="28"/>
          <w:highlight w:val="none"/>
          <w14:textFill>
            <w14:solidFill>
              <w14:schemeClr w14:val="tx1"/>
            </w14:solidFill>
          </w14:textFill>
        </w:rPr>
        <w:t>第三节 政府采购合同合同专用条款</w:t>
      </w:r>
    </w:p>
    <w:tbl>
      <w:tblPr>
        <w:tblStyle w:val="6"/>
        <w:tblW w:w="9207"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8"/>
        <w:gridCol w:w="2220"/>
        <w:gridCol w:w="5379"/>
      </w:tblGrid>
      <w:tr w14:paraId="7B8ACEE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21B8B02D">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2105561B">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第1.2（6）项</w:t>
            </w:r>
          </w:p>
        </w:tc>
        <w:tc>
          <w:tcPr>
            <w:tcW w:w="2220" w:type="dxa"/>
            <w:vAlign w:val="center"/>
          </w:tcPr>
          <w:p w14:paraId="2B31CEB9">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联合体具体要求</w:t>
            </w:r>
          </w:p>
        </w:tc>
        <w:tc>
          <w:tcPr>
            <w:tcW w:w="5379" w:type="dxa"/>
            <w:vAlign w:val="center"/>
          </w:tcPr>
          <w:p w14:paraId="057867F5">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p>
        </w:tc>
      </w:tr>
      <w:tr w14:paraId="791BB5D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608" w:type="dxa"/>
            <w:vAlign w:val="center"/>
          </w:tcPr>
          <w:p w14:paraId="167B94CE">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7F32AB67">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第1.2（7）项</w:t>
            </w:r>
          </w:p>
        </w:tc>
        <w:tc>
          <w:tcPr>
            <w:tcW w:w="2220" w:type="dxa"/>
            <w:vAlign w:val="center"/>
          </w:tcPr>
          <w:p w14:paraId="4157F6EF">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其他术语解释</w:t>
            </w:r>
          </w:p>
        </w:tc>
        <w:tc>
          <w:tcPr>
            <w:tcW w:w="5379" w:type="dxa"/>
            <w:vAlign w:val="center"/>
          </w:tcPr>
          <w:p w14:paraId="549CCFB2">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p>
        </w:tc>
      </w:tr>
      <w:tr w14:paraId="752AD17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27EC49F0">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49E6F9D9">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第4.4款</w:t>
            </w:r>
          </w:p>
        </w:tc>
        <w:tc>
          <w:tcPr>
            <w:tcW w:w="2220" w:type="dxa"/>
            <w:vAlign w:val="center"/>
          </w:tcPr>
          <w:p w14:paraId="702570E3">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履约验收中甲方提出异议或作出说明的期限</w:t>
            </w:r>
          </w:p>
        </w:tc>
        <w:tc>
          <w:tcPr>
            <w:tcW w:w="5379" w:type="dxa"/>
            <w:vAlign w:val="center"/>
          </w:tcPr>
          <w:p w14:paraId="5A8E2022">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验收后</w:t>
            </w:r>
            <w:r>
              <w:rPr>
                <w:rFonts w:hint="eastAsia" w:ascii="宋体" w:hAnsi="宋体" w:cs="宋体"/>
                <w:color w:val="000000" w:themeColor="text1"/>
                <w:sz w:val="20"/>
                <w:szCs w:val="20"/>
                <w:highlight w:val="none"/>
                <w:lang w:val="en-US" w:eastAsia="zh-CN"/>
                <w14:textFill>
                  <w14:solidFill>
                    <w14:schemeClr w14:val="tx1"/>
                  </w14:solidFill>
                </w14:textFill>
              </w:rPr>
              <w:t>7</w:t>
            </w:r>
            <w:r>
              <w:rPr>
                <w:rFonts w:hint="eastAsia" w:ascii="宋体" w:hAnsi="宋体" w:eastAsia="宋体" w:cs="宋体"/>
                <w:color w:val="000000" w:themeColor="text1"/>
                <w:sz w:val="20"/>
                <w:szCs w:val="20"/>
                <w:highlight w:val="none"/>
                <w14:textFill>
                  <w14:solidFill>
                    <w14:schemeClr w14:val="tx1"/>
                  </w14:solidFill>
                </w14:textFill>
              </w:rPr>
              <w:t>日内</w:t>
            </w:r>
          </w:p>
        </w:tc>
      </w:tr>
      <w:tr w14:paraId="5051BB8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66F7C32F">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4C3166E9">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第4.6款</w:t>
            </w:r>
          </w:p>
        </w:tc>
        <w:tc>
          <w:tcPr>
            <w:tcW w:w="2220" w:type="dxa"/>
            <w:vAlign w:val="center"/>
          </w:tcPr>
          <w:p w14:paraId="3FAE0C89">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约定甲方承担的其他义务和责任</w:t>
            </w:r>
          </w:p>
        </w:tc>
        <w:tc>
          <w:tcPr>
            <w:tcW w:w="5379" w:type="dxa"/>
            <w:vAlign w:val="center"/>
          </w:tcPr>
          <w:p w14:paraId="7F6A2370">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p>
        </w:tc>
      </w:tr>
      <w:tr w14:paraId="2296572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61F8B6AB">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02CF2DD5">
            <w:pPr>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第5.4款</w:t>
            </w:r>
          </w:p>
        </w:tc>
        <w:tc>
          <w:tcPr>
            <w:tcW w:w="2220" w:type="dxa"/>
            <w:vAlign w:val="center"/>
          </w:tcPr>
          <w:p w14:paraId="03CB0069">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约定乙方承担的其他义务和责任</w:t>
            </w:r>
          </w:p>
        </w:tc>
        <w:tc>
          <w:tcPr>
            <w:tcW w:w="5379" w:type="dxa"/>
            <w:vAlign w:val="center"/>
          </w:tcPr>
          <w:p w14:paraId="1C2A373F">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p>
        </w:tc>
      </w:tr>
      <w:tr w14:paraId="177CC02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3AF32941">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2EDF136B">
            <w:pPr>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第6.1款</w:t>
            </w:r>
          </w:p>
        </w:tc>
        <w:tc>
          <w:tcPr>
            <w:tcW w:w="2220" w:type="dxa"/>
            <w:vAlign w:val="center"/>
          </w:tcPr>
          <w:p w14:paraId="2A927B49">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履行合同义务的顺序</w:t>
            </w:r>
          </w:p>
        </w:tc>
        <w:tc>
          <w:tcPr>
            <w:tcW w:w="5379" w:type="dxa"/>
            <w:vAlign w:val="center"/>
          </w:tcPr>
          <w:p w14:paraId="5DF5C482">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p>
        </w:tc>
      </w:tr>
      <w:tr w14:paraId="1FED64C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1608" w:type="dxa"/>
            <w:vMerge w:val="restart"/>
            <w:vAlign w:val="center"/>
          </w:tcPr>
          <w:p w14:paraId="5A3D4E9B">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766C3EF2">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第7.1款</w:t>
            </w:r>
          </w:p>
        </w:tc>
        <w:tc>
          <w:tcPr>
            <w:tcW w:w="2220" w:type="dxa"/>
            <w:vAlign w:val="center"/>
          </w:tcPr>
          <w:p w14:paraId="759C4F65">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包装特殊要求</w:t>
            </w:r>
          </w:p>
        </w:tc>
        <w:tc>
          <w:tcPr>
            <w:tcW w:w="5379" w:type="dxa"/>
            <w:vAlign w:val="center"/>
          </w:tcPr>
          <w:p w14:paraId="654E1C4B">
            <w:pPr>
              <w:rPr>
                <w:rFonts w:hint="eastAsia" w:ascii="宋体" w:hAnsi="宋体" w:eastAsia="宋体" w:cs="宋体"/>
                <w:color w:val="000000" w:themeColor="text1"/>
                <w:sz w:val="20"/>
                <w:szCs w:val="20"/>
                <w:highlight w:val="none"/>
                <w:lang w:val="en-US" w:eastAsia="zh-CN"/>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 xml:space="preserve"> </w:t>
            </w:r>
          </w:p>
        </w:tc>
      </w:tr>
      <w:tr w14:paraId="2566F25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1608" w:type="dxa"/>
            <w:vMerge w:val="continue"/>
            <w:vAlign w:val="center"/>
          </w:tcPr>
          <w:p w14:paraId="25D97D4E">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p>
        </w:tc>
        <w:tc>
          <w:tcPr>
            <w:tcW w:w="2220" w:type="dxa"/>
            <w:vAlign w:val="center"/>
          </w:tcPr>
          <w:p w14:paraId="76C443BE">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指定现场</w:t>
            </w:r>
          </w:p>
        </w:tc>
        <w:tc>
          <w:tcPr>
            <w:tcW w:w="5379" w:type="dxa"/>
            <w:vAlign w:val="center"/>
          </w:tcPr>
          <w:p w14:paraId="5BE11A8A">
            <w:pP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采购人指定地点</w:t>
            </w:r>
          </w:p>
        </w:tc>
      </w:tr>
      <w:tr w14:paraId="6909519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jc w:val="center"/>
        </w:trPr>
        <w:tc>
          <w:tcPr>
            <w:tcW w:w="1608" w:type="dxa"/>
            <w:vAlign w:val="center"/>
          </w:tcPr>
          <w:p w14:paraId="49AE9248">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2AACAF93">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第7.2款</w:t>
            </w:r>
          </w:p>
        </w:tc>
        <w:tc>
          <w:tcPr>
            <w:tcW w:w="2220" w:type="dxa"/>
            <w:vAlign w:val="center"/>
          </w:tcPr>
          <w:p w14:paraId="484BD07E">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运输特殊要求</w:t>
            </w:r>
          </w:p>
        </w:tc>
        <w:tc>
          <w:tcPr>
            <w:tcW w:w="5379" w:type="dxa"/>
            <w:vAlign w:val="center"/>
          </w:tcPr>
          <w:p w14:paraId="5EB27F3D">
            <w:pPr>
              <w:tabs>
                <w:tab w:val="left" w:pos="312"/>
              </w:tabs>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1.乙方负责所有产品的运输，确保采购产品安全、完整到达甲方指定地点。运杂费用包含在合同总价内，包括从产品供应地点所含的运输费、装卸费、仓储费、保险费等。</w:t>
            </w:r>
          </w:p>
          <w:p w14:paraId="53AE94CC">
            <w:pPr>
              <w:tabs>
                <w:tab w:val="left" w:pos="312"/>
              </w:tabs>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2.运输方式由乙方自行选择，但必须保证按期交货所欲采购货物在运输、搬运的过程中，造成甲方损失的，由乙方为甲方免费更换。</w:t>
            </w:r>
          </w:p>
        </w:tc>
      </w:tr>
      <w:tr w14:paraId="666EDC0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1608" w:type="dxa"/>
            <w:vAlign w:val="center"/>
          </w:tcPr>
          <w:p w14:paraId="51291252">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4F88C8DE">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第7.3款</w:t>
            </w:r>
          </w:p>
        </w:tc>
        <w:tc>
          <w:tcPr>
            <w:tcW w:w="2220" w:type="dxa"/>
            <w:vAlign w:val="center"/>
          </w:tcPr>
          <w:p w14:paraId="49FB82F1">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保险要求</w:t>
            </w:r>
          </w:p>
        </w:tc>
        <w:tc>
          <w:tcPr>
            <w:tcW w:w="5379" w:type="dxa"/>
            <w:vAlign w:val="center"/>
          </w:tcPr>
          <w:p w14:paraId="1E0C933B">
            <w:pPr>
              <w:tabs>
                <w:tab w:val="left" w:pos="312"/>
              </w:tabs>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有关运输和保险的一切费用由乙方承担</w:t>
            </w:r>
          </w:p>
        </w:tc>
      </w:tr>
      <w:tr w14:paraId="00A13BA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329E54D1">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48466F07">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第8.2（1）项</w:t>
            </w:r>
          </w:p>
        </w:tc>
        <w:tc>
          <w:tcPr>
            <w:tcW w:w="2220" w:type="dxa"/>
            <w:vAlign w:val="center"/>
          </w:tcPr>
          <w:p w14:paraId="2B12A4ED">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质量保证期</w:t>
            </w:r>
          </w:p>
        </w:tc>
        <w:tc>
          <w:tcPr>
            <w:tcW w:w="5379" w:type="dxa"/>
            <w:vAlign w:val="center"/>
          </w:tcPr>
          <w:p w14:paraId="1D0478CB">
            <w:pPr>
              <w:tabs>
                <w:tab w:val="left" w:pos="312"/>
              </w:tabs>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1.乙方须提供全新的、未使用过的合格正品货物（含零部件、配件等），完全符合合同规定的质量、规格和性能的要求。</w:t>
            </w:r>
          </w:p>
          <w:p w14:paraId="4C7C0F93">
            <w:pPr>
              <w:tabs>
                <w:tab w:val="left" w:pos="312"/>
              </w:tabs>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2.乙方提供的节能和环保产品必须是列入节能、环保标志产品品目清单中的产品。</w:t>
            </w:r>
          </w:p>
          <w:p w14:paraId="6C5DA064">
            <w:pPr>
              <w:tabs>
                <w:tab w:val="left" w:pos="312"/>
              </w:tabs>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3.质量标准按照最新颁布的国家标准、行业标准或制造商企业标准确定，上述标准不一致的，以严格标准为准。</w:t>
            </w:r>
          </w:p>
          <w:p w14:paraId="67EA8C0F">
            <w:pPr>
              <w:tabs>
                <w:tab w:val="left" w:pos="312"/>
              </w:tabs>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4.乙方所提供货物还应符合国家和陕西省有关安全、环保、节能之规定，“3C”认证的货物（产品）应加贴“3C”认证标志。</w:t>
            </w:r>
          </w:p>
          <w:p w14:paraId="3252CA70">
            <w:pPr>
              <w:tabs>
                <w:tab w:val="left" w:pos="312"/>
              </w:tabs>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5.货物制造质量出现问题，乙方应负责三包（包修、包换、包退），费用由乙方负担，甲方有权到乙方生产场地检查货物质量和生产进度。</w:t>
            </w:r>
          </w:p>
          <w:p w14:paraId="15F3E6FF">
            <w:pPr>
              <w:autoSpaceDE w:val="0"/>
              <w:autoSpaceDN w:val="0"/>
              <w:adjustRightInd w:val="0"/>
              <w:snapToGrid w:val="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6.产品质量保证期和售后服务期：从验收合格之日</w:t>
            </w:r>
            <w:r>
              <w:rPr>
                <w:rFonts w:hint="eastAsia" w:ascii="宋体" w:hAnsi="宋体" w:eastAsia="宋体" w:cs="宋体"/>
                <w:color w:val="000000" w:themeColor="text1"/>
                <w:sz w:val="20"/>
                <w:szCs w:val="20"/>
                <w:highlight w:val="none"/>
                <w:u w:val="single"/>
                <w14:textFill>
                  <w14:solidFill>
                    <w14:schemeClr w14:val="tx1"/>
                  </w14:solidFill>
                </w14:textFill>
              </w:rPr>
              <w:t xml:space="preserve">  </w:t>
            </w:r>
            <w:r>
              <w:rPr>
                <w:rFonts w:hint="eastAsia" w:ascii="宋体" w:hAnsi="宋体" w:eastAsia="宋体" w:cs="宋体"/>
                <w:color w:val="000000" w:themeColor="text1"/>
                <w:sz w:val="20"/>
                <w:szCs w:val="20"/>
                <w:highlight w:val="none"/>
                <w14:textFill>
                  <w14:solidFill>
                    <w14:schemeClr w14:val="tx1"/>
                  </w14:solidFill>
                </w14:textFill>
              </w:rPr>
              <w:t>个月。</w:t>
            </w:r>
          </w:p>
        </w:tc>
      </w:tr>
      <w:tr w14:paraId="3286DFA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6CAD4312">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3EC7B7CB">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第8.2（3）项</w:t>
            </w:r>
          </w:p>
        </w:tc>
        <w:tc>
          <w:tcPr>
            <w:tcW w:w="2220" w:type="dxa"/>
            <w:vAlign w:val="center"/>
          </w:tcPr>
          <w:p w14:paraId="61E2F2EF">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货物质量缺陷</w:t>
            </w:r>
          </w:p>
          <w:p w14:paraId="09E3F23F">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响应时间</w:t>
            </w:r>
          </w:p>
        </w:tc>
        <w:tc>
          <w:tcPr>
            <w:tcW w:w="5379" w:type="dxa"/>
            <w:vAlign w:val="center"/>
          </w:tcPr>
          <w:p w14:paraId="4427615B">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发现质量缺陷24小时内做出响应并提供解决方案</w:t>
            </w:r>
          </w:p>
        </w:tc>
      </w:tr>
      <w:tr w14:paraId="68FD1BD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67859A7A">
            <w:pPr>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1E4335E5">
            <w:pPr>
              <w:pStyle w:val="9"/>
              <w:ind w:firstLine="0" w:firstLineChars="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第11.1款</w:t>
            </w:r>
          </w:p>
        </w:tc>
        <w:tc>
          <w:tcPr>
            <w:tcW w:w="2220" w:type="dxa"/>
            <w:vAlign w:val="center"/>
          </w:tcPr>
          <w:p w14:paraId="5E69556E">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其他应当保密的信息</w:t>
            </w:r>
          </w:p>
        </w:tc>
        <w:tc>
          <w:tcPr>
            <w:tcW w:w="5379" w:type="dxa"/>
            <w:vAlign w:val="center"/>
          </w:tcPr>
          <w:p w14:paraId="40CDA73D">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p>
        </w:tc>
      </w:tr>
      <w:tr w14:paraId="1E3A65C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jc w:val="center"/>
        </w:trPr>
        <w:tc>
          <w:tcPr>
            <w:tcW w:w="1608" w:type="dxa"/>
            <w:vAlign w:val="center"/>
          </w:tcPr>
          <w:p w14:paraId="3EDC71DC">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4679162C">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第12.2款</w:t>
            </w:r>
          </w:p>
        </w:tc>
        <w:tc>
          <w:tcPr>
            <w:tcW w:w="2220" w:type="dxa"/>
            <w:vAlign w:val="center"/>
          </w:tcPr>
          <w:p w14:paraId="0BEF8DBF">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合同价款支付时间</w:t>
            </w:r>
          </w:p>
        </w:tc>
        <w:tc>
          <w:tcPr>
            <w:tcW w:w="5379" w:type="dxa"/>
            <w:vAlign w:val="center"/>
          </w:tcPr>
          <w:p w14:paraId="7B7E7254">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（1）合同签订生效后，所有货物（产品）供货完成，经验收合格，达到付款条件起</w:t>
            </w:r>
            <w:r>
              <w:rPr>
                <w:rFonts w:hint="eastAsia" w:ascii="宋体" w:hAnsi="宋体" w:eastAsia="宋体" w:cs="宋体"/>
                <w:color w:val="000000" w:themeColor="text1"/>
                <w:sz w:val="20"/>
                <w:szCs w:val="20"/>
                <w:highlight w:val="none"/>
                <w:lang w:val="en-US" w:eastAsia="zh-CN"/>
                <w14:textFill>
                  <w14:solidFill>
                    <w14:schemeClr w14:val="tx1"/>
                  </w14:solidFill>
                </w14:textFill>
              </w:rPr>
              <w:t>3</w:t>
            </w:r>
            <w:r>
              <w:rPr>
                <w:rFonts w:hint="eastAsia" w:ascii="宋体" w:hAnsi="宋体" w:eastAsia="宋体" w:cs="宋体"/>
                <w:color w:val="000000" w:themeColor="text1"/>
                <w:sz w:val="20"/>
                <w:szCs w:val="20"/>
                <w:highlight w:val="none"/>
                <w14:textFill>
                  <w14:solidFill>
                    <w14:schemeClr w14:val="tx1"/>
                  </w14:solidFill>
                </w14:textFill>
              </w:rPr>
              <w:t>0日</w:t>
            </w:r>
            <w:r>
              <w:rPr>
                <w:rFonts w:hint="eastAsia" w:ascii="宋体" w:hAnsi="宋体" w:eastAsia="宋体" w:cs="宋体"/>
                <w:color w:val="000000" w:themeColor="text1"/>
                <w:sz w:val="20"/>
                <w:szCs w:val="20"/>
                <w:highlight w:val="none"/>
                <w14:textFill>
                  <w14:solidFill>
                    <w14:schemeClr w14:val="tx1"/>
                  </w14:solidFill>
                </w14:textFill>
              </w:rPr>
              <w:t>内甲方一次性支付所有合同款项.</w:t>
            </w:r>
          </w:p>
          <w:p w14:paraId="0455B8D7">
            <w:pPr>
              <w:pStyle w:val="3"/>
              <w:rPr>
                <w:rFonts w:hint="eastAsia" w:ascii="宋体" w:hAnsi="宋体" w:eastAsia="宋体" w:cs="宋体"/>
                <w:b/>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（2）付款前乙方应开具与付款金额一致的正式发票给甲方，甲方收到发票后以转账形式支付乙方费用，否则，甲方有权拒绝付款且不承担任何违约责任，且乙方不得以此为由停止履行本合同项下的任意义务；</w:t>
            </w:r>
          </w:p>
        </w:tc>
      </w:tr>
      <w:tr w14:paraId="6C58E01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9" w:hRule="atLeast"/>
          <w:jc w:val="center"/>
        </w:trPr>
        <w:tc>
          <w:tcPr>
            <w:tcW w:w="1608" w:type="dxa"/>
            <w:vAlign w:val="center"/>
          </w:tcPr>
          <w:p w14:paraId="1AD3928A">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7E8D3788">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第13.2款</w:t>
            </w:r>
          </w:p>
        </w:tc>
        <w:tc>
          <w:tcPr>
            <w:tcW w:w="2220" w:type="dxa"/>
            <w:vAlign w:val="center"/>
          </w:tcPr>
          <w:p w14:paraId="36C1AAB9">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履约保证金不予退还的情形</w:t>
            </w:r>
          </w:p>
        </w:tc>
        <w:tc>
          <w:tcPr>
            <w:tcW w:w="5379" w:type="dxa"/>
            <w:vAlign w:val="center"/>
          </w:tcPr>
          <w:p w14:paraId="71F11EE7">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w:t>
            </w:r>
          </w:p>
        </w:tc>
      </w:tr>
      <w:tr w14:paraId="00CD578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095B594C">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3B8B47FC">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第13.3款</w:t>
            </w:r>
          </w:p>
        </w:tc>
        <w:tc>
          <w:tcPr>
            <w:tcW w:w="2220" w:type="dxa"/>
            <w:vAlign w:val="center"/>
          </w:tcPr>
          <w:p w14:paraId="2F3790EB">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履约保证金退还时间及逾期退还的违约金</w:t>
            </w:r>
          </w:p>
        </w:tc>
        <w:tc>
          <w:tcPr>
            <w:tcW w:w="5379" w:type="dxa"/>
            <w:vAlign w:val="center"/>
          </w:tcPr>
          <w:p w14:paraId="5E553547">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w:t>
            </w:r>
          </w:p>
        </w:tc>
      </w:tr>
      <w:tr w14:paraId="65AF513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608" w:type="dxa"/>
            <w:vAlign w:val="center"/>
          </w:tcPr>
          <w:p w14:paraId="4DDAB841">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0C0E858D">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第14.1（3）项</w:t>
            </w:r>
          </w:p>
        </w:tc>
        <w:tc>
          <w:tcPr>
            <w:tcW w:w="2220" w:type="dxa"/>
            <w:vAlign w:val="center"/>
          </w:tcPr>
          <w:p w14:paraId="21B0F998">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运行监督、维修期限</w:t>
            </w:r>
          </w:p>
        </w:tc>
        <w:tc>
          <w:tcPr>
            <w:tcW w:w="5379" w:type="dxa"/>
            <w:vAlign w:val="center"/>
          </w:tcPr>
          <w:p w14:paraId="23142578">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p>
        </w:tc>
      </w:tr>
      <w:tr w14:paraId="77AD679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54" w:hRule="atLeast"/>
          <w:jc w:val="center"/>
        </w:trPr>
        <w:tc>
          <w:tcPr>
            <w:tcW w:w="1608" w:type="dxa"/>
            <w:vAlign w:val="center"/>
          </w:tcPr>
          <w:p w14:paraId="60E151FE">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0467CB50">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第14.1（5）项</w:t>
            </w:r>
          </w:p>
        </w:tc>
        <w:tc>
          <w:tcPr>
            <w:tcW w:w="2220" w:type="dxa"/>
            <w:vAlign w:val="center"/>
          </w:tcPr>
          <w:p w14:paraId="49999500">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货物回收的约定</w:t>
            </w:r>
          </w:p>
        </w:tc>
        <w:tc>
          <w:tcPr>
            <w:tcW w:w="5379" w:type="dxa"/>
            <w:vAlign w:val="center"/>
          </w:tcPr>
          <w:p w14:paraId="6438199F">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发现质量缺陷对应货物回收并重新发货</w:t>
            </w:r>
          </w:p>
        </w:tc>
      </w:tr>
      <w:tr w14:paraId="67BEBD0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0" w:hRule="atLeast"/>
          <w:jc w:val="center"/>
        </w:trPr>
        <w:tc>
          <w:tcPr>
            <w:tcW w:w="1608" w:type="dxa"/>
            <w:vAlign w:val="center"/>
          </w:tcPr>
          <w:p w14:paraId="5841830C">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39AC62BC">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第14.1（6）项</w:t>
            </w:r>
          </w:p>
        </w:tc>
        <w:tc>
          <w:tcPr>
            <w:tcW w:w="2220" w:type="dxa"/>
            <w:vAlign w:val="center"/>
          </w:tcPr>
          <w:p w14:paraId="22B0E9F1">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乙方提供的其他服务</w:t>
            </w:r>
          </w:p>
        </w:tc>
        <w:tc>
          <w:tcPr>
            <w:tcW w:w="5379" w:type="dxa"/>
            <w:vAlign w:val="center"/>
          </w:tcPr>
          <w:p w14:paraId="7C5708AA">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p>
        </w:tc>
      </w:tr>
      <w:tr w14:paraId="3F254E6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59" w:hRule="atLeast"/>
          <w:jc w:val="center"/>
        </w:trPr>
        <w:tc>
          <w:tcPr>
            <w:tcW w:w="1608" w:type="dxa"/>
            <w:vAlign w:val="center"/>
          </w:tcPr>
          <w:p w14:paraId="78E0D09D">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7E95D113">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第15.1款</w:t>
            </w:r>
          </w:p>
        </w:tc>
        <w:tc>
          <w:tcPr>
            <w:tcW w:w="2220" w:type="dxa"/>
            <w:vAlign w:val="center"/>
          </w:tcPr>
          <w:p w14:paraId="5CB15F34">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修理、重作、更换相关具体规定</w:t>
            </w:r>
          </w:p>
        </w:tc>
        <w:tc>
          <w:tcPr>
            <w:tcW w:w="5379" w:type="dxa"/>
            <w:vAlign w:val="center"/>
          </w:tcPr>
          <w:p w14:paraId="564A5E1A">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p>
        </w:tc>
      </w:tr>
      <w:tr w14:paraId="6204793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07BCDE8B">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6492C737">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第15.2（2）项</w:t>
            </w:r>
          </w:p>
        </w:tc>
        <w:tc>
          <w:tcPr>
            <w:tcW w:w="2220" w:type="dxa"/>
            <w:vAlign w:val="center"/>
          </w:tcPr>
          <w:p w14:paraId="175FDED1">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迟延交货赔偿费</w:t>
            </w:r>
          </w:p>
        </w:tc>
        <w:tc>
          <w:tcPr>
            <w:tcW w:w="5379" w:type="dxa"/>
            <w:vAlign w:val="center"/>
          </w:tcPr>
          <w:p w14:paraId="53622C3F">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乙方逾期交货的，每逾期一日按合同价款的</w:t>
            </w:r>
            <w:r>
              <w:rPr>
                <w:rFonts w:hint="eastAsia" w:ascii="宋体" w:hAnsi="宋体" w:eastAsia="宋体" w:cs="宋体"/>
                <w:color w:val="000000" w:themeColor="text1"/>
                <w:sz w:val="20"/>
                <w:szCs w:val="20"/>
                <w:highlight w:val="none"/>
                <w:u w:val="single"/>
                <w14:textFill>
                  <w14:solidFill>
                    <w14:schemeClr w14:val="tx1"/>
                  </w14:solidFill>
                </w14:textFill>
              </w:rPr>
              <w:t xml:space="preserve"> 3 </w:t>
            </w:r>
            <w:r>
              <w:rPr>
                <w:rFonts w:hint="eastAsia" w:ascii="宋体" w:hAnsi="宋体" w:eastAsia="宋体" w:cs="宋体"/>
                <w:color w:val="000000" w:themeColor="text1"/>
                <w:sz w:val="20"/>
                <w:szCs w:val="20"/>
                <w:highlight w:val="none"/>
                <w14:textFill>
                  <w14:solidFill>
                    <w14:schemeClr w14:val="tx1"/>
                  </w14:solidFill>
                </w14:textFill>
              </w:rPr>
              <w:t>‰向甲方支付违约金。逾期达</w:t>
            </w:r>
            <w:r>
              <w:rPr>
                <w:rFonts w:hint="eastAsia" w:ascii="宋体" w:hAnsi="宋体" w:eastAsia="宋体" w:cs="宋体"/>
                <w:color w:val="000000" w:themeColor="text1"/>
                <w:sz w:val="20"/>
                <w:szCs w:val="20"/>
                <w:highlight w:val="none"/>
                <w:u w:val="single"/>
                <w14:textFill>
                  <w14:solidFill>
                    <w14:schemeClr w14:val="tx1"/>
                  </w14:solidFill>
                </w14:textFill>
              </w:rPr>
              <w:t xml:space="preserve"> 5 </w:t>
            </w:r>
            <w:r>
              <w:rPr>
                <w:rFonts w:hint="eastAsia" w:ascii="宋体" w:hAnsi="宋体" w:eastAsia="宋体" w:cs="宋体"/>
                <w:color w:val="000000" w:themeColor="text1"/>
                <w:sz w:val="20"/>
                <w:szCs w:val="20"/>
                <w:highlight w:val="none"/>
                <w14:textFill>
                  <w14:solidFill>
                    <w14:schemeClr w14:val="tx1"/>
                  </w14:solidFill>
                </w14:textFill>
              </w:rPr>
              <w:t>日，甲方有权解除合同，乙方应按合同的价款的</w:t>
            </w:r>
            <w:r>
              <w:rPr>
                <w:rFonts w:hint="eastAsia" w:ascii="宋体" w:hAnsi="宋体" w:eastAsia="宋体" w:cs="宋体"/>
                <w:color w:val="000000" w:themeColor="text1"/>
                <w:sz w:val="20"/>
                <w:szCs w:val="20"/>
                <w:highlight w:val="none"/>
                <w:u w:val="single"/>
                <w14:textFill>
                  <w14:solidFill>
                    <w14:schemeClr w14:val="tx1"/>
                  </w14:solidFill>
                </w14:textFill>
              </w:rPr>
              <w:t xml:space="preserve"> 10 </w:t>
            </w:r>
            <w:r>
              <w:rPr>
                <w:rFonts w:hint="eastAsia" w:ascii="宋体" w:hAnsi="宋体" w:eastAsia="宋体" w:cs="宋体"/>
                <w:color w:val="000000" w:themeColor="text1"/>
                <w:sz w:val="20"/>
                <w:szCs w:val="20"/>
                <w:highlight w:val="none"/>
                <w14:textFill>
                  <w14:solidFill>
                    <w14:schemeClr w14:val="tx1"/>
                  </w14:solidFill>
                </w14:textFill>
              </w:rPr>
              <w:t>%向甲方支付违约金，并赔偿由此给甲方造成的相关经济损失。</w:t>
            </w:r>
          </w:p>
        </w:tc>
      </w:tr>
      <w:tr w14:paraId="6300483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47" w:hRule="atLeast"/>
          <w:jc w:val="center"/>
        </w:trPr>
        <w:tc>
          <w:tcPr>
            <w:tcW w:w="1608" w:type="dxa"/>
            <w:vAlign w:val="center"/>
          </w:tcPr>
          <w:p w14:paraId="2A420CC2">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11155E4E">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第15.3款</w:t>
            </w:r>
          </w:p>
        </w:tc>
        <w:tc>
          <w:tcPr>
            <w:tcW w:w="2220" w:type="dxa"/>
            <w:vAlign w:val="center"/>
          </w:tcPr>
          <w:p w14:paraId="32E2988F">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逾期付款利息</w:t>
            </w:r>
          </w:p>
        </w:tc>
        <w:tc>
          <w:tcPr>
            <w:tcW w:w="5379" w:type="dxa"/>
            <w:vAlign w:val="center"/>
          </w:tcPr>
          <w:p w14:paraId="45F692A9">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因甲方所有的付款均需财政部门审批，本合同履行期间，非因甲方故意拖延付款申请流程造成的逾期付款的，乙方对此予以谅解不得追究甲方的逾期付款责任。</w:t>
            </w:r>
          </w:p>
        </w:tc>
      </w:tr>
      <w:tr w14:paraId="35F31F1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644" w:hRule="atLeast"/>
          <w:jc w:val="center"/>
        </w:trPr>
        <w:tc>
          <w:tcPr>
            <w:tcW w:w="1608" w:type="dxa"/>
            <w:tcBorders>
              <w:bottom w:val="single" w:color="auto" w:sz="2" w:space="0"/>
              <w:right w:val="single" w:color="auto" w:sz="2" w:space="0"/>
            </w:tcBorders>
            <w:vAlign w:val="center"/>
          </w:tcPr>
          <w:p w14:paraId="1C70C722">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1146FA01">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第15.4款</w:t>
            </w:r>
          </w:p>
        </w:tc>
        <w:tc>
          <w:tcPr>
            <w:tcW w:w="2220" w:type="dxa"/>
            <w:tcBorders>
              <w:left w:val="single" w:color="auto" w:sz="2" w:space="0"/>
              <w:bottom w:val="single" w:color="auto" w:sz="2" w:space="0"/>
              <w:right w:val="single" w:color="auto" w:sz="2" w:space="0"/>
            </w:tcBorders>
            <w:vAlign w:val="center"/>
          </w:tcPr>
          <w:p w14:paraId="78BA98D1">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其他违约责任</w:t>
            </w:r>
          </w:p>
        </w:tc>
        <w:tc>
          <w:tcPr>
            <w:tcW w:w="5379" w:type="dxa"/>
            <w:tcBorders>
              <w:left w:val="single" w:color="auto" w:sz="2" w:space="0"/>
              <w:bottom w:val="single" w:color="auto" w:sz="2" w:space="0"/>
            </w:tcBorders>
            <w:vAlign w:val="center"/>
          </w:tcPr>
          <w:p w14:paraId="00928FC5">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1.乙方违约责任</w:t>
            </w:r>
          </w:p>
          <w:p w14:paraId="23A328B5">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（1）如乙方不能交付货物，同时乙方应向甲方支付合同总价</w:t>
            </w:r>
            <w:r>
              <w:rPr>
                <w:rFonts w:hint="eastAsia" w:ascii="宋体" w:hAnsi="宋体" w:eastAsia="宋体" w:cs="宋体"/>
                <w:color w:val="000000" w:themeColor="text1"/>
                <w:sz w:val="20"/>
                <w:szCs w:val="20"/>
                <w:highlight w:val="none"/>
                <w:u w:val="single"/>
                <w14:textFill>
                  <w14:solidFill>
                    <w14:schemeClr w14:val="tx1"/>
                  </w14:solidFill>
                </w14:textFill>
              </w:rPr>
              <w:t xml:space="preserve">  5 </w:t>
            </w:r>
            <w:r>
              <w:rPr>
                <w:rFonts w:hint="eastAsia" w:ascii="宋体" w:hAnsi="宋体" w:eastAsia="宋体" w:cs="宋体"/>
                <w:color w:val="000000" w:themeColor="text1"/>
                <w:sz w:val="20"/>
                <w:szCs w:val="20"/>
                <w:highlight w:val="none"/>
                <w14:textFill>
                  <w14:solidFill>
                    <w14:schemeClr w14:val="tx1"/>
                  </w14:solidFill>
                </w14:textFill>
              </w:rPr>
              <w:t>％的违约金；</w:t>
            </w:r>
          </w:p>
          <w:p w14:paraId="11ACD685">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（2）乙方逾期交付货物的，每逾期1天，乙方向甲方偿付逾期交货部分货款总额的</w:t>
            </w:r>
            <w:r>
              <w:rPr>
                <w:rFonts w:hint="eastAsia" w:ascii="宋体" w:hAnsi="宋体" w:eastAsia="宋体" w:cs="宋体"/>
                <w:color w:val="000000" w:themeColor="text1"/>
                <w:sz w:val="20"/>
                <w:szCs w:val="20"/>
                <w:highlight w:val="none"/>
                <w:u w:val="single"/>
                <w14:textFill>
                  <w14:solidFill>
                    <w14:schemeClr w14:val="tx1"/>
                  </w14:solidFill>
                </w14:textFill>
              </w:rPr>
              <w:t xml:space="preserve"> 2 </w:t>
            </w:r>
            <w:r>
              <w:rPr>
                <w:rFonts w:hint="eastAsia" w:ascii="宋体" w:hAnsi="宋体" w:eastAsia="宋体" w:cs="宋体"/>
                <w:color w:val="000000" w:themeColor="text1"/>
                <w:sz w:val="20"/>
                <w:szCs w:val="20"/>
                <w:highlight w:val="none"/>
                <w14:textFill>
                  <w14:solidFill>
                    <w14:schemeClr w14:val="tx1"/>
                  </w14:solidFill>
                </w14:textFill>
              </w:rPr>
              <w:t>‰的滞纳金。如乙方逾期交货达_7__天，甲方有权解除合同，解除合同的通知自到达乙方时生效；</w:t>
            </w:r>
          </w:p>
          <w:p w14:paraId="47439BAF">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（3）乙方所交付的货物品种、型号、规格不符合合同规定的，甲方有权拒收。甲方拒收的，乙方应向甲方支付货款总额</w:t>
            </w:r>
            <w:r>
              <w:rPr>
                <w:rFonts w:hint="eastAsia" w:ascii="宋体" w:hAnsi="宋体" w:eastAsia="宋体" w:cs="宋体"/>
                <w:color w:val="000000" w:themeColor="text1"/>
                <w:sz w:val="20"/>
                <w:szCs w:val="20"/>
                <w:highlight w:val="none"/>
                <w:u w:val="single"/>
                <w14:textFill>
                  <w14:solidFill>
                    <w14:schemeClr w14:val="tx1"/>
                  </w14:solidFill>
                </w14:textFill>
              </w:rPr>
              <w:t xml:space="preserve"> 2 </w:t>
            </w:r>
            <w:r>
              <w:rPr>
                <w:rFonts w:hint="eastAsia" w:ascii="宋体" w:hAnsi="宋体" w:eastAsia="宋体" w:cs="宋体"/>
                <w:color w:val="000000" w:themeColor="text1"/>
                <w:sz w:val="20"/>
                <w:szCs w:val="20"/>
                <w:highlight w:val="none"/>
                <w14:textFill>
                  <w14:solidFill>
                    <w14:schemeClr w14:val="tx1"/>
                  </w14:solidFill>
                </w14:textFill>
              </w:rPr>
              <w:t>%的违约金；</w:t>
            </w:r>
          </w:p>
          <w:p w14:paraId="70522C91">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（4）乙方货物经甲方送交具有法定资格条件的质量技术监督机构检测后，如检测结果认定货物质量不符合本合同规定标准的，则视为乙方没有按时交货而违约，乙方须在</w:t>
            </w:r>
            <w:r>
              <w:rPr>
                <w:rFonts w:hint="eastAsia" w:ascii="宋体" w:hAnsi="宋体" w:eastAsia="宋体" w:cs="宋体"/>
                <w:color w:val="000000" w:themeColor="text1"/>
                <w:sz w:val="20"/>
                <w:szCs w:val="20"/>
                <w:highlight w:val="none"/>
                <w:u w:val="single"/>
                <w14:textFill>
                  <w14:solidFill>
                    <w14:schemeClr w14:val="tx1"/>
                  </w14:solidFill>
                </w14:textFill>
              </w:rPr>
              <w:t xml:space="preserve"> 5 </w:t>
            </w:r>
            <w:r>
              <w:rPr>
                <w:rFonts w:hint="eastAsia" w:ascii="宋体" w:hAnsi="宋体" w:eastAsia="宋体" w:cs="宋体"/>
                <w:color w:val="000000" w:themeColor="text1"/>
                <w:sz w:val="20"/>
                <w:szCs w:val="20"/>
                <w:highlight w:val="none"/>
                <w14:textFill>
                  <w14:solidFill>
                    <w14:schemeClr w14:val="tx1"/>
                  </w14:solidFill>
                </w14:textFill>
              </w:rPr>
              <w:t>天内无条件更换合格的货物，如逾期不能更换合格的货物，甲方有权终止本合同，乙方应另向甲方支付货款总额的</w:t>
            </w:r>
            <w:r>
              <w:rPr>
                <w:rFonts w:hint="eastAsia" w:ascii="宋体" w:hAnsi="宋体" w:eastAsia="宋体" w:cs="宋体"/>
                <w:color w:val="000000" w:themeColor="text1"/>
                <w:sz w:val="20"/>
                <w:szCs w:val="20"/>
                <w:highlight w:val="none"/>
                <w:u w:val="single"/>
                <w14:textFill>
                  <w14:solidFill>
                    <w14:schemeClr w14:val="tx1"/>
                  </w14:solidFill>
                </w14:textFill>
              </w:rPr>
              <w:t xml:space="preserve"> 2</w:t>
            </w:r>
            <w:r>
              <w:rPr>
                <w:rFonts w:hint="eastAsia" w:ascii="宋体" w:hAnsi="宋体" w:eastAsia="宋体" w:cs="宋体"/>
                <w:color w:val="000000" w:themeColor="text1"/>
                <w:sz w:val="20"/>
                <w:szCs w:val="20"/>
                <w:highlight w:val="none"/>
                <w14:textFill>
                  <w14:solidFill>
                    <w14:schemeClr w14:val="tx1"/>
                  </w14:solidFill>
                </w14:textFill>
              </w:rPr>
              <w:t xml:space="preserve"> %的违约金；</w:t>
            </w:r>
          </w:p>
          <w:p w14:paraId="6B74A168">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4BD53A2B">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（6）乙方未按本合同的规定和“服务承诺”提供伴随服务/售后服务的，应按合同总价款的</w:t>
            </w:r>
            <w:r>
              <w:rPr>
                <w:rFonts w:hint="eastAsia" w:ascii="宋体" w:hAnsi="宋体" w:eastAsia="宋体" w:cs="宋体"/>
                <w:color w:val="000000" w:themeColor="text1"/>
                <w:sz w:val="20"/>
                <w:szCs w:val="20"/>
                <w:highlight w:val="none"/>
                <w:u w:val="single"/>
                <w14:textFill>
                  <w14:solidFill>
                    <w14:schemeClr w14:val="tx1"/>
                  </w14:solidFill>
                </w14:textFill>
              </w:rPr>
              <w:t xml:space="preserve"> 5</w:t>
            </w:r>
            <w:r>
              <w:rPr>
                <w:rFonts w:hint="eastAsia" w:ascii="宋体" w:hAnsi="宋体" w:eastAsia="宋体" w:cs="宋体"/>
                <w:color w:val="000000" w:themeColor="text1"/>
                <w:sz w:val="20"/>
                <w:szCs w:val="20"/>
                <w:highlight w:val="none"/>
                <w14:textFill>
                  <w14:solidFill>
                    <w14:schemeClr w14:val="tx1"/>
                  </w14:solidFill>
                </w14:textFill>
              </w:rPr>
              <w:t xml:space="preserve"> %向甲方承担违约责任；</w:t>
            </w:r>
          </w:p>
          <w:p w14:paraId="0CB7837C">
            <w:pPr>
              <w:pStyle w:val="8"/>
              <w:jc w:val="both"/>
              <w:rPr>
                <w:rFonts w:hint="eastAsia" w:ascii="宋体" w:hAnsi="宋体" w:eastAsia="宋体" w:cs="宋体"/>
                <w:color w:val="000000" w:themeColor="text1"/>
                <w:kern w:val="2"/>
                <w:sz w:val="20"/>
                <w:szCs w:val="20"/>
                <w:highlight w:val="none"/>
                <w:lang w:eastAsia="zh-CN"/>
                <w14:textFill>
                  <w14:solidFill>
                    <w14:schemeClr w14:val="tx1"/>
                  </w14:solidFill>
                </w14:textFill>
              </w:rPr>
            </w:pPr>
            <w:r>
              <w:rPr>
                <w:rFonts w:hint="eastAsia" w:ascii="宋体" w:hAnsi="宋体" w:eastAsia="宋体" w:cs="宋体"/>
                <w:color w:val="000000" w:themeColor="text1"/>
                <w:kern w:val="2"/>
                <w:sz w:val="20"/>
                <w:szCs w:val="20"/>
                <w:highlight w:val="none"/>
                <w:lang w:eastAsia="zh-CN"/>
                <w14:textFill>
                  <w14:solidFill>
                    <w14:schemeClr w14:val="tx1"/>
                  </w14:solidFill>
                </w14:textFill>
              </w:rPr>
              <w:t>（7）质保期结束，甲方根据售后服务要求对乙方进行整体评价，如评价为不合格，视为未按约定履行合同约定，扣除合同总价款的</w:t>
            </w:r>
            <w:r>
              <w:rPr>
                <w:rFonts w:hint="eastAsia" w:ascii="宋体" w:hAnsi="宋体" w:eastAsia="宋体" w:cs="宋体"/>
                <w:color w:val="000000" w:themeColor="text1"/>
                <w:kern w:val="2"/>
                <w:sz w:val="20"/>
                <w:szCs w:val="20"/>
                <w:highlight w:val="none"/>
                <w:u w:val="single"/>
                <w:lang w:eastAsia="zh-CN"/>
                <w14:textFill>
                  <w14:solidFill>
                    <w14:schemeClr w14:val="tx1"/>
                  </w14:solidFill>
                </w14:textFill>
              </w:rPr>
              <w:t>10</w:t>
            </w:r>
            <w:r>
              <w:rPr>
                <w:rFonts w:hint="eastAsia" w:ascii="宋体" w:hAnsi="宋体" w:eastAsia="宋体" w:cs="宋体"/>
                <w:color w:val="000000" w:themeColor="text1"/>
                <w:kern w:val="2"/>
                <w:sz w:val="20"/>
                <w:szCs w:val="20"/>
                <w:highlight w:val="none"/>
                <w:lang w:eastAsia="zh-CN"/>
                <w14:textFill>
                  <w14:solidFill>
                    <w14:schemeClr w14:val="tx1"/>
                  </w14:solidFill>
                </w14:textFill>
              </w:rPr>
              <w:t>%，并上报上级财政部门。质保期结束后的维修、维护等由双方协商再定；</w:t>
            </w:r>
          </w:p>
          <w:p w14:paraId="58BD3E74">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（8）乙方在承担上述1-7款一项或多项违约责任后，仍应继续履行合同规定的义务（甲方解除合同的除外）。甲方未能及时追究乙方的任何一项违约责任并不表明甲方放弃追究乙方该项或其他违约责任；</w:t>
            </w:r>
          </w:p>
          <w:p w14:paraId="281BC813">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（9）乙方偿付的违约金不足以弥补甲方损失的，还应按甲方损失尚未弥补的部分，支付赔偿金给甲方。</w:t>
            </w:r>
          </w:p>
          <w:p w14:paraId="19C11BEA">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10）依据《中华人民共和国民法典》、《中华人民共和国政府采购法》的相关条款和所签署的合同约定，乙方未全面履行合同义务或者发生违约，甲方会依法向乙方进行经济索赔，并报请政府采购监督管理机关进行相应的行政处罚。</w:t>
            </w:r>
          </w:p>
        </w:tc>
      </w:tr>
      <w:tr w14:paraId="0107827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214" w:hRule="atLeast"/>
          <w:jc w:val="center"/>
        </w:trPr>
        <w:tc>
          <w:tcPr>
            <w:tcW w:w="1608" w:type="dxa"/>
            <w:tcBorders>
              <w:top w:val="single" w:color="auto" w:sz="2" w:space="0"/>
              <w:right w:val="single" w:color="auto" w:sz="2" w:space="0"/>
            </w:tcBorders>
            <w:vAlign w:val="center"/>
          </w:tcPr>
          <w:p w14:paraId="3E45C68D">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67E33652">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第19.2款</w:t>
            </w:r>
          </w:p>
        </w:tc>
        <w:tc>
          <w:tcPr>
            <w:tcW w:w="2220" w:type="dxa"/>
            <w:tcBorders>
              <w:top w:val="single" w:color="auto" w:sz="2" w:space="0"/>
              <w:left w:val="single" w:color="auto" w:sz="2" w:space="0"/>
              <w:right w:val="single" w:color="auto" w:sz="2" w:space="0"/>
            </w:tcBorders>
            <w:vAlign w:val="center"/>
          </w:tcPr>
          <w:p w14:paraId="0853359E">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解决争议的方法</w:t>
            </w:r>
          </w:p>
        </w:tc>
        <w:tc>
          <w:tcPr>
            <w:tcW w:w="5379" w:type="dxa"/>
            <w:tcBorders>
              <w:top w:val="single" w:color="auto" w:sz="2" w:space="0"/>
              <w:left w:val="single" w:color="auto" w:sz="2" w:space="0"/>
            </w:tcBorders>
            <w:vAlign w:val="center"/>
          </w:tcPr>
          <w:p w14:paraId="0D4E10D4">
            <w:pPr>
              <w:autoSpaceDE w:val="0"/>
              <w:autoSpaceDN w:val="0"/>
              <w:adjustRightInd w:val="0"/>
              <w:snapToGrid w:val="0"/>
              <w:spacing w:line="400" w:lineRule="exact"/>
              <w:jc w:val="left"/>
              <w:rPr>
                <w:rFonts w:hint="eastAsia" w:ascii="宋体" w:hAnsi="宋体" w:eastAsia="宋体" w:cs="宋体"/>
                <w:iCs/>
                <w:color w:val="000000" w:themeColor="text1"/>
                <w:sz w:val="20"/>
                <w:szCs w:val="20"/>
                <w:highlight w:val="none"/>
                <w14:textFill>
                  <w14:solidFill>
                    <w14:schemeClr w14:val="tx1"/>
                  </w14:solidFill>
                </w14:textFill>
              </w:rPr>
            </w:pPr>
            <w:r>
              <w:rPr>
                <w:rFonts w:hint="eastAsia" w:ascii="宋体" w:hAnsi="宋体" w:eastAsia="宋体" w:cs="宋体"/>
                <w:iCs/>
                <w:color w:val="000000" w:themeColor="text1"/>
                <w:sz w:val="20"/>
                <w:szCs w:val="20"/>
                <w:highlight w:val="none"/>
                <w14:textFill>
                  <w14:solidFill>
                    <w14:schemeClr w14:val="tx1"/>
                  </w14:solidFill>
                </w14:textFill>
              </w:rPr>
              <w:t>因本合同及合同有关事项发生的争议，按下列第</w:t>
            </w:r>
            <w:r>
              <w:rPr>
                <w:rFonts w:hint="eastAsia" w:ascii="宋体" w:hAnsi="宋体" w:eastAsia="宋体" w:cs="宋体"/>
                <w:iCs/>
                <w:color w:val="000000" w:themeColor="text1"/>
                <w:sz w:val="20"/>
                <w:szCs w:val="20"/>
                <w:highlight w:val="none"/>
                <w:u w:val="single"/>
                <w14:textFill>
                  <w14:solidFill>
                    <w14:schemeClr w14:val="tx1"/>
                  </w14:solidFill>
                </w14:textFill>
              </w:rPr>
              <w:t>（2）</w:t>
            </w:r>
            <w:r>
              <w:rPr>
                <w:rFonts w:hint="eastAsia" w:ascii="宋体" w:hAnsi="宋体" w:eastAsia="宋体" w:cs="宋体"/>
                <w:iCs/>
                <w:color w:val="000000" w:themeColor="text1"/>
                <w:sz w:val="20"/>
                <w:szCs w:val="20"/>
                <w:highlight w:val="none"/>
                <w14:textFill>
                  <w14:solidFill>
                    <w14:schemeClr w14:val="tx1"/>
                  </w14:solidFill>
                </w14:textFill>
              </w:rPr>
              <w:t>种方式解决：（1）向</w:t>
            </w:r>
            <w:r>
              <w:rPr>
                <w:rFonts w:hint="eastAsia" w:ascii="宋体" w:hAnsi="宋体" w:eastAsia="宋体" w:cs="宋体"/>
                <w:iCs/>
                <w:color w:val="000000" w:themeColor="text1"/>
                <w:sz w:val="20"/>
                <w:szCs w:val="20"/>
                <w:highlight w:val="none"/>
                <w:u w:val="single"/>
                <w14:textFill>
                  <w14:solidFill>
                    <w14:schemeClr w14:val="tx1"/>
                  </w14:solidFill>
                </w14:textFill>
              </w:rPr>
              <w:t xml:space="preserve"> 西安 </w:t>
            </w:r>
            <w:r>
              <w:rPr>
                <w:rFonts w:hint="eastAsia" w:ascii="宋体" w:hAnsi="宋体" w:eastAsia="宋体" w:cs="宋体"/>
                <w:iCs/>
                <w:color w:val="000000" w:themeColor="text1"/>
                <w:sz w:val="20"/>
                <w:szCs w:val="20"/>
                <w:highlight w:val="none"/>
                <w14:textFill>
                  <w14:solidFill>
                    <w14:schemeClr w14:val="tx1"/>
                  </w14:solidFill>
                </w14:textFill>
              </w:rPr>
              <w:t>仲裁委员会申请仲裁；（2）向</w:t>
            </w:r>
            <w:r>
              <w:rPr>
                <w:rFonts w:hint="eastAsia" w:ascii="宋体" w:hAnsi="宋体" w:eastAsia="宋体" w:cs="宋体"/>
                <w:iCs/>
                <w:color w:val="000000" w:themeColor="text1"/>
                <w:sz w:val="20"/>
                <w:szCs w:val="20"/>
                <w:highlight w:val="none"/>
                <w:u w:val="single"/>
                <w14:textFill>
                  <w14:solidFill>
                    <w14:schemeClr w14:val="tx1"/>
                  </w14:solidFill>
                </w14:textFill>
              </w:rPr>
              <w:t xml:space="preserve"> 甲方所在地 </w:t>
            </w:r>
            <w:r>
              <w:rPr>
                <w:rFonts w:hint="eastAsia" w:ascii="宋体" w:hAnsi="宋体" w:eastAsia="宋体" w:cs="宋体"/>
                <w:iCs/>
                <w:color w:val="000000" w:themeColor="text1"/>
                <w:sz w:val="20"/>
                <w:szCs w:val="20"/>
                <w:highlight w:val="none"/>
                <w14:textFill>
                  <w14:solidFill>
                    <w14:schemeClr w14:val="tx1"/>
                  </w14:solidFill>
                </w14:textFill>
              </w:rPr>
              <w:t>人民法院起诉。</w:t>
            </w:r>
          </w:p>
        </w:tc>
      </w:tr>
      <w:tr w14:paraId="3631869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874" w:hRule="atLeast"/>
          <w:jc w:val="center"/>
        </w:trPr>
        <w:tc>
          <w:tcPr>
            <w:tcW w:w="1608" w:type="dxa"/>
            <w:vAlign w:val="center"/>
          </w:tcPr>
          <w:p w14:paraId="4016F266">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41E8A320">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第23.1款</w:t>
            </w:r>
          </w:p>
        </w:tc>
        <w:tc>
          <w:tcPr>
            <w:tcW w:w="2220" w:type="dxa"/>
            <w:vAlign w:val="center"/>
          </w:tcPr>
          <w:p w14:paraId="4DA2CFD7">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bCs/>
                <w:color w:val="000000" w:themeColor="text1"/>
                <w:sz w:val="20"/>
                <w:szCs w:val="20"/>
                <w:highlight w:val="none"/>
                <w14:textFill>
                  <w14:solidFill>
                    <w14:schemeClr w14:val="tx1"/>
                  </w14:solidFill>
                </w14:textFill>
              </w:rPr>
              <w:t>其他专用条款</w:t>
            </w:r>
          </w:p>
        </w:tc>
        <w:tc>
          <w:tcPr>
            <w:tcW w:w="5379" w:type="dxa"/>
            <w:vAlign w:val="center"/>
          </w:tcPr>
          <w:p w14:paraId="202B0E56">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1.货物验收由甲方组织，乙方配合，并按下列程序进行：</w:t>
            </w:r>
          </w:p>
          <w:p w14:paraId="07FDAE01">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1）交货验收时，乙方须提供质检部门产品抽样检查合格的检测报告（或生产厂家自检报告）及所提供货物（产品）的合格证、装箱清单、配件、随机工具、用户使用手册（产品使用说明书）、保修卡等资料交付给甲方；</w:t>
            </w:r>
          </w:p>
          <w:p w14:paraId="6001B983">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（2）到货验收 ：货物到达后，按合同第一条款的货物清单和装箱单经行逐一核对，同时检查货物外观，是否有划痕或破损的，并做好相应记录；</w:t>
            </w:r>
          </w:p>
          <w:p w14:paraId="44A3B814">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按乙方承诺的产品包装环保材料进行验收，必要时乙方需提供检测报告，甲方发现虚假承诺时，将扣除总货款的</w:t>
            </w:r>
            <w:r>
              <w:rPr>
                <w:rFonts w:hint="eastAsia" w:ascii="宋体" w:hAnsi="宋体" w:eastAsia="宋体" w:cs="宋体"/>
                <w:color w:val="000000" w:themeColor="text1"/>
                <w:sz w:val="20"/>
                <w:szCs w:val="20"/>
                <w:highlight w:val="none"/>
                <w:u w:val="single"/>
                <w14:textFill>
                  <w14:solidFill>
                    <w14:schemeClr w14:val="tx1"/>
                  </w14:solidFill>
                </w14:textFill>
              </w:rPr>
              <w:t xml:space="preserve"> 3 </w:t>
            </w:r>
            <w:r>
              <w:rPr>
                <w:rFonts w:hint="eastAsia" w:ascii="宋体" w:hAnsi="宋体" w:eastAsia="宋体" w:cs="宋体"/>
                <w:color w:val="000000" w:themeColor="text1"/>
                <w:sz w:val="20"/>
                <w:szCs w:val="20"/>
                <w:highlight w:val="none"/>
                <w14:textFill>
                  <w14:solidFill>
                    <w14:schemeClr w14:val="tx1"/>
                  </w14:solidFill>
                </w14:textFill>
              </w:rPr>
              <w:t>%作为处罚。</w:t>
            </w:r>
          </w:p>
          <w:p w14:paraId="1A917BD7">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（3）货物初验：乙方应在货物到货之日起，</w:t>
            </w:r>
            <w:r>
              <w:rPr>
                <w:rFonts w:hint="eastAsia" w:ascii="宋体" w:hAnsi="宋体" w:eastAsia="宋体" w:cs="宋体"/>
                <w:color w:val="000000" w:themeColor="text1"/>
                <w:sz w:val="20"/>
                <w:szCs w:val="20"/>
                <w:highlight w:val="none"/>
                <w:u w:val="single"/>
                <w14:textFill>
                  <w14:solidFill>
                    <w14:schemeClr w14:val="tx1"/>
                  </w14:solidFill>
                </w14:textFill>
              </w:rPr>
              <w:t xml:space="preserve">   </w:t>
            </w:r>
            <w:r>
              <w:rPr>
                <w:rFonts w:hint="eastAsia" w:ascii="宋体" w:hAnsi="宋体" w:eastAsia="宋体" w:cs="宋体"/>
                <w:color w:val="000000" w:themeColor="text1"/>
                <w:sz w:val="20"/>
                <w:szCs w:val="20"/>
                <w:highlight w:val="none"/>
                <w14:textFill>
                  <w14:solidFill>
                    <w14:schemeClr w14:val="tx1"/>
                  </w14:solidFill>
                </w14:textFill>
              </w:rPr>
              <w:t>日内全部完成安装调试完毕；乙方安装调试完毕后</w:t>
            </w:r>
            <w:r>
              <w:rPr>
                <w:rFonts w:hint="eastAsia" w:ascii="宋体" w:hAnsi="宋体" w:eastAsia="宋体" w:cs="宋体"/>
                <w:color w:val="000000" w:themeColor="text1"/>
                <w:sz w:val="20"/>
                <w:szCs w:val="20"/>
                <w:highlight w:val="none"/>
                <w:u w:val="single"/>
                <w14:textFill>
                  <w14:solidFill>
                    <w14:schemeClr w14:val="tx1"/>
                  </w14:solidFill>
                </w14:textFill>
              </w:rPr>
              <w:t xml:space="preserve">  </w:t>
            </w:r>
            <w:r>
              <w:rPr>
                <w:rFonts w:hint="eastAsia" w:ascii="宋体" w:hAnsi="宋体" w:eastAsia="宋体" w:cs="宋体"/>
                <w:color w:val="000000" w:themeColor="text1"/>
                <w:sz w:val="20"/>
                <w:szCs w:val="20"/>
                <w:highlight w:val="none"/>
                <w14:textFill>
                  <w14:solidFill>
                    <w14:schemeClr w14:val="tx1"/>
                  </w14:solidFill>
                </w14:textFill>
              </w:rPr>
              <w:t>日内完成初步验收；初步验收合格后，进入</w:t>
            </w:r>
            <w:r>
              <w:rPr>
                <w:rFonts w:hint="eastAsia" w:ascii="宋体" w:hAnsi="宋体" w:eastAsia="宋体" w:cs="宋体"/>
                <w:color w:val="000000" w:themeColor="text1"/>
                <w:sz w:val="20"/>
                <w:szCs w:val="20"/>
                <w:highlight w:val="none"/>
                <w:u w:val="single"/>
                <w14:textFill>
                  <w14:solidFill>
                    <w14:schemeClr w14:val="tx1"/>
                  </w14:solidFill>
                </w14:textFill>
              </w:rPr>
              <w:t xml:space="preserve">   </w:t>
            </w:r>
            <w:r>
              <w:rPr>
                <w:rFonts w:hint="eastAsia" w:ascii="宋体" w:hAnsi="宋体" w:eastAsia="宋体" w:cs="宋体"/>
                <w:color w:val="000000" w:themeColor="text1"/>
                <w:sz w:val="20"/>
                <w:szCs w:val="20"/>
                <w:highlight w:val="none"/>
                <w14:textFill>
                  <w14:solidFill>
                    <w14:schemeClr w14:val="tx1"/>
                  </w14:solidFill>
                </w14:textFill>
              </w:rPr>
              <w:t>日试用期；试用期间发生重大质量问题，修复后试用期相应顺延；</w:t>
            </w:r>
          </w:p>
          <w:p w14:paraId="3DA47043">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（4）货物终验：试用期结束后</w:t>
            </w:r>
            <w:r>
              <w:rPr>
                <w:rFonts w:hint="eastAsia" w:ascii="宋体" w:hAnsi="宋体" w:eastAsia="宋体" w:cs="宋体"/>
                <w:color w:val="000000" w:themeColor="text1"/>
                <w:sz w:val="20"/>
                <w:szCs w:val="20"/>
                <w:highlight w:val="none"/>
                <w:u w:val="single"/>
                <w14:textFill>
                  <w14:solidFill>
                    <w14:schemeClr w14:val="tx1"/>
                  </w14:solidFill>
                </w14:textFill>
              </w:rPr>
              <w:t xml:space="preserve">   </w:t>
            </w:r>
            <w:r>
              <w:rPr>
                <w:rFonts w:hint="eastAsia" w:ascii="宋体" w:hAnsi="宋体" w:eastAsia="宋体" w:cs="宋体"/>
                <w:color w:val="000000" w:themeColor="text1"/>
                <w:sz w:val="20"/>
                <w:szCs w:val="20"/>
                <w:highlight w:val="none"/>
                <w14:textFill>
                  <w14:solidFill>
                    <w14:schemeClr w14:val="tx1"/>
                  </w14:solidFill>
                </w14:textFill>
              </w:rPr>
              <w:t>日内完成最终验收；</w:t>
            </w:r>
          </w:p>
          <w:p w14:paraId="2D285B07">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（5）质量验收合格，双方签署质量验收报告。</w:t>
            </w:r>
          </w:p>
          <w:p w14:paraId="6E8F30F3">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2.货物验收依据：</w:t>
            </w:r>
          </w:p>
          <w:p w14:paraId="5D6D15F1">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（1）谈判文件；</w:t>
            </w:r>
          </w:p>
          <w:p w14:paraId="18FC9D36">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（2）响应文件；</w:t>
            </w:r>
          </w:p>
          <w:p w14:paraId="30F389D5">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（3）采购合同及补充协议；</w:t>
            </w:r>
          </w:p>
          <w:p w14:paraId="16E48303">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（4）质检部门抽样检查货物（产品）合格的检测报告。</w:t>
            </w:r>
          </w:p>
          <w:p w14:paraId="68FBFC1F">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3.货物验收时发现问题的处理办法：</w:t>
            </w:r>
          </w:p>
          <w:p w14:paraId="5631290D">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（1）乙方提供不符合谈判文件和本合同规定的货物（产品），甲方有权拒绝接受；</w:t>
            </w:r>
          </w:p>
          <w:p w14:paraId="5BB11822">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3316A931">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（3）如货物经乙方</w:t>
            </w:r>
            <w:r>
              <w:rPr>
                <w:rFonts w:hint="eastAsia" w:ascii="宋体" w:hAnsi="宋体" w:eastAsia="宋体" w:cs="宋体"/>
                <w:color w:val="000000" w:themeColor="text1"/>
                <w:sz w:val="20"/>
                <w:szCs w:val="20"/>
                <w:highlight w:val="none"/>
                <w:u w:val="single"/>
                <w14:textFill>
                  <w14:solidFill>
                    <w14:schemeClr w14:val="tx1"/>
                  </w14:solidFill>
                </w14:textFill>
              </w:rPr>
              <w:t xml:space="preserve">   </w:t>
            </w:r>
            <w:r>
              <w:rPr>
                <w:rFonts w:hint="eastAsia" w:ascii="宋体" w:hAnsi="宋体" w:eastAsia="宋体" w:cs="宋体"/>
                <w:color w:val="000000" w:themeColor="text1"/>
                <w:sz w:val="20"/>
                <w:szCs w:val="20"/>
                <w:highlight w:val="none"/>
                <w14:textFill>
                  <w14:solidFill>
                    <w14:schemeClr w14:val="tx1"/>
                  </w14:solidFill>
                </w14:textFill>
              </w:rPr>
              <w:t>次维修仍不能达到合同约定的质量标准，甲方有权退货，并视作乙方不能交付货物而须支付违约赔偿金给甲方，甲方还可依法追究乙方的违约责任； </w:t>
            </w:r>
          </w:p>
          <w:p w14:paraId="259F56AB">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（4）货物安装完成后</w:t>
            </w:r>
            <w:r>
              <w:rPr>
                <w:rFonts w:hint="eastAsia" w:ascii="宋体" w:hAnsi="宋体" w:eastAsia="宋体" w:cs="宋体"/>
                <w:color w:val="000000" w:themeColor="text1"/>
                <w:sz w:val="20"/>
                <w:szCs w:val="20"/>
                <w:highlight w:val="none"/>
                <w:u w:val="single"/>
                <w14:textFill>
                  <w14:solidFill>
                    <w14:schemeClr w14:val="tx1"/>
                  </w14:solidFill>
                </w14:textFill>
              </w:rPr>
              <w:t xml:space="preserve">  </w:t>
            </w:r>
            <w:r>
              <w:rPr>
                <w:rFonts w:hint="eastAsia" w:ascii="宋体" w:hAnsi="宋体" w:eastAsia="宋体" w:cs="宋体"/>
                <w:color w:val="000000" w:themeColor="text1"/>
                <w:sz w:val="20"/>
                <w:szCs w:val="20"/>
                <w:highlight w:val="none"/>
                <w14:textFill>
                  <w14:solidFill>
                    <w14:schemeClr w14:val="tx1"/>
                  </w14:solidFill>
                </w14:textFill>
              </w:rPr>
              <w:t>日内，甲方无故不进行验收工作并已使用货物的，视同已安装调试完成并验收合格；</w:t>
            </w:r>
          </w:p>
          <w:p w14:paraId="1B57F481">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（5）乙方不能完整交付货物及本条第一款规定的单证和工具的，必须负责补齐，否则视为未按合同约定交货；</w:t>
            </w:r>
          </w:p>
          <w:p w14:paraId="24018A00">
            <w:pPr>
              <w:adjustRightInd w:val="0"/>
              <w:snapToGrid w:val="0"/>
              <w:jc w:val="left"/>
              <w:rPr>
                <w:rFonts w:hint="default" w:eastAsia="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（6）超出合理磅差的处理方法：</w:t>
            </w:r>
            <w:r>
              <w:rPr>
                <w:rFonts w:hint="eastAsia" w:ascii="宋体" w:hAnsi="宋体" w:eastAsia="宋体" w:cs="宋体"/>
                <w:color w:val="000000" w:themeColor="text1"/>
                <w:sz w:val="20"/>
                <w:szCs w:val="20"/>
                <w:highlight w:val="none"/>
                <w:u w:val="single"/>
                <w14:textFill>
                  <w14:solidFill>
                    <w14:schemeClr w14:val="tx1"/>
                  </w14:solidFill>
                </w14:textFill>
              </w:rPr>
              <w:t xml:space="preserve">          </w:t>
            </w:r>
            <w:r>
              <w:rPr>
                <w:rFonts w:hint="eastAsia" w:ascii="宋体" w:hAnsi="宋体" w:eastAsia="宋体" w:cs="宋体"/>
                <w:color w:val="000000" w:themeColor="text1"/>
                <w:sz w:val="20"/>
                <w:szCs w:val="20"/>
                <w:highlight w:val="none"/>
                <w14:textFill>
                  <w14:solidFill>
                    <w14:schemeClr w14:val="tx1"/>
                  </w14:solidFill>
                </w14:textFill>
              </w:rPr>
              <w:t xml:space="preserve"> 。</w:t>
            </w:r>
          </w:p>
        </w:tc>
      </w:tr>
    </w:tbl>
    <w:p w14:paraId="44991A76">
      <w:pPr>
        <w:pStyle w:val="8"/>
        <w:rPr>
          <w:rFonts w:hint="eastAsia"/>
          <w:color w:val="000000" w:themeColor="text1"/>
          <w:highlight w:val="none"/>
          <w:lang w:val="en-US" w:eastAsia="zh-Hans"/>
          <w14:textFill>
            <w14:solidFill>
              <w14:schemeClr w14:val="tx1"/>
            </w14:solidFill>
          </w14:textFill>
        </w:rPr>
      </w:pPr>
    </w:p>
    <w:p w14:paraId="003B6F0F">
      <w:pPr>
        <w:rPr>
          <w:color w:val="000000" w:themeColor="text1"/>
          <w:highlight w:val="none"/>
          <w14:textFill>
            <w14:solidFill>
              <w14:schemeClr w14:val="tx1"/>
            </w14:solidFill>
          </w14:textFill>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汉仪中黑 197"/>
    <w:panose1 w:val="00000000000000000000"/>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EFC674"/>
    <w:multiLevelType w:val="singleLevel"/>
    <w:tmpl w:val="FFEFC674"/>
    <w:lvl w:ilvl="0" w:tentative="0">
      <w:start w:val="1"/>
      <w:numFmt w:val="decimal"/>
      <w:suff w:val="nothing"/>
      <w:lvlText w:val="（%1）"/>
      <w:lvlJc w:val="left"/>
    </w:lvl>
  </w:abstractNum>
  <w:abstractNum w:abstractNumId="1">
    <w:nsid w:val="010C5A66"/>
    <w:multiLevelType w:val="multilevel"/>
    <w:tmpl w:val="010C5A66"/>
    <w:lvl w:ilvl="0" w:tentative="0">
      <w:start w:val="8"/>
      <w:numFmt w:val="decimal"/>
      <w:lvlText w:val="（%1）"/>
      <w:lvlJc w:val="left"/>
      <w:pPr>
        <w:ind w:left="1140" w:hanging="720"/>
      </w:pPr>
      <w:rPr>
        <w:rFonts w:hint="default"/>
        <w:u w:val="none"/>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D73B4A"/>
    <w:rsid w:val="0AD73B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next w:val="1"/>
    <w:unhideWhenUsed/>
    <w:qFormat/>
    <w:uiPriority w:val="0"/>
    <w:pPr>
      <w:ind w:firstLine="420" w:firstLineChars="200"/>
    </w:pPr>
    <w:rPr>
      <w:rFonts w:ascii="Times New Roman" w:hAnsi="Times New Roman" w:eastAsia="宋体" w:cs="Times New Roman"/>
    </w:rPr>
  </w:style>
  <w:style w:type="paragraph" w:styleId="3">
    <w:name w:val="Body Text"/>
    <w:basedOn w:val="1"/>
    <w:unhideWhenUsed/>
    <w:qFormat/>
    <w:uiPriority w:val="99"/>
    <w:pPr>
      <w:spacing w:after="120"/>
    </w:pPr>
  </w:style>
  <w:style w:type="paragraph" w:styleId="4">
    <w:name w:val="Body Text Indent"/>
    <w:basedOn w:val="1"/>
    <w:unhideWhenUsed/>
    <w:qFormat/>
    <w:uiPriority w:val="0"/>
    <w:pPr>
      <w:spacing w:after="120"/>
      <w:ind w:left="420" w:leftChars="200"/>
    </w:pPr>
    <w:rPr>
      <w:rFonts w:asciiTheme="minorHAnsi" w:hAnsiTheme="minorHAnsi" w:eastAsiaTheme="minorEastAsia" w:cstheme="minorBidi"/>
      <w:szCs w:val="24"/>
    </w:rPr>
  </w:style>
  <w:style w:type="paragraph" w:styleId="5">
    <w:name w:val="Body Text First Indent"/>
    <w:basedOn w:val="3"/>
    <w:unhideWhenUsed/>
    <w:qFormat/>
    <w:uiPriority w:val="99"/>
    <w:pPr>
      <w:ind w:firstLine="420" w:firstLineChars="100"/>
    </w:p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customStyle="1" w:styleId="9">
    <w:name w:val="AONormal"/>
    <w:qFormat/>
    <w:uiPriority w:val="0"/>
    <w:pPr>
      <w:autoSpaceDE w:val="0"/>
      <w:autoSpaceDN w:val="0"/>
      <w:adjustRightInd w:val="0"/>
      <w:spacing w:line="400" w:lineRule="exact"/>
      <w:ind w:firstLine="440" w:firstLineChars="200"/>
    </w:pPr>
    <w:rPr>
      <w:rFonts w:ascii="华文楷体" w:hAnsi="华文楷体" w:eastAsia="华文楷体" w:cs="华文楷体"/>
      <w:kern w:val="0"/>
      <w:sz w:val="22"/>
      <w:szCs w:val="21"/>
      <w:lang w:val="en-US" w:eastAsia="zh-CN" w:bidi="ar-SA"/>
    </w:rPr>
  </w:style>
  <w:style w:type="paragraph" w:customStyle="1" w:styleId="10">
    <w:name w:val="列出段落1"/>
    <w:basedOn w:val="1"/>
    <w:qFormat/>
    <w:uiPriority w:val="0"/>
    <w:pPr>
      <w:ind w:firstLine="420" w:firstLineChars="200"/>
    </w:pPr>
    <w:rPr>
      <w:rFonts w:ascii="Times New Roman" w:hAnsi="Times New Roman"/>
      <w:szCs w:val="21"/>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2025-04-17T10:52:00Z</dcterms:created>
  <dc:creator>mo·xuan</dc:creator>
  <cp:lastModifiedBy>mo·xuan</cp:lastModifiedBy>
  <dcterms:modified xsi:type="dcterms:W3CDTF">2025-04-17T10:52:48Z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F73E66B81E86483B9228C2A9E7F24798_11</vt:lpwstr>
  </property>
  <property fmtid="{D5CDD505-2E9C-101B-9397-08002B2CF9AE}" pid="4" name="KSOTemplateDocerSaveRecord">
    <vt:lpwstr>eyJoZGlkIjoiYTYwNWE2MmNhNzRiMDNhMjMzYTJhNjIzZjY2YmY0MGMiLCJ1c2VySWQiOiI3OTY2NTg3ODQifQ==</vt:lpwstr>
  </property>
</Properties>
</file>