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14BD5">
      <w:pPr>
        <w:pStyle w:val="4"/>
        <w:jc w:val="center"/>
        <w:outlineLvl w:val="1"/>
        <w:rPr>
          <w:highlight w:val="none"/>
        </w:rPr>
      </w:pPr>
      <w:r>
        <w:rPr>
          <w:rFonts w:ascii="仿宋_GB2312" w:hAnsi="仿宋_GB2312" w:eastAsia="仿宋_GB2312" w:cs="仿宋_GB2312"/>
          <w:b/>
          <w:sz w:val="36"/>
          <w:highlight w:val="none"/>
        </w:rPr>
        <w:t>谈判项目技术、服务、商务及其他要求</w:t>
      </w:r>
    </w:p>
    <w:p w14:paraId="294E48C4">
      <w:pPr>
        <w:pStyle w:val="4"/>
        <w:ind w:firstLine="480"/>
        <w:rPr>
          <w:highlight w:val="none"/>
        </w:rPr>
      </w:pPr>
      <w:r>
        <w:rPr>
          <w:rFonts w:ascii="仿宋_GB2312" w:hAnsi="仿宋_GB2312" w:eastAsia="仿宋_GB2312" w:cs="仿宋_GB2312"/>
          <w:highlight w:val="none"/>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BA1CE1C">
      <w:pPr>
        <w:pStyle w:val="4"/>
        <w:outlineLvl w:val="2"/>
        <w:rPr>
          <w:highlight w:val="none"/>
        </w:rPr>
      </w:pPr>
      <w:r>
        <w:rPr>
          <w:rFonts w:ascii="仿宋_GB2312" w:hAnsi="仿宋_GB2312" w:eastAsia="仿宋_GB2312" w:cs="仿宋_GB2312"/>
          <w:b/>
          <w:sz w:val="28"/>
          <w:highlight w:val="none"/>
        </w:rPr>
        <w:t>3.1采购项目概况</w:t>
      </w:r>
    </w:p>
    <w:p w14:paraId="6032111C">
      <w:pPr>
        <w:pStyle w:val="4"/>
        <w:ind w:firstLine="480"/>
        <w:rPr>
          <w:highlight w:val="none"/>
        </w:rPr>
      </w:pPr>
      <w:r>
        <w:rPr>
          <w:rFonts w:hint="eastAsia" w:ascii="仿宋_GB2312" w:hAnsi="仿宋_GB2312" w:eastAsia="仿宋_GB2312" w:cs="仿宋_GB2312"/>
          <w:highlight w:val="none"/>
          <w:lang w:val="en-US" w:eastAsia="zh-CN"/>
        </w:rPr>
        <w:t>西安东仪中学拟对</w:t>
      </w:r>
      <w:r>
        <w:rPr>
          <w:rFonts w:hint="eastAsia" w:ascii="仿宋_GB2312" w:hAnsi="仿宋_GB2312" w:eastAsia="仿宋_GB2312" w:cs="仿宋_GB2312"/>
          <w:highlight w:val="none"/>
          <w:lang w:val="en-US" w:eastAsia="zh-CN"/>
        </w:rPr>
        <w:t>校园安全智能化管理等方面进行提升改造，采购内容涵盖硬件设备、软件平台及配套服务三大类别，其中包含：1、构建校园安全智能化管理基础平台；2、对校园教学楼进行安全网格化分区、并在每个区域配置安全管理设备、AI智能语音识别设备等；3、针对校门口部署校门口管理设备，对访客管理、学生出入、校门口环境治理进行提升</w:t>
      </w:r>
      <w:r>
        <w:rPr>
          <w:rFonts w:hint="eastAsia" w:ascii="仿宋_GB2312" w:hAnsi="仿宋_GB2312" w:eastAsia="仿宋_GB2312" w:cs="仿宋_GB2312"/>
          <w:highlight w:val="none"/>
        </w:rPr>
        <w:t>。需满足的要求:校园安全管理</w:t>
      </w:r>
      <w:r>
        <w:rPr>
          <w:rFonts w:hint="eastAsia" w:ascii="仿宋_GB2312" w:hAnsi="仿宋_GB2312" w:eastAsia="仿宋_GB2312" w:cs="仿宋_GB2312"/>
          <w:highlight w:val="none"/>
          <w:lang w:val="en-US" w:eastAsia="zh-CN"/>
        </w:rPr>
        <w:t>,</w:t>
      </w:r>
      <w:r>
        <w:rPr>
          <w:rFonts w:ascii="仿宋_GB2312" w:hAnsi="仿宋_GB2312" w:eastAsia="仿宋_GB2312" w:cs="仿宋_GB2312"/>
          <w:highlight w:val="none"/>
        </w:rPr>
        <w:t>要求所有货物（产品）质量合格、安装、调试到位、验收合格达到交钥匙使用条件。</w:t>
      </w:r>
    </w:p>
    <w:p w14:paraId="22434C38">
      <w:pPr>
        <w:pStyle w:val="4"/>
        <w:outlineLvl w:val="2"/>
        <w:rPr>
          <w:highlight w:val="none"/>
        </w:rPr>
      </w:pPr>
      <w:r>
        <w:rPr>
          <w:rFonts w:ascii="仿宋_GB2312" w:hAnsi="仿宋_GB2312" w:eastAsia="仿宋_GB2312" w:cs="仿宋_GB2312"/>
          <w:b/>
          <w:sz w:val="28"/>
          <w:highlight w:val="none"/>
        </w:rPr>
        <w:t>3.2采购内容</w:t>
      </w:r>
    </w:p>
    <w:p w14:paraId="69663460">
      <w:pPr>
        <w:pStyle w:val="4"/>
        <w:rPr>
          <w:highlight w:val="none"/>
        </w:rPr>
      </w:pPr>
      <w:r>
        <w:rPr>
          <w:rFonts w:ascii="仿宋_GB2312" w:hAnsi="仿宋_GB2312" w:eastAsia="仿宋_GB2312" w:cs="仿宋_GB2312"/>
          <w:highlight w:val="none"/>
        </w:rPr>
        <w:t>采购包1：</w:t>
      </w:r>
    </w:p>
    <w:p w14:paraId="6200ED21">
      <w:pPr>
        <w:pStyle w:val="4"/>
        <w:rPr>
          <w:rFonts w:hint="eastAsia" w:eastAsia="仿宋_GB2312"/>
          <w:highlight w:val="none"/>
          <w:lang w:eastAsia="zh-CN"/>
        </w:rPr>
      </w:pPr>
      <w:r>
        <w:rPr>
          <w:rFonts w:ascii="仿宋_GB2312" w:hAnsi="仿宋_GB2312" w:eastAsia="仿宋_GB2312" w:cs="仿宋_GB2312"/>
          <w:highlight w:val="none"/>
        </w:rPr>
        <w:t xml:space="preserve">采购包预算金额（元）: </w:t>
      </w:r>
      <w:r>
        <w:rPr>
          <w:rFonts w:hint="eastAsia" w:ascii="仿宋_GB2312" w:hAnsi="仿宋_GB2312" w:eastAsia="仿宋_GB2312" w:cs="仿宋_GB2312"/>
          <w:highlight w:val="none"/>
          <w:lang w:eastAsia="zh-CN"/>
        </w:rPr>
        <w:t>200000.00</w:t>
      </w:r>
    </w:p>
    <w:p w14:paraId="2338C7A9">
      <w:pPr>
        <w:pStyle w:val="4"/>
        <w:rPr>
          <w:rFonts w:hint="eastAsia" w:eastAsia="仿宋_GB2312"/>
          <w:highlight w:val="none"/>
          <w:lang w:eastAsia="zh-CN"/>
        </w:rPr>
      </w:pPr>
      <w:r>
        <w:rPr>
          <w:rFonts w:ascii="仿宋_GB2312" w:hAnsi="仿宋_GB2312" w:eastAsia="仿宋_GB2312" w:cs="仿宋_GB2312"/>
          <w:highlight w:val="none"/>
        </w:rPr>
        <w:t xml:space="preserve">采购包最高限价（元）: </w:t>
      </w:r>
      <w:r>
        <w:rPr>
          <w:rFonts w:hint="eastAsia" w:ascii="仿宋_GB2312" w:hAnsi="仿宋_GB2312" w:eastAsia="仿宋_GB2312" w:cs="仿宋_GB2312"/>
          <w:highlight w:val="none"/>
          <w:lang w:eastAsia="zh-CN"/>
        </w:rPr>
        <w:t>200000.00</w:t>
      </w:r>
    </w:p>
    <w:p w14:paraId="5D3E8D1A">
      <w:pPr>
        <w:pStyle w:val="4"/>
        <w:rPr>
          <w:highlight w:val="none"/>
        </w:rPr>
      </w:pPr>
      <w:r>
        <w:rPr>
          <w:rFonts w:ascii="仿宋_GB2312" w:hAnsi="仿宋_GB2312" w:eastAsia="仿宋_GB2312" w:cs="仿宋_GB2312"/>
          <w:highlight w:val="none"/>
        </w:rPr>
        <w:t>供应商报价不允许超过标的金额</w:t>
      </w:r>
    </w:p>
    <w:p w14:paraId="1133337F">
      <w:pPr>
        <w:pStyle w:val="4"/>
        <w:rPr>
          <w:highlight w:val="none"/>
        </w:rPr>
      </w:pPr>
      <w:r>
        <w:rPr>
          <w:rFonts w:ascii="仿宋_GB2312" w:hAnsi="仿宋_GB2312" w:eastAsia="仿宋_GB2312" w:cs="仿宋_GB2312"/>
          <w:highlight w:val="none"/>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0"/>
        <w:gridCol w:w="1200"/>
        <w:gridCol w:w="691"/>
        <w:gridCol w:w="1116"/>
        <w:gridCol w:w="822"/>
        <w:gridCol w:w="822"/>
        <w:gridCol w:w="822"/>
        <w:gridCol w:w="823"/>
        <w:gridCol w:w="823"/>
        <w:gridCol w:w="823"/>
      </w:tblGrid>
      <w:tr w14:paraId="35E7A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7CA461A8">
            <w:pPr>
              <w:pStyle w:val="4"/>
              <w:rPr>
                <w:highlight w:val="none"/>
              </w:rPr>
            </w:pPr>
            <w:r>
              <w:rPr>
                <w:rFonts w:ascii="仿宋_GB2312" w:hAnsi="仿宋_GB2312" w:eastAsia="仿宋_GB2312" w:cs="仿宋_GB2312"/>
                <w:highlight w:val="none"/>
              </w:rPr>
              <w:t>序号</w:t>
            </w:r>
          </w:p>
        </w:tc>
        <w:tc>
          <w:tcPr>
            <w:tcW w:w="1200" w:type="dxa"/>
          </w:tcPr>
          <w:p w14:paraId="676FA016">
            <w:pPr>
              <w:pStyle w:val="4"/>
              <w:rPr>
                <w:highlight w:val="none"/>
              </w:rPr>
            </w:pPr>
            <w:r>
              <w:rPr>
                <w:rFonts w:ascii="仿宋_GB2312" w:hAnsi="仿宋_GB2312" w:eastAsia="仿宋_GB2312" w:cs="仿宋_GB2312"/>
                <w:highlight w:val="none"/>
              </w:rPr>
              <w:t>标的名称</w:t>
            </w:r>
          </w:p>
        </w:tc>
        <w:tc>
          <w:tcPr>
            <w:tcW w:w="691" w:type="dxa"/>
          </w:tcPr>
          <w:p w14:paraId="79597C0E">
            <w:pPr>
              <w:pStyle w:val="4"/>
              <w:rPr>
                <w:highlight w:val="none"/>
              </w:rPr>
            </w:pPr>
            <w:r>
              <w:rPr>
                <w:rFonts w:ascii="仿宋_GB2312" w:hAnsi="仿宋_GB2312" w:eastAsia="仿宋_GB2312" w:cs="仿宋_GB2312"/>
                <w:highlight w:val="none"/>
              </w:rPr>
              <w:t>数量</w:t>
            </w:r>
          </w:p>
        </w:tc>
        <w:tc>
          <w:tcPr>
            <w:tcW w:w="1116" w:type="dxa"/>
          </w:tcPr>
          <w:p w14:paraId="3D78AB26">
            <w:pPr>
              <w:pStyle w:val="4"/>
              <w:rPr>
                <w:highlight w:val="none"/>
              </w:rPr>
            </w:pPr>
            <w:r>
              <w:rPr>
                <w:rFonts w:ascii="仿宋_GB2312" w:hAnsi="仿宋_GB2312" w:eastAsia="仿宋_GB2312" w:cs="仿宋_GB2312"/>
                <w:highlight w:val="none"/>
              </w:rPr>
              <w:t>标的金额 （元）</w:t>
            </w:r>
          </w:p>
        </w:tc>
        <w:tc>
          <w:tcPr>
            <w:tcW w:w="822" w:type="dxa"/>
          </w:tcPr>
          <w:p w14:paraId="3288B60E">
            <w:pPr>
              <w:pStyle w:val="4"/>
              <w:rPr>
                <w:highlight w:val="none"/>
              </w:rPr>
            </w:pPr>
            <w:r>
              <w:rPr>
                <w:rFonts w:ascii="仿宋_GB2312" w:hAnsi="仿宋_GB2312" w:eastAsia="仿宋_GB2312" w:cs="仿宋_GB2312"/>
                <w:highlight w:val="none"/>
              </w:rPr>
              <w:t>计量单位</w:t>
            </w:r>
          </w:p>
        </w:tc>
        <w:tc>
          <w:tcPr>
            <w:tcW w:w="822" w:type="dxa"/>
          </w:tcPr>
          <w:p w14:paraId="606F240B">
            <w:pPr>
              <w:pStyle w:val="4"/>
              <w:rPr>
                <w:highlight w:val="none"/>
              </w:rPr>
            </w:pPr>
            <w:r>
              <w:rPr>
                <w:rFonts w:ascii="仿宋_GB2312" w:hAnsi="仿宋_GB2312" w:eastAsia="仿宋_GB2312" w:cs="仿宋_GB2312"/>
                <w:highlight w:val="none"/>
              </w:rPr>
              <w:t>所属行业</w:t>
            </w:r>
          </w:p>
        </w:tc>
        <w:tc>
          <w:tcPr>
            <w:tcW w:w="822" w:type="dxa"/>
          </w:tcPr>
          <w:p w14:paraId="04F740E8">
            <w:pPr>
              <w:pStyle w:val="4"/>
              <w:rPr>
                <w:highlight w:val="none"/>
              </w:rPr>
            </w:pPr>
            <w:r>
              <w:rPr>
                <w:rFonts w:ascii="仿宋_GB2312" w:hAnsi="仿宋_GB2312" w:eastAsia="仿宋_GB2312" w:cs="仿宋_GB2312"/>
                <w:highlight w:val="none"/>
              </w:rPr>
              <w:t>是否核心产品</w:t>
            </w:r>
          </w:p>
        </w:tc>
        <w:tc>
          <w:tcPr>
            <w:tcW w:w="823" w:type="dxa"/>
          </w:tcPr>
          <w:p w14:paraId="454883BE">
            <w:pPr>
              <w:pStyle w:val="4"/>
              <w:rPr>
                <w:highlight w:val="none"/>
              </w:rPr>
            </w:pPr>
            <w:r>
              <w:rPr>
                <w:rFonts w:ascii="仿宋_GB2312" w:hAnsi="仿宋_GB2312" w:eastAsia="仿宋_GB2312" w:cs="仿宋_GB2312"/>
                <w:highlight w:val="none"/>
              </w:rPr>
              <w:t>是否允许进口产品</w:t>
            </w:r>
          </w:p>
        </w:tc>
        <w:tc>
          <w:tcPr>
            <w:tcW w:w="823" w:type="dxa"/>
          </w:tcPr>
          <w:p w14:paraId="3EEECFDF">
            <w:pPr>
              <w:pStyle w:val="4"/>
              <w:rPr>
                <w:highlight w:val="none"/>
              </w:rPr>
            </w:pPr>
            <w:r>
              <w:rPr>
                <w:rFonts w:ascii="仿宋_GB2312" w:hAnsi="仿宋_GB2312" w:eastAsia="仿宋_GB2312" w:cs="仿宋_GB2312"/>
                <w:highlight w:val="none"/>
              </w:rPr>
              <w:t>是否属于节能产品</w:t>
            </w:r>
          </w:p>
        </w:tc>
        <w:tc>
          <w:tcPr>
            <w:tcW w:w="823" w:type="dxa"/>
          </w:tcPr>
          <w:p w14:paraId="1BE29189">
            <w:pPr>
              <w:pStyle w:val="4"/>
              <w:rPr>
                <w:highlight w:val="none"/>
              </w:rPr>
            </w:pPr>
            <w:r>
              <w:rPr>
                <w:rFonts w:ascii="仿宋_GB2312" w:hAnsi="仿宋_GB2312" w:eastAsia="仿宋_GB2312" w:cs="仿宋_GB2312"/>
                <w:highlight w:val="none"/>
              </w:rPr>
              <w:t>是否属于环境标志产品</w:t>
            </w:r>
          </w:p>
        </w:tc>
      </w:tr>
      <w:tr w14:paraId="6051E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dxa"/>
          </w:tcPr>
          <w:p w14:paraId="53A082A4">
            <w:pPr>
              <w:pStyle w:val="4"/>
              <w:rPr>
                <w:highlight w:val="none"/>
              </w:rPr>
            </w:pPr>
            <w:r>
              <w:rPr>
                <w:rFonts w:ascii="仿宋_GB2312" w:hAnsi="仿宋_GB2312" w:eastAsia="仿宋_GB2312" w:cs="仿宋_GB2312"/>
                <w:highlight w:val="none"/>
              </w:rPr>
              <w:t>1</w:t>
            </w:r>
          </w:p>
        </w:tc>
        <w:tc>
          <w:tcPr>
            <w:tcW w:w="1200" w:type="dxa"/>
          </w:tcPr>
          <w:p w14:paraId="0EDC8093">
            <w:pPr>
              <w:pStyle w:val="4"/>
              <w:rPr>
                <w:rFonts w:hint="eastAsia" w:eastAsiaTheme="minorEastAsia"/>
                <w:highlight w:val="none"/>
                <w:lang w:eastAsia="zh-CN"/>
              </w:rPr>
            </w:pPr>
            <w:r>
              <w:rPr>
                <w:rFonts w:hint="eastAsia" w:ascii="仿宋_GB2312" w:hAnsi="仿宋_GB2312" w:eastAsia="仿宋_GB2312" w:cs="仿宋_GB2312"/>
                <w:highlight w:val="none"/>
                <w:lang w:eastAsia="zh-CN"/>
              </w:rPr>
              <w:t>校园安全智能化管理系统</w:t>
            </w:r>
          </w:p>
        </w:tc>
        <w:tc>
          <w:tcPr>
            <w:tcW w:w="691" w:type="dxa"/>
          </w:tcPr>
          <w:p w14:paraId="606352CD">
            <w:pPr>
              <w:pStyle w:val="4"/>
              <w:jc w:val="right"/>
              <w:rPr>
                <w:highlight w:val="none"/>
              </w:rPr>
            </w:pPr>
            <w:r>
              <w:rPr>
                <w:rFonts w:ascii="仿宋_GB2312" w:hAnsi="仿宋_GB2312" w:eastAsia="仿宋_GB2312" w:cs="仿宋_GB2312"/>
                <w:highlight w:val="none"/>
              </w:rPr>
              <w:t>1.00</w:t>
            </w:r>
          </w:p>
        </w:tc>
        <w:tc>
          <w:tcPr>
            <w:tcW w:w="1116" w:type="dxa"/>
          </w:tcPr>
          <w:p w14:paraId="18FEA5AB">
            <w:pPr>
              <w:pStyle w:val="4"/>
              <w:jc w:val="right"/>
              <w:rPr>
                <w:rFonts w:hint="eastAsia" w:eastAsiaTheme="minorEastAsia"/>
                <w:highlight w:val="none"/>
                <w:lang w:eastAsia="zh-CN"/>
              </w:rPr>
            </w:pPr>
            <w:r>
              <w:rPr>
                <w:rFonts w:hint="eastAsia" w:ascii="仿宋_GB2312" w:hAnsi="仿宋_GB2312" w:eastAsia="仿宋_GB2312" w:cs="仿宋_GB2312"/>
                <w:highlight w:val="none"/>
                <w:lang w:eastAsia="zh-CN"/>
              </w:rPr>
              <w:t>200000.00</w:t>
            </w:r>
          </w:p>
        </w:tc>
        <w:tc>
          <w:tcPr>
            <w:tcW w:w="822" w:type="dxa"/>
          </w:tcPr>
          <w:p w14:paraId="6B60395E">
            <w:pPr>
              <w:pStyle w:val="4"/>
              <w:rPr>
                <w:highlight w:val="none"/>
              </w:rPr>
            </w:pPr>
            <w:r>
              <w:rPr>
                <w:rFonts w:ascii="仿宋_GB2312" w:hAnsi="仿宋_GB2312" w:eastAsia="仿宋_GB2312" w:cs="仿宋_GB2312"/>
                <w:highlight w:val="none"/>
              </w:rPr>
              <w:t>项</w:t>
            </w:r>
          </w:p>
        </w:tc>
        <w:tc>
          <w:tcPr>
            <w:tcW w:w="822" w:type="dxa"/>
          </w:tcPr>
          <w:p w14:paraId="78FDA4B6">
            <w:pPr>
              <w:pStyle w:val="4"/>
              <w:rPr>
                <w:highlight w:val="none"/>
              </w:rPr>
            </w:pPr>
            <w:r>
              <w:rPr>
                <w:rFonts w:ascii="仿宋_GB2312" w:hAnsi="仿宋_GB2312" w:eastAsia="仿宋_GB2312" w:cs="仿宋_GB2312"/>
                <w:highlight w:val="none"/>
              </w:rPr>
              <w:t>工业</w:t>
            </w:r>
          </w:p>
        </w:tc>
        <w:tc>
          <w:tcPr>
            <w:tcW w:w="822" w:type="dxa"/>
          </w:tcPr>
          <w:p w14:paraId="59ABBFD8">
            <w:pPr>
              <w:pStyle w:val="4"/>
              <w:rPr>
                <w:highlight w:val="none"/>
              </w:rPr>
            </w:pPr>
            <w:r>
              <w:rPr>
                <w:rFonts w:ascii="仿宋_GB2312" w:hAnsi="仿宋_GB2312" w:eastAsia="仿宋_GB2312" w:cs="仿宋_GB2312"/>
                <w:highlight w:val="none"/>
              </w:rPr>
              <w:t>否</w:t>
            </w:r>
          </w:p>
        </w:tc>
        <w:tc>
          <w:tcPr>
            <w:tcW w:w="823" w:type="dxa"/>
          </w:tcPr>
          <w:p w14:paraId="602DD937">
            <w:pPr>
              <w:pStyle w:val="4"/>
              <w:rPr>
                <w:highlight w:val="none"/>
              </w:rPr>
            </w:pPr>
            <w:r>
              <w:rPr>
                <w:rFonts w:ascii="仿宋_GB2312" w:hAnsi="仿宋_GB2312" w:eastAsia="仿宋_GB2312" w:cs="仿宋_GB2312"/>
                <w:highlight w:val="none"/>
              </w:rPr>
              <w:t>否</w:t>
            </w:r>
          </w:p>
        </w:tc>
        <w:tc>
          <w:tcPr>
            <w:tcW w:w="823" w:type="dxa"/>
          </w:tcPr>
          <w:p w14:paraId="522BFB5D">
            <w:pPr>
              <w:pStyle w:val="4"/>
              <w:rPr>
                <w:highlight w:val="none"/>
              </w:rPr>
            </w:pPr>
            <w:r>
              <w:rPr>
                <w:rFonts w:ascii="仿宋_GB2312" w:hAnsi="仿宋_GB2312" w:eastAsia="仿宋_GB2312" w:cs="仿宋_GB2312"/>
                <w:highlight w:val="none"/>
              </w:rPr>
              <w:t>否</w:t>
            </w:r>
          </w:p>
        </w:tc>
        <w:tc>
          <w:tcPr>
            <w:tcW w:w="823" w:type="dxa"/>
          </w:tcPr>
          <w:p w14:paraId="1DE9C2ED">
            <w:pPr>
              <w:pStyle w:val="4"/>
              <w:rPr>
                <w:highlight w:val="none"/>
              </w:rPr>
            </w:pPr>
            <w:r>
              <w:rPr>
                <w:rFonts w:ascii="仿宋_GB2312" w:hAnsi="仿宋_GB2312" w:eastAsia="仿宋_GB2312" w:cs="仿宋_GB2312"/>
                <w:highlight w:val="none"/>
              </w:rPr>
              <w:t>否</w:t>
            </w:r>
          </w:p>
        </w:tc>
      </w:tr>
    </w:tbl>
    <w:p w14:paraId="50F3B760">
      <w:pPr>
        <w:pStyle w:val="4"/>
        <w:outlineLvl w:val="2"/>
        <w:rPr>
          <w:highlight w:val="none"/>
        </w:rPr>
      </w:pPr>
      <w:r>
        <w:rPr>
          <w:rFonts w:ascii="仿宋_GB2312" w:hAnsi="仿宋_GB2312" w:eastAsia="仿宋_GB2312" w:cs="仿宋_GB2312"/>
          <w:b/>
          <w:sz w:val="28"/>
          <w:highlight w:val="none"/>
        </w:rPr>
        <w:t>3.3技术要求</w:t>
      </w:r>
    </w:p>
    <w:p w14:paraId="7CCB918E">
      <w:pPr>
        <w:pStyle w:val="4"/>
        <w:rPr>
          <w:highlight w:val="none"/>
        </w:rPr>
      </w:pPr>
      <w:r>
        <w:rPr>
          <w:rFonts w:ascii="仿宋_GB2312" w:hAnsi="仿宋_GB2312" w:eastAsia="仿宋_GB2312" w:cs="仿宋_GB2312"/>
          <w:highlight w:val="none"/>
        </w:rPr>
        <w:t>采购包1：</w:t>
      </w:r>
    </w:p>
    <w:p w14:paraId="760BFE17">
      <w:pPr>
        <w:pStyle w:val="4"/>
        <w:rPr>
          <w:rFonts w:hint="eastAsia" w:eastAsia="仿宋_GB2312"/>
          <w:highlight w:val="none"/>
          <w:lang w:eastAsia="zh-CN"/>
        </w:rPr>
      </w:pPr>
      <w:r>
        <w:rPr>
          <w:rFonts w:ascii="仿宋_GB2312" w:hAnsi="仿宋_GB2312" w:eastAsia="仿宋_GB2312" w:cs="仿宋_GB2312"/>
          <w:highlight w:val="none"/>
        </w:rPr>
        <w:t>标的名称：</w:t>
      </w:r>
      <w:r>
        <w:rPr>
          <w:rFonts w:hint="eastAsia" w:ascii="仿宋_GB2312" w:hAnsi="仿宋_GB2312" w:eastAsia="仿宋_GB2312" w:cs="仿宋_GB2312"/>
          <w:highlight w:val="none"/>
          <w:lang w:eastAsia="zh-CN"/>
        </w:rPr>
        <w:t>校园安全智能化管理系统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9"/>
        <w:gridCol w:w="645"/>
        <w:gridCol w:w="7233"/>
      </w:tblGrid>
      <w:tr w14:paraId="0D4A6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5C98CCF7">
            <w:pPr>
              <w:pStyle w:val="4"/>
              <w:rPr>
                <w:highlight w:val="none"/>
              </w:rPr>
            </w:pPr>
            <w:r>
              <w:rPr>
                <w:rFonts w:ascii="仿宋_GB2312" w:hAnsi="仿宋_GB2312" w:eastAsia="仿宋_GB2312" w:cs="仿宋_GB2312"/>
                <w:highlight w:val="none"/>
              </w:rPr>
              <w:t>序号</w:t>
            </w:r>
          </w:p>
        </w:tc>
        <w:tc>
          <w:tcPr>
            <w:tcW w:w="645" w:type="dxa"/>
          </w:tcPr>
          <w:p w14:paraId="1409727A">
            <w:pPr>
              <w:pStyle w:val="4"/>
              <w:rPr>
                <w:highlight w:val="none"/>
              </w:rPr>
            </w:pPr>
            <w:r>
              <w:rPr>
                <w:rFonts w:ascii="仿宋_GB2312" w:hAnsi="仿宋_GB2312" w:eastAsia="仿宋_GB2312" w:cs="仿宋_GB2312"/>
                <w:highlight w:val="none"/>
              </w:rPr>
              <w:t>参数性质</w:t>
            </w:r>
          </w:p>
        </w:tc>
        <w:tc>
          <w:tcPr>
            <w:tcW w:w="7233" w:type="dxa"/>
          </w:tcPr>
          <w:p w14:paraId="206C0FC9">
            <w:pPr>
              <w:pStyle w:val="4"/>
              <w:rPr>
                <w:highlight w:val="none"/>
              </w:rPr>
            </w:pPr>
            <w:r>
              <w:rPr>
                <w:rFonts w:ascii="仿宋_GB2312" w:hAnsi="仿宋_GB2312" w:eastAsia="仿宋_GB2312" w:cs="仿宋_GB2312"/>
                <w:highlight w:val="none"/>
              </w:rPr>
              <w:t xml:space="preserve"> 技术参数与性能指标</w:t>
            </w:r>
          </w:p>
        </w:tc>
      </w:tr>
      <w:tr w14:paraId="503B0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3" w:hRule="atLeast"/>
        </w:trPr>
        <w:tc>
          <w:tcPr>
            <w:tcW w:w="429" w:type="dxa"/>
          </w:tcPr>
          <w:p w14:paraId="01D63516">
            <w:pPr>
              <w:pStyle w:val="4"/>
              <w:rPr>
                <w:highlight w:val="none"/>
              </w:rPr>
            </w:pPr>
            <w:r>
              <w:rPr>
                <w:rFonts w:ascii="仿宋_GB2312" w:hAnsi="仿宋_GB2312" w:eastAsia="仿宋_GB2312" w:cs="仿宋_GB2312"/>
                <w:highlight w:val="none"/>
              </w:rPr>
              <w:t>1</w:t>
            </w:r>
          </w:p>
        </w:tc>
        <w:tc>
          <w:tcPr>
            <w:tcW w:w="645" w:type="dxa"/>
          </w:tcPr>
          <w:p w14:paraId="08BC49CD">
            <w:pPr>
              <w:rPr>
                <w:highlight w:val="none"/>
              </w:rPr>
            </w:pPr>
          </w:p>
        </w:tc>
        <w:tc>
          <w:tcPr>
            <w:tcW w:w="7233" w:type="dxa"/>
          </w:tcPr>
          <w:p w14:paraId="3E9D165A">
            <w:pPr>
              <w:pStyle w:val="4"/>
              <w:jc w:val="both"/>
              <w:rPr>
                <w:highlight w:val="none"/>
              </w:rPr>
            </w:pPr>
            <w:r>
              <w:rPr>
                <w:rFonts w:ascii="仿宋_GB2312" w:hAnsi="仿宋_GB2312" w:eastAsia="仿宋_GB2312" w:cs="仿宋_GB2312"/>
                <w:b/>
                <w:color w:val="000000"/>
                <w:sz w:val="21"/>
                <w:highlight w:val="none"/>
              </w:rPr>
              <w:t>一、采购需求及要求</w:t>
            </w:r>
          </w:p>
          <w:p w14:paraId="0E44EB03">
            <w:pPr>
              <w:pStyle w:val="4"/>
              <w:ind w:firstLine="420"/>
              <w:jc w:val="both"/>
              <w:rPr>
                <w:highlight w:val="none"/>
              </w:rPr>
            </w:pPr>
            <w:r>
              <w:rPr>
                <w:rFonts w:ascii="仿宋_GB2312" w:hAnsi="仿宋_GB2312" w:eastAsia="仿宋_GB2312" w:cs="仿宋_GB2312"/>
                <w:color w:val="000000"/>
                <w:sz w:val="21"/>
                <w:highlight w:val="none"/>
              </w:rPr>
              <w:t>1.1采购需求清单：详见附表:</w:t>
            </w:r>
            <w:r>
              <w:rPr>
                <w:rFonts w:hint="eastAsia" w:ascii="仿宋_GB2312" w:hAnsi="仿宋_GB2312" w:eastAsia="仿宋_GB2312" w:cs="仿宋_GB2312"/>
                <w:color w:val="000000"/>
                <w:sz w:val="21"/>
                <w:highlight w:val="none"/>
              </w:rPr>
              <w:t>校园安全智能化管理系统</w:t>
            </w:r>
            <w:r>
              <w:rPr>
                <w:rFonts w:ascii="仿宋_GB2312" w:hAnsi="仿宋_GB2312" w:eastAsia="仿宋_GB2312" w:cs="仿宋_GB2312"/>
                <w:color w:val="000000"/>
                <w:sz w:val="21"/>
                <w:highlight w:val="none"/>
              </w:rPr>
              <w:t>采购需求清单（注：需求清单一览表中的★号技术指标参数，供应商未按要求提供相关证明材料或技术指标参数存在负偏离的，均按无效响应）。</w:t>
            </w:r>
          </w:p>
          <w:p w14:paraId="78D7780D">
            <w:pPr>
              <w:pStyle w:val="4"/>
              <w:ind w:firstLine="420"/>
              <w:jc w:val="both"/>
              <w:rPr>
                <w:highlight w:val="none"/>
              </w:rPr>
            </w:pPr>
            <w:r>
              <w:rPr>
                <w:rFonts w:ascii="仿宋_GB2312" w:hAnsi="仿宋_GB2312" w:eastAsia="仿宋_GB2312" w:cs="仿宋_GB2312"/>
                <w:color w:val="000000"/>
                <w:sz w:val="21"/>
                <w:highlight w:val="none"/>
              </w:rPr>
              <w:t>1.2供应商应按要求提供所投的设备（产品）的技术资料（不限于原厂印刷的产品说明书、质量证书、检测报告、合格证、官网截图等）；供应商应保证投标所提供的第三方资料内容真实、完整、准确；如有相关第三方书面声明、相关检测报告等资料虚假，监管部门有权根据调查情形认定其是否属于提供虚假材料谋取中标（成交），并严肃处理。</w:t>
            </w:r>
          </w:p>
          <w:p w14:paraId="355F977D">
            <w:pPr>
              <w:pStyle w:val="4"/>
              <w:ind w:firstLine="422"/>
              <w:jc w:val="both"/>
              <w:rPr>
                <w:highlight w:val="none"/>
              </w:rPr>
            </w:pPr>
            <w:r>
              <w:rPr>
                <w:rFonts w:ascii="仿宋_GB2312" w:hAnsi="仿宋_GB2312" w:eastAsia="仿宋_GB2312" w:cs="仿宋_GB2312"/>
                <w:color w:val="000000"/>
                <w:sz w:val="21"/>
                <w:highlight w:val="none"/>
              </w:rPr>
              <w:t>1.3产品“三包”要求：货物（产品）属于国家规定的“三包产品”，产品制造商、经销代理商应遵守“三包”的规定，在产品发生质量问题时，及时对所提供产品实行“包退、包换、保修”服务。</w:t>
            </w:r>
          </w:p>
          <w:p w14:paraId="23537C21">
            <w:pPr>
              <w:pStyle w:val="4"/>
              <w:ind w:firstLine="422"/>
              <w:jc w:val="both"/>
              <w:rPr>
                <w:highlight w:val="none"/>
              </w:rPr>
            </w:pPr>
            <w:r>
              <w:rPr>
                <w:rFonts w:ascii="仿宋_GB2312" w:hAnsi="仿宋_GB2312" w:eastAsia="仿宋_GB2312" w:cs="仿宋_GB2312"/>
                <w:color w:val="000000"/>
                <w:sz w:val="21"/>
                <w:highlight w:val="none"/>
              </w:rPr>
              <w:t>1.4安全要求：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2CA88B77">
            <w:pPr>
              <w:pStyle w:val="4"/>
              <w:ind w:firstLine="422"/>
              <w:jc w:val="both"/>
              <w:rPr>
                <w:highlight w:val="none"/>
              </w:rPr>
            </w:pPr>
            <w:r>
              <w:rPr>
                <w:rFonts w:ascii="仿宋_GB2312" w:hAnsi="仿宋_GB2312" w:eastAsia="仿宋_GB2312" w:cs="仿宋_GB2312"/>
                <w:color w:val="000000"/>
                <w:sz w:val="21"/>
                <w:highlight w:val="none"/>
              </w:rPr>
              <w:t>1.5质量标准及要求：（1）所有货物（产品）、服务符合国家、省、市（行业）强制性标准及采购人要求的合格标准；</w:t>
            </w:r>
          </w:p>
          <w:p w14:paraId="4AA96B4B">
            <w:pPr>
              <w:pStyle w:val="4"/>
              <w:ind w:firstLine="422"/>
              <w:jc w:val="both"/>
              <w:rPr>
                <w:highlight w:val="none"/>
              </w:rPr>
            </w:pPr>
            <w:r>
              <w:rPr>
                <w:rFonts w:ascii="仿宋_GB2312" w:hAnsi="仿宋_GB2312" w:eastAsia="仿宋_GB2312" w:cs="仿宋_GB2312"/>
                <w:color w:val="000000"/>
                <w:sz w:val="21"/>
                <w:highlight w:val="none"/>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76D79E8B">
            <w:pPr>
              <w:pStyle w:val="4"/>
              <w:ind w:firstLine="422"/>
              <w:jc w:val="both"/>
              <w:rPr>
                <w:highlight w:val="none"/>
              </w:rPr>
            </w:pPr>
            <w:r>
              <w:rPr>
                <w:rFonts w:ascii="仿宋_GB2312" w:hAnsi="仿宋_GB2312" w:eastAsia="仿宋_GB2312" w:cs="仿宋_GB2312"/>
                <w:color w:val="000000"/>
                <w:sz w:val="21"/>
                <w:highlight w:val="none"/>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32475134">
            <w:pPr>
              <w:pStyle w:val="4"/>
              <w:ind w:firstLine="422"/>
              <w:jc w:val="both"/>
              <w:rPr>
                <w:highlight w:val="none"/>
              </w:rPr>
            </w:pPr>
            <w:r>
              <w:rPr>
                <w:rFonts w:ascii="仿宋_GB2312" w:hAnsi="仿宋_GB2312" w:eastAsia="仿宋_GB2312" w:cs="仿宋_GB2312"/>
                <w:color w:val="000000"/>
                <w:sz w:val="21"/>
                <w:highlight w:val="none"/>
              </w:rPr>
              <w:t>1.6为保证货物（软件和硬件）质量和功能的严谨性，中标（成交）后采购人有权要求成交供应商对其所提供的设备（产品）（包含软件和硬件）的功能进行逐一演示，如有功能与实际不相符，一律按虚假应标处理，由成交供应商承担因此产生的一切后果和责任。</w:t>
            </w:r>
          </w:p>
          <w:p w14:paraId="44E2DF7C">
            <w:pPr>
              <w:pStyle w:val="4"/>
              <w:ind w:firstLine="420"/>
              <w:jc w:val="both"/>
              <w:rPr>
                <w:highlight w:val="none"/>
              </w:rPr>
            </w:pPr>
            <w:r>
              <w:rPr>
                <w:rFonts w:ascii="仿宋_GB2312" w:hAnsi="仿宋_GB2312" w:eastAsia="仿宋_GB2312" w:cs="仿宋_GB2312"/>
                <w:color w:val="000000"/>
                <w:sz w:val="21"/>
                <w:highlight w:val="none"/>
              </w:rPr>
              <w:t>1.7售后服务要求：（1）成交供应商须指派专人负责与采购人联系售后服务事宜；</w:t>
            </w:r>
          </w:p>
          <w:p w14:paraId="4211CDBE">
            <w:pPr>
              <w:pStyle w:val="4"/>
              <w:ind w:firstLine="420"/>
              <w:jc w:val="both"/>
              <w:rPr>
                <w:highlight w:val="none"/>
              </w:rPr>
            </w:pPr>
            <w:r>
              <w:rPr>
                <w:rFonts w:ascii="仿宋_GB2312" w:hAnsi="仿宋_GB2312" w:eastAsia="仿宋_GB2312" w:cs="仿宋_GB2312"/>
                <w:color w:val="000000"/>
                <w:sz w:val="21"/>
                <w:highlight w:val="none"/>
              </w:rPr>
              <w:t>（2）成交供应商负责货物的现场安装、调试、测试和启动等；</w:t>
            </w:r>
          </w:p>
          <w:p w14:paraId="14A1DE8E">
            <w:pPr>
              <w:pStyle w:val="4"/>
              <w:ind w:firstLine="420"/>
              <w:jc w:val="both"/>
              <w:rPr>
                <w:highlight w:val="none"/>
              </w:rPr>
            </w:pPr>
            <w:r>
              <w:rPr>
                <w:rFonts w:ascii="仿宋_GB2312" w:hAnsi="仿宋_GB2312" w:eastAsia="仿宋_GB2312" w:cs="仿宋_GB2312"/>
                <w:color w:val="000000"/>
                <w:sz w:val="21"/>
                <w:highlight w:val="none"/>
              </w:rPr>
              <w:t>（3）成交供应商负责货物的安装、启动、运行及维护等对使用人员进行免费培训：培训主要内容为货物的基本结构、性能、主要部件的构造及原理，日常使用操作、维护保养与管理，常见故障的排除、紧急情况的处理等，如使用方未使用过同类型货物，成交供应商还需就货物的功能对使用方人员进行相应的技术培训，培训地点为货物安装现场或由采购人安排；</w:t>
            </w:r>
          </w:p>
          <w:p w14:paraId="01DDC977">
            <w:pPr>
              <w:pStyle w:val="4"/>
              <w:ind w:firstLine="420"/>
              <w:jc w:val="both"/>
              <w:rPr>
                <w:highlight w:val="none"/>
              </w:rPr>
            </w:pPr>
            <w:r>
              <w:rPr>
                <w:rFonts w:ascii="仿宋_GB2312" w:hAnsi="仿宋_GB2312" w:eastAsia="仿宋_GB2312" w:cs="仿宋_GB2312"/>
                <w:color w:val="000000"/>
                <w:sz w:val="21"/>
                <w:highlight w:val="none"/>
              </w:rPr>
              <w:t>（4）质保期自采购人在质量验收单（终验）上签字之日起计算，质保费用计入总价；</w:t>
            </w:r>
          </w:p>
          <w:p w14:paraId="1A494122">
            <w:pPr>
              <w:pStyle w:val="4"/>
              <w:ind w:firstLine="420"/>
              <w:jc w:val="both"/>
              <w:rPr>
                <w:highlight w:val="none"/>
              </w:rPr>
            </w:pPr>
            <w:r>
              <w:rPr>
                <w:rFonts w:ascii="仿宋_GB2312" w:hAnsi="仿宋_GB2312" w:eastAsia="仿宋_GB2312" w:cs="仿宋_GB2312"/>
                <w:color w:val="000000"/>
                <w:sz w:val="21"/>
                <w:highlight w:val="none"/>
              </w:rPr>
              <w:t>（5）成交供应商负责对其提供的货物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532B6B7C">
            <w:pPr>
              <w:pStyle w:val="4"/>
              <w:ind w:firstLine="420"/>
              <w:jc w:val="both"/>
              <w:rPr>
                <w:highlight w:val="none"/>
              </w:rPr>
            </w:pPr>
            <w:r>
              <w:rPr>
                <w:rFonts w:ascii="仿宋_GB2312" w:hAnsi="仿宋_GB2312" w:eastAsia="仿宋_GB2312" w:cs="仿宋_GB2312"/>
                <w:color w:val="000000"/>
                <w:sz w:val="21"/>
                <w:highlight w:val="none"/>
              </w:rPr>
              <w:t>（6）成交供应商负责对其所提供的设备、材料等备品配件供应，提供长期维修，并提供技术咨询等服务，所有维修记录交由采购人的现场技术人员一份，并详细说明问题所在、解决办法及注意事项；</w:t>
            </w:r>
          </w:p>
          <w:p w14:paraId="602193C7">
            <w:pPr>
              <w:pStyle w:val="4"/>
              <w:ind w:firstLine="420"/>
              <w:jc w:val="both"/>
              <w:rPr>
                <w:highlight w:val="none"/>
              </w:rPr>
            </w:pPr>
            <w:r>
              <w:rPr>
                <w:rFonts w:ascii="仿宋_GB2312" w:hAnsi="仿宋_GB2312" w:eastAsia="仿宋_GB2312" w:cs="仿宋_GB2312"/>
                <w:color w:val="000000"/>
                <w:sz w:val="21"/>
                <w:highlight w:val="none"/>
              </w:rPr>
              <w:t>（7）货物故障报修的响应时间为：7x24小时免费上门服务；</w:t>
            </w:r>
          </w:p>
          <w:p w14:paraId="03AD23A3">
            <w:pPr>
              <w:pStyle w:val="4"/>
              <w:ind w:firstLine="420"/>
              <w:jc w:val="both"/>
              <w:rPr>
                <w:highlight w:val="none"/>
              </w:rPr>
            </w:pPr>
            <w:r>
              <w:rPr>
                <w:rFonts w:ascii="仿宋_GB2312" w:hAnsi="仿宋_GB2312" w:eastAsia="仿宋_GB2312" w:cs="仿宋_GB2312"/>
                <w:color w:val="000000"/>
                <w:sz w:val="21"/>
                <w:highlight w:val="none"/>
              </w:rPr>
              <w:t>（8）所有货物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5B29876A">
            <w:pPr>
              <w:pStyle w:val="4"/>
              <w:ind w:firstLine="420"/>
              <w:jc w:val="both"/>
              <w:rPr>
                <w:highlight w:val="none"/>
              </w:rPr>
            </w:pPr>
            <w:r>
              <w:rPr>
                <w:rFonts w:ascii="仿宋_GB2312" w:hAnsi="仿宋_GB2312" w:eastAsia="仿宋_GB2312" w:cs="仿宋_GB2312"/>
                <w:color w:val="000000"/>
                <w:sz w:val="21"/>
                <w:highlight w:val="none"/>
              </w:rPr>
              <w:t>（9）在保修期内更换系统中的零部件，其保修期应相应延长；</w:t>
            </w:r>
          </w:p>
          <w:p w14:paraId="095170E7">
            <w:pPr>
              <w:pStyle w:val="4"/>
              <w:ind w:firstLine="420"/>
              <w:jc w:val="both"/>
              <w:rPr>
                <w:highlight w:val="none"/>
              </w:rPr>
            </w:pPr>
            <w:r>
              <w:rPr>
                <w:rFonts w:ascii="仿宋_GB2312" w:hAnsi="仿宋_GB2312" w:eastAsia="仿宋_GB2312" w:cs="仿宋_GB2312"/>
                <w:color w:val="000000"/>
                <w:sz w:val="21"/>
                <w:highlight w:val="none"/>
              </w:rPr>
              <w:t>（10）质保期结束后的维修、维护等由双方协商再定。</w:t>
            </w:r>
          </w:p>
          <w:p w14:paraId="661614FD">
            <w:pPr>
              <w:pStyle w:val="4"/>
              <w:jc w:val="both"/>
              <w:rPr>
                <w:highlight w:val="none"/>
              </w:rPr>
            </w:pPr>
            <w:r>
              <w:rPr>
                <w:rFonts w:ascii="仿宋_GB2312" w:hAnsi="仿宋_GB2312" w:eastAsia="仿宋_GB2312" w:cs="仿宋_GB2312"/>
                <w:b/>
                <w:color w:val="000000"/>
                <w:sz w:val="21"/>
                <w:highlight w:val="none"/>
              </w:rPr>
              <w:t>二、其他要求或说明</w:t>
            </w:r>
          </w:p>
          <w:p w14:paraId="6741B742">
            <w:pPr>
              <w:pStyle w:val="4"/>
              <w:ind w:right="90" w:firstLine="422"/>
              <w:jc w:val="both"/>
              <w:rPr>
                <w:highlight w:val="none"/>
              </w:rPr>
            </w:pPr>
            <w:r>
              <w:rPr>
                <w:rFonts w:ascii="仿宋_GB2312" w:hAnsi="仿宋_GB2312" w:eastAsia="仿宋_GB2312" w:cs="仿宋_GB2312"/>
                <w:color w:val="000000"/>
                <w:sz w:val="21"/>
                <w:highlight w:val="none"/>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3A6874F9">
            <w:pPr>
              <w:pStyle w:val="4"/>
              <w:ind w:right="90" w:firstLine="422"/>
              <w:jc w:val="both"/>
              <w:rPr>
                <w:highlight w:val="none"/>
              </w:rPr>
            </w:pPr>
            <w:r>
              <w:rPr>
                <w:rFonts w:ascii="仿宋_GB2312" w:hAnsi="仿宋_GB2312" w:eastAsia="仿宋_GB2312" w:cs="仿宋_GB2312"/>
                <w:color w:val="000000"/>
                <w:sz w:val="21"/>
                <w:highlight w:val="none"/>
              </w:rPr>
              <w:t>2.2设施设备要求：供应商根据采购项目特性及要求，自行配置投入履行合同所必需的各类设施设备（不限于专业设备、辅助设备、工具、软件等），保证项目顺利实施。</w:t>
            </w:r>
          </w:p>
          <w:p w14:paraId="5FA10CEB">
            <w:pPr>
              <w:pStyle w:val="4"/>
              <w:ind w:firstLine="210" w:firstLineChars="100"/>
              <w:rPr>
                <w:rFonts w:hint="eastAsia" w:ascii="仿宋_GB2312" w:hAnsi="仿宋_GB2312" w:eastAsia="仿宋_GB2312" w:cs="仿宋_GB2312"/>
                <w:color w:val="000000"/>
                <w:sz w:val="21"/>
                <w:highlight w:val="none"/>
                <w:lang w:val="en-US" w:eastAsia="zh-CN"/>
              </w:rPr>
            </w:pPr>
            <w:r>
              <w:rPr>
                <w:rFonts w:hint="eastAsia" w:ascii="仿宋_GB2312" w:hAnsi="仿宋_GB2312" w:eastAsia="仿宋_GB2312" w:cs="仿宋_GB2312"/>
                <w:color w:val="000000"/>
                <w:sz w:val="21"/>
                <w:highlight w:val="none"/>
                <w:lang w:val="en-US" w:eastAsia="zh-CN"/>
              </w:rPr>
              <w:t>★2.3核心产品的名称：分级管控终端</w:t>
            </w:r>
          </w:p>
          <w:p w14:paraId="149A6605">
            <w:pPr>
              <w:pStyle w:val="4"/>
              <w:ind w:firstLine="420"/>
              <w:rPr>
                <w:rFonts w:ascii="仿宋_GB2312" w:hAnsi="仿宋_GB2312" w:eastAsia="仿宋_GB2312" w:cs="仿宋_GB2312"/>
                <w:color w:val="000000"/>
                <w:sz w:val="21"/>
                <w:highlight w:val="none"/>
              </w:rPr>
            </w:pPr>
            <w:r>
              <w:rPr>
                <w:rFonts w:ascii="仿宋_GB2312" w:hAnsi="仿宋_GB2312" w:eastAsia="仿宋_GB2312" w:cs="仿宋_GB2312"/>
                <w:color w:val="000000"/>
                <w:sz w:val="21"/>
                <w:highlight w:val="none"/>
              </w:rPr>
              <w:t>2.</w:t>
            </w:r>
            <w:r>
              <w:rPr>
                <w:rFonts w:hint="eastAsia" w:ascii="仿宋_GB2312" w:hAnsi="仿宋_GB2312" w:eastAsia="仿宋_GB2312" w:cs="仿宋_GB2312"/>
                <w:color w:val="000000"/>
                <w:sz w:val="21"/>
                <w:highlight w:val="none"/>
                <w:lang w:val="en-US" w:eastAsia="zh-CN"/>
              </w:rPr>
              <w:t>4</w:t>
            </w:r>
            <w:r>
              <w:rPr>
                <w:rFonts w:ascii="仿宋_GB2312" w:hAnsi="仿宋_GB2312" w:eastAsia="仿宋_GB2312" w:cs="仿宋_GB2312"/>
                <w:color w:val="000000"/>
                <w:sz w:val="21"/>
                <w:highlight w:val="none"/>
              </w:rPr>
              <w:t>本项目标的所属行业为:</w:t>
            </w:r>
            <w:r>
              <w:rPr>
                <w:rFonts w:ascii="仿宋_GB2312" w:hAnsi="仿宋_GB2312" w:eastAsia="仿宋_GB2312" w:cs="仿宋_GB2312"/>
                <w:highlight w:val="none"/>
                <w:u w:val="single"/>
              </w:rPr>
              <w:t xml:space="preserve"> </w:t>
            </w:r>
            <w:r>
              <w:rPr>
                <w:rFonts w:ascii="仿宋_GB2312" w:hAnsi="仿宋_GB2312" w:eastAsia="仿宋_GB2312" w:cs="仿宋_GB2312"/>
                <w:color w:val="000000"/>
                <w:sz w:val="21"/>
                <w:highlight w:val="none"/>
                <w:u w:val="single"/>
              </w:rPr>
              <w:t>工业</w:t>
            </w:r>
            <w:r>
              <w:rPr>
                <w:rFonts w:ascii="仿宋_GB2312" w:hAnsi="仿宋_GB2312" w:eastAsia="仿宋_GB2312" w:cs="仿宋_GB2312"/>
                <w:highlight w:val="none"/>
                <w:u w:val="single"/>
              </w:rPr>
              <w:t xml:space="preserve"> </w:t>
            </w:r>
            <w:r>
              <w:rPr>
                <w:rFonts w:ascii="仿宋_GB2312" w:hAnsi="仿宋_GB2312" w:eastAsia="仿宋_GB2312" w:cs="仿宋_GB2312"/>
                <w:color w:val="000000"/>
                <w:sz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1456E4">
            <w:pPr>
              <w:pStyle w:val="4"/>
              <w:ind w:firstLine="420"/>
              <w:rPr>
                <w:rFonts w:ascii="仿宋_GB2312" w:hAnsi="仿宋_GB2312" w:eastAsia="仿宋_GB2312" w:cs="仿宋_GB2312"/>
                <w:color w:val="000000"/>
                <w:sz w:val="21"/>
                <w:highlight w:val="none"/>
              </w:rPr>
            </w:pPr>
            <w:r>
              <w:rPr>
                <w:rFonts w:hint="eastAsia" w:ascii="仿宋_GB2312" w:hAnsi="仿宋_GB2312" w:eastAsia="仿宋_GB2312" w:cs="仿宋_GB2312"/>
                <w:color w:val="000000"/>
                <w:sz w:val="21"/>
                <w:highlight w:val="none"/>
              </w:rPr>
              <w:t>校园安全智能化管理系统</w:t>
            </w:r>
            <w:r>
              <w:rPr>
                <w:rFonts w:ascii="仿宋_GB2312" w:hAnsi="仿宋_GB2312" w:eastAsia="仿宋_GB2312" w:cs="仿宋_GB2312"/>
                <w:color w:val="000000"/>
                <w:sz w:val="21"/>
                <w:highlight w:val="none"/>
              </w:rPr>
              <w:t>采购需求清单</w:t>
            </w:r>
          </w:p>
          <w:tbl>
            <w:tblPr>
              <w:tblStyle w:val="2"/>
              <w:tblpPr w:leftFromText="180" w:rightFromText="180" w:vertAnchor="text" w:horzAnchor="page" w:tblpX="176" w:tblpY="292"/>
              <w:tblOverlap w:val="never"/>
              <w:tblW w:w="6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
              <w:gridCol w:w="377"/>
              <w:gridCol w:w="377"/>
              <w:gridCol w:w="4644"/>
              <w:gridCol w:w="377"/>
              <w:gridCol w:w="377"/>
              <w:gridCol w:w="412"/>
            </w:tblGrid>
            <w:tr w14:paraId="32B7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41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567DA7FC">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37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6EF07E7">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w:t>
                  </w:r>
                </w:p>
              </w:tc>
              <w:tc>
                <w:tcPr>
                  <w:tcW w:w="377" w:type="dxa"/>
                  <w:tcBorders>
                    <w:top w:val="single" w:color="000000" w:sz="4" w:space="0"/>
                    <w:left w:val="nil"/>
                    <w:bottom w:val="single" w:color="000000" w:sz="4" w:space="0"/>
                    <w:right w:val="single" w:color="000000" w:sz="4" w:space="0"/>
                  </w:tcBorders>
                  <w:shd w:val="clear" w:color="auto" w:fill="D0CECE"/>
                  <w:noWrap/>
                  <w:vAlign w:val="center"/>
                </w:tcPr>
                <w:p w14:paraId="5CC6271F">
                  <w:pPr>
                    <w:jc w:val="center"/>
                    <w:rPr>
                      <w:rFonts w:hint="eastAsia" w:ascii="仿宋" w:hAnsi="仿宋" w:eastAsia="仿宋" w:cs="仿宋"/>
                      <w:b/>
                      <w:bCs/>
                      <w:i w:val="0"/>
                      <w:iCs w:val="0"/>
                      <w:color w:val="auto"/>
                      <w:sz w:val="20"/>
                      <w:szCs w:val="20"/>
                      <w:highlight w:val="none"/>
                      <w:u w:val="none"/>
                    </w:rPr>
                  </w:pPr>
                </w:p>
              </w:tc>
              <w:tc>
                <w:tcPr>
                  <w:tcW w:w="464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18895658">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功能说明</w:t>
                  </w:r>
                </w:p>
              </w:tc>
              <w:tc>
                <w:tcPr>
                  <w:tcW w:w="37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15C3FC4">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37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004183D3">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41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425FEC06">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备注</w:t>
                  </w:r>
                </w:p>
              </w:tc>
            </w:tr>
            <w:tr w14:paraId="11E1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1"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35D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189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校园安全智能化管理系统软件</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0B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基础平台</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36A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1、平台框架：平台采用微服务架构体系，提供多种应用程序，包括但不限于：管理端、个人端、公众号、小程序、家校互动、桌面端、各应用特定软件端等；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2、角色权限：统一管理多个应用系统中涉及的各类权限，包括但不限于：显示权限、编辑权限、删除权限、数据范围权限等；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3、统一认证：实现用户一次登录平台门户，即可使用系统中所提供的各项授权服务。认证中心主要包括身份认证、授权访问控制等功能。除账号密码登录之外，系统支持短信验证登录、微信及手机号快速登录；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4、统一用户管理：统一管理多个应用系统中涉及的各类用户信息，包括但不限于：各级各部门领导、教师、学生、家长、保安基本信息、人脸信息等；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5、基础模块：包括但不限于角色权限、用户管理、组织结构、设备管理、应用管理等模块；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6、集成管理：提供统一接口，可与第三方应用对接校园平台。</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38F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5E1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3A0B">
                  <w:pPr>
                    <w:jc w:val="center"/>
                    <w:rPr>
                      <w:rFonts w:hint="eastAsia" w:ascii="仿宋" w:hAnsi="仿宋" w:eastAsia="仿宋" w:cs="仿宋"/>
                      <w:i w:val="0"/>
                      <w:iCs w:val="0"/>
                      <w:color w:val="auto"/>
                      <w:sz w:val="20"/>
                      <w:szCs w:val="20"/>
                      <w:highlight w:val="none"/>
                      <w:u w:val="none"/>
                    </w:rPr>
                  </w:pPr>
                </w:p>
              </w:tc>
            </w:tr>
            <w:tr w14:paraId="4779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AA96">
                  <w:pPr>
                    <w:jc w:val="center"/>
                    <w:rPr>
                      <w:rFonts w:hint="eastAsia" w:ascii="仿宋" w:hAnsi="仿宋" w:eastAsia="仿宋" w:cs="仿宋"/>
                      <w:i w:val="0"/>
                      <w:iCs w:val="0"/>
                      <w:color w:val="auto"/>
                      <w:sz w:val="20"/>
                      <w:szCs w:val="20"/>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D3BB8">
                  <w:pPr>
                    <w:jc w:val="center"/>
                    <w:rPr>
                      <w:rFonts w:hint="eastAsia" w:ascii="仿宋" w:hAnsi="仿宋" w:eastAsia="仿宋" w:cs="仿宋"/>
                      <w:i w:val="0"/>
                      <w:iCs w:val="0"/>
                      <w:color w:val="auto"/>
                      <w:sz w:val="20"/>
                      <w:szCs w:val="20"/>
                      <w:highlight w:val="none"/>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99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安全管理系统</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61B5">
                  <w:pPr>
                    <w:keepNext w:val="0"/>
                    <w:keepLines w:val="0"/>
                    <w:widowControl/>
                    <w:suppressLineNumbers w:val="0"/>
                    <w:spacing w:after="200" w:afterAutospacing="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系统需涵盖日常安全管理、安全预防管理、专项安全管理、应急事件管理四大核心模块，并实现以下关键功能：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（一）日常安全管理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1、访客管理：全电子化登记，支持身份证与手机号双识别，支持设备及手机多种方式登记，支持访客登记信息审核通过后签入签出；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2、学生请假：支持家长小程序及班主任多种方式发起，请假支持设置多层审批方式，审批状态可通过公众号进行实时推送，出入校学生可通过人脸识别进行请假信息查询及认证。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学生非正常出入校：对于迟到等特殊情况出入校学生，学生在校门口终端设备上通过学生卡或者学号等方式查询学生信息、保安进行信息（照片比对）核实，确认后保安刷卡学生进校。学生进校同时系统通过公众号或短信的方式同步通知学生家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4、校门口环境优化管理：支持通过安全分控台远程调取现场视频，并进行远程喊话，支持通过无线手柄现场喊话及播音，有效驱散异常聚集人群，确保校园周边环境的和谐与安全。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5、教师安全值周管理：可落实值周老师校园安全值周工作，帮助学校建立可控制的校园管理秩序。老师可在校园安全区域网格的智能终端上人脸认证签到，实现教师执勤记录电子归档，便于安全工作考核。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6、安全台账：保安台账、安全制度、物资台账、安全文件、报警台账等。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7、隐患排查：可通过PC端和手机小程序实现移动线上管理机制，对隐患排查治理工作进行及时有效跟踪，实现隐患排查、上报、整改、复查、记录留痕、表单存档等工作。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（二）安全预防管理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8、安全教育：可联动智能安全终端，在课间休息和学生自由活动时段循环播放校园安全、法制安全、心理安全等主题的宣传视频和音频内容。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9、安全公示：具有通知公告、风采展示、安全值周公示、网格区域负责人公示等功能。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10、危险源管理：对危险源做到等级分类、危害程度说明等关键信息，创建危险源信息后可立即同步终端公示，全校师生可在终端设备上查看。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（三）专项安全管理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11、欺凌防范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学生遇到危险或紧急状况时，可通过一键报警按键向安全系统平台报警，老师或保安通过系统平台收到学生的报警信息时，可同学生进行视频通话，了解现场情况。并通过关联的现场视频弹窗定位事发区域，通过远程喊话对现场危险行为进行制止，同时调度附近老师或保安快速到达现场，及时进行处置。起到及时发现、快速处置的作用。加强对学生的管理能力，保障学生的在校安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12、智能预警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支持一键报警、语音识别报警、视频分析报警、红外报警、烟感报警等报警设备接入统一管理。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13、视频对讲管理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学生寻求老师帮助时，可借助终端迅速发起呼叫，而老师则能灵活采用多种视频方式回应学生，此举极大地增强了老师响应的灵活性与及时性，确保学生能够轻松高效地获得所需的帮助。</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14、视频接入：可将安全网格内的视频设备统一接入系统中。解决原有校园监控部署条块化、孤岛化的现状。实现分区轮巡、自动预警、快速定位、音视频联动、远程干预、快速处置的功能。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（四）应急事件管理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15、电子预案管理功能：实现校园安全预案电子化归档、专有人员管理。可根据不同权限分组，制定相应责任人职责内容，明确分工。根据人员权限查预案内容。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16、语音预案：发生紧急情况时，老师可在监控室或者小程序控制前端智能设备播放相应场景（如地震、火灾等）的疏散语音，或可远程通过话筒对智能终端广播喊话，提醒学生有序撤离，指挥学生安全疏散。</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6148A">
                  <w:pPr>
                    <w:jc w:val="center"/>
                    <w:rPr>
                      <w:rFonts w:hint="eastAsia" w:ascii="仿宋" w:hAnsi="仿宋" w:eastAsia="仿宋" w:cs="仿宋"/>
                      <w:i w:val="0"/>
                      <w:iCs w:val="0"/>
                      <w:color w:val="auto"/>
                      <w:sz w:val="20"/>
                      <w:szCs w:val="20"/>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A2B9">
                  <w:pPr>
                    <w:jc w:val="center"/>
                    <w:rPr>
                      <w:rFonts w:hint="eastAsia" w:ascii="仿宋" w:hAnsi="仿宋" w:eastAsia="仿宋" w:cs="仿宋"/>
                      <w:i w:val="0"/>
                      <w:iCs w:val="0"/>
                      <w:color w:val="auto"/>
                      <w:sz w:val="20"/>
                      <w:szCs w:val="20"/>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5FCB">
                  <w:pPr>
                    <w:jc w:val="center"/>
                    <w:rPr>
                      <w:rFonts w:hint="eastAsia" w:ascii="仿宋" w:hAnsi="仿宋" w:eastAsia="仿宋" w:cs="仿宋"/>
                      <w:i w:val="0"/>
                      <w:iCs w:val="0"/>
                      <w:color w:val="auto"/>
                      <w:sz w:val="20"/>
                      <w:szCs w:val="20"/>
                      <w:highlight w:val="none"/>
                      <w:u w:val="none"/>
                    </w:rPr>
                  </w:pPr>
                </w:p>
              </w:tc>
            </w:tr>
            <w:tr w14:paraId="2CDA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7"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4C76">
                  <w:pPr>
                    <w:jc w:val="center"/>
                    <w:rPr>
                      <w:rFonts w:hint="eastAsia" w:ascii="仿宋" w:hAnsi="仿宋" w:eastAsia="仿宋" w:cs="仿宋"/>
                      <w:i w:val="0"/>
                      <w:iCs w:val="0"/>
                      <w:color w:val="auto"/>
                      <w:sz w:val="20"/>
                      <w:szCs w:val="20"/>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42C0C">
                  <w:pPr>
                    <w:jc w:val="center"/>
                    <w:rPr>
                      <w:rFonts w:hint="eastAsia" w:ascii="仿宋" w:hAnsi="仿宋" w:eastAsia="仿宋" w:cs="仿宋"/>
                      <w:i w:val="0"/>
                      <w:iCs w:val="0"/>
                      <w:color w:val="auto"/>
                      <w:sz w:val="20"/>
                      <w:szCs w:val="20"/>
                      <w:highlight w:val="none"/>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1C0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小程序</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61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1、小程序根据不同角色权限可分配对应的功能应用。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2、实时接收校园安全预警信息，查看安全报警事件的处理状态。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3、实时查看校园欺凌委员会。</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4、实时查看校园日常管理数据，例如：值班签到、安全巡检、校园访客。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5、查看校园各项安全台账。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6、记录校园安全事件的处理过程及结果。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7、通过小程序发布安全工作任务、安全教育信息（图文、视频等）、安全公示、危险源提醒等。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8、可查看在校学生信息等。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9、小程序需支持隐患排除、隐患上报等功能。</w:t>
                  </w: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59F21">
                  <w:pPr>
                    <w:jc w:val="center"/>
                    <w:rPr>
                      <w:rFonts w:hint="eastAsia" w:ascii="仿宋" w:hAnsi="仿宋" w:eastAsia="仿宋" w:cs="仿宋"/>
                      <w:i w:val="0"/>
                      <w:iCs w:val="0"/>
                      <w:color w:val="auto"/>
                      <w:sz w:val="20"/>
                      <w:szCs w:val="20"/>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6A504">
                  <w:pPr>
                    <w:jc w:val="center"/>
                    <w:rPr>
                      <w:rFonts w:hint="eastAsia" w:ascii="仿宋" w:hAnsi="仿宋" w:eastAsia="仿宋" w:cs="仿宋"/>
                      <w:i w:val="0"/>
                      <w:iCs w:val="0"/>
                      <w:color w:val="auto"/>
                      <w:sz w:val="20"/>
                      <w:szCs w:val="20"/>
                      <w:highlight w:val="none"/>
                      <w:u w:val="none"/>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CB5B">
                  <w:pPr>
                    <w:jc w:val="center"/>
                    <w:rPr>
                      <w:rFonts w:hint="eastAsia" w:ascii="仿宋" w:hAnsi="仿宋" w:eastAsia="仿宋" w:cs="仿宋"/>
                      <w:i w:val="0"/>
                      <w:iCs w:val="0"/>
                      <w:color w:val="auto"/>
                      <w:sz w:val="20"/>
                      <w:szCs w:val="20"/>
                      <w:highlight w:val="none"/>
                      <w:u w:val="none"/>
                    </w:rPr>
                  </w:pPr>
                </w:p>
              </w:tc>
            </w:tr>
            <w:tr w14:paraId="3E74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3"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D2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E5E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硬件设备</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FC2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分级管控终端</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0CD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处理器：≥RK3288 Cortex-A17 四核 1.8 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存储：≥2GB+8GB；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通讯：以太网RJ45接口，10M/100M自适应WIFI802.11b/g/n，4G；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★屏幕：≥15.6英寸，多点触控；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输出分辨率：最高支持1080P高清输出；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视频播放：格式：RM/RMVB，MKV，TS，AVI，VOB，MOV，WMV，MP4；</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解码：H.264，VC-1，WMV-HD，MPEG1/2/4最大至1080P@30帧/秒；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音频播放：MP3，WMA，APE，Flac；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输入电压：100-240VAC/47-63Hz；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功耗：≤30W；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环境温度：-25℃to+55℃；</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读写模组：IC+ID双频读卡，wiegang和Urart数据协议；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★内置一键报警功能，设备需具有报警物理按键，可及时联系到老师，并可通过安全分控台与老师进行视频通话语音干预：发生危险事件，可对前端设备进行语音干预，及时制止危险事件发生。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内置AI识别芯片：支持离线语音识别（关键词）报警。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语音疏散：发生紧急事件，可远程语音指挥学生应急疏散。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★应急管理：紧急情况下，可一键启动应急预案，包括但不限于：语音预案、视频预案。</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应急功能：设备内置不小于2800mAh锂电池组，并配备应急灯，确保在断电情况下仍能正常工作并自动启动应急照明功能。即便在断电状态下，设备能持续运行不小于2小时。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人工智能：内置AI识别芯片，离线人脸识别及语音识别报警（关键词识别）。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需对接系统平台，包括但不限于统一登录、人脸数据系统平台下发、设备状态、设备管理、远程控制、一键报警、视频对讲、语音干预、校园通知、危险源展示、师生签到、保安巡检数据等。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硬件产品和软件产品需为同一品牌</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AA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76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AA2F">
                  <w:pPr>
                    <w:rPr>
                      <w:rFonts w:hint="eastAsia" w:ascii="仿宋" w:hAnsi="仿宋" w:eastAsia="仿宋" w:cs="仿宋"/>
                      <w:i w:val="0"/>
                      <w:iCs w:val="0"/>
                      <w:color w:val="auto"/>
                      <w:sz w:val="20"/>
                      <w:szCs w:val="20"/>
                      <w:highlight w:val="none"/>
                      <w:u w:val="none"/>
                    </w:rPr>
                  </w:pPr>
                </w:p>
              </w:tc>
            </w:tr>
            <w:tr w14:paraId="1A0C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1"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44F3">
                  <w:pPr>
                    <w:jc w:val="center"/>
                    <w:rPr>
                      <w:rFonts w:hint="eastAsia" w:ascii="仿宋" w:hAnsi="仿宋" w:eastAsia="仿宋" w:cs="仿宋"/>
                      <w:i w:val="0"/>
                      <w:iCs w:val="0"/>
                      <w:color w:val="auto"/>
                      <w:sz w:val="20"/>
                      <w:szCs w:val="20"/>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FE361">
                  <w:pPr>
                    <w:jc w:val="center"/>
                    <w:rPr>
                      <w:rFonts w:hint="eastAsia" w:ascii="仿宋" w:hAnsi="仿宋" w:eastAsia="仿宋" w:cs="仿宋"/>
                      <w:i w:val="0"/>
                      <w:iCs w:val="0"/>
                      <w:color w:val="auto"/>
                      <w:sz w:val="20"/>
                      <w:szCs w:val="20"/>
                      <w:highlight w:val="none"/>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103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AI语音识别终端</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E6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关键词识别：支持:救命、报警、着火、打假等关键词识别。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识别方式：支持离线识别、支持人体感应识别双识别算法。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设备拾音覆盖范围：≥3米；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麦克风：</w:t>
                  </w:r>
                  <w:r>
                    <w:rPr>
                      <w:rStyle w:val="5"/>
                      <w:rFonts w:hint="eastAsia" w:ascii="仿宋" w:hAnsi="仿宋" w:eastAsia="仿宋" w:cs="仿宋"/>
                      <w:color w:val="auto"/>
                      <w:highlight w:val="none"/>
                      <w:lang w:val="en-US" w:eastAsia="zh-CN" w:bidi="ar"/>
                    </w:rPr>
                    <w:t>支持双通道采集；</w:t>
                  </w:r>
                  <w:r>
                    <w:rPr>
                      <w:rStyle w:val="6"/>
                      <w:rFonts w:hint="eastAsia" w:ascii="仿宋" w:hAnsi="仿宋" w:eastAsia="仿宋" w:cs="仿宋"/>
                      <w:color w:val="auto"/>
                      <w:highlight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灵敏度：-32±3 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频率范围：70 Hz ～ 10 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语音响应速度 ≤30ms；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语音采样率：数字音频16 kHz；模拟音频48 kHz；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语音采样位：16bit；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语音编码格式：支持PCM编码；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信噪比 ≥65 db；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输出信号幅度 ≥1Vrms；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电源电压 AC 85-265V 宽电压；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电源电流 ≤1A；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整机最大功率 ≤18.5W；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工作环境温度 -20℃～60℃；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通过关键词识别激活报警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可根据不同关键词播放相应的警示语音，也可由后端分控设备对终端进行预制警示语音、提醒语音的主动指令播放。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声音播放：支持文字转语音、录音、音频文件等。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具有香烟报警、火灾报警功能，可联动报警长传及现场声音自定义播放。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物联接入：可接入现有物联控制设备，通过现有平台综合管理及控制。支持移动互联。</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无线通讯：采用NB-IoT通讯网络，直连运营商基站</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硬件产品和软件产品需为同一品牌</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5B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F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99E1">
                  <w:pPr>
                    <w:rPr>
                      <w:rFonts w:hint="eastAsia" w:ascii="仿宋" w:hAnsi="仿宋" w:eastAsia="仿宋" w:cs="仿宋"/>
                      <w:i w:val="0"/>
                      <w:iCs w:val="0"/>
                      <w:color w:val="auto"/>
                      <w:sz w:val="20"/>
                      <w:szCs w:val="20"/>
                      <w:highlight w:val="none"/>
                      <w:u w:val="none"/>
                    </w:rPr>
                  </w:pPr>
                </w:p>
              </w:tc>
            </w:tr>
            <w:tr w14:paraId="46A1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3"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2D20">
                  <w:pPr>
                    <w:jc w:val="center"/>
                    <w:rPr>
                      <w:rFonts w:hint="eastAsia" w:ascii="仿宋" w:hAnsi="仿宋" w:eastAsia="仿宋" w:cs="仿宋"/>
                      <w:i w:val="0"/>
                      <w:iCs w:val="0"/>
                      <w:color w:val="auto"/>
                      <w:sz w:val="20"/>
                      <w:szCs w:val="20"/>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64826">
                  <w:pPr>
                    <w:jc w:val="center"/>
                    <w:rPr>
                      <w:rFonts w:hint="eastAsia" w:ascii="仿宋" w:hAnsi="仿宋" w:eastAsia="仿宋" w:cs="仿宋"/>
                      <w:i w:val="0"/>
                      <w:iCs w:val="0"/>
                      <w:color w:val="auto"/>
                      <w:sz w:val="20"/>
                      <w:szCs w:val="20"/>
                      <w:highlight w:val="none"/>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D88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校门口管理终端</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CF2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处理器：≥RK3288 Cortex-A17 四核 1.8 GHZ；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存储：≥DDR3 2GB 64bit+NAND FLASH 8GB；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操作系统：不低于 Android 7.1；</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通讯：以太网 RJ45 接口，10M/100M 自适应 WIFI802.11b/g/n，4G；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屏幕：≥15.6 英寸 不低于 10 点触控；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输出分辨率：最高支持 1080P 高清输出；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音频播放：MP3，WMA，APE，Flac 输入电压：100-240VAC/47-63Hz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读写模组：IC+ID 双频读卡，支持身份证识别；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摄像头：≥ 720P；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 ≥2800mAh 锂电池组，断电情况下仍可正常工作不低于2小时；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功能参数：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校门口秩序维护优化：保安人员借助手持终端设备，实现即时本地语音介入与一键广播功能，有效管理现场秩序。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访客登记：登记方式需支持离线身份证识别、二维码登记、短信验证、信息审核等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学生非正常出入校管理：采用人脸识别、校园卡验证及手动查询等多种方式，严格进行学生身份确认，并在后台系统即时生成详尽记录。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护学岗签到：可通过手机扫描设备上的二维码进行一键签到，签到记录在后台归档；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远程信息发布系统：管理人员可借助计算机，向目标设备发布包括文字、图片、视频在内的多样化信息内容。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硬件产品和软件产品需为同一品牌</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96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0B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4A8E">
                  <w:pPr>
                    <w:rPr>
                      <w:rFonts w:hint="eastAsia" w:ascii="仿宋" w:hAnsi="仿宋" w:eastAsia="仿宋" w:cs="仿宋"/>
                      <w:i w:val="0"/>
                      <w:iCs w:val="0"/>
                      <w:color w:val="auto"/>
                      <w:sz w:val="20"/>
                      <w:szCs w:val="20"/>
                      <w:highlight w:val="none"/>
                      <w:u w:val="none"/>
                    </w:rPr>
                  </w:pPr>
                </w:p>
              </w:tc>
            </w:tr>
            <w:tr w14:paraId="3ADE5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3"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CEC9">
                  <w:pPr>
                    <w:jc w:val="center"/>
                    <w:rPr>
                      <w:rFonts w:hint="eastAsia" w:ascii="仿宋" w:hAnsi="仿宋" w:eastAsia="仿宋" w:cs="仿宋"/>
                      <w:i w:val="0"/>
                      <w:iCs w:val="0"/>
                      <w:color w:val="auto"/>
                      <w:sz w:val="20"/>
                      <w:szCs w:val="20"/>
                      <w:highlight w:val="none"/>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7BA1B">
                  <w:pPr>
                    <w:jc w:val="center"/>
                    <w:rPr>
                      <w:rFonts w:hint="eastAsia" w:ascii="仿宋" w:hAnsi="仿宋" w:eastAsia="仿宋" w:cs="仿宋"/>
                      <w:i w:val="0"/>
                      <w:iCs w:val="0"/>
                      <w:color w:val="auto"/>
                      <w:sz w:val="20"/>
                      <w:szCs w:val="20"/>
                      <w:highlight w:val="none"/>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2A9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分控台</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473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处理器: ≥6核心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内存:≥8 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存储:≥12 GB；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显示屏:≥23.8 英寸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投射式电容触摸，10点触摸，响应速度＜8MS；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摄像头：≥100 万像素；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内置麦克风、内置音响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4*USB3.1Gen1/1*USBTyp e-CGen2/1*USB3.1Gen2 标配内置 802.11AC 双频无线网卡带蓝牙 4.2；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站内置校园安全分控管理系统软件支持监控画面自定义轮巡、远程语音干预（前端设备：教室管控终端、安全智能终端、AI语音识别终端、校门口管理终端）、报警接收、视频对讲、报警显示、对前端设备指令播放安全警示音频及安全提醒音频等功能。</w:t>
                  </w:r>
                  <w:r>
                    <w:rPr>
                      <w:rFonts w:hint="eastAsia" w:ascii="仿宋" w:hAnsi="仿宋" w:eastAsia="仿宋" w:cs="仿宋"/>
                      <w:i w:val="0"/>
                      <w:iCs w:val="0"/>
                      <w:color w:val="auto"/>
                      <w:kern w:val="0"/>
                      <w:sz w:val="20"/>
                      <w:szCs w:val="20"/>
                      <w:highlight w:val="none"/>
                      <w:u w:val="none"/>
                      <w:lang w:val="en-US" w:eastAsia="zh-CN" w:bidi="ar"/>
                    </w:rPr>
                    <w:br w:type="textWrapping"/>
                  </w:r>
                  <w:r>
                    <w:rPr>
                      <w:rStyle w:val="6"/>
                      <w:rFonts w:hint="eastAsia" w:ascii="仿宋" w:hAnsi="仿宋" w:eastAsia="仿宋" w:cs="仿宋"/>
                      <w:color w:val="auto"/>
                      <w:highlight w:val="none"/>
                      <w:lang w:val="en-US" w:eastAsia="zh-CN" w:bidi="ar"/>
                    </w:rPr>
                    <w:t>硬件产品和软件产品需为同一品牌</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AC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0A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0936">
                  <w:pPr>
                    <w:rPr>
                      <w:rFonts w:hint="eastAsia" w:ascii="仿宋" w:hAnsi="仿宋" w:eastAsia="仿宋" w:cs="仿宋"/>
                      <w:i w:val="0"/>
                      <w:iCs w:val="0"/>
                      <w:color w:val="auto"/>
                      <w:sz w:val="20"/>
                      <w:szCs w:val="20"/>
                      <w:highlight w:val="none"/>
                      <w:u w:val="none"/>
                    </w:rPr>
                  </w:pPr>
                </w:p>
              </w:tc>
            </w:tr>
          </w:tbl>
          <w:p w14:paraId="4717557E">
            <w:pPr>
              <w:pStyle w:val="4"/>
              <w:rPr>
                <w:rFonts w:ascii="仿宋_GB2312" w:hAnsi="仿宋_GB2312" w:eastAsia="仿宋_GB2312" w:cs="仿宋_GB2312"/>
                <w:color w:val="000000"/>
                <w:sz w:val="21"/>
                <w:highlight w:val="none"/>
              </w:rPr>
            </w:pPr>
          </w:p>
        </w:tc>
      </w:tr>
    </w:tbl>
    <w:p w14:paraId="5D4C7461">
      <w:pPr>
        <w:pStyle w:val="4"/>
        <w:outlineLvl w:val="2"/>
        <w:rPr>
          <w:highlight w:val="none"/>
        </w:rPr>
      </w:pPr>
      <w:r>
        <w:rPr>
          <w:rFonts w:ascii="仿宋_GB2312" w:hAnsi="仿宋_GB2312" w:eastAsia="仿宋_GB2312" w:cs="仿宋_GB2312"/>
          <w:b/>
          <w:sz w:val="28"/>
          <w:highlight w:val="none"/>
        </w:rPr>
        <w:t>3.4商务要求</w:t>
      </w:r>
    </w:p>
    <w:p w14:paraId="36B7B3CD">
      <w:pPr>
        <w:pStyle w:val="4"/>
        <w:outlineLvl w:val="3"/>
        <w:rPr>
          <w:highlight w:val="none"/>
        </w:rPr>
      </w:pPr>
      <w:r>
        <w:rPr>
          <w:rFonts w:ascii="仿宋_GB2312" w:hAnsi="仿宋_GB2312" w:eastAsia="仿宋_GB2312" w:cs="仿宋_GB2312"/>
          <w:b/>
          <w:sz w:val="24"/>
          <w:highlight w:val="none"/>
        </w:rPr>
        <w:t>3.4.1交货时间</w:t>
      </w:r>
    </w:p>
    <w:p w14:paraId="59898A7D">
      <w:pPr>
        <w:pStyle w:val="4"/>
        <w:rPr>
          <w:highlight w:val="none"/>
        </w:rPr>
      </w:pPr>
      <w:r>
        <w:rPr>
          <w:rFonts w:ascii="仿宋_GB2312" w:hAnsi="仿宋_GB2312" w:eastAsia="仿宋_GB2312" w:cs="仿宋_GB2312"/>
          <w:highlight w:val="none"/>
        </w:rPr>
        <w:t>采购包1：</w:t>
      </w:r>
    </w:p>
    <w:p w14:paraId="583C47FE">
      <w:pPr>
        <w:pStyle w:val="4"/>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en-US"/>
        </w:rPr>
        <w:t>自合同签订生效之日起</w:t>
      </w:r>
      <w:r>
        <w:rPr>
          <w:rFonts w:hint="eastAsia" w:ascii="仿宋_GB2312" w:hAnsi="仿宋_GB2312" w:eastAsia="仿宋_GB2312" w:cs="仿宋_GB2312"/>
          <w:highlight w:val="none"/>
          <w:lang w:val="en-US" w:eastAsia="zh-CN"/>
        </w:rPr>
        <w:t>30</w:t>
      </w:r>
      <w:r>
        <w:rPr>
          <w:rFonts w:hint="eastAsia" w:ascii="仿宋_GB2312" w:hAnsi="仿宋_GB2312" w:eastAsia="仿宋_GB2312" w:cs="仿宋_GB2312"/>
          <w:highlight w:val="none"/>
          <w:lang w:val="en-US" w:eastAsia="en-US"/>
        </w:rPr>
        <w:t>日内完成供货、安装、调试、验收</w:t>
      </w:r>
      <w:r>
        <w:rPr>
          <w:rFonts w:hint="eastAsia" w:ascii="仿宋_GB2312" w:hAnsi="仿宋_GB2312" w:eastAsia="仿宋_GB2312" w:cs="仿宋_GB2312"/>
          <w:highlight w:val="none"/>
          <w:lang w:eastAsia="zh-CN"/>
        </w:rPr>
        <w:t>。</w:t>
      </w:r>
      <w:bookmarkStart w:id="0" w:name="_GoBack"/>
      <w:bookmarkEnd w:id="0"/>
    </w:p>
    <w:p w14:paraId="32C52558">
      <w:pPr>
        <w:pStyle w:val="4"/>
        <w:outlineLvl w:val="3"/>
        <w:rPr>
          <w:highlight w:val="none"/>
        </w:rPr>
      </w:pPr>
      <w:r>
        <w:rPr>
          <w:rFonts w:ascii="仿宋_GB2312" w:hAnsi="仿宋_GB2312" w:eastAsia="仿宋_GB2312" w:cs="仿宋_GB2312"/>
          <w:b/>
          <w:sz w:val="24"/>
          <w:highlight w:val="none"/>
        </w:rPr>
        <w:t>3.4.2交货地点和方式</w:t>
      </w:r>
    </w:p>
    <w:p w14:paraId="68A2112D">
      <w:pPr>
        <w:pStyle w:val="4"/>
        <w:rPr>
          <w:highlight w:val="none"/>
        </w:rPr>
      </w:pPr>
      <w:r>
        <w:rPr>
          <w:rFonts w:ascii="仿宋_GB2312" w:hAnsi="仿宋_GB2312" w:eastAsia="仿宋_GB2312" w:cs="仿宋_GB2312"/>
          <w:highlight w:val="none"/>
        </w:rPr>
        <w:t>采购包1：</w:t>
      </w:r>
    </w:p>
    <w:p w14:paraId="10AFE232">
      <w:pPr>
        <w:pStyle w:val="4"/>
        <w:rPr>
          <w:highlight w:val="none"/>
        </w:rPr>
      </w:pPr>
      <w:r>
        <w:rPr>
          <w:rFonts w:ascii="仿宋_GB2312" w:hAnsi="仿宋_GB2312" w:eastAsia="仿宋_GB2312" w:cs="仿宋_GB2312"/>
          <w:highlight w:val="none"/>
        </w:rPr>
        <w:t>按采购人指定地点</w:t>
      </w:r>
    </w:p>
    <w:p w14:paraId="3DC5B6D9">
      <w:pPr>
        <w:pStyle w:val="4"/>
        <w:outlineLvl w:val="3"/>
        <w:rPr>
          <w:highlight w:val="none"/>
        </w:rPr>
      </w:pPr>
      <w:r>
        <w:rPr>
          <w:rFonts w:ascii="仿宋_GB2312" w:hAnsi="仿宋_GB2312" w:eastAsia="仿宋_GB2312" w:cs="仿宋_GB2312"/>
          <w:b/>
          <w:sz w:val="24"/>
          <w:highlight w:val="none"/>
        </w:rPr>
        <w:t>3.4.3支付方式</w:t>
      </w:r>
    </w:p>
    <w:p w14:paraId="3F150EC4">
      <w:pPr>
        <w:pStyle w:val="4"/>
        <w:rPr>
          <w:highlight w:val="none"/>
        </w:rPr>
      </w:pPr>
      <w:r>
        <w:rPr>
          <w:rFonts w:ascii="仿宋_GB2312" w:hAnsi="仿宋_GB2312" w:eastAsia="仿宋_GB2312" w:cs="仿宋_GB2312"/>
          <w:highlight w:val="none"/>
        </w:rPr>
        <w:t>采购包1：</w:t>
      </w:r>
    </w:p>
    <w:p w14:paraId="660873D5">
      <w:pPr>
        <w:pStyle w:val="4"/>
        <w:rPr>
          <w:highlight w:val="none"/>
        </w:rPr>
      </w:pPr>
      <w:r>
        <w:rPr>
          <w:rFonts w:ascii="仿宋_GB2312" w:hAnsi="仿宋_GB2312" w:eastAsia="仿宋_GB2312" w:cs="仿宋_GB2312"/>
          <w:highlight w:val="none"/>
        </w:rPr>
        <w:t>一次付清</w:t>
      </w:r>
    </w:p>
    <w:p w14:paraId="31C552EB">
      <w:pPr>
        <w:pStyle w:val="4"/>
        <w:outlineLvl w:val="3"/>
        <w:rPr>
          <w:highlight w:val="none"/>
        </w:rPr>
      </w:pPr>
      <w:r>
        <w:rPr>
          <w:rFonts w:ascii="仿宋_GB2312" w:hAnsi="仿宋_GB2312" w:eastAsia="仿宋_GB2312" w:cs="仿宋_GB2312"/>
          <w:b/>
          <w:sz w:val="24"/>
          <w:highlight w:val="none"/>
        </w:rPr>
        <w:t>3.4.4支付约定</w:t>
      </w:r>
    </w:p>
    <w:p w14:paraId="216E5AB9">
      <w:pPr>
        <w:pStyle w:val="4"/>
        <w:rPr>
          <w:highlight w:val="none"/>
        </w:rPr>
      </w:pPr>
      <w:r>
        <w:rPr>
          <w:rFonts w:ascii="仿宋_GB2312" w:hAnsi="仿宋_GB2312" w:eastAsia="仿宋_GB2312" w:cs="仿宋_GB2312"/>
          <w:highlight w:val="none"/>
        </w:rPr>
        <w:t>采购包1：</w:t>
      </w:r>
      <w:r>
        <w:rPr>
          <w:rFonts w:ascii="仿宋_GB2312" w:hAnsi="仿宋_GB2312" w:eastAsia="仿宋_GB2312" w:cs="仿宋_GB2312"/>
          <w:highlight w:val="none"/>
        </w:rPr>
        <w:t xml:space="preserve"> 付款条件说明： </w:t>
      </w:r>
      <w:r>
        <w:rPr>
          <w:rFonts w:hint="eastAsia" w:ascii="仿宋_GB2312" w:hAnsi="仿宋_GB2312" w:eastAsia="仿宋_GB2312" w:cs="仿宋_GB2312"/>
          <w:highlight w:val="none"/>
        </w:rPr>
        <w:t>所有货物交货完成，验收合格，达到付款条件起 30 日内，支付合同总金额的 100.00%。</w:t>
      </w:r>
    </w:p>
    <w:p w14:paraId="73DA8DD3">
      <w:pPr>
        <w:pStyle w:val="4"/>
        <w:outlineLvl w:val="3"/>
        <w:rPr>
          <w:highlight w:val="none"/>
        </w:rPr>
      </w:pPr>
      <w:r>
        <w:rPr>
          <w:rFonts w:ascii="仿宋_GB2312" w:hAnsi="仿宋_GB2312" w:eastAsia="仿宋_GB2312" w:cs="仿宋_GB2312"/>
          <w:b/>
          <w:sz w:val="24"/>
          <w:highlight w:val="none"/>
        </w:rPr>
        <w:t>3.4.5验收标准和方法</w:t>
      </w:r>
    </w:p>
    <w:p w14:paraId="1EF91B00">
      <w:pPr>
        <w:pStyle w:val="4"/>
        <w:rPr>
          <w:highlight w:val="none"/>
        </w:rPr>
      </w:pPr>
      <w:r>
        <w:rPr>
          <w:rFonts w:ascii="仿宋_GB2312" w:hAnsi="仿宋_GB2312" w:eastAsia="仿宋_GB2312" w:cs="仿宋_GB2312"/>
          <w:highlight w:val="none"/>
        </w:rPr>
        <w:t>采购包1：</w:t>
      </w:r>
    </w:p>
    <w:p w14:paraId="0862D731">
      <w:pPr>
        <w:pStyle w:val="4"/>
        <w:rPr>
          <w:highlight w:val="none"/>
        </w:rPr>
      </w:pPr>
      <w:r>
        <w:rPr>
          <w:rFonts w:ascii="仿宋_GB2312" w:hAnsi="仿宋_GB2312" w:eastAsia="仿宋_GB2312" w:cs="仿宋_GB2312"/>
          <w:highlight w:val="none"/>
        </w:rPr>
        <w:t>现行的国家标准或国家行政部门颁布的法律法规、规章制度等，是项目验收的重要依据，采购人单位按照国家（行业）强制性标准及合同约定对成交供应商所提供的货物（产品）或服务进行检查或验收，成交供应商须无条件地接受采购人的各类检查或验收；若验收不通过或质量不合格，成交供应商应在一定期限进行整改完善，以采购人要求的标准提供合格的货物（产品）或服务；若成交供应商在接受检查整改后，仍不能提供符合采购要求的合格货物（产品）或服务，采购人有权按违约予以撤项，具体按合同相关条款执行。</w:t>
      </w:r>
    </w:p>
    <w:p w14:paraId="5FBB42AE">
      <w:pPr>
        <w:pStyle w:val="4"/>
        <w:outlineLvl w:val="3"/>
        <w:rPr>
          <w:highlight w:val="none"/>
        </w:rPr>
      </w:pPr>
      <w:r>
        <w:rPr>
          <w:rFonts w:ascii="仿宋_GB2312" w:hAnsi="仿宋_GB2312" w:eastAsia="仿宋_GB2312" w:cs="仿宋_GB2312"/>
          <w:b/>
          <w:sz w:val="24"/>
          <w:highlight w:val="none"/>
        </w:rPr>
        <w:t>3.4.6包装方式及运输</w:t>
      </w:r>
    </w:p>
    <w:p w14:paraId="133D2249">
      <w:pPr>
        <w:pStyle w:val="4"/>
        <w:rPr>
          <w:highlight w:val="none"/>
        </w:rPr>
      </w:pPr>
      <w:r>
        <w:rPr>
          <w:rFonts w:ascii="仿宋_GB2312" w:hAnsi="仿宋_GB2312" w:eastAsia="仿宋_GB2312" w:cs="仿宋_GB2312"/>
          <w:highlight w:val="none"/>
        </w:rPr>
        <w:t>采购包1：</w:t>
      </w:r>
    </w:p>
    <w:p w14:paraId="66B04E75">
      <w:pPr>
        <w:pStyle w:val="4"/>
        <w:rPr>
          <w:highlight w:val="none"/>
        </w:rPr>
      </w:pPr>
      <w:r>
        <w:rPr>
          <w:rFonts w:ascii="仿宋_GB2312" w:hAnsi="仿宋_GB2312" w:eastAsia="仿宋_GB2312" w:cs="仿宋_GB2312"/>
          <w:highlight w:val="none"/>
        </w:rPr>
        <w:t>（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4263F5EC">
      <w:pPr>
        <w:pStyle w:val="4"/>
        <w:outlineLvl w:val="3"/>
        <w:rPr>
          <w:highlight w:val="none"/>
        </w:rPr>
      </w:pPr>
      <w:r>
        <w:rPr>
          <w:rFonts w:ascii="仿宋_GB2312" w:hAnsi="仿宋_GB2312" w:eastAsia="仿宋_GB2312" w:cs="仿宋_GB2312"/>
          <w:b/>
          <w:sz w:val="24"/>
          <w:highlight w:val="none"/>
        </w:rPr>
        <w:t>3.4.7质量保修范围和保修期</w:t>
      </w:r>
    </w:p>
    <w:p w14:paraId="04F9A06E">
      <w:pPr>
        <w:pStyle w:val="4"/>
        <w:rPr>
          <w:highlight w:val="none"/>
        </w:rPr>
      </w:pPr>
      <w:r>
        <w:rPr>
          <w:rFonts w:ascii="仿宋_GB2312" w:hAnsi="仿宋_GB2312" w:eastAsia="仿宋_GB2312" w:cs="仿宋_GB2312"/>
          <w:highlight w:val="none"/>
        </w:rPr>
        <w:t>采购包1：</w:t>
      </w:r>
    </w:p>
    <w:p w14:paraId="06A791DE">
      <w:pPr>
        <w:pStyle w:val="4"/>
        <w:rPr>
          <w:highlight w:val="none"/>
        </w:rPr>
      </w:pPr>
      <w:r>
        <w:rPr>
          <w:rFonts w:hint="eastAsia" w:ascii="仿宋_GB2312" w:hAnsi="仿宋_GB2312" w:eastAsia="仿宋_GB2312" w:cs="仿宋_GB2312"/>
          <w:highlight w:val="none"/>
          <w:lang w:val="en-US" w:eastAsia="zh-CN"/>
        </w:rPr>
        <w:t>质保期：</w:t>
      </w:r>
      <w:r>
        <w:rPr>
          <w:rFonts w:hint="eastAsia" w:ascii="仿宋_GB2312" w:hAnsi="仿宋_GB2312" w:eastAsia="仿宋_GB2312" w:cs="仿宋_GB2312"/>
          <w:highlight w:val="none"/>
          <w:lang w:val="en-US" w:eastAsia="zh-CN"/>
        </w:rPr>
        <w:t>对项目所涉及的所有硬件设施设备和软件等提供自验收合格之日起一年质保服务。</w:t>
      </w:r>
    </w:p>
    <w:p w14:paraId="37987EB9">
      <w:pPr>
        <w:pStyle w:val="4"/>
        <w:outlineLvl w:val="3"/>
        <w:rPr>
          <w:highlight w:val="none"/>
        </w:rPr>
      </w:pPr>
      <w:r>
        <w:rPr>
          <w:rFonts w:ascii="仿宋_GB2312" w:hAnsi="仿宋_GB2312" w:eastAsia="仿宋_GB2312" w:cs="仿宋_GB2312"/>
          <w:b/>
          <w:sz w:val="24"/>
          <w:highlight w:val="none"/>
        </w:rPr>
        <w:t>3.4.8违约责任及解决争议的方法</w:t>
      </w:r>
    </w:p>
    <w:p w14:paraId="593D8E87">
      <w:pPr>
        <w:pStyle w:val="4"/>
        <w:rPr>
          <w:highlight w:val="none"/>
        </w:rPr>
      </w:pPr>
      <w:r>
        <w:rPr>
          <w:rFonts w:ascii="仿宋_GB2312" w:hAnsi="仿宋_GB2312" w:eastAsia="仿宋_GB2312" w:cs="仿宋_GB2312"/>
          <w:highlight w:val="none"/>
        </w:rPr>
        <w:t>采购包1：</w:t>
      </w:r>
    </w:p>
    <w:p w14:paraId="1EFEDA70">
      <w:pPr>
        <w:pStyle w:val="4"/>
        <w:rPr>
          <w:highlight w:val="none"/>
        </w:rPr>
      </w:pPr>
      <w:r>
        <w:rPr>
          <w:rFonts w:ascii="仿宋_GB2312" w:hAnsi="仿宋_GB2312" w:eastAsia="仿宋_GB2312" w:cs="仿宋_GB2312"/>
          <w:highlight w:val="none"/>
        </w:rPr>
        <w:t>详见合同条款</w:t>
      </w:r>
    </w:p>
    <w:p w14:paraId="0D3519BE">
      <w:pPr>
        <w:pStyle w:val="4"/>
        <w:jc w:val="left"/>
        <w:outlineLvl w:val="3"/>
        <w:rPr>
          <w:highlight w:val="none"/>
        </w:rPr>
      </w:pPr>
      <w:r>
        <w:rPr>
          <w:rFonts w:ascii="仿宋_GB2312" w:hAnsi="仿宋_GB2312" w:eastAsia="仿宋_GB2312" w:cs="仿宋_GB2312"/>
          <w:b/>
          <w:sz w:val="24"/>
          <w:highlight w:val="none"/>
        </w:rPr>
        <w:t>3.5其他要求</w:t>
      </w:r>
    </w:p>
    <w:p w14:paraId="4EFA607D">
      <w:pPr>
        <w:pStyle w:val="4"/>
        <w:rPr>
          <w:highlight w:val="none"/>
        </w:rPr>
      </w:pPr>
      <w:r>
        <w:rPr>
          <w:rFonts w:ascii="仿宋_GB2312" w:hAnsi="仿宋_GB2312" w:eastAsia="仿宋_GB2312" w:cs="仿宋_GB2312"/>
          <w:highlight w:val="none"/>
        </w:rPr>
        <w:t>采购包1：</w:t>
      </w:r>
    </w:p>
    <w:p w14:paraId="7523D8AF">
      <w:pPr>
        <w:pStyle w:val="4"/>
        <w:rPr>
          <w:highlight w:val="none"/>
        </w:rPr>
      </w:pPr>
      <w:r>
        <w:rPr>
          <w:rFonts w:ascii="仿宋_GB2312" w:hAnsi="仿宋_GB2312" w:eastAsia="仿宋_GB2312" w:cs="仿宋_GB2312"/>
          <w:highlight w:val="none"/>
        </w:rPr>
        <w:t>一、供应商的报价是供应商响应采购项目要求的全部工作内容的价格体现，包括供应商完成本项目所需的直接费、间接费、利润、税金及其他相关的一切费用，包括但不限于：产品费、附件费、</w:t>
      </w:r>
      <w:r>
        <w:rPr>
          <w:rFonts w:ascii="仿宋_GB2312" w:hAnsi="仿宋_GB2312" w:eastAsia="仿宋_GB2312" w:cs="仿宋_GB2312"/>
          <w:highlight w:val="none"/>
        </w:rPr>
        <w:t>工具费、验收费、运输费、保险费、安装费、调试费、技术服务费（含售后）、</w:t>
      </w:r>
      <w:r>
        <w:rPr>
          <w:rFonts w:hint="eastAsia" w:ascii="仿宋_GB2312" w:hAnsi="仿宋_GB2312" w:eastAsia="仿宋_GB2312" w:cs="仿宋_GB2312"/>
          <w:highlight w:val="none"/>
        </w:rPr>
        <w:t>服务平台构建过程中的全部硬件设备支出与附加服务费用</w:t>
      </w:r>
      <w:r>
        <w:rPr>
          <w:rFonts w:hint="eastAsia" w:ascii="仿宋_GB2312" w:hAnsi="仿宋_GB2312" w:eastAsia="仿宋_GB2312" w:cs="仿宋_GB2312"/>
          <w:highlight w:val="none"/>
          <w:lang w:eastAsia="zh-CN"/>
        </w:rPr>
        <w:t>、</w:t>
      </w:r>
      <w:r>
        <w:rPr>
          <w:rFonts w:ascii="仿宋_GB2312" w:hAnsi="仿宋_GB2312" w:eastAsia="仿宋_GB2312" w:cs="仿宋_GB2312"/>
          <w:highlight w:val="none"/>
        </w:rPr>
        <w:t>招标代理费、税金、利润及不可预见费等费用；谈判总价中不得包含采购文件要求以外的内容，否则，在评标时不予核减。</w:t>
      </w:r>
      <w:r>
        <w:rPr>
          <w:rFonts w:ascii="仿宋_GB2312" w:hAnsi="仿宋_GB2312" w:eastAsia="仿宋_GB2312" w:cs="仿宋_GB2312"/>
          <w:highlight w:val="none"/>
        </w:rPr>
        <w:t>在供货、安装、调试、培训等工作中出现硬件、软件等的任何遗漏，均由中标人免费提供，采购人将不再支付任何费用。 二、谈判有效期 1.出现特殊情况需要延长谈判有效期的，采购代理机构或采购人可于谈判有效期满之前，以书面形式通知所有供应商延长谈判有效期。供应商应予书面答复，同意延长的，但不得要求或被允许修改其响应文件；供应商拒绝延长的，其响应文件失效。 2.在谈判有效期内，供应商撤销响应文件的，应承担响应文件和法律规定的责任。 3.</w:t>
      </w:r>
      <w:r>
        <w:rPr>
          <w:rFonts w:hint="eastAsia" w:ascii="仿宋_GB2312" w:hAnsi="仿宋_GB2312" w:eastAsia="仿宋_GB2312" w:cs="仿宋_GB2312"/>
          <w:highlight w:val="none"/>
          <w:lang w:val="en-US" w:eastAsia="zh-CN"/>
        </w:rPr>
        <w:t>成交</w:t>
      </w:r>
      <w:r>
        <w:rPr>
          <w:rFonts w:ascii="仿宋_GB2312" w:hAnsi="仿宋_GB2312" w:eastAsia="仿宋_GB2312" w:cs="仿宋_GB2312"/>
          <w:highlight w:val="none"/>
        </w:rPr>
        <w:t>人的谈判有效期自动延长至合同终止为止。 三、分公司独立参与谈判时，不能使用总公司的资质或业绩；总公司单独参与谈判时，除总公司所投产品为分公司生产的产品外，不能使用分公司的资质或业绩。总公司授权分公司或分支机构参与谈判，可以使用总公司的资质或业绩。 四、采购文件中签名是指：手写签名或加盖签名章（含电子），盖章是指加盖单位章（含电子）。 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六、参与本项目采购的供应商应通过陕西省政府采购综合管理平台的项目电子化交易系统在线实施响应、谈判、报价等操作，谈判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p w14:paraId="364C449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1354B"/>
    <w:rsid w:val="5B51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 w:type="character" w:customStyle="1" w:styleId="5">
    <w:name w:val="font31"/>
    <w:basedOn w:val="3"/>
    <w:qFormat/>
    <w:uiPriority w:val="0"/>
    <w:rPr>
      <w:rFonts w:hint="eastAsia" w:ascii="宋体" w:hAnsi="宋体" w:eastAsia="宋体" w:cs="宋体"/>
      <w:color w:val="FF0000"/>
      <w:sz w:val="20"/>
      <w:szCs w:val="20"/>
      <w:u w:val="none"/>
    </w:rPr>
  </w:style>
  <w:style w:type="character" w:customStyle="1" w:styleId="6">
    <w:name w:val="font21"/>
    <w:basedOn w:val="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2025-08-14T03:06:00Z</dcterms:created>
  <dc:creator>代理公司</dc:creator>
  <cp:lastModifiedBy>代理公司</cp:lastModifiedBy>
  <dcterms:modified xsi:type="dcterms:W3CDTF">2025-08-14T03:07:11Z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009A62752AA04AFA8E25603060D2506A_11</vt:lpwstr>
  </property>
  <property fmtid="{D5CDD505-2E9C-101B-9397-08002B2CF9AE}" pid="4" name="KSOTemplateDocerSaveRecord">
    <vt:lpwstr>eyJoZGlkIjoiNTU4MTg4NzM5MmMxMzE3OTU5ZTE4YzVhNTk4NDcwY2UiLCJ1c2VySWQiOiIyMjY0NTY0NzgifQ==</vt:lpwstr>
  </property>
</Properties>
</file>