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西安市红会医院南院区院内维修工程竞争性磋商公告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南院区院内维修工程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2025年09月02日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项目编号：HCZB-2025-253</w:t>
      </w:r>
    </w:p>
    <w:p>
      <w:pPr>
        <w:pStyle w:val="null3"/>
      </w:pPr>
      <w:r>
        <w:rPr>
          <w:rFonts w:ascii="仿宋_GB2312" w:hAnsi="仿宋_GB2312" w:cs="仿宋_GB2312" w:eastAsia="仿宋_GB2312"/>
        </w:rPr>
        <w:t>项目名称：南院区院内维修工程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预算金额：720,000.00元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采购包1：合同签订之日起一年,或一年内完成项目预算金额合同自动终止。</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合同包1(南院区院内维修工程)特定资格要求如下:</w:t>
      </w:r>
    </w:p>
    <w:p>
      <w:pPr>
        <w:pStyle w:val="null3"/>
      </w:pPr>
      <w:r>
        <w:rPr>
          <w:rFonts w:ascii="仿宋_GB2312" w:hAnsi="仿宋_GB2312" w:cs="仿宋_GB2312" w:eastAsia="仿宋_GB2312"/>
        </w:rPr>
        <w:t>(1)建筑工程施工总承包三级及以上；建筑装饰装修工程专业承包二级及以上；建设行政主管部门颁发的安全生产许可证；</w:t>
      </w:r>
    </w:p>
    <w:p>
      <w:pPr>
        <w:pStyle w:val="null3"/>
      </w:pPr>
      <w:r>
        <w:rPr>
          <w:rFonts w:ascii="仿宋_GB2312" w:hAnsi="仿宋_GB2312" w:cs="仿宋_GB2312" w:eastAsia="仿宋_GB2312"/>
        </w:rPr>
        <w:t>(2)证书等级：二级及以上注册建造师资格 专业：建筑工程专业 补充说明：有效的安全生产考核合格证书（建安B证）、且未担任其他在建工程项目的项目经理承诺书</w:t>
      </w:r>
    </w:p>
    <w:p>
      <w:pPr>
        <w:pStyle w:val="null3"/>
      </w:pPr>
      <w:r>
        <w:rPr>
          <w:rFonts w:ascii="仿宋_GB2312" w:hAnsi="仿宋_GB2312" w:cs="仿宋_GB2312" w:eastAsia="仿宋_GB2312"/>
        </w:rPr>
        <w:t>(3)须在 “全国建筑市场监管公共服务平台”（四库一平台）登记备案；（提供截图）</w:t>
      </w:r>
    </w:p>
    <w:p>
      <w:pPr>
        <w:pStyle w:val="null3"/>
      </w:pPr>
      <w:r>
        <w:rPr>
          <w:rFonts w:ascii="仿宋_GB2312" w:hAnsi="仿宋_GB2312" w:cs="仿宋_GB2312" w:eastAsia="仿宋_GB2312"/>
        </w:rPr>
        <w:t>(4)投标企业法定代表人授权书及被授权人身份证复印件。（法定代表人投标需提供法定代表人证明书及身份证复印件）；</w:t>
      </w:r>
    </w:p>
    <w:p>
      <w:pPr>
        <w:pStyle w:val="null3"/>
      </w:pPr>
      <w:r>
        <w:rPr>
          <w:rFonts w:ascii="仿宋_GB2312" w:hAnsi="仿宋_GB2312" w:cs="仿宋_GB2312" w:eastAsia="仿宋_GB2312"/>
        </w:rPr>
        <w:t>(5)供应商不得为“信用中国”网站(http://www.creditchina.gov.cn)列入“失信被执行人或重大税收违法失信主体或政府采购严重违法失信行为记录名单”的供应商；不得为中国政府采购网(http://www.ccgp.gov.cn)“政府采购严重违法失信行为记录名单”中的供应商）；(以代理机构现场查询结果为准)</w:t>
      </w:r>
    </w:p>
    <w:p>
      <w:pPr>
        <w:pStyle w:val="null3"/>
      </w:pPr>
      <w:r>
        <w:rPr>
          <w:rFonts w:ascii="仿宋_GB2312" w:hAnsi="仿宋_GB2312" w:cs="仿宋_GB2312" w:eastAsia="仿宋_GB2312"/>
        </w:rPr>
        <w:t>(6)本项目不接受由西安市红会医院职工及其亲属投资举办的企业参加磋商（提供承诺函）；</w:t>
      </w:r>
    </w:p>
    <w:p>
      <w:pPr>
        <w:pStyle w:val="null3"/>
      </w:pPr>
      <w:r>
        <w:rPr>
          <w:rFonts w:ascii="仿宋_GB2312" w:hAnsi="仿宋_GB2312" w:cs="仿宋_GB2312" w:eastAsia="仿宋_GB2312"/>
        </w:rPr>
        <w:t>(7)不接受联合体磋商</w:t>
      </w:r>
    </w:p>
    <w:p>
      <w:pPr>
        <w:pStyle w:val="null3"/>
      </w:pPr>
      <w:r>
        <w:rPr>
          <w:rFonts w:ascii="仿宋_GB2312" w:hAnsi="仿宋_GB2312" w:cs="仿宋_GB2312" w:eastAsia="仿宋_GB2312"/>
        </w:rPr>
        <w:t>(8)需具有独立法人资格和持有有效的营业执照、税务登记证、组织机构代码证（三证合一的企业只提供有统一代码的营业执照）；</w:t>
      </w:r>
    </w:p>
    <w:p>
      <w:pPr>
        <w:pStyle w:val="null3"/>
      </w:pPr>
      <w:r>
        <w:rPr>
          <w:rFonts w:ascii="仿宋_GB2312" w:hAnsi="仿宋_GB2312" w:cs="仿宋_GB2312" w:eastAsia="仿宋_GB2312"/>
        </w:rPr>
        <w:t>(9)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w:t>
      </w:r>
    </w:p>
    <w:p>
      <w:pPr>
        <w:pStyle w:val="null3"/>
      </w:pPr>
      <w:r>
        <w:rPr>
          <w:rFonts w:ascii="仿宋_GB2312" w:hAnsi="仿宋_GB2312" w:cs="仿宋_GB2312" w:eastAsia="仿宋_GB2312"/>
        </w:rPr>
        <w:t>(10)提供投标截止时间前 6 个内已缴存的至少一个月的有效缴存单据或社保机构开具的社会保险参保缴费情况证明；（依法不需要缴纳社会保障资金的申请人应提供相关证明）；</w:t>
      </w:r>
    </w:p>
    <w:p>
      <w:pPr>
        <w:pStyle w:val="null3"/>
      </w:pPr>
      <w:r>
        <w:rPr>
          <w:rFonts w:ascii="仿宋_GB2312" w:hAnsi="仿宋_GB2312" w:cs="仿宋_GB2312" w:eastAsia="仿宋_GB2312"/>
        </w:rPr>
        <w:t>(11)提供投标截止前 6 个月内已缴纳的至少一个月的有效缴税凭（成立时间至投标截止时间不足三个月的，至少提供一个月的有效纳税凭证（依法免税的申请人应提供相关文件证明）；</w:t>
      </w:r>
    </w:p>
    <w:p>
      <w:pPr>
        <w:pStyle w:val="null3"/>
      </w:pPr>
      <w:r>
        <w:rPr>
          <w:rFonts w:ascii="仿宋_GB2312" w:hAnsi="仿宋_GB2312" w:cs="仿宋_GB2312" w:eastAsia="仿宋_GB2312"/>
        </w:rPr>
        <w:t>(12)企业未处于被责令停业、投标资格被取消或者财产被接管、冻结和破产状态；企业没有因骗取中标或者严重违约等问题、被有关部门暂停投标资格并在暂停期内的；单位法人为同一人或者存在控股、管理关系的不同单位，不得参加同一招标项目投标（提供承诺函）；</w:t>
      </w:r>
    </w:p>
    <w:p>
      <w:pPr>
        <w:pStyle w:val="null3"/>
      </w:pPr>
      <w:r>
        <w:rPr>
          <w:rFonts w:ascii="仿宋_GB2312" w:hAnsi="仿宋_GB2312" w:cs="仿宋_GB2312" w:eastAsia="仿宋_GB2312"/>
        </w:rPr>
        <w:t>(13)参加政府采购活动前3年内在经营活动中没有重大违法记录的书面声明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2025年08月20日 </w:t>
      </w:r>
      <w:r>
        <w:rPr>
          <w:rFonts w:ascii="仿宋_GB2312" w:hAnsi="仿宋_GB2312" w:cs="仿宋_GB2312" w:eastAsia="仿宋_GB2312"/>
        </w:rPr>
        <w:t>至</w:t>
      </w:r>
      <w:r>
        <w:rPr>
          <w:rFonts w:ascii="仿宋_GB2312" w:hAnsi="仿宋_GB2312" w:cs="仿宋_GB2312" w:eastAsia="仿宋_GB2312"/>
        </w:rPr>
        <w:t xml:space="preserve"> 2025年08月26日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2025年09月02日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2025年09月02日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（六）落实的政府采购政策：</w:t>
      </w:r>
    </w:p>
    <w:p>
      <w:pPr>
        <w:pStyle w:val="null3"/>
      </w:pPr>
      <w:r>
        <w:rPr>
          <w:rFonts w:ascii="仿宋_GB2312" w:hAnsi="仿宋_GB2312" w:cs="仿宋_GB2312" w:eastAsia="仿宋_GB2312"/>
        </w:rPr>
        <w:t>（1）《政府采购促进中小企业发展管理办法》（财库〔2020〕46号）；</w:t>
      </w:r>
    </w:p>
    <w:p>
      <w:pPr>
        <w:pStyle w:val="null3"/>
      </w:pPr>
      <w:r>
        <w:rPr>
          <w:rFonts w:ascii="仿宋_GB2312" w:hAnsi="仿宋_GB2312" w:cs="仿宋_GB2312" w:eastAsia="仿宋_GB2312"/>
        </w:rPr>
        <w:t>（2）《财政部 司法部关于政府采购支持监狱企业发展有关问题的通知》（财库〔2014〕68号）；</w:t>
      </w:r>
    </w:p>
    <w:p>
      <w:pPr>
        <w:pStyle w:val="null3"/>
      </w:pPr>
      <w:r>
        <w:rPr>
          <w:rFonts w:ascii="仿宋_GB2312" w:hAnsi="仿宋_GB2312" w:cs="仿宋_GB2312" w:eastAsia="仿宋_GB2312"/>
        </w:rPr>
        <w:t>（3）《国务院办公厅关于建立政府强制采购节能产品制度的通知》（国发办〔2007〕51号）；</w:t>
      </w:r>
    </w:p>
    <w:p>
      <w:pPr>
        <w:pStyle w:val="null3"/>
      </w:pPr>
      <w:r>
        <w:rPr>
          <w:rFonts w:ascii="仿宋_GB2312" w:hAnsi="仿宋_GB2312" w:cs="仿宋_GB2312" w:eastAsia="仿宋_GB2312"/>
        </w:rPr>
        <w:t>（4）《关于印发节能产品政府采购品目清单的通知》（财库〔2019〕19号）；</w:t>
      </w:r>
    </w:p>
    <w:p>
      <w:pPr>
        <w:pStyle w:val="null3"/>
      </w:pPr>
      <w:r>
        <w:rPr>
          <w:rFonts w:ascii="仿宋_GB2312" w:hAnsi="仿宋_GB2312" w:cs="仿宋_GB2312" w:eastAsia="仿宋_GB2312"/>
        </w:rPr>
        <w:t>（5）《关于印发环境标志产品政府采购品目清单的通知》（财库〔2019〕18号）；</w:t>
      </w:r>
    </w:p>
    <w:p>
      <w:pPr>
        <w:pStyle w:val="null3"/>
      </w:pPr>
      <w:r>
        <w:rPr>
          <w:rFonts w:ascii="仿宋_GB2312" w:hAnsi="仿宋_GB2312" w:cs="仿宋_GB2312" w:eastAsia="仿宋_GB2312"/>
        </w:rPr>
        <w:t>（6）《三部门联合发布关于促进残疾人就业政府采购政策的通知》（财库〔2017〕141号）；</w:t>
      </w:r>
    </w:p>
    <w:p>
      <w:pPr>
        <w:pStyle w:val="null3"/>
      </w:pPr>
      <w:r>
        <w:rPr>
          <w:rFonts w:ascii="仿宋_GB2312" w:hAnsi="仿宋_GB2312" w:cs="仿宋_GB2312" w:eastAsia="仿宋_GB2312"/>
        </w:rPr>
        <w:t>（7）《财政部发展改革委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（8）陕西省财政厅关于印发《陕西省中小企业政府采购信用融资办法》（陕财办采〔2018〕23号）；</w:t>
      </w:r>
    </w:p>
    <w:p>
      <w:pPr>
        <w:pStyle w:val="null3"/>
      </w:pPr>
      <w:r>
        <w:rPr>
          <w:rFonts w:ascii="仿宋_GB2312" w:hAnsi="仿宋_GB2312" w:cs="仿宋_GB2312" w:eastAsia="仿宋_GB2312"/>
        </w:rPr>
        <w:t>（9）《财政部 农业农村部 国家乡村振兴局关于运用政府采购政策支持乡村产业振兴的通知》（财库〔2021〕19 号）；</w:t>
      </w:r>
    </w:p>
    <w:p>
      <w:pPr>
        <w:pStyle w:val="null3"/>
      </w:pPr>
      <w:r>
        <w:rPr>
          <w:rFonts w:ascii="仿宋_GB2312" w:hAnsi="仿宋_GB2312" w:cs="仿宋_GB2312" w:eastAsia="仿宋_GB2312"/>
        </w:rPr>
        <w:t>（10）《财政部 农业农村部 国家乡村振兴局 中华全国供销合作总社关于印发&lt;关于深入开展政府采购脱贫地区农副产品工作推进乡村产业振兴的实施意见&gt;的通知》（财库〔2021〕20 号）；</w:t>
      </w:r>
    </w:p>
    <w:p>
      <w:pPr>
        <w:pStyle w:val="null3"/>
      </w:pPr>
      <w:r>
        <w:rPr>
          <w:rFonts w:ascii="仿宋_GB2312" w:hAnsi="仿宋_GB2312" w:cs="仿宋_GB2312" w:eastAsia="仿宋_GB2312"/>
        </w:rPr>
        <w:t>（11）《陕西省财政厅关于加快推进我省中小企业政府采购信用融资工作的通知》（陕财办采〔2020〕15号）；</w:t>
      </w:r>
    </w:p>
    <w:p>
      <w:pPr>
        <w:pStyle w:val="null3"/>
      </w:pPr>
      <w:r>
        <w:rPr>
          <w:rFonts w:ascii="仿宋_GB2312" w:hAnsi="仿宋_GB2312" w:cs="仿宋_GB2312" w:eastAsia="仿宋_GB2312"/>
        </w:rPr>
        <w:t>（12）《关于进一步加强政府绿色采购有关问题的通知》（陕财办采〔2021〕29号）；</w:t>
      </w:r>
    </w:p>
    <w:p>
      <w:pPr>
        <w:pStyle w:val="null3"/>
      </w:pPr>
      <w:r>
        <w:rPr>
          <w:rFonts w:ascii="仿宋_GB2312" w:hAnsi="仿宋_GB2312" w:cs="仿宋_GB2312" w:eastAsia="仿宋_GB2312"/>
        </w:rPr>
        <w:t>（13）《陕西省财政厅、中国人民银行西安分行关于深入推进政府采购信用融资业务的通知》（陕财办采〔2023〕5号）；</w:t>
      </w:r>
    </w:p>
    <w:p>
      <w:pPr>
        <w:pStyle w:val="null3"/>
      </w:pPr>
      <w:r>
        <w:rPr>
          <w:rFonts w:ascii="仿宋_GB2312" w:hAnsi="仿宋_GB2312" w:cs="仿宋_GB2312" w:eastAsia="仿宋_GB2312"/>
        </w:rPr>
        <w:t>（14）其他需要落实的政府采购政策，详见竞争性磋商文件。</w:t>
      </w:r>
    </w:p>
    <w:p>
      <w:pPr>
        <w:pStyle w:val="null3"/>
      </w:pPr>
      <w:r>
        <w:rPr>
          <w:rFonts w:ascii="仿宋_GB2312" w:hAnsi="仿宋_GB2312" w:cs="仿宋_GB2312" w:eastAsia="仿宋_GB2312"/>
        </w:rPr>
        <w:t>本项目供应商除进行电子化投标外，还需线下递交纸质版响应文件，具体要求详见竞争性磋商文件。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西安市红会医院</w:t>
      </w:r>
    </w:p>
    <w:p>
      <w:pPr>
        <w:pStyle w:val="null3"/>
      </w:pPr>
      <w:r>
        <w:rPr>
          <w:rFonts w:ascii="仿宋_GB2312" w:hAnsi="仿宋_GB2312" w:cs="仿宋_GB2312" w:eastAsia="仿宋_GB2312"/>
        </w:rPr>
        <w:t>地址：</w:t>
      </w:r>
      <w:r>
        <w:rPr>
          <w:rFonts w:ascii="仿宋_GB2312" w:hAnsi="仿宋_GB2312" w:cs="仿宋_GB2312" w:eastAsia="仿宋_GB2312"/>
        </w:rPr>
        <w:t>西安市未央区建元二路北段666号</w:t>
      </w:r>
    </w:p>
    <w:p>
      <w:pPr>
        <w:pStyle w:val="null3"/>
      </w:pPr>
      <w:r>
        <w:rPr>
          <w:rFonts w:ascii="仿宋_GB2312" w:hAnsi="仿宋_GB2312" w:cs="仿宋_GB2312" w:eastAsia="仿宋_GB2312"/>
        </w:rPr>
        <w:t>联系方式：</w:t>
      </w:r>
      <w:r>
        <w:rPr>
          <w:rFonts w:ascii="仿宋_GB2312" w:hAnsi="仿宋_GB2312" w:cs="仿宋_GB2312" w:eastAsia="仿宋_GB2312"/>
        </w:rPr>
        <w:t>02986520792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西安市南二环西段成长大厦8楼</w:t>
      </w:r>
    </w:p>
    <w:p>
      <w:pPr>
        <w:pStyle w:val="null3"/>
      </w:pPr>
      <w:r>
        <w:rPr>
          <w:rFonts w:ascii="仿宋_GB2312" w:hAnsi="仿宋_GB2312" w:cs="仿宋_GB2312" w:eastAsia="仿宋_GB2312"/>
        </w:rPr>
        <w:t>联系方式：</w:t>
      </w:r>
      <w:r>
        <w:rPr>
          <w:rFonts w:ascii="仿宋_GB2312" w:hAnsi="仿宋_GB2312" w:cs="仿宋_GB2312" w:eastAsia="仿宋_GB2312"/>
        </w:rPr>
        <w:t>13227706592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王杨</w:t>
      </w:r>
    </w:p>
    <w:p>
      <w:pPr>
        <w:pStyle w:val="null3"/>
      </w:pPr>
      <w:r>
        <w:rPr>
          <w:rFonts w:ascii="仿宋_GB2312" w:hAnsi="仿宋_GB2312" w:cs="仿宋_GB2312" w:eastAsia="仿宋_GB2312"/>
        </w:rPr>
        <w:t>电话：</w:t>
      </w:r>
      <w:r>
        <w:rPr>
          <w:rFonts w:ascii="仿宋_GB2312" w:hAnsi="仿宋_GB2312" w:cs="仿宋_GB2312" w:eastAsia="仿宋_GB2312"/>
        </w:rPr>
        <w:t>13227706592</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