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100C">
      <w:pPr>
        <w:widowControl w:val="0"/>
        <w:topLinePunct/>
        <w:jc w:val="center"/>
        <w:rPr>
          <w:rFonts w:eastAsia="宋体" w:cs="Tahoma"/>
          <w:sz w:val="44"/>
          <w:szCs w:val="44"/>
        </w:rPr>
      </w:pPr>
      <w:bookmarkStart w:id="31" w:name="_GoBack"/>
      <w:bookmarkEnd w:id="31"/>
    </w:p>
    <w:p w14:paraId="54C03F80">
      <w:pPr>
        <w:widowControl w:val="0"/>
        <w:topLinePunct/>
        <w:jc w:val="center"/>
        <w:rPr>
          <w:rFonts w:eastAsia="宋体" w:cs="Tahoma"/>
          <w:sz w:val="44"/>
          <w:szCs w:val="44"/>
        </w:rPr>
      </w:pPr>
    </w:p>
    <w:p w14:paraId="6E50F29B">
      <w:pPr>
        <w:widowControl w:val="0"/>
        <w:topLinePunct/>
        <w:jc w:val="center"/>
        <w:rPr>
          <w:rFonts w:eastAsia="宋体" w:cs="Tahoma"/>
          <w:sz w:val="44"/>
          <w:szCs w:val="44"/>
        </w:rPr>
      </w:pPr>
    </w:p>
    <w:p w14:paraId="32780DBC">
      <w:pPr>
        <w:pStyle w:val="38"/>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42B3AEA7">
      <w:pPr>
        <w:pStyle w:val="36"/>
        <w:widowControl w:val="0"/>
        <w:topLinePunct/>
        <w:rPr>
          <w:rFonts w:cstheme="minorHAnsi"/>
        </w:rPr>
      </w:pPr>
      <w:r>
        <w:rPr>
          <w:rFonts w:hint="eastAsia" w:cstheme="minorHAnsi"/>
        </w:rPr>
        <w:t>竞争性磋商</w:t>
      </w:r>
      <w:r>
        <w:rPr>
          <w:rFonts w:cstheme="minorHAnsi"/>
        </w:rPr>
        <w:t>文件</w:t>
      </w:r>
    </w:p>
    <w:p w14:paraId="02400FD8">
      <w:pPr>
        <w:widowControl w:val="0"/>
        <w:topLinePunct/>
        <w:spacing w:line="360" w:lineRule="auto"/>
        <w:jc w:val="center"/>
        <w:rPr>
          <w:rFonts w:eastAsia="宋体" w:cs="Tahoma"/>
          <w:sz w:val="36"/>
          <w:szCs w:val="36"/>
        </w:rPr>
      </w:pPr>
    </w:p>
    <w:p w14:paraId="6EAC7668">
      <w:pPr>
        <w:pStyle w:val="39"/>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hint="eastAsia" w:cs="Tahoma" w:asciiTheme="minorHAnsi" w:hAnsiTheme="minorHAnsi"/>
          <w:color w:val="C00000"/>
        </w:rPr>
        <w:t>2025年度</w:t>
      </w:r>
      <w:r>
        <w:rPr>
          <w:rFonts w:cs="Tahoma" w:asciiTheme="minorHAnsi" w:hAnsiTheme="minorHAnsi"/>
          <w:color w:val="C00000"/>
        </w:rPr>
        <w:t>中心机关物业服务</w:t>
      </w:r>
    </w:p>
    <w:p w14:paraId="694762AD">
      <w:pPr>
        <w:pStyle w:val="39"/>
        <w:widowControl w:val="0"/>
        <w:topLinePunct/>
        <w:spacing w:line="360" w:lineRule="auto"/>
        <w:ind w:left="2640" w:right="600" w:hanging="1800"/>
        <w:rPr>
          <w:rFonts w:cs="Tahoma" w:asciiTheme="minorHAnsi" w:hAnsiTheme="minorHAnsi"/>
          <w:color w:val="C00000"/>
        </w:rPr>
      </w:pPr>
      <w:r>
        <w:rPr>
          <w:rFonts w:cs="Tahoma" w:asciiTheme="minorHAnsi" w:hAnsiTheme="minorHAnsi"/>
        </w:rPr>
        <w:t>项目编号：</w:t>
      </w:r>
      <w:r>
        <w:rPr>
          <w:rFonts w:hint="eastAsia" w:cs="Tahoma" w:asciiTheme="minorHAnsi" w:hAnsiTheme="minorHAnsi"/>
          <w:color w:val="C00000"/>
        </w:rPr>
        <w:t>X</w:t>
      </w:r>
      <w:r>
        <w:rPr>
          <w:rFonts w:cs="Tahoma" w:asciiTheme="minorHAnsi" w:hAnsiTheme="minorHAnsi"/>
          <w:color w:val="C00000"/>
        </w:rPr>
        <w:t>CZX2025-0116</w:t>
      </w:r>
    </w:p>
    <w:p w14:paraId="72A1712B">
      <w:pPr>
        <w:widowControl w:val="0"/>
        <w:topLinePunct/>
        <w:spacing w:line="360" w:lineRule="auto"/>
        <w:jc w:val="center"/>
        <w:rPr>
          <w:rFonts w:eastAsia="宋体" w:cs="Tahoma"/>
          <w:sz w:val="36"/>
          <w:szCs w:val="36"/>
        </w:rPr>
      </w:pPr>
    </w:p>
    <w:p w14:paraId="367F7529">
      <w:pPr>
        <w:widowControl w:val="0"/>
        <w:topLinePunct/>
        <w:spacing w:line="360" w:lineRule="auto"/>
        <w:jc w:val="center"/>
        <w:rPr>
          <w:rFonts w:eastAsia="宋体" w:cs="Tahoma"/>
          <w:sz w:val="36"/>
          <w:szCs w:val="36"/>
        </w:rPr>
      </w:pPr>
    </w:p>
    <w:p w14:paraId="52BE6728">
      <w:pPr>
        <w:widowControl w:val="0"/>
        <w:topLinePunct/>
        <w:spacing w:line="360" w:lineRule="auto"/>
        <w:jc w:val="center"/>
        <w:rPr>
          <w:rFonts w:eastAsia="宋体" w:cs="Tahoma"/>
          <w:sz w:val="36"/>
          <w:szCs w:val="36"/>
        </w:rPr>
      </w:pPr>
    </w:p>
    <w:p w14:paraId="6D884B63">
      <w:pPr>
        <w:widowControl w:val="0"/>
        <w:topLinePunct/>
        <w:spacing w:line="360" w:lineRule="auto"/>
        <w:jc w:val="center"/>
        <w:rPr>
          <w:rFonts w:eastAsia="宋体" w:cs="Tahoma"/>
          <w:sz w:val="36"/>
          <w:szCs w:val="36"/>
        </w:rPr>
      </w:pPr>
    </w:p>
    <w:p w14:paraId="20C0F759">
      <w:pPr>
        <w:widowControl w:val="0"/>
        <w:topLinePunct/>
        <w:spacing w:line="360" w:lineRule="auto"/>
        <w:jc w:val="center"/>
        <w:rPr>
          <w:rFonts w:eastAsia="宋体" w:cs="Tahoma"/>
          <w:sz w:val="36"/>
          <w:szCs w:val="36"/>
        </w:rPr>
      </w:pPr>
    </w:p>
    <w:p w14:paraId="25DDD7D7">
      <w:pPr>
        <w:pStyle w:val="37"/>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3DD495E1">
      <w:pPr>
        <w:jc w:val="both"/>
        <w:rPr>
          <w:rFonts w:cs="Calibri"/>
          <w:sz w:val="36"/>
          <w:szCs w:val="36"/>
        </w:rPr>
      </w:pPr>
      <w:r>
        <w:rPr>
          <w:rFonts w:cs="Calibri"/>
          <w:sz w:val="36"/>
          <w:szCs w:val="36"/>
        </w:rPr>
        <w:br w:type="page"/>
      </w:r>
    </w:p>
    <w:p w14:paraId="0DA6CC69">
      <w:pPr>
        <w:widowControl w:val="0"/>
        <w:topLinePunct/>
        <w:jc w:val="center"/>
        <w:rPr>
          <w:rFonts w:cs="Calibri"/>
          <w:sz w:val="36"/>
          <w:szCs w:val="36"/>
        </w:rPr>
      </w:pPr>
    </w:p>
    <w:p w14:paraId="1F86BA26">
      <w:pPr>
        <w:widowControl w:val="0"/>
        <w:topLinePunct/>
        <w:jc w:val="center"/>
        <w:rPr>
          <w:sz w:val="44"/>
          <w:szCs w:val="44"/>
        </w:rPr>
      </w:pPr>
    </w:p>
    <w:p w14:paraId="0E9FFC61">
      <w:pPr>
        <w:widowControl w:val="0"/>
        <w:topLinePunct/>
        <w:jc w:val="center"/>
        <w:rPr>
          <w:rFonts w:ascii="黑体" w:hAnsi="黑体" w:eastAsia="黑体" w:cs="Calibri"/>
          <w:sz w:val="44"/>
          <w:szCs w:val="44"/>
        </w:rPr>
      </w:pPr>
      <w:r>
        <w:rPr>
          <w:rFonts w:hint="eastAsia" w:ascii="黑体" w:hAnsi="黑体" w:eastAsia="黑体" w:cs="Calibri"/>
          <w:sz w:val="44"/>
          <w:szCs w:val="44"/>
        </w:rPr>
        <w:t>目　　录</w:t>
      </w:r>
    </w:p>
    <w:p w14:paraId="2AA1CE09">
      <w:pPr>
        <w:jc w:val="center"/>
        <w:rPr>
          <w:rFonts w:ascii="黑体" w:hAnsi="黑体" w:eastAsia="黑体" w:cs="Calibri Light"/>
          <w:b/>
          <w:sz w:val="44"/>
          <w:szCs w:val="44"/>
        </w:rPr>
      </w:pPr>
    </w:p>
    <w:p w14:paraId="1C69FCF9">
      <w:pPr>
        <w:spacing w:line="400" w:lineRule="exact"/>
        <w:jc w:val="center"/>
        <w:rPr>
          <w:rFonts w:ascii="Calibri Light" w:hAnsi="Calibri Light" w:eastAsia="华文仿宋" w:cs="Calibri Light"/>
          <w:b/>
          <w:sz w:val="36"/>
          <w:szCs w:val="36"/>
        </w:rPr>
      </w:pPr>
    </w:p>
    <w:p w14:paraId="291A9DCC">
      <w:pPr>
        <w:pStyle w:val="21"/>
        <w:tabs>
          <w:tab w:val="right" w:leader="hyphen" w:pos="9062"/>
        </w:tabs>
        <w:spacing w:before="460" w:after="460"/>
        <w:rPr>
          <w:kern w:val="2"/>
          <w:sz w:val="22"/>
        </w:rPr>
      </w:pPr>
      <w:r>
        <w:rPr>
          <w:rFonts w:hAnsi="华文仿宋" w:eastAsia="华文仿宋"/>
          <w:sz w:val="36"/>
        </w:rPr>
        <w:fldChar w:fldCharType="begin"/>
      </w:r>
      <w:r>
        <w:rPr>
          <w:rFonts w:hAnsi="华文仿宋" w:eastAsia="华文仿宋"/>
          <w:sz w:val="36"/>
        </w:rPr>
        <w:instrText xml:space="preserve"> TOC \o "1-1" \f - \t "-1" </w:instrText>
      </w:r>
      <w:r>
        <w:rPr>
          <w:rFonts w:hAnsi="华文仿宋" w:eastAsia="华文仿宋"/>
          <w:sz w:val="36"/>
        </w:rPr>
        <w:fldChar w:fldCharType="separate"/>
      </w:r>
      <w:r>
        <w:rPr>
          <w:rFonts w:hint="eastAsia"/>
        </w:rPr>
        <w:t>第一章　磋商邀请函</w:t>
      </w:r>
      <w:r>
        <w:tab/>
      </w:r>
      <w:r>
        <w:t>1</w:t>
      </w:r>
    </w:p>
    <w:p w14:paraId="7D245D91">
      <w:pPr>
        <w:pStyle w:val="21"/>
        <w:tabs>
          <w:tab w:val="right" w:leader="hyphen" w:pos="9062"/>
        </w:tabs>
        <w:spacing w:before="460" w:after="460"/>
        <w:rPr>
          <w:kern w:val="2"/>
          <w:sz w:val="22"/>
        </w:rPr>
      </w:pPr>
      <w:r>
        <w:rPr>
          <w:rFonts w:hint="eastAsia"/>
        </w:rPr>
        <w:t>第二章　供应商须知</w:t>
      </w:r>
      <w:r>
        <w:tab/>
      </w:r>
      <w:r>
        <w:t>4</w:t>
      </w:r>
    </w:p>
    <w:p w14:paraId="7726884C">
      <w:pPr>
        <w:pStyle w:val="21"/>
        <w:tabs>
          <w:tab w:val="right" w:leader="hyphen" w:pos="9062"/>
        </w:tabs>
        <w:spacing w:before="460" w:after="460"/>
        <w:rPr>
          <w:kern w:val="2"/>
          <w:sz w:val="22"/>
        </w:rPr>
      </w:pPr>
      <w:r>
        <w:rPr>
          <w:rFonts w:hint="eastAsia"/>
        </w:rPr>
        <w:t>第三章　磋商内容及采购要求</w:t>
      </w:r>
      <w:r>
        <w:tab/>
      </w:r>
      <w:r>
        <w:t>33</w:t>
      </w:r>
    </w:p>
    <w:p w14:paraId="1C47B8EF">
      <w:pPr>
        <w:pStyle w:val="21"/>
        <w:tabs>
          <w:tab w:val="right" w:leader="hyphen" w:pos="9062"/>
        </w:tabs>
        <w:spacing w:before="460" w:after="460"/>
        <w:rPr>
          <w:kern w:val="2"/>
          <w:sz w:val="22"/>
        </w:rPr>
      </w:pPr>
      <w:r>
        <w:rPr>
          <w:rFonts w:hint="eastAsia"/>
        </w:rPr>
        <w:t>第四章　合同草案条款</w:t>
      </w:r>
      <w:r>
        <w:tab/>
      </w:r>
      <w:r>
        <w:t>51</w:t>
      </w:r>
    </w:p>
    <w:p w14:paraId="068E5CE7">
      <w:pPr>
        <w:pStyle w:val="21"/>
        <w:tabs>
          <w:tab w:val="right" w:leader="hyphen" w:pos="9062"/>
        </w:tabs>
        <w:spacing w:before="460" w:after="460"/>
        <w:rPr>
          <w:kern w:val="2"/>
          <w:sz w:val="22"/>
        </w:rPr>
      </w:pPr>
      <w:r>
        <w:rPr>
          <w:rFonts w:hint="eastAsia"/>
        </w:rPr>
        <w:t>第五章　响应文件构成及格式</w:t>
      </w:r>
      <w:r>
        <w:tab/>
      </w:r>
      <w:r>
        <w:t>56</w:t>
      </w:r>
    </w:p>
    <w:p w14:paraId="785ED200">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r>
        <w:rPr>
          <w:rFonts w:hAnsi="华文仿宋" w:eastAsia="华文仿宋"/>
          <w:sz w:val="36"/>
        </w:rPr>
        <w:fldChar w:fldCharType="end"/>
      </w:r>
    </w:p>
    <w:p w14:paraId="68AB4841">
      <w:pPr>
        <w:pStyle w:val="2"/>
        <w:spacing w:beforeLines="0" w:afterLines="0"/>
      </w:pPr>
      <w:bookmarkStart w:id="0" w:name="_Toc100219612"/>
      <w:r>
        <w:rPr>
          <w:rFonts w:hint="eastAsia"/>
        </w:rPr>
        <w:t>第一章　磋商邀请函</w:t>
      </w:r>
      <w:bookmarkEnd w:id="0"/>
    </w:p>
    <w:p w14:paraId="0DFFC201">
      <w:pPr>
        <w:widowControl w:val="0"/>
        <w:topLinePunct/>
        <w:ind w:firstLine="480" w:firstLineChars="200"/>
        <w:jc w:val="both"/>
      </w:pPr>
      <w:r>
        <w:rPr>
          <w:rFonts w:hint="eastAsia"/>
        </w:rPr>
        <w:t>西安市市级单位政府采购中心受</w:t>
      </w:r>
      <w:r>
        <w:rPr>
          <w:rFonts w:hint="eastAsia"/>
          <w:color w:val="C00000"/>
        </w:rPr>
        <w:t>西安住房</w:t>
      </w:r>
      <w:r>
        <w:rPr>
          <w:color w:val="C00000"/>
        </w:rPr>
        <w:t>公积金管理中心</w:t>
      </w:r>
      <w:r>
        <w:rPr>
          <w:rFonts w:hint="eastAsia"/>
        </w:rPr>
        <w:t>的委托，经政府采购监管部门批准，按照政府采购程序，对</w:t>
      </w:r>
      <w:bookmarkStart w:id="1" w:name="OLE_LINK2"/>
      <w:bookmarkStart w:id="2" w:name="OLE_LINK1"/>
      <w:r>
        <w:rPr>
          <w:rFonts w:hint="eastAsia" w:cs="Tahoma"/>
          <w:color w:val="C00000"/>
        </w:rPr>
        <w:t>2025年度</w:t>
      </w:r>
      <w:r>
        <w:rPr>
          <w:rFonts w:cs="Tahoma"/>
          <w:color w:val="C00000"/>
        </w:rPr>
        <w:t>中心机关物业服务</w:t>
      </w:r>
      <w:bookmarkEnd w:id="1"/>
      <w:bookmarkEnd w:id="2"/>
      <w:r>
        <w:rPr>
          <w:rFonts w:hint="eastAsia"/>
        </w:rPr>
        <w:t>项目进行竞争性磋商，欢迎符合资格条件的、有能力提供本项目所需货物和服务的供应商参加磋商。</w:t>
      </w:r>
    </w:p>
    <w:p w14:paraId="27C2526B">
      <w:pPr>
        <w:widowControl w:val="0"/>
        <w:topLinePunct/>
        <w:ind w:firstLine="480" w:firstLineChars="200"/>
        <w:jc w:val="both"/>
        <w:rPr>
          <w:b/>
        </w:rPr>
      </w:pPr>
      <w:r>
        <w:rPr>
          <w:rFonts w:hint="eastAsia"/>
          <w:b/>
        </w:rPr>
        <w:t>一、项目基本信息：</w:t>
      </w:r>
    </w:p>
    <w:p w14:paraId="64E0933C">
      <w:pPr>
        <w:widowControl w:val="0"/>
        <w:topLinePunct/>
        <w:ind w:firstLine="480" w:firstLineChars="200"/>
        <w:jc w:val="both"/>
        <w:rPr>
          <w:rFonts w:cs="Tahoma"/>
          <w:color w:val="C00000"/>
        </w:rPr>
      </w:pPr>
      <w:r>
        <w:t>项目</w:t>
      </w:r>
      <w:r>
        <w:rPr>
          <w:rFonts w:hint="eastAsia"/>
        </w:rPr>
        <w:t>名称：</w:t>
      </w:r>
      <w:r>
        <w:rPr>
          <w:rFonts w:hint="eastAsia" w:cs="Tahoma"/>
          <w:color w:val="C00000"/>
        </w:rPr>
        <w:t>2025年度</w:t>
      </w:r>
      <w:r>
        <w:rPr>
          <w:rFonts w:cs="Tahoma"/>
          <w:color w:val="C00000"/>
        </w:rPr>
        <w:t>中心机关物业服务</w:t>
      </w:r>
    </w:p>
    <w:p w14:paraId="6EA92C2A">
      <w:pPr>
        <w:widowControl w:val="0"/>
        <w:topLinePunct/>
        <w:ind w:firstLine="480" w:firstLineChars="200"/>
        <w:jc w:val="both"/>
      </w:pPr>
      <w:r>
        <w:rPr>
          <w:rFonts w:hint="eastAsia"/>
        </w:rPr>
        <w:t>项目编号：</w:t>
      </w:r>
      <w:bookmarkStart w:id="3" w:name="OLE_LINK28"/>
      <w:bookmarkStart w:id="4" w:name="OLE_LINK15"/>
      <w:r>
        <w:rPr>
          <w:rFonts w:hint="eastAsia"/>
          <w:color w:val="C00000"/>
        </w:rPr>
        <w:t>XCZX202</w:t>
      </w:r>
      <w:r>
        <w:rPr>
          <w:color w:val="C00000"/>
        </w:rPr>
        <w:t>5</w:t>
      </w:r>
      <w:r>
        <w:rPr>
          <w:rFonts w:hint="eastAsia"/>
          <w:color w:val="C00000"/>
        </w:rPr>
        <w:t>-</w:t>
      </w:r>
      <w:r>
        <w:rPr>
          <w:color w:val="C00000"/>
        </w:rPr>
        <w:t>01</w:t>
      </w:r>
      <w:bookmarkEnd w:id="3"/>
      <w:bookmarkEnd w:id="4"/>
      <w:r>
        <w:rPr>
          <w:color w:val="C00000"/>
        </w:rPr>
        <w:t>16</w:t>
      </w:r>
    </w:p>
    <w:p w14:paraId="5E03E2F2">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3682</w:t>
      </w:r>
    </w:p>
    <w:p w14:paraId="56264637">
      <w:pPr>
        <w:widowControl w:val="0"/>
        <w:topLinePunct/>
        <w:ind w:firstLine="480" w:firstLineChars="200"/>
        <w:jc w:val="both"/>
      </w:pPr>
      <w:r>
        <w:rPr>
          <w:rFonts w:hint="eastAsia"/>
          <w:b/>
        </w:rPr>
        <w:t>二、项目性质：</w:t>
      </w:r>
      <w:r>
        <w:rPr>
          <w:rFonts w:hint="eastAsia"/>
          <w:color w:val="C00000"/>
        </w:rPr>
        <w:t>专门面向中小企业的采购项目</w:t>
      </w:r>
    </w:p>
    <w:p w14:paraId="15607FD4">
      <w:pPr>
        <w:widowControl w:val="0"/>
        <w:topLinePunct/>
        <w:ind w:firstLine="480" w:firstLineChars="200"/>
        <w:jc w:val="both"/>
        <w:rPr>
          <w:color w:val="C00000"/>
        </w:rPr>
      </w:pPr>
      <w:r>
        <w:rPr>
          <w:rFonts w:hint="eastAsia"/>
          <w:b/>
        </w:rPr>
        <w:t>三、采购预算：</w:t>
      </w:r>
      <w:r>
        <w:rPr>
          <w:rFonts w:hint="eastAsia"/>
          <w:color w:val="C00000"/>
        </w:rPr>
        <w:t>〈</w:t>
      </w:r>
      <w:bookmarkStart w:id="5" w:name="OLE_LINK4"/>
      <w:bookmarkStart w:id="6" w:name="OLE_LINK3"/>
      <w:r>
        <w:rPr>
          <w:color w:val="C00000"/>
        </w:rPr>
        <w:t>1865274</w:t>
      </w:r>
      <w:bookmarkEnd w:id="5"/>
      <w:bookmarkEnd w:id="6"/>
      <w:r>
        <w:rPr>
          <w:rFonts w:hint="eastAsia"/>
          <w:color w:val="C00000"/>
        </w:rPr>
        <w:t>元〉（最高限价</w:t>
      </w:r>
      <w:r>
        <w:rPr>
          <w:color w:val="C00000"/>
        </w:rPr>
        <w:t>1865274</w:t>
      </w:r>
      <w:r>
        <w:rPr>
          <w:rFonts w:hint="eastAsia"/>
          <w:color w:val="C00000"/>
        </w:rPr>
        <w:t>元）</w:t>
      </w:r>
    </w:p>
    <w:p w14:paraId="3214A54F">
      <w:pPr>
        <w:widowControl w:val="0"/>
        <w:topLinePunct/>
        <w:ind w:firstLine="480" w:firstLineChars="200"/>
        <w:jc w:val="both"/>
        <w:rPr>
          <w:b/>
        </w:rPr>
      </w:pPr>
      <w:r>
        <w:rPr>
          <w:b/>
        </w:rPr>
        <w:t>四、采购</w:t>
      </w:r>
      <w:r>
        <w:rPr>
          <w:rFonts w:hint="eastAsia"/>
          <w:b/>
        </w:rPr>
        <w:t>内容和要求：</w:t>
      </w:r>
    </w:p>
    <w:p w14:paraId="5D169181">
      <w:pPr>
        <w:widowControl w:val="0"/>
        <w:topLinePunct/>
        <w:ind w:firstLine="480" w:firstLineChars="200"/>
        <w:jc w:val="both"/>
      </w:pPr>
      <w:r>
        <w:rPr>
          <w:rFonts w:hint="eastAsia" w:cs="Tahoma"/>
          <w:color w:val="C00000"/>
        </w:rPr>
        <w:t>2025年度</w:t>
      </w:r>
      <w:r>
        <w:rPr>
          <w:rFonts w:cs="Tahoma"/>
          <w:color w:val="C00000"/>
        </w:rPr>
        <w:t>中心机关物业服务</w:t>
      </w:r>
    </w:p>
    <w:p w14:paraId="45D8D87B">
      <w:pPr>
        <w:widowControl w:val="0"/>
        <w:topLinePunct/>
        <w:ind w:firstLine="480" w:firstLineChars="200"/>
        <w:jc w:val="both"/>
      </w:pPr>
      <w:r>
        <w:rPr>
          <w:rFonts w:hint="eastAsia"/>
        </w:rPr>
        <w:t>详见第三章「磋商内容及要求」。</w:t>
      </w:r>
    </w:p>
    <w:p w14:paraId="2AF5BFA0">
      <w:pPr>
        <w:widowControl w:val="0"/>
        <w:topLinePunct/>
        <w:ind w:firstLine="480" w:firstLineChars="200"/>
        <w:jc w:val="both"/>
        <w:rPr>
          <w:b/>
        </w:rPr>
      </w:pPr>
      <w:r>
        <w:rPr>
          <w:rFonts w:hint="eastAsia"/>
          <w:b/>
        </w:rPr>
        <w:t>五、供应商的资格条件：</w:t>
      </w:r>
    </w:p>
    <w:p w14:paraId="30C527E8">
      <w:pPr>
        <w:widowControl w:val="0"/>
        <w:topLinePunct/>
        <w:ind w:firstLine="480" w:firstLineChars="200"/>
        <w:jc w:val="both"/>
      </w:pPr>
      <w:r>
        <w:rPr>
          <w:rFonts w:hint="eastAsia"/>
        </w:rPr>
        <w:t>详</w:t>
      </w:r>
      <w:r>
        <w:t>见第二章「资格性审查表」。</w:t>
      </w:r>
    </w:p>
    <w:p w14:paraId="1698AD66">
      <w:pPr>
        <w:widowControl w:val="0"/>
        <w:topLinePunct/>
        <w:ind w:firstLine="480" w:firstLineChars="200"/>
        <w:jc w:val="both"/>
        <w:rPr>
          <w:b/>
        </w:rPr>
      </w:pPr>
      <w:r>
        <w:rPr>
          <w:rFonts w:hint="eastAsia"/>
          <w:b/>
        </w:rPr>
        <w:t>六、执行的其他政府采购政策：</w:t>
      </w:r>
    </w:p>
    <w:p w14:paraId="7A40EBC8">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27A24DAC">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8A764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12E7935A">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590CA136">
      <w:pPr>
        <w:widowControl w:val="0"/>
        <w:topLinePunct/>
        <w:ind w:firstLine="480" w:firstLineChars="200"/>
        <w:jc w:val="both"/>
      </w:pPr>
      <w:r>
        <w:t>5</w:t>
      </w:r>
      <w:r>
        <w:rPr>
          <w:rFonts w:hint="eastAsia"/>
        </w:rPr>
        <w:t>．详见第二章「关于政府采购政策」。</w:t>
      </w:r>
    </w:p>
    <w:p w14:paraId="54917353">
      <w:pPr>
        <w:widowControl w:val="0"/>
        <w:topLinePunct/>
        <w:ind w:firstLine="480" w:firstLineChars="200"/>
        <w:jc w:val="both"/>
        <w:rPr>
          <w:b/>
        </w:rPr>
      </w:pPr>
      <w:r>
        <w:rPr>
          <w:rFonts w:hint="eastAsia"/>
          <w:b/>
        </w:rPr>
        <w:t>七、获取磋商文件的时间及方式：</w:t>
      </w:r>
    </w:p>
    <w:p w14:paraId="6B0227C4">
      <w:pPr>
        <w:widowControl w:val="0"/>
        <w:topLinePunct/>
        <w:ind w:firstLine="480" w:firstLineChars="200"/>
        <w:jc w:val="both"/>
      </w:pPr>
      <w:r>
        <w:rPr>
          <w:rFonts w:hint="eastAsia"/>
        </w:rPr>
        <w:t>1．获取时间：自磋商公告发布之日起5个工作日内。</w:t>
      </w:r>
    </w:p>
    <w:p w14:paraId="4CBC8AA1">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4"/>
          <w:rFonts w:hint="eastAsia"/>
        </w:rPr>
        <w:t>http://sxggzyjy.xa.gov.cn/</w:t>
      </w:r>
      <w:r>
        <w:rPr>
          <w:rStyle w:val="34"/>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781F2936">
      <w:pPr>
        <w:widowControl w:val="0"/>
        <w:topLinePunct/>
        <w:ind w:firstLine="480" w:firstLineChars="200"/>
        <w:jc w:val="both"/>
      </w:pPr>
      <w:r>
        <w:rPr>
          <w:rFonts w:hint="eastAsia"/>
        </w:rPr>
        <w:t>3．友情提示：</w:t>
      </w:r>
    </w:p>
    <w:p w14:paraId="5E7CFDF1">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C26F42B">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7D720BDB">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1B3DC2AD">
      <w:pPr>
        <w:widowControl w:val="0"/>
        <w:topLinePunct/>
        <w:ind w:firstLine="480" w:firstLineChars="200"/>
        <w:jc w:val="both"/>
        <w:rPr>
          <w:b/>
        </w:rPr>
      </w:pPr>
      <w:r>
        <w:rPr>
          <w:rFonts w:hint="eastAsia"/>
          <w:b/>
        </w:rPr>
        <w:t>八、提交首次响应文件截止时间及方式：</w:t>
      </w:r>
    </w:p>
    <w:p w14:paraId="2B6232E7">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rFonts w:hint="eastAsia"/>
          <w:u w:val="single"/>
        </w:rPr>
        <w:t>_</w:t>
      </w:r>
      <w:r>
        <w:rPr>
          <w:u w:val="single"/>
        </w:rPr>
        <w:t>08</w:t>
      </w:r>
      <w:r>
        <w:rPr>
          <w:rFonts w:hint="eastAsia"/>
        </w:rPr>
        <w:t>月_</w:t>
      </w:r>
      <w:r>
        <w:rPr>
          <w:u w:val="single"/>
        </w:rPr>
        <w:t>14_</w:t>
      </w:r>
      <w:r>
        <w:rPr>
          <w:rFonts w:hint="eastAsia"/>
        </w:rPr>
        <w:t>日10:30，逾期提交的，系统将拒绝接收。</w:t>
      </w:r>
    </w:p>
    <w:p w14:paraId="71478967">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606F2B2D">
      <w:pPr>
        <w:widowControl w:val="0"/>
        <w:topLinePunct/>
        <w:ind w:firstLine="480" w:firstLineChars="200"/>
        <w:jc w:val="both"/>
      </w:pPr>
      <w:r>
        <w:rPr>
          <w:rFonts w:hint="eastAsia"/>
          <w:b/>
        </w:rPr>
        <w:t>九、开启时间、地点及开标形式：</w:t>
      </w:r>
    </w:p>
    <w:p w14:paraId="23D859CE">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rFonts w:hint="eastAsia"/>
          <w:u w:val="single"/>
        </w:rPr>
        <w:t>_08月_14_</w:t>
      </w:r>
      <w:r>
        <w:rPr>
          <w:rFonts w:hint="eastAsia"/>
        </w:rPr>
        <w:t>日10:30</w:t>
      </w:r>
    </w:p>
    <w:p w14:paraId="3DFA025C">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__4_</w:t>
      </w:r>
      <w:r>
        <w:rPr>
          <w:rFonts w:hint="eastAsia"/>
        </w:rPr>
        <w:t>。</w:t>
      </w:r>
    </w:p>
    <w:p w14:paraId="3B396B0C">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4CC8D38">
      <w:pPr>
        <w:widowControl w:val="0"/>
        <w:topLinePunct/>
        <w:ind w:firstLine="480" w:firstLineChars="200"/>
        <w:jc w:val="both"/>
        <w:rPr>
          <w:b/>
        </w:rPr>
      </w:pPr>
      <w:r>
        <w:rPr>
          <w:rFonts w:hint="eastAsia"/>
          <w:b/>
        </w:rPr>
        <w:t>十、联系方式：</w:t>
      </w:r>
    </w:p>
    <w:p w14:paraId="5652595C">
      <w:pPr>
        <w:widowControl w:val="0"/>
        <w:topLinePunct/>
        <w:ind w:firstLine="480" w:firstLineChars="200"/>
        <w:jc w:val="both"/>
      </w:pPr>
      <w:r>
        <w:rPr>
          <w:rFonts w:hint="eastAsia"/>
        </w:rPr>
        <w:t>1．采购人：西安住房</w:t>
      </w:r>
      <w:r>
        <w:t>公积金管理中心</w:t>
      </w:r>
    </w:p>
    <w:p w14:paraId="303B0B38">
      <w:pPr>
        <w:widowControl w:val="0"/>
        <w:topLinePunct/>
        <w:ind w:firstLine="480" w:firstLineChars="200"/>
        <w:jc w:val="both"/>
      </w:pPr>
      <w:r>
        <w:rPr>
          <w:rFonts w:hint="eastAsia"/>
        </w:rPr>
        <w:t>地址：西安市碑林区振兴路137号院内</w:t>
      </w:r>
    </w:p>
    <w:p w14:paraId="642A334A">
      <w:pPr>
        <w:widowControl w:val="0"/>
        <w:topLinePunct/>
        <w:ind w:firstLine="480" w:firstLineChars="200"/>
        <w:jc w:val="both"/>
      </w:pPr>
      <w:r>
        <w:rPr>
          <w:rFonts w:hint="eastAsia"/>
        </w:rPr>
        <w:t>联系人：王老师</w:t>
      </w:r>
    </w:p>
    <w:p w14:paraId="41FE96D1">
      <w:pPr>
        <w:widowControl w:val="0"/>
        <w:topLinePunct/>
        <w:ind w:firstLine="480" w:firstLineChars="200"/>
        <w:jc w:val="both"/>
      </w:pPr>
      <w:r>
        <w:rPr>
          <w:rFonts w:hint="eastAsia"/>
        </w:rPr>
        <w:t>联系电话：</w:t>
      </w:r>
      <w:r>
        <w:t>18165058182</w:t>
      </w:r>
    </w:p>
    <w:p w14:paraId="5EECB035">
      <w:pPr>
        <w:widowControl w:val="0"/>
        <w:topLinePunct/>
        <w:ind w:firstLine="480" w:firstLineChars="200"/>
        <w:jc w:val="both"/>
      </w:pPr>
      <w:r>
        <w:rPr>
          <w:rFonts w:hint="eastAsia"/>
        </w:rPr>
        <w:t>2．采购代理机构：西安市市级单位政府采购中心</w:t>
      </w:r>
    </w:p>
    <w:p w14:paraId="3930CAC1">
      <w:pPr>
        <w:widowControl w:val="0"/>
        <w:topLinePunct/>
        <w:ind w:firstLine="480" w:firstLineChars="200"/>
        <w:jc w:val="both"/>
      </w:pPr>
      <w:r>
        <w:rPr>
          <w:rFonts w:hint="eastAsia"/>
        </w:rPr>
        <w:t>地址：西安市未央区文景北路16号白桦林国际B座</w:t>
      </w:r>
    </w:p>
    <w:p w14:paraId="1FDF1E5D">
      <w:pPr>
        <w:widowControl w:val="0"/>
        <w:topLinePunct/>
        <w:ind w:firstLine="480" w:firstLineChars="200"/>
        <w:jc w:val="both"/>
      </w:pPr>
      <w:r>
        <w:rPr>
          <w:rFonts w:hint="eastAsia"/>
        </w:rPr>
        <w:t>总机：029-86510091/86510092/86510093</w:t>
      </w:r>
    </w:p>
    <w:p w14:paraId="4D9C9DDE">
      <w:pPr>
        <w:widowControl w:val="0"/>
        <w:topLinePunct/>
        <w:ind w:firstLine="480" w:firstLineChars="200"/>
        <w:jc w:val="both"/>
      </w:pPr>
      <w:r>
        <w:rPr>
          <w:rFonts w:hint="eastAsia"/>
        </w:rPr>
        <w:t>标书联系人及分机号：徐老师（</w:t>
      </w:r>
      <w:r>
        <w:t>80813</w:t>
      </w:r>
      <w:r>
        <w:rPr>
          <w:rFonts w:hint="eastAsia"/>
        </w:rPr>
        <w:t>）</w:t>
      </w:r>
    </w:p>
    <w:p w14:paraId="0C611D73">
      <w:pPr>
        <w:widowControl w:val="0"/>
        <w:topLinePunct/>
        <w:ind w:firstLine="480" w:firstLineChars="200"/>
        <w:jc w:val="both"/>
      </w:pPr>
      <w:r>
        <w:rPr>
          <w:rFonts w:hint="eastAsia"/>
        </w:rPr>
        <w:t>开标联系人及分机号：刘老师（</w:t>
      </w:r>
      <w:r>
        <w:t>80862</w:t>
      </w:r>
      <w:r>
        <w:rPr>
          <w:rFonts w:hint="eastAsia"/>
        </w:rPr>
        <w:t>）</w:t>
      </w:r>
    </w:p>
    <w:p w14:paraId="04B3896A">
      <w:pPr>
        <w:widowControl w:val="0"/>
        <w:topLinePunct/>
        <w:jc w:val="both"/>
      </w:pPr>
    </w:p>
    <w:p w14:paraId="67790D97">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2A0B48C0">
      <w:pPr>
        <w:pStyle w:val="2"/>
        <w:spacing w:before="230" w:after="230"/>
      </w:pPr>
      <w:bookmarkStart w:id="7" w:name="_Toc445407251"/>
      <w:bookmarkStart w:id="8" w:name="_Toc534656409"/>
      <w:bookmarkStart w:id="9" w:name="_Toc498349068"/>
      <w:bookmarkStart w:id="10" w:name="_Toc97563329"/>
      <w:bookmarkStart w:id="11" w:name="_Toc533363235"/>
      <w:bookmarkStart w:id="12" w:name="_Toc100219613"/>
      <w:bookmarkStart w:id="13" w:name="_Toc534656414"/>
      <w:bookmarkStart w:id="14" w:name="_Toc533363262"/>
      <w:r>
        <w:t>第二章</w:t>
      </w:r>
      <w:r>
        <w:rPr>
          <w:rFonts w:hint="eastAsia"/>
        </w:rPr>
        <w:t>　</w:t>
      </w:r>
      <w:r>
        <w:t>供应商须知</w:t>
      </w:r>
      <w:bookmarkEnd w:id="7"/>
      <w:bookmarkEnd w:id="8"/>
      <w:bookmarkEnd w:id="9"/>
      <w:bookmarkEnd w:id="10"/>
      <w:bookmarkEnd w:id="11"/>
      <w:bookmarkEnd w:id="12"/>
      <w:bookmarkEnd w:id="13"/>
      <w:bookmarkEnd w:id="14"/>
    </w:p>
    <w:p w14:paraId="0DF2C100">
      <w:pPr>
        <w:jc w:val="center"/>
        <w:outlineLvl w:val="2"/>
        <w:rPr>
          <w:rFonts w:cstheme="minorHAnsi"/>
        </w:rPr>
      </w:pPr>
      <w:r>
        <w:rPr>
          <w:rFonts w:hint="eastAsia" w:ascii="黑体" w:hAnsi="黑体" w:eastAsia="黑体" w:cstheme="minorHAnsi"/>
          <w:color w:val="0070C0"/>
          <w:sz w:val="32"/>
          <w:szCs w:val="32"/>
        </w:rPr>
        <w:t>『前附表』</w:t>
      </w:r>
    </w:p>
    <w:tbl>
      <w:tblPr>
        <w:tblStyle w:val="28"/>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50ECF9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34E2C8E9">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B42570D">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3B1287B5">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58B1B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2E2CA008">
            <w:pPr>
              <w:pStyle w:val="71"/>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1042867">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178EB490">
            <w:pPr>
              <w:spacing w:line="320" w:lineRule="exact"/>
              <w:jc w:val="both"/>
              <w:rPr>
                <w:rFonts w:ascii="Calibri" w:hAnsi="宋体" w:eastAsia="宋体" w:cstheme="minorHAnsi"/>
                <w:sz w:val="21"/>
              </w:rPr>
            </w:pPr>
            <w:bookmarkStart w:id="15" w:name="OLE_LINK6"/>
            <w:bookmarkStart w:id="16" w:name="OLE_LINK5"/>
            <w:r>
              <w:rPr>
                <w:rFonts w:hint="eastAsia" w:ascii="Calibri" w:hAnsi="宋体" w:eastAsia="宋体" w:cstheme="minorHAnsi"/>
                <w:sz w:val="21"/>
              </w:rPr>
              <w:t>2025年度</w:t>
            </w:r>
            <w:r>
              <w:rPr>
                <w:rFonts w:ascii="Calibri" w:hAnsi="宋体" w:eastAsia="宋体" w:cstheme="minorHAnsi"/>
                <w:sz w:val="21"/>
              </w:rPr>
              <w:t>中心机关物业服务</w:t>
            </w:r>
            <w:bookmarkEnd w:id="15"/>
            <w:bookmarkEnd w:id="16"/>
          </w:p>
        </w:tc>
      </w:tr>
      <w:tr w14:paraId="3D3CF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5A3313">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366205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FF38B88">
            <w:pPr>
              <w:spacing w:line="320" w:lineRule="exact"/>
              <w:jc w:val="both"/>
              <w:rPr>
                <w:rFonts w:ascii="Calibri" w:hAnsi="宋体" w:eastAsia="宋体" w:cstheme="minorHAnsi"/>
                <w:sz w:val="21"/>
              </w:rPr>
            </w:pPr>
            <w:r>
              <w:rPr>
                <w:rFonts w:hint="eastAsia" w:ascii="Calibri" w:hAnsi="宋体" w:eastAsia="宋体" w:cstheme="minorHAnsi"/>
                <w:sz w:val="21"/>
              </w:rPr>
              <w:t>X</w:t>
            </w:r>
            <w:r>
              <w:rPr>
                <w:rFonts w:ascii="Calibri" w:hAnsi="宋体" w:eastAsia="宋体" w:cstheme="minorHAnsi"/>
                <w:sz w:val="21"/>
              </w:rPr>
              <w:t>CZX2025-0116</w:t>
            </w:r>
          </w:p>
        </w:tc>
      </w:tr>
      <w:tr w14:paraId="34E39D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5D497B9">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7CD7278">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0FAD2C67">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018D37D9">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1A43DCD">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58EE27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B151D19">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40A0CAF">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60954112">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1865274</w:t>
            </w:r>
            <w:r>
              <w:rPr>
                <w:rFonts w:hint="eastAsia" w:ascii="Calibri" w:hAnsi="宋体" w:eastAsia="宋体" w:cstheme="minorHAnsi"/>
                <w:sz w:val="21"/>
              </w:rPr>
              <w:t>元〉（最高限价</w:t>
            </w:r>
            <w:r>
              <w:rPr>
                <w:rFonts w:ascii="Calibri" w:hAnsi="宋体" w:eastAsia="宋体" w:cstheme="minorHAnsi"/>
                <w:sz w:val="21"/>
              </w:rPr>
              <w:t>1865274</w:t>
            </w:r>
            <w:r>
              <w:rPr>
                <w:rFonts w:hint="eastAsia" w:ascii="Calibri" w:hAnsi="宋体" w:eastAsia="宋体" w:cstheme="minorHAnsi"/>
                <w:sz w:val="21"/>
              </w:rPr>
              <w:t>元）</w:t>
            </w:r>
          </w:p>
        </w:tc>
      </w:tr>
      <w:tr w14:paraId="7CDB24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36173B0">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CA00354">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71AC5F91">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52CEE0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E105E74">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5047CA7">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282EFDE4">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2DCEEAE5">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76162F9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C2C192E">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567D7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58503A6">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AE9E4C7">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39FA683B">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020C2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5BC4E73">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41A5B95">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423839BF">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303FD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33BA4C">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37EB3BA">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0EC1C74E">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3B07C1EB">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33A73242">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9578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C5A095F">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5263D9B">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671630B5">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0BF747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20F3DD">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4381BAF">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378ADD78">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655F16B7">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16842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77CA4A">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9846E3">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6AE4294F">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4E11BA67">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1928E141">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0563A4D">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170784F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2DD99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66A2B19">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20451A0">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4ABC1E0C">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360336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EB628C3">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D4679EF">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13C0AF67">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6215B358">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758E2842">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69AB5E64">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6E510A40">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0D35A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610D3B">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A45664E">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37277F5">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7970BFA0">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75746438">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653E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E15C5B6">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44ECAA9">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5DC16C51">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6C622B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7248DF0">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065E948">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20B358BC">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B5FD527">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4680FD21">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5D7BAB29">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023E56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26AF6F">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024F99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4587B52D">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物业管理</w:t>
            </w:r>
          </w:p>
        </w:tc>
      </w:tr>
      <w:tr w14:paraId="50AFE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831D06">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CFD4BB8">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5C4EA8D6">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6D8B9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76D46F">
            <w:pPr>
              <w:pStyle w:val="71"/>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1C06650">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5D21E98C">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9097B92">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7BD6767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1F70291D">
      <w:pPr>
        <w:pStyle w:val="3"/>
        <w:jc w:val="both"/>
      </w:pPr>
      <w:r>
        <w:t>一、有关定义</w:t>
      </w:r>
    </w:p>
    <w:p w14:paraId="2CE600E6">
      <w:pPr>
        <w:ind w:firstLine="480" w:firstLineChars="200"/>
        <w:jc w:val="both"/>
        <w:rPr>
          <w:rFonts w:cstheme="minorHAnsi"/>
        </w:rPr>
      </w:pPr>
      <w:r>
        <w:rPr>
          <w:rFonts w:hint="eastAsia" w:cstheme="minorHAnsi"/>
        </w:rPr>
        <w:t>1．采购人：依法进行政府采购的西安市市级机关、事业单位或团体组织。</w:t>
      </w:r>
    </w:p>
    <w:p w14:paraId="0EBD3659">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0BDAB00E">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5FA0B3A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3318A160">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Style w:val="34"/>
          <w:rFonts w:cstheme="minorHAnsi"/>
        </w:rPr>
        <w:fldChar w:fldCharType="begin"/>
      </w:r>
      <w:r>
        <w:rPr>
          <w:rStyle w:val="34"/>
          <w:rFonts w:cstheme="minorHAnsi"/>
        </w:rPr>
        <w:instrText xml:space="preserve"> HYPERLINK "http://sxggzyjy.xa.gov.cn/" </w:instrText>
      </w:r>
      <w:r>
        <w:rPr>
          <w:rStyle w:val="34"/>
          <w:rFonts w:cstheme="minorHAnsi"/>
        </w:rPr>
        <w:fldChar w:fldCharType="separate"/>
      </w:r>
      <w:r>
        <w:rPr>
          <w:rStyle w:val="34"/>
          <w:rFonts w:hint="eastAsia" w:cstheme="minorHAnsi"/>
        </w:rPr>
        <w:t>http</w:t>
      </w:r>
      <w:r>
        <w:rPr>
          <w:rStyle w:val="34"/>
          <w:rFonts w:cstheme="minorHAnsi"/>
        </w:rPr>
        <w:t>://sxggzyjy.xa.gov.cn</w:t>
      </w:r>
      <w:r>
        <w:rPr>
          <w:rStyle w:val="34"/>
          <w:rFonts w:hint="eastAsia" w:cstheme="minorHAnsi"/>
        </w:rPr>
        <w:t>/</w:t>
      </w:r>
      <w:r>
        <w:rPr>
          <w:rStyle w:val="34"/>
          <w:rFonts w:cstheme="minorHAnsi"/>
        </w:rPr>
        <w:fldChar w:fldCharType="end"/>
      </w:r>
      <w:r>
        <w:rPr>
          <w:rFonts w:cstheme="minorHAnsi"/>
        </w:rPr>
        <w:t>。</w:t>
      </w:r>
    </w:p>
    <w:p w14:paraId="52F3B0F2">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4"/>
          <w:rFonts w:cstheme="minorHAnsi"/>
        </w:rPr>
        <w:t>http://www.sxggzyjy.cn:9002/TPBidder/memberLogin</w:t>
      </w:r>
      <w:r>
        <w:rPr>
          <w:rStyle w:val="34"/>
          <w:rFonts w:cstheme="minorHAnsi"/>
        </w:rPr>
        <w:fldChar w:fldCharType="end"/>
      </w:r>
      <w:r>
        <w:rPr>
          <w:rFonts w:hint="eastAsia" w:cstheme="minorHAnsi"/>
        </w:rPr>
        <w:t>。</w:t>
      </w:r>
    </w:p>
    <w:p w14:paraId="69D82248">
      <w:pPr>
        <w:pStyle w:val="3"/>
        <w:jc w:val="both"/>
      </w:pPr>
      <w:r>
        <w:t>二、供应商注意事项</w:t>
      </w:r>
    </w:p>
    <w:p w14:paraId="23A8135A">
      <w:pPr>
        <w:pStyle w:val="4"/>
        <w:ind w:firstLine="482"/>
        <w:jc w:val="both"/>
      </w:pPr>
      <w:r>
        <w:rPr>
          <w:rFonts w:hint="eastAsia"/>
        </w:rPr>
        <w:t>（一）供应商投</w:t>
      </w:r>
      <w:r>
        <w:rPr>
          <w:rFonts w:hint="eastAsia"/>
          <w:w w:val="1"/>
        </w:rPr>
        <w:t xml:space="preserve"> </w:t>
      </w:r>
      <w:r>
        <w:rPr>
          <w:rFonts w:hint="eastAsia"/>
        </w:rPr>
        <w:t>标流程</w:t>
      </w:r>
    </w:p>
    <w:p w14:paraId="01FB2C74">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1BE51FEE">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4006B35F">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5C1C200C">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3E0652B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139FEE9B">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799165A8">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9F5C475">
      <w:pPr>
        <w:pStyle w:val="4"/>
        <w:ind w:firstLine="482"/>
        <w:jc w:val="both"/>
      </w:pPr>
      <w:r>
        <w:t>（</w:t>
      </w:r>
      <w:r>
        <w:rPr>
          <w:rFonts w:hint="eastAsia"/>
        </w:rPr>
        <w:t>二</w:t>
      </w:r>
      <w:r>
        <w:t>）</w:t>
      </w:r>
      <w:r>
        <w:rPr>
          <w:rFonts w:hint="eastAsia"/>
        </w:rPr>
        <w:t>关于</w:t>
      </w:r>
      <w:r>
        <w:t>询问</w:t>
      </w:r>
      <w:r>
        <w:rPr>
          <w:rFonts w:hint="eastAsia"/>
        </w:rPr>
        <w:t>、质疑和投诉</w:t>
      </w:r>
    </w:p>
    <w:p w14:paraId="447EA208">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91AEB77">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28C816EA">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1F23CAF4">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3B2DB21B">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631689E0">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7" w:name="OLE_LINK9"/>
      <w:bookmarkStart w:id="18" w:name="OLE_LINK10"/>
      <w:r>
        <w:rPr>
          <w:rFonts w:hint="eastAsia"/>
          <w:color w:val="C00000"/>
        </w:rPr>
        <w:t>采购文件公告期限届满之日</w:t>
      </w:r>
      <w:bookmarkEnd w:id="17"/>
      <w:bookmarkEnd w:id="18"/>
      <w:r>
        <w:rPr>
          <w:rFonts w:hint="eastAsia"/>
          <w:color w:val="C00000"/>
        </w:rPr>
        <w:t>。</w:t>
      </w:r>
    </w:p>
    <w:p w14:paraId="72B44EEF">
      <w:pPr>
        <w:ind w:firstLine="480" w:firstLineChars="200"/>
        <w:jc w:val="both"/>
      </w:pPr>
      <w:r>
        <w:t>（2）质疑方式：</w:t>
      </w:r>
    </w:p>
    <w:p w14:paraId="0A450AA2">
      <w:pPr>
        <w:ind w:firstLine="480" w:firstLineChars="200"/>
        <w:jc w:val="both"/>
        <w:rPr>
          <w:rFonts w:asciiTheme="minorEastAsia" w:hAnsiTheme="minorEastAsia"/>
        </w:rPr>
      </w:pPr>
      <w:r>
        <w:rPr>
          <w:rFonts w:asciiTheme="minorEastAsia" w:hAnsiTheme="minorEastAsia"/>
        </w:rPr>
        <w:t>① 在线质疑：</w:t>
      </w:r>
    </w:p>
    <w:p w14:paraId="15B59A3B">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72EA97CE">
      <w:pPr>
        <w:ind w:firstLine="480" w:firstLineChars="200"/>
        <w:jc w:val="both"/>
        <w:rPr>
          <w:rFonts w:asciiTheme="minorEastAsia" w:hAnsiTheme="minorEastAsia"/>
        </w:rPr>
      </w:pPr>
      <w:r>
        <w:rPr>
          <w:rFonts w:asciiTheme="minorEastAsia" w:hAnsiTheme="minorEastAsia"/>
        </w:rPr>
        <w:t>② 书面质疑：</w:t>
      </w:r>
    </w:p>
    <w:p w14:paraId="2CCEB9E4">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11BE23A4">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4"/>
        </w:rPr>
        <w:t>http://download.ccgp.gov.cn/2018/zhiyihanfanben.zip</w:t>
      </w:r>
      <w:r>
        <w:rPr>
          <w:rStyle w:val="34"/>
        </w:rPr>
        <w:fldChar w:fldCharType="end"/>
      </w:r>
    </w:p>
    <w:p w14:paraId="466A0CD1">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供应商公章，公章不得以合同章或其他印章代替。供应商委托授权代表提出质疑的，应当同时提交供应商签署的委托授权书。</w:t>
      </w:r>
    </w:p>
    <w:p w14:paraId="6D7A7747">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0E3ED854">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1BFDD9F9">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49FD58F">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2D0C051">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D6EB686">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6B5CF703">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687D211A">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236BDBC2">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7BDA57DF">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026A0146">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37BF8643">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4"/>
          <w:rFonts w:cstheme="minorHAnsi"/>
          <w:color w:val="0070C0"/>
        </w:rPr>
        <w:t>http://download.ccgp.gov.cn/2018/tousushufanben.zip</w:t>
      </w:r>
      <w:r>
        <w:rPr>
          <w:rStyle w:val="34"/>
          <w:rFonts w:cstheme="minorHAnsi"/>
          <w:color w:val="0070C0"/>
        </w:rPr>
        <w:fldChar w:fldCharType="end"/>
      </w:r>
    </w:p>
    <w:p w14:paraId="498E9C25">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7F09262F">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1D0AC4C0">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12AADFA">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1D611A74">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31408452">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3210FC4">
      <w:pPr>
        <w:pStyle w:val="4"/>
        <w:ind w:firstLine="482"/>
      </w:pPr>
      <w:r>
        <w:t>（</w:t>
      </w:r>
      <w:r>
        <w:rPr>
          <w:rFonts w:hint="eastAsia"/>
        </w:rPr>
        <w:t>三</w:t>
      </w:r>
      <w:r>
        <w:t>）</w:t>
      </w:r>
      <w:r>
        <w:rPr>
          <w:rFonts w:hint="eastAsia"/>
        </w:rPr>
        <w:t>关于</w:t>
      </w:r>
      <w:r>
        <w:t>保证金</w:t>
      </w:r>
    </w:p>
    <w:p w14:paraId="76667ABD">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547F88C3">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3BAE947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33820A65">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1ED59FE2">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046356C1">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7203DFAF">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19A937E9">
      <w:pPr>
        <w:wordWrap w:val="0"/>
        <w:ind w:firstLine="480" w:firstLineChars="200"/>
        <w:jc w:val="both"/>
      </w:pPr>
      <w:r>
        <w:rPr>
          <w:rFonts w:hint="eastAsia"/>
        </w:rPr>
        <w:t>户　名：西安市公共资源交易中心保证金户</w:t>
      </w:r>
    </w:p>
    <w:p w14:paraId="0BD29886">
      <w:pPr>
        <w:wordWrap w:val="0"/>
        <w:ind w:firstLine="480" w:firstLineChars="200"/>
        <w:jc w:val="both"/>
      </w:pPr>
      <w:r>
        <w:rPr>
          <w:rFonts w:hint="eastAsia"/>
        </w:rPr>
        <w:t>账　号：9558853700001663476</w:t>
      </w:r>
    </w:p>
    <w:p w14:paraId="29320CF8">
      <w:pPr>
        <w:wordWrap w:val="0"/>
        <w:ind w:firstLine="480" w:firstLineChars="200"/>
        <w:jc w:val="both"/>
      </w:pPr>
      <w:r>
        <w:rPr>
          <w:rFonts w:hint="eastAsia"/>
        </w:rPr>
        <w:t>开户行：中国工商银行股份有限公司西安曲江支行</w:t>
      </w:r>
    </w:p>
    <w:p w14:paraId="00285A18">
      <w:pPr>
        <w:wordWrap w:val="0"/>
        <w:ind w:firstLine="480" w:firstLineChars="200"/>
        <w:jc w:val="both"/>
      </w:pPr>
      <w:r>
        <w:rPr>
          <w:rFonts w:hint="eastAsia"/>
        </w:rPr>
        <w:t>② 采用纸质保函形式时，应将履约保函原件递交至西安市公共资源交易中心保证金业务室：</w:t>
      </w:r>
    </w:p>
    <w:p w14:paraId="2714EF96">
      <w:pPr>
        <w:wordWrap w:val="0"/>
        <w:ind w:firstLine="480" w:firstLineChars="200"/>
        <w:jc w:val="both"/>
      </w:pPr>
      <w:r>
        <w:rPr>
          <w:rFonts w:hint="eastAsia"/>
        </w:rPr>
        <w:t>业务咨询电话：029-86510166/86510167转80206</w:t>
      </w:r>
    </w:p>
    <w:p w14:paraId="69380F0E">
      <w:pPr>
        <w:wordWrap w:val="0"/>
        <w:ind w:firstLine="480" w:firstLineChars="200"/>
        <w:jc w:val="both"/>
      </w:pPr>
      <w:r>
        <w:rPr>
          <w:rFonts w:hint="eastAsia"/>
        </w:rPr>
        <w:t>业务受理时间：（法定节假日除外）上午9:00-12:00、下午13:30-17:30</w:t>
      </w:r>
    </w:p>
    <w:p w14:paraId="26A671D7">
      <w:pPr>
        <w:wordWrap w:val="0"/>
        <w:ind w:firstLine="480" w:firstLineChars="200"/>
        <w:jc w:val="both"/>
      </w:pPr>
      <w:r>
        <w:rPr>
          <w:rFonts w:hint="eastAsia"/>
        </w:rPr>
        <w:t>业务受理地点：西安市未央区文景北路16号白桦林国际B座二层206室</w:t>
      </w:r>
    </w:p>
    <w:p w14:paraId="5A6A1235">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32495193">
      <w:pPr>
        <w:wordWrap w:val="0"/>
        <w:ind w:firstLine="480" w:firstLineChars="200"/>
        <w:jc w:val="both"/>
      </w:pPr>
      <w:r>
        <w:rPr>
          <w:rFonts w:hint="eastAsia"/>
        </w:rPr>
        <w:t>（</w:t>
      </w:r>
      <w:r>
        <w:t>3</w:t>
      </w:r>
      <w:r>
        <w:rPr>
          <w:rFonts w:hint="eastAsia"/>
        </w:rPr>
        <w:t>）采用履约保函形式时应注意以下事项：</w:t>
      </w:r>
    </w:p>
    <w:p w14:paraId="41CB3178">
      <w:pPr>
        <w:wordWrap w:val="0"/>
        <w:ind w:firstLine="480" w:firstLineChars="200"/>
        <w:jc w:val="both"/>
      </w:pPr>
      <w:r>
        <w:rPr>
          <w:rFonts w:hint="eastAsia"/>
        </w:rPr>
        <w:t>① 履约保函的受益人为采购人，供应商未能按合同规定履行其义务时，采购人有权从履约保证金中取得补偿。</w:t>
      </w:r>
    </w:p>
    <w:p w14:paraId="2B35A3DC">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43DBEB8A">
      <w:pPr>
        <w:wordWrap w:val="0"/>
        <w:ind w:firstLine="480" w:firstLineChars="200"/>
        <w:jc w:val="both"/>
      </w:pPr>
      <w:r>
        <w:rPr>
          <w:rFonts w:hint="eastAsia"/>
        </w:rPr>
        <w:t>③ 担保金额不少于</w:t>
      </w:r>
      <w:r>
        <w:t>本章「前附表」</w:t>
      </w:r>
      <w:r>
        <w:rPr>
          <w:rFonts w:hint="eastAsia"/>
        </w:rPr>
        <w:t>中规定的履约保证金金额；</w:t>
      </w:r>
    </w:p>
    <w:p w14:paraId="66E7E4F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6947139E">
      <w:pPr>
        <w:wordWrap w:val="0"/>
        <w:ind w:firstLine="480" w:firstLineChars="200"/>
        <w:jc w:val="both"/>
      </w:pPr>
      <w:r>
        <w:rPr>
          <w:rFonts w:hint="eastAsia"/>
        </w:rPr>
        <w:t>（</w:t>
      </w:r>
      <w:r>
        <w:t>4</w:t>
      </w:r>
      <w:r>
        <w:rPr>
          <w:rFonts w:hint="eastAsia"/>
        </w:rPr>
        <w:t>）退还履约保证金</w:t>
      </w:r>
    </w:p>
    <w:p w14:paraId="66C89054">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3755D0FD">
      <w:pPr>
        <w:pStyle w:val="4"/>
        <w:ind w:firstLine="482"/>
      </w:pPr>
      <w:r>
        <w:rPr>
          <w:rFonts w:hint="eastAsia"/>
        </w:rPr>
        <w:t>（四）关于</w:t>
      </w:r>
      <w:r>
        <w:t>进口产品</w:t>
      </w:r>
    </w:p>
    <w:p w14:paraId="723F5804">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0320970E">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144FA278">
      <w:pPr>
        <w:pStyle w:val="4"/>
        <w:ind w:firstLine="482"/>
      </w:pPr>
      <w:r>
        <w:t>（五）</w:t>
      </w:r>
      <w:r>
        <w:rPr>
          <w:rFonts w:hint="eastAsia"/>
        </w:rPr>
        <w:t>关于政府采购</w:t>
      </w:r>
      <w:r>
        <w:t>政策</w:t>
      </w:r>
    </w:p>
    <w:p w14:paraId="4E1899C8">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0D06360">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75812BEB">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777ED299">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57623E14">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6EF460E6">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0365D61">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30A9159A">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1AE73BC">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C9AD56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5AF8BB29">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1330F455">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581A0B96">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7A3B67DC">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540C521D">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77B711A7">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452D1BD1">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6E910D58">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4DB9E2CD">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6F3EB9CC">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546AB374">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1C735C28">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10A33D68">
      <w:pPr>
        <w:ind w:firstLine="480" w:firstLineChars="200"/>
        <w:jc w:val="both"/>
        <w:rPr>
          <w:rFonts w:cstheme="minorHAnsi"/>
          <w:b/>
        </w:rPr>
      </w:pPr>
      <w:r>
        <w:rPr>
          <w:rFonts w:hint="eastAsia" w:cstheme="minorHAnsi"/>
          <w:b/>
        </w:rPr>
        <w:t>（1）陕西省中小企业政府采购信用融资办法</w:t>
      </w:r>
    </w:p>
    <w:p w14:paraId="61776E36">
      <w:pPr>
        <w:wordWrap w:val="0"/>
        <w:ind w:firstLine="480" w:firstLineChars="200"/>
        <w:jc w:val="both"/>
        <w:rPr>
          <w:rStyle w:val="34"/>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4"/>
          <w:rFonts w:hint="eastAsia" w:cstheme="minorHAnsi"/>
          <w:color w:val="0070C0"/>
        </w:rPr>
        <w:t>http://www.ccgp-shaanxi.gov.cn/zcdservice/zcd/shanxi/</w:t>
      </w:r>
    </w:p>
    <w:p w14:paraId="3DCBE6A2">
      <w:pPr>
        <w:ind w:firstLine="480" w:firstLineChars="200"/>
        <w:jc w:val="both"/>
        <w:rPr>
          <w:b/>
        </w:rPr>
      </w:pPr>
      <w:r>
        <w:rPr>
          <w:rFonts w:hint="eastAsia" w:cstheme="minorHAnsi"/>
          <w:b/>
        </w:rPr>
        <w:t>（2）</w:t>
      </w:r>
      <w:r>
        <w:rPr>
          <w:b/>
        </w:rPr>
        <w:t>西安市政府采购信用担保及信用融资政策</w:t>
      </w:r>
    </w:p>
    <w:p w14:paraId="525BA699">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4"/>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21131BF1">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7523B6A7">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76231728">
      <w:pPr>
        <w:pStyle w:val="4"/>
        <w:ind w:firstLine="482"/>
      </w:pPr>
      <w:r>
        <w:rPr>
          <w:rFonts w:hint="eastAsia"/>
        </w:rPr>
        <w:t>（六）</w:t>
      </w:r>
      <w:r>
        <w:t>关于同一品牌产品的处理</w:t>
      </w:r>
    </w:p>
    <w:p w14:paraId="3B3C485A">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12B0710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15EDB6B9">
      <w:pPr>
        <w:pStyle w:val="4"/>
        <w:ind w:firstLine="482"/>
      </w:pPr>
      <w:r>
        <w:t>（七）</w:t>
      </w:r>
      <w:r>
        <w:rPr>
          <w:rFonts w:hint="eastAsia"/>
        </w:rPr>
        <w:t>关于</w:t>
      </w:r>
      <w:r>
        <w:t>知识产权和保密</w:t>
      </w:r>
      <w:r>
        <w:rPr>
          <w:rFonts w:hint="eastAsia"/>
        </w:rPr>
        <w:t>事项</w:t>
      </w:r>
    </w:p>
    <w:p w14:paraId="5B87971F">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7BBD57C6">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29DD4D21">
      <w:pPr>
        <w:pStyle w:val="4"/>
        <w:ind w:firstLine="482"/>
      </w:pPr>
      <w:r>
        <w:t>（八）关于信用记录的查询和使用</w:t>
      </w:r>
    </w:p>
    <w:p w14:paraId="29E4AAC1">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4"/>
          <w:rFonts w:eastAsiaTheme="majorEastAsia" w:cstheme="minorHAnsi"/>
          <w:color w:val="0070C0"/>
        </w:rPr>
        <w:t>https://www.creditchina.gov.cn</w:t>
      </w:r>
      <w:r>
        <w:rPr>
          <w:rStyle w:val="34"/>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4"/>
          <w:rFonts w:eastAsiaTheme="majorEastAsia" w:cstheme="minorHAnsi"/>
          <w:color w:val="0070C0"/>
        </w:rPr>
        <w:t>http://www.ccgp.gov.cn/</w:t>
      </w:r>
      <w:r>
        <w:rPr>
          <w:rStyle w:val="34"/>
          <w:rFonts w:eastAsiaTheme="majorEastAsia" w:cstheme="minorHAnsi"/>
        </w:rPr>
        <w:t>）</w:t>
      </w:r>
      <w:r>
        <w:rPr>
          <w:rStyle w:val="34"/>
          <w:rFonts w:eastAsiaTheme="majorEastAsia" w:cstheme="minorHAnsi"/>
        </w:rPr>
        <w:fldChar w:fldCharType="end"/>
      </w:r>
      <w:r>
        <w:rPr>
          <w:rFonts w:eastAsiaTheme="majorEastAsia" w:cstheme="minorHAnsi"/>
        </w:rPr>
        <w:t>对供应商的信用情况进行甄别。</w:t>
      </w:r>
    </w:p>
    <w:p w14:paraId="447777B1">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3637A961">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1069AD2E">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4125875E">
      <w:pPr>
        <w:pStyle w:val="4"/>
      </w:pPr>
      <w:r>
        <w:t>（九）</w:t>
      </w:r>
      <w:r>
        <w:rPr>
          <w:rFonts w:hint="eastAsia"/>
        </w:rPr>
        <w:t>关于现场踏勘和集中答疑</w:t>
      </w:r>
    </w:p>
    <w:p w14:paraId="57C6E9D4">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05054B34">
      <w:pPr>
        <w:pStyle w:val="4"/>
      </w:pPr>
      <w:r>
        <w:t>（十）关于联合体</w:t>
      </w:r>
    </w:p>
    <w:p w14:paraId="3722AD8F">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48690C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01025AC1">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526043A7">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52103795">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5331333B">
      <w:pPr>
        <w:ind w:firstLine="480" w:firstLineChars="200"/>
        <w:jc w:val="both"/>
      </w:pPr>
      <w:r>
        <w:rPr>
          <w:rFonts w:hint="eastAsia"/>
        </w:rPr>
        <w:t>6．联合体可享受的中小企业优惠政策：</w:t>
      </w:r>
    </w:p>
    <w:p w14:paraId="2187520D">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F637A9D">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0663B43A">
      <w:pPr>
        <w:ind w:firstLine="480" w:firstLineChars="200"/>
        <w:jc w:val="both"/>
      </w:pPr>
      <w:r>
        <w:rPr>
          <w:rFonts w:hint="eastAsia"/>
        </w:rPr>
        <w:t>7．联合体出现下列情形之一的，响</w:t>
      </w:r>
      <w:r>
        <w:rPr>
          <w:rFonts w:hint="eastAsia"/>
          <w:w w:val="1"/>
        </w:rPr>
        <w:t>　</w:t>
      </w:r>
      <w:r>
        <w:rPr>
          <w:rFonts w:hint="eastAsia"/>
        </w:rPr>
        <w:t>应无效：</w:t>
      </w:r>
    </w:p>
    <w:p w14:paraId="3A05CAB8">
      <w:pPr>
        <w:ind w:firstLine="480" w:firstLineChars="200"/>
        <w:jc w:val="both"/>
      </w:pPr>
      <w:r>
        <w:rPr>
          <w:rFonts w:hint="eastAsia"/>
        </w:rPr>
        <w:t>（1）联合体没有提交有效的联合协议的；</w:t>
      </w:r>
    </w:p>
    <w:p w14:paraId="0B3ED0C9">
      <w:pPr>
        <w:ind w:firstLine="480" w:firstLineChars="200"/>
        <w:jc w:val="both"/>
      </w:pPr>
      <w:r>
        <w:rPr>
          <w:rFonts w:hint="eastAsia"/>
        </w:rPr>
        <w:t xml:space="preserve">（2）进行资格预审的项目，资格预审后联合体增减、更换成员的； </w:t>
      </w:r>
    </w:p>
    <w:p w14:paraId="03DC5DA1">
      <w:pPr>
        <w:ind w:firstLine="480" w:firstLineChars="200"/>
        <w:jc w:val="both"/>
      </w:pPr>
      <w:r>
        <w:rPr>
          <w:rFonts w:hint="eastAsia"/>
        </w:rPr>
        <w:t>（3）联合协议签订后，联合体成员单独参加或者与其他供应商另外组成联合体参加同一合同项下的政府采购活动的。</w:t>
      </w:r>
    </w:p>
    <w:p w14:paraId="38009C37">
      <w:pPr>
        <w:pStyle w:val="4"/>
        <w:ind w:firstLine="482"/>
      </w:pPr>
      <w:r>
        <w:t>（十一）</w:t>
      </w:r>
      <w:r>
        <w:rPr>
          <w:rFonts w:hint="eastAsia"/>
        </w:rPr>
        <w:t>其他重要</w:t>
      </w:r>
      <w:r>
        <w:t>事项</w:t>
      </w:r>
    </w:p>
    <w:p w14:paraId="0A75C2B3">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62BB02E6">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3B6B2266">
      <w:pPr>
        <w:pStyle w:val="3"/>
      </w:pPr>
      <w:r>
        <w:t>三、磋商文件</w:t>
      </w:r>
    </w:p>
    <w:p w14:paraId="18136BAA">
      <w:pPr>
        <w:pStyle w:val="4"/>
        <w:ind w:firstLine="482"/>
      </w:pPr>
      <w:r>
        <w:t>（一）磋商</w:t>
      </w:r>
      <w:r>
        <w:rPr>
          <w:rFonts w:hint="eastAsia"/>
        </w:rPr>
        <w:t>文件的解释权</w:t>
      </w:r>
    </w:p>
    <w:p w14:paraId="3C160C9C">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34EE8AD3">
      <w:pPr>
        <w:pStyle w:val="4"/>
        <w:ind w:firstLine="482"/>
      </w:pPr>
      <w:r>
        <w:t>（二）磋商文件主要内容</w:t>
      </w:r>
    </w:p>
    <w:p w14:paraId="3E508570">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321BE9C9">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73E4A486">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2588A716">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067EBAF5">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46D6F2D0">
      <w:pPr>
        <w:pStyle w:val="4"/>
        <w:ind w:firstLine="482"/>
      </w:pPr>
      <w:r>
        <w:t>（三）磋商文件的检查及阅读</w:t>
      </w:r>
    </w:p>
    <w:p w14:paraId="3F2DFD0A">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62513C8D">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618CD7D8">
      <w:pPr>
        <w:pStyle w:val="4"/>
        <w:ind w:firstLine="482"/>
      </w:pPr>
      <w:r>
        <w:t>（四）磋商文件的修改、澄清</w:t>
      </w:r>
    </w:p>
    <w:p w14:paraId="73416583">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2EE04FF2">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67CC68">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1F19954A">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3380F3C0">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4"/>
          <w:color w:val="0070C0"/>
        </w:rPr>
        <w:t>http://www.ccgp-shaanxi.gov.cn/</w:t>
      </w:r>
      <w:r>
        <w:rPr>
          <w:rStyle w:val="34"/>
          <w:color w:val="0070C0"/>
        </w:rPr>
        <w:fldChar w:fldCharType="end"/>
      </w:r>
      <w:r>
        <w:t>）中的〖首页·〉信息公告·〉市级·〉西安市〗；</w:t>
      </w:r>
    </w:p>
    <w:p w14:paraId="7513EB9B">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4"/>
          <w:rFonts w:hint="eastAsia"/>
          <w:color w:val="0070C0"/>
        </w:rPr>
        <w:t>http://</w:t>
      </w:r>
      <w:r>
        <w:rPr>
          <w:rStyle w:val="34"/>
          <w:color w:val="0070C0"/>
        </w:rPr>
        <w:t>sxggzyjy.xa.gov.cn/</w:t>
      </w:r>
      <w:r>
        <w:rPr>
          <w:rStyle w:val="34"/>
          <w:color w:val="0070C0"/>
        </w:rPr>
        <w:fldChar w:fldCharType="end"/>
      </w:r>
      <w:r>
        <w:t>）中的〖首页·〉交易大厅·〉政府采购〗。</w:t>
      </w:r>
    </w:p>
    <w:p w14:paraId="184297DD">
      <w:pPr>
        <w:pStyle w:val="3"/>
      </w:pPr>
      <w:r>
        <w:t>四、响应文件</w:t>
      </w:r>
    </w:p>
    <w:p w14:paraId="4DC8CB2E">
      <w:pPr>
        <w:pStyle w:val="4"/>
        <w:ind w:firstLine="482"/>
      </w:pPr>
      <w:r>
        <w:rPr>
          <w:rFonts w:hint="eastAsia"/>
        </w:rPr>
        <w:t>（一）响应文件</w:t>
      </w:r>
      <w:r>
        <w:t>的式样</w:t>
      </w:r>
    </w:p>
    <w:p w14:paraId="2B279202">
      <w:pPr>
        <w:pStyle w:val="84"/>
        <w:ind w:firstLine="480"/>
      </w:pPr>
      <w:r>
        <w:t>1</w:t>
      </w:r>
      <w:r>
        <w:rPr>
          <w:rFonts w:hint="eastAsia"/>
          <w:color w:val="auto"/>
        </w:rPr>
        <w:t>．</w:t>
      </w:r>
      <w:r>
        <w:rPr>
          <w:rFonts w:hint="eastAsia"/>
        </w:rPr>
        <w:t>组成</w:t>
      </w:r>
      <w:r>
        <w:t>及格式</w:t>
      </w:r>
    </w:p>
    <w:p w14:paraId="28191897">
      <w:pPr>
        <w:pStyle w:val="84"/>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65D125BB">
      <w:pPr>
        <w:pStyle w:val="84"/>
        <w:ind w:firstLine="480"/>
      </w:pPr>
      <w:r>
        <w:rPr>
          <w:rFonts w:hint="eastAsia"/>
        </w:rPr>
        <w:t>2</w:t>
      </w:r>
      <w:r>
        <w:rPr>
          <w:rFonts w:hint="eastAsia"/>
          <w:color w:val="auto"/>
        </w:rPr>
        <w:t>．</w:t>
      </w:r>
      <w:r>
        <w:rPr>
          <w:rFonts w:hint="eastAsia"/>
        </w:rPr>
        <w:t>语言</w:t>
      </w:r>
    </w:p>
    <w:p w14:paraId="23A15EB6">
      <w:pPr>
        <w:pStyle w:val="84"/>
        <w:ind w:firstLine="480"/>
      </w:pPr>
      <w:r>
        <w:rPr>
          <w:rFonts w:hint="eastAsia"/>
        </w:rPr>
        <w:t>磋商活动的所有文件、资料、函电文字均使用简体中文，确需提交用其他语言形成的资料，必须翻译成简体中文，如有差异，以简体中文为准。</w:t>
      </w:r>
    </w:p>
    <w:p w14:paraId="00BB358D">
      <w:pPr>
        <w:pStyle w:val="84"/>
        <w:ind w:firstLine="480"/>
      </w:pPr>
      <w:r>
        <w:rPr>
          <w:rFonts w:hint="eastAsia"/>
        </w:rPr>
        <w:t>3</w:t>
      </w:r>
      <w:r>
        <w:rPr>
          <w:rFonts w:hint="eastAsia"/>
          <w:color w:val="auto"/>
        </w:rPr>
        <w:t>．</w:t>
      </w:r>
      <w:r>
        <w:t>计量单位</w:t>
      </w:r>
    </w:p>
    <w:p w14:paraId="29021600">
      <w:pPr>
        <w:pStyle w:val="84"/>
        <w:ind w:firstLine="480"/>
      </w:pPr>
      <w:r>
        <w:rPr>
          <w:rFonts w:hint="eastAsia"/>
        </w:rPr>
        <w:t>响应文件的计量单位应使用中华人民共和国法定计量单位，但磋商文件另有规定的除外。</w:t>
      </w:r>
    </w:p>
    <w:p w14:paraId="5012C52F">
      <w:pPr>
        <w:pStyle w:val="4"/>
        <w:ind w:firstLine="482"/>
      </w:pPr>
      <w:r>
        <w:rPr>
          <w:rFonts w:hint="eastAsia"/>
        </w:rPr>
        <w:t>（二）响应文件</w:t>
      </w:r>
      <w:r>
        <w:t>的有效期</w:t>
      </w:r>
    </w:p>
    <w:p w14:paraId="7B23707A">
      <w:pPr>
        <w:pStyle w:val="84"/>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199EFD19">
      <w:pPr>
        <w:pStyle w:val="4"/>
        <w:ind w:firstLine="482"/>
      </w:pPr>
      <w:r>
        <w:rPr>
          <w:rFonts w:hint="eastAsia"/>
        </w:rPr>
        <w:t>（三）磋商</w:t>
      </w:r>
      <w:r>
        <w:t>报价</w:t>
      </w:r>
    </w:p>
    <w:p w14:paraId="03605677">
      <w:pPr>
        <w:pStyle w:val="84"/>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21E1D76B">
      <w:pPr>
        <w:pStyle w:val="84"/>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7011E295">
      <w:pPr>
        <w:pStyle w:val="84"/>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792E6F9A">
      <w:pPr>
        <w:pStyle w:val="84"/>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057C625B">
      <w:pPr>
        <w:pStyle w:val="84"/>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0FD5F6D5">
      <w:pPr>
        <w:pStyle w:val="84"/>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1E6AFE95">
      <w:pPr>
        <w:pStyle w:val="84"/>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09B54C42">
      <w:pPr>
        <w:pStyle w:val="4"/>
        <w:ind w:firstLine="482"/>
      </w:pPr>
      <w:r>
        <w:rPr>
          <w:rFonts w:hint="eastAsia"/>
        </w:rPr>
        <w:t>（四）电子响应文件</w:t>
      </w:r>
      <w:r>
        <w:t>的</w:t>
      </w:r>
      <w:r>
        <w:rPr>
          <w:rFonts w:hint="eastAsia"/>
        </w:rPr>
        <w:t>制作、</w:t>
      </w:r>
      <w:r>
        <w:t>签章及加密</w:t>
      </w:r>
    </w:p>
    <w:p w14:paraId="0B3B4750">
      <w:pPr>
        <w:pStyle w:val="84"/>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7C2B788A">
      <w:pPr>
        <w:pStyle w:val="84"/>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4"/>
          <w:rFonts w:asciiTheme="minorHAnsi" w:hAnsiTheme="minorHAnsi" w:eastAsiaTheme="minorEastAsia"/>
          <w:color w:val="0070C0"/>
        </w:rPr>
        <w:t>http://sxggzyjy.xa.gov.cn/fwzn/004003/20181115/4d59c184-e8f6-4d5a-a416-c2f6b0601e66.html</w:t>
      </w:r>
      <w:r>
        <w:rPr>
          <w:rStyle w:val="34"/>
          <w:rFonts w:asciiTheme="minorHAnsi" w:hAnsiTheme="minorHAnsi" w:eastAsiaTheme="minorEastAsia"/>
          <w:color w:val="0070C0"/>
        </w:rPr>
        <w:fldChar w:fldCharType="end"/>
      </w:r>
    </w:p>
    <w:p w14:paraId="2ABC33FB">
      <w:pPr>
        <w:pStyle w:val="84"/>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1122E2C0">
      <w:pPr>
        <w:pStyle w:val="84"/>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0261ACEE">
      <w:pPr>
        <w:pStyle w:val="84"/>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7833DD61">
      <w:pPr>
        <w:pStyle w:val="84"/>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78C0D7E9">
      <w:pPr>
        <w:pStyle w:val="84"/>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1927F85D">
      <w:pPr>
        <w:pStyle w:val="4"/>
        <w:ind w:firstLine="482"/>
      </w:pPr>
      <w:r>
        <w:rPr>
          <w:rFonts w:hint="eastAsia"/>
        </w:rPr>
        <w:t>（五）电子响应文件</w:t>
      </w:r>
      <w:r>
        <w:t>的提交</w:t>
      </w:r>
    </w:p>
    <w:p w14:paraId="2D6FBEDC">
      <w:pPr>
        <w:pStyle w:val="84"/>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32F9C4CE">
      <w:pPr>
        <w:pStyle w:val="84"/>
        <w:ind w:firstLine="480"/>
      </w:pPr>
      <w:r>
        <w:t>出现下述情形的，电子响应文件将被系统拒收：</w:t>
      </w:r>
    </w:p>
    <w:p w14:paraId="32FFE63B">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1E3045A5">
      <w:pPr>
        <w:ind w:firstLine="480" w:firstLineChars="200"/>
        <w:jc w:val="both"/>
        <w:rPr>
          <w:rFonts w:cstheme="minorHAnsi"/>
        </w:rPr>
      </w:pPr>
      <w:r>
        <w:rPr>
          <w:rFonts w:hint="eastAsia" w:cstheme="minorHAnsi"/>
        </w:rPr>
        <w:t>2．</w:t>
      </w:r>
      <w:r>
        <w:rPr>
          <w:rFonts w:cstheme="minorHAnsi"/>
        </w:rPr>
        <w:t>逾期提交电子响应文件的；</w:t>
      </w:r>
    </w:p>
    <w:p w14:paraId="3CEC871C">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5908118A">
      <w:pPr>
        <w:pStyle w:val="4"/>
        <w:ind w:firstLine="482"/>
      </w:pPr>
      <w:r>
        <w:t>（</w:t>
      </w:r>
      <w:r>
        <w:rPr>
          <w:rFonts w:hint="eastAsia"/>
        </w:rPr>
        <w:t>六</w:t>
      </w:r>
      <w:r>
        <w:t>）电子响应文件的撤回、补充及修改</w:t>
      </w:r>
    </w:p>
    <w:p w14:paraId="2595C934">
      <w:pPr>
        <w:pStyle w:val="84"/>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7E54A335">
      <w:pPr>
        <w:pStyle w:val="84"/>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100627DC">
      <w:pPr>
        <w:pStyle w:val="4"/>
        <w:ind w:firstLine="482"/>
      </w:pPr>
      <w:r>
        <w:rPr>
          <w:rFonts w:hint="eastAsia"/>
        </w:rPr>
        <w:t>（七）关于电子投</w:t>
      </w:r>
      <w:r>
        <w:rPr>
          <w:rFonts w:hint="eastAsia"/>
          <w:w w:val="1"/>
        </w:rPr>
        <w:t>　</w:t>
      </w:r>
      <w:r>
        <w:rPr>
          <w:rFonts w:hint="eastAsia"/>
        </w:rPr>
        <w:t>标文件的雷同性分析</w:t>
      </w:r>
    </w:p>
    <w:p w14:paraId="5733E349">
      <w:pPr>
        <w:pStyle w:val="84"/>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7CA3427B">
      <w:pPr>
        <w:pStyle w:val="84"/>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1E3A5628">
      <w:pPr>
        <w:pStyle w:val="84"/>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F07FE8B">
      <w:pPr>
        <w:pStyle w:val="84"/>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30BCF54F">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C1BB73B">
      <w:pPr>
        <w:pStyle w:val="84"/>
        <w:ind w:firstLine="480"/>
      </w:pPr>
      <w:r>
        <w:rPr>
          <w:rFonts w:hint="eastAsia"/>
        </w:rPr>
        <w:t>1．不同供应商的响应文件由同一单位或者个人编制的；</w:t>
      </w:r>
    </w:p>
    <w:p w14:paraId="2E5142FA">
      <w:pPr>
        <w:pStyle w:val="84"/>
        <w:ind w:firstLine="480"/>
      </w:pPr>
      <w:r>
        <w:rPr>
          <w:rFonts w:hint="eastAsia"/>
        </w:rPr>
        <w:t>2．不同供应商委托同一单位或者个人办理磋商事宜的；</w:t>
      </w:r>
    </w:p>
    <w:p w14:paraId="7E8343EA">
      <w:pPr>
        <w:pStyle w:val="84"/>
        <w:ind w:firstLine="480"/>
      </w:pPr>
      <w:r>
        <w:rPr>
          <w:rFonts w:hint="eastAsia"/>
        </w:rPr>
        <w:t>3．不同供应商的响应文件载明的项目管理成员或者联系人员为同一人的；</w:t>
      </w:r>
    </w:p>
    <w:p w14:paraId="0CD152B6">
      <w:pPr>
        <w:pStyle w:val="84"/>
        <w:ind w:firstLine="480"/>
      </w:pPr>
      <w:r>
        <w:rPr>
          <w:rFonts w:hint="eastAsia"/>
        </w:rPr>
        <w:t>4．不同供应商的响应文件异常一致或者报价呈规律性差异的；</w:t>
      </w:r>
    </w:p>
    <w:p w14:paraId="555EB668">
      <w:pPr>
        <w:pStyle w:val="84"/>
        <w:ind w:firstLine="480"/>
      </w:pPr>
      <w:r>
        <w:rPr>
          <w:rFonts w:hint="eastAsia"/>
        </w:rPr>
        <w:t>5．不同供应商的响应文件相互混编或混装的。</w:t>
      </w:r>
    </w:p>
    <w:p w14:paraId="2D8886A7">
      <w:pPr>
        <w:pStyle w:val="3"/>
      </w:pPr>
      <w:r>
        <w:rPr>
          <w:rFonts w:hint="eastAsia"/>
        </w:rPr>
        <w:t>五</w:t>
      </w:r>
      <w:r>
        <w:t>、开启</w:t>
      </w:r>
    </w:p>
    <w:p w14:paraId="69A28A75">
      <w:pPr>
        <w:pStyle w:val="84"/>
        <w:ind w:firstLine="480"/>
      </w:pPr>
      <w:r>
        <w:rPr>
          <w:rFonts w:hint="eastAsia"/>
        </w:rPr>
        <w:t>开启工作由采购代理机构组织实施，整个过程受同级政府采购监管部门的监督、管理。</w:t>
      </w:r>
    </w:p>
    <w:p w14:paraId="1BA6A9E2">
      <w:pPr>
        <w:pStyle w:val="84"/>
        <w:ind w:firstLine="480"/>
        <w:rPr>
          <w:color w:val="auto"/>
        </w:rPr>
      </w:pPr>
      <w:r>
        <w:rPr>
          <w:rFonts w:hint="eastAsia"/>
        </w:rPr>
        <w:t>1</w:t>
      </w:r>
      <w:r>
        <w:rPr>
          <w:rFonts w:hint="eastAsia"/>
          <w:color w:val="auto"/>
        </w:rPr>
        <w:t>．提交首次响应文件截止时间前，请各供应商务必确认已正常提交了响应文件。</w:t>
      </w:r>
    </w:p>
    <w:p w14:paraId="63D014D9">
      <w:pPr>
        <w:pStyle w:val="84"/>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40BCA931">
      <w:pPr>
        <w:pStyle w:val="84"/>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20B386E8">
      <w:pPr>
        <w:pStyle w:val="84"/>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4"/>
          <w:rFonts w:hint="eastAsia"/>
          <w:color w:val="0070C0"/>
        </w:rPr>
        <w:t>http://sxggzyjy.xa.gov.cn/fwzn/004003/20200426/bc8b2c1e-abe2-4168-913c-68ff93345faf.html</w:t>
      </w:r>
      <w:r>
        <w:rPr>
          <w:rStyle w:val="34"/>
          <w:rFonts w:hint="eastAsia"/>
          <w:color w:val="0070C0"/>
        </w:rPr>
        <w:fldChar w:fldCharType="end"/>
      </w:r>
    </w:p>
    <w:p w14:paraId="224B3E69">
      <w:pPr>
        <w:pStyle w:val="84"/>
        <w:ind w:firstLine="480"/>
      </w:pPr>
      <w:r>
        <w:rPr>
          <w:rStyle w:val="34"/>
          <w:color w:val="auto"/>
          <w:u w:val="none"/>
        </w:rPr>
        <w:t>（</w:t>
      </w:r>
      <w:r>
        <w:rPr>
          <w:rStyle w:val="34"/>
          <w:rFonts w:hint="eastAsia"/>
          <w:color w:val="auto"/>
          <w:u w:val="none"/>
        </w:rPr>
        <w:t>3</w:t>
      </w:r>
      <w:r>
        <w:rPr>
          <w:rStyle w:val="34"/>
          <w:color w:val="auto"/>
          <w:u w:val="none"/>
        </w:rPr>
        <w:t>）突发状况的处置：整个磋商期间，</w:t>
      </w:r>
      <w:r>
        <w:rPr>
          <w:rStyle w:val="34"/>
          <w:rFonts w:hint="eastAsia"/>
          <w:color w:val="auto"/>
          <w:u w:val="none"/>
        </w:rPr>
        <w:t>如因停电、断网、电子化系统故障等特殊原因导致电子化开标、评标工作无法正常进行时，采购代理机构将及时汇报政府采购监管部门，并等待或中止后续活动。</w:t>
      </w:r>
    </w:p>
    <w:p w14:paraId="3BA60A9A">
      <w:pPr>
        <w:pStyle w:val="84"/>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6BF18238">
      <w:pPr>
        <w:pStyle w:val="84"/>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B1D9B1A">
      <w:pPr>
        <w:pStyle w:val="84"/>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29D3F88F">
      <w:pPr>
        <w:pStyle w:val="84"/>
        <w:ind w:firstLine="480"/>
        <w:rPr>
          <w:color w:val="auto"/>
        </w:rPr>
      </w:pPr>
      <w:r>
        <w:rPr>
          <w:rFonts w:hint="eastAsia"/>
          <w:color w:val="auto"/>
        </w:rPr>
        <w:t>（3）上传</w:t>
      </w:r>
      <w:r>
        <w:rPr>
          <w:color w:val="auto"/>
        </w:rPr>
        <w:t>的电子响应文件无法正常打开的；</w:t>
      </w:r>
    </w:p>
    <w:p w14:paraId="43F33DB2">
      <w:pPr>
        <w:pStyle w:val="84"/>
        <w:ind w:firstLine="480"/>
        <w:rPr>
          <w:color w:val="auto"/>
        </w:rPr>
      </w:pPr>
      <w:r>
        <w:rPr>
          <w:rFonts w:hint="eastAsia"/>
          <w:color w:val="auto"/>
        </w:rPr>
        <w:t>（4）</w:t>
      </w:r>
      <w:r>
        <w:rPr>
          <w:color w:val="auto"/>
        </w:rPr>
        <w:t>政府采购法律法规规定的其他无效情形。</w:t>
      </w:r>
    </w:p>
    <w:p w14:paraId="6592B4E5">
      <w:pPr>
        <w:pStyle w:val="84"/>
        <w:ind w:firstLine="480"/>
        <w:rPr>
          <w:color w:val="C00000"/>
        </w:rPr>
      </w:pPr>
      <w:r>
        <w:rPr>
          <w:rFonts w:hint="eastAsia"/>
          <w:color w:val="C00000"/>
        </w:rPr>
        <w:t>按照《政府采购竞争性磋商采购方式管理暂行办法》（财库〔2014〕214号）相关规定，对供应商的各轮磋商报价均不予公开。</w:t>
      </w:r>
    </w:p>
    <w:p w14:paraId="4832B039">
      <w:pPr>
        <w:pStyle w:val="84"/>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5B9F5E49">
      <w:pPr>
        <w:pStyle w:val="3"/>
      </w:pPr>
      <w:r>
        <w:t>六、磋商方法和程序</w:t>
      </w:r>
    </w:p>
    <w:p w14:paraId="0BF0FFB9">
      <w:pPr>
        <w:pStyle w:val="4"/>
        <w:ind w:firstLine="482"/>
      </w:pPr>
      <w:r>
        <w:rPr>
          <w:rFonts w:hint="eastAsia"/>
        </w:rPr>
        <w:t>（一）组建磋商小组</w:t>
      </w:r>
    </w:p>
    <w:p w14:paraId="378F1095">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67BFCB3">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5D9A06F6">
      <w:pPr>
        <w:ind w:firstLine="480" w:firstLineChars="200"/>
        <w:jc w:val="both"/>
      </w:pPr>
      <w:r>
        <w:rPr>
          <w:rFonts w:hint="eastAsia"/>
        </w:rPr>
        <w:t>由采购代理机构组织磋商小组推选评审组长，采购人代表不得担任组长。</w:t>
      </w:r>
    </w:p>
    <w:p w14:paraId="790A0473">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10599E00">
      <w:pPr>
        <w:pStyle w:val="4"/>
        <w:ind w:firstLine="482"/>
      </w:pPr>
      <w:r>
        <w:t>（二）资格性审查</w:t>
      </w:r>
    </w:p>
    <w:p w14:paraId="590F20F8">
      <w:pPr>
        <w:pStyle w:val="84"/>
        <w:ind w:firstLine="480"/>
      </w:pPr>
      <w:r>
        <w:rPr>
          <w:rFonts w:hint="eastAsia"/>
        </w:rPr>
        <w:t>磋商文件经确认后，磋商小组对响应文件中的供应商资格证明文件进行审查（其中供应商信用记录审查由采购人进行）。</w:t>
      </w:r>
    </w:p>
    <w:p w14:paraId="3470A210">
      <w:pPr>
        <w:pStyle w:val="84"/>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005FCBA">
      <w:pPr>
        <w:pStyle w:val="84"/>
        <w:ind w:firstLine="480"/>
      </w:pPr>
      <w:r>
        <w:rPr>
          <w:rFonts w:hint="eastAsia"/>
        </w:rPr>
        <w:t>（1）不具备磋商文件中规定的资格要求的；</w:t>
      </w:r>
    </w:p>
    <w:p w14:paraId="60BD5F42">
      <w:pPr>
        <w:pStyle w:val="84"/>
        <w:ind w:firstLine="480"/>
      </w:pPr>
      <w:r>
        <w:rPr>
          <w:rFonts w:hint="eastAsia"/>
        </w:rPr>
        <w:t>（2）未按磋商文件要求提供资格证明文件，或资格证明文件未按磋商文件要求签字、盖章的；</w:t>
      </w:r>
    </w:p>
    <w:p w14:paraId="5BFC5233">
      <w:pPr>
        <w:pStyle w:val="84"/>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79EA4597">
      <w:pPr>
        <w:pStyle w:val="84"/>
        <w:ind w:firstLine="480"/>
      </w:pPr>
      <w:r>
        <w:rPr>
          <w:rFonts w:hint="eastAsia"/>
        </w:rPr>
        <w:t>（4）法律法规规定的其他无效情形。</w:t>
      </w:r>
    </w:p>
    <w:p w14:paraId="2B7CB49B">
      <w:pPr>
        <w:pStyle w:val="84"/>
        <w:ind w:firstLine="480"/>
      </w:pPr>
      <w:r>
        <w:rPr>
          <w:rFonts w:hint="eastAsia"/>
        </w:rPr>
        <w:t>资格审查结束后，磋商小组成员应当对审查结果进行签字确认，并告知无效响应供应商资格审查未通过的原因。</w:t>
      </w:r>
    </w:p>
    <w:p w14:paraId="6A2976C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7"/>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2BF78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53BF5DCE">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6F7E7EAD">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62CEA0B1">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43E93A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52A5239C">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2453F4F6">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10D8C5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56EEAB3">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6B2EB47C">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9CEE29E">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5659CB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70C7516">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63F4C660">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406B349B">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6BCDEF14">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08114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DD26404">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1B53BBAE">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7653CDF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37EDB7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A1F28CA">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386C897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36E2DAB9">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63BCA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3593A737">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7C82C5BD">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E8DEEB">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68C6C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8A8317B">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477F136D">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71190AF8">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0BFC6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D92919E">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6AE91CA2">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0591D9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C5E4E48">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78EE18CA">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14:paraId="6139E84E">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14:paraId="0C511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763CC92">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5AABCFD5">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18A08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D687ED0">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8389" w:type="dxa"/>
            <w:gridSpan w:val="2"/>
            <w:vAlign w:val="center"/>
          </w:tcPr>
          <w:p w14:paraId="3FA42EB4">
            <w:pPr>
              <w:spacing w:line="400" w:lineRule="exact"/>
              <w:ind w:firstLine="420" w:firstLineChars="200"/>
              <w:jc w:val="both"/>
              <w:rPr>
                <w:rFonts w:ascii="Calibri" w:hAnsi="宋体" w:eastAsia="宋体" w:cstheme="minorHAnsi"/>
                <w:bCs/>
                <w:color w:val="C00000"/>
                <w:sz w:val="21"/>
              </w:rPr>
            </w:pPr>
            <w:r>
              <w:rPr>
                <w:rFonts w:hint="eastAsia" w:ascii="Calibri" w:hAnsi="宋体" w:eastAsia="宋体" w:cstheme="minorHAnsi"/>
                <w:bCs/>
                <w:sz w:val="21"/>
              </w:rPr>
              <w:t>供应商</w:t>
            </w:r>
            <w:r>
              <w:rPr>
                <w:rFonts w:ascii="Calibri" w:hAnsi="宋体" w:eastAsia="宋体" w:cstheme="minorHAnsi"/>
                <w:bCs/>
                <w:sz w:val="21"/>
              </w:rPr>
              <w:t>须</w:t>
            </w:r>
            <w:r>
              <w:rPr>
                <w:rFonts w:hint="eastAsia" w:ascii="Calibri" w:hAnsi="宋体" w:eastAsia="宋体" w:cstheme="minorHAnsi"/>
                <w:bCs/>
                <w:sz w:val="21"/>
              </w:rPr>
              <w:t>自行招用保安员，出具承诺书（承诺书形式不限），承诺自承接本项目之日起30日内向采购人所在地设区的市级人民政府公安机关备案。</w:t>
            </w:r>
          </w:p>
        </w:tc>
      </w:tr>
      <w:tr w14:paraId="08EF8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627845B3">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3B16BE17">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2875EE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E51C3DA">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．依法免税或不需要缴纳社会保障资金的供应商，应提供相应证明文件，证明其依法免税或不需要缴纳社会保障资金；自然人（仅限中国公民）参与本项目时，只须提供身份证扫描件。</w:t>
            </w:r>
          </w:p>
          <w:p w14:paraId="31D3518C">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12EC290D">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68E43363">
      <w:pPr>
        <w:pStyle w:val="4"/>
        <w:ind w:firstLine="482"/>
      </w:pPr>
      <w:r>
        <w:t>（三）符合性审查</w:t>
      </w:r>
    </w:p>
    <w:p w14:paraId="15944964">
      <w:pPr>
        <w:pStyle w:val="84"/>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74D02E6F">
      <w:pPr>
        <w:pStyle w:val="84"/>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71923F7F">
      <w:pPr>
        <w:pStyle w:val="84"/>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129AEFFD">
      <w:pPr>
        <w:rPr>
          <w:rFonts w:ascii="黑体" w:hAnsi="黑体" w:eastAsia="黑体" w:cstheme="minorHAnsi"/>
          <w:color w:val="1F4E79"/>
          <w:sz w:val="32"/>
          <w:szCs w:val="32"/>
        </w:rPr>
      </w:pPr>
      <w:r>
        <w:rPr>
          <w:rFonts w:ascii="黑体" w:hAnsi="黑体" w:eastAsia="黑体" w:cstheme="minorHAnsi"/>
          <w:color w:val="1F4E79"/>
          <w:sz w:val="32"/>
          <w:szCs w:val="32"/>
        </w:rPr>
        <w:br w:type="page"/>
      </w:r>
    </w:p>
    <w:p w14:paraId="5CF57255">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7"/>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7722C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4F301446">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286A2C4">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021EEAC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A5E7E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BCA973A">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7618404B">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1B676E3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69FCF0B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27AAFB5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6579EDAF">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1A036AE">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3FB99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265920">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2835D57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344A78CA">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2808B952">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1BA53C1">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142C1292">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79D11D7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6664416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F2F2C0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2BA6F5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098D4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027E7C8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497BC0F9">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3E3E04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F1DDB46">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7771E4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67623953">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6E8920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3B1E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313106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7D6A353B">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5E6C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DB0C94F">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2227AA7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66C2D3F1">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5B49C06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3767394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0E0D87C1">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381DAF9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6C34AB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227AF1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775862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62A7B2B2">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567F4987">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751A4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B9E06A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387199EB">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792AAC20">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53BCDC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D0B98B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10EE4A9F">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20B17AB3">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546C13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F6B974C">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2D97F10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906C97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513BC331">
      <w:pPr>
        <w:pStyle w:val="4"/>
        <w:ind w:firstLine="482"/>
      </w:pPr>
      <w:r>
        <w:t>（四）磋商</w:t>
      </w:r>
    </w:p>
    <w:p w14:paraId="7CBC057D">
      <w:pPr>
        <w:ind w:firstLine="480" w:firstLineChars="200"/>
        <w:jc w:val="both"/>
      </w:pPr>
      <w:r>
        <w:rPr>
          <w:rFonts w:hint="eastAsia"/>
        </w:rPr>
        <w:t>磋商小组所有成员将集中与单一供应商分别进行磋商，并给予所有参加磋商的供应商平等的磋商机会。</w:t>
      </w:r>
    </w:p>
    <w:p w14:paraId="542B92AE">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26A70A3C">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71405E49">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6E0317">
      <w:pPr>
        <w:pStyle w:val="4"/>
        <w:ind w:firstLine="482"/>
      </w:pPr>
      <w:r>
        <w:t>（五）提交最后报价</w:t>
      </w:r>
    </w:p>
    <w:p w14:paraId="10796AD7">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1D0479A6">
      <w:pPr>
        <w:ind w:firstLine="480" w:firstLineChars="200"/>
        <w:jc w:val="both"/>
      </w:pPr>
      <w:r>
        <w:rPr>
          <w:rFonts w:hint="eastAsia"/>
        </w:rPr>
        <w:t>提交最后报价的供应商不得少于3家，但以下情形除外：</w:t>
      </w:r>
    </w:p>
    <w:p w14:paraId="4FBB89FB">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68A93042">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3DAD3828">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39502AC0">
      <w:pPr>
        <w:pStyle w:val="4"/>
        <w:ind w:firstLine="482"/>
        <w:jc w:val="both"/>
      </w:pPr>
      <w:r>
        <w:t>（六）综合比较与评分</w:t>
      </w:r>
    </w:p>
    <w:p w14:paraId="5384E7E2">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7579E63F">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7"/>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21CE3B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323BA5F1">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3559CCF8">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51190555">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47EE7368">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640DD7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7FC75B48">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1E05E1D4">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62B5417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5E9DDFC0">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699DC14F">
            <w:pPr>
              <w:spacing w:line="400" w:lineRule="exact"/>
              <w:jc w:val="center"/>
              <w:rPr>
                <w:rFonts w:ascii="Calibri" w:hAnsi="宋体" w:eastAsia="宋体" w:cstheme="minorHAnsi"/>
                <w:bCs/>
                <w:sz w:val="21"/>
                <w:szCs w:val="21"/>
              </w:rPr>
            </w:pPr>
          </w:p>
        </w:tc>
      </w:tr>
      <w:tr w14:paraId="19170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0211479C">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6BF4D3AE">
            <w:pPr>
              <w:spacing w:line="40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860" w:type="dxa"/>
            <w:shd w:val="clear" w:color="auto" w:fill="auto"/>
            <w:vAlign w:val="center"/>
          </w:tcPr>
          <w:p w14:paraId="2A69BA44">
            <w:pPr>
              <w:spacing w:line="40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6093" w:type="dxa"/>
            <w:tcBorders>
              <w:top w:val="single" w:color="auto" w:sz="2" w:space="0"/>
            </w:tcBorders>
            <w:shd w:val="clear" w:color="auto" w:fill="auto"/>
            <w:vAlign w:val="center"/>
          </w:tcPr>
          <w:p w14:paraId="351B9D71">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14:paraId="7F73D09D">
            <w:pPr>
              <w:spacing w:line="400" w:lineRule="exact"/>
              <w:jc w:val="center"/>
              <w:rPr>
                <w:rFonts w:ascii="Calibri" w:hAnsi="宋体" w:eastAsia="宋体" w:cs="宋体"/>
                <w:bCs/>
                <w:color w:val="FF0000"/>
                <w:sz w:val="21"/>
                <w:szCs w:val="21"/>
              </w:rPr>
            </w:pPr>
          </w:p>
        </w:tc>
      </w:tr>
      <w:tr w14:paraId="370F08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2428A4D3">
            <w:pPr>
              <w:spacing w:line="400" w:lineRule="exact"/>
              <w:jc w:val="center"/>
              <w:rPr>
                <w:rFonts w:ascii="Calibri" w:hAnsi="宋体" w:eastAsia="宋体" w:cs="宋体"/>
                <w:b/>
                <w:sz w:val="21"/>
                <w:szCs w:val="21"/>
              </w:rPr>
            </w:pPr>
            <w:r>
              <w:rPr>
                <w:rFonts w:hint="eastAsia" w:ascii="Calibri" w:hAnsi="宋体" w:eastAsia="宋体" w:cs="宋体"/>
                <w:b/>
                <w:sz w:val="21"/>
                <w:szCs w:val="21"/>
              </w:rPr>
              <w:t>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14:paraId="4648017A">
            <w:pPr>
              <w:spacing w:line="400" w:lineRule="exact"/>
              <w:jc w:val="center"/>
              <w:rPr>
                <w:rFonts w:ascii="Calibri" w:hAnsi="宋体" w:eastAsia="宋体" w:cs="宋体"/>
                <w:bCs/>
                <w:sz w:val="21"/>
                <w:szCs w:val="21"/>
              </w:rPr>
            </w:pPr>
            <w:r>
              <w:rPr>
                <w:rFonts w:hint="eastAsia" w:ascii="Calibri" w:hAnsi="宋体" w:eastAsia="宋体" w:cs="宋体"/>
                <w:bCs/>
                <w:sz w:val="21"/>
                <w:szCs w:val="21"/>
              </w:rPr>
              <w:t>48</w:t>
            </w:r>
          </w:p>
        </w:tc>
        <w:tc>
          <w:tcPr>
            <w:tcW w:w="860" w:type="dxa"/>
            <w:shd w:val="clear" w:color="auto" w:fill="auto"/>
            <w:vAlign w:val="center"/>
          </w:tcPr>
          <w:p w14:paraId="536D8275">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6093" w:type="dxa"/>
            <w:tcBorders>
              <w:top w:val="single" w:color="auto" w:sz="2" w:space="0"/>
            </w:tcBorders>
            <w:shd w:val="clear" w:color="auto" w:fill="auto"/>
            <w:vAlign w:val="center"/>
          </w:tcPr>
          <w:p w14:paraId="2B3293E1">
            <w:pPr>
              <w:tabs>
                <w:tab w:val="left" w:pos="547"/>
              </w:tabs>
              <w:spacing w:line="320" w:lineRule="exact"/>
              <w:jc w:val="both"/>
              <w:rPr>
                <w:rFonts w:ascii="宋体" w:hAnsi="宋体" w:eastAsia="宋体" w:cs="华文仿宋"/>
                <w:b/>
                <w:color w:val="FF0000"/>
                <w:sz w:val="21"/>
                <w:szCs w:val="21"/>
              </w:rPr>
            </w:pPr>
            <w:r>
              <w:rPr>
                <w:rFonts w:hint="eastAsia" w:ascii="宋体" w:hAnsi="宋体" w:eastAsia="宋体" w:cs="华文仿宋"/>
                <w:b/>
                <w:color w:val="FF0000"/>
                <w:sz w:val="21"/>
                <w:szCs w:val="21"/>
              </w:rPr>
              <w:t>总体管理方案</w:t>
            </w:r>
          </w:p>
          <w:p w14:paraId="4E5FDC41">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一、评审内容</w:t>
            </w:r>
          </w:p>
          <w:p w14:paraId="4E918852">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提出针对于本项目的总体管理方案，方案内容包含：</w:t>
            </w:r>
          </w:p>
          <w:p w14:paraId="4027A26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①项目组织架构及各岗位工作制度；</w:t>
            </w:r>
          </w:p>
          <w:p w14:paraId="4B8E49D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②各岗位工作职能；</w:t>
            </w:r>
          </w:p>
          <w:p w14:paraId="2CB3CA0C">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③总体服务标准。</w:t>
            </w:r>
          </w:p>
          <w:p w14:paraId="085AFB64">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二、评审标准</w:t>
            </w:r>
          </w:p>
          <w:p w14:paraId="256AD451">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1、完整性：方案须全面，对评审内容中的各项要求有详细描述及说明；</w:t>
            </w:r>
          </w:p>
          <w:p w14:paraId="0E5FE89E">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2、可实施性：切合本项目实际情况，实施步骤清晰、合理；</w:t>
            </w:r>
          </w:p>
          <w:p w14:paraId="106BA9ED">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3、针对性：方案能够紧扣项目实际情况，内容科学合理。</w:t>
            </w:r>
          </w:p>
          <w:p w14:paraId="0D62A93D">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三、赋分标准（满分9分）</w:t>
            </w:r>
          </w:p>
          <w:p w14:paraId="1D034F3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①项目组织架构及各岗位工作制度：每完全满足一项评审标准得1分，满分3分；</w:t>
            </w:r>
          </w:p>
          <w:p w14:paraId="2302EAD1">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②各岗位工作职能: 每完全满足一项评审标准得1分，满分3分；</w:t>
            </w:r>
          </w:p>
          <w:p w14:paraId="41F714BD">
            <w:pPr>
              <w:tabs>
                <w:tab w:val="left" w:pos="547"/>
              </w:tabs>
              <w:spacing w:line="400" w:lineRule="exact"/>
              <w:jc w:val="both"/>
              <w:rPr>
                <w:rFonts w:ascii="Calibri" w:hAnsi="宋体" w:eastAsia="宋体" w:cs="宋体"/>
                <w:sz w:val="21"/>
                <w:szCs w:val="21"/>
              </w:rPr>
            </w:pPr>
            <w:r>
              <w:rPr>
                <w:rFonts w:hint="eastAsia" w:ascii="宋体" w:hAnsi="宋体" w:eastAsia="宋体" w:cs="华文仿宋"/>
                <w:sz w:val="21"/>
                <w:szCs w:val="21"/>
              </w:rPr>
              <w:t>③总体服务标准：每完全满足一项评审标准得1分，满分3分。</w:t>
            </w:r>
          </w:p>
        </w:tc>
        <w:tc>
          <w:tcPr>
            <w:tcW w:w="1134" w:type="dxa"/>
            <w:tcBorders>
              <w:top w:val="single" w:color="auto" w:sz="2" w:space="0"/>
            </w:tcBorders>
            <w:shd w:val="clear" w:color="auto" w:fill="auto"/>
            <w:vAlign w:val="center"/>
          </w:tcPr>
          <w:p w14:paraId="3EE37512">
            <w:pPr>
              <w:spacing w:line="400" w:lineRule="exact"/>
              <w:jc w:val="center"/>
              <w:rPr>
                <w:rFonts w:ascii="Calibri" w:hAnsi="宋体" w:eastAsia="宋体" w:cs="宋体"/>
                <w:bCs/>
                <w:color w:val="FF0000"/>
                <w:sz w:val="21"/>
                <w:szCs w:val="21"/>
              </w:rPr>
            </w:pPr>
          </w:p>
        </w:tc>
      </w:tr>
      <w:tr w14:paraId="2EB7F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14:paraId="56BD9CB4">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43318A78">
            <w:pPr>
              <w:spacing w:line="400" w:lineRule="exact"/>
              <w:jc w:val="center"/>
              <w:rPr>
                <w:rFonts w:ascii="Calibri" w:hAnsi="宋体" w:eastAsia="宋体" w:cs="宋体"/>
                <w:bCs/>
                <w:sz w:val="21"/>
                <w:szCs w:val="21"/>
              </w:rPr>
            </w:pPr>
          </w:p>
        </w:tc>
        <w:tc>
          <w:tcPr>
            <w:tcW w:w="860" w:type="dxa"/>
            <w:shd w:val="clear" w:color="auto" w:fill="auto"/>
            <w:vAlign w:val="center"/>
          </w:tcPr>
          <w:p w14:paraId="5E99F8B4">
            <w:pPr>
              <w:spacing w:line="400" w:lineRule="exact"/>
              <w:jc w:val="center"/>
              <w:rPr>
                <w:rFonts w:ascii="Calibri" w:hAnsi="宋体" w:eastAsia="宋体" w:cs="宋体"/>
                <w:bCs/>
                <w:sz w:val="21"/>
                <w:szCs w:val="21"/>
              </w:rPr>
            </w:pPr>
            <w:r>
              <w:rPr>
                <w:rFonts w:hint="eastAsia" w:ascii="Calibri" w:hAnsi="宋体" w:eastAsia="宋体" w:cs="宋体"/>
                <w:bCs/>
                <w:sz w:val="21"/>
                <w:szCs w:val="21"/>
              </w:rPr>
              <w:t>25.5</w:t>
            </w:r>
          </w:p>
        </w:tc>
        <w:tc>
          <w:tcPr>
            <w:tcW w:w="6093" w:type="dxa"/>
            <w:tcBorders>
              <w:top w:val="single" w:color="auto" w:sz="2" w:space="0"/>
            </w:tcBorders>
            <w:shd w:val="clear" w:color="auto" w:fill="auto"/>
            <w:vAlign w:val="center"/>
          </w:tcPr>
          <w:p w14:paraId="53E70CCC">
            <w:pPr>
              <w:tabs>
                <w:tab w:val="left" w:pos="547"/>
              </w:tabs>
              <w:spacing w:line="320" w:lineRule="exact"/>
              <w:jc w:val="both"/>
              <w:rPr>
                <w:rFonts w:ascii="宋体" w:hAnsi="宋体" w:eastAsia="宋体" w:cs="华文仿宋"/>
                <w:b/>
                <w:color w:val="FF0000"/>
                <w:sz w:val="21"/>
                <w:szCs w:val="21"/>
              </w:rPr>
            </w:pPr>
            <w:r>
              <w:rPr>
                <w:rFonts w:hint="eastAsia" w:ascii="宋体" w:hAnsi="宋体" w:eastAsia="宋体" w:cs="华文仿宋"/>
                <w:b/>
                <w:color w:val="FF0000"/>
                <w:sz w:val="21"/>
                <w:szCs w:val="21"/>
              </w:rPr>
              <w:t>分项服务实施方案</w:t>
            </w:r>
          </w:p>
          <w:p w14:paraId="61E2CE2A">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一、评审内容</w:t>
            </w:r>
          </w:p>
          <w:p w14:paraId="550C1C37">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提出针对于本项目的分项服务实施方案，方案内容包含：</w:t>
            </w:r>
          </w:p>
          <w:p w14:paraId="4CA34697">
            <w:pPr>
              <w:tabs>
                <w:tab w:val="left" w:pos="547"/>
              </w:tabs>
              <w:spacing w:line="320" w:lineRule="exact"/>
              <w:jc w:val="both"/>
              <w:rPr>
                <w:rFonts w:ascii="宋体" w:hAnsi="宋体" w:eastAsia="宋体" w:cs="华文仿宋"/>
                <w:sz w:val="21"/>
                <w:szCs w:val="21"/>
              </w:rPr>
            </w:pPr>
            <w:bookmarkStart w:id="19" w:name="OLE_LINK47"/>
            <w:bookmarkStart w:id="20" w:name="OLE_LINK48"/>
            <w:r>
              <w:rPr>
                <w:rFonts w:hint="eastAsia" w:ascii="宋体" w:hAnsi="宋体" w:eastAsia="宋体" w:cs="华文仿宋"/>
                <w:sz w:val="21"/>
                <w:szCs w:val="21"/>
              </w:rPr>
              <w:t>1.物业管理服务方案</w:t>
            </w:r>
            <w:bookmarkEnd w:id="19"/>
            <w:bookmarkEnd w:id="20"/>
            <w:r>
              <w:rPr>
                <w:rFonts w:hint="eastAsia" w:ascii="宋体" w:hAnsi="宋体" w:eastAsia="宋体" w:cs="华文仿宋"/>
                <w:sz w:val="21"/>
                <w:szCs w:val="21"/>
              </w:rPr>
              <w:t>；</w:t>
            </w:r>
          </w:p>
          <w:p w14:paraId="2ED7FC2D">
            <w:pPr>
              <w:tabs>
                <w:tab w:val="left" w:pos="547"/>
              </w:tabs>
              <w:spacing w:line="320" w:lineRule="exact"/>
              <w:jc w:val="both"/>
              <w:rPr>
                <w:rFonts w:ascii="宋体" w:hAnsi="宋体" w:eastAsia="宋体" w:cs="华文仿宋"/>
                <w:sz w:val="21"/>
                <w:szCs w:val="21"/>
              </w:rPr>
            </w:pPr>
            <w:bookmarkStart w:id="21" w:name="OLE_LINK50"/>
            <w:bookmarkStart w:id="22" w:name="OLE_LINK49"/>
            <w:r>
              <w:rPr>
                <w:rFonts w:hint="eastAsia" w:ascii="宋体" w:hAnsi="宋体" w:eastAsia="宋体" w:cs="华文仿宋"/>
                <w:sz w:val="21"/>
                <w:szCs w:val="21"/>
              </w:rPr>
              <w:t>2.环境卫生</w:t>
            </w:r>
            <w:r>
              <w:rPr>
                <w:rFonts w:ascii="宋体" w:hAnsi="宋体" w:eastAsia="宋体" w:cs="华文仿宋"/>
                <w:sz w:val="21"/>
                <w:szCs w:val="21"/>
              </w:rPr>
              <w:t>保洁服务</w:t>
            </w:r>
            <w:r>
              <w:rPr>
                <w:rFonts w:hint="eastAsia" w:ascii="宋体" w:hAnsi="宋体" w:eastAsia="宋体" w:cs="华文仿宋"/>
                <w:sz w:val="21"/>
                <w:szCs w:val="21"/>
              </w:rPr>
              <w:t>方案</w:t>
            </w:r>
            <w:bookmarkEnd w:id="21"/>
            <w:bookmarkEnd w:id="22"/>
            <w:r>
              <w:rPr>
                <w:rFonts w:hint="eastAsia" w:ascii="宋体" w:hAnsi="宋体" w:eastAsia="宋体" w:cs="华文仿宋"/>
                <w:sz w:val="21"/>
                <w:szCs w:val="21"/>
              </w:rPr>
              <w:t>；</w:t>
            </w:r>
          </w:p>
          <w:p w14:paraId="2EF224B6">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3.安全管理</w:t>
            </w:r>
            <w:r>
              <w:rPr>
                <w:rFonts w:ascii="宋体" w:hAnsi="宋体" w:eastAsia="宋体" w:cs="华文仿宋"/>
                <w:sz w:val="21"/>
                <w:szCs w:val="21"/>
              </w:rPr>
              <w:t>服务方案</w:t>
            </w:r>
            <w:r>
              <w:rPr>
                <w:rFonts w:hint="eastAsia" w:ascii="宋体" w:hAnsi="宋体" w:eastAsia="宋体" w:cs="华文仿宋"/>
                <w:sz w:val="21"/>
                <w:szCs w:val="21"/>
              </w:rPr>
              <w:t>；</w:t>
            </w:r>
          </w:p>
          <w:p w14:paraId="1A773635">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4.设施设备维护保养方案；</w:t>
            </w:r>
          </w:p>
          <w:p w14:paraId="6A674BCB">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5.绿化养护服务方案</w:t>
            </w:r>
            <w:bookmarkStart w:id="23" w:name="OLE_LINK7"/>
            <w:bookmarkStart w:id="24" w:name="OLE_LINK8"/>
            <w:r>
              <w:rPr>
                <w:rFonts w:hint="eastAsia" w:ascii="宋体" w:hAnsi="宋体" w:eastAsia="宋体" w:cs="华文仿宋"/>
                <w:sz w:val="21"/>
                <w:szCs w:val="21"/>
              </w:rPr>
              <w:t>；</w:t>
            </w:r>
            <w:bookmarkEnd w:id="23"/>
            <w:bookmarkEnd w:id="24"/>
          </w:p>
          <w:p w14:paraId="17D3A1F6">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6.会议服务方案；</w:t>
            </w:r>
          </w:p>
          <w:p w14:paraId="2CF90D7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7.能源资源节约方案。</w:t>
            </w:r>
          </w:p>
          <w:p w14:paraId="698689C9">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注：各方案内容包括但不限于岗位分工、人员配备标准、工作时间安排；岗位工作内容工作流程及服务质量标准等。</w:t>
            </w:r>
          </w:p>
          <w:p w14:paraId="6960D203">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二、评审标准</w:t>
            </w:r>
          </w:p>
          <w:p w14:paraId="4265AFCE">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1、完整性：方案须全面，对评审内容中的各项要求有详细描述及说明；</w:t>
            </w:r>
          </w:p>
          <w:p w14:paraId="52164F32">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2、可实施性：切合本项目实际情况，实施步骤清晰、合理；</w:t>
            </w:r>
          </w:p>
          <w:p w14:paraId="3CE91771">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3、针对性：方案能够紧扣项目实际情况，内容科学合理。</w:t>
            </w:r>
          </w:p>
          <w:p w14:paraId="55352191">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三、赋分标准（满分25.5分）</w:t>
            </w:r>
          </w:p>
          <w:p w14:paraId="72559782">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1.物业管理服务方案：每完全满足一项评审标准得</w:t>
            </w:r>
            <w:r>
              <w:rPr>
                <w:rFonts w:ascii="宋体" w:hAnsi="宋体" w:eastAsia="宋体" w:cs="华文仿宋"/>
                <w:sz w:val="21"/>
                <w:szCs w:val="21"/>
              </w:rPr>
              <w:t>1</w:t>
            </w:r>
            <w:r>
              <w:rPr>
                <w:rFonts w:hint="eastAsia" w:ascii="宋体" w:hAnsi="宋体" w:eastAsia="宋体" w:cs="华文仿宋"/>
                <w:sz w:val="21"/>
                <w:szCs w:val="21"/>
              </w:rPr>
              <w:t>分，满分</w:t>
            </w:r>
            <w:r>
              <w:rPr>
                <w:rFonts w:ascii="宋体" w:hAnsi="宋体" w:eastAsia="宋体" w:cs="华文仿宋"/>
                <w:sz w:val="21"/>
                <w:szCs w:val="21"/>
              </w:rPr>
              <w:t>3</w:t>
            </w:r>
            <w:r>
              <w:rPr>
                <w:rFonts w:hint="eastAsia" w:ascii="宋体" w:hAnsi="宋体" w:eastAsia="宋体" w:cs="华文仿宋"/>
                <w:sz w:val="21"/>
                <w:szCs w:val="21"/>
              </w:rPr>
              <w:t>分；</w:t>
            </w:r>
          </w:p>
          <w:p w14:paraId="58A23C47">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2.环境卫生</w:t>
            </w:r>
            <w:r>
              <w:rPr>
                <w:rFonts w:ascii="宋体" w:hAnsi="宋体" w:eastAsia="宋体" w:cs="华文仿宋"/>
                <w:sz w:val="21"/>
                <w:szCs w:val="21"/>
              </w:rPr>
              <w:t>保洁服务</w:t>
            </w:r>
            <w:r>
              <w:rPr>
                <w:rFonts w:hint="eastAsia" w:ascii="宋体" w:hAnsi="宋体" w:eastAsia="宋体" w:cs="华文仿宋"/>
                <w:sz w:val="21"/>
                <w:szCs w:val="21"/>
              </w:rPr>
              <w:t>方案：每完全满足一项评审标准得1.5分，满分4.5分；</w:t>
            </w:r>
          </w:p>
          <w:p w14:paraId="62EF58EA">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3.安全管理</w:t>
            </w:r>
            <w:r>
              <w:rPr>
                <w:rFonts w:ascii="宋体" w:hAnsi="宋体" w:eastAsia="宋体" w:cs="华文仿宋"/>
                <w:sz w:val="21"/>
                <w:szCs w:val="21"/>
              </w:rPr>
              <w:t>服务方案</w:t>
            </w:r>
            <w:r>
              <w:rPr>
                <w:rFonts w:hint="eastAsia" w:ascii="宋体" w:hAnsi="宋体" w:eastAsia="宋体" w:cs="华文仿宋"/>
                <w:sz w:val="21"/>
                <w:szCs w:val="21"/>
              </w:rPr>
              <w:t>：每完全满足一项评审标准得</w:t>
            </w:r>
            <w:r>
              <w:rPr>
                <w:rFonts w:ascii="宋体" w:hAnsi="宋体" w:eastAsia="宋体" w:cs="华文仿宋"/>
                <w:sz w:val="21"/>
                <w:szCs w:val="21"/>
              </w:rPr>
              <w:t>1</w:t>
            </w:r>
            <w:r>
              <w:rPr>
                <w:rFonts w:hint="eastAsia" w:ascii="宋体" w:hAnsi="宋体" w:eastAsia="宋体" w:cs="华文仿宋"/>
                <w:sz w:val="21"/>
                <w:szCs w:val="21"/>
              </w:rPr>
              <w:t>分，满分</w:t>
            </w:r>
            <w:r>
              <w:rPr>
                <w:rFonts w:ascii="宋体" w:hAnsi="宋体" w:eastAsia="宋体" w:cs="华文仿宋"/>
                <w:sz w:val="21"/>
                <w:szCs w:val="21"/>
              </w:rPr>
              <w:t>3</w:t>
            </w:r>
            <w:r>
              <w:rPr>
                <w:rFonts w:hint="eastAsia" w:ascii="宋体" w:hAnsi="宋体" w:eastAsia="宋体" w:cs="华文仿宋"/>
                <w:sz w:val="21"/>
                <w:szCs w:val="21"/>
              </w:rPr>
              <w:t>分；</w:t>
            </w:r>
          </w:p>
          <w:p w14:paraId="13330325">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4.设施设备维护保养方案：每完全满足一项评审标准得2分，满分6分；</w:t>
            </w:r>
          </w:p>
          <w:p w14:paraId="270C58C4">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5.绿化养护服务方案：每完全满足一项评审标准得</w:t>
            </w:r>
            <w:r>
              <w:rPr>
                <w:rFonts w:ascii="宋体" w:hAnsi="宋体" w:eastAsia="宋体" w:cs="华文仿宋"/>
                <w:sz w:val="21"/>
                <w:szCs w:val="21"/>
              </w:rPr>
              <w:t>1</w:t>
            </w:r>
            <w:r>
              <w:rPr>
                <w:rFonts w:hint="eastAsia" w:ascii="宋体" w:hAnsi="宋体" w:eastAsia="宋体" w:cs="华文仿宋"/>
                <w:sz w:val="21"/>
                <w:szCs w:val="21"/>
              </w:rPr>
              <w:t>分，满分</w:t>
            </w:r>
            <w:r>
              <w:rPr>
                <w:rFonts w:ascii="宋体" w:hAnsi="宋体" w:eastAsia="宋体" w:cs="华文仿宋"/>
                <w:sz w:val="21"/>
                <w:szCs w:val="21"/>
              </w:rPr>
              <w:t>3</w:t>
            </w:r>
            <w:r>
              <w:rPr>
                <w:rFonts w:hint="eastAsia" w:ascii="宋体" w:hAnsi="宋体" w:eastAsia="宋体" w:cs="华文仿宋"/>
                <w:sz w:val="21"/>
                <w:szCs w:val="21"/>
              </w:rPr>
              <w:t>分；</w:t>
            </w:r>
          </w:p>
          <w:p w14:paraId="1FB62521">
            <w:pPr>
              <w:tabs>
                <w:tab w:val="left" w:pos="547"/>
              </w:tabs>
              <w:spacing w:line="400" w:lineRule="exact"/>
              <w:jc w:val="both"/>
              <w:rPr>
                <w:rFonts w:ascii="宋体" w:hAnsi="宋体" w:eastAsia="宋体" w:cs="华文仿宋"/>
                <w:sz w:val="21"/>
                <w:szCs w:val="21"/>
              </w:rPr>
            </w:pPr>
            <w:r>
              <w:rPr>
                <w:rFonts w:hint="eastAsia" w:ascii="宋体" w:hAnsi="宋体" w:eastAsia="宋体" w:cs="华文仿宋"/>
                <w:sz w:val="21"/>
                <w:szCs w:val="21"/>
              </w:rPr>
              <w:t>6.会议服务方案：每完全满足一项评审标准得</w:t>
            </w:r>
            <w:r>
              <w:rPr>
                <w:rFonts w:ascii="宋体" w:hAnsi="宋体" w:eastAsia="宋体" w:cs="华文仿宋"/>
                <w:sz w:val="21"/>
                <w:szCs w:val="21"/>
              </w:rPr>
              <w:t>1</w:t>
            </w:r>
            <w:r>
              <w:rPr>
                <w:rFonts w:hint="eastAsia" w:ascii="宋体" w:hAnsi="宋体" w:eastAsia="宋体" w:cs="华文仿宋"/>
                <w:sz w:val="21"/>
                <w:szCs w:val="21"/>
              </w:rPr>
              <w:t>分，满分</w:t>
            </w:r>
            <w:r>
              <w:rPr>
                <w:rFonts w:ascii="宋体" w:hAnsi="宋体" w:eastAsia="宋体" w:cs="华文仿宋"/>
                <w:sz w:val="21"/>
                <w:szCs w:val="21"/>
              </w:rPr>
              <w:t>3</w:t>
            </w:r>
            <w:r>
              <w:rPr>
                <w:rFonts w:hint="eastAsia" w:ascii="宋体" w:hAnsi="宋体" w:eastAsia="宋体" w:cs="华文仿宋"/>
                <w:sz w:val="21"/>
                <w:szCs w:val="21"/>
              </w:rPr>
              <w:t>分。</w:t>
            </w:r>
          </w:p>
          <w:p w14:paraId="29BB393C">
            <w:pPr>
              <w:tabs>
                <w:tab w:val="left" w:pos="547"/>
              </w:tabs>
              <w:spacing w:line="400" w:lineRule="exact"/>
              <w:jc w:val="both"/>
              <w:rPr>
                <w:rFonts w:ascii="宋体" w:hAnsi="宋体" w:eastAsia="宋体" w:cs="华文仿宋"/>
                <w:sz w:val="21"/>
                <w:szCs w:val="21"/>
              </w:rPr>
            </w:pPr>
            <w:r>
              <w:rPr>
                <w:rFonts w:hint="eastAsia" w:ascii="宋体" w:hAnsi="宋体" w:eastAsia="宋体" w:cs="华文仿宋"/>
                <w:sz w:val="21"/>
                <w:szCs w:val="21"/>
              </w:rPr>
              <w:t>7.能源资源节约方案：每完全满足一项评审标准得</w:t>
            </w:r>
            <w:r>
              <w:rPr>
                <w:rFonts w:ascii="宋体" w:hAnsi="宋体" w:eastAsia="宋体" w:cs="华文仿宋"/>
                <w:sz w:val="21"/>
                <w:szCs w:val="21"/>
              </w:rPr>
              <w:t>1</w:t>
            </w:r>
            <w:r>
              <w:rPr>
                <w:rFonts w:hint="eastAsia" w:ascii="宋体" w:hAnsi="宋体" w:eastAsia="宋体" w:cs="华文仿宋"/>
                <w:sz w:val="21"/>
                <w:szCs w:val="21"/>
              </w:rPr>
              <w:t>分，满分</w:t>
            </w:r>
            <w:r>
              <w:rPr>
                <w:rFonts w:ascii="宋体" w:hAnsi="宋体" w:eastAsia="宋体" w:cs="华文仿宋"/>
                <w:sz w:val="21"/>
                <w:szCs w:val="21"/>
              </w:rPr>
              <w:t>3</w:t>
            </w:r>
            <w:r>
              <w:rPr>
                <w:rFonts w:hint="eastAsia" w:ascii="宋体" w:hAnsi="宋体" w:eastAsia="宋体" w:cs="华文仿宋"/>
                <w:sz w:val="21"/>
                <w:szCs w:val="21"/>
              </w:rPr>
              <w:t>分。</w:t>
            </w:r>
          </w:p>
        </w:tc>
        <w:tc>
          <w:tcPr>
            <w:tcW w:w="1134" w:type="dxa"/>
            <w:tcBorders>
              <w:top w:val="single" w:color="auto" w:sz="2" w:space="0"/>
            </w:tcBorders>
            <w:shd w:val="clear" w:color="auto" w:fill="auto"/>
            <w:vAlign w:val="center"/>
          </w:tcPr>
          <w:p w14:paraId="0E8F68E6">
            <w:pPr>
              <w:spacing w:line="400" w:lineRule="exact"/>
              <w:jc w:val="center"/>
              <w:rPr>
                <w:rFonts w:ascii="Calibri" w:hAnsi="宋体" w:eastAsia="宋体" w:cs="宋体"/>
                <w:bCs/>
                <w:color w:val="FF0000"/>
                <w:sz w:val="21"/>
                <w:szCs w:val="21"/>
              </w:rPr>
            </w:pPr>
          </w:p>
        </w:tc>
      </w:tr>
      <w:tr w14:paraId="6D27A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14:paraId="62C80202">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2E01E211">
            <w:pPr>
              <w:spacing w:line="400" w:lineRule="exact"/>
              <w:jc w:val="center"/>
              <w:rPr>
                <w:rFonts w:ascii="Calibri" w:hAnsi="宋体" w:eastAsia="宋体" w:cs="宋体"/>
                <w:bCs/>
                <w:sz w:val="21"/>
                <w:szCs w:val="21"/>
              </w:rPr>
            </w:pPr>
          </w:p>
        </w:tc>
        <w:tc>
          <w:tcPr>
            <w:tcW w:w="860" w:type="dxa"/>
            <w:shd w:val="clear" w:color="auto" w:fill="auto"/>
            <w:vAlign w:val="center"/>
          </w:tcPr>
          <w:p w14:paraId="194A69C4">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6093" w:type="dxa"/>
            <w:tcBorders>
              <w:top w:val="single" w:color="auto" w:sz="2" w:space="0"/>
            </w:tcBorders>
            <w:shd w:val="clear" w:color="auto" w:fill="auto"/>
            <w:vAlign w:val="center"/>
          </w:tcPr>
          <w:p w14:paraId="56C83189">
            <w:pPr>
              <w:tabs>
                <w:tab w:val="left" w:pos="547"/>
              </w:tabs>
              <w:autoSpaceDE w:val="0"/>
              <w:autoSpaceDN w:val="0"/>
              <w:adjustRightInd w:val="0"/>
              <w:spacing w:line="320" w:lineRule="exact"/>
              <w:rPr>
                <w:rFonts w:hAnsi="宋体" w:eastAsia="宋体"/>
                <w:b/>
                <w:bCs/>
                <w:color w:val="FF0000"/>
                <w:sz w:val="21"/>
                <w:szCs w:val="21"/>
              </w:rPr>
            </w:pPr>
            <w:r>
              <w:rPr>
                <w:rFonts w:hint="eastAsia" w:hAnsi="宋体" w:eastAsia="宋体"/>
                <w:b/>
                <w:bCs/>
                <w:color w:val="FF0000"/>
                <w:sz w:val="21"/>
                <w:szCs w:val="21"/>
              </w:rPr>
              <w:t>服务质量保证措施：</w:t>
            </w:r>
          </w:p>
          <w:p w14:paraId="59212A7C">
            <w:pPr>
              <w:tabs>
                <w:tab w:val="left" w:pos="547"/>
              </w:tabs>
              <w:autoSpaceDE w:val="0"/>
              <w:autoSpaceDN w:val="0"/>
              <w:adjustRightInd w:val="0"/>
              <w:spacing w:line="320" w:lineRule="exact"/>
              <w:rPr>
                <w:rFonts w:hAnsi="宋体" w:eastAsia="宋体"/>
                <w:b/>
                <w:bCs/>
                <w:color w:val="000000"/>
                <w:sz w:val="21"/>
                <w:szCs w:val="21"/>
              </w:rPr>
            </w:pPr>
            <w:r>
              <w:rPr>
                <w:rFonts w:hint="eastAsia" w:hAnsi="宋体" w:eastAsia="宋体"/>
                <w:b/>
                <w:bCs/>
                <w:color w:val="000000"/>
                <w:sz w:val="21"/>
                <w:szCs w:val="21"/>
              </w:rPr>
              <w:t>1、评审内容：</w:t>
            </w:r>
          </w:p>
          <w:p w14:paraId="6867CF74">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bCs/>
                <w:color w:val="000000"/>
                <w:sz w:val="21"/>
                <w:szCs w:val="21"/>
              </w:rPr>
              <w:t>根据本项目拟定服务质量保证措施，内容包含</w:t>
            </w:r>
            <w:r>
              <w:rPr>
                <w:rFonts w:hint="eastAsia" w:hAnsi="宋体" w:eastAsia="宋体"/>
                <w:color w:val="000000"/>
                <w:sz w:val="21"/>
                <w:szCs w:val="21"/>
              </w:rPr>
              <w:t>：</w:t>
            </w:r>
          </w:p>
          <w:p w14:paraId="718E915E">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①物业工作质量的保证措施；</w:t>
            </w:r>
          </w:p>
          <w:p w14:paraId="056BC980">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②具体的检查与考核标准；</w:t>
            </w:r>
          </w:p>
          <w:p w14:paraId="131DDAD7">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③明确</w:t>
            </w:r>
            <w:r>
              <w:rPr>
                <w:rFonts w:hAnsi="宋体" w:eastAsia="宋体"/>
                <w:color w:val="000000"/>
                <w:sz w:val="21"/>
                <w:szCs w:val="21"/>
              </w:rPr>
              <w:t>各岗位的服务时间、服务</w:t>
            </w:r>
            <w:r>
              <w:rPr>
                <w:rFonts w:hint="eastAsia" w:hAnsi="宋体" w:eastAsia="宋体"/>
                <w:color w:val="000000"/>
                <w:sz w:val="21"/>
                <w:szCs w:val="21"/>
              </w:rPr>
              <w:t>频次、</w:t>
            </w:r>
            <w:r>
              <w:rPr>
                <w:rFonts w:hAnsi="宋体" w:eastAsia="宋体"/>
                <w:color w:val="000000"/>
                <w:sz w:val="21"/>
                <w:szCs w:val="21"/>
              </w:rPr>
              <w:t>服务内容</w:t>
            </w:r>
            <w:r>
              <w:rPr>
                <w:rFonts w:hint="eastAsia" w:hAnsi="宋体" w:eastAsia="宋体"/>
                <w:color w:val="000000"/>
                <w:sz w:val="21"/>
                <w:szCs w:val="21"/>
              </w:rPr>
              <w:t>。</w:t>
            </w:r>
          </w:p>
          <w:p w14:paraId="7B612B71">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2</w:t>
            </w:r>
            <w:r>
              <w:rPr>
                <w:rFonts w:hint="eastAsia" w:hAnsi="宋体" w:eastAsia="宋体"/>
                <w:b/>
                <w:bCs/>
                <w:color w:val="000000"/>
                <w:sz w:val="21"/>
                <w:szCs w:val="21"/>
              </w:rPr>
              <w:t>、评审标准</w:t>
            </w:r>
            <w:r>
              <w:rPr>
                <w:rFonts w:hAnsi="宋体" w:eastAsia="宋体"/>
                <w:b/>
                <w:bCs/>
                <w:color w:val="000000"/>
                <w:sz w:val="21"/>
                <w:szCs w:val="21"/>
              </w:rPr>
              <w:t>：</w:t>
            </w:r>
          </w:p>
          <w:p w14:paraId="59CC76E0">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①完整性：方案内容全面，对评审内容中的各项要求有详细描述及说明；</w:t>
            </w:r>
            <w:r>
              <w:rPr>
                <w:rFonts w:hAnsi="宋体" w:eastAsia="宋体"/>
                <w:color w:val="000000"/>
                <w:sz w:val="21"/>
                <w:szCs w:val="21"/>
              </w:rPr>
              <w:t xml:space="preserve"> </w:t>
            </w:r>
          </w:p>
          <w:p w14:paraId="13F94DB6">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②可</w:t>
            </w:r>
            <w:r>
              <w:rPr>
                <w:rFonts w:hAnsi="宋体" w:eastAsia="宋体"/>
                <w:color w:val="000000"/>
                <w:sz w:val="21"/>
                <w:szCs w:val="21"/>
              </w:rPr>
              <w:t>实施性：</w:t>
            </w:r>
            <w:r>
              <w:rPr>
                <w:rFonts w:hint="eastAsia" w:hAnsi="宋体" w:eastAsia="宋体"/>
                <w:color w:val="000000"/>
                <w:sz w:val="21"/>
                <w:szCs w:val="21"/>
              </w:rPr>
              <w:t>方案科学</w:t>
            </w:r>
            <w:r>
              <w:rPr>
                <w:rFonts w:hAnsi="宋体" w:eastAsia="宋体"/>
                <w:color w:val="000000"/>
                <w:sz w:val="21"/>
                <w:szCs w:val="21"/>
              </w:rPr>
              <w:t>合理</w:t>
            </w:r>
            <w:r>
              <w:rPr>
                <w:rFonts w:hint="eastAsia" w:hAnsi="宋体" w:eastAsia="宋体"/>
                <w:color w:val="000000"/>
                <w:sz w:val="21"/>
                <w:szCs w:val="21"/>
              </w:rPr>
              <w:t>，</w:t>
            </w:r>
            <w:r>
              <w:rPr>
                <w:rFonts w:hAnsi="宋体" w:eastAsia="宋体"/>
                <w:color w:val="000000"/>
                <w:sz w:val="21"/>
                <w:szCs w:val="21"/>
              </w:rPr>
              <w:t>可操作性强；</w:t>
            </w:r>
          </w:p>
          <w:p w14:paraId="5E270CE4">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③针对性</w:t>
            </w:r>
            <w:r>
              <w:rPr>
                <w:rFonts w:hAnsi="宋体" w:eastAsia="宋体"/>
                <w:color w:val="000000"/>
                <w:sz w:val="21"/>
                <w:szCs w:val="21"/>
              </w:rPr>
              <w:t>：</w:t>
            </w:r>
            <w:r>
              <w:rPr>
                <w:rFonts w:hint="eastAsia" w:hAnsi="宋体" w:eastAsia="宋体"/>
                <w:color w:val="000000"/>
                <w:sz w:val="21"/>
                <w:szCs w:val="21"/>
              </w:rPr>
              <w:t>方案能紧扣</w:t>
            </w:r>
            <w:r>
              <w:rPr>
                <w:rFonts w:hAnsi="宋体" w:eastAsia="宋体"/>
                <w:color w:val="000000"/>
                <w:sz w:val="21"/>
                <w:szCs w:val="21"/>
              </w:rPr>
              <w:t>本</w:t>
            </w:r>
            <w:r>
              <w:rPr>
                <w:rFonts w:hint="eastAsia" w:hAnsi="宋体" w:eastAsia="宋体"/>
                <w:color w:val="000000"/>
                <w:sz w:val="21"/>
                <w:szCs w:val="21"/>
              </w:rPr>
              <w:t>项目</w:t>
            </w:r>
            <w:r>
              <w:rPr>
                <w:rFonts w:hAnsi="宋体" w:eastAsia="宋体"/>
                <w:color w:val="000000"/>
                <w:sz w:val="21"/>
                <w:szCs w:val="21"/>
              </w:rPr>
              <w:t>实际情况，</w:t>
            </w:r>
            <w:r>
              <w:rPr>
                <w:rFonts w:hint="eastAsia" w:hAnsi="宋体" w:eastAsia="宋体"/>
                <w:color w:val="000000"/>
                <w:sz w:val="21"/>
                <w:szCs w:val="21"/>
              </w:rPr>
              <w:t>满足</w:t>
            </w:r>
            <w:r>
              <w:rPr>
                <w:rFonts w:hAnsi="宋体" w:eastAsia="宋体"/>
                <w:color w:val="000000"/>
                <w:sz w:val="21"/>
                <w:szCs w:val="21"/>
              </w:rPr>
              <w:t>本项目各项具体要求。</w:t>
            </w:r>
          </w:p>
          <w:p w14:paraId="1B267580">
            <w:pPr>
              <w:tabs>
                <w:tab w:val="left" w:pos="547"/>
              </w:tabs>
              <w:autoSpaceDE w:val="0"/>
              <w:autoSpaceDN w:val="0"/>
              <w:adjustRightInd w:val="0"/>
              <w:spacing w:line="320" w:lineRule="exact"/>
              <w:rPr>
                <w:rFonts w:ascii="宋体" w:hAnsi="宋体" w:eastAsia="宋体" w:cs="华文仿宋"/>
                <w:b/>
                <w:sz w:val="21"/>
                <w:szCs w:val="21"/>
              </w:rPr>
            </w:pPr>
            <w:r>
              <w:rPr>
                <w:rFonts w:hint="eastAsia" w:hAnsi="宋体" w:eastAsia="宋体"/>
                <w:b/>
                <w:bCs/>
                <w:color w:val="000000"/>
                <w:sz w:val="21"/>
                <w:szCs w:val="21"/>
              </w:rPr>
              <w:t>3、</w:t>
            </w:r>
            <w:r>
              <w:rPr>
                <w:rFonts w:hAnsi="宋体" w:eastAsia="宋体"/>
                <w:b/>
                <w:bCs/>
                <w:color w:val="000000"/>
                <w:sz w:val="21"/>
                <w:szCs w:val="21"/>
              </w:rPr>
              <w:t>赋分标准</w:t>
            </w:r>
            <w:r>
              <w:rPr>
                <w:rFonts w:hint="eastAsia" w:ascii="宋体" w:hAnsi="宋体" w:eastAsia="宋体" w:cs="华文仿宋"/>
                <w:b/>
                <w:sz w:val="21"/>
                <w:szCs w:val="21"/>
              </w:rPr>
              <w:t>（满分</w:t>
            </w:r>
            <w:r>
              <w:rPr>
                <w:rFonts w:ascii="宋体" w:hAnsi="宋体" w:eastAsia="宋体" w:cs="华文仿宋"/>
                <w:b/>
                <w:sz w:val="21"/>
                <w:szCs w:val="21"/>
              </w:rPr>
              <w:t>9</w:t>
            </w:r>
            <w:r>
              <w:rPr>
                <w:rFonts w:hint="eastAsia" w:ascii="宋体" w:hAnsi="宋体" w:eastAsia="宋体" w:cs="华文仿宋"/>
                <w:b/>
                <w:sz w:val="21"/>
                <w:szCs w:val="21"/>
              </w:rPr>
              <w:t>分）</w:t>
            </w:r>
          </w:p>
          <w:p w14:paraId="2D766DD8">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①物业工作质量的保证措施：</w:t>
            </w:r>
            <w:r>
              <w:rPr>
                <w:rFonts w:hAnsi="宋体" w:eastAsia="宋体"/>
                <w:color w:val="000000"/>
                <w:sz w:val="21"/>
                <w:szCs w:val="21"/>
              </w:rPr>
              <w:t>每满足一项评审标准</w:t>
            </w:r>
            <w:r>
              <w:rPr>
                <w:rFonts w:hint="eastAsia" w:hAnsi="宋体" w:eastAsia="宋体"/>
                <w:color w:val="000000"/>
                <w:sz w:val="21"/>
                <w:szCs w:val="21"/>
              </w:rPr>
              <w:t>得</w:t>
            </w:r>
            <w:r>
              <w:rPr>
                <w:rFonts w:hAnsi="宋体" w:eastAsia="宋体"/>
                <w:color w:val="000000"/>
                <w:sz w:val="21"/>
                <w:szCs w:val="21"/>
              </w:rPr>
              <w:t>1</w:t>
            </w:r>
            <w:r>
              <w:rPr>
                <w:rFonts w:hint="eastAsia" w:hAnsi="宋体" w:eastAsia="宋体"/>
                <w:color w:val="000000"/>
                <w:sz w:val="21"/>
                <w:szCs w:val="21"/>
              </w:rPr>
              <w:t>分</w:t>
            </w:r>
            <w:r>
              <w:rPr>
                <w:rFonts w:hAnsi="宋体" w:eastAsia="宋体"/>
                <w:color w:val="000000"/>
                <w:sz w:val="21"/>
                <w:szCs w:val="21"/>
              </w:rPr>
              <w:t>，满分3</w:t>
            </w:r>
            <w:r>
              <w:rPr>
                <w:rFonts w:hint="eastAsia" w:hAnsi="宋体" w:eastAsia="宋体"/>
                <w:color w:val="000000"/>
                <w:sz w:val="21"/>
                <w:szCs w:val="21"/>
              </w:rPr>
              <w:t>分；</w:t>
            </w:r>
          </w:p>
          <w:p w14:paraId="3360AFBE">
            <w:pPr>
              <w:tabs>
                <w:tab w:val="left" w:pos="547"/>
              </w:tabs>
              <w:autoSpaceDE w:val="0"/>
              <w:autoSpaceDN w:val="0"/>
              <w:adjustRightInd w:val="0"/>
              <w:spacing w:line="320" w:lineRule="exact"/>
              <w:rPr>
                <w:rFonts w:hAnsi="宋体" w:eastAsia="宋体"/>
                <w:color w:val="000000"/>
                <w:sz w:val="21"/>
                <w:szCs w:val="21"/>
              </w:rPr>
            </w:pPr>
            <w:r>
              <w:rPr>
                <w:rFonts w:hint="eastAsia" w:hAnsi="宋体" w:eastAsia="宋体"/>
                <w:color w:val="000000"/>
                <w:sz w:val="21"/>
                <w:szCs w:val="21"/>
              </w:rPr>
              <w:t>②具体的检查与考核标准：</w:t>
            </w:r>
            <w:r>
              <w:rPr>
                <w:rFonts w:hAnsi="宋体" w:eastAsia="宋体"/>
                <w:color w:val="000000"/>
                <w:sz w:val="21"/>
                <w:szCs w:val="21"/>
              </w:rPr>
              <w:t>每满足一项评审标准</w:t>
            </w:r>
            <w:r>
              <w:rPr>
                <w:rFonts w:hint="eastAsia" w:hAnsi="宋体" w:eastAsia="宋体"/>
                <w:color w:val="000000"/>
                <w:sz w:val="21"/>
                <w:szCs w:val="21"/>
              </w:rPr>
              <w:t>得</w:t>
            </w:r>
            <w:r>
              <w:rPr>
                <w:rFonts w:hAnsi="宋体" w:eastAsia="宋体"/>
                <w:color w:val="000000"/>
                <w:sz w:val="21"/>
                <w:szCs w:val="21"/>
              </w:rPr>
              <w:t>1</w:t>
            </w:r>
            <w:r>
              <w:rPr>
                <w:rFonts w:hint="eastAsia" w:hAnsi="宋体" w:eastAsia="宋体"/>
                <w:color w:val="000000"/>
                <w:sz w:val="21"/>
                <w:szCs w:val="21"/>
              </w:rPr>
              <w:t>分</w:t>
            </w:r>
            <w:r>
              <w:rPr>
                <w:rFonts w:hAnsi="宋体" w:eastAsia="宋体"/>
                <w:color w:val="000000"/>
                <w:sz w:val="21"/>
                <w:szCs w:val="21"/>
              </w:rPr>
              <w:t>，满分3</w:t>
            </w:r>
            <w:r>
              <w:rPr>
                <w:rFonts w:hint="eastAsia" w:hAnsi="宋体" w:eastAsia="宋体"/>
                <w:color w:val="000000"/>
                <w:sz w:val="21"/>
                <w:szCs w:val="21"/>
              </w:rPr>
              <w:t>分；</w:t>
            </w:r>
          </w:p>
          <w:p w14:paraId="1F42CF50">
            <w:pPr>
              <w:tabs>
                <w:tab w:val="left" w:pos="547"/>
              </w:tabs>
              <w:spacing w:line="400" w:lineRule="exact"/>
              <w:jc w:val="both"/>
              <w:rPr>
                <w:rFonts w:ascii="Calibri" w:hAnsi="宋体" w:eastAsia="宋体" w:cs="宋体"/>
                <w:sz w:val="21"/>
                <w:szCs w:val="21"/>
              </w:rPr>
            </w:pPr>
            <w:r>
              <w:rPr>
                <w:rFonts w:hint="eastAsia" w:hAnsi="宋体" w:eastAsia="宋体"/>
                <w:color w:val="000000"/>
                <w:sz w:val="21"/>
                <w:szCs w:val="21"/>
              </w:rPr>
              <w:t>③明确</w:t>
            </w:r>
            <w:r>
              <w:rPr>
                <w:rFonts w:hAnsi="宋体" w:eastAsia="宋体"/>
                <w:color w:val="000000"/>
                <w:sz w:val="21"/>
                <w:szCs w:val="21"/>
              </w:rPr>
              <w:t>各岗位的服务时间、服务</w:t>
            </w:r>
            <w:r>
              <w:rPr>
                <w:rFonts w:hint="eastAsia" w:hAnsi="宋体" w:eastAsia="宋体"/>
                <w:color w:val="000000"/>
                <w:sz w:val="21"/>
                <w:szCs w:val="21"/>
              </w:rPr>
              <w:t>频次、</w:t>
            </w:r>
            <w:r>
              <w:rPr>
                <w:rFonts w:hAnsi="宋体" w:eastAsia="宋体"/>
                <w:color w:val="000000"/>
                <w:sz w:val="21"/>
                <w:szCs w:val="21"/>
              </w:rPr>
              <w:t>服务内容</w:t>
            </w:r>
            <w:r>
              <w:rPr>
                <w:rFonts w:hint="eastAsia" w:hAnsi="宋体" w:eastAsia="宋体"/>
                <w:color w:val="000000"/>
                <w:sz w:val="21"/>
                <w:szCs w:val="21"/>
              </w:rPr>
              <w:t>：</w:t>
            </w:r>
            <w:r>
              <w:rPr>
                <w:rFonts w:hAnsi="宋体" w:eastAsia="宋体"/>
                <w:color w:val="000000"/>
                <w:sz w:val="21"/>
                <w:szCs w:val="21"/>
              </w:rPr>
              <w:t>每满足一项评审标准</w:t>
            </w:r>
            <w:r>
              <w:rPr>
                <w:rFonts w:hint="eastAsia" w:hAnsi="宋体" w:eastAsia="宋体"/>
                <w:color w:val="000000"/>
                <w:sz w:val="21"/>
                <w:szCs w:val="21"/>
              </w:rPr>
              <w:t>得</w:t>
            </w:r>
            <w:r>
              <w:rPr>
                <w:rFonts w:hAnsi="宋体" w:eastAsia="宋体"/>
                <w:color w:val="000000"/>
                <w:sz w:val="21"/>
                <w:szCs w:val="21"/>
              </w:rPr>
              <w:t>1</w:t>
            </w:r>
            <w:r>
              <w:rPr>
                <w:rFonts w:hint="eastAsia" w:hAnsi="宋体" w:eastAsia="宋体"/>
                <w:color w:val="000000"/>
                <w:sz w:val="21"/>
                <w:szCs w:val="21"/>
              </w:rPr>
              <w:t>分</w:t>
            </w:r>
            <w:r>
              <w:rPr>
                <w:rFonts w:hAnsi="宋体" w:eastAsia="宋体"/>
                <w:color w:val="000000"/>
                <w:sz w:val="21"/>
                <w:szCs w:val="21"/>
              </w:rPr>
              <w:t>，满分3</w:t>
            </w:r>
            <w:r>
              <w:rPr>
                <w:rFonts w:hint="eastAsia" w:hAnsi="宋体" w:eastAsia="宋体"/>
                <w:color w:val="000000"/>
                <w:sz w:val="21"/>
                <w:szCs w:val="21"/>
              </w:rPr>
              <w:t>分。</w:t>
            </w:r>
          </w:p>
        </w:tc>
        <w:tc>
          <w:tcPr>
            <w:tcW w:w="1134" w:type="dxa"/>
            <w:tcBorders>
              <w:top w:val="single" w:color="auto" w:sz="2" w:space="0"/>
            </w:tcBorders>
            <w:shd w:val="clear" w:color="auto" w:fill="auto"/>
            <w:vAlign w:val="center"/>
          </w:tcPr>
          <w:p w14:paraId="6117E7E2">
            <w:pPr>
              <w:spacing w:line="400" w:lineRule="exact"/>
              <w:jc w:val="center"/>
              <w:rPr>
                <w:rFonts w:ascii="Calibri" w:hAnsi="宋体" w:eastAsia="宋体" w:cs="宋体"/>
                <w:bCs/>
                <w:color w:val="FF0000"/>
                <w:sz w:val="21"/>
                <w:szCs w:val="21"/>
              </w:rPr>
            </w:pPr>
          </w:p>
        </w:tc>
      </w:tr>
      <w:tr w14:paraId="236170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14:paraId="267D13E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2770A922">
            <w:pPr>
              <w:spacing w:line="400" w:lineRule="exact"/>
              <w:jc w:val="center"/>
              <w:rPr>
                <w:rFonts w:ascii="Calibri" w:hAnsi="宋体" w:eastAsia="宋体" w:cs="宋体"/>
                <w:bCs/>
                <w:sz w:val="21"/>
                <w:szCs w:val="21"/>
              </w:rPr>
            </w:pPr>
          </w:p>
        </w:tc>
        <w:tc>
          <w:tcPr>
            <w:tcW w:w="860" w:type="dxa"/>
            <w:shd w:val="clear" w:color="auto" w:fill="auto"/>
            <w:vAlign w:val="center"/>
          </w:tcPr>
          <w:p w14:paraId="281543A3">
            <w:pPr>
              <w:spacing w:line="400" w:lineRule="exact"/>
              <w:jc w:val="center"/>
              <w:rPr>
                <w:rFonts w:ascii="Calibri" w:hAnsi="宋体" w:eastAsia="宋体" w:cs="宋体"/>
                <w:bCs/>
                <w:sz w:val="21"/>
                <w:szCs w:val="21"/>
              </w:rPr>
            </w:pPr>
            <w:r>
              <w:rPr>
                <w:rFonts w:hint="eastAsia" w:ascii="Calibri" w:hAnsi="宋体" w:eastAsia="宋体" w:cs="宋体"/>
                <w:bCs/>
                <w:sz w:val="21"/>
                <w:szCs w:val="21"/>
              </w:rPr>
              <w:t>4.5</w:t>
            </w:r>
          </w:p>
        </w:tc>
        <w:tc>
          <w:tcPr>
            <w:tcW w:w="6093" w:type="dxa"/>
            <w:tcBorders>
              <w:top w:val="single" w:color="auto" w:sz="2" w:space="0"/>
            </w:tcBorders>
            <w:shd w:val="clear" w:color="auto" w:fill="auto"/>
            <w:vAlign w:val="center"/>
          </w:tcPr>
          <w:p w14:paraId="52D0863A">
            <w:pPr>
              <w:tabs>
                <w:tab w:val="left" w:pos="547"/>
              </w:tabs>
              <w:spacing w:line="320" w:lineRule="exact"/>
              <w:jc w:val="both"/>
              <w:rPr>
                <w:rFonts w:ascii="宋体" w:hAnsi="宋体" w:eastAsia="宋体" w:cs="华文仿宋"/>
                <w:b/>
                <w:color w:val="FF0000"/>
                <w:sz w:val="21"/>
                <w:szCs w:val="21"/>
              </w:rPr>
            </w:pPr>
            <w:r>
              <w:rPr>
                <w:rFonts w:hint="eastAsia" w:ascii="宋体" w:hAnsi="宋体" w:eastAsia="宋体" w:cs="华文仿宋"/>
                <w:b/>
                <w:color w:val="FF0000"/>
                <w:sz w:val="21"/>
                <w:szCs w:val="21"/>
              </w:rPr>
              <w:t>应急预案</w:t>
            </w:r>
          </w:p>
          <w:p w14:paraId="24BA39E3">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一、评审内容</w:t>
            </w:r>
          </w:p>
          <w:p w14:paraId="174B72A3">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提供针对本项目的应急方案，方案内容包含：</w:t>
            </w:r>
          </w:p>
          <w:p w14:paraId="4479A165">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①突发事件、事故处理、治安应急的预案；</w:t>
            </w:r>
          </w:p>
          <w:p w14:paraId="093172CA">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②重大活动应急预案；</w:t>
            </w:r>
          </w:p>
          <w:p w14:paraId="490D73B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③消防应急预案。</w:t>
            </w:r>
          </w:p>
          <w:p w14:paraId="241D267F">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二、评审标准</w:t>
            </w:r>
          </w:p>
          <w:p w14:paraId="0D5AA903">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1、完整性：方案须全面，对评审内容中的各项要求有详细描述及说明；</w:t>
            </w:r>
          </w:p>
          <w:p w14:paraId="6A128784">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2、可实施性：切合本项目实际情况，实施步骤清晰、合理；</w:t>
            </w:r>
          </w:p>
          <w:p w14:paraId="63E5D254">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3、针对性：方案能够紧扣项目实际情况，内容科学合理。</w:t>
            </w:r>
          </w:p>
          <w:p w14:paraId="02C2D8A1">
            <w:pPr>
              <w:tabs>
                <w:tab w:val="left" w:pos="547"/>
              </w:tabs>
              <w:spacing w:line="320" w:lineRule="exact"/>
              <w:jc w:val="both"/>
              <w:rPr>
                <w:rFonts w:ascii="宋体" w:hAnsi="宋体" w:eastAsia="宋体" w:cs="华文仿宋"/>
                <w:b/>
                <w:sz w:val="21"/>
                <w:szCs w:val="21"/>
              </w:rPr>
            </w:pPr>
            <w:r>
              <w:rPr>
                <w:rFonts w:hint="eastAsia" w:ascii="宋体" w:hAnsi="宋体" w:eastAsia="宋体" w:cs="华文仿宋"/>
                <w:b/>
                <w:sz w:val="21"/>
                <w:szCs w:val="21"/>
              </w:rPr>
              <w:t>三、赋分标准（满分4.5分）</w:t>
            </w:r>
          </w:p>
          <w:p w14:paraId="07FD527D">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①突发事件、事故处理、治安应急的预案：每完全满足一项评审标准得0.5分，满分1.5分；</w:t>
            </w:r>
          </w:p>
          <w:p w14:paraId="1C522928">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②重大活动应急预案：每完全满足一项评审标准得0.5分，满分1.5分；</w:t>
            </w:r>
          </w:p>
          <w:p w14:paraId="1701A04B">
            <w:pPr>
              <w:tabs>
                <w:tab w:val="left" w:pos="547"/>
              </w:tabs>
              <w:spacing w:line="320" w:lineRule="exact"/>
              <w:jc w:val="both"/>
              <w:rPr>
                <w:rFonts w:ascii="宋体" w:hAnsi="宋体" w:eastAsia="宋体" w:cs="华文仿宋"/>
                <w:sz w:val="21"/>
                <w:szCs w:val="21"/>
              </w:rPr>
            </w:pPr>
            <w:r>
              <w:rPr>
                <w:rFonts w:hint="eastAsia" w:ascii="宋体" w:hAnsi="宋体" w:eastAsia="宋体" w:cs="华文仿宋"/>
                <w:sz w:val="21"/>
                <w:szCs w:val="21"/>
              </w:rPr>
              <w:t>③消防应急预案：每完全满足一项评审标准得0.5分，满分1.5分。</w:t>
            </w:r>
          </w:p>
        </w:tc>
        <w:tc>
          <w:tcPr>
            <w:tcW w:w="1134" w:type="dxa"/>
            <w:tcBorders>
              <w:top w:val="single" w:color="auto" w:sz="2" w:space="0"/>
            </w:tcBorders>
            <w:shd w:val="clear" w:color="auto" w:fill="auto"/>
            <w:vAlign w:val="center"/>
          </w:tcPr>
          <w:p w14:paraId="346F0D63">
            <w:pPr>
              <w:spacing w:line="400" w:lineRule="exact"/>
              <w:jc w:val="center"/>
              <w:rPr>
                <w:rFonts w:ascii="Calibri" w:hAnsi="宋体" w:eastAsia="宋体" w:cs="宋体"/>
                <w:bCs/>
                <w:color w:val="FF0000"/>
                <w:sz w:val="21"/>
                <w:szCs w:val="21"/>
              </w:rPr>
            </w:pPr>
          </w:p>
        </w:tc>
      </w:tr>
      <w:tr w14:paraId="4A446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6C2ADAFE">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43202631">
            <w:pPr>
              <w:spacing w:line="400" w:lineRule="exact"/>
              <w:jc w:val="center"/>
              <w:rPr>
                <w:rFonts w:ascii="Calibri" w:hAnsi="宋体" w:eastAsia="宋体" w:cs="宋体"/>
                <w:bCs/>
                <w:sz w:val="21"/>
                <w:szCs w:val="21"/>
              </w:rPr>
            </w:pPr>
            <w:r>
              <w:rPr>
                <w:rFonts w:hint="eastAsia" w:ascii="Calibri" w:hAnsi="宋体" w:eastAsia="宋体" w:cs="宋体"/>
                <w:bCs/>
                <w:sz w:val="21"/>
                <w:szCs w:val="21"/>
              </w:rPr>
              <w:t>42</w:t>
            </w:r>
          </w:p>
        </w:tc>
        <w:tc>
          <w:tcPr>
            <w:tcW w:w="860" w:type="dxa"/>
            <w:shd w:val="clear" w:color="auto" w:fill="auto"/>
            <w:vAlign w:val="center"/>
          </w:tcPr>
          <w:p w14:paraId="4365F4DA">
            <w:pPr>
              <w:spacing w:line="400" w:lineRule="exact"/>
              <w:jc w:val="center"/>
              <w:rPr>
                <w:rFonts w:ascii="Calibri" w:hAnsi="宋体" w:eastAsia="宋体" w:cs="宋体"/>
                <w:bCs/>
                <w:sz w:val="21"/>
                <w:szCs w:val="21"/>
              </w:rPr>
            </w:pPr>
            <w:r>
              <w:rPr>
                <w:rFonts w:hint="eastAsia" w:ascii="Calibri" w:hAnsi="宋体" w:eastAsia="宋体" w:cs="宋体"/>
                <w:bCs/>
                <w:sz w:val="21"/>
                <w:szCs w:val="21"/>
              </w:rPr>
              <w:t>17</w:t>
            </w:r>
          </w:p>
        </w:tc>
        <w:tc>
          <w:tcPr>
            <w:tcW w:w="6093" w:type="dxa"/>
            <w:shd w:val="clear" w:color="auto" w:fill="auto"/>
            <w:vAlign w:val="center"/>
          </w:tcPr>
          <w:p w14:paraId="396F1AE0">
            <w:pPr>
              <w:spacing w:line="320" w:lineRule="exact"/>
              <w:rPr>
                <w:rFonts w:ascii="宋体" w:hAnsi="宋体" w:eastAsia="宋体" w:cs="华文仿宋"/>
                <w:b/>
                <w:color w:val="FF0000"/>
                <w:sz w:val="21"/>
                <w:szCs w:val="21"/>
              </w:rPr>
            </w:pPr>
            <w:r>
              <w:rPr>
                <w:rFonts w:hint="eastAsia" w:ascii="宋体" w:hAnsi="宋体" w:eastAsia="宋体" w:cs="华文仿宋"/>
                <w:b/>
                <w:color w:val="FF0000"/>
                <w:sz w:val="21"/>
                <w:szCs w:val="21"/>
              </w:rPr>
              <w:t>人员配备方案</w:t>
            </w:r>
          </w:p>
          <w:p w14:paraId="7666C862">
            <w:pPr>
              <w:spacing w:line="320" w:lineRule="exact"/>
              <w:rPr>
                <w:rFonts w:ascii="宋体" w:hAnsi="宋体" w:eastAsia="宋体" w:cs="华文仿宋"/>
                <w:sz w:val="21"/>
                <w:szCs w:val="21"/>
              </w:rPr>
            </w:pPr>
            <w:r>
              <w:rPr>
                <w:rFonts w:hint="eastAsia" w:ascii="宋体" w:hAnsi="宋体" w:eastAsia="宋体" w:cs="华文仿宋"/>
                <w:b/>
                <w:sz w:val="21"/>
                <w:szCs w:val="21"/>
              </w:rPr>
              <w:t>一、项目经理（满分</w:t>
            </w:r>
            <w:r>
              <w:rPr>
                <w:rFonts w:ascii="宋体" w:hAnsi="宋体" w:eastAsia="宋体" w:cs="华文仿宋"/>
                <w:b/>
                <w:sz w:val="21"/>
                <w:szCs w:val="21"/>
              </w:rPr>
              <w:t>3</w:t>
            </w:r>
            <w:r>
              <w:rPr>
                <w:rFonts w:hint="eastAsia" w:ascii="宋体" w:hAnsi="宋体" w:eastAsia="宋体" w:cs="华文仿宋"/>
                <w:b/>
                <w:sz w:val="21"/>
                <w:szCs w:val="21"/>
              </w:rPr>
              <w:t>分）</w:t>
            </w:r>
          </w:p>
          <w:p w14:paraId="60223C9A">
            <w:pPr>
              <w:spacing w:line="320" w:lineRule="exact"/>
              <w:rPr>
                <w:rFonts w:ascii="宋体" w:hAnsi="宋体" w:eastAsia="宋体" w:cs="华文仿宋"/>
                <w:sz w:val="21"/>
                <w:szCs w:val="21"/>
              </w:rPr>
            </w:pPr>
            <w:r>
              <w:rPr>
                <w:rFonts w:hint="eastAsia" w:ascii="宋体" w:hAnsi="宋体" w:eastAsia="宋体" w:cs="华文仿宋"/>
                <w:sz w:val="21"/>
                <w:szCs w:val="21"/>
              </w:rPr>
              <w:t>①拟派项目经理1名，具有本科及以上学历，得</w:t>
            </w:r>
            <w:r>
              <w:rPr>
                <w:rFonts w:ascii="宋体" w:hAnsi="宋体" w:eastAsia="宋体" w:cs="华文仿宋"/>
                <w:sz w:val="21"/>
                <w:szCs w:val="21"/>
              </w:rPr>
              <w:t>1</w:t>
            </w:r>
            <w:r>
              <w:rPr>
                <w:rFonts w:hint="eastAsia" w:ascii="宋体" w:hAnsi="宋体" w:eastAsia="宋体" w:cs="华文仿宋"/>
                <w:sz w:val="21"/>
                <w:szCs w:val="21"/>
              </w:rPr>
              <w:t>分；</w:t>
            </w:r>
          </w:p>
          <w:p w14:paraId="1C7BDA75">
            <w:pPr>
              <w:spacing w:line="320" w:lineRule="exact"/>
              <w:rPr>
                <w:rFonts w:ascii="宋体" w:hAnsi="宋体" w:eastAsia="宋体" w:cs="华文仿宋"/>
                <w:sz w:val="21"/>
                <w:szCs w:val="21"/>
              </w:rPr>
            </w:pPr>
            <w:r>
              <w:rPr>
                <w:rFonts w:ascii="宋体" w:hAnsi="宋体" w:eastAsia="宋体" w:cs="华文仿宋"/>
                <w:sz w:val="21"/>
                <w:szCs w:val="21"/>
              </w:rPr>
              <w:t>赋分依据：须提供</w:t>
            </w:r>
            <w:r>
              <w:rPr>
                <w:rFonts w:hint="eastAsia" w:ascii="宋体" w:hAnsi="宋体" w:eastAsia="宋体" w:cs="华文仿宋"/>
                <w:sz w:val="21"/>
                <w:szCs w:val="21"/>
              </w:rPr>
              <w:t>身份证</w:t>
            </w:r>
            <w:r>
              <w:rPr>
                <w:rFonts w:ascii="宋体" w:hAnsi="宋体" w:eastAsia="宋体" w:cs="华文仿宋"/>
                <w:sz w:val="21"/>
                <w:szCs w:val="21"/>
              </w:rPr>
              <w:t>扫描件及学信网经查证的《教育部学历证书电子注册备案表》，不提供或不满足学历要求不得分。</w:t>
            </w:r>
          </w:p>
          <w:p w14:paraId="56786D4E">
            <w:pPr>
              <w:spacing w:line="320" w:lineRule="exact"/>
              <w:rPr>
                <w:rFonts w:ascii="宋体" w:hAnsi="宋体" w:eastAsia="宋体" w:cs="华文仿宋"/>
                <w:sz w:val="21"/>
                <w:szCs w:val="21"/>
              </w:rPr>
            </w:pPr>
            <w:r>
              <w:rPr>
                <w:rFonts w:hint="eastAsia" w:ascii="宋体" w:hAnsi="宋体" w:eastAsia="宋体" w:cs="华文仿宋"/>
                <w:sz w:val="21"/>
                <w:szCs w:val="21"/>
              </w:rPr>
              <w:t>②</w:t>
            </w:r>
            <w:r>
              <w:rPr>
                <w:rFonts w:ascii="宋体" w:hAnsi="宋体" w:eastAsia="宋体" w:cs="华文仿宋"/>
                <w:sz w:val="21"/>
                <w:szCs w:val="21"/>
              </w:rPr>
              <w:t>拟派项目经理</w:t>
            </w:r>
            <w:r>
              <w:rPr>
                <w:rFonts w:hint="eastAsia" w:ascii="宋体" w:hAnsi="宋体" w:eastAsia="宋体" w:cs="华文仿宋"/>
                <w:sz w:val="21"/>
                <w:szCs w:val="21"/>
              </w:rPr>
              <w:t>满足5年类似项目管理经验，得2分；</w:t>
            </w:r>
          </w:p>
          <w:p w14:paraId="65062904">
            <w:pPr>
              <w:spacing w:line="320" w:lineRule="exact"/>
              <w:rPr>
                <w:rFonts w:ascii="宋体" w:hAnsi="宋体" w:eastAsia="宋体" w:cs="华文仿宋"/>
                <w:sz w:val="21"/>
                <w:szCs w:val="21"/>
              </w:rPr>
            </w:pPr>
            <w:r>
              <w:rPr>
                <w:rFonts w:ascii="宋体" w:hAnsi="宋体" w:eastAsia="宋体" w:cs="华文仿宋"/>
                <w:sz w:val="21"/>
                <w:szCs w:val="21"/>
              </w:rPr>
              <w:t>赋分依据：</w:t>
            </w:r>
            <w:r>
              <w:rPr>
                <w:rFonts w:hint="eastAsia" w:ascii="宋体" w:hAnsi="宋体" w:eastAsia="宋体" w:cs="华文仿宋"/>
                <w:sz w:val="21"/>
                <w:szCs w:val="21"/>
              </w:rPr>
              <w:t>①</w:t>
            </w:r>
            <w:r>
              <w:rPr>
                <w:rFonts w:ascii="宋体" w:hAnsi="宋体" w:eastAsia="宋体" w:cs="华文仿宋"/>
                <w:sz w:val="21"/>
                <w:szCs w:val="21"/>
              </w:rPr>
              <w:t>须提供物业管理工作证明文件或被服务单位加盖公章的证明材料</w:t>
            </w:r>
            <w:r>
              <w:rPr>
                <w:rFonts w:hint="eastAsia" w:ascii="宋体" w:hAnsi="宋体" w:eastAsia="宋体" w:cs="华文仿宋"/>
                <w:sz w:val="21"/>
                <w:szCs w:val="21"/>
              </w:rPr>
              <w:t>；②供应商提供近半年来为其缴纳的连续三个月的社保缴纳证明材料。</w:t>
            </w:r>
            <w:r>
              <w:rPr>
                <w:rFonts w:ascii="宋体" w:hAnsi="宋体" w:eastAsia="宋体" w:cs="华文仿宋"/>
                <w:sz w:val="21"/>
                <w:szCs w:val="21"/>
              </w:rPr>
              <w:t>不提供或缺漏项不得分。</w:t>
            </w:r>
          </w:p>
          <w:p w14:paraId="38607CEF">
            <w:pPr>
              <w:spacing w:line="320" w:lineRule="exact"/>
              <w:rPr>
                <w:rFonts w:ascii="宋体" w:hAnsi="宋体" w:eastAsia="宋体" w:cs="华文仿宋"/>
                <w:b/>
                <w:sz w:val="21"/>
                <w:szCs w:val="21"/>
              </w:rPr>
            </w:pPr>
            <w:r>
              <w:rPr>
                <w:rFonts w:hint="eastAsia" w:ascii="宋体" w:hAnsi="宋体" w:eastAsia="宋体" w:cs="华文仿宋"/>
                <w:b/>
                <w:sz w:val="21"/>
                <w:szCs w:val="21"/>
              </w:rPr>
              <w:t>二、项目主管（满分2分）</w:t>
            </w:r>
          </w:p>
          <w:p w14:paraId="68A5A7AD">
            <w:pPr>
              <w:spacing w:line="320" w:lineRule="exact"/>
              <w:rPr>
                <w:rFonts w:ascii="宋体" w:hAnsi="宋体" w:eastAsia="宋体" w:cs="华文仿宋"/>
                <w:sz w:val="21"/>
                <w:szCs w:val="21"/>
              </w:rPr>
            </w:pPr>
            <w:r>
              <w:rPr>
                <w:rFonts w:hint="eastAsia" w:ascii="宋体" w:hAnsi="宋体" w:eastAsia="宋体" w:cs="华文仿宋"/>
                <w:sz w:val="21"/>
                <w:szCs w:val="21"/>
              </w:rPr>
              <w:t>①拟派项目主管</w:t>
            </w:r>
            <w:r>
              <w:rPr>
                <w:rFonts w:ascii="宋体" w:hAnsi="宋体" w:eastAsia="宋体" w:cs="华文仿宋"/>
                <w:sz w:val="21"/>
                <w:szCs w:val="21"/>
              </w:rPr>
              <w:t>1</w:t>
            </w:r>
            <w:r>
              <w:rPr>
                <w:rFonts w:hint="eastAsia" w:ascii="宋体" w:hAnsi="宋体" w:eastAsia="宋体" w:cs="华文仿宋"/>
                <w:sz w:val="21"/>
                <w:szCs w:val="21"/>
              </w:rPr>
              <w:t>名，具有大专及以上学历，得</w:t>
            </w:r>
            <w:r>
              <w:rPr>
                <w:rFonts w:ascii="宋体" w:hAnsi="宋体" w:eastAsia="宋体" w:cs="华文仿宋"/>
                <w:sz w:val="21"/>
                <w:szCs w:val="21"/>
              </w:rPr>
              <w:t>1</w:t>
            </w:r>
            <w:r>
              <w:rPr>
                <w:rFonts w:hint="eastAsia" w:ascii="宋体" w:hAnsi="宋体" w:eastAsia="宋体" w:cs="华文仿宋"/>
                <w:sz w:val="21"/>
                <w:szCs w:val="21"/>
              </w:rPr>
              <w:t>分；</w:t>
            </w:r>
          </w:p>
          <w:p w14:paraId="361E834C">
            <w:pPr>
              <w:spacing w:line="320" w:lineRule="exact"/>
              <w:rPr>
                <w:rFonts w:ascii="宋体" w:hAnsi="宋体" w:eastAsia="宋体" w:cs="华文仿宋"/>
                <w:sz w:val="21"/>
                <w:szCs w:val="21"/>
              </w:rPr>
            </w:pPr>
            <w:r>
              <w:rPr>
                <w:rFonts w:ascii="宋体" w:hAnsi="宋体" w:eastAsia="宋体" w:cs="华文仿宋"/>
                <w:sz w:val="21"/>
                <w:szCs w:val="21"/>
              </w:rPr>
              <w:t>赋分依据：须提供</w:t>
            </w:r>
            <w:r>
              <w:rPr>
                <w:rFonts w:hint="eastAsia" w:ascii="宋体" w:hAnsi="宋体" w:eastAsia="宋体" w:cs="华文仿宋"/>
                <w:sz w:val="21"/>
                <w:szCs w:val="21"/>
              </w:rPr>
              <w:t>身份证</w:t>
            </w:r>
            <w:r>
              <w:rPr>
                <w:rFonts w:ascii="宋体" w:hAnsi="宋体" w:eastAsia="宋体" w:cs="华文仿宋"/>
                <w:sz w:val="21"/>
                <w:szCs w:val="21"/>
              </w:rPr>
              <w:t>扫描件及学信网经查证的《教育部学历证书电子注册备案表》，不提供或不满足学历要求不得分。</w:t>
            </w:r>
          </w:p>
          <w:p w14:paraId="4B9FC038">
            <w:pPr>
              <w:spacing w:line="320" w:lineRule="exact"/>
              <w:rPr>
                <w:rFonts w:ascii="宋体" w:hAnsi="宋体" w:eastAsia="宋体" w:cs="华文仿宋"/>
                <w:sz w:val="21"/>
                <w:szCs w:val="21"/>
              </w:rPr>
            </w:pPr>
            <w:r>
              <w:rPr>
                <w:rFonts w:hint="eastAsia" w:ascii="宋体" w:hAnsi="宋体" w:eastAsia="宋体" w:cs="华文仿宋"/>
                <w:sz w:val="21"/>
                <w:szCs w:val="21"/>
              </w:rPr>
              <w:t>②</w:t>
            </w:r>
            <w:r>
              <w:rPr>
                <w:rFonts w:ascii="宋体" w:hAnsi="宋体" w:eastAsia="宋体" w:cs="华文仿宋"/>
                <w:sz w:val="21"/>
                <w:szCs w:val="21"/>
              </w:rPr>
              <w:t>拟派项目</w:t>
            </w:r>
            <w:r>
              <w:rPr>
                <w:rFonts w:hint="eastAsia" w:ascii="宋体" w:hAnsi="宋体" w:eastAsia="宋体" w:cs="华文仿宋"/>
                <w:sz w:val="21"/>
                <w:szCs w:val="21"/>
              </w:rPr>
              <w:t>主管满足</w:t>
            </w:r>
            <w:r>
              <w:rPr>
                <w:rFonts w:ascii="宋体" w:hAnsi="宋体" w:eastAsia="宋体" w:cs="华文仿宋"/>
                <w:sz w:val="21"/>
                <w:szCs w:val="21"/>
              </w:rPr>
              <w:t>2</w:t>
            </w:r>
            <w:r>
              <w:rPr>
                <w:rFonts w:hint="eastAsia" w:ascii="宋体" w:hAnsi="宋体" w:eastAsia="宋体" w:cs="华文仿宋"/>
                <w:sz w:val="21"/>
                <w:szCs w:val="21"/>
              </w:rPr>
              <w:t>年类似项目管理经验，得1分；</w:t>
            </w:r>
          </w:p>
          <w:p w14:paraId="7F429DA9">
            <w:pPr>
              <w:spacing w:line="320" w:lineRule="exact"/>
              <w:rPr>
                <w:rFonts w:ascii="宋体" w:hAnsi="宋体" w:eastAsia="宋体" w:cs="华文仿宋"/>
                <w:sz w:val="21"/>
                <w:szCs w:val="21"/>
              </w:rPr>
            </w:pPr>
            <w:r>
              <w:rPr>
                <w:rFonts w:ascii="宋体" w:hAnsi="宋体" w:eastAsia="宋体" w:cs="华文仿宋"/>
                <w:sz w:val="21"/>
                <w:szCs w:val="21"/>
              </w:rPr>
              <w:t>赋分依据：</w:t>
            </w:r>
            <w:r>
              <w:rPr>
                <w:rFonts w:hint="eastAsia" w:ascii="宋体" w:hAnsi="宋体" w:eastAsia="宋体" w:cs="华文仿宋"/>
                <w:sz w:val="21"/>
                <w:szCs w:val="21"/>
              </w:rPr>
              <w:t>①</w:t>
            </w:r>
            <w:r>
              <w:rPr>
                <w:rFonts w:ascii="宋体" w:hAnsi="宋体" w:eastAsia="宋体" w:cs="华文仿宋"/>
                <w:sz w:val="21"/>
                <w:szCs w:val="21"/>
              </w:rPr>
              <w:t>须提供物业管理工作证明文件或被服务单位加盖公章的证明材料</w:t>
            </w:r>
            <w:r>
              <w:rPr>
                <w:rFonts w:hint="eastAsia" w:ascii="宋体" w:hAnsi="宋体" w:eastAsia="宋体" w:cs="华文仿宋"/>
                <w:sz w:val="21"/>
                <w:szCs w:val="21"/>
              </w:rPr>
              <w:t>；②供应商提供近半年来为其缴纳的连续三个月的社保缴纳证明材料。</w:t>
            </w:r>
            <w:r>
              <w:rPr>
                <w:rFonts w:ascii="宋体" w:hAnsi="宋体" w:eastAsia="宋体" w:cs="华文仿宋"/>
                <w:sz w:val="21"/>
                <w:szCs w:val="21"/>
              </w:rPr>
              <w:t>不提供或缺漏项不得分。</w:t>
            </w:r>
          </w:p>
          <w:p w14:paraId="28B493B1">
            <w:pPr>
              <w:spacing w:line="320" w:lineRule="exact"/>
              <w:rPr>
                <w:rFonts w:ascii="宋体" w:hAnsi="宋体" w:eastAsia="宋体" w:cs="华文仿宋"/>
                <w:b/>
                <w:sz w:val="21"/>
                <w:szCs w:val="21"/>
              </w:rPr>
            </w:pPr>
            <w:r>
              <w:rPr>
                <w:rFonts w:hint="eastAsia" w:ascii="宋体" w:hAnsi="宋体" w:eastAsia="宋体" w:cs="华文仿宋"/>
                <w:b/>
                <w:sz w:val="21"/>
                <w:szCs w:val="21"/>
              </w:rPr>
              <w:t>三、服务人员配备方案（满分1</w:t>
            </w:r>
            <w:r>
              <w:rPr>
                <w:rFonts w:ascii="宋体" w:hAnsi="宋体" w:eastAsia="宋体" w:cs="华文仿宋"/>
                <w:b/>
                <w:sz w:val="21"/>
                <w:szCs w:val="21"/>
              </w:rPr>
              <w:t>2</w:t>
            </w:r>
            <w:r>
              <w:rPr>
                <w:rFonts w:hint="eastAsia" w:ascii="宋体" w:hAnsi="宋体" w:eastAsia="宋体" w:cs="华文仿宋"/>
                <w:b/>
                <w:sz w:val="21"/>
                <w:szCs w:val="21"/>
              </w:rPr>
              <w:t>分）</w:t>
            </w:r>
          </w:p>
          <w:p w14:paraId="3292A31A">
            <w:pPr>
              <w:spacing w:line="320" w:lineRule="exact"/>
              <w:rPr>
                <w:rFonts w:ascii="宋体" w:hAnsi="宋体" w:eastAsia="宋体" w:cs="华文仿宋"/>
                <w:b/>
                <w:sz w:val="21"/>
                <w:szCs w:val="21"/>
              </w:rPr>
            </w:pPr>
            <w:bookmarkStart w:id="25" w:name="OLE_LINK34"/>
            <w:bookmarkStart w:id="26" w:name="OLE_LINK27"/>
            <w:r>
              <w:rPr>
                <w:rFonts w:hint="eastAsia" w:ascii="宋体" w:hAnsi="宋体" w:eastAsia="宋体" w:cs="华文仿宋"/>
                <w:b/>
                <w:sz w:val="21"/>
                <w:szCs w:val="21"/>
              </w:rPr>
              <w:t>（一）评审内容</w:t>
            </w:r>
          </w:p>
          <w:p w14:paraId="3E87DFF5">
            <w:pPr>
              <w:spacing w:line="320" w:lineRule="exact"/>
              <w:rPr>
                <w:rFonts w:ascii="宋体" w:hAnsi="宋体" w:eastAsia="宋体" w:cs="华文仿宋"/>
                <w:sz w:val="21"/>
                <w:szCs w:val="21"/>
              </w:rPr>
            </w:pPr>
            <w:r>
              <w:rPr>
                <w:rFonts w:hint="eastAsia" w:ascii="宋体" w:hAnsi="宋体" w:eastAsia="宋体" w:cs="华文仿宋"/>
                <w:sz w:val="21"/>
                <w:szCs w:val="21"/>
              </w:rPr>
              <w:t>针对本项目提供人员配备情况，包括管理组织机构架构、员工素质标准（包括不限于服务人员的年龄/学历/专业资格/职称,相关工作经验和所获荣誉等）。（以响应方案中《</w:t>
            </w:r>
            <w:r>
              <w:rPr>
                <w:rFonts w:ascii="宋体" w:hAnsi="宋体" w:eastAsia="宋体" w:cs="华文仿宋"/>
                <w:sz w:val="21"/>
                <w:szCs w:val="21"/>
              </w:rPr>
              <w:t>拟派项目团队及人员情况</w:t>
            </w:r>
            <w:r>
              <w:rPr>
                <w:rFonts w:hint="eastAsia" w:ascii="宋体" w:hAnsi="宋体" w:eastAsia="宋体" w:cs="华文仿宋"/>
                <w:sz w:val="21"/>
                <w:szCs w:val="21"/>
              </w:rPr>
              <w:t>表》为依据）</w:t>
            </w:r>
          </w:p>
          <w:p w14:paraId="7DA786BA">
            <w:pPr>
              <w:spacing w:line="320" w:lineRule="exact"/>
              <w:rPr>
                <w:rFonts w:ascii="宋体" w:hAnsi="宋体" w:eastAsia="宋体" w:cs="华文仿宋"/>
                <w:b/>
                <w:sz w:val="21"/>
                <w:szCs w:val="21"/>
              </w:rPr>
            </w:pPr>
            <w:r>
              <w:rPr>
                <w:rFonts w:hint="eastAsia" w:ascii="宋体" w:hAnsi="宋体" w:eastAsia="宋体" w:cs="华文仿宋"/>
                <w:b/>
                <w:sz w:val="21"/>
                <w:szCs w:val="21"/>
              </w:rPr>
              <w:t>（二）评审标准</w:t>
            </w:r>
          </w:p>
          <w:p w14:paraId="1EE88DC6">
            <w:pPr>
              <w:spacing w:line="320" w:lineRule="exact"/>
              <w:rPr>
                <w:rFonts w:ascii="宋体" w:hAnsi="宋体" w:eastAsia="宋体" w:cs="华文仿宋"/>
                <w:sz w:val="21"/>
                <w:szCs w:val="21"/>
              </w:rPr>
            </w:pPr>
            <w:r>
              <w:rPr>
                <w:rFonts w:hint="eastAsia" w:ascii="宋体" w:hAnsi="宋体" w:eastAsia="宋体" w:cs="华文仿宋"/>
                <w:sz w:val="21"/>
                <w:szCs w:val="21"/>
              </w:rPr>
              <w:t>1、完整性：组织机构的运行配备完善、各岗位人员分工明确合理。</w:t>
            </w:r>
          </w:p>
          <w:p w14:paraId="5A93B6AD">
            <w:pPr>
              <w:spacing w:line="320" w:lineRule="exact"/>
              <w:rPr>
                <w:rFonts w:ascii="宋体" w:hAnsi="宋体" w:eastAsia="宋体" w:cs="华文仿宋"/>
                <w:sz w:val="21"/>
                <w:szCs w:val="21"/>
              </w:rPr>
            </w:pPr>
            <w:r>
              <w:rPr>
                <w:rFonts w:hint="eastAsia" w:ascii="宋体" w:hAnsi="宋体" w:eastAsia="宋体" w:cs="华文仿宋"/>
                <w:sz w:val="21"/>
                <w:szCs w:val="21"/>
              </w:rPr>
              <w:t>2、针对性：人员数量充足，人员资格/年龄等符合采购需求；</w:t>
            </w:r>
          </w:p>
          <w:p w14:paraId="6FD3EB34">
            <w:pPr>
              <w:spacing w:line="320" w:lineRule="exact"/>
              <w:rPr>
                <w:rFonts w:ascii="宋体" w:hAnsi="宋体" w:eastAsia="宋体" w:cs="华文仿宋"/>
                <w:sz w:val="21"/>
                <w:szCs w:val="21"/>
              </w:rPr>
            </w:pPr>
            <w:r>
              <w:rPr>
                <w:rFonts w:hint="eastAsia" w:ascii="宋体" w:hAnsi="宋体" w:eastAsia="宋体" w:cs="华文仿宋"/>
                <w:sz w:val="21"/>
                <w:szCs w:val="21"/>
              </w:rPr>
              <w:t>3、专业性：人员相关岗位经验丰富，切合本项目实际情况。</w:t>
            </w:r>
          </w:p>
          <w:bookmarkEnd w:id="25"/>
          <w:bookmarkEnd w:id="26"/>
          <w:p w14:paraId="2FF31A5C">
            <w:pPr>
              <w:spacing w:line="320" w:lineRule="exact"/>
              <w:rPr>
                <w:rFonts w:ascii="宋体" w:hAnsi="宋体" w:eastAsia="宋体" w:cs="华文仿宋"/>
                <w:b/>
                <w:sz w:val="21"/>
                <w:szCs w:val="21"/>
              </w:rPr>
            </w:pPr>
            <w:r>
              <w:rPr>
                <w:rFonts w:hint="eastAsia" w:ascii="宋体" w:hAnsi="宋体" w:eastAsia="宋体" w:cs="华文仿宋"/>
                <w:b/>
                <w:sz w:val="21"/>
                <w:szCs w:val="21"/>
              </w:rPr>
              <w:t>（三）赋分标准</w:t>
            </w:r>
          </w:p>
          <w:p w14:paraId="1C4707A0">
            <w:pPr>
              <w:tabs>
                <w:tab w:val="left" w:pos="547"/>
              </w:tabs>
              <w:spacing w:line="400" w:lineRule="exact"/>
              <w:jc w:val="both"/>
              <w:rPr>
                <w:rFonts w:ascii="Calibri" w:hAnsi="宋体" w:eastAsia="宋体" w:cs="宋体"/>
                <w:sz w:val="21"/>
                <w:szCs w:val="21"/>
              </w:rPr>
            </w:pPr>
            <w:r>
              <w:rPr>
                <w:rFonts w:hint="eastAsia" w:ascii="宋体" w:hAnsi="宋体" w:eastAsia="宋体" w:cs="华文仿宋"/>
                <w:sz w:val="21"/>
                <w:szCs w:val="21"/>
              </w:rPr>
              <w:t>每完全满足一项评审标准得4分，满分12分。</w:t>
            </w:r>
          </w:p>
        </w:tc>
        <w:tc>
          <w:tcPr>
            <w:tcW w:w="1134" w:type="dxa"/>
            <w:shd w:val="clear" w:color="auto" w:fill="auto"/>
            <w:vAlign w:val="center"/>
          </w:tcPr>
          <w:p w14:paraId="6BFC548C">
            <w:pPr>
              <w:spacing w:line="400" w:lineRule="exact"/>
              <w:jc w:val="center"/>
              <w:rPr>
                <w:rFonts w:ascii="Calibri" w:hAnsi="宋体" w:eastAsia="宋体" w:cs="宋体"/>
                <w:bCs/>
                <w:color w:val="FF0000"/>
                <w:sz w:val="21"/>
                <w:szCs w:val="21"/>
              </w:rPr>
            </w:pPr>
          </w:p>
        </w:tc>
      </w:tr>
      <w:tr w14:paraId="5BD09D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E24F915">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2B74621D">
            <w:pPr>
              <w:spacing w:line="400" w:lineRule="exact"/>
              <w:jc w:val="center"/>
              <w:rPr>
                <w:rFonts w:ascii="Calibri" w:hAnsi="宋体" w:eastAsia="宋体" w:cs="宋体"/>
                <w:bCs/>
                <w:sz w:val="21"/>
                <w:szCs w:val="21"/>
              </w:rPr>
            </w:pPr>
          </w:p>
        </w:tc>
        <w:tc>
          <w:tcPr>
            <w:tcW w:w="860" w:type="dxa"/>
            <w:shd w:val="clear" w:color="auto" w:fill="auto"/>
            <w:vAlign w:val="center"/>
          </w:tcPr>
          <w:p w14:paraId="2AE4B0F4">
            <w:pPr>
              <w:spacing w:line="400" w:lineRule="exact"/>
              <w:jc w:val="center"/>
              <w:rPr>
                <w:rFonts w:ascii="Calibri" w:hAnsi="宋体" w:eastAsia="宋体" w:cs="宋体"/>
                <w:bCs/>
                <w:sz w:val="21"/>
                <w:szCs w:val="21"/>
              </w:rPr>
            </w:pPr>
            <w:r>
              <w:rPr>
                <w:rFonts w:hint="eastAsia" w:ascii="Calibri" w:hAnsi="宋体" w:eastAsia="宋体" w:cs="宋体"/>
                <w:bCs/>
                <w:sz w:val="21"/>
                <w:szCs w:val="21"/>
              </w:rPr>
              <w:t>3</w:t>
            </w:r>
          </w:p>
        </w:tc>
        <w:tc>
          <w:tcPr>
            <w:tcW w:w="6093" w:type="dxa"/>
            <w:shd w:val="clear" w:color="auto" w:fill="auto"/>
            <w:vAlign w:val="center"/>
          </w:tcPr>
          <w:p w14:paraId="22653FE2">
            <w:pPr>
              <w:tabs>
                <w:tab w:val="left" w:pos="547"/>
              </w:tabs>
              <w:spacing w:line="320" w:lineRule="exact"/>
              <w:rPr>
                <w:rFonts w:cs="仿宋" w:asciiTheme="minorEastAsia" w:hAnsiTheme="minorEastAsia"/>
                <w:b/>
                <w:color w:val="C00000"/>
                <w:sz w:val="21"/>
                <w:szCs w:val="21"/>
              </w:rPr>
            </w:pPr>
            <w:r>
              <w:rPr>
                <w:rFonts w:hint="eastAsia" w:cs="仿宋" w:asciiTheme="minorEastAsia" w:hAnsiTheme="minorEastAsia"/>
                <w:b/>
                <w:color w:val="C00000"/>
                <w:sz w:val="21"/>
                <w:szCs w:val="21"/>
              </w:rPr>
              <w:t>设备工具保障:</w:t>
            </w:r>
          </w:p>
          <w:p w14:paraId="21508045">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一、评审内容</w:t>
            </w:r>
          </w:p>
          <w:p w14:paraId="28558F44">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针对本项目特点提供设备工具配置清单，内容包含：</w:t>
            </w:r>
          </w:p>
          <w:p w14:paraId="7565E004">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①主要配置：物业服务设备、办公用品、作业机具、装备及耗材；</w:t>
            </w:r>
          </w:p>
          <w:p w14:paraId="6050021F">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②其他：保洁设备、人员服装及物业日常消耗品。</w:t>
            </w:r>
          </w:p>
          <w:p w14:paraId="786E4516">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二、评审标准</w:t>
            </w:r>
          </w:p>
          <w:p w14:paraId="395D576D">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1、完整性：工具配置清单齐全完整，能完全满足并提供评审内容中的各项要求；</w:t>
            </w:r>
          </w:p>
          <w:p w14:paraId="4CEFC2F2">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2、实用性：设备工具质量有保障、使用率高、安全性能强、服装统一；</w:t>
            </w:r>
          </w:p>
          <w:p w14:paraId="2516894B">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3、针对性：设备工具能紧扣项目实际情况，配置合理科学。</w:t>
            </w:r>
          </w:p>
          <w:p w14:paraId="6C9DD1BE">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三、赋分标准（满分3分）</w:t>
            </w:r>
          </w:p>
          <w:p w14:paraId="7D845B82">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①主要配置：每完全满足一项评审标准得0.5分，满分1.5分；</w:t>
            </w:r>
          </w:p>
          <w:p w14:paraId="59B7833C">
            <w:pPr>
              <w:spacing w:line="400" w:lineRule="exact"/>
              <w:jc w:val="both"/>
              <w:rPr>
                <w:rFonts w:ascii="Calibri" w:hAnsi="宋体" w:eastAsia="宋体"/>
                <w:sz w:val="21"/>
              </w:rPr>
            </w:pPr>
            <w:r>
              <w:rPr>
                <w:rFonts w:hint="eastAsia" w:cs="仿宋" w:asciiTheme="minorEastAsia" w:hAnsiTheme="minorEastAsia"/>
                <w:sz w:val="21"/>
                <w:szCs w:val="21"/>
              </w:rPr>
              <w:t>②其他：每完全满足一项评审标准得0.5分，满分1.5分。</w:t>
            </w:r>
          </w:p>
        </w:tc>
        <w:tc>
          <w:tcPr>
            <w:tcW w:w="1134" w:type="dxa"/>
            <w:shd w:val="clear" w:color="auto" w:fill="auto"/>
            <w:vAlign w:val="center"/>
          </w:tcPr>
          <w:p w14:paraId="70327C1F">
            <w:pPr>
              <w:spacing w:line="400" w:lineRule="exact"/>
              <w:jc w:val="center"/>
              <w:rPr>
                <w:rFonts w:ascii="Calibri" w:hAnsi="宋体" w:eastAsia="宋体" w:cs="宋体"/>
                <w:bCs/>
                <w:color w:val="FF0000"/>
                <w:sz w:val="21"/>
                <w:szCs w:val="21"/>
              </w:rPr>
            </w:pPr>
          </w:p>
        </w:tc>
      </w:tr>
      <w:tr w14:paraId="013447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D3B3652">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139FE107">
            <w:pPr>
              <w:spacing w:line="400" w:lineRule="exact"/>
              <w:jc w:val="center"/>
              <w:rPr>
                <w:rFonts w:ascii="Calibri" w:hAnsi="宋体" w:eastAsia="宋体" w:cs="宋体"/>
                <w:bCs/>
                <w:sz w:val="21"/>
                <w:szCs w:val="21"/>
              </w:rPr>
            </w:pPr>
          </w:p>
        </w:tc>
        <w:tc>
          <w:tcPr>
            <w:tcW w:w="860" w:type="dxa"/>
            <w:shd w:val="clear" w:color="auto" w:fill="auto"/>
            <w:vAlign w:val="center"/>
          </w:tcPr>
          <w:p w14:paraId="7788791F">
            <w:pPr>
              <w:spacing w:line="400" w:lineRule="exact"/>
              <w:jc w:val="center"/>
              <w:rPr>
                <w:rFonts w:ascii="Calibri" w:hAnsi="宋体" w:eastAsia="宋体" w:cs="宋体"/>
                <w:bCs/>
                <w:sz w:val="21"/>
                <w:szCs w:val="21"/>
              </w:rPr>
            </w:pPr>
            <w:r>
              <w:rPr>
                <w:rFonts w:ascii="Calibri" w:hAnsi="宋体" w:eastAsia="宋体" w:cs="宋体"/>
                <w:bCs/>
                <w:sz w:val="21"/>
                <w:szCs w:val="21"/>
              </w:rPr>
              <w:t>6</w:t>
            </w:r>
          </w:p>
        </w:tc>
        <w:tc>
          <w:tcPr>
            <w:tcW w:w="6093" w:type="dxa"/>
            <w:shd w:val="clear" w:color="auto" w:fill="auto"/>
            <w:vAlign w:val="center"/>
          </w:tcPr>
          <w:p w14:paraId="499B8137">
            <w:pPr>
              <w:tabs>
                <w:tab w:val="left" w:pos="547"/>
              </w:tabs>
              <w:spacing w:line="320" w:lineRule="exact"/>
              <w:rPr>
                <w:rFonts w:cs="仿宋" w:asciiTheme="minorEastAsia" w:hAnsiTheme="minorEastAsia"/>
                <w:b/>
                <w:color w:val="C00000"/>
                <w:sz w:val="21"/>
                <w:szCs w:val="21"/>
              </w:rPr>
            </w:pPr>
            <w:r>
              <w:rPr>
                <w:rFonts w:hint="eastAsia" w:cs="仿宋" w:asciiTheme="minorEastAsia" w:hAnsiTheme="minorEastAsia"/>
                <w:b/>
                <w:color w:val="C00000"/>
                <w:sz w:val="21"/>
                <w:szCs w:val="21"/>
              </w:rPr>
              <w:t>培训考核方案:</w:t>
            </w:r>
          </w:p>
          <w:p w14:paraId="6DB8E4A2">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一、评审内容</w:t>
            </w:r>
          </w:p>
          <w:p w14:paraId="692809E5">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针对本项目制定培训考核方案，方案内容包含:</w:t>
            </w:r>
          </w:p>
          <w:p w14:paraId="40107786">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①培训：针对不同的岗位职责、行为规范、服务礼仪及心理辅导等方面制定培训方案;</w:t>
            </w:r>
          </w:p>
          <w:p w14:paraId="52C627A5">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②考核：针对不同的岗位、制度及工作程序制定考核方案。</w:t>
            </w:r>
          </w:p>
          <w:p w14:paraId="16EBC839">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二、评审标准</w:t>
            </w:r>
          </w:p>
          <w:p w14:paraId="6E6D0008">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1、完整性：方案须全面，对评审内容中的各项要求有详细描述及说明；</w:t>
            </w:r>
          </w:p>
          <w:p w14:paraId="66A71E20">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2、可实施性：切合本项目实际情况，实施步骤清晰、合理；</w:t>
            </w:r>
          </w:p>
          <w:p w14:paraId="343BAF22">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3、针对性：方案能够紧扣项目实际情况，内容科学合理。</w:t>
            </w:r>
          </w:p>
          <w:p w14:paraId="70BA6857">
            <w:pPr>
              <w:tabs>
                <w:tab w:val="left" w:pos="547"/>
              </w:tabs>
              <w:autoSpaceDE w:val="0"/>
              <w:autoSpaceDN w:val="0"/>
              <w:adjustRightInd w:val="0"/>
              <w:snapToGrid w:val="0"/>
              <w:spacing w:line="320" w:lineRule="exact"/>
              <w:rPr>
                <w:rFonts w:cs="仿宋" w:asciiTheme="minorEastAsia" w:hAnsiTheme="minorEastAsia"/>
                <w:b/>
                <w:sz w:val="21"/>
                <w:szCs w:val="21"/>
              </w:rPr>
            </w:pPr>
            <w:r>
              <w:rPr>
                <w:rFonts w:hint="eastAsia" w:cs="仿宋" w:asciiTheme="minorEastAsia" w:hAnsiTheme="minorEastAsia"/>
                <w:b/>
                <w:sz w:val="21"/>
                <w:szCs w:val="21"/>
              </w:rPr>
              <w:t>三、赋分标准（满分6分）</w:t>
            </w:r>
          </w:p>
          <w:p w14:paraId="3A41CC44">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①培训：每完全满足一项评审标准得</w:t>
            </w:r>
            <w:r>
              <w:rPr>
                <w:rFonts w:cs="仿宋" w:asciiTheme="minorEastAsia" w:hAnsiTheme="minorEastAsia"/>
                <w:sz w:val="21"/>
                <w:szCs w:val="21"/>
              </w:rPr>
              <w:t>1</w:t>
            </w:r>
            <w:r>
              <w:rPr>
                <w:rFonts w:hint="eastAsia" w:cs="仿宋" w:asciiTheme="minorEastAsia" w:hAnsiTheme="minorEastAsia"/>
                <w:sz w:val="21"/>
                <w:szCs w:val="21"/>
              </w:rPr>
              <w:t>分，满分</w:t>
            </w:r>
            <w:r>
              <w:rPr>
                <w:rFonts w:cs="仿宋" w:asciiTheme="minorEastAsia" w:hAnsiTheme="minorEastAsia"/>
                <w:sz w:val="21"/>
                <w:szCs w:val="21"/>
              </w:rPr>
              <w:t>3</w:t>
            </w:r>
            <w:r>
              <w:rPr>
                <w:rFonts w:hint="eastAsia" w:cs="仿宋" w:asciiTheme="minorEastAsia" w:hAnsiTheme="minorEastAsia"/>
                <w:sz w:val="21"/>
                <w:szCs w:val="21"/>
              </w:rPr>
              <w:t>分；</w:t>
            </w:r>
          </w:p>
          <w:p w14:paraId="09460D85">
            <w:pPr>
              <w:spacing w:line="400" w:lineRule="exact"/>
              <w:jc w:val="both"/>
              <w:rPr>
                <w:rFonts w:ascii="Calibri" w:hAnsi="宋体" w:eastAsia="宋体"/>
                <w:sz w:val="21"/>
              </w:rPr>
            </w:pPr>
            <w:r>
              <w:rPr>
                <w:rFonts w:hint="eastAsia" w:cs="仿宋" w:asciiTheme="minorEastAsia" w:hAnsiTheme="minorEastAsia"/>
                <w:sz w:val="21"/>
                <w:szCs w:val="21"/>
              </w:rPr>
              <w:t>②考核:每完全满足一项评审标准得</w:t>
            </w:r>
            <w:r>
              <w:rPr>
                <w:rFonts w:cs="仿宋" w:asciiTheme="minorEastAsia" w:hAnsiTheme="minorEastAsia"/>
                <w:sz w:val="21"/>
                <w:szCs w:val="21"/>
              </w:rPr>
              <w:t>1</w:t>
            </w:r>
            <w:r>
              <w:rPr>
                <w:rFonts w:hint="eastAsia" w:cs="仿宋" w:asciiTheme="minorEastAsia" w:hAnsiTheme="minorEastAsia"/>
                <w:sz w:val="21"/>
                <w:szCs w:val="21"/>
              </w:rPr>
              <w:t>分，满分</w:t>
            </w:r>
            <w:r>
              <w:rPr>
                <w:rFonts w:cs="仿宋" w:asciiTheme="minorEastAsia" w:hAnsiTheme="minorEastAsia"/>
                <w:sz w:val="21"/>
                <w:szCs w:val="21"/>
              </w:rPr>
              <w:t>3</w:t>
            </w:r>
            <w:r>
              <w:rPr>
                <w:rFonts w:hint="eastAsia" w:cs="仿宋" w:asciiTheme="minorEastAsia" w:hAnsiTheme="minorEastAsia"/>
                <w:sz w:val="21"/>
                <w:szCs w:val="21"/>
              </w:rPr>
              <w:t>分。</w:t>
            </w:r>
          </w:p>
        </w:tc>
        <w:tc>
          <w:tcPr>
            <w:tcW w:w="1134" w:type="dxa"/>
            <w:shd w:val="clear" w:color="auto" w:fill="auto"/>
            <w:vAlign w:val="center"/>
          </w:tcPr>
          <w:p w14:paraId="5F815F5C">
            <w:pPr>
              <w:spacing w:line="400" w:lineRule="exact"/>
              <w:jc w:val="center"/>
              <w:rPr>
                <w:rFonts w:ascii="Calibri" w:hAnsi="宋体" w:eastAsia="宋体" w:cs="宋体"/>
                <w:bCs/>
                <w:color w:val="FF0000"/>
                <w:sz w:val="21"/>
                <w:szCs w:val="21"/>
              </w:rPr>
            </w:pPr>
          </w:p>
        </w:tc>
      </w:tr>
      <w:tr w14:paraId="20A6E7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DA8F097">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6522B5EF">
            <w:pPr>
              <w:spacing w:line="400" w:lineRule="exact"/>
              <w:jc w:val="center"/>
              <w:rPr>
                <w:rFonts w:ascii="Calibri" w:hAnsi="宋体" w:eastAsia="宋体" w:cs="宋体"/>
                <w:bCs/>
                <w:sz w:val="21"/>
                <w:szCs w:val="21"/>
              </w:rPr>
            </w:pPr>
          </w:p>
        </w:tc>
        <w:tc>
          <w:tcPr>
            <w:tcW w:w="860" w:type="dxa"/>
            <w:shd w:val="clear" w:color="auto" w:fill="auto"/>
            <w:vAlign w:val="center"/>
          </w:tcPr>
          <w:p w14:paraId="7FAA7866">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shd w:val="clear" w:color="auto" w:fill="auto"/>
            <w:vAlign w:val="center"/>
          </w:tcPr>
          <w:p w14:paraId="49D9D472">
            <w:pPr>
              <w:tabs>
                <w:tab w:val="left" w:pos="547"/>
              </w:tabs>
              <w:spacing w:line="320" w:lineRule="exact"/>
              <w:rPr>
                <w:rFonts w:cs="仿宋" w:asciiTheme="minorEastAsia" w:hAnsiTheme="minorEastAsia"/>
                <w:b/>
                <w:color w:val="C00000"/>
                <w:sz w:val="21"/>
                <w:szCs w:val="21"/>
              </w:rPr>
            </w:pPr>
            <w:r>
              <w:rPr>
                <w:rFonts w:hint="eastAsia" w:cs="仿宋" w:asciiTheme="minorEastAsia" w:hAnsiTheme="minorEastAsia"/>
                <w:b/>
                <w:color w:val="C00000"/>
                <w:sz w:val="21"/>
                <w:szCs w:val="21"/>
              </w:rPr>
              <w:t>承诺:</w:t>
            </w:r>
          </w:p>
          <w:p w14:paraId="44B7E8C3">
            <w:pPr>
              <w:tabs>
                <w:tab w:val="left" w:pos="547"/>
              </w:tabs>
              <w:autoSpaceDE w:val="0"/>
              <w:autoSpaceDN w:val="0"/>
              <w:adjustRightInd w:val="0"/>
              <w:snapToGrid w:val="0"/>
              <w:spacing w:line="320" w:lineRule="exact"/>
              <w:rPr>
                <w:rFonts w:cs="仿宋" w:asciiTheme="minorEastAsia" w:hAnsiTheme="minorEastAsia"/>
                <w:sz w:val="21"/>
                <w:szCs w:val="21"/>
              </w:rPr>
            </w:pPr>
            <w:r>
              <w:rPr>
                <w:rFonts w:hint="eastAsia" w:cs="仿宋" w:asciiTheme="minorEastAsia" w:hAnsiTheme="minorEastAsia"/>
                <w:sz w:val="21"/>
                <w:szCs w:val="21"/>
              </w:rPr>
              <w:t>1、接受采购人对本项目服务的考核、监督及管理，定期调研采购人对服务质量的满意度并加以改进，确保服务工作的优质高效，得3分。无承诺函不得分。</w:t>
            </w:r>
          </w:p>
          <w:p w14:paraId="5E696864">
            <w:pPr>
              <w:spacing w:line="400" w:lineRule="exact"/>
              <w:jc w:val="both"/>
              <w:rPr>
                <w:rFonts w:ascii="Calibri" w:hAnsi="宋体" w:eastAsia="宋体"/>
                <w:sz w:val="21"/>
              </w:rPr>
            </w:pPr>
            <w:r>
              <w:rPr>
                <w:rFonts w:hint="eastAsia" w:cs="仿宋" w:asciiTheme="minorEastAsia" w:hAnsiTheme="minorEastAsia"/>
                <w:sz w:val="21"/>
                <w:szCs w:val="21"/>
              </w:rPr>
              <w:t>2、上岗人员固定，不得随意更换，若出现服务人员因事、病等不能工作的，及时调整其他服务人员补充，确保服务工作的正常进行，得3分。无承诺函不得分。</w:t>
            </w:r>
          </w:p>
        </w:tc>
        <w:tc>
          <w:tcPr>
            <w:tcW w:w="1134" w:type="dxa"/>
            <w:shd w:val="clear" w:color="auto" w:fill="auto"/>
            <w:vAlign w:val="center"/>
          </w:tcPr>
          <w:p w14:paraId="0CD69F38">
            <w:pPr>
              <w:spacing w:line="400" w:lineRule="exact"/>
              <w:jc w:val="center"/>
              <w:rPr>
                <w:rFonts w:ascii="Calibri" w:hAnsi="宋体" w:eastAsia="宋体" w:cs="宋体"/>
                <w:bCs/>
                <w:color w:val="FF0000"/>
                <w:sz w:val="21"/>
                <w:szCs w:val="21"/>
              </w:rPr>
            </w:pPr>
          </w:p>
        </w:tc>
      </w:tr>
      <w:tr w14:paraId="1D8016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E0B461B">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518D4D47">
            <w:pPr>
              <w:spacing w:line="400" w:lineRule="exact"/>
              <w:jc w:val="center"/>
              <w:rPr>
                <w:rFonts w:ascii="Calibri" w:hAnsi="宋体" w:eastAsia="宋体" w:cs="宋体"/>
                <w:bCs/>
                <w:sz w:val="21"/>
                <w:szCs w:val="21"/>
              </w:rPr>
            </w:pPr>
          </w:p>
        </w:tc>
        <w:tc>
          <w:tcPr>
            <w:tcW w:w="860" w:type="dxa"/>
            <w:shd w:val="clear" w:color="auto" w:fill="auto"/>
            <w:vAlign w:val="center"/>
          </w:tcPr>
          <w:p w14:paraId="34DA83F8">
            <w:pPr>
              <w:spacing w:line="400" w:lineRule="exact"/>
              <w:jc w:val="center"/>
              <w:rPr>
                <w:rFonts w:ascii="Calibri" w:hAnsi="宋体" w:eastAsia="宋体" w:cs="宋体"/>
                <w:bCs/>
                <w:sz w:val="21"/>
                <w:szCs w:val="21"/>
              </w:rPr>
            </w:pPr>
            <w:r>
              <w:rPr>
                <w:rFonts w:hint="eastAsia" w:ascii="Calibri" w:hAnsi="宋体" w:eastAsia="宋体" w:cs="宋体"/>
                <w:bCs/>
                <w:sz w:val="21"/>
                <w:szCs w:val="21"/>
              </w:rPr>
              <w:t>5</w:t>
            </w:r>
          </w:p>
        </w:tc>
        <w:tc>
          <w:tcPr>
            <w:tcW w:w="6093" w:type="dxa"/>
            <w:shd w:val="clear" w:color="auto" w:fill="auto"/>
            <w:vAlign w:val="center"/>
          </w:tcPr>
          <w:p w14:paraId="3E059F81">
            <w:pPr>
              <w:tabs>
                <w:tab w:val="left" w:pos="547"/>
              </w:tabs>
              <w:spacing w:line="320" w:lineRule="exact"/>
              <w:jc w:val="both"/>
              <w:rPr>
                <w:rFonts w:ascii="宋体" w:hAnsi="宋体" w:eastAsia="宋体" w:cs="华文仿宋"/>
                <w:b/>
                <w:sz w:val="21"/>
                <w:szCs w:val="21"/>
              </w:rPr>
            </w:pPr>
            <w:bookmarkStart w:id="27" w:name="OLE_LINK53"/>
            <w:r>
              <w:rPr>
                <w:rFonts w:hint="eastAsia" w:cs="仿宋" w:asciiTheme="minorEastAsia" w:hAnsiTheme="minorEastAsia"/>
                <w:b/>
                <w:color w:val="C00000"/>
                <w:sz w:val="21"/>
                <w:szCs w:val="21"/>
              </w:rPr>
              <w:t>特色化服务方案</w:t>
            </w:r>
            <w:r>
              <w:rPr>
                <w:rFonts w:hint="eastAsia" w:ascii="宋体" w:hAnsi="宋体" w:eastAsia="宋体" w:cs="华文仿宋"/>
                <w:b/>
                <w:sz w:val="21"/>
                <w:szCs w:val="21"/>
              </w:rPr>
              <w:t>（满分</w:t>
            </w:r>
            <w:r>
              <w:rPr>
                <w:rFonts w:ascii="宋体" w:hAnsi="宋体" w:eastAsia="宋体" w:cs="华文仿宋"/>
                <w:b/>
                <w:sz w:val="21"/>
                <w:szCs w:val="21"/>
              </w:rPr>
              <w:t>5分）</w:t>
            </w:r>
          </w:p>
          <w:p w14:paraId="78C4EC9B">
            <w:pPr>
              <w:tabs>
                <w:tab w:val="left" w:pos="547"/>
              </w:tabs>
              <w:spacing w:line="320" w:lineRule="exact"/>
              <w:rPr>
                <w:rFonts w:cs="仿宋" w:asciiTheme="minorEastAsia" w:hAnsiTheme="minorEastAsia"/>
                <w:b/>
                <w:color w:val="C00000"/>
                <w:sz w:val="21"/>
                <w:szCs w:val="21"/>
              </w:rPr>
            </w:pPr>
            <w:r>
              <w:rPr>
                <w:rFonts w:hint="eastAsia" w:ascii="宋体" w:hAnsi="宋体" w:eastAsia="宋体" w:cs="华文仿宋"/>
                <w:sz w:val="21"/>
                <w:szCs w:val="21"/>
              </w:rPr>
              <w:t>每提供一个适用于采购单位情况</w:t>
            </w:r>
            <w:r>
              <w:rPr>
                <w:rFonts w:ascii="宋体" w:hAnsi="宋体" w:eastAsia="宋体" w:cs="华文仿宋"/>
                <w:sz w:val="21"/>
                <w:szCs w:val="21"/>
              </w:rPr>
              <w:t>，</w:t>
            </w:r>
            <w:r>
              <w:rPr>
                <w:rFonts w:hint="eastAsia" w:ascii="宋体" w:hAnsi="宋体" w:eastAsia="宋体" w:cs="华文仿宋"/>
                <w:sz w:val="21"/>
                <w:szCs w:val="21"/>
              </w:rPr>
              <w:t>服务内容详细，便于实施可操作性强且能提升服务水平的方案，得2</w:t>
            </w:r>
            <w:r>
              <w:rPr>
                <w:rFonts w:ascii="宋体" w:hAnsi="宋体" w:eastAsia="宋体" w:cs="华文仿宋"/>
                <w:sz w:val="21"/>
                <w:szCs w:val="21"/>
              </w:rPr>
              <w:t>.5</w:t>
            </w:r>
            <w:r>
              <w:rPr>
                <w:rFonts w:hint="eastAsia" w:ascii="宋体" w:hAnsi="宋体" w:eastAsia="宋体" w:cs="华文仿宋"/>
                <w:sz w:val="21"/>
                <w:szCs w:val="21"/>
              </w:rPr>
              <w:t>分，</w:t>
            </w:r>
            <w:r>
              <w:rPr>
                <w:rFonts w:hint="eastAsia" w:cs="仿宋" w:asciiTheme="minorEastAsia" w:hAnsiTheme="minorEastAsia"/>
                <w:sz w:val="21"/>
                <w:szCs w:val="21"/>
              </w:rPr>
              <w:t>满分5分</w:t>
            </w:r>
            <w:r>
              <w:rPr>
                <w:rFonts w:hint="eastAsia" w:ascii="宋体" w:hAnsi="宋体" w:eastAsia="宋体" w:cs="华文仿宋"/>
                <w:sz w:val="21"/>
                <w:szCs w:val="21"/>
              </w:rPr>
              <w:t>。</w:t>
            </w:r>
            <w:bookmarkEnd w:id="27"/>
          </w:p>
        </w:tc>
        <w:tc>
          <w:tcPr>
            <w:tcW w:w="1134" w:type="dxa"/>
            <w:shd w:val="clear" w:color="auto" w:fill="auto"/>
            <w:vAlign w:val="center"/>
          </w:tcPr>
          <w:p w14:paraId="35B5E0DC">
            <w:pPr>
              <w:spacing w:line="400" w:lineRule="exact"/>
              <w:jc w:val="center"/>
              <w:rPr>
                <w:rFonts w:ascii="Calibri" w:hAnsi="宋体" w:eastAsia="宋体" w:cs="宋体"/>
                <w:bCs/>
                <w:color w:val="FF0000"/>
                <w:sz w:val="21"/>
                <w:szCs w:val="21"/>
              </w:rPr>
            </w:pPr>
          </w:p>
        </w:tc>
      </w:tr>
      <w:tr w14:paraId="4FED5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55F70611">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00B0AD58">
            <w:pPr>
              <w:spacing w:line="400" w:lineRule="exact"/>
              <w:jc w:val="center"/>
              <w:rPr>
                <w:rFonts w:ascii="Calibri" w:hAnsi="宋体" w:eastAsia="宋体" w:cs="宋体"/>
                <w:bCs/>
                <w:sz w:val="21"/>
                <w:szCs w:val="21"/>
              </w:rPr>
            </w:pPr>
          </w:p>
        </w:tc>
        <w:tc>
          <w:tcPr>
            <w:tcW w:w="860" w:type="dxa"/>
            <w:shd w:val="clear" w:color="auto" w:fill="auto"/>
            <w:vAlign w:val="center"/>
          </w:tcPr>
          <w:p w14:paraId="14F6C36A">
            <w:pPr>
              <w:spacing w:line="400" w:lineRule="exact"/>
              <w:jc w:val="center"/>
              <w:rPr>
                <w:rFonts w:ascii="Calibri" w:hAnsi="宋体" w:eastAsia="宋体" w:cs="宋体"/>
                <w:bCs/>
                <w:sz w:val="21"/>
                <w:szCs w:val="21"/>
              </w:rPr>
            </w:pPr>
            <w:r>
              <w:rPr>
                <w:rFonts w:hint="eastAsia" w:ascii="Calibri" w:hAnsi="宋体" w:eastAsia="宋体" w:cs="宋体"/>
                <w:bCs/>
                <w:sz w:val="21"/>
                <w:szCs w:val="21"/>
              </w:rPr>
              <w:t>5</w:t>
            </w:r>
          </w:p>
        </w:tc>
        <w:tc>
          <w:tcPr>
            <w:tcW w:w="6093" w:type="dxa"/>
            <w:shd w:val="clear" w:color="auto" w:fill="auto"/>
            <w:vAlign w:val="center"/>
          </w:tcPr>
          <w:p w14:paraId="59B3870F">
            <w:pPr>
              <w:spacing w:line="320" w:lineRule="exact"/>
              <w:jc w:val="both"/>
              <w:rPr>
                <w:rFonts w:cs="仿宋" w:asciiTheme="minorEastAsia" w:hAnsiTheme="minorEastAsia"/>
                <w:b/>
                <w:color w:val="C00000"/>
                <w:sz w:val="21"/>
                <w:szCs w:val="21"/>
              </w:rPr>
            </w:pPr>
            <w:r>
              <w:rPr>
                <w:rFonts w:cs="仿宋" w:asciiTheme="minorEastAsia" w:hAnsiTheme="minorEastAsia"/>
                <w:b/>
                <w:color w:val="C00000"/>
                <w:sz w:val="21"/>
                <w:szCs w:val="21"/>
              </w:rPr>
              <w:t>业绩</w:t>
            </w:r>
            <w:r>
              <w:rPr>
                <w:rFonts w:hint="eastAsia" w:cs="仿宋" w:asciiTheme="minorEastAsia" w:hAnsiTheme="minorEastAsia"/>
                <w:b/>
                <w:color w:val="C00000"/>
                <w:sz w:val="21"/>
                <w:szCs w:val="21"/>
              </w:rPr>
              <w:t>:</w:t>
            </w:r>
          </w:p>
          <w:p w14:paraId="57512FB7">
            <w:pPr>
              <w:tabs>
                <w:tab w:val="left" w:pos="547"/>
              </w:tabs>
              <w:kinsoku w:val="0"/>
              <w:autoSpaceDE w:val="0"/>
              <w:autoSpaceDN w:val="0"/>
              <w:adjustRightInd w:val="0"/>
              <w:spacing w:line="320" w:lineRule="exact"/>
              <w:rPr>
                <w:rFonts w:ascii="宋体" w:hAnsi="宋体" w:eastAsia="宋体"/>
                <w:sz w:val="21"/>
                <w:szCs w:val="21"/>
              </w:rPr>
            </w:pPr>
            <w:r>
              <w:rPr>
                <w:rFonts w:hint="eastAsia" w:ascii="宋体" w:hAnsi="宋体" w:eastAsia="宋体"/>
                <w:sz w:val="21"/>
                <w:szCs w:val="21"/>
              </w:rPr>
              <w:t>投标供应商须提供202</w:t>
            </w:r>
            <w:r>
              <w:rPr>
                <w:rFonts w:ascii="宋体" w:hAnsi="宋体" w:eastAsia="宋体"/>
                <w:sz w:val="21"/>
                <w:szCs w:val="21"/>
              </w:rPr>
              <w:t>2</w:t>
            </w:r>
            <w:r>
              <w:rPr>
                <w:rFonts w:hint="eastAsia" w:ascii="宋体" w:hAnsi="宋体" w:eastAsia="宋体"/>
                <w:sz w:val="21"/>
                <w:szCs w:val="21"/>
              </w:rPr>
              <w:t>年1月1日以来类似项目合同业绩（以加盖供应商公章或</w:t>
            </w:r>
            <w:r>
              <w:rPr>
                <w:rFonts w:ascii="宋体" w:hAnsi="宋体" w:eastAsia="宋体"/>
                <w:sz w:val="21"/>
                <w:szCs w:val="21"/>
              </w:rPr>
              <w:t>合同章</w:t>
            </w:r>
            <w:r>
              <w:rPr>
                <w:rFonts w:hint="eastAsia" w:ascii="宋体" w:hAnsi="宋体" w:eastAsia="宋体"/>
                <w:sz w:val="21"/>
                <w:szCs w:val="21"/>
              </w:rPr>
              <w:t>的合同关键页扫描件为计分依据，时间以合同签订日期为准），每提供一个合格业绩得1分，最高5</w:t>
            </w:r>
            <w:r>
              <w:rPr>
                <w:rFonts w:ascii="宋体" w:hAnsi="宋体" w:eastAsia="宋体"/>
                <w:sz w:val="21"/>
                <w:szCs w:val="21"/>
              </w:rPr>
              <w:t>分</w:t>
            </w:r>
            <w:r>
              <w:rPr>
                <w:rFonts w:hint="eastAsia" w:ascii="宋体" w:hAnsi="宋体" w:eastAsia="宋体"/>
                <w:sz w:val="21"/>
                <w:szCs w:val="21"/>
              </w:rPr>
              <w:t>。不提供不得分。合同关键页须包括首页、金额页、加盖甲乙双方公章或</w:t>
            </w:r>
            <w:r>
              <w:rPr>
                <w:rFonts w:ascii="宋体" w:hAnsi="宋体" w:eastAsia="宋体"/>
                <w:sz w:val="21"/>
                <w:szCs w:val="21"/>
              </w:rPr>
              <w:t>合同章</w:t>
            </w:r>
            <w:r>
              <w:rPr>
                <w:rFonts w:hint="eastAsia" w:ascii="宋体" w:hAnsi="宋体" w:eastAsia="宋体"/>
                <w:sz w:val="21"/>
                <w:szCs w:val="21"/>
              </w:rPr>
              <w:t>的合同关键页。</w:t>
            </w:r>
          </w:p>
          <w:p w14:paraId="60A058CB">
            <w:pPr>
              <w:spacing w:line="400" w:lineRule="exact"/>
              <w:jc w:val="both"/>
              <w:rPr>
                <w:rFonts w:ascii="Calibri" w:hAnsi="宋体" w:eastAsia="宋体"/>
                <w:sz w:val="21"/>
              </w:rPr>
            </w:pPr>
            <w:r>
              <w:rPr>
                <w:rFonts w:ascii="宋体" w:hAnsi="宋体" w:eastAsia="宋体"/>
                <w:sz w:val="21"/>
                <w:szCs w:val="21"/>
              </w:rPr>
              <w:t>注：多</w:t>
            </w:r>
            <w:r>
              <w:rPr>
                <w:rFonts w:hint="eastAsia" w:ascii="宋体" w:hAnsi="宋体" w:eastAsia="宋体"/>
                <w:sz w:val="21"/>
                <w:szCs w:val="21"/>
              </w:rPr>
              <w:t>份</w:t>
            </w:r>
            <w:r>
              <w:rPr>
                <w:rFonts w:ascii="宋体" w:hAnsi="宋体" w:eastAsia="宋体"/>
                <w:sz w:val="21"/>
                <w:szCs w:val="21"/>
              </w:rPr>
              <w:t>业绩</w:t>
            </w:r>
            <w:r>
              <w:rPr>
                <w:rFonts w:hint="eastAsia" w:ascii="宋体" w:hAnsi="宋体" w:eastAsia="宋体"/>
                <w:sz w:val="21"/>
                <w:szCs w:val="21"/>
              </w:rPr>
              <w:t>为</w:t>
            </w:r>
            <w:r>
              <w:rPr>
                <w:rFonts w:ascii="宋体" w:hAnsi="宋体" w:eastAsia="宋体"/>
                <w:sz w:val="21"/>
                <w:szCs w:val="21"/>
              </w:rPr>
              <w:t>同一</w:t>
            </w:r>
            <w:r>
              <w:rPr>
                <w:rFonts w:hint="eastAsia" w:ascii="宋体" w:hAnsi="宋体" w:eastAsia="宋体"/>
                <w:sz w:val="21"/>
                <w:szCs w:val="21"/>
              </w:rPr>
              <w:t>采购人的</w:t>
            </w:r>
            <w:r>
              <w:rPr>
                <w:rFonts w:ascii="宋体" w:hAnsi="宋体" w:eastAsia="宋体"/>
                <w:sz w:val="21"/>
                <w:szCs w:val="21"/>
              </w:rPr>
              <w:t>分值</w:t>
            </w:r>
            <w:r>
              <w:rPr>
                <w:rFonts w:hint="eastAsia" w:ascii="宋体" w:hAnsi="宋体" w:eastAsia="宋体"/>
                <w:sz w:val="21"/>
                <w:szCs w:val="21"/>
              </w:rPr>
              <w:t>不累计</w:t>
            </w:r>
            <w:r>
              <w:rPr>
                <w:rFonts w:ascii="宋体" w:hAnsi="宋体" w:eastAsia="宋体"/>
                <w:sz w:val="21"/>
                <w:szCs w:val="21"/>
              </w:rPr>
              <w:t>，仅按一份业绩计分。</w:t>
            </w:r>
          </w:p>
        </w:tc>
        <w:tc>
          <w:tcPr>
            <w:tcW w:w="1134" w:type="dxa"/>
            <w:shd w:val="clear" w:color="auto" w:fill="auto"/>
            <w:vAlign w:val="center"/>
          </w:tcPr>
          <w:p w14:paraId="027B515F">
            <w:pPr>
              <w:spacing w:line="400" w:lineRule="exact"/>
              <w:jc w:val="center"/>
              <w:rPr>
                <w:rFonts w:ascii="Calibri" w:hAnsi="宋体" w:eastAsia="宋体" w:cs="宋体"/>
                <w:bCs/>
                <w:color w:val="FF0000"/>
                <w:sz w:val="21"/>
                <w:szCs w:val="21"/>
              </w:rPr>
            </w:pPr>
          </w:p>
        </w:tc>
      </w:tr>
      <w:tr w14:paraId="23C981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5E96D8C8">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5C076C10">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14:paraId="74BE42EB">
      <w:pPr>
        <w:pStyle w:val="84"/>
        <w:ind w:firstLine="0" w:firstLineChars="0"/>
        <w:rPr>
          <w:b/>
        </w:rPr>
      </w:pPr>
    </w:p>
    <w:p w14:paraId="421A1EB1">
      <w:pPr>
        <w:pStyle w:val="84"/>
        <w:ind w:firstLine="482"/>
        <w:rPr>
          <w:b/>
        </w:rPr>
      </w:pPr>
      <w:r>
        <w:rPr>
          <w:b/>
        </w:rPr>
        <w:t>（七）推荐成交候选人并编写评审报告</w:t>
      </w:r>
    </w:p>
    <w:p w14:paraId="7F1846BC">
      <w:pPr>
        <w:pStyle w:val="84"/>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615EA3B7">
      <w:pPr>
        <w:pStyle w:val="84"/>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BB826B">
      <w:pPr>
        <w:pStyle w:val="3"/>
      </w:pPr>
      <w:r>
        <w:t>七、成交</w:t>
      </w:r>
    </w:p>
    <w:p w14:paraId="6286FBAA">
      <w:pPr>
        <w:pStyle w:val="84"/>
        <w:ind w:firstLine="480"/>
      </w:pPr>
      <w:r>
        <w:rPr>
          <w:rFonts w:hint="eastAsia"/>
        </w:rPr>
        <w:t>1</w:t>
      </w:r>
      <w:r>
        <w:rPr>
          <w:rFonts w:hint="eastAsia"/>
          <w:color w:val="auto"/>
        </w:rPr>
        <w:t>．</w:t>
      </w:r>
      <w:r>
        <w:t>采购代理机构在评审工作结束后2个工作日内，将评审报告送采购人确认。</w:t>
      </w:r>
    </w:p>
    <w:p w14:paraId="6F719CD2">
      <w:pPr>
        <w:pStyle w:val="84"/>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9A0BFD">
      <w:pPr>
        <w:pStyle w:val="84"/>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4"/>
          <w:color w:val="auto"/>
        </w:rPr>
        <w:t>】</w:t>
      </w:r>
      <w:r>
        <w:t>（</w:t>
      </w:r>
      <w:r>
        <w:fldChar w:fldCharType="begin"/>
      </w:r>
      <w:r>
        <w:instrText xml:space="preserve"> HYPERLINK "http://www.ccgp-shaanxi.gov.cn/" </w:instrText>
      </w:r>
      <w:r>
        <w:fldChar w:fldCharType="separate"/>
      </w:r>
      <w:r>
        <w:rPr>
          <w:rStyle w:val="34"/>
          <w:color w:val="0070C0"/>
        </w:rPr>
        <w:t>http://www.ccgp-shaanxi.gov.cn</w:t>
      </w:r>
      <w:r>
        <w:rPr>
          <w:rStyle w:val="34"/>
          <w:rFonts w:hint="eastAsia"/>
          <w:color w:val="0070C0"/>
        </w:rPr>
        <w:t>/</w:t>
      </w:r>
      <w:r>
        <w:rPr>
          <w:rStyle w:val="34"/>
          <w:rFonts w:hint="eastAsia"/>
          <w:color w:val="0070C0"/>
        </w:rPr>
        <w:fldChar w:fldCharType="end"/>
      </w:r>
      <w:r>
        <w:t>）上公布成交结果。成交公告期限为1个工作日。</w:t>
      </w:r>
    </w:p>
    <w:p w14:paraId="54CAD1BC">
      <w:pPr>
        <w:pStyle w:val="84"/>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03DCF7A3">
      <w:pPr>
        <w:pStyle w:val="84"/>
        <w:ind w:firstLine="480"/>
      </w:pPr>
      <w:r>
        <w:rPr>
          <w:color w:val="auto"/>
        </w:rPr>
        <w:t>5</w:t>
      </w:r>
      <w:r>
        <w:rPr>
          <w:rFonts w:hint="eastAsia"/>
          <w:color w:val="auto"/>
        </w:rPr>
        <w:t>．</w:t>
      </w:r>
      <w:r>
        <w:rPr>
          <w:rFonts w:hint="eastAsia"/>
        </w:rPr>
        <w:t>采购代理机构按照相关规定将评审报告送同级政府采购监管部门备案。</w:t>
      </w:r>
    </w:p>
    <w:p w14:paraId="4F14CFA0">
      <w:pPr>
        <w:pStyle w:val="3"/>
      </w:pPr>
      <w:r>
        <w:t>八、合同签订、履行及验收</w:t>
      </w:r>
    </w:p>
    <w:p w14:paraId="6C6E1BCB">
      <w:pPr>
        <w:pStyle w:val="84"/>
        <w:ind w:firstLine="480"/>
      </w:pPr>
      <w:r>
        <w:t>磋商文件、响应文件、澄清、补充合同等为政府采购合同的组成部分，具有同等法律效力。</w:t>
      </w:r>
    </w:p>
    <w:p w14:paraId="572D1F73">
      <w:pPr>
        <w:pStyle w:val="4"/>
        <w:ind w:firstLine="482"/>
      </w:pPr>
      <w:r>
        <w:t>（一）签订政府采购合同</w:t>
      </w:r>
    </w:p>
    <w:p w14:paraId="791C5D69">
      <w:pPr>
        <w:pStyle w:val="84"/>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50386ECB">
      <w:pPr>
        <w:pStyle w:val="84"/>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1FFF4015">
      <w:pPr>
        <w:pStyle w:val="84"/>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1E4A3368">
      <w:pPr>
        <w:pStyle w:val="84"/>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1FA2E517">
      <w:pPr>
        <w:pStyle w:val="84"/>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473B61B2">
      <w:pPr>
        <w:pStyle w:val="4"/>
        <w:ind w:firstLine="482"/>
      </w:pPr>
      <w:r>
        <w:t>（二）合同公示</w:t>
      </w:r>
    </w:p>
    <w:p w14:paraId="4C1FC84C">
      <w:pPr>
        <w:pStyle w:val="84"/>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4"/>
        </w:rPr>
        <w:t>http://www.ccgp-shaanxi.gov.cn/</w:t>
      </w:r>
      <w:r>
        <w:rPr>
          <w:rStyle w:val="34"/>
        </w:rPr>
        <w:fldChar w:fldCharType="end"/>
      </w:r>
      <w:r>
        <w:rPr>
          <w:rFonts w:hint="eastAsia"/>
        </w:rPr>
        <w:t>）对合同进行公示，但政府采购合同中涉及国家秘密、商业秘密的内容除外。</w:t>
      </w:r>
    </w:p>
    <w:p w14:paraId="7A53F541">
      <w:pPr>
        <w:pStyle w:val="4"/>
        <w:ind w:firstLine="482"/>
      </w:pPr>
      <w:r>
        <w:t>（三）合同履行</w:t>
      </w:r>
    </w:p>
    <w:p w14:paraId="01F4C32A">
      <w:pPr>
        <w:pStyle w:val="84"/>
        <w:ind w:firstLine="480"/>
        <w:rPr>
          <w:color w:val="auto"/>
        </w:rPr>
      </w:pPr>
      <w:r>
        <w:rPr>
          <w:rFonts w:hint="eastAsia"/>
        </w:rPr>
        <w:t>1</w:t>
      </w:r>
      <w:r>
        <w:rPr>
          <w:rFonts w:hint="eastAsia"/>
          <w:color w:val="auto"/>
        </w:rPr>
        <w:t>．采购人与成交供应商应当根据合同的约定依法履行合同义务。</w:t>
      </w:r>
    </w:p>
    <w:p w14:paraId="25EFE22C">
      <w:pPr>
        <w:pStyle w:val="84"/>
        <w:ind w:firstLine="480"/>
      </w:pPr>
      <w:r>
        <w:rPr>
          <w:rFonts w:hint="eastAsia"/>
          <w:color w:val="auto"/>
        </w:rPr>
        <w:t>2．政府采购合同的履行、违约责任和解决争议的方法等适用《中华人民共和国民法典》。</w:t>
      </w:r>
    </w:p>
    <w:p w14:paraId="7EC48980">
      <w:pPr>
        <w:pStyle w:val="4"/>
        <w:ind w:firstLine="482"/>
      </w:pPr>
      <w:r>
        <w:t>（四）验收或考核</w:t>
      </w:r>
    </w:p>
    <w:p w14:paraId="54DBEA56">
      <w:pPr>
        <w:pStyle w:val="84"/>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13B9C262">
      <w:pPr>
        <w:pStyle w:val="84"/>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5862D49C">
      <w:pPr>
        <w:pStyle w:val="3"/>
      </w:pPr>
      <w:r>
        <w:t>九、其他</w:t>
      </w:r>
    </w:p>
    <w:p w14:paraId="6283488D">
      <w:pPr>
        <w:pStyle w:val="84"/>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618327EE">
      <w:pPr>
        <w:pStyle w:val="84"/>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7F9FC613">
      <w:pPr>
        <w:pStyle w:val="84"/>
        <w:ind w:firstLine="480"/>
      </w:pPr>
      <w:r>
        <w:t>3</w:t>
      </w:r>
      <w:r>
        <w:rPr>
          <w:rFonts w:hint="eastAsia"/>
        </w:rPr>
        <w:t>．出现下列情形之一的，采购人或者采购代理机构应当终止竞争性磋商采购活动，发布项目终止公告并说明原因，重新开展采购活动：</w:t>
      </w:r>
    </w:p>
    <w:p w14:paraId="2F7EC755">
      <w:pPr>
        <w:pStyle w:val="84"/>
        <w:ind w:firstLine="480"/>
      </w:pPr>
      <w:r>
        <w:rPr>
          <w:rFonts w:hint="eastAsia"/>
        </w:rPr>
        <w:t>（1）因情况变化，不再符合规定的竞争性磋商采购方式适用情形的；</w:t>
      </w:r>
    </w:p>
    <w:p w14:paraId="2DB1C83E">
      <w:pPr>
        <w:pStyle w:val="84"/>
        <w:ind w:firstLine="480"/>
      </w:pPr>
      <w:r>
        <w:rPr>
          <w:rFonts w:hint="eastAsia"/>
        </w:rPr>
        <w:t>（2）出现影响采购公正的违法、违规行为的；</w:t>
      </w:r>
    </w:p>
    <w:p w14:paraId="185BCD7D">
      <w:pPr>
        <w:pStyle w:val="84"/>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14E6FB85">
      <w:pPr>
        <w:pStyle w:val="84"/>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7C4BDF40">
      <w:pPr>
        <w:pStyle w:val="84"/>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05C09476">
      <w:pPr>
        <w:pStyle w:val="84"/>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480C303C">
      <w:pPr>
        <w:pStyle w:val="84"/>
        <w:ind w:firstLine="0" w:firstLineChars="0"/>
      </w:pPr>
    </w:p>
    <w:p w14:paraId="394E9420">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14:paraId="16955B61">
      <w:pPr>
        <w:pStyle w:val="2"/>
        <w:spacing w:before="230" w:after="230"/>
      </w:pPr>
      <w:bookmarkStart w:id="28" w:name="_Toc100219614"/>
      <w:r>
        <w:rPr>
          <w:rFonts w:hint="eastAsia"/>
        </w:rPr>
        <w:t>第三章　磋商内容及要求</w:t>
      </w:r>
      <w:bookmarkEnd w:id="28"/>
    </w:p>
    <w:p w14:paraId="7ADF6436">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71472DC">
      <w:pPr>
        <w:pStyle w:val="3"/>
        <w:jc w:val="both"/>
      </w:pPr>
      <w:r>
        <w:rPr>
          <w:rFonts w:hint="eastAsia"/>
        </w:rPr>
        <w:t>一、项目概况</w:t>
      </w:r>
    </w:p>
    <w:p w14:paraId="16875CE2">
      <w:pPr>
        <w:pStyle w:val="43"/>
        <w:spacing w:before="230" w:after="230"/>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1、项目地址位于西安市振兴路137号院，服务范围主要包含：1号办公楼1-6层（3958平方米）、2号办公楼1-</w:t>
      </w:r>
      <w:r>
        <w:rPr>
          <w:rFonts w:ascii="Calibri" w:hAnsi="Calibri" w:eastAsia="宋体" w:cstheme="minorHAnsi"/>
          <w:color w:val="000000"/>
          <w:kern w:val="24"/>
          <w:sz w:val="24"/>
          <w:szCs w:val="24"/>
        </w:rPr>
        <w:t>4</w:t>
      </w:r>
      <w:r>
        <w:rPr>
          <w:rFonts w:hint="eastAsia" w:ascii="Calibri" w:hAnsi="Calibri" w:eastAsia="宋体" w:cstheme="minorHAnsi"/>
          <w:color w:val="000000"/>
          <w:kern w:val="24"/>
          <w:sz w:val="24"/>
          <w:szCs w:val="24"/>
        </w:rPr>
        <w:t>层（3093平方米）群众办事服务厅1-2层（2535平方米）、院落（9137.15平方米），总建筑面积18723.15㎡，保洁面积：44983.84㎡。</w:t>
      </w:r>
    </w:p>
    <w:p w14:paraId="62030059">
      <w:pPr>
        <w:snapToGrid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2、采购人拥有与物业管理服务有关的且可以无偿提供给供应商在本项目中使用的设施、设备、材料、场地：</w:t>
      </w:r>
    </w:p>
    <w:p w14:paraId="283143A7">
      <w:pPr>
        <w:widowControl w:val="0"/>
        <w:numPr>
          <w:ilvl w:val="0"/>
          <w:numId w:val="4"/>
        </w:numPr>
        <w:snapToGrid w:val="0"/>
        <w:spacing w:line="4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采购人可提供的办公室：1间（30㎡），配备茶水柜1个、文件柜3个、办公桌椅3套；</w:t>
      </w:r>
    </w:p>
    <w:p w14:paraId="04FD3809">
      <w:pPr>
        <w:widowControl w:val="0"/>
        <w:numPr>
          <w:ilvl w:val="0"/>
          <w:numId w:val="4"/>
        </w:numPr>
        <w:snapToGrid w:val="0"/>
        <w:spacing w:line="4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购人可提供的物业管理服务设备：高压水枪1台，用于洗车服务；</w:t>
      </w:r>
    </w:p>
    <w:p w14:paraId="015B66FF">
      <w:pPr>
        <w:snapToGrid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（3）采购人可提供食堂，餐费由供应商自理；</w:t>
      </w:r>
    </w:p>
    <w:p w14:paraId="2A8B012E">
      <w:pPr>
        <w:snapToGrid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（4）采购人可提供的住宿：宿舍3间，床位数8个/间（共24个），挂式空调1台/间（共3台），茶水柜1个/间（共3个），储物柜2个/间（共6个）桌椅1套/间（共3套）。</w:t>
      </w:r>
    </w:p>
    <w:p w14:paraId="31B91290">
      <w:pPr>
        <w:pStyle w:val="3"/>
        <w:jc w:val="both"/>
      </w:pPr>
      <w:r>
        <w:rPr>
          <w:rFonts w:hint="eastAsia"/>
        </w:rPr>
        <w:t>二</w:t>
      </w:r>
      <w:r>
        <w:t>、服务</w:t>
      </w:r>
      <w:r>
        <w:rPr>
          <w:rFonts w:hint="eastAsia"/>
        </w:rPr>
        <w:t>内容</w:t>
      </w:r>
    </w:p>
    <w:p w14:paraId="2409DCEB">
      <w:pPr>
        <w:pStyle w:val="84"/>
        <w:ind w:firstLine="482"/>
        <w:rPr>
          <w:b/>
        </w:rPr>
      </w:pPr>
      <w:r>
        <w:rPr>
          <w:b/>
        </w:rPr>
        <w:t>（</w:t>
      </w:r>
      <w:r>
        <w:rPr>
          <w:rFonts w:hint="eastAsia"/>
          <w:b/>
        </w:rPr>
        <w:t>一</w:t>
      </w:r>
      <w:r>
        <w:rPr>
          <w:b/>
        </w:rPr>
        <w:t>）</w:t>
      </w:r>
      <w:r>
        <w:rPr>
          <w:rFonts w:hint="eastAsia"/>
          <w:b/>
        </w:rPr>
        <w:t>物业管理服务</w:t>
      </w:r>
    </w:p>
    <w:p w14:paraId="296CE0DA">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1、服务主动、热情。配备的物业服务人员要求身体健康、举止大方，谈吐文雅，服务标准规范。</w:t>
      </w:r>
    </w:p>
    <w:p w14:paraId="50FAD33D">
      <w:pPr>
        <w:wordWrap w:val="0"/>
        <w:spacing w:line="400" w:lineRule="exact"/>
        <w:ind w:firstLine="480" w:firstLineChars="200"/>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、建立服务品质和质量反馈机制，定期面向采购人征求意见，并留存工作痕迹。</w:t>
      </w:r>
    </w:p>
    <w:p w14:paraId="4186AAA8">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3、供应商须建立工作反馈制度，每周召工作例会，每月向对口管理部门汇报当月工作安排、检查及执行完成情况。</w:t>
      </w:r>
    </w:p>
    <w:p w14:paraId="664DC8F1">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4、供应商应建立突发事件应急预案，包括但不限于：突发事件应急预案（灾害预防、火灾、水灾、暴雨、暴雪、用气、用电、消防、地震、电梯困人及疫情等）；违法事件应急预案（防盗、打架斗殴、寻衅滋事等）、其他应急预案（重要接待及各类检查等）。</w:t>
      </w:r>
    </w:p>
    <w:p w14:paraId="5122C48E">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5、供应商针对本项目提供能源节约方案，方案内容包含能源节约计划及能源节约措施。负责开关公共区域的照明灯具，负责使用中央空调期间公共区域的空调设备的开启和关闭、空调启动时关闭门窗，以及早晚的开窗通风工作；做到节约用水，确保人走水停，下班关闭电源；主动维护职责区域的财物安全，发现损坏或异常及时报维修部门或监管部门。</w:t>
      </w:r>
    </w:p>
    <w:p w14:paraId="3DDB50DB">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6、供应商具有严格的保密制度。对涉及采购人的信息须严格保密，未经采购人许可，不得将信息泄露给第三方。否则，采购人保留追究法律责任的权利。供应商须具备良好的政治素质，通过严格审核和培训，定期开展思想政治和保密教育工作的培训。</w:t>
      </w:r>
    </w:p>
    <w:p w14:paraId="21B9B029">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7、供应商有人员新进、离职、换岗、替岗，须向办公室管理人员报备，隐瞒不报按缺岗处理。不得以人员交替为由，出现长时间空岗、合岗现场。</w:t>
      </w:r>
    </w:p>
    <w:p w14:paraId="6BA7DD20">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8、供应商按照国家规定为员工购买社保、特殊工种（高空作业、高温作业等）须购买相应工作安全保险。购买公众责任险及其他相关保险。</w:t>
      </w:r>
    </w:p>
    <w:p w14:paraId="21DAF25D">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9、供应商按照中心要求，结合监管细则，分区确定责任人，定期巡查，每天不少于2次巡查标准，并形成记录。供应商每年对现场的考核督导不少于两次，并将考核结果及整改情况给采购人报备。</w:t>
      </w:r>
    </w:p>
    <w:p w14:paraId="67909640">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w:t>
      </w:r>
      <w:r>
        <w:rPr>
          <w:rFonts w:ascii="Calibri" w:hAnsi="Calibri" w:eastAsia="宋体" w:cstheme="minorHAnsi"/>
          <w:color w:val="000000"/>
          <w:kern w:val="24"/>
        </w:rPr>
        <w:t>0</w:t>
      </w:r>
      <w:r>
        <w:rPr>
          <w:rFonts w:hint="eastAsia" w:ascii="Calibri" w:hAnsi="Calibri" w:eastAsia="宋体" w:cstheme="minorHAnsi"/>
          <w:color w:val="000000"/>
          <w:kern w:val="24"/>
        </w:rPr>
        <w:t>、供应商不能完成合同内容时，采购人有权委外提供，所产生费用由供应商承担，从合同总价中直接扣除。</w:t>
      </w:r>
    </w:p>
    <w:p w14:paraId="30E1057E">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w:t>
      </w:r>
      <w:r>
        <w:rPr>
          <w:rFonts w:ascii="Calibri" w:hAnsi="Calibri" w:eastAsia="宋体" w:cstheme="minorHAnsi"/>
          <w:color w:val="000000"/>
          <w:kern w:val="24"/>
        </w:rPr>
        <w:t>1</w:t>
      </w:r>
      <w:r>
        <w:rPr>
          <w:rFonts w:hint="eastAsia" w:ascii="Calibri" w:hAnsi="Calibri" w:eastAsia="宋体" w:cstheme="minorHAnsi"/>
          <w:color w:val="000000"/>
          <w:kern w:val="24"/>
        </w:rPr>
        <w:t>、供应商在合同期间，因工作未按标准执行或管理不严格，给采购人造成损失时，由供应商负责赔偿责任，采购人有权从合同款项中直接扣除。造成重大责任事故或恶劣社会影响的，供应商应主动承担责任并消除社会影响。</w:t>
      </w:r>
    </w:p>
    <w:p w14:paraId="439C905C">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w:t>
      </w:r>
      <w:r>
        <w:rPr>
          <w:rFonts w:ascii="Calibri" w:hAnsi="Calibri" w:eastAsia="宋体" w:cstheme="minorHAnsi"/>
          <w:color w:val="000000"/>
          <w:kern w:val="24"/>
        </w:rPr>
        <w:t>2</w:t>
      </w:r>
      <w:r>
        <w:rPr>
          <w:rFonts w:hint="eastAsia" w:ascii="Calibri" w:hAnsi="Calibri" w:eastAsia="宋体" w:cstheme="minorHAnsi"/>
          <w:color w:val="000000"/>
          <w:kern w:val="24"/>
        </w:rPr>
        <w:t>、摔伤等事件的责任划分。因物业工作不细致导致人员摔伤或造成其他损失，由供应商承担相应责任，包含现场处置及后续回访。</w:t>
      </w:r>
    </w:p>
    <w:p w14:paraId="685AEE3D">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13、供应商对所录用人员要严格审查，保证录用人员没有犯罪记录。</w:t>
      </w:r>
    </w:p>
    <w:p w14:paraId="03728BAE">
      <w:pPr>
        <w:pStyle w:val="43"/>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14、供应商具有良好的管理制度，制度内容包含岗位职责、内控制度及人员管理制度。</w:t>
      </w:r>
    </w:p>
    <w:p w14:paraId="5C654CCE">
      <w:pPr>
        <w:wordWrap w:val="0"/>
        <w:spacing w:line="400" w:lineRule="exact"/>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15、供应商需协助采购人办理水电暖等费用的核算和缴纳工作。</w:t>
      </w:r>
    </w:p>
    <w:p w14:paraId="35405653">
      <w:pPr>
        <w:pStyle w:val="84"/>
        <w:ind w:firstLine="482"/>
        <w:rPr>
          <w:b/>
        </w:rPr>
      </w:pPr>
      <w:r>
        <w:rPr>
          <w:b/>
        </w:rPr>
        <w:t>（</w:t>
      </w:r>
      <w:r>
        <w:rPr>
          <w:rFonts w:hint="eastAsia"/>
          <w:b/>
        </w:rPr>
        <w:t>二</w:t>
      </w:r>
      <w:r>
        <w:rPr>
          <w:b/>
        </w:rPr>
        <w:t>）</w:t>
      </w:r>
      <w:r>
        <w:rPr>
          <w:rFonts w:hint="eastAsia"/>
          <w:b/>
        </w:rPr>
        <w:t>环境卫生保洁服务</w:t>
      </w:r>
    </w:p>
    <w:p w14:paraId="003C7FAE">
      <w:pPr>
        <w:pStyle w:val="84"/>
        <w:ind w:firstLine="480"/>
      </w:pPr>
      <w:r>
        <w:t>1</w:t>
      </w:r>
      <w:r>
        <w:rPr>
          <w:rFonts w:hint="eastAsia"/>
        </w:rPr>
        <w:t>、基本要求：</w:t>
      </w:r>
    </w:p>
    <w:p w14:paraId="2BFADB4D">
      <w:pPr>
        <w:pStyle w:val="84"/>
        <w:ind w:firstLine="480"/>
      </w:pPr>
      <w:r>
        <w:rPr>
          <w:rFonts w:hint="eastAsia"/>
        </w:rPr>
        <w:t>（</w:t>
      </w:r>
      <w:r>
        <w:t>1</w:t>
      </w:r>
      <w:r>
        <w:rPr>
          <w:rFonts w:hint="eastAsia"/>
        </w:rPr>
        <w:t>）负责中心区域内的所有办公场地、卫生间及绿化等公共部位的卫生，门厅走廊过道等每日打扫不得少于</w:t>
      </w:r>
      <w:r>
        <w:t>6</w:t>
      </w:r>
      <w:r>
        <w:rPr>
          <w:rFonts w:hint="eastAsia"/>
        </w:rPr>
        <w:t>次；楼梯每日多次拖擦。室内保洁区要求做到墙上无灰尘、无蜘蛛网，门窗玻璃无污渍灰尘，垃圾桶垃圾篓及时清理、外观保持清洁，垃圾日清。要求做到地面尘土、人工清扫每平方米不超过</w:t>
      </w:r>
      <w:r>
        <w:t>5</w:t>
      </w:r>
      <w:r>
        <w:rPr>
          <w:rFonts w:hint="eastAsia"/>
        </w:rPr>
        <w:t>克，垃圾地面滞留时间不超过</w:t>
      </w:r>
      <w:r>
        <w:t>5</w:t>
      </w:r>
      <w:r>
        <w:rPr>
          <w:rFonts w:hint="eastAsia"/>
        </w:rPr>
        <w:t>分钟；</w:t>
      </w:r>
    </w:p>
    <w:p w14:paraId="51BBEF71">
      <w:pPr>
        <w:pStyle w:val="84"/>
        <w:ind w:firstLine="480"/>
      </w:pPr>
      <w:r>
        <w:rPr>
          <w:rFonts w:hint="eastAsia"/>
        </w:rPr>
        <w:t>（</w:t>
      </w:r>
      <w:r>
        <w:t>2</w:t>
      </w:r>
      <w:r>
        <w:rPr>
          <w:rFonts w:hint="eastAsia"/>
        </w:rPr>
        <w:t>）做好公告栏、指示牌、垃圾箱、景观物、路灯等公共设施的保洁工作；</w:t>
      </w:r>
    </w:p>
    <w:p w14:paraId="31DD9B71">
      <w:pPr>
        <w:pStyle w:val="84"/>
        <w:ind w:firstLine="480"/>
      </w:pPr>
      <w:r>
        <w:rPr>
          <w:rFonts w:hint="eastAsia"/>
        </w:rPr>
        <w:t>（</w:t>
      </w:r>
      <w:r>
        <w:t>3</w:t>
      </w:r>
      <w:r>
        <w:rPr>
          <w:rFonts w:hint="eastAsia"/>
        </w:rPr>
        <w:t>）卫生间要保持大小便池清洁无积垢、无异味；水龙头、水管无锈斑；地面要求做到无纸屑、无污垢、无死角，纸篓垃圾桶每天及时倾倒，保持外观清洁；地面无积水；花草池内无塑料袋、废纸、烟头等杂物；各种栏杆、标牌上无灰尘；</w:t>
      </w:r>
    </w:p>
    <w:p w14:paraId="1DA10C47">
      <w:pPr>
        <w:pStyle w:val="84"/>
        <w:ind w:firstLine="480"/>
      </w:pPr>
      <w:r>
        <w:rPr>
          <w:rFonts w:hint="eastAsia"/>
        </w:rPr>
        <w:t>（</w:t>
      </w:r>
      <w:r>
        <w:t>4</w:t>
      </w:r>
      <w:r>
        <w:rPr>
          <w:rFonts w:hint="eastAsia"/>
        </w:rPr>
        <w:t>）每天对垃圾进行分类、收集、清运、记录；</w:t>
      </w:r>
    </w:p>
    <w:p w14:paraId="4660CB8C">
      <w:pPr>
        <w:pStyle w:val="84"/>
        <w:ind w:firstLine="480"/>
      </w:pPr>
      <w:r>
        <w:rPr>
          <w:rFonts w:hint="eastAsia"/>
        </w:rPr>
        <w:t>（</w:t>
      </w:r>
      <w:r>
        <w:t>5</w:t>
      </w:r>
      <w:r>
        <w:rPr>
          <w:rFonts w:hint="eastAsia"/>
        </w:rPr>
        <w:t>）听从中心有关部门的安排，协助做好上级检查、大型活动的准备工作。</w:t>
      </w:r>
    </w:p>
    <w:p w14:paraId="0A6D85D7">
      <w:pPr>
        <w:pStyle w:val="84"/>
        <w:ind w:firstLine="480"/>
      </w:pPr>
      <w:r>
        <w:t>2</w:t>
      </w:r>
      <w:r>
        <w:rPr>
          <w:rFonts w:hint="eastAsia"/>
        </w:rPr>
        <w:t>、室内卫生保洁：</w:t>
      </w:r>
    </w:p>
    <w:p w14:paraId="26B443A0">
      <w:pPr>
        <w:pStyle w:val="84"/>
        <w:ind w:firstLine="480"/>
      </w:pPr>
      <w:r>
        <w:rPr>
          <w:rFonts w:hint="eastAsia"/>
        </w:rPr>
        <w:t>（</w:t>
      </w:r>
      <w:r>
        <w:t>1</w:t>
      </w:r>
      <w:r>
        <w:rPr>
          <w:rFonts w:hint="eastAsia"/>
        </w:rPr>
        <w:t>）楼内公共通道：</w:t>
      </w:r>
    </w:p>
    <w:p w14:paraId="6C9325A4">
      <w:pPr>
        <w:pStyle w:val="84"/>
        <w:ind w:firstLine="480"/>
      </w:pPr>
      <w:r>
        <w:rPr>
          <w:rFonts w:hint="eastAsia"/>
        </w:rPr>
        <w:t>①公共通道保持干净，无异味、无杂物、无积水；楼梯扶手无尘，无水迹，梯级干净无垃圾、无杂物、无明显污迹，每日至少开展</w:t>
      </w:r>
      <w:r>
        <w:t>6</w:t>
      </w:r>
      <w:r>
        <w:rPr>
          <w:rFonts w:hint="eastAsia"/>
        </w:rPr>
        <w:t>次清洁作业；</w:t>
      </w:r>
    </w:p>
    <w:p w14:paraId="64180095">
      <w:pPr>
        <w:pStyle w:val="84"/>
        <w:ind w:firstLine="480"/>
      </w:pPr>
      <w:r>
        <w:rPr>
          <w:rFonts w:hint="eastAsia"/>
        </w:rPr>
        <w:t>②门窗玻璃干净无尘，透光性好，每周至少开展</w:t>
      </w:r>
      <w:r>
        <w:t>6</w:t>
      </w:r>
      <w:r>
        <w:rPr>
          <w:rFonts w:hint="eastAsia"/>
        </w:rPr>
        <w:t>次清洁作业；</w:t>
      </w:r>
    </w:p>
    <w:p w14:paraId="07DB45A6">
      <w:pPr>
        <w:pStyle w:val="84"/>
        <w:ind w:firstLine="480"/>
      </w:pPr>
      <w:r>
        <w:rPr>
          <w:rFonts w:hint="eastAsia"/>
        </w:rPr>
        <w:t>③指示牌干净，无污渍，每日至少开展</w:t>
      </w:r>
      <w:r>
        <w:t>1</w:t>
      </w:r>
      <w:r>
        <w:rPr>
          <w:rFonts w:hint="eastAsia"/>
        </w:rPr>
        <w:t>次清洁作业。</w:t>
      </w:r>
    </w:p>
    <w:p w14:paraId="020BABE7">
      <w:pPr>
        <w:pStyle w:val="84"/>
        <w:ind w:firstLine="480"/>
      </w:pPr>
      <w:r>
        <w:rPr>
          <w:rFonts w:hint="eastAsia"/>
        </w:rPr>
        <w:t>（</w:t>
      </w:r>
      <w:r>
        <w:t>2</w:t>
      </w:r>
      <w:r>
        <w:rPr>
          <w:rFonts w:hint="eastAsia"/>
        </w:rPr>
        <w:t>）大厅：</w:t>
      </w:r>
    </w:p>
    <w:p w14:paraId="14CE720C">
      <w:pPr>
        <w:pStyle w:val="84"/>
        <w:ind w:firstLine="480"/>
      </w:pPr>
      <w:r>
        <w:rPr>
          <w:rFonts w:hint="eastAsia"/>
        </w:rPr>
        <w:t>①地面：每日保洁频次不低于</w:t>
      </w:r>
      <w:r>
        <w:t>6</w:t>
      </w:r>
      <w:r>
        <w:rPr>
          <w:rFonts w:hint="eastAsia"/>
        </w:rPr>
        <w:t>次。目视地面无烟头、碎纸、果皮等垃圾；大理石地面：干净无明显污迹，无积水；瓷砖地面：光亮，可映出照明灯轮廓。</w:t>
      </w:r>
    </w:p>
    <w:p w14:paraId="4EF9E185">
      <w:pPr>
        <w:pStyle w:val="84"/>
        <w:ind w:firstLine="480"/>
      </w:pPr>
      <w:r>
        <w:rPr>
          <w:rFonts w:hint="eastAsia"/>
        </w:rPr>
        <w:t>②瓷砖墙面：目视无污迹，无尘，无乱张贴；用白纸巾擦拭表面</w:t>
      </w:r>
      <w:r>
        <w:t>50</w:t>
      </w:r>
      <w:r>
        <w:rPr>
          <w:rFonts w:hint="eastAsia"/>
        </w:rPr>
        <w:t>厘米，纸巾不被明显污染；</w:t>
      </w:r>
    </w:p>
    <w:p w14:paraId="634D8DC5">
      <w:pPr>
        <w:pStyle w:val="84"/>
        <w:ind w:firstLine="480"/>
      </w:pPr>
      <w:r>
        <w:rPr>
          <w:rFonts w:hint="eastAsia"/>
        </w:rPr>
        <w:t>③公告栏：玻璃目视无灰尘、无水迹，不锈钢光亮、无尘；</w:t>
      </w:r>
    </w:p>
    <w:p w14:paraId="3144B255">
      <w:pPr>
        <w:pStyle w:val="84"/>
        <w:ind w:firstLine="480"/>
      </w:pPr>
      <w:r>
        <w:rPr>
          <w:rFonts w:hint="eastAsia"/>
        </w:rPr>
        <w:t>④公共防盗门：目视光亮，无尘，表面无明显划痕；</w:t>
      </w:r>
    </w:p>
    <w:p w14:paraId="337A32B5">
      <w:pPr>
        <w:pStyle w:val="84"/>
        <w:ind w:firstLine="480"/>
      </w:pPr>
      <w:r>
        <w:rPr>
          <w:rFonts w:hint="eastAsia"/>
        </w:rPr>
        <w:t>⑤信报箱：箱顶无尘，用白纸巾擦拭</w:t>
      </w:r>
      <w:r>
        <w:t>50</w:t>
      </w:r>
      <w:r>
        <w:rPr>
          <w:rFonts w:hint="eastAsia"/>
        </w:rPr>
        <w:t>厘米，白纸巾不被明显污染，不锈钢面光亮、无尘；</w:t>
      </w:r>
    </w:p>
    <w:p w14:paraId="71F81CB2">
      <w:pPr>
        <w:pStyle w:val="84"/>
        <w:ind w:firstLine="480"/>
      </w:pPr>
      <w:r>
        <w:rPr>
          <w:rFonts w:hint="eastAsia"/>
        </w:rPr>
        <w:t>⑥垃圾桶：垃圾桶摆放在指定位置，目视无痰迹，无污迹，周围地面无碎纸、烟头。每日保洁频次不低于</w:t>
      </w:r>
      <w:r>
        <w:t>5</w:t>
      </w:r>
      <w:r>
        <w:rPr>
          <w:rFonts w:hint="eastAsia"/>
        </w:rPr>
        <w:t>次、收集不低于</w:t>
      </w:r>
      <w:r>
        <w:t>1</w:t>
      </w:r>
      <w:r>
        <w:rPr>
          <w:rFonts w:hint="eastAsia"/>
        </w:rPr>
        <w:t>次；</w:t>
      </w:r>
    </w:p>
    <w:p w14:paraId="5671DBCA">
      <w:pPr>
        <w:pStyle w:val="84"/>
        <w:ind w:firstLine="480"/>
      </w:pPr>
      <w:r>
        <w:rPr>
          <w:rFonts w:hint="eastAsia"/>
        </w:rPr>
        <w:t>⑦玻璃门：不锈钢边框、玻璃光亮、无污迹、水迹等，每日保洁频次不低于</w:t>
      </w:r>
      <w:r>
        <w:t>6</w:t>
      </w:r>
      <w:r>
        <w:rPr>
          <w:rFonts w:hint="eastAsia"/>
        </w:rPr>
        <w:t>次；</w:t>
      </w:r>
    </w:p>
    <w:p w14:paraId="6909A96D">
      <w:pPr>
        <w:pStyle w:val="84"/>
        <w:ind w:firstLine="480"/>
      </w:pPr>
      <w:r>
        <w:rPr>
          <w:rFonts w:hint="eastAsia"/>
        </w:rPr>
        <w:t>⑧办事大厅工作区地面：目视地面无碎纸、果皮等垃圾；每日保洁频次不低于</w:t>
      </w:r>
      <w:r>
        <w:t>1</w:t>
      </w:r>
      <w:r>
        <w:rPr>
          <w:rFonts w:hint="eastAsia"/>
        </w:rPr>
        <w:t>次；</w:t>
      </w:r>
    </w:p>
    <w:p w14:paraId="32B59AA8">
      <w:pPr>
        <w:pStyle w:val="84"/>
        <w:ind w:firstLine="480"/>
      </w:pPr>
      <w:r>
        <w:rPr>
          <w:rFonts w:hint="eastAsia"/>
        </w:rPr>
        <w:t>⑨办事大厅台面：光亮，目视无灰尘、无污迹，用白纸巾擦拭表面</w:t>
      </w:r>
      <w:r>
        <w:t>50</w:t>
      </w:r>
      <w:r>
        <w:rPr>
          <w:rFonts w:hint="eastAsia"/>
        </w:rPr>
        <w:t>厘米，纸巾不被明显污染；每日保洁频次不低于</w:t>
      </w:r>
      <w:r>
        <w:t>4</w:t>
      </w:r>
      <w:r>
        <w:rPr>
          <w:rFonts w:hint="eastAsia"/>
        </w:rPr>
        <w:t>次；</w:t>
      </w:r>
    </w:p>
    <w:p w14:paraId="7BFAF39F">
      <w:pPr>
        <w:pStyle w:val="84"/>
        <w:ind w:firstLine="480"/>
      </w:pPr>
      <w:r>
        <w:rPr>
          <w:rFonts w:hint="eastAsia"/>
        </w:rPr>
        <w:t>⑩配套设施、设备</w:t>
      </w:r>
      <w:r>
        <w:t xml:space="preserve">: </w:t>
      </w:r>
      <w:r>
        <w:rPr>
          <w:rFonts w:hint="eastAsia"/>
        </w:rPr>
        <w:t>目视无污迹，无尘，无乱张贴用白纸巾擦拭表面</w:t>
      </w:r>
      <w:r>
        <w:t>50</w:t>
      </w:r>
      <w:r>
        <w:rPr>
          <w:rFonts w:hint="eastAsia"/>
        </w:rPr>
        <w:t>厘米，纸巾不被明显污染；每日保洁频次不低于</w:t>
      </w:r>
      <w:r>
        <w:t>6</w:t>
      </w:r>
      <w:r>
        <w:rPr>
          <w:rFonts w:hint="eastAsia"/>
        </w:rPr>
        <w:t>次。</w:t>
      </w:r>
    </w:p>
    <w:p w14:paraId="65611DBC">
      <w:pPr>
        <w:pStyle w:val="84"/>
        <w:ind w:firstLine="480"/>
      </w:pPr>
      <w:r>
        <w:rPr>
          <w:rFonts w:hint="eastAsia"/>
        </w:rPr>
        <w:t>（</w:t>
      </w:r>
      <w:r>
        <w:t>3</w:t>
      </w:r>
      <w:r>
        <w:rPr>
          <w:rFonts w:hint="eastAsia"/>
        </w:rPr>
        <w:t>）电器、消防等设施设备保洁：</w:t>
      </w:r>
    </w:p>
    <w:p w14:paraId="59BEA29E">
      <w:pPr>
        <w:pStyle w:val="84"/>
        <w:ind w:firstLine="480"/>
      </w:pPr>
      <w:r>
        <w:rPr>
          <w:rFonts w:hint="eastAsia"/>
        </w:rPr>
        <w:t>①配电箱、设备机房、会议室音视频设备、消防栓及开关插座等保持表面干净，无尘无污迹，每周至少开展</w:t>
      </w:r>
      <w:r>
        <w:t>1</w:t>
      </w:r>
      <w:r>
        <w:rPr>
          <w:rFonts w:hint="eastAsia"/>
        </w:rPr>
        <w:t>次清洁作业；</w:t>
      </w:r>
    </w:p>
    <w:p w14:paraId="017161C4">
      <w:pPr>
        <w:pStyle w:val="84"/>
        <w:ind w:firstLine="480"/>
      </w:pPr>
      <w:r>
        <w:rPr>
          <w:rFonts w:hint="eastAsia"/>
        </w:rPr>
        <w:t>②监控摄像头、门禁系统等表面光亮，无尘、无斑点，每周至少开展</w:t>
      </w:r>
      <w:r>
        <w:t>1</w:t>
      </w:r>
      <w:r>
        <w:rPr>
          <w:rFonts w:hint="eastAsia"/>
        </w:rPr>
        <w:t>次清洁作业；</w:t>
      </w:r>
    </w:p>
    <w:p w14:paraId="75C051EC">
      <w:pPr>
        <w:pStyle w:val="84"/>
        <w:ind w:firstLine="480"/>
      </w:pPr>
      <w:r>
        <w:rPr>
          <w:rFonts w:hint="eastAsia"/>
        </w:rPr>
        <w:t>③照明灯罩：目视灯罩表面干净，内部无积灰。每周保洁频次不低于</w:t>
      </w:r>
      <w:r>
        <w:t>1</w:t>
      </w:r>
      <w:r>
        <w:rPr>
          <w:rFonts w:hint="eastAsia"/>
        </w:rPr>
        <w:t>次；</w:t>
      </w:r>
    </w:p>
    <w:p w14:paraId="6E13D400">
      <w:pPr>
        <w:pStyle w:val="84"/>
        <w:ind w:firstLine="480"/>
      </w:pPr>
      <w:r>
        <w:rPr>
          <w:rFonts w:hint="eastAsia"/>
        </w:rPr>
        <w:t>④消火栓及附件：玻璃明亮，目视无尘，无水珠；顶箱侧无尘，用白纸巾擦拭</w:t>
      </w:r>
      <w:r>
        <w:t>30</w:t>
      </w:r>
      <w:r>
        <w:rPr>
          <w:rFonts w:hint="eastAsia"/>
        </w:rPr>
        <w:t>厘米不被明显污染；警铃目视无明显积尘；消防管道阀门无明显可见的灰尘；</w:t>
      </w:r>
    </w:p>
    <w:p w14:paraId="09B906C1">
      <w:pPr>
        <w:pStyle w:val="84"/>
        <w:ind w:firstLine="480"/>
      </w:pPr>
      <w:r>
        <w:rPr>
          <w:rFonts w:hint="eastAsia"/>
        </w:rPr>
        <w:t>⑤防火门：门上无乱涂画，把手光亮，用白纸巾擦拭</w:t>
      </w:r>
      <w:r>
        <w:t>50</w:t>
      </w:r>
      <w:r>
        <w:rPr>
          <w:rFonts w:hint="eastAsia"/>
        </w:rPr>
        <w:t>厘米，门上冒头</w:t>
      </w:r>
      <w:r>
        <w:t>30</w:t>
      </w:r>
      <w:r>
        <w:rPr>
          <w:rFonts w:hint="eastAsia"/>
        </w:rPr>
        <w:t>厘米，纸巾不被明显污染。每日保洁</w:t>
      </w:r>
      <w:r>
        <w:t>1</w:t>
      </w:r>
      <w:r>
        <w:rPr>
          <w:rFonts w:hint="eastAsia"/>
        </w:rPr>
        <w:t>次。</w:t>
      </w:r>
    </w:p>
    <w:p w14:paraId="1A44CC3E">
      <w:pPr>
        <w:pStyle w:val="84"/>
        <w:ind w:firstLine="480"/>
      </w:pPr>
      <w:r>
        <w:rPr>
          <w:rFonts w:hint="eastAsia"/>
        </w:rPr>
        <w:t>（</w:t>
      </w:r>
      <w:r>
        <w:t>4</w:t>
      </w:r>
      <w:r>
        <w:rPr>
          <w:rFonts w:hint="eastAsia"/>
        </w:rPr>
        <w:t>）开水间：保持干净、无异味、无杂物、无积水，每日至少开展</w:t>
      </w:r>
      <w:r>
        <w:t>1</w:t>
      </w:r>
      <w:r>
        <w:rPr>
          <w:rFonts w:hint="eastAsia"/>
        </w:rPr>
        <w:t>次清洁作业。</w:t>
      </w:r>
    </w:p>
    <w:p w14:paraId="5C5C2DDB">
      <w:pPr>
        <w:pStyle w:val="84"/>
        <w:ind w:firstLine="480"/>
      </w:pPr>
      <w:r>
        <w:rPr>
          <w:rFonts w:hint="eastAsia"/>
        </w:rPr>
        <w:t>（</w:t>
      </w:r>
      <w:r>
        <w:t>5</w:t>
      </w:r>
      <w:r>
        <w:rPr>
          <w:rFonts w:hint="eastAsia"/>
        </w:rPr>
        <w:t>）作业工具间：</w:t>
      </w:r>
    </w:p>
    <w:p w14:paraId="57580166">
      <w:pPr>
        <w:pStyle w:val="84"/>
        <w:ind w:firstLine="480"/>
      </w:pPr>
      <w:r>
        <w:rPr>
          <w:rFonts w:hint="eastAsia"/>
        </w:rPr>
        <w:t>①保持干净，无异味、无杂物、无积水，每日至少开展</w:t>
      </w:r>
      <w:r>
        <w:t>1</w:t>
      </w:r>
      <w:r>
        <w:rPr>
          <w:rFonts w:hint="eastAsia"/>
        </w:rPr>
        <w:t>次清洁作业；</w:t>
      </w:r>
    </w:p>
    <w:p w14:paraId="663A93E6">
      <w:pPr>
        <w:pStyle w:val="84"/>
        <w:ind w:firstLine="480"/>
      </w:pPr>
      <w:r>
        <w:rPr>
          <w:rFonts w:hint="eastAsia"/>
        </w:rPr>
        <w:t>②作业工具摆放整齐有序，表面干净无渍，每日消毒。</w:t>
      </w:r>
    </w:p>
    <w:p w14:paraId="7048C355">
      <w:pPr>
        <w:pStyle w:val="84"/>
        <w:ind w:firstLine="480"/>
      </w:pPr>
      <w:r>
        <w:rPr>
          <w:rFonts w:hint="eastAsia"/>
        </w:rPr>
        <w:t>（</w:t>
      </w:r>
      <w:r>
        <w:t>6</w:t>
      </w:r>
      <w:r>
        <w:rPr>
          <w:rFonts w:hint="eastAsia"/>
        </w:rPr>
        <w:t>）公共卫生间：</w:t>
      </w:r>
    </w:p>
    <w:p w14:paraId="327A797C">
      <w:pPr>
        <w:pStyle w:val="84"/>
        <w:ind w:firstLine="480"/>
      </w:pPr>
      <w:r>
        <w:rPr>
          <w:rFonts w:hint="eastAsia"/>
        </w:rPr>
        <w:t>①保持干净，无异味，垃圾无溢出，每日至少开展</w:t>
      </w:r>
      <w:r>
        <w:t>1</w:t>
      </w:r>
      <w:r>
        <w:rPr>
          <w:rFonts w:hint="eastAsia"/>
        </w:rPr>
        <w:t>次清洁作业；</w:t>
      </w:r>
    </w:p>
    <w:p w14:paraId="1F934937">
      <w:pPr>
        <w:pStyle w:val="84"/>
        <w:ind w:firstLine="480"/>
      </w:pPr>
      <w:r>
        <w:rPr>
          <w:rFonts w:hint="eastAsia"/>
        </w:rPr>
        <w:t>②及时补充厕纸等必要用品；</w:t>
      </w:r>
    </w:p>
    <w:p w14:paraId="706C7B2D">
      <w:pPr>
        <w:pStyle w:val="84"/>
        <w:ind w:firstLine="480"/>
      </w:pPr>
      <w:r>
        <w:rPr>
          <w:rFonts w:hint="eastAsia"/>
        </w:rPr>
        <w:t>③地面、墙面、大理石台面、拖把池、厕所隔断、垃圾桶、茶叶桶干净，无污迹，大小便池无污迹，无异色，每日保洁频次不低于</w:t>
      </w:r>
      <w:r>
        <w:t>6</w:t>
      </w:r>
      <w:r>
        <w:rPr>
          <w:rFonts w:hint="eastAsia"/>
        </w:rPr>
        <w:t>次。</w:t>
      </w:r>
    </w:p>
    <w:p w14:paraId="0CBE5008">
      <w:pPr>
        <w:pStyle w:val="84"/>
        <w:ind w:firstLine="480"/>
      </w:pPr>
      <w:r>
        <w:rPr>
          <w:rFonts w:hint="eastAsia"/>
        </w:rPr>
        <w:t>（</w:t>
      </w:r>
      <w:r>
        <w:t>7</w:t>
      </w:r>
      <w:r>
        <w:rPr>
          <w:rFonts w:hint="eastAsia"/>
        </w:rPr>
        <w:t>）电梯轿厢：</w:t>
      </w:r>
    </w:p>
    <w:p w14:paraId="7C10FEEC">
      <w:pPr>
        <w:pStyle w:val="84"/>
        <w:ind w:firstLine="480"/>
      </w:pPr>
      <w:r>
        <w:rPr>
          <w:rFonts w:hint="eastAsia"/>
        </w:rPr>
        <w:t>①保持干净，无污渍、无粘贴物、无异味，每日至少开展</w:t>
      </w:r>
      <w:r>
        <w:t>1</w:t>
      </w:r>
      <w:r>
        <w:rPr>
          <w:rFonts w:hint="eastAsia"/>
        </w:rPr>
        <w:t>次清洁作业；</w:t>
      </w:r>
    </w:p>
    <w:p w14:paraId="33109088">
      <w:pPr>
        <w:pStyle w:val="84"/>
        <w:ind w:firstLine="480"/>
      </w:pPr>
      <w:r>
        <w:rPr>
          <w:rFonts w:hint="eastAsia"/>
        </w:rPr>
        <w:t>②灯具、操作指示板明亮；</w:t>
      </w:r>
    </w:p>
    <w:p w14:paraId="1D85815B">
      <w:pPr>
        <w:pStyle w:val="84"/>
        <w:ind w:firstLine="480"/>
      </w:pPr>
      <w:r>
        <w:rPr>
          <w:rFonts w:hint="eastAsia"/>
        </w:rPr>
        <w:t>③电梯内地面干净，无垃圾、无沙子、无积水、无明显污迹，桥厢四壁无乱涂乱画，无乱张贴，电梯门不锈钢面光亮，每日保洁频次不低于</w:t>
      </w:r>
      <w:r>
        <w:t>6</w:t>
      </w:r>
      <w:r>
        <w:rPr>
          <w:rFonts w:hint="eastAsia"/>
        </w:rPr>
        <w:t>次。</w:t>
      </w:r>
    </w:p>
    <w:p w14:paraId="25C052A2">
      <w:pPr>
        <w:pStyle w:val="84"/>
        <w:ind w:firstLine="480"/>
      </w:pPr>
      <w:r>
        <w:rPr>
          <w:rFonts w:hint="eastAsia"/>
        </w:rPr>
        <w:t>（</w:t>
      </w:r>
      <w:r>
        <w:t>8</w:t>
      </w:r>
      <w:r>
        <w:rPr>
          <w:rFonts w:hint="eastAsia"/>
        </w:rPr>
        <w:t>）平台、屋顶、天沟保持干净，有杂物及时清扫，每月至少开展</w:t>
      </w:r>
      <w:r>
        <w:t>1</w:t>
      </w:r>
      <w:r>
        <w:rPr>
          <w:rFonts w:hint="eastAsia"/>
        </w:rPr>
        <w:t>次清洁作业。</w:t>
      </w:r>
    </w:p>
    <w:p w14:paraId="5E2ECAC5">
      <w:pPr>
        <w:pStyle w:val="84"/>
        <w:ind w:firstLine="480"/>
      </w:pPr>
      <w:r>
        <w:rPr>
          <w:rFonts w:hint="eastAsia"/>
        </w:rPr>
        <w:t>（</w:t>
      </w:r>
      <w:r>
        <w:t>9</w:t>
      </w:r>
      <w:r>
        <w:rPr>
          <w:rFonts w:hint="eastAsia"/>
        </w:rPr>
        <w:t>）石材地面、内墙做好养护工作，每季度开展</w:t>
      </w:r>
      <w:r>
        <w:t>1</w:t>
      </w:r>
      <w:r>
        <w:rPr>
          <w:rFonts w:hint="eastAsia"/>
        </w:rPr>
        <w:t>次清洁作业。地面其他公共设施：无乱张贴，无乱涂乱画。</w:t>
      </w:r>
    </w:p>
    <w:p w14:paraId="4425D111">
      <w:pPr>
        <w:pStyle w:val="84"/>
        <w:ind w:firstLine="480"/>
      </w:pPr>
      <w:r>
        <w:rPr>
          <w:rFonts w:hint="eastAsia"/>
        </w:rPr>
        <w:t>（</w:t>
      </w:r>
      <w:r>
        <w:t>10</w:t>
      </w:r>
      <w:r>
        <w:rPr>
          <w:rFonts w:hint="eastAsia"/>
        </w:rPr>
        <w:t>）地毯干净、无油渍、无污渍、无褪色，每月至少开展</w:t>
      </w:r>
      <w:r>
        <w:t>1</w:t>
      </w:r>
      <w:r>
        <w:rPr>
          <w:rFonts w:hint="eastAsia"/>
        </w:rPr>
        <w:t>次清洁作业。</w:t>
      </w:r>
    </w:p>
    <w:p w14:paraId="79D2496C">
      <w:pPr>
        <w:pStyle w:val="84"/>
        <w:ind w:firstLine="480"/>
      </w:pPr>
      <w:r>
        <w:rPr>
          <w:rFonts w:hint="eastAsia"/>
        </w:rPr>
        <w:t>（</w:t>
      </w:r>
      <w:r>
        <w:t>11</w:t>
      </w:r>
      <w:r>
        <w:rPr>
          <w:rFonts w:hint="eastAsia"/>
        </w:rPr>
        <w:t>）浴室：无异味，地面、墙面、设施干净、整洁，无污迹，无杂物，排水沟每周清洗一次，每日消毒。</w:t>
      </w:r>
    </w:p>
    <w:p w14:paraId="1357A2AF">
      <w:pPr>
        <w:pStyle w:val="84"/>
        <w:ind w:firstLine="480"/>
      </w:pPr>
      <w:r>
        <w:rPr>
          <w:rFonts w:hint="eastAsia"/>
        </w:rPr>
        <w:t>（</w:t>
      </w:r>
      <w:r>
        <w:t>12</w:t>
      </w:r>
      <w:r>
        <w:rPr>
          <w:rFonts w:hint="eastAsia"/>
        </w:rPr>
        <w:t>）玻璃窗：玻璃目视无灰尘、污迹，无水迹。每月清洁</w:t>
      </w:r>
      <w:r>
        <w:t>1</w:t>
      </w:r>
      <w:r>
        <w:rPr>
          <w:rFonts w:hint="eastAsia"/>
        </w:rPr>
        <w:t>次。</w:t>
      </w:r>
    </w:p>
    <w:p w14:paraId="2408BD29">
      <w:pPr>
        <w:pStyle w:val="84"/>
        <w:ind w:firstLine="480"/>
      </w:pPr>
      <w:r>
        <w:rPr>
          <w:rFonts w:hint="eastAsia"/>
        </w:rPr>
        <w:t>（</w:t>
      </w:r>
      <w:r>
        <w:t>13</w:t>
      </w:r>
      <w:r>
        <w:rPr>
          <w:rFonts w:hint="eastAsia"/>
        </w:rPr>
        <w:t>）导视牌：目视无灰尘、无污迹、无水迹。用白纸巾擦拭</w:t>
      </w:r>
      <w:r>
        <w:t>30</w:t>
      </w:r>
      <w:r>
        <w:rPr>
          <w:rFonts w:hint="eastAsia"/>
        </w:rPr>
        <w:t>厘米不被明显污染，每日保洁频次不低于</w:t>
      </w:r>
      <w:r>
        <w:t>1</w:t>
      </w:r>
      <w:r>
        <w:rPr>
          <w:rFonts w:hint="eastAsia"/>
        </w:rPr>
        <w:t>次。</w:t>
      </w:r>
    </w:p>
    <w:p w14:paraId="7E4DA076">
      <w:pPr>
        <w:pStyle w:val="84"/>
        <w:ind w:firstLine="480"/>
      </w:pPr>
      <w:r>
        <w:rPr>
          <w:rFonts w:hint="eastAsia"/>
        </w:rPr>
        <w:t>（</w:t>
      </w:r>
      <w:r>
        <w:t>14</w:t>
      </w:r>
      <w:r>
        <w:rPr>
          <w:rFonts w:hint="eastAsia"/>
        </w:rPr>
        <w:t>）天花板角落，管线：目视无蜘蛛网、无积尘，每周保洁频次不低于</w:t>
      </w:r>
      <w:r>
        <w:t>2</w:t>
      </w:r>
      <w:r>
        <w:rPr>
          <w:rFonts w:hint="eastAsia"/>
        </w:rPr>
        <w:t>次。</w:t>
      </w:r>
    </w:p>
    <w:p w14:paraId="0311D584">
      <w:pPr>
        <w:pStyle w:val="84"/>
        <w:ind w:firstLine="480"/>
      </w:pPr>
      <w:r>
        <w:t>3</w:t>
      </w:r>
      <w:r>
        <w:rPr>
          <w:rFonts w:hint="eastAsia"/>
        </w:rPr>
        <w:t>、室外卫生保洁</w:t>
      </w:r>
    </w:p>
    <w:p w14:paraId="5E38EC2A">
      <w:pPr>
        <w:pStyle w:val="84"/>
        <w:ind w:firstLine="480"/>
      </w:pPr>
      <w:r>
        <w:rPr>
          <w:rFonts w:hint="eastAsia"/>
        </w:rPr>
        <w:t>（</w:t>
      </w:r>
      <w:r>
        <w:t>1</w:t>
      </w:r>
      <w:r>
        <w:rPr>
          <w:rFonts w:hint="eastAsia"/>
        </w:rPr>
        <w:t>）每日清扫道路地面、停车场等公共区域</w:t>
      </w:r>
      <w:r>
        <w:t>2</w:t>
      </w:r>
      <w:r>
        <w:rPr>
          <w:rFonts w:hint="eastAsia"/>
        </w:rPr>
        <w:t>次，保持干净、无杂物、无积水。院内道路：地面无积土、无杂物、无垃圾、无杂草、无明显积水，每日清扫频次不低于</w:t>
      </w:r>
      <w:r>
        <w:t>6</w:t>
      </w:r>
      <w:r>
        <w:rPr>
          <w:rFonts w:hint="eastAsia"/>
        </w:rPr>
        <w:t>次，每周冲洗</w:t>
      </w:r>
      <w:r>
        <w:t>1</w:t>
      </w:r>
      <w:r>
        <w:rPr>
          <w:rFonts w:hint="eastAsia"/>
        </w:rPr>
        <w:t>次。</w:t>
      </w:r>
    </w:p>
    <w:p w14:paraId="48C8DE7A">
      <w:pPr>
        <w:pStyle w:val="84"/>
        <w:ind w:firstLine="480"/>
      </w:pPr>
      <w:r>
        <w:rPr>
          <w:rFonts w:hint="eastAsia"/>
        </w:rPr>
        <w:t>（</w:t>
      </w:r>
      <w:r>
        <w:t>2</w:t>
      </w:r>
      <w:r>
        <w:rPr>
          <w:rFonts w:hint="eastAsia"/>
        </w:rPr>
        <w:t>）雪、冰冻等恶劣天气时及时清扫积水、积雪，并采取安全防护措施。</w:t>
      </w:r>
    </w:p>
    <w:p w14:paraId="5D0BC948">
      <w:pPr>
        <w:pStyle w:val="84"/>
        <w:ind w:firstLine="480"/>
      </w:pPr>
      <w:r>
        <w:rPr>
          <w:rFonts w:hint="eastAsia"/>
        </w:rPr>
        <w:t>（</w:t>
      </w:r>
      <w:r>
        <w:t>3</w:t>
      </w:r>
      <w:r>
        <w:rPr>
          <w:rFonts w:hint="eastAsia"/>
        </w:rPr>
        <w:t>）各种路标、宣传栏等保持干净，每月至少开展次清洁作业。</w:t>
      </w:r>
    </w:p>
    <w:p w14:paraId="2835BCA1">
      <w:pPr>
        <w:pStyle w:val="84"/>
        <w:ind w:firstLine="480"/>
      </w:pPr>
      <w:r>
        <w:rPr>
          <w:rFonts w:hint="eastAsia"/>
        </w:rPr>
        <w:t>各种指示牌、路灯：目视灯罩上无明显积尘、指示牌上无水珠，无明显污迹。</w:t>
      </w:r>
    </w:p>
    <w:p w14:paraId="30922E6D">
      <w:pPr>
        <w:pStyle w:val="84"/>
        <w:ind w:firstLine="480"/>
      </w:pPr>
      <w:r>
        <w:rPr>
          <w:rFonts w:hint="eastAsia"/>
        </w:rPr>
        <w:t>（</w:t>
      </w:r>
      <w:r>
        <w:t>4</w:t>
      </w:r>
      <w:r>
        <w:rPr>
          <w:rFonts w:hint="eastAsia"/>
        </w:rPr>
        <w:t>）清洁室外照明设备，每月至少开展</w:t>
      </w:r>
      <w:r>
        <w:t>1</w:t>
      </w:r>
      <w:r>
        <w:rPr>
          <w:rFonts w:hint="eastAsia"/>
        </w:rPr>
        <w:t>次清洁作业。</w:t>
      </w:r>
    </w:p>
    <w:p w14:paraId="730BDF71">
      <w:pPr>
        <w:pStyle w:val="84"/>
        <w:ind w:firstLine="480"/>
      </w:pPr>
      <w:r>
        <w:rPr>
          <w:rFonts w:hint="eastAsia"/>
        </w:rPr>
        <w:t>（</w:t>
      </w:r>
      <w:r>
        <w:t>5</w:t>
      </w:r>
      <w:r>
        <w:rPr>
          <w:rFonts w:hint="eastAsia"/>
        </w:rPr>
        <w:t>）绿地内无杂物、无改变用途和破坏、践踏、占用现象，每天至少开展</w:t>
      </w:r>
      <w:r>
        <w:t>1</w:t>
      </w:r>
      <w:r>
        <w:rPr>
          <w:rFonts w:hint="eastAsia"/>
        </w:rPr>
        <w:t>次巡查。</w:t>
      </w:r>
    </w:p>
    <w:p w14:paraId="2987D5B5">
      <w:pPr>
        <w:pStyle w:val="84"/>
        <w:ind w:firstLine="480"/>
      </w:pPr>
      <w:r>
        <w:rPr>
          <w:rFonts w:hint="eastAsia"/>
        </w:rPr>
        <w:t>绿化带：目视干净，无明显废纸、塑料袋、瓶罐、杂草等垃圾，无砖头、大石子，每日保洁频次不低于</w:t>
      </w:r>
      <w:r>
        <w:t>4</w:t>
      </w:r>
      <w:r>
        <w:rPr>
          <w:rFonts w:hint="eastAsia"/>
        </w:rPr>
        <w:t>次。院子花坛大理石面：光亮，目视干净，无明显废纸、塑料袋、杂草等垃圾，每日保洁频次不低于</w:t>
      </w:r>
      <w:r>
        <w:t>1</w:t>
      </w:r>
      <w:r>
        <w:rPr>
          <w:rFonts w:hint="eastAsia"/>
        </w:rPr>
        <w:t>次。</w:t>
      </w:r>
    </w:p>
    <w:p w14:paraId="5B1E4AB5">
      <w:pPr>
        <w:pStyle w:val="84"/>
        <w:ind w:firstLine="480"/>
      </w:pPr>
      <w:r>
        <w:rPr>
          <w:rFonts w:hint="eastAsia"/>
        </w:rPr>
        <w:t>（</w:t>
      </w:r>
      <w:r>
        <w:t>6</w:t>
      </w:r>
      <w:r>
        <w:rPr>
          <w:rFonts w:hint="eastAsia"/>
        </w:rPr>
        <w:t>）办公区外立面定期清洗、</w:t>
      </w:r>
      <w:r>
        <w:t>2</w:t>
      </w:r>
      <w:r>
        <w:rPr>
          <w:rFonts w:hint="eastAsia"/>
        </w:rPr>
        <w:t>米以上外窗玻璃擦拭，每年至少开展</w:t>
      </w:r>
      <w:r>
        <w:t>1</w:t>
      </w:r>
      <w:r>
        <w:rPr>
          <w:rFonts w:hint="eastAsia"/>
        </w:rPr>
        <w:t>次清洗。</w:t>
      </w:r>
    </w:p>
    <w:p w14:paraId="3424E64F">
      <w:pPr>
        <w:pStyle w:val="84"/>
        <w:ind w:firstLine="480"/>
      </w:pPr>
      <w:r>
        <w:rPr>
          <w:rFonts w:hint="eastAsia"/>
        </w:rPr>
        <w:t>（</w:t>
      </w:r>
      <w:r>
        <w:t>7</w:t>
      </w:r>
      <w:r>
        <w:rPr>
          <w:rFonts w:hint="eastAsia"/>
        </w:rPr>
        <w:t>）车库：车位无灰尘污渍及杂物，保证至少每周一次对所有车位进行保洁。</w:t>
      </w:r>
    </w:p>
    <w:p w14:paraId="06A43567">
      <w:pPr>
        <w:pStyle w:val="84"/>
        <w:ind w:firstLine="480"/>
      </w:pPr>
      <w:r>
        <w:rPr>
          <w:rFonts w:hint="eastAsia"/>
        </w:rPr>
        <w:t>（</w:t>
      </w:r>
      <w:r>
        <w:t>8</w:t>
      </w:r>
      <w:r>
        <w:rPr>
          <w:rFonts w:hint="eastAsia"/>
        </w:rPr>
        <w:t>）院子大门、进出车闸机、目视无灰尘，值班室窗户明亮、洁净，每日保洁频次不低于</w:t>
      </w:r>
      <w:r>
        <w:t>1</w:t>
      </w:r>
      <w:r>
        <w:rPr>
          <w:rFonts w:hint="eastAsia"/>
        </w:rPr>
        <w:t>次。</w:t>
      </w:r>
    </w:p>
    <w:p w14:paraId="64A15595">
      <w:pPr>
        <w:pStyle w:val="84"/>
        <w:ind w:firstLine="480"/>
      </w:pPr>
      <w:r>
        <w:t>4</w:t>
      </w:r>
      <w:r>
        <w:rPr>
          <w:rFonts w:hint="eastAsia"/>
        </w:rPr>
        <w:t>、垃圾处理</w:t>
      </w:r>
    </w:p>
    <w:p w14:paraId="1C5D1291">
      <w:pPr>
        <w:pStyle w:val="84"/>
        <w:ind w:firstLine="480"/>
      </w:pPr>
      <w:r>
        <w:rPr>
          <w:rFonts w:hint="eastAsia"/>
        </w:rPr>
        <w:t>（</w:t>
      </w:r>
      <w:r>
        <w:t>1</w:t>
      </w:r>
      <w:r>
        <w:rPr>
          <w:rFonts w:hint="eastAsia"/>
        </w:rPr>
        <w:t>）在指定位置摆放分类垃圾桶，并在显著处张贴垃圾分类标识。分类垃圾桶和垃圾分类标识根据所在城市的要求设置。</w:t>
      </w:r>
    </w:p>
    <w:p w14:paraId="399E0B8F">
      <w:pPr>
        <w:pStyle w:val="84"/>
        <w:ind w:firstLine="480"/>
      </w:pPr>
      <w:r>
        <w:rPr>
          <w:rFonts w:hint="eastAsia"/>
        </w:rPr>
        <w:t>（</w:t>
      </w:r>
      <w:r>
        <w:t>2</w:t>
      </w:r>
      <w:r>
        <w:rPr>
          <w:rFonts w:hint="eastAsia"/>
        </w:rPr>
        <w:t>）桶身表面干净无污渍，每日开展至少</w:t>
      </w:r>
      <w:r>
        <w:t>1</w:t>
      </w:r>
      <w:r>
        <w:rPr>
          <w:rFonts w:hint="eastAsia"/>
        </w:rPr>
        <w:t>次清洁作业。</w:t>
      </w:r>
    </w:p>
    <w:p w14:paraId="7F2E4057">
      <w:pPr>
        <w:pStyle w:val="84"/>
        <w:ind w:firstLine="480"/>
      </w:pPr>
      <w:r>
        <w:rPr>
          <w:rFonts w:hint="eastAsia"/>
        </w:rPr>
        <w:t>垃圾桶、垃圾台：目视无灰尘，桶壁无明显附着物，每日清理，每日保洁频次不低于</w:t>
      </w:r>
      <w:r>
        <w:t>3</w:t>
      </w:r>
      <w:r>
        <w:rPr>
          <w:rFonts w:hint="eastAsia"/>
        </w:rPr>
        <w:t>次。</w:t>
      </w:r>
    </w:p>
    <w:p w14:paraId="2C67502E">
      <w:pPr>
        <w:pStyle w:val="84"/>
        <w:ind w:firstLine="480"/>
      </w:pPr>
      <w:r>
        <w:rPr>
          <w:rFonts w:hint="eastAsia"/>
        </w:rPr>
        <w:t>（</w:t>
      </w:r>
      <w:r>
        <w:t>3</w:t>
      </w:r>
      <w:r>
        <w:rPr>
          <w:rFonts w:hint="eastAsia"/>
        </w:rPr>
        <w:t>）垃圾中转房（站）保持整洁，无明显异味，每日至少开展</w:t>
      </w:r>
      <w:r>
        <w:t>1</w:t>
      </w:r>
      <w:r>
        <w:rPr>
          <w:rFonts w:hint="eastAsia"/>
        </w:rPr>
        <w:t>次清洁作业。</w:t>
      </w:r>
    </w:p>
    <w:p w14:paraId="127BB0E2">
      <w:pPr>
        <w:pStyle w:val="84"/>
        <w:ind w:firstLine="480"/>
      </w:pPr>
      <w:r>
        <w:rPr>
          <w:rFonts w:hint="eastAsia"/>
        </w:rPr>
        <w:t>（</w:t>
      </w:r>
      <w:r>
        <w:t>4</w:t>
      </w:r>
      <w:r>
        <w:rPr>
          <w:rFonts w:hint="eastAsia"/>
        </w:rPr>
        <w:t>）化粪池清掏，无明显异味，每半年至少开展</w:t>
      </w:r>
      <w:r>
        <w:t>1</w:t>
      </w:r>
      <w:r>
        <w:rPr>
          <w:rFonts w:hint="eastAsia"/>
        </w:rPr>
        <w:t>次清洁作业。</w:t>
      </w:r>
    </w:p>
    <w:p w14:paraId="2E3D7C1C">
      <w:pPr>
        <w:pStyle w:val="84"/>
        <w:ind w:firstLine="480"/>
      </w:pPr>
      <w:r>
        <w:rPr>
          <w:rFonts w:hint="eastAsia"/>
        </w:rPr>
        <w:t>（</w:t>
      </w:r>
      <w:r>
        <w:t>5</w:t>
      </w:r>
      <w:r>
        <w:rPr>
          <w:rFonts w:hint="eastAsia"/>
        </w:rPr>
        <w:t>）每个工作日内要对楼层产生的垃圾，进行清理分类，并运至垃圾集中堆放点。</w:t>
      </w:r>
    </w:p>
    <w:p w14:paraId="07CF05E2">
      <w:pPr>
        <w:pStyle w:val="84"/>
        <w:ind w:firstLine="480"/>
      </w:pPr>
      <w:r>
        <w:rPr>
          <w:rFonts w:hint="eastAsia"/>
        </w:rPr>
        <w:t>（</w:t>
      </w:r>
      <w:r>
        <w:t>6</w:t>
      </w:r>
      <w:r>
        <w:rPr>
          <w:rFonts w:hint="eastAsia"/>
        </w:rPr>
        <w:t>）垃圾装袋，日产日清。</w:t>
      </w:r>
    </w:p>
    <w:p w14:paraId="2C215C0F">
      <w:pPr>
        <w:pStyle w:val="84"/>
        <w:ind w:firstLine="480"/>
      </w:pPr>
      <w:r>
        <w:rPr>
          <w:rFonts w:hint="eastAsia"/>
        </w:rPr>
        <w:t>（</w:t>
      </w:r>
      <w:r>
        <w:t>7</w:t>
      </w:r>
      <w:r>
        <w:rPr>
          <w:rFonts w:hint="eastAsia"/>
        </w:rPr>
        <w:t>）建立垃圾清运台账，交由规范的渠道回收处理。</w:t>
      </w:r>
    </w:p>
    <w:p w14:paraId="16D584B1">
      <w:pPr>
        <w:pStyle w:val="84"/>
        <w:ind w:firstLine="480"/>
      </w:pPr>
      <w:r>
        <w:rPr>
          <w:rFonts w:hint="eastAsia"/>
        </w:rPr>
        <w:t>（</w:t>
      </w:r>
      <w:r>
        <w:t>8</w:t>
      </w:r>
      <w:r>
        <w:rPr>
          <w:rFonts w:hint="eastAsia"/>
        </w:rPr>
        <w:t>）做好垃圾分类管理的宣传工作，督促并引导全员参与垃圾分类投放。</w:t>
      </w:r>
    </w:p>
    <w:p w14:paraId="18503A98">
      <w:pPr>
        <w:pStyle w:val="84"/>
        <w:ind w:firstLine="480"/>
      </w:pPr>
      <w:r>
        <w:rPr>
          <w:rFonts w:hint="eastAsia"/>
        </w:rPr>
        <w:t>（</w:t>
      </w:r>
      <w:r>
        <w:t>9</w:t>
      </w:r>
      <w:r>
        <w:rPr>
          <w:rFonts w:hint="eastAsia"/>
        </w:rPr>
        <w:t>）垃圾分类投放管理工作的执行标准，按所在城市的要求执行。</w:t>
      </w:r>
    </w:p>
    <w:p w14:paraId="58E486D9">
      <w:pPr>
        <w:pStyle w:val="84"/>
        <w:ind w:firstLine="480"/>
      </w:pPr>
      <w:r>
        <w:t>5</w:t>
      </w:r>
      <w:r>
        <w:rPr>
          <w:rFonts w:hint="eastAsia"/>
        </w:rPr>
        <w:t>、安全消毒</w:t>
      </w:r>
    </w:p>
    <w:p w14:paraId="5216246C">
      <w:pPr>
        <w:pStyle w:val="84"/>
        <w:ind w:firstLine="480"/>
      </w:pPr>
      <w:r>
        <w:rPr>
          <w:rFonts w:hint="eastAsia"/>
        </w:rPr>
        <w:t>（</w:t>
      </w:r>
      <w:r>
        <w:t>1</w:t>
      </w:r>
      <w:r>
        <w:rPr>
          <w:rFonts w:hint="eastAsia"/>
        </w:rPr>
        <w:t>）办公用房区域、公共场所区域和周围环境预防性卫生消毒，消毒后及时通风，每周至少开展</w:t>
      </w:r>
      <w:r>
        <w:t>1</w:t>
      </w:r>
      <w:r>
        <w:rPr>
          <w:rFonts w:hint="eastAsia"/>
        </w:rPr>
        <w:t>次作业。</w:t>
      </w:r>
    </w:p>
    <w:p w14:paraId="36802B29">
      <w:pPr>
        <w:pStyle w:val="84"/>
        <w:ind w:firstLine="480"/>
      </w:pPr>
      <w:r>
        <w:rPr>
          <w:rFonts w:hint="eastAsia"/>
        </w:rPr>
        <w:t>（</w:t>
      </w:r>
      <w:r>
        <w:t>2</w:t>
      </w:r>
      <w:r>
        <w:rPr>
          <w:rFonts w:hint="eastAsia"/>
        </w:rPr>
        <w:t>）采取综合措施消灭老鼠、蟑螂，控制室内外蚊虫孳生，达到基本无蝇，每季度至少开展</w:t>
      </w:r>
      <w:r>
        <w:t>1</w:t>
      </w:r>
      <w:r>
        <w:rPr>
          <w:rFonts w:hint="eastAsia"/>
        </w:rPr>
        <w:t>次作业。</w:t>
      </w:r>
    </w:p>
    <w:p w14:paraId="6E049B42">
      <w:pPr>
        <w:pStyle w:val="84"/>
        <w:ind w:firstLine="480"/>
      </w:pPr>
      <w:r>
        <w:rPr>
          <w:rFonts w:hint="eastAsia"/>
        </w:rPr>
        <w:t>（</w:t>
      </w:r>
      <w:r>
        <w:t>3</w:t>
      </w:r>
      <w:r>
        <w:rPr>
          <w:rFonts w:hint="eastAsia"/>
        </w:rPr>
        <w:t>）发生公共卫生事件时，邀请专业单位开展消毒、检测等工作。</w:t>
      </w:r>
    </w:p>
    <w:p w14:paraId="41C52B3D">
      <w:pPr>
        <w:pStyle w:val="84"/>
        <w:ind w:firstLine="482"/>
        <w:rPr>
          <w:b/>
        </w:rPr>
      </w:pPr>
      <w:r>
        <w:rPr>
          <w:b/>
        </w:rPr>
        <w:t>（</w:t>
      </w:r>
      <w:r>
        <w:rPr>
          <w:rFonts w:hint="eastAsia"/>
          <w:b/>
        </w:rPr>
        <w:t>三</w:t>
      </w:r>
      <w:r>
        <w:rPr>
          <w:b/>
        </w:rPr>
        <w:t>）</w:t>
      </w:r>
      <w:r>
        <w:rPr>
          <w:rFonts w:hint="eastAsia"/>
          <w:b/>
        </w:rPr>
        <w:t>安全管理服务</w:t>
      </w:r>
    </w:p>
    <w:p w14:paraId="44188B2B">
      <w:pPr>
        <w:pStyle w:val="84"/>
        <w:ind w:firstLine="480"/>
      </w:pPr>
      <w:r>
        <w:rPr>
          <w:rFonts w:hint="eastAsia"/>
        </w:rPr>
        <w:t>1、基本要求：</w:t>
      </w:r>
    </w:p>
    <w:p w14:paraId="7C9FB973">
      <w:pPr>
        <w:pStyle w:val="84"/>
        <w:ind w:firstLine="480"/>
      </w:pPr>
      <w:r>
        <w:rPr>
          <w:rFonts w:hint="eastAsia"/>
        </w:rPr>
        <w:t>（1</w:t>
      </w:r>
      <w:r>
        <w:t>）</w:t>
      </w:r>
      <w:r>
        <w:rPr>
          <w:rFonts w:hint="eastAsia"/>
        </w:rPr>
        <w:t>建立保安服务相关制度，并按照执行；</w:t>
      </w:r>
    </w:p>
    <w:p w14:paraId="169A5FE6">
      <w:pPr>
        <w:pStyle w:val="84"/>
        <w:ind w:firstLine="480"/>
      </w:pPr>
      <w:r>
        <w:rPr>
          <w:rFonts w:hint="eastAsia"/>
        </w:rPr>
        <w:t>（2</w:t>
      </w:r>
      <w:r>
        <w:t>）</w:t>
      </w:r>
      <w:r>
        <w:rPr>
          <w:rFonts w:hint="eastAsia"/>
        </w:rPr>
        <w:t>对巡查、值守及异常情况等做好相关记录，填写规范，保存完好；</w:t>
      </w:r>
    </w:p>
    <w:p w14:paraId="3B5DBC6B">
      <w:pPr>
        <w:pStyle w:val="84"/>
        <w:ind w:firstLine="480"/>
      </w:pPr>
      <w:r>
        <w:rPr>
          <w:rFonts w:hint="eastAsia"/>
        </w:rPr>
        <w:t>（3）配备保安服务必要的器材；</w:t>
      </w:r>
    </w:p>
    <w:p w14:paraId="161221C0">
      <w:pPr>
        <w:pStyle w:val="84"/>
        <w:ind w:firstLine="480"/>
      </w:pPr>
      <w:r>
        <w:rPr>
          <w:rFonts w:hint="eastAsia"/>
        </w:rPr>
        <w:t>（4</w:t>
      </w:r>
      <w:r>
        <w:t>）</w:t>
      </w:r>
      <w:r>
        <w:rPr>
          <w:rFonts w:hint="eastAsia"/>
        </w:rPr>
        <w:t>配合和协助采购人有效预防并制止突发事件，根据工作需要配合采购人的工作安排，做好上级检查、大型活动的准备工作。</w:t>
      </w:r>
    </w:p>
    <w:p w14:paraId="50A58429">
      <w:pPr>
        <w:pStyle w:val="84"/>
        <w:ind w:firstLine="480"/>
      </w:pPr>
      <w:r>
        <w:rPr>
          <w:rFonts w:hint="eastAsia"/>
        </w:rPr>
        <w:t>2、出入管理</w:t>
      </w:r>
    </w:p>
    <w:p w14:paraId="78CC08AF">
      <w:pPr>
        <w:pStyle w:val="84"/>
        <w:ind w:firstLine="480"/>
      </w:pPr>
      <w:r>
        <w:rPr>
          <w:rFonts w:hint="eastAsia"/>
        </w:rPr>
        <w:t>（1</w:t>
      </w:r>
      <w:r>
        <w:t>）</w:t>
      </w:r>
      <w:r>
        <w:rPr>
          <w:rFonts w:hint="eastAsia"/>
        </w:rPr>
        <w:t>办公楼（区）主出入口应当实行 24小时值班制。1号楼出入口、办事大厅工作期间必须保证2人以上值班，保障办事群众及工作人员安全。白天定期、不定期巡查。夜间对办公大楼、院落进行定时（2小时/次）巡查，并做好巡查记录；</w:t>
      </w:r>
    </w:p>
    <w:p w14:paraId="46762214">
      <w:pPr>
        <w:pStyle w:val="84"/>
        <w:ind w:firstLine="480"/>
      </w:pPr>
      <w:r>
        <w:rPr>
          <w:rFonts w:hint="eastAsia"/>
        </w:rPr>
        <w:t>（2）设置西大门门岗，必须保证2人同时在岗；</w:t>
      </w:r>
    </w:p>
    <w:p w14:paraId="3D062086">
      <w:pPr>
        <w:pStyle w:val="84"/>
        <w:ind w:firstLine="480"/>
      </w:pPr>
      <w:r>
        <w:rPr>
          <w:rFonts w:hint="eastAsia"/>
        </w:rPr>
        <w:t>（3）在出入口对外来人员及其携带大件物品、外来车辆进行询问和记录，并与相关部门取得联系，同意后方可进入；</w:t>
      </w:r>
    </w:p>
    <w:p w14:paraId="2F1A848E">
      <w:pPr>
        <w:pStyle w:val="84"/>
        <w:ind w:firstLine="480"/>
      </w:pPr>
      <w:r>
        <w:rPr>
          <w:rFonts w:hint="eastAsia"/>
        </w:rPr>
        <w:t>（4）大件物品搬出有相关部门开具的证明和清单，经核实后放行；</w:t>
      </w:r>
    </w:p>
    <w:p w14:paraId="275C0731">
      <w:pPr>
        <w:pStyle w:val="84"/>
        <w:ind w:firstLine="480"/>
      </w:pPr>
      <w:r>
        <w:rPr>
          <w:rFonts w:hint="eastAsia"/>
        </w:rPr>
        <w:t>（5）排查可疑人员，对于不出示证件、不按规定登记、不听劝阻而强行闯入者，及时劝离，必要时通知公安机关进行处理；</w:t>
      </w:r>
    </w:p>
    <w:p w14:paraId="108CA0D8">
      <w:pPr>
        <w:pStyle w:val="84"/>
        <w:ind w:firstLine="480"/>
      </w:pPr>
      <w:r>
        <w:rPr>
          <w:rFonts w:hint="eastAsia"/>
        </w:rPr>
        <w:t>（6）配合相关部门积极疏导上访人员，有效疏导如出入口人群集聚、车辆拥堵、货物堵塞道路等情况；</w:t>
      </w:r>
    </w:p>
    <w:p w14:paraId="7E03413A">
      <w:pPr>
        <w:pStyle w:val="84"/>
        <w:ind w:firstLine="480"/>
      </w:pPr>
      <w:r>
        <w:rPr>
          <w:rFonts w:hint="eastAsia"/>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p w14:paraId="5DEA4834">
      <w:pPr>
        <w:pStyle w:val="84"/>
        <w:ind w:firstLine="480"/>
      </w:pPr>
      <w:r>
        <w:rPr>
          <w:rFonts w:hint="eastAsia"/>
        </w:rPr>
        <w:t>（8）提供现场接待服务：做好来访人员、车辆进出证件登记，及时通报；严禁无关人员、可疑人员和危险物品进入办公楼（区）内；物品摆放整齐有序、分类放置；现场办理等待时间不超过5分钟，等待较长时间应当及时沟通；对来访人员咨询、建议、求助等事项，及时处理或答复，处理和答复率100%；接待服务工作时间应当覆盖采购人工作时间（上班时间为00:00-23:59）；与被访人进行核实确认；告知被访人的办公室门牌号；告知访客注意事项（根据实际需要填写注意事项）；</w:t>
      </w:r>
    </w:p>
    <w:p w14:paraId="7FE0CFB9">
      <w:pPr>
        <w:pStyle w:val="84"/>
        <w:ind w:firstLine="480"/>
      </w:pPr>
      <w:r>
        <w:rPr>
          <w:rFonts w:hint="eastAsia"/>
        </w:rPr>
        <w:t>（9）上班时间必须规范着装，礼仪规范，礼貌用语，精神饱满对来访人员，严格执行工作纪律、不迟到不早退，严禁脱岗、漏岗，严禁聊天、睡觉、嬉笑打闹、从事与工作无关的事宜；</w:t>
      </w:r>
    </w:p>
    <w:p w14:paraId="6E8DEE6E">
      <w:pPr>
        <w:pStyle w:val="84"/>
        <w:ind w:firstLine="480"/>
      </w:pPr>
      <w:r>
        <w:rPr>
          <w:rFonts w:hint="eastAsia"/>
        </w:rPr>
        <w:t>（10）严格执行交接班制度，接班人员未到岗前，当班人员不准离岗。遇突发事件和自然灾害时，应无条件协助抢险救灾，且供应商的管理人员要在半小时之内到达事发现场。</w:t>
      </w:r>
    </w:p>
    <w:p w14:paraId="5600E679">
      <w:pPr>
        <w:pStyle w:val="84"/>
        <w:ind w:firstLine="480"/>
      </w:pPr>
      <w:r>
        <w:rPr>
          <w:rFonts w:hint="eastAsia"/>
        </w:rPr>
        <w:t>3、值班巡查：</w:t>
      </w:r>
    </w:p>
    <w:p w14:paraId="7B969B2D">
      <w:pPr>
        <w:pStyle w:val="84"/>
        <w:ind w:firstLine="480"/>
      </w:pPr>
      <w:r>
        <w:rPr>
          <w:rFonts w:hint="eastAsia"/>
        </w:rPr>
        <w:t>（1）建立24小时值班巡查制度，保证巡查过程2人协同配合；</w:t>
      </w:r>
    </w:p>
    <w:p w14:paraId="5BCC0AC7">
      <w:pPr>
        <w:pStyle w:val="84"/>
        <w:ind w:firstLine="480"/>
      </w:pPr>
      <w:r>
        <w:rPr>
          <w:rFonts w:hint="eastAsia"/>
        </w:rPr>
        <w:t>（2）制定巡查路线，按照指定时间和路线执行，加强重点区域、重点部位及装修区域的巡查；</w:t>
      </w:r>
    </w:p>
    <w:p w14:paraId="3DC650D4">
      <w:pPr>
        <w:pStyle w:val="84"/>
        <w:ind w:firstLine="480"/>
      </w:pPr>
      <w:r>
        <w:rPr>
          <w:rFonts w:hint="eastAsia"/>
        </w:rPr>
        <w:t>（3）巡查期间保持通信设施设备畅通，遇到异常情况立即上报并在现场采取相应措施；</w:t>
      </w:r>
    </w:p>
    <w:p w14:paraId="7C17BB5D">
      <w:pPr>
        <w:pStyle w:val="84"/>
        <w:ind w:firstLine="480"/>
      </w:pPr>
      <w:r>
        <w:rPr>
          <w:rFonts w:hint="eastAsia"/>
        </w:rPr>
        <w:t>（4）收到监控室指令后，巡查人员及时到达指定地点并迅速采取相应措施。</w:t>
      </w:r>
    </w:p>
    <w:p w14:paraId="357BE3A2">
      <w:pPr>
        <w:pStyle w:val="84"/>
        <w:ind w:firstLine="480"/>
      </w:pPr>
      <w:r>
        <w:rPr>
          <w:rFonts w:hint="eastAsia"/>
        </w:rPr>
        <w:t>4、监控值守：</w:t>
      </w:r>
    </w:p>
    <w:p w14:paraId="6CD899A3">
      <w:pPr>
        <w:pStyle w:val="84"/>
        <w:ind w:firstLine="480"/>
      </w:pPr>
      <w:r>
        <w:rPr>
          <w:rFonts w:hint="eastAsia"/>
        </w:rPr>
        <w:t>（1）监控室环境符合系统设备运行要求，定期进行检查和检测，确保系统功能正常；</w:t>
      </w:r>
    </w:p>
    <w:p w14:paraId="4C8AEF9C">
      <w:pPr>
        <w:pStyle w:val="84"/>
        <w:ind w:firstLine="480"/>
      </w:pPr>
      <w:r>
        <w:rPr>
          <w:rFonts w:hint="eastAsia"/>
        </w:rPr>
        <w:t>（2）监控设备24小时正常运行，监控室实行专人24小时值班制度，每班不少于2人；</w:t>
      </w:r>
    </w:p>
    <w:p w14:paraId="09171502">
      <w:pPr>
        <w:pStyle w:val="84"/>
        <w:ind w:firstLine="480"/>
      </w:pPr>
      <w:r>
        <w:rPr>
          <w:rFonts w:hint="eastAsia"/>
        </w:rPr>
        <w:t>（3）监控记录画面清晰，视频监控无死角、无盲区；</w:t>
      </w:r>
    </w:p>
    <w:p w14:paraId="558D9F54">
      <w:pPr>
        <w:pStyle w:val="84"/>
        <w:ind w:firstLine="480"/>
      </w:pPr>
      <w:r>
        <w:rPr>
          <w:rFonts w:hint="eastAsia"/>
        </w:rPr>
        <w:t>（4）值班期间遵守操作规程和保密制度，做好监控记录的保存工作；</w:t>
      </w:r>
    </w:p>
    <w:p w14:paraId="35263CCC">
      <w:pPr>
        <w:pStyle w:val="84"/>
        <w:ind w:firstLine="480"/>
      </w:pPr>
      <w:r>
        <w:rPr>
          <w:rFonts w:hint="eastAsia"/>
        </w:rPr>
        <w:t>（5）监控记录保持完整，保存时间不应少于90天；</w:t>
      </w:r>
    </w:p>
    <w:p w14:paraId="16F72B70">
      <w:pPr>
        <w:pStyle w:val="84"/>
        <w:ind w:firstLine="480"/>
      </w:pPr>
      <w:r>
        <w:rPr>
          <w:rFonts w:hint="eastAsia"/>
        </w:rPr>
        <w:t>（6）无关人员进入监控室或查阅监控记录，经授权人批准并做好相关记录；</w:t>
      </w:r>
    </w:p>
    <w:p w14:paraId="234A2C8C">
      <w:pPr>
        <w:pStyle w:val="84"/>
        <w:ind w:firstLine="480"/>
      </w:pPr>
      <w:r>
        <w:rPr>
          <w:rFonts w:hint="eastAsia"/>
        </w:rPr>
        <w:t>（7）监控室收到火情等报警信号、其他异常情况信号后，及时报警并安排其他安保人员前往现场进行处理。</w:t>
      </w:r>
    </w:p>
    <w:p w14:paraId="6F9BCDEC">
      <w:pPr>
        <w:pStyle w:val="84"/>
        <w:ind w:firstLine="480"/>
      </w:pPr>
      <w:r>
        <w:rPr>
          <w:rFonts w:hint="eastAsia"/>
        </w:rPr>
        <w:t>5、车辆停放：</w:t>
      </w:r>
    </w:p>
    <w:p w14:paraId="4737D97C">
      <w:pPr>
        <w:pStyle w:val="84"/>
        <w:ind w:firstLine="480"/>
      </w:pPr>
      <w:r>
        <w:rPr>
          <w:rFonts w:hint="eastAsia"/>
        </w:rPr>
        <w:t>（1）车辆行驶路线设置合理、规范，导向标志完整、清晰；</w:t>
      </w:r>
    </w:p>
    <w:p w14:paraId="449F428A">
      <w:pPr>
        <w:pStyle w:val="84"/>
        <w:ind w:firstLine="480"/>
      </w:pPr>
      <w:r>
        <w:rPr>
          <w:rFonts w:hint="eastAsia"/>
        </w:rPr>
        <w:t>（2）合理规划车辆停放区域，张贴车辆引导标识，对车辆及停放区域实行规范管理；</w:t>
      </w:r>
    </w:p>
    <w:p w14:paraId="2CC86F77">
      <w:pPr>
        <w:pStyle w:val="84"/>
        <w:ind w:firstLine="480"/>
      </w:pPr>
      <w:r>
        <w:rPr>
          <w:rFonts w:hint="eastAsia"/>
        </w:rPr>
        <w:t>（3）严禁在办公楼的公用走道、楼梯间、安全出口处等公共区域停放车辆或充电；</w:t>
      </w:r>
    </w:p>
    <w:p w14:paraId="2068FF13">
      <w:pPr>
        <w:pStyle w:val="84"/>
        <w:ind w:firstLine="480"/>
      </w:pPr>
      <w:r>
        <w:rPr>
          <w:rFonts w:hint="eastAsia"/>
        </w:rPr>
        <w:t>（4）非机动车定点有序停放；</w:t>
      </w:r>
    </w:p>
    <w:p w14:paraId="770E4362">
      <w:pPr>
        <w:pStyle w:val="84"/>
        <w:ind w:firstLine="480"/>
      </w:pPr>
      <w:r>
        <w:rPr>
          <w:rFonts w:hint="eastAsia"/>
        </w:rPr>
        <w:t>（5）发现车辆异常情况及时通知车主，并做好登记；发生交通事故、自然灾害等意外事故时及时赶赴现场疏导和协助处理，响应时间不超过3分钟。</w:t>
      </w:r>
    </w:p>
    <w:p w14:paraId="793BEB61">
      <w:pPr>
        <w:pStyle w:val="84"/>
        <w:ind w:firstLine="480"/>
      </w:pPr>
      <w:r>
        <w:rPr>
          <w:rFonts w:hint="eastAsia"/>
        </w:rPr>
        <w:t>6、突发事件处理：</w:t>
      </w:r>
    </w:p>
    <w:p w14:paraId="0AC1CDEB">
      <w:pPr>
        <w:pStyle w:val="84"/>
        <w:ind w:firstLine="480"/>
      </w:pPr>
      <w:r>
        <w:rPr>
          <w:rFonts w:hint="eastAsia"/>
        </w:rPr>
        <w:t>（1）制定突发事件安全责任书，明确突发事件责任人及应承担的安全责任；</w:t>
      </w:r>
    </w:p>
    <w:p w14:paraId="48057694">
      <w:pPr>
        <w:pStyle w:val="84"/>
        <w:ind w:firstLine="480"/>
      </w:pPr>
      <w:r>
        <w:rPr>
          <w:rFonts w:hint="eastAsia"/>
        </w:rPr>
        <w:t>（2）建立应急突发事件处置队伍，明确各自的职责；</w:t>
      </w:r>
    </w:p>
    <w:p w14:paraId="14A2ED2D">
      <w:pPr>
        <w:pStyle w:val="84"/>
        <w:ind w:firstLine="480"/>
      </w:pPr>
      <w:r>
        <w:rPr>
          <w:rFonts w:hint="eastAsia"/>
        </w:rPr>
        <w:t>（3）识别、分析各种潜在风险，针对不同风险类型制定相应解决方案，并配备应急物资；</w:t>
      </w:r>
    </w:p>
    <w:p w14:paraId="49718FEB">
      <w:pPr>
        <w:pStyle w:val="84"/>
        <w:ind w:firstLine="480"/>
      </w:pPr>
      <w:r>
        <w:rPr>
          <w:rFonts w:hint="eastAsia"/>
        </w:rPr>
        <w:t>（4）每半年至少开展1次突发事件应急演练，并有相应记录；</w:t>
      </w:r>
    </w:p>
    <w:p w14:paraId="24AB0988">
      <w:pPr>
        <w:pStyle w:val="84"/>
        <w:ind w:firstLine="480"/>
      </w:pPr>
      <w:r>
        <w:rPr>
          <w:rFonts w:hint="eastAsia"/>
        </w:rPr>
        <w:t>（5）发生意外事件时，及时采取应急措施，维护办公区域物业服务正常进行，保护人身财产安全；</w:t>
      </w:r>
    </w:p>
    <w:p w14:paraId="5099741B">
      <w:pPr>
        <w:pStyle w:val="84"/>
        <w:ind w:firstLine="480"/>
      </w:pPr>
      <w:r>
        <w:rPr>
          <w:rFonts w:hint="eastAsia"/>
        </w:rPr>
        <w:t>（6）办公区域物业服务应急预案终止实施后，积极采取措施，在尽可能短的时间内，消除事故带来的不良影响，妥善安置和慰问受害及受影响的人员和部门；</w:t>
      </w:r>
    </w:p>
    <w:p w14:paraId="2A081783">
      <w:pPr>
        <w:pStyle w:val="84"/>
        <w:ind w:firstLine="480"/>
      </w:pPr>
      <w:r>
        <w:rPr>
          <w:rFonts w:hint="eastAsia"/>
        </w:rPr>
        <w:t>（7）事故处理后，及时形成事故应急总结报告，完善应急救援工作方案。</w:t>
      </w:r>
    </w:p>
    <w:p w14:paraId="137ABF0E">
      <w:pPr>
        <w:pStyle w:val="84"/>
        <w:ind w:firstLine="480"/>
      </w:pPr>
      <w:r>
        <w:rPr>
          <w:rFonts w:hint="eastAsia"/>
        </w:rPr>
        <w:t>7、大型活动秩序：</w:t>
      </w:r>
    </w:p>
    <w:p w14:paraId="670033FB">
      <w:pPr>
        <w:pStyle w:val="84"/>
        <w:ind w:firstLine="480"/>
      </w:pPr>
      <w:r>
        <w:rPr>
          <w:rFonts w:hint="eastAsia"/>
        </w:rPr>
        <w:t>（1）制定相应的活动秩序维护方案，合理安排人员，并对场所的安全隐患进行排查；</w:t>
      </w:r>
    </w:p>
    <w:p w14:paraId="0DD7115C">
      <w:pPr>
        <w:pStyle w:val="84"/>
        <w:ind w:firstLine="480"/>
      </w:pPr>
      <w:r>
        <w:rPr>
          <w:rFonts w:hint="eastAsia"/>
        </w:rPr>
        <w:t>（2）应当保障通道、出入口、停车场等区域畅通；</w:t>
      </w:r>
    </w:p>
    <w:p w14:paraId="0EC19C7D">
      <w:pPr>
        <w:pStyle w:val="84"/>
        <w:ind w:firstLine="480"/>
      </w:pPr>
      <w:r>
        <w:rPr>
          <w:rFonts w:hint="eastAsia"/>
        </w:rPr>
        <w:t>（3）活动举办过程中，做好现场秩序的维护和突发事故的处置工作，确保活动正常进行。</w:t>
      </w:r>
    </w:p>
    <w:p w14:paraId="349D2560">
      <w:pPr>
        <w:pStyle w:val="84"/>
        <w:ind w:firstLine="482"/>
        <w:rPr>
          <w:b/>
        </w:rPr>
      </w:pPr>
      <w:r>
        <w:rPr>
          <w:rFonts w:hint="eastAsia"/>
          <w:b/>
        </w:rPr>
        <w:t>（四）设备设施维护保养</w:t>
      </w:r>
    </w:p>
    <w:p w14:paraId="0BAFB609">
      <w:pPr>
        <w:pStyle w:val="84"/>
        <w:ind w:firstLine="480"/>
      </w:pPr>
      <w:r>
        <w:rPr>
          <w:rFonts w:hint="eastAsia"/>
        </w:rPr>
        <w:t>1、电梯、</w:t>
      </w:r>
      <w:r>
        <w:t>货梯</w:t>
      </w:r>
      <w:r>
        <w:rPr>
          <w:rFonts w:hint="eastAsia"/>
        </w:rPr>
        <w:t>（品牌：哈尔滨天顺；设备类型：杂物电梯；层站：2/2；台数：</w:t>
      </w:r>
      <w:r>
        <w:t>2</w:t>
      </w:r>
      <w:r>
        <w:rPr>
          <w:rFonts w:hint="eastAsia"/>
        </w:rPr>
        <w:t>台</w:t>
      </w:r>
      <w:r>
        <w:t>）</w:t>
      </w:r>
    </w:p>
    <w:p w14:paraId="6EE728CB">
      <w:pPr>
        <w:pStyle w:val="84"/>
        <w:ind w:firstLine="480"/>
      </w:pPr>
      <w:r>
        <w:rPr>
          <w:rFonts w:hint="eastAsia"/>
        </w:rPr>
        <w:t>（1）电梯运行平稳、无异响、平层、开关正常。每月至少开展2次电梯的安全状况检查；</w:t>
      </w:r>
    </w:p>
    <w:p w14:paraId="3514F66C">
      <w:pPr>
        <w:pStyle w:val="84"/>
        <w:ind w:firstLine="480"/>
      </w:pPr>
      <w:r>
        <w:rPr>
          <w:rFonts w:hint="eastAsia"/>
        </w:rPr>
        <w:t>（2）电梯准用证、年检合格证等证件齐全。相关证件、紧急救援电话和乘客注意事项置于轿厢醒目位置；</w:t>
      </w:r>
    </w:p>
    <w:p w14:paraId="003E5EB0">
      <w:pPr>
        <w:pStyle w:val="84"/>
        <w:ind w:firstLine="480"/>
      </w:pPr>
      <w:r>
        <w:rPr>
          <w:rFonts w:hint="eastAsia"/>
        </w:rPr>
        <w:t>（3）每年至少开展1次对电梯的全面检测，并出具检测报告，核发电梯使用标志。检验费用由中标供应商承担；</w:t>
      </w:r>
    </w:p>
    <w:p w14:paraId="73C3240E">
      <w:pPr>
        <w:pStyle w:val="84"/>
        <w:ind w:firstLine="480"/>
      </w:pPr>
      <w:r>
        <w:rPr>
          <w:rFonts w:hint="eastAsia"/>
        </w:rPr>
        <w:t>（4）电梯维保应当符合《电梯维护保养规则》（TSGT5002）的有关要求。每月两次定期对电梯进行维护养、清洁、润滑、调整和检查。每三个月增加一次季度保养，每6个月增加一次半年保养，每12个月增加一次年度保养，逐台做好电梯维护保养记录，建档备查。做好平时的机房、设施设备、地面、窗户等设备房卫生，在每季度核查前，电梯设备房的设施、设备、地面、窗户等卫生需彻底清理，达到物业核查标准要求；</w:t>
      </w:r>
    </w:p>
    <w:p w14:paraId="204B2E0B">
      <w:pPr>
        <w:pStyle w:val="84"/>
        <w:ind w:firstLine="480"/>
      </w:pPr>
      <w:r>
        <w:rPr>
          <w:rFonts w:hint="eastAsia"/>
        </w:rPr>
        <w:t>（5）电梯使用应当符合《特种设备使用管理规则》（TSG 08）的有关要求；</w:t>
      </w:r>
    </w:p>
    <w:p w14:paraId="7F320EB8">
      <w:pPr>
        <w:pStyle w:val="84"/>
        <w:ind w:firstLine="480"/>
      </w:pPr>
      <w:r>
        <w:rPr>
          <w:rFonts w:hint="eastAsia"/>
        </w:rPr>
        <w:t>（6）电梯维修应符合规范（GB/T18775-2002），有电梯突发事件或事故的应急措施与救援预案，每年至少开展演练1次。电梯出现故障，物业服务人员10分钟内到场应急处理，维保专业人员30分钟内到场应急处理；</w:t>
      </w:r>
    </w:p>
    <w:p w14:paraId="3E6BA7EC">
      <w:pPr>
        <w:pStyle w:val="84"/>
        <w:ind w:firstLine="480"/>
      </w:pPr>
      <w:r>
        <w:rPr>
          <w:rFonts w:hint="eastAsia"/>
        </w:rPr>
        <w:t>（7）到场进行救助和排除故障，同时对主控电路及主要机械部分部件进行复查，确保电梯正常运行。主要零部件的更换必须告知采购单位，经认可方可更换；电梯紧急电话保持畅通；</w:t>
      </w:r>
    </w:p>
    <w:p w14:paraId="4315E4F9">
      <w:pPr>
        <w:pStyle w:val="84"/>
        <w:ind w:firstLine="480"/>
      </w:pPr>
      <w:r>
        <w:rPr>
          <w:rFonts w:hint="eastAsia"/>
        </w:rPr>
        <w:t>（8）电梯维修、保养时在现场设置提示标识和防护围栏；</w:t>
      </w:r>
    </w:p>
    <w:p w14:paraId="39FDEEF0">
      <w:pPr>
        <w:pStyle w:val="84"/>
        <w:ind w:firstLine="480"/>
      </w:pPr>
      <w:r>
        <w:rPr>
          <w:rFonts w:hint="eastAsia"/>
        </w:rPr>
        <w:t>（9）根据采购人需求，合理设置电梯开启的数量、时间。</w:t>
      </w:r>
    </w:p>
    <w:p w14:paraId="5DC435CB">
      <w:pPr>
        <w:pStyle w:val="84"/>
        <w:ind w:firstLine="480"/>
      </w:pPr>
      <w:r>
        <w:rPr>
          <w:rFonts w:hint="eastAsia"/>
        </w:rPr>
        <w:t>2、人脸识别系统（机型：人脸动态摄像机C2，人脸识别4个</w:t>
      </w:r>
      <w:r>
        <w:t>）</w:t>
      </w:r>
      <w:r>
        <w:rPr>
          <w:rFonts w:hint="eastAsia"/>
        </w:rPr>
        <w:t>维护保养要求：</w:t>
      </w:r>
    </w:p>
    <w:p w14:paraId="4B5086F6">
      <w:pPr>
        <w:pStyle w:val="84"/>
        <w:ind w:firstLine="480"/>
      </w:pPr>
      <w:r>
        <w:rPr>
          <w:rFonts w:hint="eastAsia"/>
        </w:rPr>
        <w:t>（1）安全防范系统维护保养符合《安全防范系统维护保养规范》（GA/T1081）的相关要求；</w:t>
      </w:r>
    </w:p>
    <w:p w14:paraId="6B565984">
      <w:pPr>
        <w:pStyle w:val="84"/>
        <w:ind w:firstLine="480"/>
      </w:pPr>
      <w:r>
        <w:rPr>
          <w:rFonts w:hint="eastAsia"/>
        </w:rPr>
        <w:t>（2）保持门禁系统运行正常，有故障及时排除；</w:t>
      </w:r>
    </w:p>
    <w:p w14:paraId="6AB50819">
      <w:pPr>
        <w:pStyle w:val="84"/>
        <w:ind w:firstLine="480"/>
      </w:pPr>
      <w:r>
        <w:rPr>
          <w:rFonts w:hint="eastAsia"/>
        </w:rPr>
        <w:t>3、道闸（品牌：彩尼斯多道闸DZ-KD-01</w:t>
      </w:r>
      <w:r>
        <w:t>）</w:t>
      </w:r>
      <w:r>
        <w:rPr>
          <w:rFonts w:hint="eastAsia"/>
        </w:rPr>
        <w:t>维护保养要求</w:t>
      </w:r>
    </w:p>
    <w:p w14:paraId="3E049DB2">
      <w:pPr>
        <w:pStyle w:val="84"/>
        <w:ind w:firstLine="480"/>
      </w:pPr>
      <w:r>
        <w:rPr>
          <w:rFonts w:hint="eastAsia"/>
        </w:rPr>
        <w:t>（1）安全防范系统维护保养符合《安全防范系统维护保养规范》（GA/T1081）的相关要求。</w:t>
      </w:r>
    </w:p>
    <w:p w14:paraId="52227DBF">
      <w:pPr>
        <w:pStyle w:val="84"/>
        <w:ind w:firstLine="480"/>
      </w:pPr>
      <w:r>
        <w:rPr>
          <w:rFonts w:hint="eastAsia"/>
        </w:rPr>
        <w:t>（2）保持道闸系统系统等运行正常，有故障及时排除。</w:t>
      </w:r>
    </w:p>
    <w:p w14:paraId="103ED830">
      <w:pPr>
        <w:pStyle w:val="84"/>
        <w:ind w:firstLine="480"/>
      </w:pPr>
      <w:r>
        <w:rPr>
          <w:rFonts w:hint="eastAsia"/>
        </w:rPr>
        <w:t>4、机械车位（五层升降横移式立体停车设备数量：176个车位</w:t>
      </w:r>
      <w:r>
        <w:t>）</w:t>
      </w:r>
      <w:r>
        <w:rPr>
          <w:rFonts w:hint="eastAsia"/>
        </w:rPr>
        <w:t>维护保养要求：</w:t>
      </w:r>
    </w:p>
    <w:p w14:paraId="55F86E12">
      <w:pPr>
        <w:pStyle w:val="84"/>
        <w:ind w:firstLine="480"/>
      </w:pPr>
      <w:r>
        <w:rPr>
          <w:rFonts w:hint="eastAsia"/>
        </w:rPr>
        <w:t>（1）原厂维保，提供至少每月2次的全面设备保养服务，并填写保养记录表；</w:t>
      </w:r>
    </w:p>
    <w:p w14:paraId="36A39111">
      <w:pPr>
        <w:pStyle w:val="84"/>
        <w:ind w:firstLine="480"/>
      </w:pPr>
      <w:r>
        <w:rPr>
          <w:rFonts w:hint="eastAsia"/>
        </w:rPr>
        <w:t>（2）停车设备的工作环境，如温度、湿度、照明、电源、空气含量等均应符合中华人民共和国机械行业标准JB/T8910-1999机械式停车设备正常工作条件规定，必要时将执行测试工作；</w:t>
      </w:r>
    </w:p>
    <w:p w14:paraId="3C00FB90">
      <w:pPr>
        <w:pStyle w:val="84"/>
        <w:ind w:firstLine="480"/>
      </w:pPr>
      <w:r>
        <w:rPr>
          <w:rFonts w:hint="eastAsia"/>
        </w:rPr>
        <w:t>（3）确保全年设备运行正常，如遇紧急故障，供应商在15分钟内作出反应，并在1小时内派专业维人员赴现场排除故障。</w:t>
      </w:r>
    </w:p>
    <w:p w14:paraId="0CBF9A9B">
      <w:pPr>
        <w:pStyle w:val="84"/>
        <w:ind w:firstLine="480"/>
      </w:pPr>
      <w:r>
        <w:rPr>
          <w:rFonts w:hint="eastAsia"/>
        </w:rPr>
        <w:t>（4）定期对设备进行程序优化及更新；</w:t>
      </w:r>
    </w:p>
    <w:p w14:paraId="2D9AF73D">
      <w:pPr>
        <w:pStyle w:val="84"/>
        <w:ind w:firstLine="480"/>
      </w:pPr>
      <w:r>
        <w:rPr>
          <w:rFonts w:hint="eastAsia"/>
        </w:rPr>
        <w:t>（5）配合办理当地技术监督部门的年度检验，检验费用由中标供应商承担；</w:t>
      </w:r>
    </w:p>
    <w:p w14:paraId="2D0BAB37">
      <w:pPr>
        <w:pStyle w:val="84"/>
        <w:ind w:firstLine="480"/>
      </w:pPr>
      <w:r>
        <w:rPr>
          <w:rFonts w:hint="eastAsia"/>
        </w:rPr>
        <w:t>（6）保证每15天至少对立体车库钢丝绳进行1次安全检测。</w:t>
      </w:r>
    </w:p>
    <w:p w14:paraId="33B41E78">
      <w:pPr>
        <w:pStyle w:val="84"/>
        <w:ind w:firstLine="480"/>
      </w:pPr>
      <w:r>
        <w:rPr>
          <w:rFonts w:hint="eastAsia"/>
        </w:rPr>
        <w:t>5、空调（麦克维尔，数量：制冷机组2台，冷却塔2台，风柜3台，风机盘管165台，新风风柜9台，送风风道320平方，初效过滤器24个。设备类型：螺杆式降膜冷水机组</w:t>
      </w:r>
      <w:r>
        <w:t>）</w:t>
      </w:r>
      <w:r>
        <w:rPr>
          <w:rFonts w:hint="eastAsia"/>
        </w:rPr>
        <w:t>维护保养要求：</w:t>
      </w:r>
    </w:p>
    <w:p w14:paraId="2001B1FE">
      <w:pPr>
        <w:pStyle w:val="84"/>
        <w:ind w:firstLine="480"/>
      </w:pPr>
      <w:r>
        <w:rPr>
          <w:rFonts w:hint="eastAsia"/>
        </w:rPr>
        <w:t>（1）空调通风系统运行管理符合《空调通风系统运行管理标准》（GB50365）的相关要求；</w:t>
      </w:r>
    </w:p>
    <w:p w14:paraId="7C16334A">
      <w:pPr>
        <w:pStyle w:val="84"/>
        <w:ind w:firstLine="480"/>
      </w:pPr>
      <w:r>
        <w:rPr>
          <w:rFonts w:hint="eastAsia"/>
        </w:rPr>
        <w:t>（2）办公楼内温湿度、空气质量等符合《室内空气质量标准》（GB/T18883）的相关要求；</w:t>
      </w:r>
    </w:p>
    <w:p w14:paraId="7ABA8BCD">
      <w:pPr>
        <w:pStyle w:val="84"/>
        <w:ind w:firstLine="480"/>
      </w:pPr>
      <w:r>
        <w:rPr>
          <w:rFonts w:hint="eastAsia"/>
        </w:rPr>
        <w:t>（3）原厂维保，定期维保并做好记录，保证空调设施设备处于良好状态；</w:t>
      </w:r>
    </w:p>
    <w:p w14:paraId="6192234B">
      <w:pPr>
        <w:pStyle w:val="84"/>
        <w:ind w:firstLine="480"/>
      </w:pPr>
      <w:r>
        <w:rPr>
          <w:rFonts w:hint="eastAsia"/>
        </w:rPr>
        <w:t>（4）中央空调运行前对冷水机组、循环水泵、冷却塔、风机等设施设备进行系统检查，运行期间每日至少开展1次运行情况巡查；</w:t>
      </w:r>
    </w:p>
    <w:p w14:paraId="3E60DCC5">
      <w:pPr>
        <w:pStyle w:val="84"/>
        <w:ind w:firstLine="480"/>
      </w:pPr>
      <w:r>
        <w:rPr>
          <w:rFonts w:hint="eastAsia"/>
        </w:rPr>
        <w:t>（5）每半年至少开展1次管道、阀门检查并除锈；</w:t>
      </w:r>
    </w:p>
    <w:p w14:paraId="25025A51">
      <w:pPr>
        <w:pStyle w:val="84"/>
        <w:ind w:firstLine="480"/>
      </w:pPr>
      <w:r>
        <w:rPr>
          <w:rFonts w:hint="eastAsia"/>
        </w:rPr>
        <w:t>（6）每年至少开展1次系统整体性维修养护，检验1次压力容器、仪表及冷却塔噪声；</w:t>
      </w:r>
    </w:p>
    <w:p w14:paraId="664FACB7">
      <w:pPr>
        <w:pStyle w:val="84"/>
        <w:ind w:firstLine="480"/>
      </w:pPr>
      <w:r>
        <w:rPr>
          <w:rFonts w:hint="eastAsia"/>
        </w:rPr>
        <w:t>（7）每年至少开展1次新风机、空气处理机滤网等清洗消毒；每2年至少开展1次风管清洗消毒；</w:t>
      </w:r>
    </w:p>
    <w:p w14:paraId="19A1D9C6">
      <w:pPr>
        <w:pStyle w:val="84"/>
        <w:ind w:firstLine="480"/>
      </w:pPr>
      <w:r>
        <w:rPr>
          <w:rFonts w:hint="eastAsia"/>
        </w:rPr>
        <w:t>（8）每年至少开展1次分体式空调主机（含空调过滤网）和室外机清洁。每月至少开展1次挂机和室外支架稳固性巡查；</w:t>
      </w:r>
    </w:p>
    <w:p w14:paraId="712C4CFB">
      <w:pPr>
        <w:pStyle w:val="84"/>
        <w:ind w:firstLine="480"/>
      </w:pPr>
      <w:r>
        <w:rPr>
          <w:rFonts w:hint="eastAsia"/>
        </w:rPr>
        <w:t>（9）制冷、供暖系统温度设定及启用时间符合节能要求；</w:t>
      </w:r>
    </w:p>
    <w:p w14:paraId="4B922109">
      <w:pPr>
        <w:pStyle w:val="84"/>
        <w:ind w:firstLine="480"/>
      </w:pPr>
      <w:r>
        <w:rPr>
          <w:rFonts w:hint="eastAsia"/>
        </w:rPr>
        <w:t>（10）发现故障或损坏应当在30分钟内到场，紧急维修应当在15分钟内到达现场，在12小时内维修完毕。</w:t>
      </w:r>
    </w:p>
    <w:p w14:paraId="400A26D1">
      <w:pPr>
        <w:pStyle w:val="84"/>
        <w:ind w:firstLine="480"/>
      </w:pPr>
      <w:r>
        <w:rPr>
          <w:rFonts w:hint="eastAsia"/>
        </w:rPr>
        <w:t>6、给排水系统（水泵XBD恒压消防泵2台，空调冷却泵3台，卧式单级离心泵3台，循环泵2台</w:t>
      </w:r>
      <w:r>
        <w:t>）</w:t>
      </w:r>
      <w:r>
        <w:rPr>
          <w:rFonts w:hint="eastAsia"/>
        </w:rPr>
        <w:t>维护保养要求：</w:t>
      </w:r>
    </w:p>
    <w:p w14:paraId="608003E1">
      <w:pPr>
        <w:pStyle w:val="84"/>
        <w:ind w:firstLine="480"/>
      </w:pPr>
      <w:r>
        <w:rPr>
          <w:rFonts w:hint="eastAsia"/>
        </w:rPr>
        <w:t>（1）生活饮用水卫生符合《生活饮用水卫生标准》（GB5749）的相关要求；</w:t>
      </w:r>
    </w:p>
    <w:p w14:paraId="2A21B46B">
      <w:pPr>
        <w:pStyle w:val="84"/>
        <w:ind w:firstLine="480"/>
      </w:pPr>
      <w:r>
        <w:rPr>
          <w:rFonts w:hint="eastAsia"/>
        </w:rPr>
        <w:t>（2）设施设备、阀门、管道等运行正常，无跑、冒、滴、漏现象；</w:t>
      </w:r>
    </w:p>
    <w:p w14:paraId="6A133300">
      <w:pPr>
        <w:pStyle w:val="84"/>
        <w:ind w:firstLine="480"/>
      </w:pPr>
      <w:r>
        <w:rPr>
          <w:rFonts w:hint="eastAsia"/>
        </w:rPr>
        <w:t>（3）每年至少养护1次水泵；</w:t>
      </w:r>
    </w:p>
    <w:p w14:paraId="7D9887CC">
      <w:pPr>
        <w:pStyle w:val="84"/>
        <w:ind w:firstLine="480"/>
      </w:pPr>
      <w:r>
        <w:rPr>
          <w:rFonts w:hint="eastAsia"/>
        </w:rPr>
        <w:t>（4）遇供水单位限水、停水，按规定时间通知采购人；</w:t>
      </w:r>
    </w:p>
    <w:p w14:paraId="5F9EA687">
      <w:pPr>
        <w:pStyle w:val="84"/>
        <w:ind w:firstLine="480"/>
      </w:pPr>
      <w:r>
        <w:rPr>
          <w:rFonts w:hint="eastAsia"/>
        </w:rPr>
        <w:t>（5）每季度至少开展1次对排水管进行疏通、清污，保证室内外排水系统通畅。</w:t>
      </w:r>
    </w:p>
    <w:p w14:paraId="646767FA">
      <w:pPr>
        <w:pStyle w:val="84"/>
        <w:ind w:firstLine="480"/>
      </w:pPr>
      <w:r>
        <w:rPr>
          <w:rFonts w:hint="eastAsia"/>
        </w:rPr>
        <w:t>7、供配电系统维护保养要求：</w:t>
      </w:r>
    </w:p>
    <w:p w14:paraId="6E0CC0FA">
      <w:pPr>
        <w:pStyle w:val="84"/>
        <w:ind w:firstLine="480"/>
      </w:pPr>
      <w:r>
        <w:rPr>
          <w:rFonts w:hint="eastAsia"/>
        </w:rPr>
        <w:t>（1）建立24小时运行值班监控制度；</w:t>
      </w:r>
    </w:p>
    <w:p w14:paraId="7A542AE2">
      <w:pPr>
        <w:pStyle w:val="84"/>
        <w:ind w:firstLine="480"/>
      </w:pPr>
      <w:r>
        <w:rPr>
          <w:rFonts w:hint="eastAsia"/>
        </w:rPr>
        <w:t>（2）对供电范围内的电气设备定期巡视维护，加强高低压配电柜、配电箱、控制柜及线路等重点部位监测；</w:t>
      </w:r>
    </w:p>
    <w:p w14:paraId="09FE07E2">
      <w:pPr>
        <w:pStyle w:val="84"/>
        <w:ind w:firstLine="480"/>
      </w:pPr>
      <w:r>
        <w:rPr>
          <w:rFonts w:hint="eastAsia"/>
        </w:rPr>
        <w:t>（3）公共使用的照明、指示灯具线路、开关、接地等保持完好，确保用电安全；</w:t>
      </w:r>
    </w:p>
    <w:p w14:paraId="71810C3E">
      <w:pPr>
        <w:pStyle w:val="84"/>
        <w:ind w:firstLine="480"/>
      </w:pPr>
      <w:r>
        <w:rPr>
          <w:rFonts w:hint="eastAsia"/>
        </w:rPr>
        <w:t>（4）核心部位用电建立高可控用电保障和配备应急发电设备，定期维护应急发电设备。保证至少每年1次柴油发电机保养，保证至少每15天对发电机进行启动，保证发电机组各项指标及参数达到正常运转的标准，处于随时可启动状态。</w:t>
      </w:r>
    </w:p>
    <w:p w14:paraId="7EBF87A1">
      <w:pPr>
        <w:pStyle w:val="84"/>
        <w:ind w:firstLine="480"/>
      </w:pPr>
      <w:r>
        <w:rPr>
          <w:rFonts w:hint="eastAsia"/>
        </w:rPr>
        <w:t>8、供暖系统（供暖板式热交换器型号BD100，设计压力1.8/2.0MPA，设计温度150℃，换热面积12.6平方米。洗浴板式热交换器型号BD50，设计压力1.8/2.0MPA，设计温度150℃，换热面积2.8平方米。</w:t>
      </w:r>
      <w:r>
        <w:t>）</w:t>
      </w:r>
      <w:r>
        <w:rPr>
          <w:rFonts w:hint="eastAsia"/>
        </w:rPr>
        <w:t>维护保养要求：</w:t>
      </w:r>
    </w:p>
    <w:p w14:paraId="14C314EA">
      <w:pPr>
        <w:pStyle w:val="84"/>
        <w:ind w:firstLine="480"/>
      </w:pPr>
      <w:r>
        <w:rPr>
          <w:rFonts w:hint="eastAsia"/>
        </w:rPr>
        <w:t>（1）定期检查供暖管道、阀门运行情况，确保正常无隐患；</w:t>
      </w:r>
    </w:p>
    <w:p w14:paraId="1B061E5D">
      <w:pPr>
        <w:pStyle w:val="84"/>
        <w:ind w:firstLine="480"/>
      </w:pPr>
      <w:r>
        <w:rPr>
          <w:rFonts w:hint="eastAsia"/>
        </w:rPr>
        <w:t>（2）负责暖气片、阀门龙头等新装布置及旧装拆除、日常维修更换及管线的跑、冒、滴、漏的维修；</w:t>
      </w:r>
    </w:p>
    <w:p w14:paraId="54C7A8F4">
      <w:pPr>
        <w:pStyle w:val="84"/>
        <w:ind w:firstLine="480"/>
      </w:pPr>
      <w:r>
        <w:rPr>
          <w:rFonts w:hint="eastAsia"/>
        </w:rPr>
        <w:t>（3）做好供暖前检查等相关准备工作并通知采购人；</w:t>
      </w:r>
      <w:r>
        <w:t xml:space="preserve"> </w:t>
      </w:r>
    </w:p>
    <w:p w14:paraId="0AA98A4F">
      <w:pPr>
        <w:pStyle w:val="84"/>
        <w:ind w:firstLine="480"/>
      </w:pPr>
      <w:r>
        <w:rPr>
          <w:rFonts w:hint="eastAsia"/>
        </w:rPr>
        <w:t>（</w:t>
      </w:r>
      <w:r>
        <w:t>4</w:t>
      </w:r>
      <w:r>
        <w:rPr>
          <w:rFonts w:hint="eastAsia"/>
        </w:rPr>
        <w:t>）供暖期间做好日常检查、维护、抢修、登记上报等工作；</w:t>
      </w:r>
    </w:p>
    <w:p w14:paraId="252BC13B">
      <w:pPr>
        <w:pStyle w:val="84"/>
        <w:ind w:firstLine="480"/>
      </w:pPr>
      <w:r>
        <w:rPr>
          <w:rFonts w:hint="eastAsia"/>
        </w:rPr>
        <w:t>（</w:t>
      </w:r>
      <w:r>
        <w:t>5</w:t>
      </w:r>
      <w:r>
        <w:rPr>
          <w:rFonts w:hint="eastAsia"/>
        </w:rPr>
        <w:t>）根据天气情况适时调节供暖设备运行工况，节约能源；</w:t>
      </w:r>
    </w:p>
    <w:p w14:paraId="1AA0C7AE">
      <w:pPr>
        <w:pStyle w:val="84"/>
        <w:ind w:firstLine="480"/>
      </w:pPr>
      <w:r>
        <w:rPr>
          <w:rFonts w:hint="eastAsia"/>
        </w:rPr>
        <w:t>（</w:t>
      </w:r>
      <w:r>
        <w:t>6</w:t>
      </w:r>
      <w:r>
        <w:rPr>
          <w:rFonts w:hint="eastAsia"/>
        </w:rPr>
        <w:t>）热力站维保：供暖系统交换器的清洗及维保；各项指标及参数达到正常运行的标准，洗浴板式热交换器处于随时可运行状态，供暖板式热交换器冬季可随时投入运行。</w:t>
      </w:r>
    </w:p>
    <w:p w14:paraId="2519307C">
      <w:pPr>
        <w:pStyle w:val="84"/>
        <w:ind w:firstLine="480"/>
      </w:pPr>
      <w:r>
        <w:rPr>
          <w:rFonts w:hint="eastAsia"/>
        </w:rPr>
        <w:t>9、房屋维护服务：</w:t>
      </w:r>
    </w:p>
    <w:p w14:paraId="5265C975">
      <w:pPr>
        <w:pStyle w:val="84"/>
        <w:ind w:firstLine="480"/>
      </w:pPr>
      <w:r>
        <w:rPr>
          <w:rFonts w:hint="eastAsia"/>
        </w:rPr>
        <w:t>（1）每季度至少开展1次房屋结构安全巡视，发现外观有变形、开裂等现象，及时建议采购人申请房屋安全鉴定，并采取必要的避险和防护措施；</w:t>
      </w:r>
    </w:p>
    <w:p w14:paraId="25EE6120">
      <w:pPr>
        <w:pStyle w:val="84"/>
        <w:ind w:firstLine="480"/>
      </w:pPr>
      <w:r>
        <w:rPr>
          <w:rFonts w:hint="eastAsia"/>
        </w:rPr>
        <w:t>（2）每季度至少开展1次外墙贴饰面、幕墙玻璃、雨篷、散水、空调室外机支撑构件等检查，发现破损，及时向采购人报告，按采购人要求出具维修方案，待采购人同意后按维修方案实施维修；</w:t>
      </w:r>
    </w:p>
    <w:p w14:paraId="4510D760">
      <w:pPr>
        <w:pStyle w:val="84"/>
        <w:ind w:firstLine="480"/>
      </w:pPr>
      <w:r>
        <w:rPr>
          <w:rFonts w:hint="eastAsia"/>
        </w:rPr>
        <w:t>（3）每半月至少开展1次公用部位的门、窗、楼梯、通风道、室内地面、墙面、吊顶和室外屋面等巡查，发现破损，及时向采购人报告，按采购人要求出具维修方案，待采购人同意后按维修方案实施维修；</w:t>
      </w:r>
    </w:p>
    <w:p w14:paraId="3223540B">
      <w:pPr>
        <w:pStyle w:val="84"/>
        <w:ind w:firstLine="480"/>
      </w:pPr>
      <w:r>
        <w:rPr>
          <w:rFonts w:hint="eastAsia"/>
        </w:rPr>
        <w:t>（4）每年强降雨天气前后、雨雪季节检查屋面防水和雨落管等，发现破损，及时向采购人报告，按采购人要求出具维修方案，待采购人同意后按维修方案实施维修；</w:t>
      </w:r>
    </w:p>
    <w:p w14:paraId="105BFF7E">
      <w:pPr>
        <w:pStyle w:val="84"/>
        <w:ind w:firstLine="480"/>
      </w:pPr>
      <w:r>
        <w:rPr>
          <w:rFonts w:hint="eastAsia"/>
        </w:rPr>
        <w:t>（5）办公楼外观完好，建筑装饰面无脱落、无破损、无污渍，玻璃幕墙清洁明亮、无破损；</w:t>
      </w:r>
    </w:p>
    <w:p w14:paraId="346541EA">
      <w:pPr>
        <w:pStyle w:val="84"/>
        <w:ind w:firstLine="480"/>
      </w:pPr>
      <w:r>
        <w:rPr>
          <w:rFonts w:hint="eastAsia"/>
        </w:rPr>
        <w:t>（6）通道、楼梯、门窗等设施的完好和正常使用。</w:t>
      </w:r>
    </w:p>
    <w:p w14:paraId="2B9E903E">
      <w:pPr>
        <w:pStyle w:val="84"/>
        <w:ind w:firstLine="480"/>
      </w:pPr>
      <w:r>
        <w:rPr>
          <w:rFonts w:hint="eastAsia"/>
        </w:rPr>
        <w:t>1</w:t>
      </w:r>
      <w:r>
        <w:t>0</w:t>
      </w:r>
      <w:r>
        <w:rPr>
          <w:rFonts w:hint="eastAsia"/>
        </w:rPr>
        <w:t>、设备机房维护保养要求：</w:t>
      </w:r>
    </w:p>
    <w:p w14:paraId="7D105304">
      <w:pPr>
        <w:pStyle w:val="84"/>
        <w:ind w:firstLine="480"/>
      </w:pPr>
      <w:r>
        <w:rPr>
          <w:rFonts w:hint="eastAsia"/>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p w14:paraId="764DBF01">
      <w:pPr>
        <w:pStyle w:val="84"/>
        <w:ind w:firstLine="480"/>
      </w:pPr>
      <w:r>
        <w:rPr>
          <w:rFonts w:hint="eastAsia"/>
        </w:rPr>
        <w:t>（2）设备机房门窗、锁具应当完好、有效；</w:t>
      </w:r>
    </w:p>
    <w:p w14:paraId="1FA581A0">
      <w:pPr>
        <w:pStyle w:val="84"/>
        <w:ind w:firstLine="480"/>
      </w:pPr>
      <w:r>
        <w:rPr>
          <w:rFonts w:hint="eastAsia"/>
        </w:rPr>
        <w:t>（3）每半月至少开展1次清洁，整洁有序、无杂物、无积尘、无鼠、无虫害，温湿度符合设备运行要求；</w:t>
      </w:r>
    </w:p>
    <w:p w14:paraId="2B6A9F22">
      <w:pPr>
        <w:pStyle w:val="84"/>
        <w:ind w:firstLine="480"/>
      </w:pPr>
      <w:r>
        <w:rPr>
          <w:rFonts w:hint="eastAsia"/>
        </w:rPr>
        <w:t>（4）按各设备机房国家标准规范规定维护/保管消防、通风、应急照明，防止小动物进入；</w:t>
      </w:r>
    </w:p>
    <w:p w14:paraId="3467A42F">
      <w:pPr>
        <w:pStyle w:val="84"/>
        <w:ind w:firstLine="480"/>
      </w:pPr>
      <w:r>
        <w:rPr>
          <w:rFonts w:hint="eastAsia"/>
        </w:rPr>
        <w:t>（5）安全防护用具配置齐全，检验合格；</w:t>
      </w:r>
    </w:p>
    <w:p w14:paraId="071267D5">
      <w:pPr>
        <w:pStyle w:val="84"/>
        <w:ind w:firstLine="480"/>
      </w:pPr>
      <w:r>
        <w:rPr>
          <w:rFonts w:hint="eastAsia"/>
        </w:rPr>
        <w:t>（6）应急设施设备用品应当齐全、完备，可随时启用；</w:t>
      </w:r>
    </w:p>
    <w:p w14:paraId="6826182A">
      <w:pPr>
        <w:pStyle w:val="84"/>
        <w:ind w:firstLine="480"/>
      </w:pPr>
      <w:r>
        <w:rPr>
          <w:rFonts w:hint="eastAsia"/>
        </w:rPr>
        <w:t>（7）定期对绝缘工具进行校验检测，并附详细设备清单。</w:t>
      </w:r>
    </w:p>
    <w:p w14:paraId="1879EF88">
      <w:pPr>
        <w:pStyle w:val="84"/>
        <w:ind w:firstLine="480"/>
      </w:pPr>
      <w:r>
        <w:rPr>
          <w:rFonts w:hint="eastAsia"/>
        </w:rPr>
        <w:t>1</w:t>
      </w:r>
      <w:r>
        <w:t>1</w:t>
      </w:r>
      <w:r>
        <w:rPr>
          <w:rFonts w:hint="eastAsia"/>
        </w:rPr>
        <w:t>、电动汽车充电桩维护保养要求</w:t>
      </w:r>
    </w:p>
    <w:p w14:paraId="18E6F9F1">
      <w:pPr>
        <w:pStyle w:val="84"/>
        <w:ind w:firstLine="480"/>
      </w:pPr>
      <w:r>
        <w:rPr>
          <w:rFonts w:hint="eastAsia"/>
        </w:rPr>
        <w:t>（1）提供至少每天一次线路检查、外观清洁及功能测试，保证充电桩的正常运行；</w:t>
      </w:r>
    </w:p>
    <w:p w14:paraId="700F5B9A">
      <w:pPr>
        <w:pStyle w:val="84"/>
        <w:ind w:firstLine="480"/>
      </w:pPr>
      <w:r>
        <w:rPr>
          <w:rFonts w:hint="eastAsia"/>
        </w:rPr>
        <w:t>（2）保证每周至少一次电压测试；</w:t>
      </w:r>
    </w:p>
    <w:p w14:paraId="183A26F9">
      <w:pPr>
        <w:pStyle w:val="84"/>
        <w:ind w:firstLine="480"/>
      </w:pPr>
      <w:r>
        <w:rPr>
          <w:rFonts w:hint="eastAsia"/>
        </w:rPr>
        <w:t>（3）记录电动汽车充电桩的电量、使用情况数据；</w:t>
      </w:r>
    </w:p>
    <w:p w14:paraId="09F5D409">
      <w:pPr>
        <w:pStyle w:val="84"/>
        <w:ind w:firstLine="480"/>
      </w:pPr>
      <w:r>
        <w:rPr>
          <w:rFonts w:hint="eastAsia"/>
        </w:rPr>
        <w:t>（4）故障处理</w:t>
      </w:r>
    </w:p>
    <w:p w14:paraId="36D40BE0">
      <w:pPr>
        <w:pStyle w:val="84"/>
        <w:ind w:firstLine="480"/>
      </w:pPr>
      <w:r>
        <w:rPr>
          <w:rFonts w:hint="eastAsia"/>
        </w:rPr>
        <w:t>功能异常情况监测及功能故障维修：当充电桩发生故障时，维修人员应进行排查和修复，对于一些复杂的故障，及时联系充电桩生产厂家获取技术支持或更换零部件；</w:t>
      </w:r>
    </w:p>
    <w:p w14:paraId="7FD86976">
      <w:pPr>
        <w:pStyle w:val="84"/>
        <w:ind w:firstLine="480"/>
      </w:pPr>
      <w:r>
        <w:rPr>
          <w:rFonts w:hint="eastAsia"/>
        </w:rPr>
        <w:t>（5）安全管理：确保充电桩附近配备有效的消防设施，张贴安全标识，保证充电桩周边环境安全整洁。</w:t>
      </w:r>
    </w:p>
    <w:p w14:paraId="2C52D2F2">
      <w:pPr>
        <w:pStyle w:val="84"/>
        <w:ind w:firstLine="480"/>
      </w:pPr>
      <w:r>
        <w:rPr>
          <w:rFonts w:hint="eastAsia"/>
        </w:rPr>
        <w:t>12、电动自行车充电桩保养要求</w:t>
      </w:r>
    </w:p>
    <w:p w14:paraId="00736A28">
      <w:pPr>
        <w:pStyle w:val="84"/>
        <w:ind w:firstLine="480"/>
      </w:pPr>
      <w:r>
        <w:rPr>
          <w:rFonts w:hint="eastAsia"/>
        </w:rPr>
        <w:t>（1）电气连接：保证每日至少检查1次充电桩与电源的连接是否牢固，电线有无破损、老化、松动等情况。若发现问题，应及时更换或修复电线，确保连接可靠，避免因接触不良引发发热、电火花等安全隐患；</w:t>
      </w:r>
    </w:p>
    <w:p w14:paraId="66BC24A5">
      <w:pPr>
        <w:pStyle w:val="84"/>
        <w:ind w:firstLine="480"/>
      </w:pPr>
      <w:r>
        <w:rPr>
          <w:rFonts w:hint="eastAsia"/>
        </w:rPr>
        <w:t>（2）充电接口：保证每日至少检查1次充电接口是否有异物堵塞、变形或损坏。如有异物，需及时清理；若接口变形或损坏，可能导致充电接触不良，应进行维修或更换，以保证充电的稳定性；</w:t>
      </w:r>
    </w:p>
    <w:p w14:paraId="5AD6BCE9">
      <w:pPr>
        <w:pStyle w:val="84"/>
        <w:ind w:firstLine="480"/>
      </w:pPr>
      <w:bookmarkStart w:id="29" w:name="_Hlk200984101"/>
      <w:r>
        <w:rPr>
          <w:rFonts w:hint="eastAsia"/>
        </w:rPr>
        <w:t>（3）功</w:t>
      </w:r>
      <w:bookmarkEnd w:id="29"/>
      <w:r>
        <w:rPr>
          <w:rFonts w:hint="eastAsia"/>
        </w:rPr>
        <w:t>能测试：保证每日至少1次对充电桩的各项功能进行测试，如充电开始、停止功能是否灵敏，充电时长和电量显示是否准确等。若出现功能异常，应及时排查故障原因并修复；</w:t>
      </w:r>
    </w:p>
    <w:p w14:paraId="7B1A1C52">
      <w:pPr>
        <w:pStyle w:val="84"/>
        <w:ind w:firstLine="480"/>
      </w:pPr>
      <w:r>
        <w:rPr>
          <w:rFonts w:hint="eastAsia"/>
        </w:rPr>
        <w:t>（4）保证每周至少一次电压测试；</w:t>
      </w:r>
    </w:p>
    <w:p w14:paraId="33BD6249">
      <w:pPr>
        <w:pStyle w:val="84"/>
        <w:ind w:firstLine="480"/>
      </w:pPr>
      <w:r>
        <w:rPr>
          <w:rFonts w:hint="eastAsia"/>
        </w:rPr>
        <w:t>（5）安全管理：确保充电桩附近配备有效的消防设施，张贴安全标识，保证周边环境安全整洁。</w:t>
      </w:r>
    </w:p>
    <w:p w14:paraId="037064F6">
      <w:pPr>
        <w:pStyle w:val="84"/>
        <w:ind w:firstLine="480"/>
      </w:pPr>
      <w:r>
        <w:rPr>
          <w:rFonts w:hint="eastAsia"/>
        </w:rPr>
        <w:t>1</w:t>
      </w:r>
      <w:r>
        <w:t>3</w:t>
      </w:r>
      <w:r>
        <w:rPr>
          <w:rFonts w:hint="eastAsia"/>
        </w:rPr>
        <w:t>、照明系统维护保养要求：</w:t>
      </w:r>
    </w:p>
    <w:p w14:paraId="09DDEE10">
      <w:pPr>
        <w:pStyle w:val="84"/>
        <w:ind w:firstLine="480"/>
      </w:pPr>
      <w:r>
        <w:rPr>
          <w:rFonts w:hint="eastAsia"/>
        </w:rPr>
        <w:t>（1）外观整洁无缺损、无松落；</w:t>
      </w:r>
    </w:p>
    <w:p w14:paraId="2202943C">
      <w:pPr>
        <w:pStyle w:val="84"/>
        <w:ind w:firstLine="480"/>
      </w:pPr>
      <w:r>
        <w:rPr>
          <w:rFonts w:hint="eastAsia"/>
        </w:rPr>
        <w:t>（2）更换的照明灯具应当选用节能环保产品，亮度与更换前保持一致；</w:t>
      </w:r>
    </w:p>
    <w:p w14:paraId="57FD9305">
      <w:pPr>
        <w:pStyle w:val="84"/>
        <w:ind w:firstLine="480"/>
      </w:pPr>
      <w:r>
        <w:rPr>
          <w:rFonts w:hint="eastAsia"/>
        </w:rPr>
        <w:t>（3）每周至少开展1次公共区域照明设备巡视。</w:t>
      </w:r>
    </w:p>
    <w:p w14:paraId="35FDFCC3">
      <w:pPr>
        <w:pStyle w:val="84"/>
        <w:ind w:firstLine="482"/>
        <w:rPr>
          <w:b/>
        </w:rPr>
      </w:pPr>
      <w:r>
        <w:rPr>
          <w:rFonts w:hint="eastAsia"/>
          <w:b/>
        </w:rPr>
        <w:t>（五）绿化养护服务</w:t>
      </w:r>
    </w:p>
    <w:p w14:paraId="6BD6856D">
      <w:pPr>
        <w:pStyle w:val="84"/>
        <w:ind w:firstLine="480"/>
      </w:pPr>
      <w:r>
        <w:rPr>
          <w:rFonts w:hint="eastAsia"/>
        </w:rPr>
        <w:t>1、根据生长环境、植物特性进行除草、灌溉、施肥、整形修剪、防治病虫害等。</w:t>
      </w:r>
    </w:p>
    <w:p w14:paraId="1FC99678">
      <w:pPr>
        <w:pStyle w:val="84"/>
        <w:ind w:firstLine="480"/>
      </w:pPr>
      <w:r>
        <w:rPr>
          <w:rFonts w:hint="eastAsia"/>
        </w:rPr>
        <w:t>（1）浇水施肥：根据不同生长季节的天气情况，不同植物种类适当淋水，并做好雨季排水工作，满足植物正常生长的需要；根据院内的观花植物、果木树、小乔木、灌木等实际情况进行施肥，确保其正常生长；</w:t>
      </w:r>
    </w:p>
    <w:p w14:paraId="139E346A">
      <w:pPr>
        <w:pStyle w:val="84"/>
        <w:ind w:firstLine="480"/>
      </w:pPr>
      <w:r>
        <w:rPr>
          <w:rFonts w:hint="eastAsia"/>
        </w:rPr>
        <w:t>（2）病虫害防治：及时做好病虫害的防治工作，确保植物不收病虫害影响；</w:t>
      </w:r>
    </w:p>
    <w:p w14:paraId="374D908A">
      <w:pPr>
        <w:pStyle w:val="84"/>
        <w:ind w:firstLine="480"/>
      </w:pPr>
      <w:r>
        <w:rPr>
          <w:rFonts w:hint="eastAsia"/>
        </w:rPr>
        <w:t>（3）修剪：针对不同的植物进行修剪，对病虫枝、伤残枝、枯死枝等及时剪除，保证造型美观，无枯枝败叶，及造型美观，又能适时开花；</w:t>
      </w:r>
    </w:p>
    <w:p w14:paraId="35AEC34B">
      <w:pPr>
        <w:pStyle w:val="84"/>
        <w:ind w:firstLine="480"/>
      </w:pPr>
      <w:r>
        <w:rPr>
          <w:rFonts w:hint="eastAsia"/>
        </w:rPr>
        <w:t>2、除草松土：每月进行一次除杂草和松土</w:t>
      </w:r>
    </w:p>
    <w:p w14:paraId="0C86E0D4">
      <w:pPr>
        <w:pStyle w:val="84"/>
        <w:ind w:firstLine="480"/>
      </w:pPr>
      <w:r>
        <w:rPr>
          <w:rFonts w:hint="eastAsia"/>
        </w:rPr>
        <w:t>（1</w:t>
      </w:r>
      <w:r>
        <w:t>）</w:t>
      </w:r>
      <w:r>
        <w:rPr>
          <w:rFonts w:hint="eastAsia"/>
        </w:rPr>
        <w:t>做到基本无杂草。</w:t>
      </w:r>
    </w:p>
    <w:p w14:paraId="2D6BCA8E">
      <w:pPr>
        <w:pStyle w:val="84"/>
        <w:ind w:firstLine="480"/>
      </w:pPr>
      <w:r>
        <w:rPr>
          <w:rFonts w:hint="eastAsia"/>
        </w:rPr>
        <w:t>（2）根据生长情况修剪绿地，绿地内无枯草、无杂物，无干枯坏死和病虫侵害，基本无裸露土地。</w:t>
      </w:r>
    </w:p>
    <w:p w14:paraId="1B468381">
      <w:pPr>
        <w:pStyle w:val="84"/>
        <w:ind w:firstLine="480"/>
      </w:pPr>
      <w:r>
        <w:rPr>
          <w:rFonts w:hint="eastAsia"/>
        </w:rPr>
        <w:t>（3）定期修剪树木、花卉等，灌乔木生长正常、造型美观自然、花枝新鲜，无枯叶、无病虫、无死树缺株。</w:t>
      </w:r>
    </w:p>
    <w:p w14:paraId="7B2F9E23">
      <w:pPr>
        <w:pStyle w:val="84"/>
        <w:ind w:firstLine="480"/>
      </w:pPr>
      <w:r>
        <w:rPr>
          <w:rFonts w:hint="eastAsia"/>
        </w:rPr>
        <w:t>（4）绿篱生长造型正常，颜色正常，修剪及时，基本无死株和干死株，有虫株率在10%以下。</w:t>
      </w:r>
    </w:p>
    <w:p w14:paraId="6CD2A058">
      <w:pPr>
        <w:pStyle w:val="84"/>
        <w:ind w:firstLine="480"/>
      </w:pPr>
      <w:r>
        <w:rPr>
          <w:rFonts w:hint="eastAsia"/>
        </w:rPr>
        <w:t>（5）清除花坛和花景的花蒂、黄叶、杂草、垃圾，做好病虫害防治。</w:t>
      </w:r>
    </w:p>
    <w:p w14:paraId="675E4514">
      <w:pPr>
        <w:pStyle w:val="84"/>
        <w:ind w:firstLine="480"/>
      </w:pPr>
      <w:r>
        <w:rPr>
          <w:rFonts w:hint="eastAsia"/>
        </w:rPr>
        <w:t>（6）水池水面定期清理，无枯枝落叶、水质清洁。</w:t>
      </w:r>
    </w:p>
    <w:p w14:paraId="268D0CE0">
      <w:pPr>
        <w:pStyle w:val="84"/>
        <w:ind w:firstLine="480"/>
      </w:pPr>
      <w:r>
        <w:rPr>
          <w:rFonts w:hint="eastAsia"/>
        </w:rPr>
        <w:t>（7）根据病虫害发生规律实施综合治理，通常在病虫率高时，以药剂杀死病虫，以确保植物良好生长。产生垃圾的主要区域和路段做到日产日清。</w:t>
      </w:r>
    </w:p>
    <w:p w14:paraId="0C33A37A">
      <w:pPr>
        <w:pStyle w:val="84"/>
        <w:ind w:firstLine="480"/>
      </w:pPr>
      <w:r>
        <w:rPr>
          <w:rFonts w:hint="eastAsia"/>
        </w:rPr>
        <w:t>（8）雨雪、冰冻等恶劣天气来临前，专人巡查，对绿植做好预防措施，排除安全隐患。</w:t>
      </w:r>
    </w:p>
    <w:p w14:paraId="34133858">
      <w:pPr>
        <w:pStyle w:val="84"/>
        <w:ind w:firstLine="480"/>
      </w:pPr>
      <w:r>
        <w:rPr>
          <w:rFonts w:hint="eastAsia"/>
        </w:rPr>
        <w:t>（9）恶劣天气后，及时清除倒树断枝，疏通道路，尽快恢复原状。</w:t>
      </w:r>
    </w:p>
    <w:p w14:paraId="60654436">
      <w:pPr>
        <w:pStyle w:val="84"/>
        <w:ind w:firstLine="480"/>
      </w:pPr>
      <w:r>
        <w:rPr>
          <w:rFonts w:hint="eastAsia"/>
        </w:rPr>
        <w:t>（10）草种正常生长、草坪无杂草；乔木、树木生长正常，枝叶健壮；灌木和花卉生长良好，花繁叶茂，造型美观，具有一定的艺术感和立体感。</w:t>
      </w:r>
    </w:p>
    <w:p w14:paraId="27F6A6F5">
      <w:pPr>
        <w:pStyle w:val="84"/>
        <w:ind w:firstLine="482"/>
        <w:rPr>
          <w:b/>
        </w:rPr>
      </w:pPr>
      <w:r>
        <w:rPr>
          <w:rFonts w:hint="eastAsia"/>
          <w:b/>
        </w:rPr>
        <w:t>（六</w:t>
      </w:r>
      <w:r>
        <w:rPr>
          <w:b/>
        </w:rPr>
        <w:t>）</w:t>
      </w:r>
      <w:r>
        <w:rPr>
          <w:rFonts w:hint="eastAsia"/>
          <w:b/>
        </w:rPr>
        <w:t>会议服务</w:t>
      </w:r>
    </w:p>
    <w:p w14:paraId="3C6FC897">
      <w:pPr>
        <w:pStyle w:val="84"/>
        <w:ind w:firstLine="480"/>
      </w:pPr>
      <w:r>
        <w:rPr>
          <w:rFonts w:hint="eastAsia"/>
        </w:rPr>
        <w:t>1、主要包括会议服务、会议会场保障服务及会议设备管理服务。供应商设置专门的会议接待人员，负责会议茶水供应和会场保障服务。并安排经过培训有专业素质水平的人员进行服务，遵守工作纪律。</w:t>
      </w:r>
    </w:p>
    <w:p w14:paraId="276F1C8D">
      <w:pPr>
        <w:pStyle w:val="84"/>
        <w:ind w:firstLine="480"/>
      </w:pPr>
      <w:r>
        <w:rPr>
          <w:rFonts w:hint="eastAsia"/>
        </w:rPr>
        <w:t>2、着装要规范，衣着干净整洁，形象气质佳，标准普通话，不穿高跟鞋、不留（装扮）指甲、不浓妆艳抹，上岗前不吃异味食物。</w:t>
      </w:r>
    </w:p>
    <w:p w14:paraId="6CA722F0">
      <w:pPr>
        <w:pStyle w:val="84"/>
        <w:ind w:firstLine="480"/>
      </w:pPr>
      <w:r>
        <w:rPr>
          <w:rFonts w:hint="eastAsia"/>
        </w:rPr>
        <w:t>3、在采购人对会议室使用、调配安排下，负责做好会前、会中、会后服务。随时保持会议室的干净、整洁，物品摆放整齐。</w:t>
      </w:r>
    </w:p>
    <w:p w14:paraId="62F44998">
      <w:pPr>
        <w:pStyle w:val="84"/>
        <w:ind w:firstLine="480"/>
      </w:pPr>
      <w:r>
        <w:rPr>
          <w:rFonts w:hint="eastAsia"/>
        </w:rPr>
        <w:t>4、按照对会议室的使用要求，及时进行室内的卫生清洁保洁工作，保证各项会议的正常召开。</w:t>
      </w:r>
    </w:p>
    <w:p w14:paraId="50B84886">
      <w:pPr>
        <w:pStyle w:val="84"/>
        <w:ind w:firstLine="480"/>
      </w:pPr>
      <w:r>
        <w:rPr>
          <w:rFonts w:hint="eastAsia"/>
        </w:rPr>
        <w:t>5、特殊会议配备专业人员进行跟会，及时处理各种异常情况。</w:t>
      </w:r>
    </w:p>
    <w:p w14:paraId="48C323A2">
      <w:pPr>
        <w:pStyle w:val="3"/>
        <w:jc w:val="both"/>
      </w:pPr>
      <w:r>
        <w:rPr>
          <w:rFonts w:hint="eastAsia"/>
        </w:rPr>
        <w:t>三、设备要求</w:t>
      </w:r>
    </w:p>
    <w:p w14:paraId="013AC75C">
      <w:pPr>
        <w:pStyle w:val="84"/>
        <w:ind w:firstLine="480"/>
      </w:pPr>
      <w:r>
        <w:rPr>
          <w:rFonts w:hint="eastAsia"/>
        </w:rPr>
        <w:t>1、供应商针对本项目特点提供设备工具配置清单，内容包含物业服务设备、办公用品、作业机具、装备及耗材、保洁设备及人员服装。</w:t>
      </w:r>
    </w:p>
    <w:p w14:paraId="46FECF2A">
      <w:pPr>
        <w:pStyle w:val="84"/>
        <w:ind w:firstLine="480"/>
      </w:pPr>
      <w:r>
        <w:rPr>
          <w:rFonts w:hint="eastAsia"/>
        </w:rPr>
        <w:t>2、供应商必须配置满足工作需求：（1</w:t>
      </w:r>
      <w:r>
        <w:t>）</w:t>
      </w:r>
      <w:r>
        <w:rPr>
          <w:rFonts w:hint="eastAsia"/>
        </w:rPr>
        <w:t>具有适应现代化服务操作的物业服务设备、办公用品、作业机具、装备及耗材（2）其他：保洁设备、人员服装及物业日常消耗品。</w:t>
      </w:r>
    </w:p>
    <w:p w14:paraId="385E67AF">
      <w:pPr>
        <w:pStyle w:val="3"/>
        <w:jc w:val="both"/>
      </w:pPr>
      <w:r>
        <w:rPr>
          <w:rFonts w:hint="eastAsia"/>
        </w:rPr>
        <w:t>四</w:t>
      </w:r>
      <w:r>
        <w:t>、</w:t>
      </w:r>
      <w:r>
        <w:rPr>
          <w:rFonts w:hint="eastAsia"/>
        </w:rPr>
        <w:t>人员</w:t>
      </w:r>
      <w:r>
        <w:t>要求</w:t>
      </w:r>
    </w:p>
    <w:p w14:paraId="18BC7952">
      <w:pPr>
        <w:pStyle w:val="84"/>
        <w:ind w:firstLine="480"/>
      </w:pPr>
      <w:r>
        <w:t>（一）</w:t>
      </w:r>
      <w:r>
        <w:rPr>
          <w:rFonts w:hint="eastAsia"/>
        </w:rPr>
        <w:t>总体要求：管理人员（项目</w:t>
      </w:r>
      <w:r>
        <w:t>经理、项目主管）</w:t>
      </w:r>
      <w:r>
        <w:rPr>
          <w:rFonts w:hint="eastAsia"/>
        </w:rPr>
        <w:t>2人；保安员12人（其中保安主管1人、领班1人、门岗6人、消控岗2人、巡逻岗1人、车管岗1人）；保洁员12人（其中主管1人、保洁员10人、垃圾清运工1人）；水电工3人；会务保障人员3人；特种设备操作员2人（其中：车库操作员1人，电梯操作员1人），总计配备固定人员34人。</w:t>
      </w:r>
    </w:p>
    <w:p w14:paraId="73D8EBD1">
      <w:pPr>
        <w:pStyle w:val="84"/>
        <w:ind w:firstLine="480"/>
      </w:pPr>
      <w:r>
        <w:t>（</w:t>
      </w:r>
      <w:r>
        <w:rPr>
          <w:rFonts w:hint="eastAsia"/>
        </w:rPr>
        <w:t>二</w:t>
      </w:r>
      <w:r>
        <w:t>）</w:t>
      </w:r>
      <w:r>
        <w:rPr>
          <w:rFonts w:hint="eastAsia"/>
        </w:rPr>
        <w:t>管理人员要求：</w:t>
      </w:r>
    </w:p>
    <w:p w14:paraId="389921E4">
      <w:pPr>
        <w:pStyle w:val="84"/>
        <w:ind w:firstLine="480"/>
      </w:pPr>
      <w:r>
        <w:rPr>
          <w:rFonts w:hint="eastAsia"/>
        </w:rPr>
        <w:t>1、年龄45周岁以内，工作干练，经验丰富。</w:t>
      </w:r>
    </w:p>
    <w:p w14:paraId="102BE8A9">
      <w:pPr>
        <w:pStyle w:val="84"/>
        <w:ind w:firstLine="480"/>
      </w:pPr>
      <w:r>
        <w:t>2</w:t>
      </w:r>
      <w:r>
        <w:rPr>
          <w:rFonts w:hint="eastAsia"/>
        </w:rPr>
        <w:t>、项目</w:t>
      </w:r>
      <w:r>
        <w:t>经理</w:t>
      </w:r>
      <w:r>
        <w:rPr>
          <w:rFonts w:hint="eastAsia"/>
        </w:rPr>
        <w:t>：具有本科及以上学历，具有类似项目管理经验不少于5年（以甲方出具的证明为依据），同时提供供应商近半年来为管理人员缴纳的连续三个月的社保缴纳证明材料；</w:t>
      </w:r>
    </w:p>
    <w:p w14:paraId="118702FA">
      <w:pPr>
        <w:pStyle w:val="84"/>
        <w:ind w:firstLine="480"/>
      </w:pPr>
      <w:r>
        <w:t>3</w:t>
      </w:r>
      <w:r>
        <w:rPr>
          <w:rFonts w:hint="eastAsia"/>
        </w:rPr>
        <w:t>、项目主管：具有大专及以上学历，物业服务2年或以上管理经验（以甲方出具的证明为依据），同时提供供应商近半年来为管理人员缴纳的连续三个月的社保缴纳证明材料。</w:t>
      </w:r>
    </w:p>
    <w:p w14:paraId="0389EF8A">
      <w:pPr>
        <w:pStyle w:val="84"/>
        <w:ind w:firstLine="480"/>
      </w:pPr>
      <w:r>
        <w:t>（</w:t>
      </w:r>
      <w:r>
        <w:rPr>
          <w:rFonts w:hint="eastAsia"/>
        </w:rPr>
        <w:t>三</w:t>
      </w:r>
      <w:r>
        <w:t>）</w:t>
      </w:r>
      <w:r>
        <w:rPr>
          <w:rFonts w:hint="eastAsia"/>
        </w:rPr>
        <w:t>工作人员要求：</w:t>
      </w:r>
      <w:r>
        <w:t xml:space="preserve"> </w:t>
      </w:r>
    </w:p>
    <w:p w14:paraId="5DB735E1">
      <w:pPr>
        <w:pStyle w:val="84"/>
        <w:ind w:firstLine="480"/>
        <w:rPr>
          <w:u w:val="single"/>
        </w:rPr>
      </w:pPr>
      <w:r>
        <w:rPr>
          <w:rFonts w:hint="eastAsia"/>
        </w:rPr>
        <w:t>1、保安员（12人）遵纪守法，品行良好，无犯罪记录，爱岗敬业，责任心强，五官端正，身体健康，具备良好的语言沟通能力：</w:t>
      </w:r>
      <w:r>
        <w:rPr>
          <w:rFonts w:ascii="Segoe UI Symbol" w:hAnsi="Segoe UI Symbol" w:cs="Segoe UI Symbol"/>
          <w:color w:val="FF0000"/>
          <w:u w:val="single"/>
        </w:rPr>
        <w:t>★</w:t>
      </w:r>
      <w:r>
        <w:rPr>
          <w:rFonts w:hint="eastAsia"/>
          <w:u w:val="single"/>
        </w:rPr>
        <w:t>年龄20至45周岁之间，全员须提供身份证扫描件、保安员证扫描件。消防秩序维护员同时</w:t>
      </w:r>
      <w:r>
        <w:rPr>
          <w:u w:val="single"/>
        </w:rPr>
        <w:t>还</w:t>
      </w:r>
      <w:r>
        <w:rPr>
          <w:rFonts w:hint="eastAsia"/>
          <w:u w:val="single"/>
        </w:rPr>
        <w:t>须提供消防设施操作员证或建（构）筑物消防员四级及以上（中级）证书扫描件并加盖供应商公章;</w:t>
      </w:r>
    </w:p>
    <w:p w14:paraId="4B950F80">
      <w:pPr>
        <w:pStyle w:val="84"/>
        <w:ind w:firstLine="480"/>
      </w:pPr>
      <w:r>
        <w:t>2</w:t>
      </w:r>
      <w:r>
        <w:rPr>
          <w:rFonts w:hint="eastAsia"/>
        </w:rPr>
        <w:t>、保洁员（12人）身体健康，无不良嗜好，品行端正，认真负责，吃苦耐劳，服务意识强：年龄20-50周岁之间，全员须提供身份证扫描件并加盖供应商公章;</w:t>
      </w:r>
    </w:p>
    <w:p w14:paraId="30807618">
      <w:pPr>
        <w:pStyle w:val="84"/>
        <w:ind w:firstLine="480"/>
        <w:rPr>
          <w:u w:val="single"/>
        </w:rPr>
      </w:pPr>
      <w:r>
        <w:rPr>
          <w:rFonts w:hint="eastAsia"/>
        </w:rPr>
        <w:t>3、水电工（3人）熟悉水路电路及供水供电设施，掌握电气设备工作原理及安全操作规程，具备处理一般水电故障的能力工作认真负责，身体健康：</w:t>
      </w:r>
      <w:r>
        <w:rPr>
          <w:rFonts w:ascii="Segoe UI Symbol" w:hAnsi="Segoe UI Symbol" w:cs="Segoe UI Symbol"/>
          <w:color w:val="FF0000"/>
          <w:u w:val="single"/>
        </w:rPr>
        <w:t>★</w:t>
      </w:r>
      <w:r>
        <w:rPr>
          <w:rFonts w:hint="eastAsia"/>
          <w:u w:val="single"/>
        </w:rPr>
        <w:t>男性，55周岁以下，2名水电工须持有效期内的《特种作业操作证》（高压电工作业），1名水电工须持有效期内的《特种作业操作证》（低压电工作业），全员</w:t>
      </w:r>
      <w:r>
        <w:rPr>
          <w:u w:val="single"/>
        </w:rPr>
        <w:t>须</w:t>
      </w:r>
      <w:r>
        <w:rPr>
          <w:rFonts w:hint="eastAsia"/>
          <w:u w:val="single"/>
        </w:rPr>
        <w:t>提供身份证扫描件及</w:t>
      </w:r>
      <w:r>
        <w:rPr>
          <w:u w:val="single"/>
        </w:rPr>
        <w:t>证书</w:t>
      </w:r>
      <w:r>
        <w:rPr>
          <w:rFonts w:hint="eastAsia"/>
          <w:u w:val="single"/>
        </w:rPr>
        <w:t>扫描件并加盖供应商公章;</w:t>
      </w:r>
      <w:r>
        <w:rPr>
          <w:u w:val="single"/>
        </w:rPr>
        <w:t xml:space="preserve"> </w:t>
      </w:r>
    </w:p>
    <w:p w14:paraId="4B3F5354">
      <w:pPr>
        <w:pStyle w:val="84"/>
        <w:ind w:firstLine="480"/>
      </w:pPr>
      <w:r>
        <w:rPr>
          <w:rFonts w:hint="eastAsia"/>
        </w:rPr>
        <w:t>4、会务保障人员（3人）品行端正，工作认真负责，身体健康，熟悉音频、视频系统调试、会场布置、会务引导及茶水服务等保障工作：55周岁以下，全员须提供身份证扫描件并加盖供应商公章;</w:t>
      </w:r>
    </w:p>
    <w:p w14:paraId="576CAAD6">
      <w:pPr>
        <w:pStyle w:val="84"/>
        <w:ind w:firstLine="480"/>
        <w:rPr>
          <w:u w:val="single"/>
        </w:rPr>
      </w:pPr>
      <w:r>
        <w:rPr>
          <w:rFonts w:hint="eastAsia"/>
        </w:rPr>
        <w:t>5、特种设备操作员（车库管理操作、电梯管理操作人员）人员（2人）品行端正，身体健康，工作认真负责：</w:t>
      </w:r>
      <w:r>
        <w:rPr>
          <w:rFonts w:ascii="Segoe UI Symbol" w:hAnsi="Segoe UI Symbol" w:cs="Segoe UI Symbol"/>
          <w:color w:val="FF0000"/>
          <w:u w:val="single"/>
        </w:rPr>
        <w:t>★</w:t>
      </w:r>
      <w:r>
        <w:rPr>
          <w:rFonts w:hint="eastAsia"/>
          <w:u w:val="single"/>
        </w:rPr>
        <w:t>55周岁以下，须持有效期内的《特种设备安全管理和作业</w:t>
      </w:r>
      <w:r>
        <w:rPr>
          <w:u w:val="single"/>
        </w:rPr>
        <w:t>人员证</w:t>
      </w:r>
      <w:r>
        <w:rPr>
          <w:rFonts w:hint="eastAsia"/>
          <w:u w:val="single"/>
        </w:rPr>
        <w:t>》；全员</w:t>
      </w:r>
      <w:r>
        <w:rPr>
          <w:u w:val="single"/>
        </w:rPr>
        <w:t>须</w:t>
      </w:r>
      <w:r>
        <w:rPr>
          <w:rFonts w:hint="eastAsia"/>
          <w:u w:val="single"/>
        </w:rPr>
        <w:t>提供身份证扫描件及《特种设备安全管理和作业</w:t>
      </w:r>
      <w:r>
        <w:rPr>
          <w:u w:val="single"/>
        </w:rPr>
        <w:t>人员证</w:t>
      </w:r>
      <w:r>
        <w:rPr>
          <w:rFonts w:hint="eastAsia"/>
          <w:u w:val="single"/>
        </w:rPr>
        <w:t>》扫描件并加盖供应商公章;</w:t>
      </w:r>
    </w:p>
    <w:p w14:paraId="7EE2AE1A">
      <w:pPr>
        <w:pStyle w:val="84"/>
        <w:ind w:firstLine="480"/>
      </w:pPr>
      <w:r>
        <w:t>6</w:t>
      </w:r>
      <w:r>
        <w:rPr>
          <w:rFonts w:hint="eastAsia"/>
        </w:rPr>
        <w:t>、供应商应保证人事档案齐全，按时缴纳社保，满足采购人提出的岗位要求，遵守双方所达成的相关协议。物业管理人员要保证长期稳定性，对物业服务人员进行更换时必须提前一个月向采购人进行报备。</w:t>
      </w:r>
    </w:p>
    <w:p w14:paraId="593E1DE5">
      <w:pPr>
        <w:pStyle w:val="84"/>
        <w:ind w:firstLine="480"/>
      </w:pPr>
      <w:r>
        <w:rPr>
          <w:rFonts w:hint="eastAsia"/>
        </w:rPr>
        <w:t>7、</w:t>
      </w:r>
      <w:r>
        <w:rPr>
          <w:rFonts w:ascii="Segoe UI Symbol" w:hAnsi="Segoe UI Symbol" w:cs="Segoe UI Symbol"/>
          <w:color w:val="FF0000"/>
        </w:rPr>
        <w:t>★</w:t>
      </w:r>
      <w:r>
        <w:rPr>
          <w:rFonts w:hint="eastAsia"/>
        </w:rPr>
        <w:t>承诺函</w:t>
      </w:r>
      <w:r>
        <w:t>：</w:t>
      </w:r>
    </w:p>
    <w:p w14:paraId="3F0DBD2C">
      <w:pPr>
        <w:pStyle w:val="84"/>
        <w:ind w:firstLine="480"/>
      </w:pPr>
      <w:r>
        <w:rPr>
          <w:rFonts w:hint="eastAsia"/>
        </w:rPr>
        <w:t>（1</w:t>
      </w:r>
      <w:r>
        <w:t>）</w:t>
      </w:r>
      <w:r>
        <w:rPr>
          <w:rFonts w:hint="eastAsia"/>
        </w:rPr>
        <w:t>供应商须承诺：拟派物业服务人员完全满足磋商文件人数（34人）要求。提供</w:t>
      </w:r>
      <w:r>
        <w:t>承诺函。</w:t>
      </w:r>
    </w:p>
    <w:p w14:paraId="0D1F18CE">
      <w:pPr>
        <w:pStyle w:val="84"/>
        <w:ind w:firstLine="480"/>
      </w:pPr>
      <w:r>
        <w:rPr>
          <w:rFonts w:hint="eastAsia"/>
        </w:rPr>
        <w:t>（2</w:t>
      </w:r>
      <w:r>
        <w:t>）</w:t>
      </w:r>
      <w:r>
        <w:rPr>
          <w:rFonts w:hint="eastAsia"/>
        </w:rPr>
        <w:t>供应商须承诺：项目经理不得同时兼任其他项目的管理岗位，且不得随意更换，如需更换须经采购人同意。提供</w:t>
      </w:r>
      <w:r>
        <w:t>承诺函。</w:t>
      </w:r>
    </w:p>
    <w:p w14:paraId="7D0745D0">
      <w:pPr>
        <w:pStyle w:val="84"/>
        <w:ind w:firstLine="480"/>
      </w:pPr>
      <w:r>
        <w:rPr>
          <w:rFonts w:hint="eastAsia"/>
        </w:rPr>
        <w:t>（3</w:t>
      </w:r>
      <w:r>
        <w:t>）</w:t>
      </w:r>
      <w:r>
        <w:rPr>
          <w:rFonts w:hint="eastAsia"/>
        </w:rPr>
        <w:t>供应商须承诺：按照国家规定为员工购买社保、特殊工种（高空作业、高温作业等）须购买相应工作安全保险。购买公众责任险及其他相关保险。提供</w:t>
      </w:r>
      <w:r>
        <w:t>承诺函。</w:t>
      </w:r>
    </w:p>
    <w:p w14:paraId="1B0E387F">
      <w:pPr>
        <w:pStyle w:val="3"/>
        <w:jc w:val="both"/>
      </w:pPr>
      <w:r>
        <w:rPr>
          <w:rFonts w:hint="eastAsia"/>
        </w:rPr>
        <w:t>五</w:t>
      </w:r>
      <w:r>
        <w:t>、</w:t>
      </w:r>
      <w:r>
        <w:rPr>
          <w:rFonts w:hint="eastAsia"/>
        </w:rPr>
        <w:t>商务要求</w:t>
      </w:r>
    </w:p>
    <w:p w14:paraId="0B9A2466">
      <w:pPr>
        <w:pStyle w:val="84"/>
        <w:ind w:firstLine="480"/>
      </w:pPr>
      <w:r>
        <w:rPr>
          <w:rFonts w:hint="eastAsia"/>
        </w:rPr>
        <w:t>（一</w:t>
      </w:r>
      <w:r>
        <w:t>）</w:t>
      </w:r>
      <w:r>
        <w:rPr>
          <w:rFonts w:hint="eastAsia"/>
        </w:rPr>
        <w:t>服务期：一年，以双方签订合同时约定的起止时间为准。</w:t>
      </w:r>
    </w:p>
    <w:p w14:paraId="337322BD">
      <w:pPr>
        <w:pStyle w:val="84"/>
        <w:ind w:firstLine="480"/>
      </w:pPr>
      <w:r>
        <w:rPr>
          <w:rFonts w:hint="eastAsia"/>
        </w:rPr>
        <w:t>（二）磋商报价：投标报价</w:t>
      </w:r>
      <w:r>
        <w:t>应</w:t>
      </w:r>
      <w:r>
        <w:rPr>
          <w:rFonts w:hint="eastAsia"/>
        </w:rPr>
        <w:t>包含人员劳务支出、社会保险、工装费、三费福利、物业服务工器具费、办公费、固定资产折旧费、管理费用、法定税费等由中标供应商承担的一切费用。</w:t>
      </w:r>
    </w:p>
    <w:p w14:paraId="630883A6">
      <w:pPr>
        <w:pStyle w:val="84"/>
        <w:ind w:firstLine="480"/>
      </w:pPr>
      <w:r>
        <w:rPr>
          <w:rFonts w:hint="eastAsia"/>
        </w:rPr>
        <w:t>（三）</w:t>
      </w:r>
      <w:r>
        <w:t>实施期限</w:t>
      </w:r>
    </w:p>
    <w:p w14:paraId="58AF7316">
      <w:pPr>
        <w:pStyle w:val="84"/>
        <w:ind w:firstLine="480"/>
      </w:pPr>
      <w:r>
        <w:rPr>
          <w:rFonts w:hint="eastAsia"/>
        </w:rPr>
        <w:t>202</w:t>
      </w:r>
      <w:r>
        <w:t>5</w:t>
      </w:r>
      <w:r>
        <w:rPr>
          <w:rFonts w:hint="eastAsia"/>
        </w:rPr>
        <w:t>年8月</w:t>
      </w:r>
      <w:r>
        <w:t>6</w:t>
      </w:r>
      <w:r>
        <w:rPr>
          <w:rFonts w:hint="eastAsia"/>
        </w:rPr>
        <w:t>日至202</w:t>
      </w:r>
      <w:r>
        <w:t>6</w:t>
      </w:r>
      <w:r>
        <w:rPr>
          <w:rFonts w:hint="eastAsia"/>
        </w:rPr>
        <w:t>年</w:t>
      </w:r>
      <w:r>
        <w:t>8</w:t>
      </w:r>
      <w:r>
        <w:rPr>
          <w:rFonts w:hint="eastAsia"/>
        </w:rPr>
        <w:t>月</w:t>
      </w:r>
      <w:r>
        <w:t>5</w:t>
      </w:r>
      <w:r>
        <w:rPr>
          <w:rFonts w:hint="eastAsia"/>
        </w:rPr>
        <w:t>日（如采购流程于202</w:t>
      </w:r>
      <w:r>
        <w:t>5</w:t>
      </w:r>
      <w:r>
        <w:rPr>
          <w:rFonts w:hint="eastAsia"/>
        </w:rPr>
        <w:t>年8月</w:t>
      </w:r>
      <w:r>
        <w:t>6</w:t>
      </w:r>
      <w:r>
        <w:rPr>
          <w:rFonts w:hint="eastAsia"/>
        </w:rPr>
        <w:t>日前未结束，则服务期为自合同签订之日起一年）。</w:t>
      </w:r>
    </w:p>
    <w:p w14:paraId="5DDEEF87">
      <w:pPr>
        <w:pStyle w:val="84"/>
        <w:ind w:firstLine="480"/>
      </w:pPr>
      <w:r>
        <w:rPr>
          <w:rFonts w:hint="eastAsia"/>
        </w:rPr>
        <w:t>（四）付款方式</w:t>
      </w:r>
    </w:p>
    <w:p w14:paraId="4C97F465">
      <w:pPr>
        <w:pStyle w:val="84"/>
        <w:ind w:firstLine="480"/>
      </w:pPr>
      <w:r>
        <w:rPr>
          <w:rFonts w:hint="eastAsia"/>
        </w:rPr>
        <w:t>合同签订后1</w:t>
      </w:r>
      <w:r>
        <w:t>0</w:t>
      </w:r>
      <w:r>
        <w:rPr>
          <w:rFonts w:hint="eastAsia"/>
        </w:rPr>
        <w:t>个工作日内支付5</w:t>
      </w:r>
      <w:r>
        <w:t>0%</w:t>
      </w:r>
      <w:r>
        <w:rPr>
          <w:rFonts w:hint="eastAsia"/>
        </w:rPr>
        <w:t>的物业服务费；服务期内</w:t>
      </w:r>
      <w:r>
        <w:t>的第三季度</w:t>
      </w:r>
      <w:r>
        <w:rPr>
          <w:rFonts w:hint="eastAsia"/>
        </w:rPr>
        <w:t>开始后1</w:t>
      </w:r>
      <w:r>
        <w:t>0</w:t>
      </w:r>
      <w:r>
        <w:rPr>
          <w:rFonts w:hint="eastAsia"/>
        </w:rPr>
        <w:t>个工作日内支付2</w:t>
      </w:r>
      <w:r>
        <w:t>0%</w:t>
      </w:r>
      <w:r>
        <w:rPr>
          <w:rFonts w:hint="eastAsia"/>
        </w:rPr>
        <w:t>的物业服务费；服务期内</w:t>
      </w:r>
      <w:r>
        <w:t>的第</w:t>
      </w:r>
      <w:r>
        <w:rPr>
          <w:rFonts w:hint="eastAsia"/>
        </w:rPr>
        <w:t>四</w:t>
      </w:r>
      <w:r>
        <w:t>季度</w:t>
      </w:r>
      <w:r>
        <w:rPr>
          <w:rFonts w:hint="eastAsia"/>
        </w:rPr>
        <w:t>开始后1</w:t>
      </w:r>
      <w:r>
        <w:t>0</w:t>
      </w:r>
      <w:r>
        <w:rPr>
          <w:rFonts w:hint="eastAsia"/>
        </w:rPr>
        <w:t>个工作日内支付2</w:t>
      </w:r>
      <w:r>
        <w:t>0%</w:t>
      </w:r>
      <w:r>
        <w:rPr>
          <w:rFonts w:hint="eastAsia"/>
        </w:rPr>
        <w:t>的物业服务费；服务期内</w:t>
      </w:r>
      <w:r>
        <w:t>的</w:t>
      </w:r>
      <w:r>
        <w:rPr>
          <w:rFonts w:hint="eastAsia"/>
        </w:rPr>
        <w:t>第十二个月开始后1</w:t>
      </w:r>
      <w:r>
        <w:t>0</w:t>
      </w:r>
      <w:r>
        <w:rPr>
          <w:rFonts w:hint="eastAsia"/>
        </w:rPr>
        <w:t>个工作日内支付1</w:t>
      </w:r>
      <w:r>
        <w:t>0%</w:t>
      </w:r>
      <w:r>
        <w:rPr>
          <w:rFonts w:hint="eastAsia"/>
        </w:rPr>
        <w:t>的物业服务费。</w:t>
      </w:r>
    </w:p>
    <w:p w14:paraId="7C87A52C">
      <w:pPr>
        <w:pStyle w:val="84"/>
        <w:ind w:firstLine="480"/>
      </w:pPr>
      <w:r>
        <w:rPr>
          <w:rFonts w:hint="eastAsia"/>
        </w:rPr>
        <w:t>验收标准与要求</w:t>
      </w:r>
    </w:p>
    <w:p w14:paraId="7AD88B0E">
      <w:pPr>
        <w:pStyle w:val="84"/>
        <w:ind w:firstLine="480"/>
      </w:pPr>
      <w:r>
        <w:rPr>
          <w:rFonts w:hint="eastAsia"/>
        </w:rPr>
        <w:t>1、服务有效投诉少于3次/月，年投诉率不高于全年投诉率的60%，处理及时率100%，中心满意率90%以上。不达标即为违约。急修服务10分钟内到位，2小时内修复，若不能完成要有紧急处理措施，并对中心做出合理解释，做出限时承诺。小修1日内修复，特殊情况必须做出说明和限时承诺。</w:t>
      </w:r>
    </w:p>
    <w:p w14:paraId="605BA4E0">
      <w:pPr>
        <w:pStyle w:val="84"/>
        <w:ind w:firstLine="480"/>
      </w:pPr>
      <w:r>
        <w:rPr>
          <w:rFonts w:hint="eastAsia"/>
        </w:rPr>
        <w:t>2、供配电系统建立和完善有关规章制度,包括电气设备运行操作规程、安全操作规程、事故处理规程、巡视检查制度、维护制度、安全及交接班制度，所有供配电设备运行正常，没有人为故障。</w:t>
      </w:r>
    </w:p>
    <w:p w14:paraId="36D10AE7">
      <w:pPr>
        <w:pStyle w:val="84"/>
        <w:ind w:firstLine="480"/>
      </w:pPr>
      <w:r>
        <w:rPr>
          <w:rFonts w:hint="eastAsia"/>
        </w:rPr>
        <w:t>3、设备运行正常，专业人员24小时值班，监控反应灵敏，异常情况及时检修。</w:t>
      </w:r>
    </w:p>
    <w:p w14:paraId="0C9C1E7B">
      <w:pPr>
        <w:pStyle w:val="84"/>
        <w:ind w:firstLine="480"/>
      </w:pPr>
      <w:r>
        <w:rPr>
          <w:rFonts w:hint="eastAsia"/>
        </w:rPr>
        <w:t>4、内外环境整洁，没有卫生死角，随扫随清，环境卫生清洁率达90%。</w:t>
      </w:r>
    </w:p>
    <w:p w14:paraId="5C4A1100">
      <w:pPr>
        <w:pStyle w:val="84"/>
        <w:ind w:firstLine="480"/>
      </w:pPr>
      <w:r>
        <w:rPr>
          <w:rFonts w:hint="eastAsia"/>
        </w:rPr>
        <w:t>5、园林绿化养护与整体环境相协调、美观,花草树木长势良好，符合季节气候特点，没有人为毁绿损绿事故。</w:t>
      </w:r>
    </w:p>
    <w:p w14:paraId="207B0F4F">
      <w:pPr>
        <w:pStyle w:val="84"/>
        <w:ind w:firstLine="480"/>
      </w:pPr>
      <w:r>
        <w:rPr>
          <w:rFonts w:hint="eastAsia"/>
        </w:rPr>
        <w:t>达不到以上要求中的任意一条要求即为违约。</w:t>
      </w:r>
    </w:p>
    <w:p w14:paraId="2C07092A">
      <w:pPr>
        <w:pStyle w:val="84"/>
        <w:ind w:firstLine="480"/>
      </w:pPr>
      <w:r>
        <w:rPr>
          <w:rFonts w:hint="eastAsia"/>
        </w:rPr>
        <w:t>（七）需要说明的其他事项</w:t>
      </w:r>
    </w:p>
    <w:p w14:paraId="24F76454">
      <w:pPr>
        <w:pStyle w:val="84"/>
        <w:ind w:firstLine="480"/>
      </w:pPr>
      <w:r>
        <w:rPr>
          <w:rFonts w:hint="eastAsia"/>
        </w:rPr>
        <w:t>1、零星维修材料费用</w:t>
      </w:r>
    </w:p>
    <w:p w14:paraId="41D0BCB6">
      <w:pPr>
        <w:pStyle w:val="84"/>
        <w:ind w:firstLine="480"/>
      </w:pPr>
      <w:r>
        <w:rPr/>
        <w:sym w:font="Wingdings 2" w:char="0052"/>
      </w:r>
      <w:r>
        <w:t xml:space="preserve"> </w:t>
      </w:r>
      <w:r>
        <w:rPr>
          <w:rFonts w:hint="eastAsia"/>
        </w:rPr>
        <w:t>涉及以下情形的，相关</w:t>
      </w:r>
      <w:r>
        <w:t>费用包含在物业管理服务采购合同金额之内，由供应商承担</w:t>
      </w:r>
      <w:r>
        <w:rPr>
          <w:rFonts w:hint="eastAsia"/>
        </w:rPr>
        <w:t>：单次单项小于等于1000元的维修耗材费。（明确涉及的零星维修材料以及关于费用方面的规定）。</w:t>
      </w:r>
    </w:p>
    <w:p w14:paraId="7FE475EB">
      <w:pPr>
        <w:pStyle w:val="84"/>
        <w:ind w:firstLine="480"/>
      </w:pPr>
      <w:r>
        <w:rPr/>
        <w:sym w:font="Wingdings 2" w:char="0052"/>
      </w:r>
      <w:r>
        <w:t xml:space="preserve"> </w:t>
      </w:r>
      <w:r>
        <w:rPr>
          <w:rFonts w:hint="eastAsia"/>
        </w:rPr>
        <w:t>涉及以下情形的，由采购人承担</w:t>
      </w:r>
      <w:r>
        <w:t>：</w:t>
      </w:r>
      <w:r>
        <w:rPr>
          <w:rFonts w:hint="eastAsia"/>
        </w:rPr>
        <w:t>单次单项大于1000元的维修耗材费。（明确涉及的零星维修材料以及关于费用方面的规定）。</w:t>
      </w:r>
    </w:p>
    <w:p w14:paraId="7A8CB679">
      <w:pPr>
        <w:pStyle w:val="84"/>
        <w:ind w:firstLine="480"/>
      </w:pPr>
      <w:r>
        <w:rPr>
          <w:rFonts w:hint="eastAsia"/>
        </w:rPr>
        <w:t>2、低值易耗品费用</w:t>
      </w:r>
    </w:p>
    <w:p w14:paraId="034134C6">
      <w:pPr>
        <w:pStyle w:val="84"/>
        <w:ind w:firstLine="480"/>
      </w:pPr>
      <w:r>
        <w:rPr/>
        <w:sym w:font="Wingdings 2" w:char="0052"/>
      </w:r>
      <w:r>
        <w:t xml:space="preserve"> </w:t>
      </w:r>
      <w:r>
        <w:rPr>
          <w:rFonts w:hint="eastAsia"/>
        </w:rPr>
        <w:t>涉及以下情形的，相关</w:t>
      </w:r>
      <w:r>
        <w:t>费用包含在物业管理服务采购合同金额之内，由供应商承担</w:t>
      </w:r>
      <w:r>
        <w:rPr>
          <w:rFonts w:hint="eastAsia"/>
        </w:rPr>
        <w:t>：绿化养护工具、肥料、农药。（明确涉及的</w:t>
      </w:r>
      <w:r>
        <w:t>环境维护</w:t>
      </w:r>
      <w:r>
        <w:rPr>
          <w:rFonts w:hint="eastAsia"/>
        </w:rPr>
        <w:t>、绿化养护等服务</w:t>
      </w:r>
      <w:r>
        <w:t>中</w:t>
      </w:r>
      <w:r>
        <w:rPr>
          <w:rFonts w:hint="eastAsia"/>
        </w:rPr>
        <w:t>需要</w:t>
      </w:r>
      <w:r>
        <w:t>的低值易耗品</w:t>
      </w:r>
      <w:r>
        <w:rPr>
          <w:rFonts w:hint="eastAsia"/>
        </w:rPr>
        <w:t>以及关于费用方面的规定）。</w:t>
      </w:r>
    </w:p>
    <w:p w14:paraId="77924A4C">
      <w:pPr>
        <w:pStyle w:val="84"/>
        <w:ind w:firstLine="480"/>
      </w:pPr>
      <w:r>
        <w:rPr/>
        <w:sym w:font="Wingdings 2" w:char="00A3"/>
      </w:r>
      <w:r>
        <w:t xml:space="preserve"> </w:t>
      </w:r>
      <w:r>
        <w:rPr>
          <w:rFonts w:hint="eastAsia"/>
        </w:rPr>
        <w:t>涉及以下情形的，由采购人承担</w:t>
      </w:r>
      <w:r>
        <w:t>：</w:t>
      </w:r>
      <w:r>
        <w:rPr>
          <w:rFonts w:hint="eastAsia"/>
        </w:rPr>
        <w:t>_______________（明确涉</w:t>
      </w:r>
      <w:r>
        <w:t>及的环境维护、绿化养护等服务中需要的低值易耗品</w:t>
      </w:r>
      <w:r>
        <w:rPr>
          <w:rFonts w:hint="eastAsia"/>
        </w:rPr>
        <w:t>以及关于费用方面的规定）。</w:t>
      </w:r>
    </w:p>
    <w:p w14:paraId="4239328F">
      <w:pPr>
        <w:pStyle w:val="84"/>
        <w:ind w:firstLine="480"/>
      </w:pPr>
      <w:r>
        <w:rPr>
          <w:rFonts w:hint="eastAsia"/>
        </w:rPr>
        <w:t>3、苗木费用</w:t>
      </w:r>
    </w:p>
    <w:p w14:paraId="2755668D">
      <w:pPr>
        <w:pStyle w:val="84"/>
        <w:ind w:firstLine="480"/>
      </w:pPr>
      <w:r>
        <w:rPr/>
        <w:sym w:font="Wingdings 2" w:char="0052"/>
      </w:r>
      <w:r>
        <w:t xml:space="preserve"> </w:t>
      </w:r>
      <w:r>
        <w:rPr>
          <w:rFonts w:hint="eastAsia"/>
        </w:rPr>
        <w:t>涉及以下情形的，相关</w:t>
      </w:r>
      <w:r>
        <w:t>费用包含在物业管理服务采购合同金额之内，由供应商承担</w:t>
      </w:r>
      <w:r>
        <w:rPr>
          <w:rFonts w:hint="eastAsia"/>
        </w:rPr>
        <w:t>：对于未达到养护质量的花草树木，由中标供应商根据要求进行补种、更换、重做、修复等补救工作，直到符合养护要求。（明确涉及的苗木以及关于费用方面的规定）。</w:t>
      </w:r>
    </w:p>
    <w:p w14:paraId="124BF775">
      <w:pPr>
        <w:pStyle w:val="84"/>
        <w:ind w:firstLine="480"/>
      </w:pPr>
      <w:r>
        <w:rPr/>
        <w:sym w:font="Wingdings 2" w:char="00A3"/>
      </w:r>
      <w:r>
        <w:t xml:space="preserve"> </w:t>
      </w:r>
      <w:r>
        <w:rPr>
          <w:rFonts w:hint="eastAsia"/>
        </w:rPr>
        <w:t>涉及以下情形的，由采购人承担</w:t>
      </w:r>
      <w:r>
        <w:t>：</w:t>
      </w:r>
      <w:r>
        <w:rPr>
          <w:rFonts w:hint="eastAsia"/>
        </w:rPr>
        <w:t>_______________（明确涉及的苗木以及关于费用方面的规定）。</w:t>
      </w:r>
    </w:p>
    <w:p w14:paraId="0760FAE1">
      <w:pPr>
        <w:pStyle w:val="84"/>
        <w:ind w:firstLine="480"/>
      </w:pPr>
      <w:r>
        <w:rPr>
          <w:rFonts w:hint="eastAsia"/>
        </w:rPr>
        <w:t>4、客耗品费用</w:t>
      </w:r>
    </w:p>
    <w:p w14:paraId="2E854622">
      <w:pPr>
        <w:pStyle w:val="84"/>
        <w:ind w:firstLine="480"/>
      </w:pPr>
      <w:r>
        <w:rPr/>
        <w:sym w:font="Wingdings 2" w:char="0052"/>
      </w:r>
      <w:r>
        <w:t xml:space="preserve"> </w:t>
      </w:r>
      <w:r>
        <w:rPr>
          <w:rFonts w:hint="eastAsia"/>
        </w:rPr>
        <w:t>涉及以下情形的，相关</w:t>
      </w:r>
      <w:r>
        <w:t>费用包含在物业管理服务采购合同金额之内，由供应商承担</w:t>
      </w:r>
      <w:r>
        <w:rPr>
          <w:rFonts w:hint="eastAsia"/>
        </w:rPr>
        <w:t>：保洁耗材、保洁工具（明确涉及的</w:t>
      </w:r>
      <w:r>
        <w:t>客耗</w:t>
      </w:r>
      <w:r>
        <w:rPr>
          <w:rFonts w:hint="eastAsia"/>
        </w:rPr>
        <w:t>品以及关于费用方面的规定）。</w:t>
      </w:r>
    </w:p>
    <w:p w14:paraId="49E04943">
      <w:pPr>
        <w:pStyle w:val="84"/>
        <w:ind w:firstLine="480"/>
      </w:pPr>
      <w:r>
        <w:rPr/>
        <w:sym w:font="Wingdings 2" w:char="00A3"/>
      </w:r>
      <w:r>
        <w:t xml:space="preserve"> </w:t>
      </w:r>
      <w:r>
        <w:rPr>
          <w:rFonts w:hint="eastAsia"/>
        </w:rPr>
        <w:t>涉及以下情形的，由采购人承担</w:t>
      </w:r>
      <w:r>
        <w:t>：</w:t>
      </w:r>
      <w:r>
        <w:rPr>
          <w:rFonts w:hint="eastAsia"/>
        </w:rPr>
        <w:t>_______________（明确涉</w:t>
      </w:r>
      <w:r>
        <w:t>及的客耗品以</w:t>
      </w:r>
      <w:r>
        <w:rPr>
          <w:rFonts w:hint="eastAsia"/>
        </w:rPr>
        <w:t>及关于费用方面的规定）。</w:t>
      </w:r>
    </w:p>
    <w:p w14:paraId="3C67710C">
      <w:pPr>
        <w:pStyle w:val="84"/>
        <w:ind w:firstLine="480"/>
      </w:pPr>
      <w:r>
        <w:rPr>
          <w:rFonts w:hint="eastAsia"/>
        </w:rPr>
        <w:t>5、供应商负责同当前物业公司业务交接并结算可能产生的费用。（如采购流程于2025年8月</w:t>
      </w:r>
      <w:r>
        <w:t>6</w:t>
      </w:r>
      <w:r>
        <w:rPr>
          <w:rFonts w:hint="eastAsia"/>
        </w:rPr>
        <w:t>日后完成，由中标单位向现物业服务单位按照上一年度合同总价/365天*实际服务天数结算）</w:t>
      </w:r>
    </w:p>
    <w:p w14:paraId="35E08683">
      <w:pPr>
        <w:pStyle w:val="84"/>
        <w:ind w:firstLine="480"/>
      </w:pPr>
      <w:r>
        <w:rPr>
          <w:rFonts w:hint="eastAsia"/>
        </w:rPr>
        <w:t>注：本款涉及的零星维修材料、低值易耗品、苗木、客耗品等费用，不论是由供应商，还是采购人承担，涉及的相关服务由供应商承担，服务费用包含在物业服务项目合同金额之内。</w:t>
      </w:r>
    </w:p>
    <w:p w14:paraId="01951ECB">
      <w:pPr>
        <w:pStyle w:val="3"/>
        <w:jc w:val="both"/>
      </w:pPr>
      <w:r>
        <w:rPr>
          <w:rFonts w:hint="eastAsia"/>
        </w:rPr>
        <w:t>六、考核要求</w:t>
      </w:r>
    </w:p>
    <w:p w14:paraId="50CB04FF">
      <w:pPr>
        <w:pStyle w:val="84"/>
        <w:ind w:firstLine="480"/>
      </w:pPr>
      <w:r>
        <w:rPr>
          <w:rFonts w:hint="eastAsia"/>
        </w:rPr>
        <w:t>（一）服务有效投诉少于3次/月，年投诉率不高于全年投诉率的60%，处理及时率100%，中心满意率90%以上。不达标即为违约。急修服务10分钟内到位，2小时内修复，若不能完成要有紧急处理措施，并对中心做出合理解释，做出限时承诺。小修1日内修复，特殊情况必须做出说明和限时承诺。</w:t>
      </w:r>
    </w:p>
    <w:p w14:paraId="178B8DC5">
      <w:pPr>
        <w:pStyle w:val="84"/>
        <w:ind w:firstLine="480"/>
      </w:pPr>
      <w:r>
        <w:rPr>
          <w:rFonts w:hint="eastAsia"/>
        </w:rPr>
        <w:t>（二）供配电系统建立和完善有关规章制度,包括电气设备运行操作规程、安全操作规程、事故处理规程、巡视检查制度、维护制度、安全及交接班制度，所有供配电设备运行正常，没有人为故障。</w:t>
      </w:r>
    </w:p>
    <w:p w14:paraId="5FCA896B">
      <w:pPr>
        <w:pStyle w:val="84"/>
        <w:ind w:firstLine="480"/>
      </w:pPr>
      <w:r>
        <w:rPr>
          <w:rFonts w:hint="eastAsia"/>
        </w:rPr>
        <w:t>（三）设备运行正常，专业人员24小时值班，监控反应灵敏，异常情况及时检修。</w:t>
      </w:r>
    </w:p>
    <w:p w14:paraId="7806B951">
      <w:pPr>
        <w:pStyle w:val="84"/>
        <w:ind w:firstLine="480"/>
      </w:pPr>
      <w:r>
        <w:rPr>
          <w:rFonts w:hint="eastAsia"/>
        </w:rPr>
        <w:t>（四）内外环境整洁，没有卫生死角，随扫随清，环境卫生清洁率达90%。</w:t>
      </w:r>
    </w:p>
    <w:p w14:paraId="35004466">
      <w:pPr>
        <w:pStyle w:val="84"/>
        <w:ind w:firstLine="480"/>
      </w:pPr>
      <w:r>
        <w:rPr>
          <w:rFonts w:hint="eastAsia"/>
        </w:rPr>
        <w:t>（五）园林绿化养护与整体环境相协调、美观,花草树木长势良好，符合季节气候特点，没有人为毁绿损绿事故。</w:t>
      </w:r>
    </w:p>
    <w:p w14:paraId="664CCD27">
      <w:pPr>
        <w:pStyle w:val="84"/>
        <w:ind w:firstLine="480"/>
      </w:pPr>
      <w:r>
        <w:t>（</w:t>
      </w:r>
      <w:r>
        <w:rPr>
          <w:rFonts w:hint="eastAsia"/>
        </w:rPr>
        <w:t>六</w:t>
      </w:r>
      <w:r>
        <w:t>）</w:t>
      </w:r>
      <w:r>
        <w:rPr>
          <w:rFonts w:hint="eastAsia"/>
        </w:rPr>
        <w:t>培训考核要求：</w:t>
      </w:r>
    </w:p>
    <w:p w14:paraId="2B6731AD">
      <w:pPr>
        <w:pStyle w:val="84"/>
        <w:ind w:firstLine="480"/>
      </w:pPr>
      <w:r>
        <w:rPr>
          <w:rFonts w:hint="eastAsia"/>
        </w:rPr>
        <w:t>1、供应商应制订具体的培训考核方案，保证上岗人员专业素质，服务质量符合采购人要求。方案内容包含培训：针对不同的岗位职责、行为规范、服务礼仪及心理辅导等方面制定培训方案；考核：针对不同的岗位、制度及工作程序制定考核方案。</w:t>
      </w:r>
    </w:p>
    <w:p w14:paraId="30E991E4">
      <w:pPr>
        <w:pStyle w:val="84"/>
        <w:ind w:firstLine="480"/>
      </w:pPr>
      <w:r>
        <w:rPr>
          <w:rFonts w:hint="eastAsia"/>
        </w:rPr>
        <w:t>2、物业服务工作除应按内部流程实施外，还应接受采购人随时检查，如因质量未达到目标，采购人有权要求其整改。</w:t>
      </w:r>
    </w:p>
    <w:p w14:paraId="7618A942">
      <w:pPr>
        <w:pStyle w:val="84"/>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2B225099">
      <w:pPr>
        <w:pStyle w:val="2"/>
        <w:spacing w:before="230" w:after="230"/>
        <w:rPr>
          <w:color w:val="C00000"/>
        </w:rPr>
      </w:pPr>
      <w:r>
        <w:rPr>
          <w:rFonts w:hint="eastAsia"/>
        </w:rPr>
        <w:t>第四章　合同草案条款</w:t>
      </w:r>
    </w:p>
    <w:p w14:paraId="5E7ACEBA">
      <w:pPr>
        <w:jc w:val="center"/>
        <w:rPr>
          <w:color w:val="C00000"/>
        </w:rPr>
      </w:pPr>
      <w:r>
        <w:rPr>
          <w:color w:val="C00000"/>
        </w:rPr>
        <w:t>（本合同为中小企业预留合同）</w:t>
      </w:r>
    </w:p>
    <w:p w14:paraId="2859AAE9">
      <w:pPr>
        <w:spacing w:before="230" w:beforeLines="50"/>
        <w:ind w:firstLine="480" w:firstLineChars="200"/>
        <w:jc w:val="both"/>
        <w:rPr>
          <w:b/>
          <w:u w:val="single"/>
        </w:rPr>
      </w:pPr>
      <w:r>
        <w:rPr>
          <w:b/>
        </w:rPr>
        <w:t>甲方（采购人）：</w:t>
      </w:r>
      <w:r>
        <w:rPr>
          <w:rFonts w:hint="eastAsia"/>
          <w:color w:val="C00000"/>
          <w:u w:val="single"/>
        </w:rPr>
        <w:t>西安住房</w:t>
      </w:r>
      <w:r>
        <w:rPr>
          <w:color w:val="C00000"/>
          <w:u w:val="single"/>
        </w:rPr>
        <w:t>公积金管理中心</w:t>
      </w:r>
    </w:p>
    <w:p w14:paraId="12FE715B">
      <w:pPr>
        <w:ind w:firstLine="480" w:firstLineChars="200"/>
        <w:jc w:val="both"/>
        <w:rPr>
          <w:b/>
        </w:rPr>
      </w:pPr>
      <w:r>
        <w:rPr>
          <w:b/>
        </w:rPr>
        <w:t>乙方（成交供应商）：</w:t>
      </w:r>
      <w:r>
        <w:rPr>
          <w:color w:val="C00000"/>
        </w:rPr>
        <w:t>_________________</w:t>
      </w:r>
    </w:p>
    <w:p w14:paraId="464F7930">
      <w:pPr>
        <w:spacing w:before="230" w:beforeLines="50"/>
        <w:jc w:val="both"/>
        <w:rPr>
          <w:rFonts w:cs="Calibri Light"/>
          <w:b/>
        </w:rPr>
      </w:pPr>
      <w:r>
        <w:rPr>
          <w:rFonts w:cs="Calibri Light"/>
          <w:b/>
        </w:rPr>
        <w:t>一、服务条件：</w:t>
      </w:r>
    </w:p>
    <w:p w14:paraId="71E90B10">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145A62D8">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14:paraId="6961C6BA">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w:t>
      </w:r>
      <w:r>
        <w:rPr>
          <w:rFonts w:hint="eastAsia" w:asciiTheme="minorHAnsi" w:hAnsiTheme="minorHAnsi" w:eastAsiaTheme="minorEastAsia"/>
          <w:sz w:val="24"/>
          <w:szCs w:val="24"/>
        </w:rPr>
        <w:t>一年，以双方签订合同时约定的起止时间为准。</w:t>
      </w:r>
    </w:p>
    <w:p w14:paraId="016991EE">
      <w:pPr>
        <w:pStyle w:val="43"/>
        <w:spacing w:line="240" w:lineRule="auto"/>
        <w:ind w:firstLine="560" w:firstLineChars="200"/>
        <w:jc w:val="both"/>
        <w:rPr>
          <w:rFonts w:cs="Calibri Light"/>
          <w:b/>
        </w:rPr>
      </w:pPr>
      <w:r>
        <w:rPr>
          <w:rFonts w:cs="Calibri Light"/>
          <w:b/>
        </w:rPr>
        <w:t>二、合同价款</w:t>
      </w:r>
    </w:p>
    <w:p w14:paraId="4A101294">
      <w:pPr>
        <w:spacing w:line="400" w:lineRule="exact"/>
        <w:ind w:firstLine="480" w:firstLineChars="200"/>
      </w:pPr>
      <w:r>
        <w:rPr>
          <w:rFonts w:hint="eastAsia"/>
        </w:rPr>
        <w:t>（一）合同总价包括：物业服务</w:t>
      </w:r>
      <w:r>
        <w:t>费</w:t>
      </w:r>
      <w:r>
        <w:rPr>
          <w:rFonts w:hint="eastAsia"/>
        </w:rPr>
        <w:t>。包括</w:t>
      </w:r>
      <w:r>
        <w:t>服务</w:t>
      </w:r>
      <w:r>
        <w:rPr>
          <w:rFonts w:hint="eastAsia"/>
        </w:rPr>
        <w:t>人员工资（社保、福利、加班费等</w:t>
      </w:r>
      <w:r>
        <w:t>）</w:t>
      </w:r>
      <w:r>
        <w:rPr>
          <w:rFonts w:hint="eastAsia"/>
        </w:rPr>
        <w:t>、商业</w:t>
      </w:r>
      <w:r>
        <w:t>保险、</w:t>
      </w:r>
      <w:r>
        <w:rPr>
          <w:rFonts w:hint="eastAsia"/>
        </w:rPr>
        <w:t>管理</w:t>
      </w:r>
      <w:r>
        <w:t>费、</w:t>
      </w:r>
      <w:r>
        <w:rPr>
          <w:rFonts w:hint="eastAsia"/>
        </w:rPr>
        <w:t>办公费、必要的物料费、耗材费</w:t>
      </w:r>
      <w:r>
        <w:t>、</w:t>
      </w:r>
      <w:r>
        <w:rPr>
          <w:rFonts w:hint="eastAsia"/>
        </w:rPr>
        <w:t>相关税费以及服务商认为完成</w:t>
      </w:r>
      <w:r>
        <w:t>本项目</w:t>
      </w:r>
      <w:r>
        <w:rPr>
          <w:rFonts w:hint="eastAsia"/>
        </w:rPr>
        <w:t>所需</w:t>
      </w:r>
      <w:r>
        <w:t>的其他费用</w:t>
      </w:r>
      <w:r>
        <w:rPr>
          <w:rFonts w:hint="eastAsia"/>
        </w:rPr>
        <w:t>等</w:t>
      </w:r>
      <w:r>
        <w:t>全部</w:t>
      </w:r>
      <w:r>
        <w:rPr>
          <w:rFonts w:hint="eastAsia"/>
        </w:rPr>
        <w:t>费用。</w:t>
      </w:r>
    </w:p>
    <w:p w14:paraId="65A59DAB">
      <w:pPr>
        <w:spacing w:line="400" w:lineRule="exact"/>
        <w:ind w:firstLine="480" w:firstLineChars="200"/>
      </w:pPr>
      <w:r>
        <w:rPr>
          <w:rFonts w:hint="eastAsia"/>
        </w:rPr>
        <w:t>（二）合同总价一次性包死，不受市场价格变化因素的影响。</w:t>
      </w:r>
    </w:p>
    <w:p w14:paraId="1D9E8FA0">
      <w:pPr>
        <w:spacing w:before="230" w:beforeLines="50"/>
        <w:jc w:val="both"/>
        <w:rPr>
          <w:rFonts w:cs="Calibri Light"/>
          <w:b/>
        </w:rPr>
      </w:pPr>
      <w:r>
        <w:rPr>
          <w:rFonts w:cs="Calibri Light"/>
          <w:b/>
        </w:rPr>
        <w:t>三、款项结算</w:t>
      </w:r>
    </w:p>
    <w:p w14:paraId="66F8B32E">
      <w:pPr>
        <w:spacing w:line="400" w:lineRule="exact"/>
        <w:ind w:firstLine="480" w:firstLineChars="200"/>
      </w:pPr>
      <w:r>
        <w:rPr>
          <w:rFonts w:hint="eastAsia"/>
        </w:rPr>
        <w:t>（一）合同签订后1</w:t>
      </w:r>
      <w:r>
        <w:t>0</w:t>
      </w:r>
      <w:r>
        <w:rPr>
          <w:rFonts w:hint="eastAsia"/>
        </w:rPr>
        <w:t>个工作日内支付5</w:t>
      </w:r>
      <w:r>
        <w:t>0%</w:t>
      </w:r>
      <w:r>
        <w:rPr>
          <w:rFonts w:hint="eastAsia"/>
        </w:rPr>
        <w:t>的物业服务费；服务期内</w:t>
      </w:r>
      <w:r>
        <w:t>的第三季度</w:t>
      </w:r>
      <w:r>
        <w:rPr>
          <w:rFonts w:hint="eastAsia"/>
        </w:rPr>
        <w:t>开始后1</w:t>
      </w:r>
      <w:r>
        <w:t>0</w:t>
      </w:r>
      <w:r>
        <w:rPr>
          <w:rFonts w:hint="eastAsia"/>
        </w:rPr>
        <w:t>个工作日内支付2</w:t>
      </w:r>
      <w:r>
        <w:t>0%</w:t>
      </w:r>
      <w:r>
        <w:rPr>
          <w:rFonts w:hint="eastAsia"/>
        </w:rPr>
        <w:t>的物业服务费；服务期内</w:t>
      </w:r>
      <w:r>
        <w:t>的第</w:t>
      </w:r>
      <w:r>
        <w:rPr>
          <w:rFonts w:hint="eastAsia"/>
        </w:rPr>
        <w:t>四</w:t>
      </w:r>
      <w:r>
        <w:t>季度</w:t>
      </w:r>
      <w:r>
        <w:rPr>
          <w:rFonts w:hint="eastAsia"/>
        </w:rPr>
        <w:t>开始后1</w:t>
      </w:r>
      <w:r>
        <w:t>0</w:t>
      </w:r>
      <w:r>
        <w:rPr>
          <w:rFonts w:hint="eastAsia"/>
        </w:rPr>
        <w:t>个工作日内支付2</w:t>
      </w:r>
      <w:r>
        <w:t>0%</w:t>
      </w:r>
      <w:r>
        <w:rPr>
          <w:rFonts w:hint="eastAsia"/>
        </w:rPr>
        <w:t>的物业服务费；服务期内</w:t>
      </w:r>
      <w:r>
        <w:t>的</w:t>
      </w:r>
      <w:r>
        <w:rPr>
          <w:rFonts w:hint="eastAsia"/>
        </w:rPr>
        <w:t>第十二个月开始后1</w:t>
      </w:r>
      <w:r>
        <w:t>0</w:t>
      </w:r>
      <w:r>
        <w:rPr>
          <w:rFonts w:hint="eastAsia"/>
        </w:rPr>
        <w:t>个工作日内支付1</w:t>
      </w:r>
      <w:r>
        <w:t>0%</w:t>
      </w:r>
      <w:r>
        <w:rPr>
          <w:rFonts w:hint="eastAsia"/>
        </w:rPr>
        <w:t>的物业服务费。</w:t>
      </w:r>
    </w:p>
    <w:p w14:paraId="6DFEE58B">
      <w:pPr>
        <w:spacing w:line="400" w:lineRule="exact"/>
        <w:ind w:firstLine="480" w:firstLineChars="200"/>
      </w:pPr>
      <w:r>
        <w:rPr>
          <w:rFonts w:hint="eastAsia"/>
        </w:rPr>
        <w:t>（二）支付方式：银行转账。</w:t>
      </w:r>
    </w:p>
    <w:p w14:paraId="66B8ECAC">
      <w:pPr>
        <w:spacing w:line="400" w:lineRule="exact"/>
        <w:ind w:firstLine="480" w:firstLineChars="200"/>
      </w:pPr>
      <w:r>
        <w:rPr>
          <w:rFonts w:hint="eastAsia"/>
        </w:rPr>
        <w:t>（三）结算方式：验收合格后填写政府采购项目验收单（一式伍份），服务商持成交通知书、服务合同、正式发票、政府采购项目验收单，与采购人结算。</w:t>
      </w:r>
    </w:p>
    <w:p w14:paraId="5F5C60F8">
      <w:pPr>
        <w:spacing w:line="400" w:lineRule="exact"/>
        <w:ind w:firstLine="480" w:firstLineChars="200"/>
      </w:pPr>
      <w:r>
        <w:rPr>
          <w:rFonts w:hint="eastAsia"/>
        </w:rPr>
        <w:t>（四）在签订合同前，成交服务商应按照磋商文件第三章《磋商内容及采购要求》中所有承诺事项要求落实，如未在规定时限内按要求完成所承诺事项的，则视为主动放弃成交资格。</w:t>
      </w:r>
    </w:p>
    <w:p w14:paraId="7600E5CE">
      <w:pPr>
        <w:spacing w:before="230" w:beforeLines="50"/>
        <w:jc w:val="both"/>
        <w:rPr>
          <w:rFonts w:cs="Calibri Light"/>
          <w:b/>
        </w:rPr>
      </w:pPr>
      <w:r>
        <w:rPr>
          <w:rFonts w:cs="Calibri Light"/>
          <w:b/>
        </w:rPr>
        <w:t>四、</w:t>
      </w:r>
      <w:r>
        <w:rPr>
          <w:rFonts w:hint="eastAsia" w:cs="Calibri Light"/>
          <w:b/>
        </w:rPr>
        <w:t>服务保证</w:t>
      </w:r>
    </w:p>
    <w:p w14:paraId="1B7CF644">
      <w:pPr>
        <w:spacing w:line="400" w:lineRule="exact"/>
        <w:ind w:firstLine="480" w:firstLineChars="200"/>
      </w:pPr>
      <w:r>
        <w:rPr>
          <w:rFonts w:hint="eastAsia"/>
        </w:rPr>
        <w:t>（一）人员雇佣及工资标准</w:t>
      </w:r>
    </w:p>
    <w:p w14:paraId="24004DDF">
      <w:pPr>
        <w:spacing w:line="400" w:lineRule="exact"/>
        <w:ind w:firstLine="480" w:firstLineChars="200"/>
      </w:pPr>
      <w:r>
        <w:rPr>
          <w:rFonts w:hint="eastAsia"/>
        </w:rPr>
        <w:t>1、成交供应商须保障所有人员待遇不得低于西安市最低工资标准。</w:t>
      </w:r>
    </w:p>
    <w:p w14:paraId="3AB81C35">
      <w:pPr>
        <w:spacing w:line="400" w:lineRule="exact"/>
        <w:ind w:firstLine="480" w:firstLineChars="200"/>
      </w:pPr>
      <w:r>
        <w:rPr>
          <w:rFonts w:hint="eastAsia"/>
        </w:rPr>
        <w:t>2、成交供应商须与员工签订劳动合同，引起劳动关系问题由成交供应商负责。</w:t>
      </w:r>
    </w:p>
    <w:p w14:paraId="441EFFEF">
      <w:pPr>
        <w:spacing w:line="400" w:lineRule="exact"/>
        <w:ind w:firstLine="480" w:firstLineChars="200"/>
      </w:pPr>
      <w:r>
        <w:rPr>
          <w:rFonts w:hint="eastAsia"/>
        </w:rPr>
        <w:t>（二）成交供应商提供服务时，服务要求应按不低于国家、省、市有关部门规定的质量标准执行。</w:t>
      </w:r>
    </w:p>
    <w:p w14:paraId="744D5621">
      <w:pPr>
        <w:spacing w:line="400" w:lineRule="exact"/>
        <w:ind w:firstLine="480" w:firstLineChars="200"/>
      </w:pPr>
      <w:r>
        <w:rPr>
          <w:rFonts w:hint="eastAsia"/>
        </w:rPr>
        <w:t>1、成交供应商承诺与拟投入人员均有劳动合同或聘用协议。</w:t>
      </w:r>
    </w:p>
    <w:p w14:paraId="55EE15D1">
      <w:pPr>
        <w:spacing w:line="400" w:lineRule="exact"/>
        <w:ind w:firstLine="480" w:firstLineChars="200"/>
      </w:pPr>
      <w:r>
        <w:rPr>
          <w:rFonts w:hint="eastAsia"/>
        </w:rPr>
        <w:t>2、成交供应商承诺工作人员按磋商文件落实。</w:t>
      </w:r>
    </w:p>
    <w:p w14:paraId="29C7C712">
      <w:pPr>
        <w:spacing w:before="230" w:beforeLines="50"/>
        <w:jc w:val="both"/>
        <w:rPr>
          <w:rFonts w:cs="Calibri Light"/>
          <w:b/>
        </w:rPr>
      </w:pPr>
      <w:r>
        <w:rPr>
          <w:rFonts w:hint="eastAsia" w:cs="Calibri Light"/>
          <w:b/>
        </w:rPr>
        <w:t>五、验收</w:t>
      </w:r>
    </w:p>
    <w:p w14:paraId="702CD6B3">
      <w:pPr>
        <w:spacing w:line="400" w:lineRule="exact"/>
        <w:ind w:firstLine="480" w:firstLineChars="200"/>
      </w:pPr>
      <w:r>
        <w:rPr>
          <w:rFonts w:hint="eastAsia"/>
        </w:rPr>
        <w:t>（一）服务期满后，成交</w:t>
      </w:r>
      <w:r>
        <w:t>服务商应提供各区域检查记录、考核表等相关资料</w:t>
      </w:r>
      <w:r>
        <w:rPr>
          <w:rFonts w:hint="eastAsia"/>
        </w:rPr>
        <w:t>，采购人根据合同要求，进行验收，确认服务标准和数量。验收合格后，填写政府采购项目验收单（一式伍份）作为对项目的最终认可。</w:t>
      </w:r>
    </w:p>
    <w:p w14:paraId="03359714">
      <w:pPr>
        <w:spacing w:line="400" w:lineRule="exact"/>
        <w:ind w:firstLine="480" w:firstLineChars="200"/>
      </w:pPr>
      <w:r>
        <w:rPr>
          <w:rFonts w:hint="eastAsia"/>
        </w:rPr>
        <w:t>（二）验收依据</w:t>
      </w:r>
    </w:p>
    <w:p w14:paraId="39F18C18">
      <w:pPr>
        <w:spacing w:line="400" w:lineRule="exact"/>
        <w:ind w:firstLine="480" w:firstLineChars="200"/>
      </w:pPr>
      <w:r>
        <w:rPr>
          <w:rFonts w:hint="eastAsia"/>
        </w:rPr>
        <w:t>1、磋商文件、响应文件、澄清表（函）；</w:t>
      </w:r>
    </w:p>
    <w:p w14:paraId="0298468C">
      <w:pPr>
        <w:spacing w:line="400" w:lineRule="exact"/>
        <w:ind w:firstLine="480" w:firstLineChars="200"/>
      </w:pPr>
      <w:r>
        <w:rPr>
          <w:rFonts w:hint="eastAsia"/>
        </w:rPr>
        <w:t>2、本合同及附件文本；</w:t>
      </w:r>
    </w:p>
    <w:p w14:paraId="26D71A77">
      <w:pPr>
        <w:spacing w:line="400" w:lineRule="exact"/>
        <w:ind w:firstLine="480" w:firstLineChars="200"/>
      </w:pPr>
      <w:r>
        <w:rPr>
          <w:rFonts w:hint="eastAsia"/>
        </w:rPr>
        <w:t>3、国家相应的标准、规范。</w:t>
      </w:r>
    </w:p>
    <w:p w14:paraId="251F0427">
      <w:pPr>
        <w:spacing w:line="400" w:lineRule="exact"/>
        <w:ind w:firstLine="480" w:firstLineChars="200"/>
      </w:pPr>
      <w:r>
        <w:t>（</w:t>
      </w:r>
      <w:r>
        <w:rPr>
          <w:rFonts w:hint="eastAsia"/>
        </w:rPr>
        <w:t>三</w:t>
      </w:r>
      <w:r>
        <w:t>）</w:t>
      </w:r>
      <w:r>
        <w:rPr>
          <w:rFonts w:hint="eastAsia"/>
        </w:rPr>
        <w:t>成交</w:t>
      </w:r>
      <w:r>
        <w:t>服务商应向采购人提交项目实施过程中的所有资料</w:t>
      </w:r>
      <w:r>
        <w:rPr>
          <w:rFonts w:hint="eastAsia"/>
        </w:rPr>
        <w:t>，</w:t>
      </w:r>
      <w:r>
        <w:t>以便采购人日后管理和维护。</w:t>
      </w:r>
    </w:p>
    <w:p w14:paraId="31EF0A23">
      <w:pPr>
        <w:spacing w:before="230" w:beforeLines="50"/>
        <w:jc w:val="both"/>
        <w:rPr>
          <w:rFonts w:cs="Calibri Light"/>
          <w:b/>
        </w:rPr>
      </w:pPr>
      <w:r>
        <w:rPr>
          <w:rFonts w:hint="eastAsia" w:cs="Calibri Light"/>
          <w:b/>
        </w:rPr>
        <w:t>六</w:t>
      </w:r>
      <w:r>
        <w:rPr>
          <w:rFonts w:cs="Calibri Light"/>
          <w:b/>
        </w:rPr>
        <w:t>、</w:t>
      </w:r>
      <w:r>
        <w:rPr>
          <w:rFonts w:hint="eastAsia" w:cs="Calibri Light"/>
          <w:b/>
        </w:rPr>
        <w:t>双方权利</w:t>
      </w:r>
      <w:r>
        <w:rPr>
          <w:rFonts w:cs="Calibri Light"/>
          <w:b/>
        </w:rPr>
        <w:t>义务</w:t>
      </w:r>
    </w:p>
    <w:p w14:paraId="3A649C82">
      <w:pPr>
        <w:spacing w:line="400" w:lineRule="exact"/>
        <w:ind w:firstLine="480" w:firstLineChars="200"/>
      </w:pPr>
      <w:r>
        <w:rPr>
          <w:rFonts w:hint="eastAsia"/>
        </w:rPr>
        <w:t>（一）采购人</w:t>
      </w:r>
      <w:r>
        <w:t>权利</w:t>
      </w:r>
      <w:r>
        <w:rPr>
          <w:rFonts w:hint="eastAsia"/>
        </w:rPr>
        <w:t>义务</w:t>
      </w:r>
    </w:p>
    <w:p w14:paraId="40D4FF1E">
      <w:pPr>
        <w:spacing w:line="400" w:lineRule="exact"/>
        <w:ind w:firstLine="480" w:firstLineChars="200"/>
      </w:pPr>
      <w:r>
        <w:rPr>
          <w:rFonts w:hint="eastAsia"/>
        </w:rPr>
        <w:t>1、审批成交供应商提出的物业管理服务方案，年度管理服务计划，维护养护计划，监督检查成交供应商各项方案计划的实施。</w:t>
      </w:r>
    </w:p>
    <w:p w14:paraId="464BFE36">
      <w:pPr>
        <w:spacing w:line="400" w:lineRule="exact"/>
        <w:ind w:firstLine="480" w:firstLineChars="200"/>
      </w:pPr>
      <w:r>
        <w:rPr>
          <w:rFonts w:hint="eastAsia"/>
        </w:rPr>
        <w:t>2、监督成交供应商的管理，按照国家相关法律规定的标准向成交供应商提供办公用房，支持成交供应商的管理服务工作。</w:t>
      </w:r>
    </w:p>
    <w:p w14:paraId="6C642F10">
      <w:pPr>
        <w:spacing w:line="400" w:lineRule="exact"/>
        <w:ind w:firstLine="480" w:firstLineChars="200"/>
      </w:pPr>
      <w:r>
        <w:rPr>
          <w:rFonts w:hint="eastAsia"/>
        </w:rPr>
        <w:t>3、采购人在合同期内免费向成交供应商提供必要的管理用房、库房、值班用房等，并承担公共水电费。</w:t>
      </w:r>
    </w:p>
    <w:p w14:paraId="5A6E63A9">
      <w:pPr>
        <w:spacing w:line="400" w:lineRule="exact"/>
        <w:ind w:firstLine="480" w:firstLineChars="200"/>
      </w:pPr>
      <w:r>
        <w:rPr>
          <w:rFonts w:hint="eastAsia"/>
        </w:rPr>
        <w:t>4、委托成交供应商对违反物业管理法律、法规和政策以及本物业管理制度而损害采购人利益的行为进行阻止、调解、情节严重的向公安部门报告并协助处理。</w:t>
      </w:r>
    </w:p>
    <w:p w14:paraId="57F22522">
      <w:pPr>
        <w:spacing w:line="400" w:lineRule="exact"/>
        <w:ind w:firstLine="480" w:firstLineChars="200"/>
      </w:pPr>
      <w:r>
        <w:rPr>
          <w:rFonts w:hint="eastAsia"/>
        </w:rPr>
        <w:t>5、根据本合同约定，向成交供应商支付管理服务费。</w:t>
      </w:r>
    </w:p>
    <w:p w14:paraId="7F8761EA">
      <w:pPr>
        <w:spacing w:line="400" w:lineRule="exact"/>
        <w:ind w:firstLine="480" w:firstLineChars="200"/>
      </w:pPr>
      <w:r>
        <w:rPr>
          <w:rFonts w:hint="eastAsia"/>
        </w:rPr>
        <w:t>6、对成交供应商的服务质量实施监督、考核。采购人有权对成交供应商承诺的服务事项进行监督并提出合理化建议。对成交供应商未按合同约定履行服务义务，有权要求成交供应商整改到位。如因成交供应商管理不善，造成重大经济损失或管理失误，经市政物业管理主管部门认定，采购人有权终止合同。</w:t>
      </w:r>
    </w:p>
    <w:p w14:paraId="07C442AD">
      <w:pPr>
        <w:spacing w:line="400" w:lineRule="exact"/>
        <w:ind w:firstLine="480" w:firstLineChars="200"/>
      </w:pPr>
      <w:r>
        <w:rPr>
          <w:rFonts w:hint="eastAsia"/>
        </w:rPr>
        <w:t>7、成交供应商所聘用人员，因责任心不强，服务不到位，发生偷盗现象等治安及安全事故的，采购人有建议解聘权及要求相应的赔偿权。</w:t>
      </w:r>
    </w:p>
    <w:p w14:paraId="0F3E9349">
      <w:pPr>
        <w:spacing w:line="400" w:lineRule="exact"/>
        <w:ind w:firstLine="480" w:firstLineChars="200"/>
      </w:pPr>
      <w:r>
        <w:rPr>
          <w:rFonts w:hint="eastAsia"/>
        </w:rPr>
        <w:t>8、采购人应按照合同规定，按时足额向成交供应商支付本合同项下的服务费及其它应付费用。</w:t>
      </w:r>
    </w:p>
    <w:p w14:paraId="6EA4FFFA">
      <w:pPr>
        <w:spacing w:line="400" w:lineRule="exact"/>
        <w:ind w:firstLine="480" w:firstLineChars="200"/>
      </w:pPr>
      <w:r>
        <w:rPr>
          <w:rFonts w:hint="eastAsia"/>
        </w:rPr>
        <w:t>9、安排成交供应商年度工作目标责任及工作计划。</w:t>
      </w:r>
    </w:p>
    <w:p w14:paraId="4AFD1D52">
      <w:pPr>
        <w:spacing w:line="400" w:lineRule="exact"/>
        <w:ind w:firstLine="480" w:firstLineChars="200"/>
      </w:pPr>
      <w:r>
        <w:rPr>
          <w:rFonts w:hint="eastAsia"/>
        </w:rPr>
        <w:t>10、由采购人依据磋商及响应文件的内容制定，考核结果作为支付服务费的依据。</w:t>
      </w:r>
    </w:p>
    <w:p w14:paraId="6B5AA43C">
      <w:pPr>
        <w:spacing w:line="400" w:lineRule="exact"/>
        <w:ind w:firstLine="480" w:firstLineChars="200"/>
      </w:pPr>
      <w:r>
        <w:rPr>
          <w:rFonts w:hint="eastAsia"/>
        </w:rPr>
        <w:t>11、成交供应商应每月向采购人提供人员考勤表、人员岗位表、人员变动表，每月1日上报上月总结及当月计划。</w:t>
      </w:r>
    </w:p>
    <w:p w14:paraId="0F5B7CA6">
      <w:pPr>
        <w:spacing w:line="400" w:lineRule="exact"/>
        <w:ind w:firstLine="480" w:firstLineChars="200"/>
      </w:pPr>
      <w:r>
        <w:rPr>
          <w:rFonts w:hint="eastAsia"/>
        </w:rPr>
        <w:t>12、按法律规定或经双方商定由采购人承担的其他责任和义务。</w:t>
      </w:r>
    </w:p>
    <w:p w14:paraId="43C9A0AE">
      <w:pPr>
        <w:spacing w:line="400" w:lineRule="exact"/>
        <w:ind w:firstLine="480" w:firstLineChars="200"/>
      </w:pPr>
      <w:r>
        <w:rPr>
          <w:rFonts w:hint="eastAsia"/>
        </w:rPr>
        <w:t>（二）成交供应商的权利、义务</w:t>
      </w:r>
    </w:p>
    <w:p w14:paraId="29260BC7">
      <w:pPr>
        <w:spacing w:line="400" w:lineRule="exact"/>
        <w:ind w:firstLine="480" w:firstLineChars="200"/>
      </w:pPr>
      <w:r>
        <w:rPr>
          <w:rFonts w:hint="eastAsia"/>
        </w:rPr>
        <w:t>1、按照合同约定的收费标准和方式向采购人收取物业服务费。</w:t>
      </w:r>
    </w:p>
    <w:p w14:paraId="339E9F98">
      <w:pPr>
        <w:spacing w:line="400" w:lineRule="exact"/>
        <w:ind w:firstLine="480" w:firstLineChars="200"/>
      </w:pPr>
      <w:r>
        <w:rPr>
          <w:rFonts w:hint="eastAsia"/>
        </w:rPr>
        <w:t>2、积极配合中心接受上级领导部门的监督、检查，提供必须的资料。</w:t>
      </w:r>
    </w:p>
    <w:p w14:paraId="675D5CF0">
      <w:pPr>
        <w:spacing w:line="400" w:lineRule="exact"/>
        <w:ind w:firstLine="480" w:firstLineChars="200"/>
      </w:pPr>
      <w:r>
        <w:rPr>
          <w:rFonts w:hint="eastAsia"/>
        </w:rPr>
        <w:t>3、每个月向采购人主管部门上报本项目各项工作资料，包括人员情况、工资发放情况、工作总结等。</w:t>
      </w:r>
    </w:p>
    <w:p w14:paraId="03C35169">
      <w:pPr>
        <w:spacing w:line="400" w:lineRule="exact"/>
        <w:ind w:firstLine="480" w:firstLineChars="200"/>
      </w:pPr>
      <w:r>
        <w:rPr>
          <w:rFonts w:hint="eastAsia"/>
        </w:rPr>
        <w:t>4、未经采购人书面同意，不得将物业管理区域的专项服务业务委托给专业性服务企业或机构，也不得将该区域的全部物业管理转包委托给第三方。</w:t>
      </w:r>
    </w:p>
    <w:p w14:paraId="7716E409">
      <w:pPr>
        <w:spacing w:line="400" w:lineRule="exact"/>
        <w:ind w:firstLine="480" w:firstLineChars="200"/>
      </w:pPr>
      <w:r>
        <w:rPr>
          <w:rFonts w:hint="eastAsia"/>
        </w:rPr>
        <w:t>5、如遇重大公共卫生事件、突发事件、医疗纠纷、重大疾病救治、灾害预防、火灾扑灭、暴雨、暴雪、地震、重大事故的急救或安全检查时，成交供应商必须配合有关部门执行任务，并指定专职人员协助工作，直至完成。</w:t>
      </w:r>
    </w:p>
    <w:p w14:paraId="443724A1">
      <w:pPr>
        <w:spacing w:line="400" w:lineRule="exact"/>
        <w:ind w:firstLine="480" w:firstLineChars="200"/>
      </w:pPr>
      <w:r>
        <w:rPr>
          <w:rFonts w:hint="eastAsia"/>
        </w:rPr>
        <w:t>6、成交供应商应保质保量完成采购人交办的各项服务内容。由于成交供应商工作人员工作失职或违反相关规定、管理不善等原因所造成事故或损失由成交供应商承担全部责任。</w:t>
      </w:r>
    </w:p>
    <w:p w14:paraId="12851BF8">
      <w:pPr>
        <w:spacing w:line="400" w:lineRule="exact"/>
        <w:ind w:firstLine="480" w:firstLineChars="200"/>
      </w:pPr>
      <w:r>
        <w:rPr>
          <w:rFonts w:hint="eastAsia"/>
        </w:rPr>
        <w:t>7、成交供应商须与本项目拟投入人员签订劳动合同或聘用协议，且本项目人员工资不低于西安市最低工资标准</w:t>
      </w:r>
    </w:p>
    <w:p w14:paraId="178EA6A7">
      <w:pPr>
        <w:spacing w:line="400" w:lineRule="exact"/>
        <w:ind w:firstLine="480" w:firstLineChars="200"/>
      </w:pPr>
      <w:r>
        <w:rPr>
          <w:rFonts w:hint="eastAsia"/>
        </w:rPr>
        <w:t>8、非经采购人物业使用人许可并办理有关手续，不得擅自改变公共建筑和共用设施设备用途，不得擅自占用、挖掘本物业管理区域内的道路、场地。</w:t>
      </w:r>
    </w:p>
    <w:p w14:paraId="569C18ED">
      <w:pPr>
        <w:spacing w:line="400" w:lineRule="exact"/>
        <w:ind w:firstLine="480" w:firstLineChars="200"/>
      </w:pPr>
      <w:r>
        <w:rPr>
          <w:rFonts w:hint="eastAsia"/>
        </w:rPr>
        <w:t>9、本合同终止时，在采购人监督下，将物业管理用房等财产、有关账目和物业管理相关资料及时如数交给新的物业管理公司。</w:t>
      </w:r>
    </w:p>
    <w:p w14:paraId="3D752825">
      <w:pPr>
        <w:spacing w:line="400" w:lineRule="exact"/>
        <w:ind w:firstLine="480" w:firstLineChars="200"/>
      </w:pPr>
      <w:r>
        <w:rPr>
          <w:rFonts w:hint="eastAsia"/>
        </w:rPr>
        <w:t>10、接受采购人物业主管部门的监督、指导。</w:t>
      </w:r>
    </w:p>
    <w:p w14:paraId="5291EA6F">
      <w:pPr>
        <w:spacing w:line="400" w:lineRule="exact"/>
        <w:ind w:firstLine="480" w:firstLineChars="200"/>
      </w:pPr>
      <w:r>
        <w:rPr>
          <w:rFonts w:hint="eastAsia"/>
        </w:rPr>
        <w:t>11、成交供应商须选派较高素质的工作人员。其人员须具备道德品质、身体素质好、敬业精神强、工作作风等四项基本条件，成交供应商应经常加强对下属工作人员的责任意识、安全意识、服务意识等方面的教育和培训。</w:t>
      </w:r>
    </w:p>
    <w:p w14:paraId="42DB79BE">
      <w:pPr>
        <w:spacing w:line="400" w:lineRule="exact"/>
        <w:ind w:firstLine="480" w:firstLineChars="200"/>
      </w:pPr>
      <w:r>
        <w:rPr>
          <w:rFonts w:hint="eastAsia"/>
        </w:rPr>
        <w:t>12、统一为员工配置岗位相一致的服装，保证所有员工在上班期间服装规范、整洁，保持良好的形象。</w:t>
      </w:r>
    </w:p>
    <w:p w14:paraId="78DA4A8F">
      <w:pPr>
        <w:spacing w:line="400" w:lineRule="exact"/>
        <w:ind w:firstLine="480" w:firstLineChars="200"/>
      </w:pPr>
      <w:r>
        <w:rPr>
          <w:rFonts w:hint="eastAsia"/>
        </w:rPr>
        <w:t>13、成交供应商所指派的人员因劳动关系、患病、因工或非因工造成人身伤亡事故纠纷，均由成交供应商自行解决并承担相应的法律责任，与采购人无关，并不得因此影响采购人的正常办公秩序。</w:t>
      </w:r>
    </w:p>
    <w:p w14:paraId="696B364D">
      <w:pPr>
        <w:spacing w:line="400" w:lineRule="exact"/>
        <w:ind w:firstLine="480" w:firstLineChars="200"/>
      </w:pPr>
      <w:r>
        <w:rPr>
          <w:rFonts w:hint="eastAsia"/>
        </w:rPr>
        <w:t>14、按法律规定或经双方商定应由成交供应商承担的其他责任和义务。</w:t>
      </w:r>
    </w:p>
    <w:p w14:paraId="510F069B">
      <w:pPr>
        <w:spacing w:before="230" w:beforeLines="50"/>
        <w:jc w:val="both"/>
        <w:rPr>
          <w:rFonts w:cs="Calibri Light"/>
          <w:b/>
        </w:rPr>
      </w:pPr>
      <w:r>
        <w:rPr>
          <w:rFonts w:hint="eastAsia" w:cs="Calibri Light"/>
          <w:b/>
        </w:rPr>
        <w:t>七</w:t>
      </w:r>
      <w:r>
        <w:rPr>
          <w:rFonts w:cs="Calibri Light"/>
          <w:b/>
        </w:rPr>
        <w:t>、争议解决</w:t>
      </w:r>
    </w:p>
    <w:p w14:paraId="487D51F5">
      <w:pPr>
        <w:spacing w:line="400" w:lineRule="exact"/>
        <w:ind w:firstLine="480" w:firstLineChars="200"/>
      </w:pPr>
      <w:r>
        <w:t>因履行本合同引起的或与本合同有关的争议，双方应首先通过友好协商解决，如果协商不能解决争议，则向西安仲裁委员会申请仲裁解决争议</w:t>
      </w:r>
      <w:r>
        <w:rPr>
          <w:rFonts w:hint="eastAsia"/>
        </w:rPr>
        <w:t>。</w:t>
      </w:r>
    </w:p>
    <w:p w14:paraId="0ABE0231">
      <w:pPr>
        <w:spacing w:before="230" w:beforeLines="50"/>
        <w:jc w:val="both"/>
        <w:rPr>
          <w:rFonts w:cs="Calibri Light"/>
          <w:b/>
        </w:rPr>
      </w:pPr>
      <w:r>
        <w:rPr>
          <w:rFonts w:hint="eastAsia" w:cs="Calibri Light"/>
          <w:b/>
        </w:rPr>
        <w:t>八、违约责任</w:t>
      </w:r>
    </w:p>
    <w:p w14:paraId="3666D1A4">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（一）按《中华人民共和国民法典》中的相关条款执行。</w:t>
      </w:r>
    </w:p>
    <w:p w14:paraId="21855121">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（二）未按合同要求提供服务或服务质量不能满足合同要求，采购人有权依据《中华人民共和国民法典》有关条款及合同约定终止合同，并要求成交供应商承担违约责任。</w:t>
      </w:r>
    </w:p>
    <w:p w14:paraId="12861C95">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（三）双方如因为其他原因要解除合约，应提前一个月通知对方，如有一方违反将补偿对方一个月服务费。</w:t>
      </w:r>
    </w:p>
    <w:p w14:paraId="3E033F72">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（四）成交供应商不认真履行合同条款或因其它理由突然终止合同，视为成交供应商单方违约。</w:t>
      </w:r>
    </w:p>
    <w:p w14:paraId="1DA5BE8D">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（五）采购人无正当理由拒付成交供应商物业服务费或拖欠物业服务费一个月以上时，成交供应商有权单方解除合同并撤服务人员。</w:t>
      </w:r>
    </w:p>
    <w:p w14:paraId="7A8BDB4B">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（六）成交供应商服务人员在工作中因故意或疏忽而出现的责任事故，因成交供应商原因造成他人人身伤害、财产损失及严重损害采购人声誉的，由成交供应商承担所有赔偿责任且采购人有权单方面解除本合同。</w:t>
      </w:r>
    </w:p>
    <w:p w14:paraId="6268D5AA">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（七）成交供应商或服务人员违反合同所约定之义务，影响合同约定区域的安全或导致采购人其他方面损害，经采购人三次警告或仍无整改，采购人有权单方面终止合同，而无须承担任何责任。</w:t>
      </w:r>
    </w:p>
    <w:p w14:paraId="6AD9B9B1">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八）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3DB59A76">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（九）如因成交供应商原因，造成不能完成规定管理目标或直接造成采购人经济损失的，成交供应商应给予采购人相应补偿。采购人有权要求成交供应商限期整改，并有权终止合同。</w:t>
      </w:r>
    </w:p>
    <w:p w14:paraId="7AF36EB7">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因采购人房屋建筑或设施设备质量或安装技术等原因，造成重大事故的，由采购人承担责任并负责善后处理。因成交供应商管理不善或操作不当等原因造成重大事故的，由成交供应商承担责任并负责善后处理（产生事故的直接原因，以政府有关部门的鉴定结论为准）。</w:t>
      </w:r>
    </w:p>
    <w:p w14:paraId="67EB581E">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一）合同期内服务公司及服务人员均为成交供应商直接所属，成交供应商不得采用挂靠或外包方式再次委托其他单位承担此项目。如采购人发现有违约情形，可直接终止合同执行，违约责任由成交供应商全部承担，且履约保证金不予返还。</w:t>
      </w:r>
    </w:p>
    <w:p w14:paraId="4AA057A1">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（十二）除前述可终止合同的约定外，合同期限内如一方违约提前终止合同的，应向守约方支付剩余合同期限服务金额的10%作为违约金，如造成守约方经济损失的应承担赔偿责任。</w:t>
      </w:r>
    </w:p>
    <w:p w14:paraId="044EA870">
      <w:pPr>
        <w:pStyle w:val="43"/>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三）服务有效投诉少于3次/月，年投诉率不高于全年投诉率的60%，处理及时率100%，中心满意率90%以上。不达标即为违约。急修服务10分钟内到位，2小时内修复，若不能完成要有紧急处理措施，并对中心做出合理解释，做出限时承诺。小修1日内修复，特殊情况必须做出说明和限时承诺。</w:t>
      </w:r>
    </w:p>
    <w:p w14:paraId="58A08835">
      <w:pPr>
        <w:spacing w:before="230" w:beforeLines="50"/>
        <w:jc w:val="both"/>
        <w:rPr>
          <w:rFonts w:cs="Calibri Light"/>
          <w:b/>
        </w:rPr>
      </w:pPr>
      <w:r>
        <w:rPr>
          <w:rFonts w:hint="eastAsia" w:cs="Calibri Light"/>
          <w:b/>
        </w:rPr>
        <w:t>九</w:t>
      </w:r>
      <w:r>
        <w:rPr>
          <w:rFonts w:cs="Calibri Light"/>
          <w:b/>
        </w:rPr>
        <w:t>、合同生效及其他</w:t>
      </w:r>
    </w:p>
    <w:p w14:paraId="219649F3">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1D9FA9F3">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14:paraId="11478B5F">
      <w:pPr>
        <w:pStyle w:val="43"/>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14:paraId="00BA88EB"/>
    <w:p w14:paraId="19D9FD24">
      <w:p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5AD10693">
      <w:pPr>
        <w:pStyle w:val="2"/>
        <w:spacing w:before="230" w:after="230"/>
      </w:pPr>
      <w:bookmarkStart w:id="30" w:name="_Toc100219616"/>
      <w:r>
        <w:rPr>
          <w:rFonts w:hint="eastAsia"/>
        </w:rPr>
        <w:t>第五章　响应文件构成及格式</w:t>
      </w:r>
      <w:bookmarkEnd w:id="30"/>
    </w:p>
    <w:p w14:paraId="1FF60D98">
      <w:pPr>
        <w:jc w:val="center"/>
        <w:rPr>
          <w:rFonts w:cstheme="minorHAnsi"/>
          <w:sz w:val="36"/>
          <w:szCs w:val="36"/>
        </w:rPr>
      </w:pPr>
    </w:p>
    <w:p w14:paraId="3D74520A">
      <w:pPr>
        <w:jc w:val="center"/>
        <w:rPr>
          <w:rFonts w:cstheme="minorHAnsi"/>
          <w:sz w:val="36"/>
          <w:szCs w:val="36"/>
        </w:rPr>
      </w:pPr>
    </w:p>
    <w:p w14:paraId="327C30F6">
      <w:pPr>
        <w:jc w:val="center"/>
        <w:rPr>
          <w:rFonts w:cstheme="minorHAnsi"/>
          <w:sz w:val="36"/>
          <w:szCs w:val="36"/>
        </w:rPr>
      </w:pPr>
    </w:p>
    <w:p w14:paraId="616F1359">
      <w:pPr>
        <w:jc w:val="center"/>
        <w:rPr>
          <w:rFonts w:cstheme="minorHAnsi"/>
          <w:b/>
          <w:color w:val="C00000"/>
          <w:sz w:val="52"/>
          <w:szCs w:val="44"/>
        </w:rPr>
      </w:pPr>
      <w:r>
        <w:rPr>
          <w:rFonts w:cstheme="minorHAnsi"/>
          <w:b/>
          <w:color w:val="C00000"/>
          <w:sz w:val="44"/>
          <w:szCs w:val="36"/>
        </w:rPr>
        <w:t>2025</w:t>
      </w:r>
      <w:r>
        <w:rPr>
          <w:rFonts w:hint="eastAsia" w:cstheme="minorHAnsi"/>
          <w:b/>
          <w:color w:val="C00000"/>
          <w:sz w:val="44"/>
          <w:szCs w:val="36"/>
        </w:rPr>
        <w:t>年度中心机关物业服务</w:t>
      </w:r>
    </w:p>
    <w:p w14:paraId="7D463032">
      <w:pPr>
        <w:jc w:val="center"/>
        <w:rPr>
          <w:rFonts w:ascii="华文中宋" w:hAnsi="华文中宋" w:eastAsia="华文中宋" w:cstheme="minorHAnsi"/>
          <w:sz w:val="96"/>
          <w:szCs w:val="96"/>
        </w:rPr>
      </w:pPr>
      <w:r>
        <w:rPr>
          <w:rFonts w:ascii="华文中宋" w:hAnsi="华文中宋" w:eastAsia="华文中宋" w:cstheme="minorHAnsi"/>
          <w:spacing w:val="323"/>
          <w:sz w:val="96"/>
          <w:szCs w:val="96"/>
        </w:rPr>
        <w:t>响应文</w:t>
      </w:r>
      <w:r>
        <w:rPr>
          <w:rFonts w:ascii="华文中宋" w:hAnsi="华文中宋" w:eastAsia="华文中宋" w:cstheme="minorHAnsi"/>
          <w:sz w:val="96"/>
          <w:szCs w:val="96"/>
        </w:rPr>
        <w:t>件</w:t>
      </w:r>
    </w:p>
    <w:p w14:paraId="08B3D977">
      <w:pPr>
        <w:jc w:val="center"/>
        <w:rPr>
          <w:rFonts w:cstheme="minorHAnsi"/>
          <w:sz w:val="36"/>
          <w:szCs w:val="36"/>
        </w:rPr>
      </w:pPr>
      <w:r>
        <w:rPr>
          <w:rFonts w:cstheme="minorHAnsi"/>
          <w:sz w:val="36"/>
          <w:szCs w:val="36"/>
        </w:rPr>
        <w:t>（项目编号：</w:t>
      </w:r>
      <w:r>
        <w:rPr>
          <w:rFonts w:hint="eastAsia" w:cstheme="minorHAnsi"/>
          <w:color w:val="C00000"/>
          <w:sz w:val="36"/>
          <w:szCs w:val="36"/>
        </w:rPr>
        <w:t>X</w:t>
      </w:r>
      <w:r>
        <w:rPr>
          <w:rFonts w:cstheme="minorHAnsi"/>
          <w:color w:val="C00000"/>
          <w:sz w:val="36"/>
          <w:szCs w:val="36"/>
        </w:rPr>
        <w:t>CZX2025-0116</w:t>
      </w:r>
      <w:r>
        <w:rPr>
          <w:rFonts w:cstheme="minorHAnsi"/>
          <w:sz w:val="36"/>
          <w:szCs w:val="36"/>
        </w:rPr>
        <w:t>）</w:t>
      </w:r>
    </w:p>
    <w:p w14:paraId="76AA61E6">
      <w:pPr>
        <w:jc w:val="center"/>
        <w:rPr>
          <w:rFonts w:cstheme="minorHAnsi"/>
          <w:sz w:val="36"/>
          <w:szCs w:val="36"/>
        </w:rPr>
      </w:pPr>
    </w:p>
    <w:p w14:paraId="017AB330">
      <w:pPr>
        <w:jc w:val="center"/>
        <w:rPr>
          <w:rFonts w:cstheme="minorHAnsi"/>
          <w:sz w:val="36"/>
          <w:szCs w:val="36"/>
        </w:rPr>
      </w:pPr>
    </w:p>
    <w:p w14:paraId="5B38EB03">
      <w:pPr>
        <w:jc w:val="center"/>
        <w:rPr>
          <w:rFonts w:cstheme="minorHAnsi"/>
          <w:sz w:val="36"/>
        </w:rPr>
      </w:pPr>
    </w:p>
    <w:p w14:paraId="319CC33C">
      <w:pPr>
        <w:jc w:val="center"/>
        <w:rPr>
          <w:rFonts w:cstheme="minorHAnsi"/>
          <w:sz w:val="36"/>
        </w:rPr>
      </w:pPr>
    </w:p>
    <w:p w14:paraId="65FA9E60">
      <w:pPr>
        <w:jc w:val="center"/>
        <w:rPr>
          <w:rFonts w:cstheme="minorHAnsi"/>
          <w:sz w:val="36"/>
        </w:rPr>
      </w:pPr>
    </w:p>
    <w:p w14:paraId="5A9AB0F3">
      <w:pPr>
        <w:jc w:val="center"/>
        <w:rPr>
          <w:rFonts w:cstheme="minorHAnsi"/>
          <w:sz w:val="36"/>
        </w:rPr>
      </w:pPr>
    </w:p>
    <w:p w14:paraId="7B833F94">
      <w:pPr>
        <w:jc w:val="center"/>
        <w:rPr>
          <w:rFonts w:cstheme="minorHAnsi"/>
          <w:sz w:val="36"/>
        </w:rPr>
      </w:pPr>
    </w:p>
    <w:p w14:paraId="752B00C8">
      <w:pPr>
        <w:ind w:firstLine="1684" w:firstLineChars="468"/>
        <w:rPr>
          <w:rFonts w:cstheme="minorHAnsi"/>
          <w:sz w:val="36"/>
          <w:u w:val="single"/>
        </w:rPr>
      </w:pPr>
      <w:r>
        <w:rPr>
          <w:rFonts w:cstheme="minorHAnsi"/>
          <w:sz w:val="36"/>
        </w:rPr>
        <w:t>供应商：__________________</w:t>
      </w:r>
    </w:p>
    <w:p w14:paraId="0DC9E7C7">
      <w:pPr>
        <w:ind w:firstLine="1684" w:firstLineChars="468"/>
        <w:rPr>
          <w:rFonts w:cstheme="minorHAnsi"/>
          <w:sz w:val="36"/>
          <w:u w:val="single"/>
        </w:rPr>
      </w:pPr>
      <w:r>
        <w:rPr>
          <w:rFonts w:cstheme="minorHAnsi"/>
          <w:sz w:val="36"/>
        </w:rPr>
        <w:t>时　间：__________________</w:t>
      </w:r>
    </w:p>
    <w:p w14:paraId="15CD7F28">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0793EE69">
      <w:pPr>
        <w:jc w:val="center"/>
        <w:rPr>
          <w:sz w:val="36"/>
          <w:szCs w:val="36"/>
        </w:rPr>
      </w:pPr>
    </w:p>
    <w:p w14:paraId="512DF38E">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6AE57E60">
      <w:pPr>
        <w:jc w:val="center"/>
        <w:rPr>
          <w:rFonts w:asciiTheme="minorEastAsia" w:hAnsiTheme="minorEastAsia"/>
          <w:sz w:val="30"/>
          <w:szCs w:val="30"/>
        </w:rPr>
      </w:pPr>
    </w:p>
    <w:p w14:paraId="012E2962">
      <w:pPr>
        <w:jc w:val="center"/>
        <w:rPr>
          <w:rFonts w:asciiTheme="minorEastAsia" w:hAnsiTheme="minorEastAsia"/>
          <w:sz w:val="30"/>
          <w:szCs w:val="30"/>
        </w:rPr>
      </w:pPr>
    </w:p>
    <w:p w14:paraId="62F6357E">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1A6F1904">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331F5F28">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55925DEB">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6B29D8C9">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3F6E7DBF">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0CDAE36E">
      <w:pPr>
        <w:tabs>
          <w:tab w:val="right" w:leader="hyphen" w:pos="8504"/>
        </w:tabs>
        <w:spacing w:line="360" w:lineRule="auto"/>
        <w:rPr>
          <w:rFonts w:cstheme="minorHAnsi"/>
          <w:sz w:val="28"/>
          <w:szCs w:val="28"/>
        </w:rPr>
      </w:pPr>
    </w:p>
    <w:p w14:paraId="05F22B48">
      <w:pPr>
        <w:rPr>
          <w:rFonts w:cstheme="minorHAnsi"/>
          <w:sz w:val="36"/>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36732254">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79F8BAB1">
      <w:pPr>
        <w:jc w:val="both"/>
        <w:rPr>
          <w:rFonts w:cstheme="minorHAnsi"/>
          <w:color w:val="000000"/>
        </w:rPr>
      </w:pPr>
      <w:r>
        <w:rPr>
          <w:rFonts w:hint="eastAsia"/>
        </w:rPr>
        <w:t>西安市市级单位政府采购中心</w:t>
      </w:r>
      <w:r>
        <w:rPr>
          <w:rFonts w:hint="eastAsia" w:cstheme="minorHAnsi"/>
          <w:color w:val="000000"/>
        </w:rPr>
        <w:t>：</w:t>
      </w:r>
    </w:p>
    <w:p w14:paraId="561F11C2">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00F92A41">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71D6ACDE">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53B2B5C3">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09F3DBA0">
      <w:pPr>
        <w:ind w:firstLine="567"/>
        <w:jc w:val="both"/>
        <w:rPr>
          <w:rFonts w:cstheme="minorHAnsi"/>
          <w:color w:val="000000"/>
        </w:rPr>
      </w:pPr>
      <w:r>
        <w:rPr>
          <w:rFonts w:hint="eastAsia" w:cstheme="minorHAnsi"/>
          <w:color w:val="000000"/>
        </w:rPr>
        <w:t>4．我方理解最低价不是成交的唯一条件，并尊重磋商小组的评审结果。</w:t>
      </w:r>
    </w:p>
    <w:p w14:paraId="6B3D3E2C">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27870EE7">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03538392">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35EB2EBD">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1A6CD312">
      <w:pPr>
        <w:ind w:firstLine="567"/>
        <w:jc w:val="both"/>
        <w:rPr>
          <w:rFonts w:cstheme="minorHAnsi"/>
          <w:color w:val="000000"/>
        </w:rPr>
      </w:pPr>
      <w:r>
        <w:rPr>
          <w:rFonts w:hint="eastAsia" w:cstheme="minorHAnsi"/>
          <w:color w:val="000000"/>
        </w:rPr>
        <w:t>（1）将成交文件有效期延长至合同执行完毕；</w:t>
      </w:r>
    </w:p>
    <w:p w14:paraId="5BEA0BD1">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3CD42632">
      <w:pPr>
        <w:ind w:firstLine="567"/>
        <w:jc w:val="both"/>
        <w:rPr>
          <w:rFonts w:cstheme="minorHAnsi"/>
          <w:color w:val="000000"/>
        </w:rPr>
      </w:pPr>
      <w:r>
        <w:rPr>
          <w:rFonts w:hint="eastAsia" w:cstheme="minorHAnsi"/>
          <w:color w:val="000000"/>
        </w:rPr>
        <w:t>（3）遵照磋商文件中的要求，完成本项目的合同责任和义务。</w:t>
      </w:r>
    </w:p>
    <w:p w14:paraId="31CA1AC4">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3171996F">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6E18150F">
      <w:pPr>
        <w:ind w:firstLine="567"/>
        <w:jc w:val="both"/>
        <w:rPr>
          <w:color w:val="000000"/>
        </w:rPr>
      </w:pPr>
      <w:r>
        <w:rPr>
          <w:rFonts w:hint="eastAsia"/>
          <w:color w:val="000000"/>
        </w:rPr>
        <w:t>（2）联系</w:t>
      </w:r>
      <w:r>
        <w:rPr>
          <w:color w:val="000000"/>
        </w:rPr>
        <w:t>电话：</w:t>
      </w:r>
    </w:p>
    <w:p w14:paraId="2CECC335">
      <w:pPr>
        <w:ind w:firstLine="567"/>
        <w:jc w:val="both"/>
        <w:rPr>
          <w:color w:val="000000"/>
        </w:rPr>
      </w:pPr>
      <w:r>
        <w:rPr>
          <w:color w:val="000000"/>
        </w:rPr>
        <w:t>（</w:t>
      </w:r>
      <w:r>
        <w:rPr>
          <w:rFonts w:hint="eastAsia"/>
          <w:color w:val="000000"/>
        </w:rPr>
        <w:t>3</w:t>
      </w:r>
      <w:r>
        <w:rPr>
          <w:color w:val="000000"/>
        </w:rPr>
        <w:t>）通讯地址：</w:t>
      </w:r>
    </w:p>
    <w:p w14:paraId="12098B51">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13326BB5">
      <w:pPr>
        <w:ind w:firstLine="567"/>
        <w:jc w:val="both"/>
      </w:pPr>
      <w:r>
        <w:t>（</w:t>
      </w:r>
      <w:r>
        <w:rPr>
          <w:rFonts w:hint="eastAsia"/>
        </w:rPr>
        <w:t>5</w:t>
      </w:r>
      <w:r>
        <w:t>）电子邮箱：</w:t>
      </w:r>
    </w:p>
    <w:p w14:paraId="105ACAF6">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0F2288D4">
      <w:pPr>
        <w:ind w:firstLine="567"/>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3AE7F2ED">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14:paraId="6F5F33A1">
      <w:pPr>
        <w:jc w:val="center"/>
        <w:rPr>
          <w:rFonts w:ascii="Calibri" w:hAnsi="Calibri" w:eastAsia="黑体"/>
          <w:kern w:val="32"/>
          <w:sz w:val="32"/>
        </w:rPr>
      </w:pPr>
      <w:r>
        <w:rPr>
          <w:rFonts w:ascii="Calibri" w:hAnsi="Calibri" w:eastAsia="黑体"/>
          <w:kern w:val="32"/>
          <w:sz w:val="32"/>
        </w:rPr>
        <w:t>第一次报价表</w:t>
      </w:r>
    </w:p>
    <w:p w14:paraId="324C96E8">
      <w:pPr>
        <w:jc w:val="center"/>
        <w:rPr>
          <w:kern w:val="24"/>
        </w:rPr>
      </w:pPr>
    </w:p>
    <w:tbl>
      <w:tblPr>
        <w:tblStyle w:val="2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20EA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F462004">
            <w:pPr>
              <w:spacing w:line="440" w:lineRule="exact"/>
              <w:ind w:right="280"/>
              <w:jc w:val="right"/>
              <w:rPr>
                <w:rFonts w:cstheme="minorHAnsi"/>
                <w:b/>
                <w:color w:val="000000"/>
              </w:rPr>
            </w:pPr>
            <w:r>
              <w:rPr>
                <w:rFonts w:cstheme="minorHAnsi"/>
                <w:b/>
                <w:color w:val="000000"/>
              </w:rPr>
              <w:t>报价内容</w:t>
            </w:r>
          </w:p>
          <w:p w14:paraId="00471C36">
            <w:pPr>
              <w:rPr>
                <w:rFonts w:cstheme="minorHAnsi"/>
                <w:color w:val="000000"/>
              </w:rPr>
            </w:pPr>
          </w:p>
          <w:p w14:paraId="43120687">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25914AC1">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51ED8A94">
            <w:pPr>
              <w:jc w:val="center"/>
              <w:rPr>
                <w:rFonts w:cstheme="minorHAnsi"/>
                <w:b/>
              </w:rPr>
            </w:pPr>
            <w:r>
              <w:rPr>
                <w:rFonts w:cstheme="minorHAnsi"/>
                <w:b/>
              </w:rPr>
              <w:t>B</w:t>
            </w:r>
          </w:p>
        </w:tc>
      </w:tr>
      <w:tr w14:paraId="7CF9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55A66A50">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6C4953E1">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5423D041">
            <w:pPr>
              <w:jc w:val="center"/>
              <w:rPr>
                <w:b/>
              </w:rPr>
            </w:pPr>
            <w:r>
              <w:rPr>
                <w:rFonts w:hint="eastAsia"/>
                <w:b/>
              </w:rPr>
              <w:t>服务</w:t>
            </w:r>
            <w:r>
              <w:rPr>
                <w:b/>
              </w:rPr>
              <w:t>期</w:t>
            </w:r>
          </w:p>
        </w:tc>
      </w:tr>
      <w:tr w14:paraId="47F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E7F5265">
            <w:pPr>
              <w:spacing w:line="440" w:lineRule="exact"/>
              <w:jc w:val="center"/>
              <w:rPr>
                <w:rFonts w:cstheme="minorHAnsi"/>
                <w:color w:val="C00000"/>
                <w:sz w:val="21"/>
                <w:szCs w:val="21"/>
              </w:rPr>
            </w:pPr>
            <w:r>
              <w:rPr>
                <w:rFonts w:hint="eastAsia" w:cs="Tahoma"/>
                <w:color w:val="C00000"/>
                <w:sz w:val="22"/>
              </w:rPr>
              <w:t>2025年度</w:t>
            </w:r>
            <w:r>
              <w:rPr>
                <w:rFonts w:cs="Tahoma"/>
                <w:color w:val="C00000"/>
                <w:sz w:val="22"/>
              </w:rPr>
              <w:t>中心机关物业服务</w:t>
            </w:r>
          </w:p>
        </w:tc>
        <w:tc>
          <w:tcPr>
            <w:tcW w:w="2764" w:type="dxa"/>
            <w:tcBorders>
              <w:top w:val="single" w:color="auto" w:sz="2" w:space="0"/>
              <w:left w:val="single" w:color="auto" w:sz="2" w:space="0"/>
              <w:bottom w:val="single" w:color="auto" w:sz="2" w:space="0"/>
              <w:right w:val="single" w:color="auto" w:sz="2" w:space="0"/>
            </w:tcBorders>
            <w:vAlign w:val="center"/>
          </w:tcPr>
          <w:p w14:paraId="7588E09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1F1D7426">
            <w:pPr>
              <w:spacing w:line="440" w:lineRule="exact"/>
              <w:jc w:val="center"/>
              <w:rPr>
                <w:rFonts w:cstheme="minorHAnsi"/>
                <w:color w:val="000000"/>
              </w:rPr>
            </w:pPr>
          </w:p>
        </w:tc>
      </w:tr>
    </w:tbl>
    <w:p w14:paraId="6911AC94">
      <w:r>
        <w:rPr>
          <w:rFonts w:cstheme="minorHAnsi"/>
          <w:color w:val="000000"/>
        </w:rPr>
        <w:t>供应商：（</w:t>
      </w:r>
      <w:r>
        <w:rPr>
          <w:rFonts w:cstheme="minorHAnsi"/>
          <w:i/>
          <w:color w:val="7030A0"/>
        </w:rPr>
        <w:t>供应商全称并加盖公章</w:t>
      </w:r>
      <w:r>
        <w:rPr>
          <w:rFonts w:cstheme="minorHAnsi"/>
          <w:color w:val="000000"/>
        </w:rPr>
        <w:t>）</w:t>
      </w:r>
    </w:p>
    <w:p w14:paraId="66169A3B">
      <w:pPr>
        <w:spacing w:before="230" w:beforeLines="50"/>
        <w:jc w:val="both"/>
        <w:rPr>
          <w:kern w:val="24"/>
        </w:rPr>
      </w:pPr>
    </w:p>
    <w:p w14:paraId="0C27BBED">
      <w:pPr>
        <w:jc w:val="both"/>
        <w:rPr>
          <w:kern w:val="24"/>
        </w:rPr>
      </w:pPr>
      <w:r>
        <w:rPr>
          <w:kern w:val="24"/>
        </w:rPr>
        <w:t>〖注〗以下情况按无效响应处理：</w:t>
      </w:r>
    </w:p>
    <w:p w14:paraId="6B613B8D">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14:paraId="0C3682DE">
      <w:pPr>
        <w:ind w:firstLine="480" w:firstLineChars="200"/>
        <w:jc w:val="both"/>
        <w:rPr>
          <w:kern w:val="24"/>
        </w:rPr>
      </w:pPr>
      <w:r>
        <w:rPr>
          <w:kern w:val="24"/>
        </w:rPr>
        <w:t>2．本表A栏值与</w:t>
      </w:r>
      <w:r>
        <w:rPr>
          <w:rFonts w:hint="eastAsia"/>
          <w:kern w:val="24"/>
        </w:rPr>
        <w:t>报价明细</w:t>
      </w:r>
      <w:r>
        <w:rPr>
          <w:kern w:val="24"/>
        </w:rPr>
        <w:t>表中的“合计”值不一致的。</w:t>
      </w:r>
    </w:p>
    <w:p w14:paraId="22472ED4">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项目</w:t>
      </w:r>
      <w:r>
        <w:rPr>
          <w:kern w:val="24"/>
        </w:rPr>
        <w:t>预算的。</w:t>
      </w:r>
    </w:p>
    <w:p w14:paraId="1FDC4CFD">
      <w:pPr>
        <w:pStyle w:val="43"/>
        <w:jc w:val="both"/>
        <w:rPr>
          <w:rFonts w:hAnsi="华文仿宋"/>
        </w:rPr>
      </w:pPr>
    </w:p>
    <w:p w14:paraId="408FE6B9">
      <w:pPr>
        <w:pStyle w:val="43"/>
        <w:ind w:firstLine="560" w:firstLineChars="200"/>
        <w:jc w:val="both"/>
        <w:rPr>
          <w:rFonts w:hAnsi="华文仿宋"/>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6B933127">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14:paraId="08D19F3B">
      <w:pPr>
        <w:pStyle w:val="43"/>
        <w:tabs>
          <w:tab w:val="right" w:pos="13892"/>
        </w:tabs>
        <w:jc w:val="both"/>
        <w:rPr>
          <w:rFonts w:asciiTheme="minorHAnsi" w:hAnsiTheme="minorHAnsi" w:eastAsiaTheme="minorEastAsia"/>
          <w:vanish/>
          <w:color w:val="00B050"/>
          <w:sz w:val="24"/>
          <w:szCs w:val="24"/>
        </w:rPr>
      </w:pPr>
    </w:p>
    <w:tbl>
      <w:tblPr>
        <w:tblStyle w:val="27"/>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0D4D2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6CD649DC">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73DC7C4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6C9967B8">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542CDE47">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58581AF0">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470E5E86">
            <w:pPr>
              <w:spacing w:line="320" w:lineRule="exact"/>
              <w:jc w:val="center"/>
              <w:rPr>
                <w:rFonts w:cs="Calibri Light"/>
                <w:b/>
                <w:color w:val="000000"/>
                <w:sz w:val="21"/>
                <w:szCs w:val="21"/>
              </w:rPr>
            </w:pPr>
            <w:r>
              <w:rPr>
                <w:rFonts w:cs="Calibri Light"/>
                <w:b/>
                <w:color w:val="000000"/>
                <w:sz w:val="21"/>
                <w:szCs w:val="21"/>
              </w:rPr>
              <w:t>总价</w:t>
            </w:r>
          </w:p>
        </w:tc>
      </w:tr>
      <w:tr w14:paraId="2873A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3AE263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AFDFD27">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CE598D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F251126">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C0FBCB1">
            <w:pPr>
              <w:spacing w:line="440" w:lineRule="exact"/>
              <w:jc w:val="center"/>
              <w:rPr>
                <w:rFonts w:cs="Calibri Light"/>
                <w:b/>
                <w:bCs/>
                <w:color w:val="000000"/>
                <w:sz w:val="21"/>
                <w:szCs w:val="21"/>
              </w:rPr>
            </w:pPr>
          </w:p>
        </w:tc>
        <w:tc>
          <w:tcPr>
            <w:tcW w:w="1068" w:type="dxa"/>
            <w:vAlign w:val="center"/>
          </w:tcPr>
          <w:p w14:paraId="52C69CA1">
            <w:pPr>
              <w:spacing w:line="440" w:lineRule="exact"/>
              <w:jc w:val="center"/>
              <w:rPr>
                <w:rFonts w:cs="Calibri Light"/>
                <w:b/>
                <w:bCs/>
                <w:color w:val="000000"/>
                <w:sz w:val="21"/>
                <w:szCs w:val="21"/>
              </w:rPr>
            </w:pPr>
          </w:p>
        </w:tc>
      </w:tr>
      <w:tr w14:paraId="26454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8D4A9C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181DE5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E3B2EC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7E8891">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44A21AE">
            <w:pPr>
              <w:spacing w:line="440" w:lineRule="exact"/>
              <w:jc w:val="center"/>
              <w:rPr>
                <w:rFonts w:cs="Calibri Light"/>
                <w:b/>
                <w:bCs/>
                <w:color w:val="000000"/>
                <w:sz w:val="21"/>
                <w:szCs w:val="21"/>
              </w:rPr>
            </w:pPr>
          </w:p>
        </w:tc>
        <w:tc>
          <w:tcPr>
            <w:tcW w:w="1068" w:type="dxa"/>
            <w:vAlign w:val="center"/>
          </w:tcPr>
          <w:p w14:paraId="1AFAE58F">
            <w:pPr>
              <w:spacing w:line="440" w:lineRule="exact"/>
              <w:jc w:val="center"/>
              <w:rPr>
                <w:rFonts w:cs="Calibri Light"/>
                <w:b/>
                <w:bCs/>
                <w:color w:val="000000"/>
                <w:sz w:val="21"/>
                <w:szCs w:val="21"/>
              </w:rPr>
            </w:pPr>
          </w:p>
        </w:tc>
      </w:tr>
      <w:tr w14:paraId="57121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BD418A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2C229B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C6242D">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56680A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8626A3F">
            <w:pPr>
              <w:spacing w:line="440" w:lineRule="exact"/>
              <w:jc w:val="center"/>
              <w:rPr>
                <w:rFonts w:cs="Calibri Light"/>
                <w:b/>
                <w:bCs/>
                <w:color w:val="000000"/>
                <w:sz w:val="21"/>
                <w:szCs w:val="21"/>
              </w:rPr>
            </w:pPr>
          </w:p>
        </w:tc>
        <w:tc>
          <w:tcPr>
            <w:tcW w:w="1068" w:type="dxa"/>
            <w:vAlign w:val="center"/>
          </w:tcPr>
          <w:p w14:paraId="0292DC17">
            <w:pPr>
              <w:spacing w:line="440" w:lineRule="exact"/>
              <w:jc w:val="center"/>
              <w:rPr>
                <w:rFonts w:cs="Calibri Light"/>
                <w:b/>
                <w:bCs/>
                <w:color w:val="000000"/>
                <w:sz w:val="21"/>
                <w:szCs w:val="21"/>
              </w:rPr>
            </w:pPr>
          </w:p>
        </w:tc>
      </w:tr>
      <w:tr w14:paraId="7283F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B656880">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C66DBCE">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10B377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65CA57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B443453">
            <w:pPr>
              <w:spacing w:line="440" w:lineRule="exact"/>
              <w:jc w:val="center"/>
              <w:rPr>
                <w:rFonts w:cs="Calibri Light"/>
                <w:b/>
                <w:bCs/>
                <w:color w:val="000000"/>
                <w:sz w:val="21"/>
                <w:szCs w:val="21"/>
              </w:rPr>
            </w:pPr>
          </w:p>
        </w:tc>
        <w:tc>
          <w:tcPr>
            <w:tcW w:w="1068" w:type="dxa"/>
            <w:vAlign w:val="center"/>
          </w:tcPr>
          <w:p w14:paraId="129829B0">
            <w:pPr>
              <w:spacing w:line="440" w:lineRule="exact"/>
              <w:jc w:val="center"/>
              <w:rPr>
                <w:rFonts w:cs="Calibri Light"/>
                <w:b/>
                <w:bCs/>
                <w:color w:val="000000"/>
                <w:sz w:val="21"/>
                <w:szCs w:val="21"/>
              </w:rPr>
            </w:pPr>
          </w:p>
        </w:tc>
      </w:tr>
      <w:tr w14:paraId="2FDCD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AF4F6A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A7590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90F651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EA7083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8F3EBEC">
            <w:pPr>
              <w:spacing w:line="440" w:lineRule="exact"/>
              <w:jc w:val="center"/>
              <w:rPr>
                <w:rFonts w:cs="Calibri Light"/>
                <w:b/>
                <w:bCs/>
                <w:color w:val="000000"/>
                <w:sz w:val="21"/>
                <w:szCs w:val="21"/>
              </w:rPr>
            </w:pPr>
          </w:p>
        </w:tc>
        <w:tc>
          <w:tcPr>
            <w:tcW w:w="1068" w:type="dxa"/>
            <w:vAlign w:val="center"/>
          </w:tcPr>
          <w:p w14:paraId="30AE7575">
            <w:pPr>
              <w:spacing w:line="440" w:lineRule="exact"/>
              <w:jc w:val="center"/>
              <w:rPr>
                <w:rFonts w:cs="Calibri Light"/>
                <w:b/>
                <w:bCs/>
                <w:color w:val="000000"/>
                <w:sz w:val="21"/>
                <w:szCs w:val="21"/>
              </w:rPr>
            </w:pPr>
          </w:p>
        </w:tc>
      </w:tr>
      <w:tr w14:paraId="73E60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52D79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C9F8AD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F9E88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FEBCA86">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3C54834">
            <w:pPr>
              <w:spacing w:line="440" w:lineRule="exact"/>
              <w:jc w:val="center"/>
              <w:rPr>
                <w:rFonts w:cs="Calibri Light"/>
                <w:b/>
                <w:bCs/>
                <w:color w:val="000000"/>
                <w:sz w:val="21"/>
                <w:szCs w:val="21"/>
              </w:rPr>
            </w:pPr>
          </w:p>
        </w:tc>
        <w:tc>
          <w:tcPr>
            <w:tcW w:w="1068" w:type="dxa"/>
            <w:vAlign w:val="center"/>
          </w:tcPr>
          <w:p w14:paraId="626FBE57">
            <w:pPr>
              <w:spacing w:line="440" w:lineRule="exact"/>
              <w:jc w:val="center"/>
              <w:rPr>
                <w:rFonts w:cs="Calibri Light"/>
                <w:b/>
                <w:bCs/>
                <w:color w:val="000000"/>
                <w:sz w:val="21"/>
                <w:szCs w:val="21"/>
              </w:rPr>
            </w:pPr>
          </w:p>
        </w:tc>
      </w:tr>
      <w:tr w14:paraId="6E1BA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B77EFB0">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3332C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D3B09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CE40DFA">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3F92921">
            <w:pPr>
              <w:spacing w:line="440" w:lineRule="exact"/>
              <w:jc w:val="center"/>
              <w:rPr>
                <w:rFonts w:cs="Calibri Light"/>
                <w:b/>
                <w:bCs/>
                <w:color w:val="000000"/>
                <w:sz w:val="21"/>
                <w:szCs w:val="21"/>
              </w:rPr>
            </w:pPr>
          </w:p>
        </w:tc>
        <w:tc>
          <w:tcPr>
            <w:tcW w:w="1068" w:type="dxa"/>
            <w:vAlign w:val="center"/>
          </w:tcPr>
          <w:p w14:paraId="78ABB3BF">
            <w:pPr>
              <w:spacing w:line="440" w:lineRule="exact"/>
              <w:jc w:val="center"/>
              <w:rPr>
                <w:rFonts w:cs="Calibri Light"/>
                <w:b/>
                <w:bCs/>
                <w:color w:val="000000"/>
                <w:sz w:val="21"/>
                <w:szCs w:val="21"/>
              </w:rPr>
            </w:pPr>
          </w:p>
        </w:tc>
      </w:tr>
      <w:tr w14:paraId="0CFED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5150924">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30C679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EF10E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76944B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C7E118D">
            <w:pPr>
              <w:spacing w:line="440" w:lineRule="exact"/>
              <w:jc w:val="center"/>
              <w:rPr>
                <w:rFonts w:cs="Calibri Light"/>
                <w:b/>
                <w:bCs/>
                <w:color w:val="000000"/>
                <w:sz w:val="21"/>
                <w:szCs w:val="21"/>
              </w:rPr>
            </w:pPr>
          </w:p>
        </w:tc>
        <w:tc>
          <w:tcPr>
            <w:tcW w:w="1068" w:type="dxa"/>
            <w:vAlign w:val="center"/>
          </w:tcPr>
          <w:p w14:paraId="5B74055E">
            <w:pPr>
              <w:spacing w:line="440" w:lineRule="exact"/>
              <w:jc w:val="center"/>
              <w:rPr>
                <w:rFonts w:cs="Calibri Light"/>
                <w:b/>
                <w:bCs/>
                <w:color w:val="000000"/>
                <w:sz w:val="21"/>
                <w:szCs w:val="21"/>
              </w:rPr>
            </w:pPr>
          </w:p>
        </w:tc>
      </w:tr>
      <w:tr w14:paraId="4171D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324E10">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CE9760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361EFE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F3DCA2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0806A4B">
            <w:pPr>
              <w:spacing w:line="440" w:lineRule="exact"/>
              <w:jc w:val="center"/>
              <w:rPr>
                <w:rFonts w:cs="Calibri Light"/>
                <w:b/>
                <w:bCs/>
                <w:color w:val="000000"/>
                <w:sz w:val="21"/>
                <w:szCs w:val="21"/>
              </w:rPr>
            </w:pPr>
          </w:p>
        </w:tc>
        <w:tc>
          <w:tcPr>
            <w:tcW w:w="1068" w:type="dxa"/>
            <w:vAlign w:val="center"/>
          </w:tcPr>
          <w:p w14:paraId="097AA753">
            <w:pPr>
              <w:spacing w:line="440" w:lineRule="exact"/>
              <w:jc w:val="center"/>
              <w:rPr>
                <w:rFonts w:cs="Calibri Light"/>
                <w:b/>
                <w:bCs/>
                <w:color w:val="000000"/>
                <w:sz w:val="21"/>
                <w:szCs w:val="21"/>
              </w:rPr>
            </w:pPr>
          </w:p>
        </w:tc>
      </w:tr>
      <w:tr w14:paraId="17F7D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7CB743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337597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D6F4BF8">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255F8">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768BBA5">
            <w:pPr>
              <w:spacing w:line="440" w:lineRule="exact"/>
              <w:jc w:val="center"/>
              <w:rPr>
                <w:rFonts w:cs="Calibri Light"/>
                <w:b/>
                <w:bCs/>
                <w:color w:val="000000"/>
                <w:sz w:val="21"/>
                <w:szCs w:val="21"/>
              </w:rPr>
            </w:pPr>
          </w:p>
        </w:tc>
        <w:tc>
          <w:tcPr>
            <w:tcW w:w="1068" w:type="dxa"/>
            <w:vAlign w:val="center"/>
          </w:tcPr>
          <w:p w14:paraId="37F39DC1">
            <w:pPr>
              <w:spacing w:line="440" w:lineRule="exact"/>
              <w:jc w:val="center"/>
              <w:rPr>
                <w:rFonts w:cs="Calibri Light"/>
                <w:b/>
                <w:bCs/>
                <w:color w:val="000000"/>
                <w:sz w:val="21"/>
                <w:szCs w:val="21"/>
              </w:rPr>
            </w:pPr>
          </w:p>
        </w:tc>
      </w:tr>
      <w:tr w14:paraId="0A05F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9D0CC8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A43D28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6EF68D2">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994FE8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3F66540">
            <w:pPr>
              <w:spacing w:line="440" w:lineRule="exact"/>
              <w:jc w:val="center"/>
              <w:rPr>
                <w:rFonts w:cs="Calibri Light"/>
                <w:b/>
                <w:bCs/>
                <w:color w:val="000000"/>
                <w:sz w:val="21"/>
                <w:szCs w:val="21"/>
              </w:rPr>
            </w:pPr>
          </w:p>
        </w:tc>
        <w:tc>
          <w:tcPr>
            <w:tcW w:w="1068" w:type="dxa"/>
            <w:vAlign w:val="center"/>
          </w:tcPr>
          <w:p w14:paraId="7E97362B">
            <w:pPr>
              <w:spacing w:line="440" w:lineRule="exact"/>
              <w:jc w:val="center"/>
              <w:rPr>
                <w:rFonts w:cs="Calibri Light"/>
                <w:b/>
                <w:bCs/>
                <w:color w:val="000000"/>
                <w:sz w:val="21"/>
                <w:szCs w:val="21"/>
              </w:rPr>
            </w:pPr>
          </w:p>
        </w:tc>
      </w:tr>
      <w:tr w14:paraId="0BBCA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228926C8">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02A19423">
            <w:pPr>
              <w:spacing w:line="440" w:lineRule="exact"/>
              <w:jc w:val="center"/>
              <w:rPr>
                <w:rFonts w:cs="Calibri Light"/>
                <w:b/>
                <w:bCs/>
                <w:color w:val="000000"/>
                <w:sz w:val="21"/>
                <w:szCs w:val="21"/>
              </w:rPr>
            </w:pPr>
          </w:p>
        </w:tc>
      </w:tr>
    </w:tbl>
    <w:p w14:paraId="609813A1">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4535FB9E">
      <w:pPr>
        <w:tabs>
          <w:tab w:val="right" w:pos="9070"/>
        </w:tabs>
        <w:spacing w:line="440" w:lineRule="exact"/>
        <w:jc w:val="both"/>
        <w:rPr>
          <w:rFonts w:cs="Calibri Light"/>
          <w:bCs/>
        </w:rPr>
      </w:pPr>
    </w:p>
    <w:p w14:paraId="4302BBC8">
      <w:pPr>
        <w:wordWrap w:val="0"/>
        <w:spacing w:line="400" w:lineRule="exact"/>
        <w:jc w:val="both"/>
      </w:pPr>
      <w:r>
        <w:t>说明：1．此表各项费用由供应商自行列支，仅供参考；</w:t>
      </w:r>
    </w:p>
    <w:p w14:paraId="5AEACA43">
      <w:pPr>
        <w:tabs>
          <w:tab w:val="right" w:pos="9070"/>
        </w:tabs>
        <w:spacing w:line="440" w:lineRule="exact"/>
        <w:ind w:firstLine="720" w:firstLineChars="300"/>
      </w:pPr>
      <w:r>
        <w:t>2．表格空间不足时，可以自行扩展。</w:t>
      </w:r>
    </w:p>
    <w:p w14:paraId="2565C391">
      <w:pPr>
        <w:jc w:val="both"/>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4C0C4FDE">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F60C859">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0EF2C9DD">
      <w:pPr>
        <w:keepNext/>
        <w:spacing w:before="120" w:after="60"/>
        <w:outlineLvl w:val="3"/>
        <w:rPr>
          <w:b/>
          <w:kern w:val="28"/>
        </w:rPr>
      </w:pPr>
      <w:r>
        <w:rPr>
          <w:b/>
          <w:kern w:val="28"/>
        </w:rPr>
        <w:t>1．有效的注册登记证明文件</w:t>
      </w:r>
    </w:p>
    <w:p w14:paraId="1336DA5C">
      <w:pPr>
        <w:ind w:firstLine="480" w:firstLineChars="200"/>
        <w:jc w:val="both"/>
        <w:rPr>
          <w:rFonts w:cstheme="minorHAnsi"/>
          <w:color w:val="000000"/>
          <w:kern w:val="24"/>
        </w:rPr>
      </w:pPr>
    </w:p>
    <w:p w14:paraId="3A63C24E">
      <w:pPr>
        <w:ind w:firstLine="480" w:firstLineChars="200"/>
        <w:jc w:val="both"/>
        <w:rPr>
          <w:rFonts w:cstheme="minorHAnsi"/>
          <w:color w:val="000000"/>
          <w:kern w:val="24"/>
        </w:rPr>
      </w:pPr>
    </w:p>
    <w:p w14:paraId="2021FDBC">
      <w:pPr>
        <w:ind w:firstLine="480" w:firstLineChars="200"/>
        <w:jc w:val="both"/>
        <w:rPr>
          <w:rFonts w:cstheme="minorHAnsi"/>
          <w:color w:val="000000"/>
          <w:kern w:val="24"/>
        </w:rPr>
      </w:pPr>
    </w:p>
    <w:p w14:paraId="530FCF24">
      <w:pPr>
        <w:keepNext/>
        <w:spacing w:before="120" w:after="60"/>
        <w:outlineLvl w:val="3"/>
        <w:rPr>
          <w:b/>
          <w:kern w:val="28"/>
        </w:rPr>
      </w:pPr>
      <w:r>
        <w:rPr>
          <w:b/>
          <w:kern w:val="28"/>
        </w:rPr>
        <w:t>2．财务状况报告</w:t>
      </w:r>
    </w:p>
    <w:p w14:paraId="208A7A9C">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7B8E870A">
      <w:pPr>
        <w:spacing w:before="230" w:beforeLines="50"/>
        <w:jc w:val="center"/>
        <w:rPr>
          <w:rFonts w:cs="Calibri Light"/>
          <w:b/>
          <w:color w:val="1F4E79"/>
          <w:sz w:val="28"/>
        </w:rPr>
      </w:pPr>
      <w:r>
        <w:rPr>
          <w:rFonts w:cs="Calibri Light"/>
          <w:b/>
          <w:color w:val="1F4E79"/>
          <w:sz w:val="28"/>
        </w:rPr>
        <w:t>『基本存款账户信息』</w:t>
      </w:r>
    </w:p>
    <w:p w14:paraId="25DF78B4">
      <w:pPr>
        <w:ind w:firstLine="480" w:firstLineChars="200"/>
        <w:jc w:val="both"/>
        <w:rPr>
          <w:rFonts w:cstheme="minorHAnsi"/>
          <w:color w:val="000000"/>
          <w:kern w:val="24"/>
        </w:rPr>
      </w:pPr>
      <w:r>
        <w:rPr>
          <w:rFonts w:cstheme="minorHAnsi"/>
          <w:color w:val="000000"/>
          <w:kern w:val="24"/>
        </w:rPr>
        <w:t>账户名称：</w:t>
      </w:r>
    </w:p>
    <w:p w14:paraId="092664CA">
      <w:pPr>
        <w:ind w:firstLine="480" w:firstLineChars="200"/>
        <w:jc w:val="both"/>
        <w:rPr>
          <w:rFonts w:cstheme="minorHAnsi"/>
          <w:color w:val="000000"/>
          <w:kern w:val="24"/>
        </w:rPr>
      </w:pPr>
      <w:r>
        <w:rPr>
          <w:rFonts w:cstheme="minorHAnsi"/>
          <w:color w:val="000000"/>
          <w:kern w:val="24"/>
        </w:rPr>
        <w:t>账户号码：</w:t>
      </w:r>
    </w:p>
    <w:p w14:paraId="20F5533B">
      <w:pPr>
        <w:ind w:firstLine="480" w:firstLineChars="200"/>
        <w:jc w:val="both"/>
        <w:rPr>
          <w:rFonts w:cstheme="minorHAnsi"/>
          <w:color w:val="000000"/>
          <w:kern w:val="24"/>
        </w:rPr>
      </w:pPr>
      <w:r>
        <w:rPr>
          <w:rFonts w:cstheme="minorHAnsi"/>
          <w:color w:val="000000"/>
          <w:kern w:val="24"/>
        </w:rPr>
        <w:t>开户银行：</w:t>
      </w:r>
    </w:p>
    <w:p w14:paraId="7E86BA99">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11B17A51">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60AE3D48">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1771D46A">
      <w:pPr>
        <w:ind w:firstLine="480" w:firstLineChars="200"/>
        <w:jc w:val="both"/>
        <w:rPr>
          <w:rFonts w:cstheme="minorHAnsi"/>
          <w:color w:val="000000"/>
          <w:kern w:val="24"/>
        </w:rPr>
      </w:pPr>
      <w:r>
        <w:rPr>
          <w:rFonts w:cstheme="minorHAnsi"/>
          <w:color w:val="000000"/>
          <w:kern w:val="24"/>
        </w:rPr>
        <w:t>日期：　　年　月　日</w:t>
      </w:r>
    </w:p>
    <w:p w14:paraId="04EEB782">
      <w:pPr>
        <w:ind w:firstLine="480" w:firstLineChars="200"/>
        <w:jc w:val="both"/>
        <w:rPr>
          <w:rFonts w:cstheme="minorHAnsi"/>
          <w:color w:val="000000"/>
          <w:kern w:val="24"/>
        </w:rPr>
      </w:pPr>
    </w:p>
    <w:p w14:paraId="5502B743">
      <w:pPr>
        <w:ind w:firstLine="480" w:firstLineChars="200"/>
        <w:jc w:val="both"/>
        <w:rPr>
          <w:rFonts w:cstheme="minorHAnsi"/>
          <w:color w:val="000000"/>
          <w:kern w:val="24"/>
        </w:rPr>
      </w:pPr>
    </w:p>
    <w:p w14:paraId="643D78A7">
      <w:pPr>
        <w:keepNext/>
        <w:spacing w:before="120" w:after="60"/>
        <w:outlineLvl w:val="3"/>
        <w:rPr>
          <w:b/>
          <w:kern w:val="28"/>
        </w:rPr>
      </w:pPr>
      <w:r>
        <w:rPr>
          <w:b/>
          <w:kern w:val="28"/>
        </w:rPr>
        <w:t>3．社会保障资金缴纳证明</w:t>
      </w:r>
    </w:p>
    <w:p w14:paraId="254A8D6A">
      <w:pPr>
        <w:ind w:firstLine="480" w:firstLineChars="200"/>
        <w:jc w:val="both"/>
        <w:rPr>
          <w:rFonts w:cstheme="minorHAnsi"/>
          <w:color w:val="000000"/>
          <w:kern w:val="24"/>
        </w:rPr>
      </w:pPr>
    </w:p>
    <w:p w14:paraId="381FE0D1">
      <w:pPr>
        <w:ind w:firstLine="480" w:firstLineChars="200"/>
        <w:jc w:val="both"/>
        <w:rPr>
          <w:rFonts w:cstheme="minorHAnsi"/>
          <w:color w:val="000000"/>
          <w:kern w:val="24"/>
        </w:rPr>
      </w:pPr>
    </w:p>
    <w:p w14:paraId="3A008C71">
      <w:pPr>
        <w:ind w:firstLine="480" w:firstLineChars="200"/>
        <w:jc w:val="both"/>
        <w:rPr>
          <w:rFonts w:cstheme="minorHAnsi"/>
          <w:color w:val="000000"/>
          <w:kern w:val="24"/>
        </w:rPr>
      </w:pPr>
    </w:p>
    <w:p w14:paraId="42188EB6">
      <w:pPr>
        <w:keepNext/>
        <w:spacing w:before="120" w:after="60"/>
        <w:outlineLvl w:val="3"/>
        <w:rPr>
          <w:b/>
          <w:kern w:val="28"/>
        </w:rPr>
      </w:pPr>
      <w:r>
        <w:rPr>
          <w:b/>
          <w:kern w:val="28"/>
        </w:rPr>
        <w:t>4．税收缴纳证明</w:t>
      </w:r>
    </w:p>
    <w:p w14:paraId="4327B6C8">
      <w:pPr>
        <w:ind w:firstLine="480" w:firstLineChars="200"/>
        <w:jc w:val="both"/>
        <w:rPr>
          <w:rFonts w:cstheme="minorHAnsi"/>
          <w:color w:val="000000"/>
          <w:kern w:val="24"/>
        </w:rPr>
      </w:pPr>
    </w:p>
    <w:p w14:paraId="659BE840">
      <w:pPr>
        <w:ind w:firstLine="480" w:firstLineChars="200"/>
        <w:jc w:val="both"/>
        <w:rPr>
          <w:rFonts w:cstheme="minorHAnsi"/>
          <w:color w:val="000000"/>
          <w:kern w:val="24"/>
        </w:rPr>
      </w:pPr>
    </w:p>
    <w:p w14:paraId="2929D809">
      <w:pPr>
        <w:keepNext/>
        <w:spacing w:before="120" w:after="60"/>
        <w:outlineLvl w:val="3"/>
        <w:rPr>
          <w:b/>
          <w:kern w:val="28"/>
        </w:rPr>
      </w:pPr>
      <w:r>
        <w:rPr>
          <w:b/>
          <w:kern w:val="28"/>
        </w:rPr>
        <w:t>5．无重大违法记录声明</w:t>
      </w:r>
    </w:p>
    <w:p w14:paraId="4551A39E">
      <w:pPr>
        <w:ind w:firstLine="480" w:firstLineChars="200"/>
        <w:jc w:val="both"/>
        <w:rPr>
          <w:rFonts w:cstheme="minorHAnsi"/>
          <w:i/>
          <w:color w:val="7030A0"/>
          <w:kern w:val="24"/>
        </w:rPr>
      </w:pPr>
      <w:r>
        <w:rPr>
          <w:rFonts w:cstheme="minorHAnsi"/>
          <w:i/>
          <w:color w:val="7030A0"/>
          <w:kern w:val="24"/>
        </w:rPr>
        <w:t>说明：按下方给定格式进行填写</w:t>
      </w:r>
    </w:p>
    <w:p w14:paraId="67FEAFC6">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30AA34CB">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0CB81EE0">
      <w:pPr>
        <w:spacing w:before="230" w:beforeLines="50"/>
        <w:jc w:val="center"/>
        <w:rPr>
          <w:rFonts w:cs="Calibri Light"/>
          <w:b/>
          <w:color w:val="1F4E79"/>
          <w:sz w:val="28"/>
        </w:rPr>
      </w:pPr>
      <w:r>
        <w:rPr>
          <w:rFonts w:cs="Calibri Light"/>
          <w:b/>
          <w:color w:val="1F4E79"/>
          <w:sz w:val="28"/>
        </w:rPr>
        <w:t>『无重大违法记录声明』</w:t>
      </w:r>
    </w:p>
    <w:p w14:paraId="0E8523A9">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24B5CB49">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6D446E88">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75514E64">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B393D40">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6DEFA1E1">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1D222894">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427B88B6">
      <w:pPr>
        <w:ind w:firstLine="480" w:firstLineChars="200"/>
        <w:jc w:val="both"/>
        <w:rPr>
          <w:rFonts w:cstheme="minorHAnsi"/>
          <w:color w:val="000000"/>
          <w:kern w:val="24"/>
        </w:rPr>
      </w:pPr>
      <w:r>
        <w:rPr>
          <w:rFonts w:cstheme="minorHAnsi"/>
          <w:color w:val="000000"/>
          <w:kern w:val="24"/>
        </w:rPr>
        <w:t>特此声明。</w:t>
      </w:r>
    </w:p>
    <w:p w14:paraId="18388AE2">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4C34AEA2">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1C1C4EFA">
      <w:pPr>
        <w:tabs>
          <w:tab w:val="center" w:pos="6663"/>
        </w:tabs>
        <w:spacing w:line="400" w:lineRule="exact"/>
        <w:rPr>
          <w:rFonts w:cs="Calibri Light"/>
        </w:rPr>
      </w:pPr>
      <w:r>
        <w:rPr>
          <w:rFonts w:cs="Calibri Light"/>
        </w:rPr>
        <w:br w:type="page"/>
      </w:r>
    </w:p>
    <w:p w14:paraId="050E834C">
      <w:pPr>
        <w:keepNext/>
        <w:spacing w:before="120" w:after="60"/>
        <w:outlineLvl w:val="3"/>
        <w:rPr>
          <w:b/>
          <w:kern w:val="28"/>
        </w:rPr>
      </w:pPr>
      <w:r>
        <w:rPr>
          <w:b/>
          <w:kern w:val="28"/>
        </w:rPr>
        <w:t>6．法定代表人（负责人）委托授权书\身份证明</w:t>
      </w:r>
    </w:p>
    <w:p w14:paraId="18CFB01C">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72A3F02B">
      <w:pPr>
        <w:spacing w:before="230" w:beforeLines="50"/>
        <w:jc w:val="center"/>
        <w:rPr>
          <w:rFonts w:cs="Calibri Light"/>
          <w:b/>
          <w:color w:val="1F4E79"/>
          <w:sz w:val="28"/>
        </w:rPr>
      </w:pPr>
      <w:r>
        <w:rPr>
          <w:rFonts w:cs="Calibri Light"/>
          <w:b/>
          <w:color w:val="1F4E79"/>
          <w:sz w:val="28"/>
        </w:rPr>
        <w:t>『法定代表人（负责人）身份证明』（格式）</w:t>
      </w:r>
    </w:p>
    <w:p w14:paraId="1641A533">
      <w:r>
        <w:t>西安市市级单位政府采购中心</w:t>
      </w:r>
      <w:r>
        <w:rPr>
          <w:rFonts w:cstheme="minorHAnsi"/>
          <w:color w:val="000000"/>
        </w:rPr>
        <w:t>：</w:t>
      </w:r>
    </w:p>
    <w:p w14:paraId="6F6B4780">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7"/>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14:paraId="51E65B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01A2FFA0">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653555FE">
            <w:pPr>
              <w:ind w:firstLine="7" w:firstLineChars="3"/>
              <w:jc w:val="center"/>
              <w:rPr>
                <w:rFonts w:cstheme="minorHAnsi"/>
                <w:color w:val="000000"/>
              </w:rPr>
            </w:pPr>
            <w:r>
              <w:rPr>
                <w:rFonts w:cstheme="minorHAnsi"/>
                <w:color w:val="000000"/>
              </w:rPr>
              <w:t>身份证正反面（扫描件）</w:t>
            </w:r>
          </w:p>
          <w:p w14:paraId="4A30EC4E">
            <w:pPr>
              <w:ind w:firstLine="7" w:firstLineChars="3"/>
              <w:jc w:val="center"/>
              <w:rPr>
                <w:rFonts w:cstheme="minorHAnsi"/>
                <w:color w:val="000000"/>
              </w:rPr>
            </w:pPr>
            <w:r>
              <w:rPr>
                <w:rFonts w:cstheme="minorHAnsi"/>
                <w:color w:val="000000"/>
              </w:rPr>
              <w:t>或护照资料页（扫描件）</w:t>
            </w:r>
          </w:p>
        </w:tc>
      </w:tr>
    </w:tbl>
    <w:p w14:paraId="0D4C796C">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9DAEE43">
      <w:pPr>
        <w:ind w:firstLine="480" w:firstLineChars="200"/>
        <w:rPr>
          <w:rFonts w:eastAsiaTheme="majorEastAsia" w:cstheme="minorHAnsi"/>
          <w:color w:val="000000"/>
        </w:rPr>
      </w:pPr>
      <w:r>
        <w:rPr>
          <w:rFonts w:eastAsiaTheme="majorEastAsia" w:cstheme="minorHAnsi"/>
          <w:color w:val="000000"/>
        </w:rPr>
        <w:t>日期：　　　年　月　日</w:t>
      </w:r>
    </w:p>
    <w:p w14:paraId="6EF36BDC">
      <w:pPr>
        <w:ind w:firstLine="480" w:firstLineChars="200"/>
        <w:rPr>
          <w:rFonts w:ascii="黑体" w:hAnsi="黑体" w:cstheme="minorHAnsi"/>
        </w:rPr>
      </w:pPr>
      <w:r>
        <w:rPr>
          <w:rFonts w:ascii="黑体" w:hAnsi="黑体" w:cstheme="minorHAnsi"/>
        </w:rPr>
        <w:br w:type="page"/>
      </w:r>
    </w:p>
    <w:p w14:paraId="0B7DC9DE">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73B5EF56">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25AB9E18">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43DCCF44">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090847A9">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1DB1DDB6">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4B935540">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14:paraId="2A0F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6E3A52B0">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4E830C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14964B36">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64D00F69">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1CEC2336">
            <w:pPr>
              <w:jc w:val="center"/>
              <w:rPr>
                <w:rFonts w:cstheme="minorHAnsi"/>
                <w:color w:val="000000"/>
              </w:rPr>
            </w:pPr>
            <w:r>
              <w:rPr>
                <w:rFonts w:cstheme="minorHAnsi"/>
                <w:color w:val="000000"/>
              </w:rPr>
              <w:t>身份证正反面（扫描件）</w:t>
            </w:r>
          </w:p>
        </w:tc>
      </w:tr>
      <w:tr w14:paraId="0D90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2126C77">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07D7EF7E">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020B7B96">
            <w:pPr>
              <w:jc w:val="center"/>
              <w:rPr>
                <w:rFonts w:cstheme="minorHAnsi"/>
                <w:color w:val="000000"/>
              </w:rPr>
            </w:pPr>
            <w:r>
              <w:rPr>
                <w:rFonts w:cstheme="minorHAnsi"/>
                <w:color w:val="000000"/>
              </w:rPr>
              <w:t>或护照资料页（扫描件）</w:t>
            </w:r>
          </w:p>
        </w:tc>
      </w:tr>
    </w:tbl>
    <w:p w14:paraId="07775EE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0981302C">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3C21B072">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737AE28C">
      <w:pPr>
        <w:widowControl w:val="0"/>
        <w:spacing w:before="120" w:after="60"/>
      </w:pPr>
      <w:r>
        <w:br w:type="page"/>
      </w:r>
    </w:p>
    <w:p w14:paraId="4C520C98">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02BA0741">
      <w:pPr>
        <w:ind w:firstLine="480" w:firstLineChars="20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35B4E889">
      <w:pPr>
        <w:ind w:firstLine="480" w:firstLineChars="200"/>
        <w:jc w:val="both"/>
      </w:pPr>
      <w:r>
        <w:t>成交供应商的声明函\证明函将随成交结果一同公布，接受社会监督。</w:t>
      </w:r>
    </w:p>
    <w:p w14:paraId="784991C8">
      <w:pPr>
        <w:keepNext/>
        <w:spacing w:before="120" w:after="60"/>
        <w:jc w:val="both"/>
        <w:outlineLvl w:val="3"/>
        <w:rPr>
          <w:b/>
          <w:kern w:val="28"/>
        </w:rPr>
      </w:pPr>
      <w:r>
        <w:rPr>
          <w:rFonts w:hint="eastAsia"/>
          <w:b/>
          <w:kern w:val="28"/>
        </w:rPr>
        <w:t>1．中小企业声明函</w:t>
      </w:r>
    </w:p>
    <w:p w14:paraId="396A9779">
      <w:pPr>
        <w:pStyle w:val="43"/>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4941D380">
      <w:pPr>
        <w:pStyle w:val="43"/>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7D5BA778">
      <w:pPr>
        <w:pStyle w:val="43"/>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40349BDB">
      <w:pPr>
        <w:pStyle w:val="43"/>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3D4C04BD">
      <w:pPr>
        <w:tabs>
          <w:tab w:val="left" w:pos="5670"/>
        </w:tabs>
        <w:jc w:val="center"/>
        <w:rPr>
          <w:rFonts w:cs="Calibri Light"/>
          <w:b/>
          <w:color w:val="1F4E79"/>
          <w:sz w:val="28"/>
        </w:rPr>
      </w:pPr>
      <w:r>
        <w:rPr>
          <w:rFonts w:cs="Calibri Light"/>
          <w:b/>
          <w:color w:val="1F4E79"/>
          <w:sz w:val="28"/>
        </w:rPr>
        <w:t>『中小企业声明函』（服务类格式）</w:t>
      </w:r>
    </w:p>
    <w:p w14:paraId="285E9AE2">
      <w:pPr>
        <w:pStyle w:val="43"/>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506889DF">
      <w:pPr>
        <w:pStyle w:val="43"/>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557E0B93">
      <w:pPr>
        <w:pStyle w:val="43"/>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5F8EDEE4">
      <w:pPr>
        <w:pStyle w:val="43"/>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0709BE87">
      <w:pPr>
        <w:ind w:firstLine="480" w:firstLineChars="200"/>
        <w:jc w:val="both"/>
      </w:pPr>
      <w:r>
        <w:t>以上企业，不属于大企业的分支机构，不存在控股股东为大企业的情形，也不存在与大企业的负责人为同一人的情形。</w:t>
      </w:r>
    </w:p>
    <w:p w14:paraId="1BDEF186">
      <w:pPr>
        <w:ind w:firstLine="480" w:firstLineChars="200"/>
        <w:jc w:val="both"/>
      </w:pPr>
      <w:r>
        <w:t>本企业对上述声明内容的真实性负责。如有虚假，将依法承担相应责任。</w:t>
      </w:r>
    </w:p>
    <w:p w14:paraId="52E46929">
      <w:pPr>
        <w:ind w:firstLine="480" w:firstLineChars="200"/>
        <w:jc w:val="both"/>
      </w:pPr>
    </w:p>
    <w:p w14:paraId="1FA32EAD">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52426216">
      <w:pPr>
        <w:tabs>
          <w:tab w:val="left" w:pos="5670"/>
        </w:tabs>
        <w:ind w:firstLine="480" w:firstLineChars="200"/>
        <w:jc w:val="both"/>
        <w:rPr>
          <w:rFonts w:cs="Calibri Light"/>
          <w:color w:val="000000"/>
        </w:rPr>
      </w:pPr>
      <w:r>
        <w:rPr>
          <w:rFonts w:cs="Calibri Light"/>
          <w:color w:val="000000"/>
        </w:rPr>
        <w:t>日　期：　　年　月　日</w:t>
      </w:r>
    </w:p>
    <w:p w14:paraId="57B9CB85">
      <w:pPr>
        <w:tabs>
          <w:tab w:val="left" w:pos="5670"/>
        </w:tabs>
        <w:ind w:firstLine="480" w:firstLineChars="200"/>
        <w:jc w:val="both"/>
        <w:rPr>
          <w:rFonts w:cs="Calibri Light"/>
          <w:color w:val="000000"/>
        </w:rPr>
      </w:pPr>
    </w:p>
    <w:p w14:paraId="0DC18BE1">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551FF30E">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45BC4264">
      <w:pPr>
        <w:jc w:val="center"/>
        <w:rPr>
          <w:rFonts w:cs="Calibri Light"/>
          <w:b/>
          <w:color w:val="1F4E79"/>
          <w:sz w:val="28"/>
          <w:szCs w:val="36"/>
        </w:rPr>
      </w:pPr>
      <w:r>
        <w:rPr>
          <w:rFonts w:cs="Calibri Light"/>
          <w:b/>
          <w:color w:val="1F4E79"/>
          <w:sz w:val="28"/>
          <w:szCs w:val="36"/>
        </w:rPr>
        <w:t>『残疾人福利性单位声明函』（格式）</w:t>
      </w:r>
    </w:p>
    <w:p w14:paraId="624BDC27">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1349BE9B">
      <w:pPr>
        <w:ind w:firstLine="480" w:firstLineChars="200"/>
        <w:jc w:val="both"/>
        <w:rPr>
          <w:rFonts w:cstheme="minorHAnsi"/>
          <w:color w:val="000000"/>
        </w:rPr>
      </w:pPr>
      <w:r>
        <w:rPr>
          <w:rFonts w:cstheme="minorHAnsi"/>
          <w:color w:val="000000"/>
        </w:rPr>
        <w:t>本单位对上述声明的真实性负责。如有虚假，将依法承担相应责任。</w:t>
      </w:r>
    </w:p>
    <w:p w14:paraId="0F21EC25">
      <w:pPr>
        <w:ind w:firstLine="480" w:firstLineChars="200"/>
        <w:jc w:val="both"/>
        <w:rPr>
          <w:rFonts w:cstheme="minorHAnsi"/>
          <w:color w:val="000000"/>
        </w:rPr>
      </w:pPr>
    </w:p>
    <w:p w14:paraId="236D04E2">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86129D8">
      <w:pPr>
        <w:tabs>
          <w:tab w:val="left" w:pos="5670"/>
        </w:tabs>
        <w:ind w:firstLine="480" w:firstLineChars="200"/>
        <w:jc w:val="both"/>
        <w:rPr>
          <w:rFonts w:cstheme="minorHAnsi"/>
          <w:color w:val="000000"/>
        </w:rPr>
      </w:pPr>
      <w:r>
        <w:rPr>
          <w:rFonts w:cstheme="minorHAnsi"/>
          <w:color w:val="000000"/>
        </w:rPr>
        <w:t>日　期：　　年　月　日</w:t>
      </w:r>
    </w:p>
    <w:p w14:paraId="328F11D8">
      <w:pPr>
        <w:tabs>
          <w:tab w:val="left" w:pos="5670"/>
        </w:tabs>
        <w:jc w:val="both"/>
        <w:rPr>
          <w:rFonts w:cstheme="minorHAnsi"/>
          <w:color w:val="000000"/>
        </w:rPr>
      </w:pPr>
    </w:p>
    <w:p w14:paraId="35AC6529">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31B199A2">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055F9720">
      <w:pPr>
        <w:jc w:val="center"/>
        <w:rPr>
          <w:rFonts w:cs="Calibri Light"/>
          <w:b/>
          <w:color w:val="1F4E79"/>
          <w:sz w:val="28"/>
          <w:szCs w:val="36"/>
        </w:rPr>
      </w:pPr>
      <w:r>
        <w:rPr>
          <w:rFonts w:cs="Calibri Light"/>
          <w:b/>
          <w:color w:val="1F4E79"/>
          <w:sz w:val="28"/>
          <w:szCs w:val="36"/>
        </w:rPr>
        <w:t>『监狱企业证明函』</w:t>
      </w:r>
    </w:p>
    <w:p w14:paraId="3F354DBD">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F41E74">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02413D55">
      <w:pPr>
        <w:jc w:val="both"/>
        <w:rPr>
          <w:rFonts w:ascii="Calibri" w:hAnsi="Calibri" w:eastAsia="黑体"/>
          <w:kern w:val="28"/>
          <w:sz w:val="28"/>
        </w:rPr>
      </w:pPr>
    </w:p>
    <w:p w14:paraId="1BDA9CA7">
      <w:pPr>
        <w:rPr>
          <w:rFonts w:ascii="黑体" w:hAnsi="黑体" w:eastAsia="黑体"/>
          <w:kern w:val="28"/>
          <w:sz w:val="28"/>
          <w:szCs w:val="28"/>
        </w:rPr>
      </w:pPr>
      <w:r>
        <w:rPr>
          <w:rFonts w:ascii="Calibri" w:hAnsi="Calibri" w:eastAsia="黑体"/>
          <w:kern w:val="28"/>
          <w:sz w:val="28"/>
        </w:rPr>
        <w:br w:type="page"/>
      </w: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6C4C7062">
      <w:pPr>
        <w:jc w:val="both"/>
        <w:rPr>
          <w:rFonts w:ascii="Calibri" w:hAnsi="Calibri" w:eastAsia="黑体"/>
          <w:kern w:val="28"/>
          <w:sz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4B803F36">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1205CBC5">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3"/>
        <w:gridCol w:w="3283"/>
        <w:gridCol w:w="3276"/>
        <w:gridCol w:w="1458"/>
      </w:tblGrid>
      <w:tr w14:paraId="22F74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0366ED2E">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1EA5C26C">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5820725D">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FD03E69">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5F9A50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0265C5E9">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15661AAB">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0919CD3F">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3DE39A11">
            <w:pPr>
              <w:spacing w:line="320" w:lineRule="exact"/>
              <w:jc w:val="center"/>
              <w:rPr>
                <w:rFonts w:ascii="Calibri" w:hAnsi="宋体" w:eastAsia="宋体" w:cstheme="minorHAnsi"/>
                <w:b/>
                <w:sz w:val="21"/>
              </w:rPr>
            </w:pPr>
          </w:p>
        </w:tc>
      </w:tr>
      <w:tr w14:paraId="5CA8E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E0190B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5D192D7E">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29F32E64">
            <w:pPr>
              <w:spacing w:line="320" w:lineRule="exact"/>
              <w:rPr>
                <w:rFonts w:eastAsia="宋体" w:asciiTheme="majorHAnsi" w:hAnsiTheme="majorHAnsi" w:cstheme="minorHAnsi"/>
                <w:sz w:val="21"/>
              </w:rPr>
            </w:pPr>
          </w:p>
        </w:tc>
        <w:tc>
          <w:tcPr>
            <w:tcW w:w="1458" w:type="dxa"/>
            <w:shd w:val="clear" w:color="auto" w:fill="auto"/>
            <w:vAlign w:val="center"/>
          </w:tcPr>
          <w:p w14:paraId="71477037">
            <w:pPr>
              <w:spacing w:line="320" w:lineRule="exact"/>
              <w:jc w:val="center"/>
              <w:rPr>
                <w:rFonts w:eastAsia="宋体" w:asciiTheme="majorHAnsi" w:hAnsiTheme="majorHAnsi" w:cstheme="minorHAnsi"/>
                <w:sz w:val="21"/>
              </w:rPr>
            </w:pPr>
          </w:p>
        </w:tc>
      </w:tr>
      <w:tr w14:paraId="256E8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FA107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2F5794A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4DEFA80F">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7E0F20E9">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9075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C1F4099">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75FE00E6">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2C757729">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31692042">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551F37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AD20AA9">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06EFB756">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35590BBA">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34239BD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15D05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99143F9">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44E98066">
            <w:pPr>
              <w:spacing w:line="320" w:lineRule="exact"/>
              <w:rPr>
                <w:rFonts w:eastAsia="宋体" w:asciiTheme="majorHAnsi" w:hAnsiTheme="majorHAnsi" w:cstheme="minorHAnsi"/>
                <w:sz w:val="21"/>
              </w:rPr>
            </w:pPr>
          </w:p>
        </w:tc>
        <w:tc>
          <w:tcPr>
            <w:tcW w:w="3276" w:type="dxa"/>
            <w:shd w:val="clear" w:color="auto" w:fill="auto"/>
            <w:vAlign w:val="center"/>
          </w:tcPr>
          <w:p w14:paraId="4CEF93D5">
            <w:pPr>
              <w:spacing w:line="320" w:lineRule="exact"/>
              <w:rPr>
                <w:rFonts w:eastAsia="宋体" w:asciiTheme="majorHAnsi" w:hAnsiTheme="majorHAnsi" w:cstheme="minorHAnsi"/>
                <w:sz w:val="21"/>
              </w:rPr>
            </w:pPr>
          </w:p>
        </w:tc>
        <w:tc>
          <w:tcPr>
            <w:tcW w:w="1458" w:type="dxa"/>
            <w:shd w:val="clear" w:color="auto" w:fill="auto"/>
            <w:vAlign w:val="center"/>
          </w:tcPr>
          <w:p w14:paraId="1E0736DC">
            <w:pPr>
              <w:spacing w:line="320" w:lineRule="exact"/>
              <w:jc w:val="center"/>
              <w:rPr>
                <w:rFonts w:eastAsia="宋体" w:asciiTheme="majorHAnsi" w:hAnsiTheme="majorHAnsi" w:cstheme="minorHAnsi"/>
                <w:sz w:val="21"/>
              </w:rPr>
            </w:pPr>
          </w:p>
        </w:tc>
      </w:tr>
      <w:tr w14:paraId="299E2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5F25950">
            <w:pPr>
              <w:spacing w:line="320" w:lineRule="exact"/>
              <w:jc w:val="center"/>
              <w:rPr>
                <w:rFonts w:eastAsia="宋体" w:asciiTheme="majorHAnsi" w:hAnsiTheme="majorHAnsi" w:cstheme="minorHAnsi"/>
                <w:sz w:val="21"/>
              </w:rPr>
            </w:pPr>
          </w:p>
        </w:tc>
        <w:tc>
          <w:tcPr>
            <w:tcW w:w="3283" w:type="dxa"/>
            <w:shd w:val="clear" w:color="auto" w:fill="auto"/>
            <w:vAlign w:val="center"/>
          </w:tcPr>
          <w:p w14:paraId="6D59557C">
            <w:pPr>
              <w:spacing w:line="320" w:lineRule="exact"/>
              <w:rPr>
                <w:rFonts w:eastAsia="宋体" w:asciiTheme="majorHAnsi" w:hAnsiTheme="majorHAnsi" w:cstheme="minorHAnsi"/>
                <w:sz w:val="21"/>
              </w:rPr>
            </w:pPr>
          </w:p>
        </w:tc>
        <w:tc>
          <w:tcPr>
            <w:tcW w:w="3276" w:type="dxa"/>
            <w:shd w:val="clear" w:color="auto" w:fill="auto"/>
            <w:vAlign w:val="center"/>
          </w:tcPr>
          <w:p w14:paraId="173166F7">
            <w:pPr>
              <w:spacing w:line="320" w:lineRule="exact"/>
              <w:rPr>
                <w:rFonts w:eastAsia="宋体" w:asciiTheme="majorHAnsi" w:hAnsiTheme="majorHAnsi" w:cstheme="minorHAnsi"/>
                <w:sz w:val="21"/>
              </w:rPr>
            </w:pPr>
          </w:p>
        </w:tc>
        <w:tc>
          <w:tcPr>
            <w:tcW w:w="1458" w:type="dxa"/>
            <w:shd w:val="clear" w:color="auto" w:fill="auto"/>
            <w:vAlign w:val="center"/>
          </w:tcPr>
          <w:p w14:paraId="5D47E161">
            <w:pPr>
              <w:spacing w:line="320" w:lineRule="exact"/>
              <w:jc w:val="center"/>
              <w:rPr>
                <w:rFonts w:eastAsia="宋体" w:asciiTheme="majorHAnsi" w:hAnsiTheme="majorHAnsi" w:cstheme="minorHAnsi"/>
                <w:sz w:val="21"/>
              </w:rPr>
            </w:pPr>
          </w:p>
        </w:tc>
      </w:tr>
      <w:tr w14:paraId="0F1394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2BD0B61">
            <w:pPr>
              <w:spacing w:line="320" w:lineRule="exact"/>
              <w:jc w:val="center"/>
              <w:rPr>
                <w:rFonts w:eastAsia="宋体" w:asciiTheme="majorHAnsi" w:hAnsiTheme="majorHAnsi" w:cstheme="minorHAnsi"/>
                <w:sz w:val="21"/>
              </w:rPr>
            </w:pPr>
          </w:p>
        </w:tc>
        <w:tc>
          <w:tcPr>
            <w:tcW w:w="3283" w:type="dxa"/>
            <w:shd w:val="clear" w:color="auto" w:fill="auto"/>
            <w:vAlign w:val="center"/>
          </w:tcPr>
          <w:p w14:paraId="196A49E1">
            <w:pPr>
              <w:spacing w:line="320" w:lineRule="exact"/>
              <w:rPr>
                <w:rFonts w:eastAsia="宋体" w:asciiTheme="majorHAnsi" w:hAnsiTheme="majorHAnsi" w:cstheme="minorHAnsi"/>
                <w:sz w:val="21"/>
              </w:rPr>
            </w:pPr>
          </w:p>
        </w:tc>
        <w:tc>
          <w:tcPr>
            <w:tcW w:w="3276" w:type="dxa"/>
            <w:shd w:val="clear" w:color="auto" w:fill="auto"/>
            <w:vAlign w:val="center"/>
          </w:tcPr>
          <w:p w14:paraId="1DA0F4B6">
            <w:pPr>
              <w:spacing w:line="320" w:lineRule="exact"/>
              <w:rPr>
                <w:rFonts w:eastAsia="宋体" w:asciiTheme="majorHAnsi" w:hAnsiTheme="majorHAnsi" w:cstheme="minorHAnsi"/>
                <w:sz w:val="21"/>
              </w:rPr>
            </w:pPr>
          </w:p>
        </w:tc>
        <w:tc>
          <w:tcPr>
            <w:tcW w:w="1458" w:type="dxa"/>
            <w:shd w:val="clear" w:color="auto" w:fill="auto"/>
            <w:vAlign w:val="center"/>
          </w:tcPr>
          <w:p w14:paraId="42D8B7E5">
            <w:pPr>
              <w:spacing w:line="320" w:lineRule="exact"/>
              <w:jc w:val="center"/>
              <w:rPr>
                <w:rFonts w:eastAsia="宋体" w:asciiTheme="majorHAnsi" w:hAnsiTheme="majorHAnsi" w:cstheme="minorHAnsi"/>
                <w:sz w:val="21"/>
              </w:rPr>
            </w:pPr>
          </w:p>
        </w:tc>
      </w:tr>
      <w:tr w14:paraId="62B7CC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D34B0D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97106BD">
            <w:pPr>
              <w:spacing w:line="320" w:lineRule="exact"/>
              <w:rPr>
                <w:rFonts w:eastAsia="宋体" w:asciiTheme="majorHAnsi" w:hAnsiTheme="majorHAnsi" w:cstheme="minorHAnsi"/>
                <w:sz w:val="21"/>
              </w:rPr>
            </w:pPr>
          </w:p>
        </w:tc>
        <w:tc>
          <w:tcPr>
            <w:tcW w:w="3276" w:type="dxa"/>
            <w:shd w:val="clear" w:color="auto" w:fill="auto"/>
            <w:vAlign w:val="center"/>
          </w:tcPr>
          <w:p w14:paraId="301C6A63">
            <w:pPr>
              <w:spacing w:line="320" w:lineRule="exact"/>
              <w:rPr>
                <w:rFonts w:eastAsia="宋体" w:asciiTheme="majorHAnsi" w:hAnsiTheme="majorHAnsi" w:cstheme="minorHAnsi"/>
                <w:sz w:val="21"/>
              </w:rPr>
            </w:pPr>
          </w:p>
        </w:tc>
        <w:tc>
          <w:tcPr>
            <w:tcW w:w="1458" w:type="dxa"/>
            <w:shd w:val="clear" w:color="auto" w:fill="auto"/>
            <w:vAlign w:val="center"/>
          </w:tcPr>
          <w:p w14:paraId="4D2A16C1">
            <w:pPr>
              <w:spacing w:line="320" w:lineRule="exact"/>
              <w:jc w:val="center"/>
              <w:rPr>
                <w:rFonts w:eastAsia="宋体" w:asciiTheme="majorHAnsi" w:hAnsiTheme="majorHAnsi" w:cstheme="minorHAnsi"/>
                <w:sz w:val="21"/>
              </w:rPr>
            </w:pPr>
          </w:p>
        </w:tc>
      </w:tr>
      <w:tr w14:paraId="752C4D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0216B16">
            <w:pPr>
              <w:spacing w:line="320" w:lineRule="exact"/>
              <w:jc w:val="center"/>
              <w:rPr>
                <w:rFonts w:eastAsia="宋体" w:asciiTheme="majorHAnsi" w:hAnsiTheme="majorHAnsi" w:cstheme="minorHAnsi"/>
                <w:sz w:val="21"/>
              </w:rPr>
            </w:pPr>
          </w:p>
        </w:tc>
        <w:tc>
          <w:tcPr>
            <w:tcW w:w="3283" w:type="dxa"/>
            <w:shd w:val="clear" w:color="auto" w:fill="auto"/>
            <w:vAlign w:val="center"/>
          </w:tcPr>
          <w:p w14:paraId="5D160B6C">
            <w:pPr>
              <w:spacing w:line="320" w:lineRule="exact"/>
              <w:rPr>
                <w:rFonts w:eastAsia="宋体" w:asciiTheme="majorHAnsi" w:hAnsiTheme="majorHAnsi" w:cstheme="minorHAnsi"/>
                <w:sz w:val="21"/>
              </w:rPr>
            </w:pPr>
          </w:p>
        </w:tc>
        <w:tc>
          <w:tcPr>
            <w:tcW w:w="3276" w:type="dxa"/>
            <w:shd w:val="clear" w:color="auto" w:fill="auto"/>
            <w:vAlign w:val="center"/>
          </w:tcPr>
          <w:p w14:paraId="31C125AC">
            <w:pPr>
              <w:spacing w:line="320" w:lineRule="exact"/>
              <w:rPr>
                <w:rFonts w:eastAsia="宋体" w:asciiTheme="majorHAnsi" w:hAnsiTheme="majorHAnsi" w:cstheme="minorHAnsi"/>
                <w:sz w:val="21"/>
              </w:rPr>
            </w:pPr>
          </w:p>
        </w:tc>
        <w:tc>
          <w:tcPr>
            <w:tcW w:w="1458" w:type="dxa"/>
            <w:shd w:val="clear" w:color="auto" w:fill="auto"/>
            <w:vAlign w:val="center"/>
          </w:tcPr>
          <w:p w14:paraId="59CEFF7D">
            <w:pPr>
              <w:spacing w:line="320" w:lineRule="exact"/>
              <w:jc w:val="center"/>
              <w:rPr>
                <w:rFonts w:eastAsia="宋体" w:asciiTheme="majorHAnsi" w:hAnsiTheme="majorHAnsi" w:cstheme="minorHAnsi"/>
                <w:sz w:val="21"/>
              </w:rPr>
            </w:pPr>
          </w:p>
        </w:tc>
      </w:tr>
      <w:tr w14:paraId="694594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FA9FC10">
            <w:pPr>
              <w:spacing w:line="320" w:lineRule="exact"/>
              <w:jc w:val="center"/>
              <w:rPr>
                <w:rFonts w:eastAsia="宋体" w:asciiTheme="majorHAnsi" w:hAnsiTheme="majorHAnsi" w:cstheme="minorHAnsi"/>
                <w:sz w:val="21"/>
              </w:rPr>
            </w:pPr>
          </w:p>
        </w:tc>
        <w:tc>
          <w:tcPr>
            <w:tcW w:w="3283" w:type="dxa"/>
            <w:shd w:val="clear" w:color="auto" w:fill="auto"/>
            <w:vAlign w:val="center"/>
          </w:tcPr>
          <w:p w14:paraId="7737DA09">
            <w:pPr>
              <w:spacing w:line="320" w:lineRule="exact"/>
              <w:rPr>
                <w:rFonts w:eastAsia="宋体" w:asciiTheme="majorHAnsi" w:hAnsiTheme="majorHAnsi" w:cstheme="minorHAnsi"/>
                <w:sz w:val="21"/>
              </w:rPr>
            </w:pPr>
          </w:p>
        </w:tc>
        <w:tc>
          <w:tcPr>
            <w:tcW w:w="3276" w:type="dxa"/>
            <w:shd w:val="clear" w:color="auto" w:fill="auto"/>
            <w:vAlign w:val="center"/>
          </w:tcPr>
          <w:p w14:paraId="34B47E83">
            <w:pPr>
              <w:spacing w:line="320" w:lineRule="exact"/>
              <w:rPr>
                <w:rFonts w:eastAsia="宋体" w:asciiTheme="majorHAnsi" w:hAnsiTheme="majorHAnsi" w:cstheme="minorHAnsi"/>
                <w:sz w:val="21"/>
              </w:rPr>
            </w:pPr>
          </w:p>
        </w:tc>
        <w:tc>
          <w:tcPr>
            <w:tcW w:w="1458" w:type="dxa"/>
            <w:shd w:val="clear" w:color="auto" w:fill="auto"/>
            <w:vAlign w:val="center"/>
          </w:tcPr>
          <w:p w14:paraId="0B662928">
            <w:pPr>
              <w:spacing w:line="320" w:lineRule="exact"/>
              <w:jc w:val="center"/>
              <w:rPr>
                <w:rFonts w:eastAsia="宋体" w:asciiTheme="majorHAnsi" w:hAnsiTheme="majorHAnsi" w:cstheme="minorHAnsi"/>
                <w:sz w:val="21"/>
              </w:rPr>
            </w:pPr>
          </w:p>
        </w:tc>
      </w:tr>
      <w:tr w14:paraId="2CADA2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D601DAB">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5B5EF10D">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645267F2">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486AA227">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3DDB99F2">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1C39E41C">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73F0CD5A">
      <w:pPr>
        <w:rPr>
          <w:rFonts w:cstheme="minorHAnsi"/>
        </w:rPr>
      </w:pPr>
    </w:p>
    <w:p w14:paraId="7802E4F6">
      <w:pPr>
        <w:rPr>
          <w:rFonts w:cstheme="minorHAnsi"/>
        </w:rPr>
      </w:pPr>
    </w:p>
    <w:p w14:paraId="2216A788">
      <w:pPr>
        <w:rPr>
          <w:rFonts w:cstheme="minorHAnsi"/>
        </w:rPr>
      </w:pPr>
    </w:p>
    <w:p w14:paraId="7B1E42F1">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52FB179A">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5C5591F">
      <w:pPr>
        <w:outlineLvl w:val="2"/>
        <w:rPr>
          <w:rFonts w:asciiTheme="minorEastAsia" w:hAnsiTheme="minorEastAsia"/>
        </w:rPr>
      </w:pPr>
      <w:r>
        <w:rPr>
          <w:rFonts w:asciiTheme="minorEastAsia" w:hAnsiTheme="minorEastAsia"/>
        </w:rPr>
        <w:t>（一）服务条款响应</w:t>
      </w:r>
    </w:p>
    <w:p w14:paraId="7EF8BC7F">
      <w:pPr>
        <w:jc w:val="center"/>
        <w:rPr>
          <w:rFonts w:asciiTheme="minorEastAsia" w:hAnsiTheme="minorEastAsia"/>
        </w:rPr>
      </w:pPr>
      <w:r>
        <w:rPr>
          <w:rFonts w:hint="eastAsia" w:asciiTheme="minorEastAsia" w:hAnsiTheme="minorEastAsia"/>
        </w:rPr>
        <w:t>1.</w:t>
      </w:r>
      <w:r>
        <w:rPr>
          <w:rFonts w:asciiTheme="minorEastAsia" w:hAnsiTheme="minorEastAsia"/>
        </w:rPr>
        <w:t>服务要求（非实质性）条款偏差表</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207"/>
        <w:gridCol w:w="3351"/>
        <w:gridCol w:w="1798"/>
      </w:tblGrid>
      <w:tr w14:paraId="569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276443DB">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4C8BFBCE">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3147E01C">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2D6D5695">
            <w:pPr>
              <w:jc w:val="center"/>
              <w:rPr>
                <w:rFonts w:asciiTheme="minorEastAsia" w:hAnsiTheme="minorEastAsia"/>
                <w:sz w:val="21"/>
                <w:szCs w:val="21"/>
              </w:rPr>
            </w:pPr>
            <w:r>
              <w:rPr>
                <w:rFonts w:asciiTheme="minorEastAsia" w:hAnsiTheme="minorEastAsia"/>
                <w:sz w:val="21"/>
                <w:szCs w:val="21"/>
              </w:rPr>
              <w:t>响应说明</w:t>
            </w:r>
          </w:p>
        </w:tc>
      </w:tr>
      <w:tr w14:paraId="03A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3C0F4580">
            <w:pPr>
              <w:rPr>
                <w:rFonts w:asciiTheme="minorEastAsia" w:hAnsiTheme="minorEastAsia"/>
                <w:sz w:val="21"/>
                <w:szCs w:val="21"/>
              </w:rPr>
            </w:pPr>
          </w:p>
        </w:tc>
        <w:tc>
          <w:tcPr>
            <w:tcW w:w="3207" w:type="dxa"/>
            <w:shd w:val="clear" w:color="auto" w:fill="auto"/>
            <w:vAlign w:val="center"/>
          </w:tcPr>
          <w:p w14:paraId="30EA15AB">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1F4E169E">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11C6688B">
            <w:pPr>
              <w:rPr>
                <w:rFonts w:asciiTheme="minorEastAsia" w:hAnsiTheme="minorEastAsia"/>
                <w:sz w:val="21"/>
                <w:szCs w:val="21"/>
              </w:rPr>
            </w:pPr>
          </w:p>
        </w:tc>
      </w:tr>
      <w:tr w14:paraId="5363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93BC6A4">
            <w:pPr>
              <w:jc w:val="center"/>
              <w:rPr>
                <w:rFonts w:asciiTheme="minorEastAsia" w:hAnsiTheme="minorEastAsia"/>
                <w:sz w:val="21"/>
                <w:szCs w:val="21"/>
              </w:rPr>
            </w:pPr>
          </w:p>
        </w:tc>
        <w:tc>
          <w:tcPr>
            <w:tcW w:w="3207" w:type="dxa"/>
            <w:shd w:val="clear" w:color="auto" w:fill="auto"/>
            <w:vAlign w:val="center"/>
          </w:tcPr>
          <w:p w14:paraId="05408023">
            <w:pPr>
              <w:rPr>
                <w:rFonts w:asciiTheme="minorEastAsia" w:hAnsiTheme="minorEastAsia"/>
                <w:sz w:val="21"/>
                <w:szCs w:val="21"/>
              </w:rPr>
            </w:pPr>
          </w:p>
        </w:tc>
        <w:tc>
          <w:tcPr>
            <w:tcW w:w="3351" w:type="dxa"/>
            <w:shd w:val="clear" w:color="auto" w:fill="auto"/>
            <w:vAlign w:val="center"/>
          </w:tcPr>
          <w:p w14:paraId="16806A40">
            <w:pPr>
              <w:rPr>
                <w:rFonts w:asciiTheme="minorEastAsia" w:hAnsiTheme="minorEastAsia"/>
                <w:sz w:val="21"/>
                <w:szCs w:val="21"/>
              </w:rPr>
            </w:pPr>
          </w:p>
        </w:tc>
        <w:tc>
          <w:tcPr>
            <w:tcW w:w="1798" w:type="dxa"/>
            <w:shd w:val="clear" w:color="auto" w:fill="auto"/>
            <w:vAlign w:val="center"/>
          </w:tcPr>
          <w:p w14:paraId="5778E12E">
            <w:pPr>
              <w:rPr>
                <w:rFonts w:asciiTheme="minorEastAsia" w:hAnsiTheme="minorEastAsia"/>
                <w:sz w:val="21"/>
                <w:szCs w:val="21"/>
              </w:rPr>
            </w:pPr>
          </w:p>
        </w:tc>
      </w:tr>
      <w:tr w14:paraId="00BD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CAF8911">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652A1296">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1A17F44A">
            <w:pPr>
              <w:rPr>
                <w:rFonts w:asciiTheme="minorEastAsia" w:hAnsiTheme="minorEastAsia"/>
                <w:sz w:val="21"/>
                <w:szCs w:val="21"/>
              </w:rPr>
            </w:pPr>
            <w:r>
              <w:rPr>
                <w:rFonts w:asciiTheme="minorEastAsia" w:hAnsiTheme="minorEastAsia"/>
                <w:sz w:val="21"/>
                <w:szCs w:val="21"/>
              </w:rPr>
              <w:t>1、黑色，打印量1500页……</w:t>
            </w:r>
          </w:p>
          <w:p w14:paraId="24036EA9">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32B91094">
            <w:pPr>
              <w:jc w:val="center"/>
              <w:rPr>
                <w:rFonts w:asciiTheme="minorEastAsia" w:hAnsiTheme="minorEastAsia"/>
                <w:sz w:val="21"/>
                <w:szCs w:val="21"/>
              </w:rPr>
            </w:pPr>
            <w:r>
              <w:rPr>
                <w:rFonts w:asciiTheme="minorEastAsia" w:hAnsiTheme="minorEastAsia"/>
                <w:sz w:val="21"/>
                <w:szCs w:val="21"/>
              </w:rPr>
              <w:t>符合</w:t>
            </w:r>
          </w:p>
        </w:tc>
      </w:tr>
      <w:tr w14:paraId="12BD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B7B8436">
            <w:pPr>
              <w:jc w:val="center"/>
              <w:rPr>
                <w:rFonts w:asciiTheme="minorEastAsia" w:hAnsiTheme="minorEastAsia"/>
                <w:sz w:val="21"/>
                <w:szCs w:val="21"/>
              </w:rPr>
            </w:pPr>
          </w:p>
        </w:tc>
        <w:tc>
          <w:tcPr>
            <w:tcW w:w="3207" w:type="dxa"/>
            <w:shd w:val="clear" w:color="auto" w:fill="auto"/>
            <w:vAlign w:val="center"/>
          </w:tcPr>
          <w:p w14:paraId="1C8BC949">
            <w:pPr>
              <w:rPr>
                <w:rFonts w:asciiTheme="minorEastAsia" w:hAnsiTheme="minorEastAsia"/>
                <w:sz w:val="21"/>
                <w:szCs w:val="21"/>
              </w:rPr>
            </w:pPr>
          </w:p>
        </w:tc>
        <w:tc>
          <w:tcPr>
            <w:tcW w:w="3351" w:type="dxa"/>
            <w:shd w:val="clear" w:color="auto" w:fill="auto"/>
            <w:vAlign w:val="center"/>
          </w:tcPr>
          <w:p w14:paraId="39B5C74E">
            <w:pPr>
              <w:rPr>
                <w:rFonts w:asciiTheme="minorEastAsia" w:hAnsiTheme="minorEastAsia"/>
                <w:sz w:val="21"/>
                <w:szCs w:val="21"/>
              </w:rPr>
            </w:pPr>
          </w:p>
        </w:tc>
        <w:tc>
          <w:tcPr>
            <w:tcW w:w="1798" w:type="dxa"/>
            <w:shd w:val="clear" w:color="auto" w:fill="auto"/>
            <w:vAlign w:val="center"/>
          </w:tcPr>
          <w:p w14:paraId="0DABCC00">
            <w:pPr>
              <w:rPr>
                <w:rFonts w:asciiTheme="minorEastAsia" w:hAnsiTheme="minorEastAsia"/>
                <w:sz w:val="21"/>
                <w:szCs w:val="21"/>
              </w:rPr>
            </w:pPr>
          </w:p>
        </w:tc>
      </w:tr>
      <w:tr w14:paraId="79F5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703EA8A">
            <w:pPr>
              <w:jc w:val="center"/>
              <w:rPr>
                <w:rFonts w:asciiTheme="minorEastAsia" w:hAnsiTheme="minorEastAsia"/>
                <w:sz w:val="21"/>
                <w:szCs w:val="21"/>
              </w:rPr>
            </w:pPr>
          </w:p>
        </w:tc>
        <w:tc>
          <w:tcPr>
            <w:tcW w:w="3207" w:type="dxa"/>
            <w:shd w:val="clear" w:color="auto" w:fill="auto"/>
            <w:vAlign w:val="center"/>
          </w:tcPr>
          <w:p w14:paraId="0C496197">
            <w:pPr>
              <w:rPr>
                <w:rFonts w:asciiTheme="minorEastAsia" w:hAnsiTheme="minorEastAsia"/>
                <w:sz w:val="21"/>
                <w:szCs w:val="21"/>
              </w:rPr>
            </w:pPr>
          </w:p>
        </w:tc>
        <w:tc>
          <w:tcPr>
            <w:tcW w:w="3351" w:type="dxa"/>
            <w:shd w:val="clear" w:color="auto" w:fill="auto"/>
            <w:vAlign w:val="center"/>
          </w:tcPr>
          <w:p w14:paraId="76318CD5">
            <w:pPr>
              <w:rPr>
                <w:rFonts w:asciiTheme="minorEastAsia" w:hAnsiTheme="minorEastAsia"/>
                <w:sz w:val="21"/>
                <w:szCs w:val="21"/>
              </w:rPr>
            </w:pPr>
          </w:p>
        </w:tc>
        <w:tc>
          <w:tcPr>
            <w:tcW w:w="1798" w:type="dxa"/>
            <w:shd w:val="clear" w:color="auto" w:fill="auto"/>
            <w:vAlign w:val="center"/>
          </w:tcPr>
          <w:p w14:paraId="65F4C34F">
            <w:pPr>
              <w:rPr>
                <w:rFonts w:asciiTheme="minorEastAsia" w:hAnsiTheme="minorEastAsia"/>
                <w:sz w:val="21"/>
                <w:szCs w:val="21"/>
              </w:rPr>
            </w:pPr>
          </w:p>
        </w:tc>
      </w:tr>
      <w:tr w14:paraId="1F12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DE16DD6">
            <w:pPr>
              <w:jc w:val="center"/>
              <w:rPr>
                <w:rFonts w:asciiTheme="minorEastAsia" w:hAnsiTheme="minorEastAsia"/>
                <w:sz w:val="21"/>
                <w:szCs w:val="21"/>
              </w:rPr>
            </w:pPr>
          </w:p>
        </w:tc>
        <w:tc>
          <w:tcPr>
            <w:tcW w:w="3207" w:type="dxa"/>
            <w:shd w:val="clear" w:color="auto" w:fill="auto"/>
            <w:vAlign w:val="center"/>
          </w:tcPr>
          <w:p w14:paraId="2C3F81E3">
            <w:pPr>
              <w:rPr>
                <w:rFonts w:asciiTheme="minorEastAsia" w:hAnsiTheme="minorEastAsia"/>
                <w:sz w:val="21"/>
                <w:szCs w:val="21"/>
              </w:rPr>
            </w:pPr>
          </w:p>
        </w:tc>
        <w:tc>
          <w:tcPr>
            <w:tcW w:w="3351" w:type="dxa"/>
            <w:shd w:val="clear" w:color="auto" w:fill="auto"/>
            <w:vAlign w:val="center"/>
          </w:tcPr>
          <w:p w14:paraId="1B669E76">
            <w:pPr>
              <w:rPr>
                <w:rFonts w:asciiTheme="minorEastAsia" w:hAnsiTheme="minorEastAsia"/>
                <w:sz w:val="21"/>
                <w:szCs w:val="21"/>
              </w:rPr>
            </w:pPr>
          </w:p>
        </w:tc>
        <w:tc>
          <w:tcPr>
            <w:tcW w:w="1798" w:type="dxa"/>
            <w:shd w:val="clear" w:color="auto" w:fill="auto"/>
            <w:vAlign w:val="center"/>
          </w:tcPr>
          <w:p w14:paraId="4AD9C2CC">
            <w:pPr>
              <w:rPr>
                <w:rFonts w:asciiTheme="minorEastAsia" w:hAnsiTheme="minorEastAsia"/>
                <w:sz w:val="21"/>
                <w:szCs w:val="21"/>
              </w:rPr>
            </w:pPr>
          </w:p>
        </w:tc>
      </w:tr>
      <w:tr w14:paraId="0F97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509360F">
            <w:pPr>
              <w:jc w:val="center"/>
              <w:rPr>
                <w:rFonts w:asciiTheme="minorEastAsia" w:hAnsiTheme="minorEastAsia"/>
                <w:sz w:val="21"/>
                <w:szCs w:val="21"/>
              </w:rPr>
            </w:pPr>
          </w:p>
        </w:tc>
        <w:tc>
          <w:tcPr>
            <w:tcW w:w="3207" w:type="dxa"/>
            <w:shd w:val="clear" w:color="auto" w:fill="auto"/>
            <w:vAlign w:val="center"/>
          </w:tcPr>
          <w:p w14:paraId="3D6BB651">
            <w:pPr>
              <w:rPr>
                <w:rFonts w:asciiTheme="minorEastAsia" w:hAnsiTheme="minorEastAsia"/>
                <w:sz w:val="21"/>
                <w:szCs w:val="21"/>
              </w:rPr>
            </w:pPr>
          </w:p>
        </w:tc>
        <w:tc>
          <w:tcPr>
            <w:tcW w:w="3351" w:type="dxa"/>
            <w:shd w:val="clear" w:color="auto" w:fill="auto"/>
            <w:vAlign w:val="center"/>
          </w:tcPr>
          <w:p w14:paraId="683E053C">
            <w:pPr>
              <w:rPr>
                <w:rFonts w:asciiTheme="minorEastAsia" w:hAnsiTheme="minorEastAsia"/>
                <w:sz w:val="21"/>
                <w:szCs w:val="21"/>
              </w:rPr>
            </w:pPr>
          </w:p>
        </w:tc>
        <w:tc>
          <w:tcPr>
            <w:tcW w:w="1798" w:type="dxa"/>
            <w:shd w:val="clear" w:color="auto" w:fill="auto"/>
            <w:vAlign w:val="center"/>
          </w:tcPr>
          <w:p w14:paraId="2E5BB766">
            <w:pPr>
              <w:rPr>
                <w:rFonts w:asciiTheme="minorEastAsia" w:hAnsiTheme="minorEastAsia"/>
                <w:sz w:val="21"/>
                <w:szCs w:val="21"/>
              </w:rPr>
            </w:pPr>
          </w:p>
        </w:tc>
      </w:tr>
      <w:tr w14:paraId="6371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418C851">
            <w:pPr>
              <w:jc w:val="center"/>
              <w:rPr>
                <w:rFonts w:asciiTheme="minorEastAsia" w:hAnsiTheme="minorEastAsia"/>
                <w:sz w:val="21"/>
                <w:szCs w:val="21"/>
              </w:rPr>
            </w:pPr>
          </w:p>
        </w:tc>
        <w:tc>
          <w:tcPr>
            <w:tcW w:w="3207" w:type="dxa"/>
            <w:shd w:val="clear" w:color="auto" w:fill="auto"/>
            <w:vAlign w:val="center"/>
          </w:tcPr>
          <w:p w14:paraId="05C996BC">
            <w:pPr>
              <w:rPr>
                <w:rFonts w:asciiTheme="minorEastAsia" w:hAnsiTheme="minorEastAsia"/>
                <w:sz w:val="21"/>
                <w:szCs w:val="21"/>
              </w:rPr>
            </w:pPr>
          </w:p>
        </w:tc>
        <w:tc>
          <w:tcPr>
            <w:tcW w:w="3351" w:type="dxa"/>
            <w:shd w:val="clear" w:color="auto" w:fill="auto"/>
            <w:vAlign w:val="center"/>
          </w:tcPr>
          <w:p w14:paraId="21A84C77">
            <w:pPr>
              <w:rPr>
                <w:rFonts w:asciiTheme="minorEastAsia" w:hAnsiTheme="minorEastAsia"/>
                <w:sz w:val="21"/>
                <w:szCs w:val="21"/>
              </w:rPr>
            </w:pPr>
          </w:p>
        </w:tc>
        <w:tc>
          <w:tcPr>
            <w:tcW w:w="1798" w:type="dxa"/>
            <w:shd w:val="clear" w:color="auto" w:fill="auto"/>
            <w:vAlign w:val="center"/>
          </w:tcPr>
          <w:p w14:paraId="508A447A">
            <w:pPr>
              <w:rPr>
                <w:rFonts w:asciiTheme="minorEastAsia" w:hAnsiTheme="minorEastAsia"/>
                <w:sz w:val="21"/>
                <w:szCs w:val="21"/>
              </w:rPr>
            </w:pPr>
          </w:p>
        </w:tc>
      </w:tr>
      <w:tr w14:paraId="400F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00F61A1">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0921311D">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5965CDEC">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3199ACE7">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6F8AEF69">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2BAE2C8A">
      <w:pPr>
        <w:rPr>
          <w:rFonts w:asciiTheme="minorEastAsia" w:hAnsiTheme="minorEastAsia"/>
        </w:rPr>
      </w:pPr>
    </w:p>
    <w:p w14:paraId="53EF62A1">
      <w:pPr>
        <w:jc w:val="center"/>
        <w:rPr>
          <w:rFonts w:cstheme="minorHAnsi"/>
          <w:b/>
        </w:rPr>
      </w:pPr>
      <w:r>
        <w:rPr>
          <w:rFonts w:cstheme="minorHAnsi"/>
          <w:b/>
        </w:rPr>
        <w:t>2</w:t>
      </w:r>
      <w:r>
        <w:rPr>
          <w:rFonts w:hint="eastAsia" w:cstheme="minorHAnsi"/>
          <w:b/>
        </w:rPr>
        <w:t>.</w:t>
      </w:r>
      <w:r>
        <w:rPr>
          <w:rFonts w:hint="eastAsia" w:cstheme="minorHAnsi"/>
          <w:b/>
          <w:i/>
        </w:rPr>
        <w:t>服务部分响应方案</w:t>
      </w:r>
    </w:p>
    <w:p w14:paraId="21A792AE">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34B2EF09">
      <w:pPr>
        <w:rPr>
          <w:rFonts w:asciiTheme="minorEastAsia" w:hAnsiTheme="minorEastAsia"/>
        </w:rPr>
      </w:pPr>
      <w:r>
        <w:rPr>
          <w:rFonts w:hint="eastAsia" w:asciiTheme="minorEastAsia" w:hAnsiTheme="minorEastAsia"/>
        </w:rPr>
        <w:t>1．组织实施方案</w:t>
      </w:r>
    </w:p>
    <w:p w14:paraId="4F88ED3B">
      <w:pPr>
        <w:rPr>
          <w:rFonts w:asciiTheme="minorEastAsia" w:hAnsiTheme="minorEastAsia"/>
        </w:rPr>
      </w:pPr>
    </w:p>
    <w:p w14:paraId="5301DCC7">
      <w:pPr>
        <w:rPr>
          <w:rFonts w:asciiTheme="minorEastAsia" w:hAnsiTheme="minorEastAsia"/>
        </w:rPr>
      </w:pPr>
      <w:r>
        <w:rPr>
          <w:rFonts w:asciiTheme="minorEastAsia" w:hAnsiTheme="minorEastAsia"/>
        </w:rPr>
        <w:t>2</w:t>
      </w:r>
      <w:r>
        <w:rPr>
          <w:rFonts w:hint="eastAsia" w:asciiTheme="minorEastAsia" w:hAnsiTheme="minorEastAsia"/>
        </w:rPr>
        <w:t>．售后服务方案</w:t>
      </w:r>
    </w:p>
    <w:p w14:paraId="097FB129">
      <w:pPr>
        <w:rPr>
          <w:rFonts w:cstheme="minorHAnsi"/>
          <w:b/>
          <w:color w:val="C00000"/>
          <w:sz w:val="28"/>
          <w:szCs w:val="28"/>
        </w:rPr>
      </w:pPr>
      <w:r>
        <w:rPr>
          <w:rFonts w:cstheme="minorHAnsi"/>
          <w:b/>
          <w:color w:val="C00000"/>
          <w:sz w:val="28"/>
          <w:szCs w:val="28"/>
        </w:rPr>
        <w:br w:type="page"/>
      </w:r>
    </w:p>
    <w:p w14:paraId="02BC36D5">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0990410E">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126"/>
        <w:gridCol w:w="3432"/>
        <w:gridCol w:w="1823"/>
      </w:tblGrid>
      <w:tr w14:paraId="4A1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E1C67FD">
            <w:pPr>
              <w:jc w:val="center"/>
              <w:rPr>
                <w:sz w:val="21"/>
                <w:szCs w:val="21"/>
              </w:rPr>
            </w:pPr>
            <w:r>
              <w:rPr>
                <w:sz w:val="21"/>
                <w:szCs w:val="21"/>
              </w:rPr>
              <w:t>序号</w:t>
            </w:r>
          </w:p>
        </w:tc>
        <w:tc>
          <w:tcPr>
            <w:tcW w:w="3126" w:type="dxa"/>
            <w:shd w:val="clear" w:color="auto" w:fill="F1F1F1" w:themeFill="background1" w:themeFillShade="F2"/>
            <w:vAlign w:val="center"/>
          </w:tcPr>
          <w:p w14:paraId="22CE44B2">
            <w:pPr>
              <w:jc w:val="center"/>
              <w:rPr>
                <w:sz w:val="21"/>
                <w:szCs w:val="21"/>
              </w:rPr>
            </w:pPr>
            <w:r>
              <w:rPr>
                <w:sz w:val="21"/>
                <w:szCs w:val="21"/>
              </w:rPr>
              <w:t>磋商文件</w:t>
            </w:r>
          </w:p>
        </w:tc>
        <w:tc>
          <w:tcPr>
            <w:tcW w:w="3432" w:type="dxa"/>
            <w:shd w:val="clear" w:color="auto" w:fill="F1F1F1" w:themeFill="background1" w:themeFillShade="F2"/>
            <w:vAlign w:val="center"/>
          </w:tcPr>
          <w:p w14:paraId="5E2E2BA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2C4E1225">
            <w:pPr>
              <w:jc w:val="center"/>
              <w:rPr>
                <w:sz w:val="21"/>
                <w:szCs w:val="21"/>
              </w:rPr>
            </w:pPr>
            <w:r>
              <w:rPr>
                <w:sz w:val="21"/>
                <w:szCs w:val="21"/>
              </w:rPr>
              <w:t>响应说明</w:t>
            </w:r>
          </w:p>
        </w:tc>
      </w:tr>
      <w:tr w14:paraId="369B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02161FFA">
            <w:pPr>
              <w:jc w:val="center"/>
              <w:rPr>
                <w:sz w:val="21"/>
                <w:szCs w:val="21"/>
              </w:rPr>
            </w:pPr>
          </w:p>
        </w:tc>
        <w:tc>
          <w:tcPr>
            <w:tcW w:w="3126" w:type="dxa"/>
            <w:shd w:val="clear" w:color="auto" w:fill="F1F1F1" w:themeFill="background1" w:themeFillShade="F2"/>
            <w:vAlign w:val="center"/>
          </w:tcPr>
          <w:p w14:paraId="25D565F4">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06B51AF6">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6CD80743">
            <w:pPr>
              <w:rPr>
                <w:sz w:val="21"/>
                <w:szCs w:val="21"/>
              </w:rPr>
            </w:pPr>
          </w:p>
        </w:tc>
      </w:tr>
      <w:tr w14:paraId="4DDE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6EAA818">
            <w:pPr>
              <w:rPr>
                <w:sz w:val="21"/>
                <w:szCs w:val="21"/>
              </w:rPr>
            </w:pPr>
          </w:p>
        </w:tc>
        <w:tc>
          <w:tcPr>
            <w:tcW w:w="3126" w:type="dxa"/>
            <w:vAlign w:val="center"/>
          </w:tcPr>
          <w:p w14:paraId="733F65A6">
            <w:pPr>
              <w:rPr>
                <w:sz w:val="21"/>
                <w:szCs w:val="21"/>
              </w:rPr>
            </w:pPr>
          </w:p>
        </w:tc>
        <w:tc>
          <w:tcPr>
            <w:tcW w:w="3432" w:type="dxa"/>
            <w:vAlign w:val="center"/>
          </w:tcPr>
          <w:p w14:paraId="622B95B4">
            <w:pPr>
              <w:rPr>
                <w:sz w:val="21"/>
                <w:szCs w:val="21"/>
              </w:rPr>
            </w:pPr>
          </w:p>
        </w:tc>
        <w:tc>
          <w:tcPr>
            <w:tcW w:w="1823" w:type="dxa"/>
            <w:vAlign w:val="center"/>
          </w:tcPr>
          <w:p w14:paraId="3D1AF2BB">
            <w:pPr>
              <w:rPr>
                <w:sz w:val="21"/>
                <w:szCs w:val="21"/>
              </w:rPr>
            </w:pPr>
          </w:p>
        </w:tc>
      </w:tr>
      <w:tr w14:paraId="52EC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7D29862">
            <w:pPr>
              <w:rPr>
                <w:sz w:val="21"/>
                <w:szCs w:val="21"/>
              </w:rPr>
            </w:pPr>
          </w:p>
        </w:tc>
        <w:tc>
          <w:tcPr>
            <w:tcW w:w="3126" w:type="dxa"/>
            <w:vAlign w:val="center"/>
          </w:tcPr>
          <w:p w14:paraId="652CD4B2">
            <w:pPr>
              <w:rPr>
                <w:sz w:val="21"/>
                <w:szCs w:val="21"/>
              </w:rPr>
            </w:pPr>
          </w:p>
        </w:tc>
        <w:tc>
          <w:tcPr>
            <w:tcW w:w="3432" w:type="dxa"/>
            <w:vAlign w:val="center"/>
          </w:tcPr>
          <w:p w14:paraId="03E89C7D">
            <w:pPr>
              <w:rPr>
                <w:sz w:val="21"/>
                <w:szCs w:val="21"/>
              </w:rPr>
            </w:pPr>
          </w:p>
        </w:tc>
        <w:tc>
          <w:tcPr>
            <w:tcW w:w="1823" w:type="dxa"/>
            <w:vAlign w:val="center"/>
          </w:tcPr>
          <w:p w14:paraId="0DC82980">
            <w:pPr>
              <w:rPr>
                <w:sz w:val="21"/>
                <w:szCs w:val="21"/>
              </w:rPr>
            </w:pPr>
          </w:p>
        </w:tc>
      </w:tr>
      <w:tr w14:paraId="36F3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1CAE8C8">
            <w:pPr>
              <w:rPr>
                <w:sz w:val="21"/>
                <w:szCs w:val="21"/>
              </w:rPr>
            </w:pPr>
          </w:p>
        </w:tc>
        <w:tc>
          <w:tcPr>
            <w:tcW w:w="3126" w:type="dxa"/>
            <w:vAlign w:val="center"/>
          </w:tcPr>
          <w:p w14:paraId="40513193">
            <w:pPr>
              <w:rPr>
                <w:sz w:val="21"/>
                <w:szCs w:val="21"/>
              </w:rPr>
            </w:pPr>
          </w:p>
        </w:tc>
        <w:tc>
          <w:tcPr>
            <w:tcW w:w="3432" w:type="dxa"/>
            <w:vAlign w:val="center"/>
          </w:tcPr>
          <w:p w14:paraId="05E7A3FB">
            <w:pPr>
              <w:rPr>
                <w:sz w:val="21"/>
                <w:szCs w:val="21"/>
              </w:rPr>
            </w:pPr>
          </w:p>
        </w:tc>
        <w:tc>
          <w:tcPr>
            <w:tcW w:w="1823" w:type="dxa"/>
            <w:vAlign w:val="center"/>
          </w:tcPr>
          <w:p w14:paraId="228A83EA">
            <w:pPr>
              <w:rPr>
                <w:sz w:val="21"/>
                <w:szCs w:val="21"/>
              </w:rPr>
            </w:pPr>
          </w:p>
        </w:tc>
      </w:tr>
      <w:tr w14:paraId="3653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5172708">
            <w:pPr>
              <w:rPr>
                <w:sz w:val="21"/>
                <w:szCs w:val="21"/>
              </w:rPr>
            </w:pPr>
          </w:p>
        </w:tc>
        <w:tc>
          <w:tcPr>
            <w:tcW w:w="3126" w:type="dxa"/>
            <w:vAlign w:val="center"/>
          </w:tcPr>
          <w:p w14:paraId="54413FC3">
            <w:pPr>
              <w:rPr>
                <w:sz w:val="21"/>
                <w:szCs w:val="21"/>
              </w:rPr>
            </w:pPr>
          </w:p>
        </w:tc>
        <w:tc>
          <w:tcPr>
            <w:tcW w:w="3432" w:type="dxa"/>
            <w:vAlign w:val="center"/>
          </w:tcPr>
          <w:p w14:paraId="6637FE38">
            <w:pPr>
              <w:rPr>
                <w:sz w:val="21"/>
                <w:szCs w:val="21"/>
              </w:rPr>
            </w:pPr>
          </w:p>
        </w:tc>
        <w:tc>
          <w:tcPr>
            <w:tcW w:w="1823" w:type="dxa"/>
            <w:vAlign w:val="center"/>
          </w:tcPr>
          <w:p w14:paraId="0D209725">
            <w:pPr>
              <w:rPr>
                <w:sz w:val="21"/>
                <w:szCs w:val="21"/>
              </w:rPr>
            </w:pPr>
          </w:p>
        </w:tc>
      </w:tr>
      <w:tr w14:paraId="2353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B9AAF1E">
            <w:pPr>
              <w:rPr>
                <w:sz w:val="21"/>
                <w:szCs w:val="21"/>
              </w:rPr>
            </w:pPr>
          </w:p>
        </w:tc>
        <w:tc>
          <w:tcPr>
            <w:tcW w:w="3126" w:type="dxa"/>
            <w:vAlign w:val="center"/>
          </w:tcPr>
          <w:p w14:paraId="683CCBD1">
            <w:pPr>
              <w:rPr>
                <w:sz w:val="21"/>
                <w:szCs w:val="21"/>
              </w:rPr>
            </w:pPr>
          </w:p>
        </w:tc>
        <w:tc>
          <w:tcPr>
            <w:tcW w:w="3432" w:type="dxa"/>
            <w:vAlign w:val="center"/>
          </w:tcPr>
          <w:p w14:paraId="7F63FA6C">
            <w:pPr>
              <w:rPr>
                <w:sz w:val="21"/>
                <w:szCs w:val="21"/>
              </w:rPr>
            </w:pPr>
          </w:p>
        </w:tc>
        <w:tc>
          <w:tcPr>
            <w:tcW w:w="1823" w:type="dxa"/>
            <w:vAlign w:val="center"/>
          </w:tcPr>
          <w:p w14:paraId="398AF7D9">
            <w:pPr>
              <w:rPr>
                <w:sz w:val="21"/>
                <w:szCs w:val="21"/>
              </w:rPr>
            </w:pPr>
          </w:p>
        </w:tc>
      </w:tr>
      <w:tr w14:paraId="78C7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3664BAD">
            <w:pPr>
              <w:rPr>
                <w:sz w:val="21"/>
                <w:szCs w:val="21"/>
              </w:rPr>
            </w:pPr>
          </w:p>
        </w:tc>
        <w:tc>
          <w:tcPr>
            <w:tcW w:w="3126" w:type="dxa"/>
            <w:vAlign w:val="center"/>
          </w:tcPr>
          <w:p w14:paraId="467212B9">
            <w:pPr>
              <w:rPr>
                <w:sz w:val="21"/>
                <w:szCs w:val="21"/>
              </w:rPr>
            </w:pPr>
          </w:p>
        </w:tc>
        <w:tc>
          <w:tcPr>
            <w:tcW w:w="3432" w:type="dxa"/>
            <w:vAlign w:val="center"/>
          </w:tcPr>
          <w:p w14:paraId="21452C1C">
            <w:pPr>
              <w:rPr>
                <w:sz w:val="21"/>
                <w:szCs w:val="21"/>
              </w:rPr>
            </w:pPr>
          </w:p>
        </w:tc>
        <w:tc>
          <w:tcPr>
            <w:tcW w:w="1823" w:type="dxa"/>
            <w:vAlign w:val="center"/>
          </w:tcPr>
          <w:p w14:paraId="75B9ED09">
            <w:pPr>
              <w:rPr>
                <w:sz w:val="21"/>
                <w:szCs w:val="21"/>
              </w:rPr>
            </w:pPr>
          </w:p>
        </w:tc>
      </w:tr>
      <w:tr w14:paraId="5A6F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30725BE">
            <w:pPr>
              <w:rPr>
                <w:sz w:val="21"/>
                <w:szCs w:val="21"/>
              </w:rPr>
            </w:pPr>
          </w:p>
        </w:tc>
        <w:tc>
          <w:tcPr>
            <w:tcW w:w="3126" w:type="dxa"/>
            <w:vAlign w:val="center"/>
          </w:tcPr>
          <w:p w14:paraId="143FB27B">
            <w:pPr>
              <w:rPr>
                <w:sz w:val="21"/>
                <w:szCs w:val="21"/>
              </w:rPr>
            </w:pPr>
          </w:p>
        </w:tc>
        <w:tc>
          <w:tcPr>
            <w:tcW w:w="3432" w:type="dxa"/>
            <w:vAlign w:val="center"/>
          </w:tcPr>
          <w:p w14:paraId="6AAEE4F5">
            <w:pPr>
              <w:rPr>
                <w:sz w:val="21"/>
                <w:szCs w:val="21"/>
              </w:rPr>
            </w:pPr>
          </w:p>
        </w:tc>
        <w:tc>
          <w:tcPr>
            <w:tcW w:w="1823" w:type="dxa"/>
            <w:vAlign w:val="center"/>
          </w:tcPr>
          <w:p w14:paraId="529287C2">
            <w:pPr>
              <w:rPr>
                <w:sz w:val="21"/>
                <w:szCs w:val="21"/>
              </w:rPr>
            </w:pPr>
          </w:p>
        </w:tc>
      </w:tr>
      <w:tr w14:paraId="7A32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08DF384">
            <w:pPr>
              <w:rPr>
                <w:sz w:val="21"/>
                <w:szCs w:val="21"/>
              </w:rPr>
            </w:pPr>
            <w:r>
              <w:rPr>
                <w:sz w:val="21"/>
                <w:szCs w:val="21"/>
              </w:rPr>
              <w:t>备注</w:t>
            </w:r>
          </w:p>
        </w:tc>
        <w:tc>
          <w:tcPr>
            <w:tcW w:w="8381" w:type="dxa"/>
            <w:gridSpan w:val="3"/>
            <w:vAlign w:val="center"/>
          </w:tcPr>
          <w:p w14:paraId="10C3F250">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4833952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7DED7B1D">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1A98FD1A">
            <w:pPr>
              <w:jc w:val="both"/>
              <w:rPr>
                <w:sz w:val="21"/>
                <w:szCs w:val="21"/>
              </w:rPr>
            </w:pPr>
            <w:r>
              <w:rPr>
                <w:rFonts w:hint="eastAsia" w:asciiTheme="minorEastAsia" w:hAnsiTheme="minorEastAsia"/>
                <w:sz w:val="21"/>
                <w:szCs w:val="21"/>
              </w:rPr>
              <w:t>④ 表格中“示例”部分仅供参考，供应商在响应时请自行清除。</w:t>
            </w:r>
          </w:p>
        </w:tc>
      </w:tr>
    </w:tbl>
    <w:p w14:paraId="7EA94CA9">
      <w:pPr>
        <w:rPr>
          <w:i/>
          <w:color w:val="C00000"/>
        </w:rPr>
      </w:pPr>
    </w:p>
    <w:p w14:paraId="3FEEF764">
      <w:pPr>
        <w:jc w:val="center"/>
        <w:rPr>
          <w:rFonts w:cstheme="minorHAnsi"/>
          <w:b/>
        </w:rPr>
      </w:pPr>
      <w:r>
        <w:rPr>
          <w:rFonts w:cstheme="minorHAnsi"/>
          <w:b/>
        </w:rPr>
        <w:t>2</w:t>
      </w:r>
      <w:r>
        <w:rPr>
          <w:rFonts w:hint="eastAsia" w:cstheme="minorHAnsi"/>
          <w:b/>
        </w:rPr>
        <w:t>.商务评审部分方案</w:t>
      </w:r>
    </w:p>
    <w:p w14:paraId="4D9584E1">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7C178580">
      <w:pPr>
        <w:rPr>
          <w:rFonts w:asciiTheme="minorEastAsia" w:hAnsiTheme="minorEastAsia" w:cstheme="minorHAnsi"/>
          <w:b/>
          <w:color w:val="000000"/>
          <w:kern w:val="24"/>
        </w:rPr>
      </w:pPr>
    </w:p>
    <w:p w14:paraId="2D697091">
      <w:pPr>
        <w:rPr>
          <w:rFonts w:asciiTheme="minorEastAsia" w:hAnsiTheme="minorEastAsia" w:cstheme="minorHAnsi"/>
          <w:b/>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w:t>
      </w:r>
      <w:r>
        <w:rPr>
          <w:rFonts w:hint="eastAsia" w:cs="仿宋" w:asciiTheme="minorEastAsia" w:hAnsiTheme="minorEastAsia"/>
          <w:b/>
          <w:sz w:val="21"/>
          <w:szCs w:val="21"/>
        </w:rPr>
        <w:t>培训考核方案</w:t>
      </w:r>
    </w:p>
    <w:p w14:paraId="41104843">
      <w:pPr>
        <w:rPr>
          <w:rFonts w:asciiTheme="minorEastAsia" w:hAnsiTheme="minorEastAsia" w:cstheme="minorHAnsi"/>
          <w:b/>
          <w:kern w:val="24"/>
        </w:rPr>
      </w:pPr>
    </w:p>
    <w:p w14:paraId="28B10729">
      <w:pPr>
        <w:rPr>
          <w:rFonts w:asciiTheme="minorEastAsia" w:hAnsiTheme="minorEastAsia" w:cstheme="minorHAnsi"/>
          <w:b/>
          <w:kern w:val="24"/>
        </w:rPr>
      </w:pPr>
    </w:p>
    <w:p w14:paraId="2A6C7B0D">
      <w:pPr>
        <w:rPr>
          <w:rFonts w:asciiTheme="minorEastAsia" w:hAnsiTheme="minorEastAsia" w:cstheme="minorHAnsi"/>
          <w:b/>
          <w:kern w:val="24"/>
        </w:rPr>
      </w:pPr>
      <w:r>
        <w:rPr>
          <w:rFonts w:asciiTheme="minorEastAsia" w:hAnsiTheme="minorEastAsia" w:cstheme="minorHAnsi"/>
          <w:b/>
          <w:kern w:val="24"/>
        </w:rPr>
        <w:t>2</w:t>
      </w:r>
      <w:r>
        <w:rPr>
          <w:rFonts w:hint="eastAsia" w:asciiTheme="minorEastAsia" w:hAnsiTheme="minorEastAsia" w:cstheme="minorHAnsi"/>
          <w:b/>
          <w:kern w:val="24"/>
        </w:rPr>
        <w:t>．</w:t>
      </w:r>
      <w:r>
        <w:rPr>
          <w:rFonts w:hint="eastAsia" w:cs="仿宋" w:asciiTheme="minorEastAsia" w:hAnsiTheme="minorEastAsia"/>
          <w:b/>
          <w:sz w:val="21"/>
          <w:szCs w:val="21"/>
        </w:rPr>
        <w:t>承诺</w:t>
      </w:r>
    </w:p>
    <w:p w14:paraId="1EB95C52">
      <w:pPr>
        <w:rPr>
          <w:rFonts w:asciiTheme="minorEastAsia" w:hAnsiTheme="minorEastAsia" w:cstheme="minorHAnsi"/>
          <w:b/>
          <w:color w:val="000000"/>
          <w:kern w:val="24"/>
        </w:rPr>
      </w:pPr>
    </w:p>
    <w:p w14:paraId="48176AEA">
      <w:pPr>
        <w:rPr>
          <w:rFonts w:asciiTheme="minorEastAsia" w:hAnsiTheme="minorEastAsia" w:cstheme="minorHAnsi"/>
          <w:b/>
          <w:color w:val="000000"/>
          <w:kern w:val="24"/>
        </w:rPr>
      </w:pPr>
    </w:p>
    <w:p w14:paraId="456D6488">
      <w:pPr>
        <w:rPr>
          <w:rFonts w:asciiTheme="minorEastAsia" w:hAnsiTheme="minorEastAsia" w:cstheme="minorHAnsi"/>
          <w:b/>
          <w:color w:val="000000"/>
          <w:kern w:val="24"/>
        </w:rPr>
      </w:pPr>
      <w:r>
        <w:rPr>
          <w:rFonts w:hint="eastAsia" w:asciiTheme="minorEastAsia" w:hAnsiTheme="minorEastAsia" w:cstheme="minorHAnsi"/>
          <w:b/>
          <w:color w:val="000000"/>
          <w:kern w:val="24"/>
        </w:rPr>
        <w:t>3．</w:t>
      </w:r>
      <w:r>
        <w:rPr>
          <w:rFonts w:hint="eastAsia" w:ascii="宋体" w:hAnsi="宋体" w:eastAsia="宋体"/>
          <w:b/>
          <w:color w:val="000000"/>
          <w:kern w:val="24"/>
        </w:rPr>
        <w:t>物资配置清单</w:t>
      </w:r>
    </w:p>
    <w:tbl>
      <w:tblPr>
        <w:tblStyle w:val="27"/>
        <w:tblW w:w="91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3"/>
        <w:gridCol w:w="1576"/>
        <w:gridCol w:w="1417"/>
        <w:gridCol w:w="1701"/>
        <w:gridCol w:w="1426"/>
        <w:gridCol w:w="1792"/>
      </w:tblGrid>
      <w:tr w14:paraId="72351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F1F1F1" w:themeFill="background1" w:themeFillShade="F2"/>
            <w:vAlign w:val="center"/>
          </w:tcPr>
          <w:p w14:paraId="10B680DD">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1F1F1" w:themeFill="background1" w:themeFillShade="F2"/>
            <w:vAlign w:val="center"/>
          </w:tcPr>
          <w:p w14:paraId="447A4E64">
            <w:pPr>
              <w:jc w:val="center"/>
              <w:rPr>
                <w:rFonts w:asciiTheme="minorEastAsia" w:hAnsiTheme="minorEastAsia"/>
                <w:b/>
                <w:sz w:val="21"/>
                <w:szCs w:val="21"/>
              </w:rPr>
            </w:pPr>
            <w:r>
              <w:rPr>
                <w:rFonts w:asciiTheme="minorEastAsia" w:hAnsiTheme="minorEastAsia"/>
                <w:b/>
                <w:sz w:val="21"/>
                <w:szCs w:val="21"/>
              </w:rPr>
              <w:t>型号</w:t>
            </w:r>
          </w:p>
        </w:tc>
        <w:tc>
          <w:tcPr>
            <w:tcW w:w="1417" w:type="dxa"/>
            <w:shd w:val="clear" w:color="auto" w:fill="F1F1F1" w:themeFill="background1" w:themeFillShade="F2"/>
            <w:vAlign w:val="center"/>
          </w:tcPr>
          <w:p w14:paraId="231E1D55">
            <w:pPr>
              <w:jc w:val="center"/>
              <w:rPr>
                <w:rFonts w:asciiTheme="minorEastAsia" w:hAnsiTheme="minorEastAsia"/>
                <w:b/>
                <w:sz w:val="21"/>
                <w:szCs w:val="21"/>
              </w:rPr>
            </w:pPr>
            <w:r>
              <w:rPr>
                <w:rFonts w:asciiTheme="minorEastAsia" w:hAnsiTheme="minorEastAsia"/>
                <w:b/>
                <w:sz w:val="21"/>
                <w:szCs w:val="21"/>
              </w:rPr>
              <w:t>用途</w:t>
            </w:r>
          </w:p>
        </w:tc>
        <w:tc>
          <w:tcPr>
            <w:tcW w:w="1701" w:type="dxa"/>
            <w:shd w:val="clear" w:color="auto" w:fill="F1F1F1" w:themeFill="background1" w:themeFillShade="F2"/>
            <w:vAlign w:val="center"/>
          </w:tcPr>
          <w:p w14:paraId="555818E6">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1F1F1" w:themeFill="background1" w:themeFillShade="F2"/>
            <w:vAlign w:val="center"/>
          </w:tcPr>
          <w:p w14:paraId="2FC01349">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1F1F1" w:themeFill="background1" w:themeFillShade="F2"/>
            <w:vAlign w:val="center"/>
          </w:tcPr>
          <w:p w14:paraId="76B0A84A">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14:paraId="3BFF2C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79DCAD69">
            <w:pPr>
              <w:rPr>
                <w:rFonts w:asciiTheme="minorEastAsia" w:hAnsiTheme="minorEastAsia"/>
                <w:sz w:val="21"/>
                <w:szCs w:val="21"/>
              </w:rPr>
            </w:pPr>
          </w:p>
        </w:tc>
        <w:tc>
          <w:tcPr>
            <w:tcW w:w="1576" w:type="dxa"/>
            <w:shd w:val="clear" w:color="auto" w:fill="auto"/>
            <w:vAlign w:val="center"/>
          </w:tcPr>
          <w:p w14:paraId="21F589CF">
            <w:pPr>
              <w:rPr>
                <w:rFonts w:asciiTheme="minorEastAsia" w:hAnsiTheme="minorEastAsia"/>
                <w:sz w:val="21"/>
                <w:szCs w:val="21"/>
              </w:rPr>
            </w:pPr>
          </w:p>
        </w:tc>
        <w:tc>
          <w:tcPr>
            <w:tcW w:w="1417" w:type="dxa"/>
            <w:shd w:val="clear" w:color="auto" w:fill="auto"/>
            <w:vAlign w:val="center"/>
          </w:tcPr>
          <w:p w14:paraId="63B49CFE">
            <w:pPr>
              <w:rPr>
                <w:rFonts w:asciiTheme="minorEastAsia" w:hAnsiTheme="minorEastAsia"/>
                <w:sz w:val="21"/>
                <w:szCs w:val="21"/>
              </w:rPr>
            </w:pPr>
          </w:p>
        </w:tc>
        <w:tc>
          <w:tcPr>
            <w:tcW w:w="1701" w:type="dxa"/>
            <w:shd w:val="clear" w:color="auto" w:fill="auto"/>
            <w:vAlign w:val="center"/>
          </w:tcPr>
          <w:p w14:paraId="22F7B177">
            <w:pPr>
              <w:rPr>
                <w:rFonts w:asciiTheme="minorEastAsia" w:hAnsiTheme="minorEastAsia"/>
                <w:sz w:val="21"/>
                <w:szCs w:val="21"/>
              </w:rPr>
            </w:pPr>
          </w:p>
        </w:tc>
        <w:tc>
          <w:tcPr>
            <w:tcW w:w="1426" w:type="dxa"/>
            <w:shd w:val="clear" w:color="auto" w:fill="auto"/>
            <w:vAlign w:val="center"/>
          </w:tcPr>
          <w:p w14:paraId="135FD902">
            <w:pPr>
              <w:rPr>
                <w:rFonts w:asciiTheme="minorEastAsia" w:hAnsiTheme="minorEastAsia"/>
                <w:sz w:val="21"/>
                <w:szCs w:val="21"/>
              </w:rPr>
            </w:pPr>
          </w:p>
        </w:tc>
        <w:tc>
          <w:tcPr>
            <w:tcW w:w="1792" w:type="dxa"/>
            <w:shd w:val="clear" w:color="auto" w:fill="auto"/>
            <w:vAlign w:val="center"/>
          </w:tcPr>
          <w:p w14:paraId="5F14CCBC">
            <w:pPr>
              <w:rPr>
                <w:rFonts w:asciiTheme="minorEastAsia" w:hAnsiTheme="minorEastAsia"/>
                <w:sz w:val="21"/>
                <w:szCs w:val="21"/>
              </w:rPr>
            </w:pPr>
          </w:p>
        </w:tc>
      </w:tr>
      <w:tr w14:paraId="781B4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474E990F">
            <w:pPr>
              <w:rPr>
                <w:rFonts w:asciiTheme="minorEastAsia" w:hAnsiTheme="minorEastAsia"/>
                <w:sz w:val="21"/>
                <w:szCs w:val="21"/>
              </w:rPr>
            </w:pPr>
          </w:p>
        </w:tc>
        <w:tc>
          <w:tcPr>
            <w:tcW w:w="1576" w:type="dxa"/>
            <w:shd w:val="clear" w:color="auto" w:fill="auto"/>
            <w:vAlign w:val="center"/>
          </w:tcPr>
          <w:p w14:paraId="2D529EB4">
            <w:pPr>
              <w:rPr>
                <w:rFonts w:asciiTheme="minorEastAsia" w:hAnsiTheme="minorEastAsia"/>
                <w:sz w:val="21"/>
                <w:szCs w:val="21"/>
              </w:rPr>
            </w:pPr>
          </w:p>
        </w:tc>
        <w:tc>
          <w:tcPr>
            <w:tcW w:w="1417" w:type="dxa"/>
            <w:shd w:val="clear" w:color="auto" w:fill="auto"/>
            <w:vAlign w:val="center"/>
          </w:tcPr>
          <w:p w14:paraId="559F3974">
            <w:pPr>
              <w:rPr>
                <w:rFonts w:asciiTheme="minorEastAsia" w:hAnsiTheme="minorEastAsia"/>
                <w:sz w:val="21"/>
                <w:szCs w:val="21"/>
              </w:rPr>
            </w:pPr>
          </w:p>
        </w:tc>
        <w:tc>
          <w:tcPr>
            <w:tcW w:w="1701" w:type="dxa"/>
            <w:shd w:val="clear" w:color="auto" w:fill="auto"/>
            <w:vAlign w:val="center"/>
          </w:tcPr>
          <w:p w14:paraId="586BFDB7">
            <w:pPr>
              <w:rPr>
                <w:rFonts w:asciiTheme="minorEastAsia" w:hAnsiTheme="minorEastAsia"/>
                <w:sz w:val="21"/>
                <w:szCs w:val="21"/>
              </w:rPr>
            </w:pPr>
          </w:p>
        </w:tc>
        <w:tc>
          <w:tcPr>
            <w:tcW w:w="1426" w:type="dxa"/>
            <w:shd w:val="clear" w:color="auto" w:fill="auto"/>
            <w:vAlign w:val="center"/>
          </w:tcPr>
          <w:p w14:paraId="41F148DF">
            <w:pPr>
              <w:rPr>
                <w:rFonts w:asciiTheme="minorEastAsia" w:hAnsiTheme="minorEastAsia"/>
                <w:sz w:val="21"/>
                <w:szCs w:val="21"/>
              </w:rPr>
            </w:pPr>
          </w:p>
        </w:tc>
        <w:tc>
          <w:tcPr>
            <w:tcW w:w="1792" w:type="dxa"/>
            <w:shd w:val="clear" w:color="auto" w:fill="auto"/>
            <w:vAlign w:val="center"/>
          </w:tcPr>
          <w:p w14:paraId="6085625C">
            <w:pPr>
              <w:rPr>
                <w:rFonts w:asciiTheme="minorEastAsia" w:hAnsiTheme="minorEastAsia"/>
                <w:sz w:val="21"/>
                <w:szCs w:val="21"/>
              </w:rPr>
            </w:pPr>
          </w:p>
        </w:tc>
      </w:tr>
      <w:tr w14:paraId="57752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4A180D58">
            <w:pPr>
              <w:rPr>
                <w:rFonts w:asciiTheme="minorEastAsia" w:hAnsiTheme="minorEastAsia"/>
                <w:sz w:val="21"/>
                <w:szCs w:val="21"/>
              </w:rPr>
            </w:pPr>
          </w:p>
        </w:tc>
        <w:tc>
          <w:tcPr>
            <w:tcW w:w="1576" w:type="dxa"/>
            <w:shd w:val="clear" w:color="auto" w:fill="auto"/>
            <w:vAlign w:val="center"/>
          </w:tcPr>
          <w:p w14:paraId="17C4CF8C">
            <w:pPr>
              <w:rPr>
                <w:rFonts w:asciiTheme="minorEastAsia" w:hAnsiTheme="minorEastAsia"/>
                <w:sz w:val="21"/>
                <w:szCs w:val="21"/>
              </w:rPr>
            </w:pPr>
          </w:p>
        </w:tc>
        <w:tc>
          <w:tcPr>
            <w:tcW w:w="1417" w:type="dxa"/>
            <w:shd w:val="clear" w:color="auto" w:fill="auto"/>
            <w:vAlign w:val="center"/>
          </w:tcPr>
          <w:p w14:paraId="745AFAE2">
            <w:pPr>
              <w:rPr>
                <w:rFonts w:asciiTheme="minorEastAsia" w:hAnsiTheme="minorEastAsia"/>
                <w:sz w:val="21"/>
                <w:szCs w:val="21"/>
              </w:rPr>
            </w:pPr>
          </w:p>
        </w:tc>
        <w:tc>
          <w:tcPr>
            <w:tcW w:w="1701" w:type="dxa"/>
            <w:shd w:val="clear" w:color="auto" w:fill="auto"/>
            <w:vAlign w:val="center"/>
          </w:tcPr>
          <w:p w14:paraId="6157A5D0">
            <w:pPr>
              <w:rPr>
                <w:rFonts w:asciiTheme="minorEastAsia" w:hAnsiTheme="minorEastAsia"/>
                <w:sz w:val="21"/>
                <w:szCs w:val="21"/>
              </w:rPr>
            </w:pPr>
          </w:p>
        </w:tc>
        <w:tc>
          <w:tcPr>
            <w:tcW w:w="1426" w:type="dxa"/>
            <w:shd w:val="clear" w:color="auto" w:fill="auto"/>
            <w:vAlign w:val="center"/>
          </w:tcPr>
          <w:p w14:paraId="7A81042F">
            <w:pPr>
              <w:rPr>
                <w:rFonts w:asciiTheme="minorEastAsia" w:hAnsiTheme="minorEastAsia"/>
                <w:sz w:val="21"/>
                <w:szCs w:val="21"/>
              </w:rPr>
            </w:pPr>
          </w:p>
        </w:tc>
        <w:tc>
          <w:tcPr>
            <w:tcW w:w="1792" w:type="dxa"/>
            <w:shd w:val="clear" w:color="auto" w:fill="auto"/>
            <w:vAlign w:val="center"/>
          </w:tcPr>
          <w:p w14:paraId="428A874B">
            <w:pPr>
              <w:rPr>
                <w:rFonts w:asciiTheme="minorEastAsia" w:hAnsiTheme="minorEastAsia"/>
                <w:sz w:val="21"/>
                <w:szCs w:val="21"/>
              </w:rPr>
            </w:pPr>
          </w:p>
        </w:tc>
      </w:tr>
      <w:tr w14:paraId="402B1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44F6E8AA">
            <w:pPr>
              <w:rPr>
                <w:rFonts w:asciiTheme="minorEastAsia" w:hAnsiTheme="minorEastAsia"/>
                <w:sz w:val="21"/>
                <w:szCs w:val="21"/>
              </w:rPr>
            </w:pPr>
          </w:p>
        </w:tc>
        <w:tc>
          <w:tcPr>
            <w:tcW w:w="1576" w:type="dxa"/>
            <w:shd w:val="clear" w:color="auto" w:fill="auto"/>
            <w:vAlign w:val="center"/>
          </w:tcPr>
          <w:p w14:paraId="4F488977">
            <w:pPr>
              <w:rPr>
                <w:rFonts w:asciiTheme="minorEastAsia" w:hAnsiTheme="minorEastAsia"/>
                <w:sz w:val="21"/>
                <w:szCs w:val="21"/>
              </w:rPr>
            </w:pPr>
          </w:p>
        </w:tc>
        <w:tc>
          <w:tcPr>
            <w:tcW w:w="1417" w:type="dxa"/>
            <w:shd w:val="clear" w:color="auto" w:fill="auto"/>
            <w:vAlign w:val="center"/>
          </w:tcPr>
          <w:p w14:paraId="2CCE6D8D">
            <w:pPr>
              <w:rPr>
                <w:rFonts w:asciiTheme="minorEastAsia" w:hAnsiTheme="minorEastAsia"/>
                <w:sz w:val="21"/>
                <w:szCs w:val="21"/>
              </w:rPr>
            </w:pPr>
          </w:p>
        </w:tc>
        <w:tc>
          <w:tcPr>
            <w:tcW w:w="1701" w:type="dxa"/>
            <w:shd w:val="clear" w:color="auto" w:fill="auto"/>
            <w:vAlign w:val="center"/>
          </w:tcPr>
          <w:p w14:paraId="064D9377">
            <w:pPr>
              <w:rPr>
                <w:rFonts w:asciiTheme="minorEastAsia" w:hAnsiTheme="minorEastAsia"/>
                <w:sz w:val="21"/>
                <w:szCs w:val="21"/>
              </w:rPr>
            </w:pPr>
          </w:p>
        </w:tc>
        <w:tc>
          <w:tcPr>
            <w:tcW w:w="1426" w:type="dxa"/>
            <w:shd w:val="clear" w:color="auto" w:fill="auto"/>
            <w:vAlign w:val="center"/>
          </w:tcPr>
          <w:p w14:paraId="691EFC84">
            <w:pPr>
              <w:rPr>
                <w:rFonts w:asciiTheme="minorEastAsia" w:hAnsiTheme="minorEastAsia"/>
                <w:sz w:val="21"/>
                <w:szCs w:val="21"/>
              </w:rPr>
            </w:pPr>
          </w:p>
        </w:tc>
        <w:tc>
          <w:tcPr>
            <w:tcW w:w="1792" w:type="dxa"/>
            <w:shd w:val="clear" w:color="auto" w:fill="auto"/>
            <w:vAlign w:val="center"/>
          </w:tcPr>
          <w:p w14:paraId="64CA4E4F">
            <w:pPr>
              <w:rPr>
                <w:rFonts w:asciiTheme="minorEastAsia" w:hAnsiTheme="minorEastAsia"/>
                <w:sz w:val="21"/>
                <w:szCs w:val="21"/>
              </w:rPr>
            </w:pPr>
          </w:p>
        </w:tc>
      </w:tr>
      <w:tr w14:paraId="35E56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5135E4CF">
            <w:pPr>
              <w:rPr>
                <w:rFonts w:asciiTheme="minorEastAsia" w:hAnsiTheme="minorEastAsia"/>
                <w:sz w:val="21"/>
                <w:szCs w:val="21"/>
              </w:rPr>
            </w:pPr>
          </w:p>
        </w:tc>
        <w:tc>
          <w:tcPr>
            <w:tcW w:w="1576" w:type="dxa"/>
            <w:shd w:val="clear" w:color="auto" w:fill="auto"/>
            <w:vAlign w:val="center"/>
          </w:tcPr>
          <w:p w14:paraId="1B97B091">
            <w:pPr>
              <w:rPr>
                <w:rFonts w:asciiTheme="minorEastAsia" w:hAnsiTheme="minorEastAsia"/>
                <w:sz w:val="21"/>
                <w:szCs w:val="21"/>
              </w:rPr>
            </w:pPr>
          </w:p>
        </w:tc>
        <w:tc>
          <w:tcPr>
            <w:tcW w:w="1417" w:type="dxa"/>
            <w:shd w:val="clear" w:color="auto" w:fill="auto"/>
            <w:vAlign w:val="center"/>
          </w:tcPr>
          <w:p w14:paraId="255D7C93">
            <w:pPr>
              <w:rPr>
                <w:rFonts w:asciiTheme="minorEastAsia" w:hAnsiTheme="minorEastAsia"/>
                <w:sz w:val="21"/>
                <w:szCs w:val="21"/>
              </w:rPr>
            </w:pPr>
          </w:p>
        </w:tc>
        <w:tc>
          <w:tcPr>
            <w:tcW w:w="1701" w:type="dxa"/>
            <w:shd w:val="clear" w:color="auto" w:fill="auto"/>
            <w:vAlign w:val="center"/>
          </w:tcPr>
          <w:p w14:paraId="0E80DB56">
            <w:pPr>
              <w:rPr>
                <w:rFonts w:asciiTheme="minorEastAsia" w:hAnsiTheme="minorEastAsia"/>
                <w:sz w:val="21"/>
                <w:szCs w:val="21"/>
              </w:rPr>
            </w:pPr>
          </w:p>
        </w:tc>
        <w:tc>
          <w:tcPr>
            <w:tcW w:w="1426" w:type="dxa"/>
            <w:shd w:val="clear" w:color="auto" w:fill="auto"/>
            <w:vAlign w:val="center"/>
          </w:tcPr>
          <w:p w14:paraId="006B341C">
            <w:pPr>
              <w:rPr>
                <w:rFonts w:asciiTheme="minorEastAsia" w:hAnsiTheme="minorEastAsia"/>
                <w:sz w:val="21"/>
                <w:szCs w:val="21"/>
              </w:rPr>
            </w:pPr>
          </w:p>
        </w:tc>
        <w:tc>
          <w:tcPr>
            <w:tcW w:w="1792" w:type="dxa"/>
            <w:shd w:val="clear" w:color="auto" w:fill="auto"/>
            <w:vAlign w:val="center"/>
          </w:tcPr>
          <w:p w14:paraId="2BBABCB0">
            <w:pPr>
              <w:rPr>
                <w:rFonts w:asciiTheme="minorEastAsia" w:hAnsiTheme="minorEastAsia"/>
                <w:sz w:val="21"/>
                <w:szCs w:val="21"/>
              </w:rPr>
            </w:pPr>
          </w:p>
        </w:tc>
      </w:tr>
      <w:tr w14:paraId="6F547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3DA0EAA1">
            <w:pPr>
              <w:rPr>
                <w:rFonts w:asciiTheme="minorEastAsia" w:hAnsiTheme="minorEastAsia"/>
                <w:sz w:val="21"/>
                <w:szCs w:val="21"/>
              </w:rPr>
            </w:pPr>
          </w:p>
        </w:tc>
        <w:tc>
          <w:tcPr>
            <w:tcW w:w="1576" w:type="dxa"/>
            <w:shd w:val="clear" w:color="auto" w:fill="auto"/>
            <w:vAlign w:val="center"/>
          </w:tcPr>
          <w:p w14:paraId="6155E4DF">
            <w:pPr>
              <w:rPr>
                <w:rFonts w:asciiTheme="minorEastAsia" w:hAnsiTheme="minorEastAsia"/>
                <w:sz w:val="21"/>
                <w:szCs w:val="21"/>
              </w:rPr>
            </w:pPr>
          </w:p>
        </w:tc>
        <w:tc>
          <w:tcPr>
            <w:tcW w:w="1417" w:type="dxa"/>
            <w:shd w:val="clear" w:color="auto" w:fill="auto"/>
            <w:vAlign w:val="center"/>
          </w:tcPr>
          <w:p w14:paraId="373A3CAB">
            <w:pPr>
              <w:rPr>
                <w:rFonts w:asciiTheme="minorEastAsia" w:hAnsiTheme="minorEastAsia"/>
                <w:sz w:val="21"/>
                <w:szCs w:val="21"/>
              </w:rPr>
            </w:pPr>
          </w:p>
        </w:tc>
        <w:tc>
          <w:tcPr>
            <w:tcW w:w="1701" w:type="dxa"/>
            <w:shd w:val="clear" w:color="auto" w:fill="auto"/>
            <w:vAlign w:val="center"/>
          </w:tcPr>
          <w:p w14:paraId="5036370C">
            <w:pPr>
              <w:rPr>
                <w:rFonts w:asciiTheme="minorEastAsia" w:hAnsiTheme="minorEastAsia"/>
                <w:sz w:val="21"/>
                <w:szCs w:val="21"/>
              </w:rPr>
            </w:pPr>
          </w:p>
        </w:tc>
        <w:tc>
          <w:tcPr>
            <w:tcW w:w="1426" w:type="dxa"/>
            <w:shd w:val="clear" w:color="auto" w:fill="auto"/>
            <w:vAlign w:val="center"/>
          </w:tcPr>
          <w:p w14:paraId="4AEAB9C6">
            <w:pPr>
              <w:rPr>
                <w:rFonts w:asciiTheme="minorEastAsia" w:hAnsiTheme="minorEastAsia"/>
                <w:sz w:val="21"/>
                <w:szCs w:val="21"/>
              </w:rPr>
            </w:pPr>
          </w:p>
        </w:tc>
        <w:tc>
          <w:tcPr>
            <w:tcW w:w="1792" w:type="dxa"/>
            <w:shd w:val="clear" w:color="auto" w:fill="auto"/>
            <w:vAlign w:val="center"/>
          </w:tcPr>
          <w:p w14:paraId="29E5C8C8">
            <w:pPr>
              <w:rPr>
                <w:rFonts w:asciiTheme="minorEastAsia" w:hAnsiTheme="minorEastAsia"/>
                <w:sz w:val="21"/>
                <w:szCs w:val="21"/>
              </w:rPr>
            </w:pPr>
          </w:p>
        </w:tc>
      </w:tr>
      <w:tr w14:paraId="35CB6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1581FC1B">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14:paraId="36B15F5E">
            <w:pPr>
              <w:jc w:val="both"/>
              <w:rPr>
                <w:rFonts w:asciiTheme="minorEastAsia" w:hAnsiTheme="minorEastAsia"/>
                <w:sz w:val="21"/>
                <w:szCs w:val="21"/>
              </w:rPr>
            </w:pPr>
            <w:r>
              <w:rPr>
                <w:rFonts w:asciiTheme="minorEastAsia" w:hAnsiTheme="minorEastAsia"/>
                <w:sz w:val="21"/>
                <w:szCs w:val="21"/>
              </w:rPr>
              <w:t>① 表格行数不足时请自行扩展。</w:t>
            </w:r>
          </w:p>
          <w:p w14:paraId="4DA45E88">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tc>
      </w:tr>
    </w:tbl>
    <w:p w14:paraId="5783B25E">
      <w:pPr>
        <w:rPr>
          <w:rFonts w:asciiTheme="minorEastAsia" w:hAnsiTheme="minorEastAsia" w:cstheme="minorHAnsi"/>
          <w:color w:val="C00000"/>
          <w:kern w:val="24"/>
        </w:rPr>
      </w:pPr>
      <w:r>
        <w:rPr>
          <w:rFonts w:asciiTheme="minorEastAsia" w:hAnsiTheme="minorEastAsia" w:cstheme="minorHAnsi"/>
          <w:color w:val="C00000"/>
          <w:kern w:val="24"/>
        </w:rPr>
        <w:t>附：</w:t>
      </w:r>
      <w:r>
        <w:rPr>
          <w:rFonts w:hint="eastAsia" w:asciiTheme="minorEastAsia" w:hAnsiTheme="minorEastAsia" w:cstheme="minorHAnsi"/>
          <w:color w:val="C00000"/>
          <w:kern w:val="24"/>
        </w:rPr>
        <w:t>设备购买发票或租赁证明</w:t>
      </w:r>
    </w:p>
    <w:p w14:paraId="32744E84">
      <w:pPr>
        <w:rPr>
          <w:rFonts w:asciiTheme="minorEastAsia" w:hAnsiTheme="minorEastAsia" w:cstheme="minorHAnsi"/>
          <w:b/>
          <w:color w:val="000000"/>
          <w:kern w:val="24"/>
        </w:rPr>
      </w:pPr>
    </w:p>
    <w:p w14:paraId="32F4DBEC">
      <w:pPr>
        <w:rPr>
          <w:rFonts w:asciiTheme="minorEastAsia" w:hAnsiTheme="minorEastAsia" w:cstheme="minorHAnsi"/>
          <w:b/>
          <w:color w:val="000000"/>
          <w:kern w:val="24"/>
        </w:rPr>
      </w:pPr>
      <w:r>
        <w:rPr>
          <w:rFonts w:asciiTheme="minorEastAsia" w:hAnsiTheme="minorEastAsia" w:cstheme="minorHAnsi"/>
          <w:b/>
          <w:color w:val="000000"/>
          <w:kern w:val="24"/>
        </w:rPr>
        <w:t>4．拟派项目团队人员情况表</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472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76A5A886">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4C3F1AEF">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BF91F3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0F2F3309">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20C5A0A3">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58B041D0">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CD9B608">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4670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13847A1A">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项目经理</w:t>
            </w:r>
          </w:p>
        </w:tc>
        <w:tc>
          <w:tcPr>
            <w:tcW w:w="1273" w:type="dxa"/>
            <w:tcBorders>
              <w:top w:val="single" w:color="auto" w:sz="2" w:space="0"/>
              <w:left w:val="single" w:color="auto" w:sz="6" w:space="0"/>
              <w:bottom w:val="single" w:color="auto" w:sz="2" w:space="0"/>
            </w:tcBorders>
            <w:shd w:val="clear" w:color="auto" w:fill="auto"/>
            <w:vAlign w:val="center"/>
          </w:tcPr>
          <w:p w14:paraId="5C4CF4BC">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F55C078">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7C56BD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BC73CC6">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57342B5">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1D2FE3B">
            <w:pPr>
              <w:jc w:val="center"/>
              <w:rPr>
                <w:rFonts w:asciiTheme="minorEastAsia" w:hAnsiTheme="minorEastAsia" w:cstheme="minorHAnsi"/>
                <w:color w:val="000000"/>
                <w:sz w:val="21"/>
                <w:szCs w:val="21"/>
              </w:rPr>
            </w:pPr>
          </w:p>
        </w:tc>
      </w:tr>
      <w:tr w14:paraId="556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18373A5D">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项目主管</w:t>
            </w:r>
          </w:p>
        </w:tc>
        <w:tc>
          <w:tcPr>
            <w:tcW w:w="1273" w:type="dxa"/>
            <w:tcBorders>
              <w:top w:val="single" w:color="auto" w:sz="2" w:space="0"/>
              <w:left w:val="single" w:color="auto" w:sz="6" w:space="0"/>
              <w:bottom w:val="single" w:color="auto" w:sz="2" w:space="0"/>
            </w:tcBorders>
            <w:shd w:val="clear" w:color="auto" w:fill="auto"/>
            <w:vAlign w:val="center"/>
          </w:tcPr>
          <w:p w14:paraId="19C6CC31">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A94356F">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2D2E806">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01BFC09">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CA08E2F">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567B5B4B">
            <w:pPr>
              <w:jc w:val="center"/>
              <w:rPr>
                <w:rFonts w:asciiTheme="minorEastAsia" w:hAnsiTheme="minorEastAsia" w:cstheme="minorHAnsi"/>
                <w:color w:val="000000"/>
                <w:sz w:val="21"/>
                <w:szCs w:val="21"/>
              </w:rPr>
            </w:pPr>
          </w:p>
        </w:tc>
      </w:tr>
      <w:tr w14:paraId="2D4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5AF3C9A">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其他服务</w:t>
            </w:r>
            <w:r>
              <w:rPr>
                <w:rFonts w:asciiTheme="minorEastAsia" w:hAnsiTheme="minorEastAsia" w:cstheme="minorHAnsi"/>
                <w:color w:val="000000"/>
                <w:sz w:val="21"/>
                <w:szCs w:val="21"/>
              </w:rPr>
              <w:t>保障人员</w:t>
            </w:r>
          </w:p>
        </w:tc>
        <w:tc>
          <w:tcPr>
            <w:tcW w:w="1273" w:type="dxa"/>
            <w:tcBorders>
              <w:top w:val="single" w:color="auto" w:sz="2" w:space="0"/>
              <w:left w:val="single" w:color="auto" w:sz="6" w:space="0"/>
              <w:bottom w:val="single" w:color="auto" w:sz="2" w:space="0"/>
            </w:tcBorders>
            <w:shd w:val="clear" w:color="auto" w:fill="auto"/>
            <w:vAlign w:val="center"/>
          </w:tcPr>
          <w:p w14:paraId="3EB4C805">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86A4D1F">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11D67EA">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0286B0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99FB2E7">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2E9F3850">
            <w:pPr>
              <w:jc w:val="center"/>
              <w:rPr>
                <w:rFonts w:asciiTheme="minorEastAsia" w:hAnsiTheme="minorEastAsia" w:cstheme="minorHAnsi"/>
                <w:color w:val="000000"/>
                <w:sz w:val="21"/>
                <w:szCs w:val="21"/>
              </w:rPr>
            </w:pPr>
          </w:p>
        </w:tc>
      </w:tr>
      <w:tr w14:paraId="0E22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F3AC949">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5D48C16C">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31262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791587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DFAE2AE">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7CD7222C">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446E094">
            <w:pPr>
              <w:jc w:val="center"/>
              <w:rPr>
                <w:rFonts w:asciiTheme="minorEastAsia" w:hAnsiTheme="minorEastAsia" w:cstheme="minorHAnsi"/>
                <w:color w:val="000000"/>
                <w:sz w:val="21"/>
                <w:szCs w:val="21"/>
              </w:rPr>
            </w:pPr>
          </w:p>
        </w:tc>
      </w:tr>
      <w:tr w14:paraId="23A6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982F041">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0F47D6E4">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520BA42C">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591B1E6A">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648B0B9E">
      <w:pPr>
        <w:rPr>
          <w:rFonts w:asciiTheme="minorEastAsia" w:hAnsiTheme="minorEastAsia" w:cstheme="minorHAnsi"/>
          <w:b/>
          <w:color w:val="000000"/>
          <w:kern w:val="24"/>
        </w:rPr>
      </w:pPr>
    </w:p>
    <w:p w14:paraId="7EFF29A7">
      <w:pPr>
        <w:rPr>
          <w:rFonts w:asciiTheme="minorEastAsia" w:hAnsiTheme="minorEastAsia" w:cstheme="minorHAnsi"/>
          <w:b/>
          <w:color w:val="000000"/>
          <w:kern w:val="24"/>
        </w:rPr>
      </w:pPr>
      <w:r>
        <w:rPr>
          <w:rFonts w:hint="eastAsia" w:asciiTheme="minorEastAsia" w:hAnsiTheme="minorEastAsia" w:cstheme="minorHAnsi"/>
          <w:b/>
          <w:color w:val="000000"/>
          <w:kern w:val="24"/>
        </w:rPr>
        <w:t>5．特色化服务</w:t>
      </w:r>
      <w:r>
        <w:rPr>
          <w:rFonts w:asciiTheme="minorEastAsia" w:hAnsiTheme="minorEastAsia" w:cstheme="minorHAnsi"/>
          <w:b/>
          <w:color w:val="000000"/>
          <w:kern w:val="24"/>
        </w:rPr>
        <w:t>方案</w:t>
      </w:r>
    </w:p>
    <w:p w14:paraId="4F020242">
      <w:pPr>
        <w:rPr>
          <w:rFonts w:asciiTheme="minorEastAsia" w:hAnsiTheme="minorEastAsia" w:cstheme="minorHAnsi"/>
          <w:b/>
          <w:color w:val="000000"/>
          <w:kern w:val="24"/>
        </w:rPr>
      </w:pPr>
      <w:r>
        <w:rPr>
          <w:rFonts w:asciiTheme="minorEastAsia" w:hAnsiTheme="minorEastAsia" w:cstheme="minorHAnsi"/>
          <w:b/>
          <w:color w:val="000000"/>
          <w:kern w:val="24"/>
        </w:rPr>
        <w:t>……</w:t>
      </w:r>
    </w:p>
    <w:p w14:paraId="157D8A63">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7"/>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03"/>
        <w:gridCol w:w="1361"/>
        <w:gridCol w:w="1758"/>
        <w:gridCol w:w="2070"/>
        <w:gridCol w:w="1701"/>
        <w:gridCol w:w="1389"/>
      </w:tblGrid>
      <w:tr w14:paraId="5C5FEE9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0C32A633">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0E1EA8C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493DA140">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C25CB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6751D91F">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4A035D2B">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7E1A0B77">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4836D40F">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7A7218C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062DF951">
            <w:pPr>
              <w:jc w:val="center"/>
              <w:rPr>
                <w:rFonts w:asciiTheme="minorEastAsia" w:hAnsiTheme="minorEastAsia"/>
                <w:color w:val="000000"/>
                <w:sz w:val="21"/>
              </w:rPr>
            </w:pPr>
            <w:r>
              <w:rPr>
                <w:rFonts w:asciiTheme="minorEastAsia" w:hAnsiTheme="minorEastAsia"/>
                <w:color w:val="000000"/>
                <w:sz w:val="21"/>
              </w:rPr>
              <w:t>说明</w:t>
            </w:r>
          </w:p>
        </w:tc>
      </w:tr>
      <w:tr w14:paraId="1B83FF2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76A919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0E6157C2">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47705C8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3C9AA9F1">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47668E8">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DA34468">
            <w:pPr>
              <w:jc w:val="both"/>
              <w:rPr>
                <w:rFonts w:asciiTheme="minorEastAsia" w:hAnsiTheme="minorEastAsia"/>
                <w:color w:val="000000"/>
                <w:sz w:val="21"/>
              </w:rPr>
            </w:pPr>
          </w:p>
        </w:tc>
      </w:tr>
      <w:tr w14:paraId="5E7334E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1DF7B6B">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58E76F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257692F6">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0F0A7C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3B626BC5">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9CD278D">
            <w:pPr>
              <w:jc w:val="both"/>
              <w:rPr>
                <w:rFonts w:asciiTheme="minorEastAsia" w:hAnsiTheme="minorEastAsia"/>
                <w:color w:val="000000"/>
                <w:sz w:val="21"/>
              </w:rPr>
            </w:pPr>
          </w:p>
        </w:tc>
      </w:tr>
      <w:tr w14:paraId="06B4D7C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4C12BE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01BD25CB">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505F820F">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7B0D64D2">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4BE1C84C">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2FCDD6C4">
            <w:pPr>
              <w:jc w:val="both"/>
              <w:rPr>
                <w:rFonts w:asciiTheme="minorEastAsia" w:hAnsiTheme="minorEastAsia"/>
                <w:color w:val="000000"/>
                <w:sz w:val="21"/>
              </w:rPr>
            </w:pPr>
          </w:p>
        </w:tc>
      </w:tr>
      <w:tr w14:paraId="42FC296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62C78898">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BD0271B">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B790244">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0C589AD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3E37C234">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7C2217E8">
            <w:pPr>
              <w:jc w:val="both"/>
              <w:rPr>
                <w:rFonts w:asciiTheme="minorEastAsia" w:hAnsiTheme="minorEastAsia"/>
                <w:color w:val="000000"/>
                <w:sz w:val="21"/>
              </w:rPr>
            </w:pPr>
          </w:p>
        </w:tc>
      </w:tr>
      <w:tr w14:paraId="458781D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5ECC18B9">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56DD4AAC">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02867DAF">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C9043D7">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7A8C49A6">
      <w:pPr>
        <w:rPr>
          <w:rFonts w:cstheme="minorHAnsi"/>
          <w:color w:val="1F4E79" w:themeColor="accent1" w:themeShade="80"/>
          <w:sz w:val="32"/>
          <w:szCs w:val="36"/>
        </w:rPr>
      </w:pPr>
      <w:r>
        <w:rPr>
          <w:rFonts w:cstheme="minorHAnsi"/>
          <w:color w:val="1F4E79" w:themeColor="accent1" w:themeShade="80"/>
          <w:sz w:val="32"/>
          <w:szCs w:val="36"/>
        </w:rPr>
        <w:br w:type="page"/>
      </w:r>
    </w:p>
    <w:p w14:paraId="72F268E0">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58AE5814">
      <w:pPr>
        <w:rPr>
          <w:rFonts w:ascii="Calibri" w:hAnsi="华文仿宋"/>
          <w:b/>
        </w:rPr>
      </w:pPr>
    </w:p>
    <w:p w14:paraId="3375D71A">
      <w:pPr>
        <w:rPr>
          <w:rFonts w:cstheme="minorHAnsi"/>
        </w:rPr>
      </w:pPr>
    </w:p>
    <w:p w14:paraId="224D4785">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09BD703E">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4387B378">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7"/>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4AE65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7FCDE3B">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6EE91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2868068">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7CF8C6A2">
            <w:pPr>
              <w:autoSpaceDE w:val="0"/>
              <w:autoSpaceDN w:val="0"/>
              <w:adjustRightInd w:val="0"/>
              <w:spacing w:line="320" w:lineRule="exact"/>
              <w:jc w:val="center"/>
              <w:rPr>
                <w:rFonts w:cstheme="minorHAnsi"/>
                <w:sz w:val="21"/>
                <w:szCs w:val="21"/>
              </w:rPr>
            </w:pPr>
          </w:p>
        </w:tc>
      </w:tr>
      <w:tr w14:paraId="4F6E8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05DE887">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2DAE3B2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095FA">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4D263FE8">
            <w:pPr>
              <w:autoSpaceDE w:val="0"/>
              <w:autoSpaceDN w:val="0"/>
              <w:adjustRightInd w:val="0"/>
              <w:spacing w:line="320" w:lineRule="exact"/>
              <w:jc w:val="center"/>
              <w:rPr>
                <w:rFonts w:cstheme="minorHAnsi"/>
                <w:sz w:val="21"/>
                <w:szCs w:val="21"/>
              </w:rPr>
            </w:pPr>
          </w:p>
        </w:tc>
      </w:tr>
      <w:tr w14:paraId="6BEAEB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E61E82A">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6D14754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4E37BA8">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660BC0A8">
            <w:pPr>
              <w:autoSpaceDE w:val="0"/>
              <w:autoSpaceDN w:val="0"/>
              <w:adjustRightInd w:val="0"/>
              <w:spacing w:line="320" w:lineRule="exact"/>
              <w:jc w:val="center"/>
              <w:rPr>
                <w:rFonts w:cstheme="minorHAnsi"/>
                <w:sz w:val="21"/>
                <w:szCs w:val="21"/>
              </w:rPr>
            </w:pPr>
          </w:p>
        </w:tc>
      </w:tr>
      <w:tr w14:paraId="169061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488C38">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0381E3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3EC87C2">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542124DF">
            <w:pPr>
              <w:autoSpaceDE w:val="0"/>
              <w:autoSpaceDN w:val="0"/>
              <w:adjustRightInd w:val="0"/>
              <w:spacing w:line="320" w:lineRule="exact"/>
              <w:jc w:val="center"/>
              <w:rPr>
                <w:rFonts w:cstheme="minorHAnsi"/>
                <w:sz w:val="21"/>
                <w:szCs w:val="21"/>
              </w:rPr>
            </w:pPr>
          </w:p>
        </w:tc>
      </w:tr>
      <w:tr w14:paraId="4EC0A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AE5DE">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23513D5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EAB9F60">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190E257B">
            <w:pPr>
              <w:autoSpaceDE w:val="0"/>
              <w:autoSpaceDN w:val="0"/>
              <w:adjustRightInd w:val="0"/>
              <w:spacing w:line="320" w:lineRule="exact"/>
              <w:jc w:val="center"/>
              <w:rPr>
                <w:rFonts w:cstheme="minorHAnsi"/>
                <w:sz w:val="21"/>
                <w:szCs w:val="21"/>
              </w:rPr>
            </w:pPr>
          </w:p>
        </w:tc>
      </w:tr>
      <w:tr w14:paraId="454941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EC8C752">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793824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0F90647">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2C72A5A4">
            <w:pPr>
              <w:autoSpaceDE w:val="0"/>
              <w:autoSpaceDN w:val="0"/>
              <w:adjustRightInd w:val="0"/>
              <w:spacing w:line="320" w:lineRule="exact"/>
              <w:jc w:val="center"/>
              <w:rPr>
                <w:rFonts w:cstheme="minorHAnsi"/>
                <w:sz w:val="21"/>
                <w:szCs w:val="21"/>
              </w:rPr>
            </w:pPr>
          </w:p>
        </w:tc>
      </w:tr>
      <w:tr w14:paraId="6FFD4E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670D1D1">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512E158B">
            <w:pPr>
              <w:autoSpaceDE w:val="0"/>
              <w:autoSpaceDN w:val="0"/>
              <w:adjustRightInd w:val="0"/>
              <w:spacing w:line="320" w:lineRule="exact"/>
              <w:jc w:val="center"/>
              <w:rPr>
                <w:rFonts w:cstheme="minorHAnsi"/>
                <w:sz w:val="21"/>
                <w:szCs w:val="21"/>
              </w:rPr>
            </w:pPr>
          </w:p>
        </w:tc>
      </w:tr>
      <w:tr w14:paraId="7568CC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63B6E977">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7B275EDB">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06EF597">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2BD0696A">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26AEE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089284F">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8DC44AD">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54382D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39FFD583">
            <w:pPr>
              <w:autoSpaceDE w:val="0"/>
              <w:autoSpaceDN w:val="0"/>
              <w:adjustRightInd w:val="0"/>
              <w:spacing w:line="320" w:lineRule="exact"/>
              <w:jc w:val="center"/>
              <w:rPr>
                <w:rFonts w:cstheme="minorHAnsi"/>
                <w:sz w:val="21"/>
                <w:szCs w:val="21"/>
              </w:rPr>
            </w:pPr>
          </w:p>
        </w:tc>
      </w:tr>
      <w:tr w14:paraId="116871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EE9270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18A657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56496F2">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5EFFABA3">
            <w:pPr>
              <w:autoSpaceDE w:val="0"/>
              <w:autoSpaceDN w:val="0"/>
              <w:adjustRightInd w:val="0"/>
              <w:spacing w:line="320" w:lineRule="exact"/>
              <w:jc w:val="center"/>
              <w:rPr>
                <w:rFonts w:cstheme="minorHAnsi"/>
                <w:sz w:val="21"/>
                <w:szCs w:val="21"/>
              </w:rPr>
            </w:pPr>
          </w:p>
        </w:tc>
      </w:tr>
      <w:tr w14:paraId="0A1F79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6ED2053A">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69B4A3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747F787D">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593E4AD8">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45CA2EFD">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787976AD">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66CAB1B9">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0910EF2F">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02B1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5200E035">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06A644CC">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33A9FD08">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1B5CFB38">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591E489E">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9D4B4DB">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22E1AE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15632A5">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1FAC2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7014CEF">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17F1508E">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4EC72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A9523EB">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368FC7B0">
            <w:pPr>
              <w:autoSpaceDE w:val="0"/>
              <w:autoSpaceDN w:val="0"/>
              <w:adjustRightInd w:val="0"/>
              <w:spacing w:line="320" w:lineRule="exact"/>
              <w:rPr>
                <w:rFonts w:cstheme="minorHAnsi"/>
                <w:bCs/>
                <w:sz w:val="21"/>
                <w:szCs w:val="21"/>
              </w:rPr>
            </w:pPr>
          </w:p>
        </w:tc>
      </w:tr>
      <w:tr w14:paraId="089E9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DE5B80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30D2233D">
            <w:pPr>
              <w:autoSpaceDE w:val="0"/>
              <w:autoSpaceDN w:val="0"/>
              <w:adjustRightInd w:val="0"/>
              <w:spacing w:line="320" w:lineRule="exact"/>
              <w:rPr>
                <w:rFonts w:cstheme="minorHAnsi"/>
                <w:bCs/>
                <w:sz w:val="21"/>
                <w:szCs w:val="21"/>
              </w:rPr>
            </w:pPr>
          </w:p>
        </w:tc>
      </w:tr>
      <w:tr w14:paraId="7F029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76822A7">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0106347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6616895F">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09A0F5CE">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22080828">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292DB548">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9906153">
      <w:pPr>
        <w:pStyle w:val="84"/>
        <w:ind w:firstLine="480"/>
        <w:rPr>
          <w:i/>
          <w:color w:val="7030A0"/>
        </w:rPr>
      </w:pPr>
      <w:r>
        <w:rPr>
          <w:i/>
          <w:color w:val="7030A0"/>
        </w:rPr>
        <w:t>未签署下列承诺书的，将被视为无效响应，其责任由供应商自行承担。</w:t>
      </w:r>
    </w:p>
    <w:p w14:paraId="12F282A6">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7C8AD77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757812A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1A7022E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5AF6CA9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8C7975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2C05C830">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74DD9C45">
      <w:pPr>
        <w:ind w:firstLine="480" w:firstLineChars="200"/>
        <w:jc w:val="both"/>
        <w:rPr>
          <w:rFonts w:ascii="Calibri" w:hAnsi="Calibri" w:eastAsia="宋体" w:cstheme="minorHAnsi"/>
          <w:color w:val="000000"/>
          <w:kern w:val="24"/>
        </w:rPr>
      </w:pPr>
    </w:p>
    <w:p w14:paraId="74C1042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2BC9BE4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7594E5AE">
      <w:pPr>
        <w:ind w:firstLine="480" w:firstLineChars="200"/>
        <w:jc w:val="both"/>
        <w:rPr>
          <w:rFonts w:ascii="Calibri" w:hAnsi="Calibri" w:eastAsia="宋体" w:cstheme="minorHAnsi"/>
          <w:color w:val="000000"/>
          <w:kern w:val="24"/>
        </w:rPr>
      </w:pPr>
    </w:p>
    <w:p w14:paraId="6C3C4024">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5E758FB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5F16B22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04BD39C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6A5DE58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2F3A3C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682C6AF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0B10C2B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D0A2A9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2A119DDB">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00E1A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6B9F181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16B6C64">
      <w:pPr>
        <w:ind w:firstLine="480" w:firstLineChars="200"/>
        <w:jc w:val="both"/>
        <w:rPr>
          <w:rFonts w:ascii="Calibri" w:hAnsi="Calibri" w:eastAsia="宋体" w:cstheme="minorHAnsi"/>
          <w:color w:val="000000"/>
          <w:kern w:val="24"/>
        </w:rPr>
      </w:pPr>
    </w:p>
    <w:p w14:paraId="212A157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6686479A">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4875C2D3">
      <w:pPr>
        <w:pStyle w:val="84"/>
        <w:ind w:firstLine="480"/>
      </w:pP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F8306">
    <w:pPr>
      <w:pStyle w:val="19"/>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8C08">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3C63">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DB97">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15FE">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DD2B">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3236">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3132">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8828">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E91A">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AD46">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DFAD">
    <w:pPr>
      <w:pStyle w:val="19"/>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7D3D">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DDF6">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84FA">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8877">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8DA">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7908">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3140">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74</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0A01">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52D1">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1AD9">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5DE9">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38CE">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7F7F">
    <w:pPr>
      <w:pStyle w:val="19"/>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2319">
    <w:pPr>
      <w:pStyle w:val="19"/>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1170">
    <w:pPr>
      <w:pStyle w:val="20"/>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39E1">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2025年度中心机关物业服务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ADDF">
    <w:pPr>
      <w:pStyle w:val="20"/>
      <w:pBdr>
        <w:bottom w:val="single" w:color="auto" w:sz="4" w:space="1"/>
      </w:pBdr>
      <w:tabs>
        <w:tab w:val="clear" w:pos="4153"/>
        <w:tab w:val="clear" w:pos="8306"/>
      </w:tabs>
      <w:jc w:val="right"/>
      <w:rPr>
        <w:rFonts w:ascii="宋体" w:hAnsi="宋体" w:eastAsia="宋体"/>
      </w:rPr>
    </w:pPr>
    <w:r>
      <w:rPr>
        <w:rFonts w:ascii="宋体" w:hAnsi="宋体" w:eastAsia="宋体"/>
      </w:rPr>
      <w:t>2025年度中心机关物业服务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A5E">
    <w:pPr>
      <w:pStyle w:val="20"/>
      <w:pBdr>
        <w:bottom w:val="single" w:color="auto" w:sz="4" w:space="1"/>
      </w:pBdr>
      <w:tabs>
        <w:tab w:val="clear" w:pos="4153"/>
        <w:tab w:val="clear" w:pos="8306"/>
      </w:tabs>
      <w:jc w:val="left"/>
      <w:rPr>
        <w:rFonts w:ascii="宋体" w:hAnsi="宋体" w:eastAsia="宋体"/>
      </w:rPr>
    </w:pPr>
    <w:r>
      <w:rPr>
        <w:rFonts w:ascii="宋体" w:hAnsi="宋体" w:eastAsia="宋体"/>
      </w:rPr>
      <w:t>2025年度中心机关物业服务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47433"/>
    <w:multiLevelType w:val="singleLevel"/>
    <w:tmpl w:val="F8447433"/>
    <w:lvl w:ilvl="0" w:tentative="0">
      <w:start w:val="1"/>
      <w:numFmt w:val="decimal"/>
      <w:suff w:val="nothing"/>
      <w:lvlText w:val="（%1）"/>
      <w:lvlJc w:val="left"/>
    </w:lvl>
  </w:abstractNum>
  <w:abstractNum w:abstractNumId="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AC295F"/>
    <w:multiLevelType w:val="multilevel"/>
    <w:tmpl w:val="50AC295F"/>
    <w:lvl w:ilvl="0" w:tentative="0">
      <w:start w:val="1"/>
      <w:numFmt w:val="none"/>
      <w:pStyle w:val="101"/>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6798"/>
    <w:rsid w:val="00047455"/>
    <w:rsid w:val="00051EF3"/>
    <w:rsid w:val="00052177"/>
    <w:rsid w:val="00052F86"/>
    <w:rsid w:val="000543B4"/>
    <w:rsid w:val="00054879"/>
    <w:rsid w:val="000556F1"/>
    <w:rsid w:val="00055F81"/>
    <w:rsid w:val="0005692F"/>
    <w:rsid w:val="00061066"/>
    <w:rsid w:val="00061A13"/>
    <w:rsid w:val="0006226C"/>
    <w:rsid w:val="00062828"/>
    <w:rsid w:val="00062D84"/>
    <w:rsid w:val="0006382F"/>
    <w:rsid w:val="00063EEF"/>
    <w:rsid w:val="00064071"/>
    <w:rsid w:val="00064386"/>
    <w:rsid w:val="0006504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97D3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6041"/>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471E3"/>
    <w:rsid w:val="0015058F"/>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81F"/>
    <w:rsid w:val="00171A61"/>
    <w:rsid w:val="00173749"/>
    <w:rsid w:val="00173A35"/>
    <w:rsid w:val="0017410F"/>
    <w:rsid w:val="00174285"/>
    <w:rsid w:val="00175756"/>
    <w:rsid w:val="00176CF3"/>
    <w:rsid w:val="00176F0E"/>
    <w:rsid w:val="00182190"/>
    <w:rsid w:val="00182C33"/>
    <w:rsid w:val="0018316D"/>
    <w:rsid w:val="00183374"/>
    <w:rsid w:val="00184A1D"/>
    <w:rsid w:val="00184DE0"/>
    <w:rsid w:val="00184F72"/>
    <w:rsid w:val="00187440"/>
    <w:rsid w:val="00187846"/>
    <w:rsid w:val="00191693"/>
    <w:rsid w:val="00191834"/>
    <w:rsid w:val="00191A7E"/>
    <w:rsid w:val="00191DD9"/>
    <w:rsid w:val="001925F4"/>
    <w:rsid w:val="00193B5F"/>
    <w:rsid w:val="001947E8"/>
    <w:rsid w:val="00194890"/>
    <w:rsid w:val="001951EA"/>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6C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0782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BB3"/>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848"/>
    <w:rsid w:val="00407BBB"/>
    <w:rsid w:val="004106B2"/>
    <w:rsid w:val="00411C65"/>
    <w:rsid w:val="00412CBC"/>
    <w:rsid w:val="004132EF"/>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204B"/>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981"/>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1451"/>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4EF9"/>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5AC2"/>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3D97"/>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03F"/>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1210"/>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3A4B"/>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5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3C1"/>
    <w:rsid w:val="0076550E"/>
    <w:rsid w:val="00766E1C"/>
    <w:rsid w:val="00767121"/>
    <w:rsid w:val="00770983"/>
    <w:rsid w:val="00770A23"/>
    <w:rsid w:val="00770D89"/>
    <w:rsid w:val="00771FBD"/>
    <w:rsid w:val="007722F7"/>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8F0"/>
    <w:rsid w:val="007D39B9"/>
    <w:rsid w:val="007D4745"/>
    <w:rsid w:val="007D5763"/>
    <w:rsid w:val="007D596E"/>
    <w:rsid w:val="007D6288"/>
    <w:rsid w:val="007D7193"/>
    <w:rsid w:val="007D7958"/>
    <w:rsid w:val="007D7D00"/>
    <w:rsid w:val="007E1576"/>
    <w:rsid w:val="007E1F6F"/>
    <w:rsid w:val="007E2856"/>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76B4B"/>
    <w:rsid w:val="00880D1C"/>
    <w:rsid w:val="00880EB6"/>
    <w:rsid w:val="00881A7D"/>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07074"/>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469E"/>
    <w:rsid w:val="009453D0"/>
    <w:rsid w:val="00945B0A"/>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37A"/>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073"/>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0B6E"/>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0A6"/>
    <w:rsid w:val="00AA725C"/>
    <w:rsid w:val="00AB01B6"/>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69F5"/>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02"/>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3C8"/>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C00"/>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43F4"/>
    <w:rsid w:val="00C9529D"/>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3F50"/>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057"/>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105"/>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B71FD"/>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317"/>
    <w:rsid w:val="00E41594"/>
    <w:rsid w:val="00E4296F"/>
    <w:rsid w:val="00E44D88"/>
    <w:rsid w:val="00E46034"/>
    <w:rsid w:val="00E46A08"/>
    <w:rsid w:val="00E47BE1"/>
    <w:rsid w:val="00E518FB"/>
    <w:rsid w:val="00E51911"/>
    <w:rsid w:val="00E5617F"/>
    <w:rsid w:val="00E56909"/>
    <w:rsid w:val="00E56FE8"/>
    <w:rsid w:val="00E57C5E"/>
    <w:rsid w:val="00E57FE6"/>
    <w:rsid w:val="00E6057C"/>
    <w:rsid w:val="00E607A7"/>
    <w:rsid w:val="00E60C5E"/>
    <w:rsid w:val="00E637C3"/>
    <w:rsid w:val="00E63BD1"/>
    <w:rsid w:val="00E6435C"/>
    <w:rsid w:val="00E6467D"/>
    <w:rsid w:val="00E6495A"/>
    <w:rsid w:val="00E65342"/>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289"/>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8EC"/>
    <w:rsid w:val="00F87CA2"/>
    <w:rsid w:val="00F87FF7"/>
    <w:rsid w:val="00F90C6D"/>
    <w:rsid w:val="00F911A7"/>
    <w:rsid w:val="00F91976"/>
    <w:rsid w:val="00F92C8D"/>
    <w:rsid w:val="00F92D86"/>
    <w:rsid w:val="00F931AD"/>
    <w:rsid w:val="00F94F70"/>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1D8B3561"/>
    <w:rsid w:val="37C4052A"/>
    <w:rsid w:val="38822E40"/>
    <w:rsid w:val="3A66484B"/>
    <w:rsid w:val="3D3D6F88"/>
    <w:rsid w:val="6434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9"/>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60"/>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1"/>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2"/>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3"/>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4"/>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5"/>
    <w:semiHidden/>
    <w:unhideWhenUsed/>
    <w:qFormat/>
    <w:uiPriority w:val="9"/>
    <w:pPr>
      <w:numPr>
        <w:ilvl w:val="6"/>
        <w:numId w:val="1"/>
      </w:numPr>
      <w:spacing w:before="240" w:after="60"/>
      <w:outlineLvl w:val="6"/>
    </w:pPr>
  </w:style>
  <w:style w:type="paragraph" w:styleId="9">
    <w:name w:val="heading 8"/>
    <w:basedOn w:val="1"/>
    <w:next w:val="1"/>
    <w:link w:val="66"/>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7"/>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91"/>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3"/>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link w:val="103"/>
    <w:qFormat/>
    <w:uiPriority w:val="0"/>
    <w:pPr>
      <w:widowControl w:val="0"/>
      <w:jc w:val="both"/>
    </w:pPr>
    <w:rPr>
      <w:rFonts w:ascii="Calibri" w:hAnsi="Calibri" w:eastAsia="宋体"/>
      <w:kern w:val="2"/>
      <w:sz w:val="21"/>
      <w:szCs w:val="22"/>
    </w:rPr>
  </w:style>
  <w:style w:type="paragraph" w:styleId="15">
    <w:name w:val="Block Text"/>
    <w:basedOn w:val="1"/>
    <w:qFormat/>
    <w:uiPriority w:val="0"/>
    <w:pPr>
      <w:spacing w:line="400" w:lineRule="exact"/>
      <w:ind w:left="2" w:right="25" w:rightChars="12" w:hanging="2"/>
      <w:jc w:val="both"/>
    </w:pPr>
    <w:rPr>
      <w:rFonts w:ascii="楷体_GB2312" w:hAnsi="宋体" w:eastAsia="楷体_GB2312" w:cs="Calibri Light"/>
      <w:kern w:val="2"/>
      <w:sz w:val="28"/>
    </w:rPr>
  </w:style>
  <w:style w:type="paragraph" w:styleId="16">
    <w:name w:val="Plain Text"/>
    <w:basedOn w:val="1"/>
    <w:link w:val="95"/>
    <w:unhideWhenUsed/>
    <w:qFormat/>
    <w:uiPriority w:val="0"/>
    <w:rPr>
      <w:rFonts w:ascii="宋体" w:hAnsi="Courier New" w:eastAsia="宋体" w:cs="Courier New"/>
      <w:sz w:val="21"/>
      <w:szCs w:val="21"/>
    </w:rPr>
  </w:style>
  <w:style w:type="paragraph" w:styleId="17">
    <w:name w:val="Date"/>
    <w:basedOn w:val="1"/>
    <w:next w:val="1"/>
    <w:link w:val="56"/>
    <w:semiHidden/>
    <w:unhideWhenUsed/>
    <w:qFormat/>
    <w:uiPriority w:val="99"/>
    <w:pPr>
      <w:ind w:left="100" w:leftChars="2500"/>
    </w:pPr>
  </w:style>
  <w:style w:type="paragraph" w:styleId="18">
    <w:name w:val="Balloon Text"/>
    <w:basedOn w:val="1"/>
    <w:link w:val="82"/>
    <w:semiHidden/>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spacing w:line="240" w:lineRule="atLeast"/>
    </w:pPr>
    <w:rPr>
      <w:sz w:val="18"/>
      <w:szCs w:val="18"/>
    </w:rPr>
  </w:style>
  <w:style w:type="paragraph" w:styleId="20">
    <w:name w:val="header"/>
    <w:basedOn w:val="1"/>
    <w:link w:val="5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69"/>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0"/>
  </w:style>
  <w:style w:type="paragraph" w:styleId="24">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3"/>
    <w:next w:val="13"/>
    <w:link w:val="90"/>
    <w:semiHidden/>
    <w:unhideWhenUsed/>
    <w:qFormat/>
    <w:uiPriority w:val="99"/>
    <w:rPr>
      <w:b/>
      <w:bCs/>
    </w:rPr>
  </w:style>
  <w:style w:type="paragraph" w:styleId="26">
    <w:name w:val="Body Text First Indent"/>
    <w:basedOn w:val="14"/>
    <w:link w:val="104"/>
    <w:unhideWhenUsed/>
    <w:qFormat/>
    <w:uiPriority w:val="0"/>
    <w:pPr>
      <w:spacing w:after="120"/>
      <w:ind w:firstLine="420" w:firstLineChars="100"/>
    </w:pPr>
    <w:rPr>
      <w:rFonts w:asciiTheme="minorHAnsi" w:hAnsiTheme="minorHAnsi" w:eastAsiaTheme="minorEastAsia" w:cstheme="minorBidi"/>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Times New Roman" w:hAnsi="Times New Roman" w:eastAsia="宋体" w:cs="Times New Roman"/>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rFonts w:asciiTheme="minorHAnsi" w:hAnsiTheme="minorHAnsi"/>
      <w:b/>
      <w:i/>
      <w:iCs/>
    </w:rPr>
  </w:style>
  <w:style w:type="character" w:styleId="34">
    <w:name w:val="Hyperlink"/>
    <w:basedOn w:val="29"/>
    <w:unhideWhenUsed/>
    <w:qFormat/>
    <w:uiPriority w:val="99"/>
    <w:rPr>
      <w:color w:val="0563C1" w:themeColor="hyperlink"/>
      <w:u w:val="single"/>
      <w14:textFill>
        <w14:solidFill>
          <w14:schemeClr w14:val="hlink"/>
        </w14:solidFill>
      </w14:textFill>
    </w:rPr>
  </w:style>
  <w:style w:type="character" w:styleId="35">
    <w:name w:val="annotation reference"/>
    <w:basedOn w:val="29"/>
    <w:semiHidden/>
    <w:unhideWhenUsed/>
    <w:qFormat/>
    <w:uiPriority w:val="99"/>
    <w:rPr>
      <w:sz w:val="21"/>
      <w:szCs w:val="21"/>
    </w:rPr>
  </w:style>
  <w:style w:type="paragraph" w:customStyle="1" w:styleId="36">
    <w:name w:val="※封面大标题"/>
    <w:basedOn w:val="1"/>
    <w:next w:val="1"/>
    <w:qFormat/>
    <w:uiPriority w:val="0"/>
    <w:pPr>
      <w:jc w:val="center"/>
    </w:pPr>
    <w:rPr>
      <w:rFonts w:ascii="华文中宋" w:hAnsi="华文中宋" w:eastAsia="华文中宋"/>
      <w:sz w:val="96"/>
      <w:szCs w:val="96"/>
    </w:rPr>
  </w:style>
  <w:style w:type="paragraph" w:customStyle="1" w:styleId="37">
    <w:name w:val="※封面题颌"/>
    <w:basedOn w:val="1"/>
    <w:next w:val="1"/>
    <w:qFormat/>
    <w:uiPriority w:val="0"/>
    <w:pPr>
      <w:jc w:val="center"/>
    </w:pPr>
    <w:rPr>
      <w:rFonts w:ascii="Calibri Light" w:hAnsi="Calibri Light" w:eastAsia="华文仿宋"/>
      <w:sz w:val="36"/>
      <w:szCs w:val="36"/>
    </w:rPr>
  </w:style>
  <w:style w:type="paragraph" w:customStyle="1" w:styleId="38">
    <w:name w:val="※封面题眉"/>
    <w:basedOn w:val="1"/>
    <w:next w:val="36"/>
    <w:qFormat/>
    <w:uiPriority w:val="0"/>
    <w:pPr>
      <w:jc w:val="center"/>
    </w:pPr>
    <w:rPr>
      <w:rFonts w:ascii="华文仿宋" w:hAnsi="华文仿宋" w:eastAsia="华文仿宋"/>
      <w:sz w:val="52"/>
      <w:szCs w:val="28"/>
    </w:rPr>
  </w:style>
  <w:style w:type="paragraph" w:customStyle="1" w:styleId="39">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1">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2">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3">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4">
    <w:name w:val="※小标题 一"/>
    <w:basedOn w:val="43"/>
    <w:next w:val="43"/>
    <w:qFormat/>
    <w:uiPriority w:val="0"/>
    <w:pPr>
      <w:spacing w:before="120" w:line="240" w:lineRule="auto"/>
      <w:outlineLvl w:val="2"/>
    </w:pPr>
    <w:rPr>
      <w:b/>
      <w:color w:val="203864" w:themeColor="accent5" w:themeShade="80"/>
      <w:sz w:val="32"/>
    </w:rPr>
  </w:style>
  <w:style w:type="paragraph" w:customStyle="1" w:styleId="45">
    <w:name w:val="※小标题（1）"/>
    <w:basedOn w:val="1"/>
    <w:next w:val="43"/>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6">
    <w:name w:val="※小标题（一）"/>
    <w:basedOn w:val="1"/>
    <w:next w:val="43"/>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7">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8">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9">
    <w:name w:val="※页眉"/>
    <w:basedOn w:val="43"/>
    <w:qFormat/>
    <w:uiPriority w:val="0"/>
    <w:pPr>
      <w:pBdr>
        <w:bottom w:val="single" w:color="auto" w:sz="4" w:space="1"/>
      </w:pBdr>
      <w:spacing w:line="240" w:lineRule="atLeast"/>
      <w:jc w:val="right"/>
    </w:pPr>
    <w:rPr>
      <w:rFonts w:ascii="宋体" w:hAnsi="宋体" w:eastAsia="宋体"/>
      <w:sz w:val="18"/>
    </w:rPr>
  </w:style>
  <w:style w:type="paragraph" w:customStyle="1" w:styleId="50">
    <w:name w:val="※章节标题（第X章）"/>
    <w:basedOn w:val="1"/>
    <w:qFormat/>
    <w:uiPriority w:val="0"/>
    <w:pPr>
      <w:jc w:val="center"/>
      <w:outlineLvl w:val="0"/>
    </w:pPr>
    <w:rPr>
      <w:rFonts w:ascii="Calibri Light" w:hAnsi="Calibri Light" w:eastAsia="黑体"/>
      <w:sz w:val="36"/>
      <w:szCs w:val="28"/>
    </w:rPr>
  </w:style>
  <w:style w:type="paragraph" w:customStyle="1" w:styleId="51">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2">
    <w:name w:val="※章节标题（第Z部分分项）"/>
    <w:basedOn w:val="51"/>
    <w:qFormat/>
    <w:uiPriority w:val="0"/>
    <w:pPr>
      <w:outlineLvl w:val="2"/>
    </w:pPr>
  </w:style>
  <w:style w:type="paragraph" w:customStyle="1" w:styleId="5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4">
    <w:name w:val="※正文（缩进2）"/>
    <w:basedOn w:val="43"/>
    <w:qFormat/>
    <w:uiPriority w:val="0"/>
    <w:pPr>
      <w:ind w:firstLine="200" w:firstLineChars="200"/>
    </w:pPr>
  </w:style>
  <w:style w:type="paragraph" w:customStyle="1" w:styleId="55">
    <w:name w:val="※正文（缩进4）"/>
    <w:basedOn w:val="43"/>
    <w:qFormat/>
    <w:uiPriority w:val="0"/>
    <w:pPr>
      <w:ind w:firstLine="400" w:firstLineChars="400"/>
    </w:pPr>
  </w:style>
  <w:style w:type="character" w:customStyle="1" w:styleId="56">
    <w:name w:val="日期 Char"/>
    <w:basedOn w:val="29"/>
    <w:link w:val="17"/>
    <w:semiHidden/>
    <w:qFormat/>
    <w:uiPriority w:val="99"/>
    <w:rPr>
      <w:rFonts w:ascii="华文仿宋" w:hAnsi="华文仿宋" w:eastAsia="华文仿宋"/>
      <w:sz w:val="28"/>
      <w:szCs w:val="28"/>
    </w:rPr>
  </w:style>
  <w:style w:type="character" w:customStyle="1" w:styleId="57">
    <w:name w:val="页眉 Char"/>
    <w:basedOn w:val="29"/>
    <w:link w:val="20"/>
    <w:qFormat/>
    <w:uiPriority w:val="0"/>
    <w:rPr>
      <w:rFonts w:ascii="华文仿宋" w:hAnsi="华文仿宋" w:eastAsia="华文仿宋"/>
      <w:sz w:val="18"/>
      <w:szCs w:val="18"/>
    </w:rPr>
  </w:style>
  <w:style w:type="character" w:customStyle="1" w:styleId="58">
    <w:name w:val="页脚 Char"/>
    <w:basedOn w:val="29"/>
    <w:link w:val="19"/>
    <w:qFormat/>
    <w:uiPriority w:val="99"/>
    <w:rPr>
      <w:rFonts w:ascii="华文仿宋" w:hAnsi="华文仿宋" w:eastAsia="华文仿宋"/>
      <w:sz w:val="18"/>
      <w:szCs w:val="18"/>
    </w:rPr>
  </w:style>
  <w:style w:type="character" w:customStyle="1" w:styleId="59">
    <w:name w:val="标题 1 Char"/>
    <w:basedOn w:val="29"/>
    <w:link w:val="2"/>
    <w:qFormat/>
    <w:uiPriority w:val="9"/>
    <w:rPr>
      <w:rFonts w:ascii="Calibri" w:hAnsi="Calibri" w:eastAsia="黑体"/>
      <w:bCs/>
      <w:kern w:val="36"/>
      <w:sz w:val="32"/>
      <w:szCs w:val="32"/>
    </w:rPr>
  </w:style>
  <w:style w:type="character" w:customStyle="1" w:styleId="60">
    <w:name w:val="标题 2 Char"/>
    <w:basedOn w:val="29"/>
    <w:link w:val="3"/>
    <w:qFormat/>
    <w:uiPriority w:val="9"/>
    <w:rPr>
      <w:rFonts w:ascii="Calibri" w:hAnsi="Calibri" w:eastAsia="黑体" w:cstheme="majorBidi"/>
      <w:bCs/>
      <w:iCs/>
      <w:kern w:val="32"/>
      <w:sz w:val="28"/>
      <w:szCs w:val="28"/>
    </w:rPr>
  </w:style>
  <w:style w:type="character" w:customStyle="1" w:styleId="61">
    <w:name w:val="标题 3 Char"/>
    <w:basedOn w:val="29"/>
    <w:link w:val="4"/>
    <w:qFormat/>
    <w:uiPriority w:val="9"/>
    <w:rPr>
      <w:rFonts w:ascii="Calibri Light" w:hAnsi="Calibri Light" w:eastAsia="宋体"/>
      <w:b/>
      <w:bCs/>
      <w:kern w:val="30"/>
      <w:sz w:val="24"/>
      <w:szCs w:val="26"/>
    </w:rPr>
  </w:style>
  <w:style w:type="character" w:customStyle="1" w:styleId="62">
    <w:name w:val="标题 4 Char"/>
    <w:basedOn w:val="29"/>
    <w:link w:val="5"/>
    <w:semiHidden/>
    <w:qFormat/>
    <w:uiPriority w:val="9"/>
    <w:rPr>
      <w:rFonts w:cstheme="majorBidi"/>
      <w:b/>
      <w:bCs/>
      <w:sz w:val="28"/>
      <w:szCs w:val="28"/>
    </w:rPr>
  </w:style>
  <w:style w:type="character" w:customStyle="1" w:styleId="63">
    <w:name w:val="标题 5 Char"/>
    <w:basedOn w:val="29"/>
    <w:link w:val="6"/>
    <w:semiHidden/>
    <w:qFormat/>
    <w:uiPriority w:val="9"/>
    <w:rPr>
      <w:b/>
      <w:bCs/>
      <w:i/>
      <w:iCs/>
      <w:sz w:val="26"/>
      <w:szCs w:val="26"/>
    </w:rPr>
  </w:style>
  <w:style w:type="character" w:customStyle="1" w:styleId="64">
    <w:name w:val="标题 6 Char"/>
    <w:basedOn w:val="29"/>
    <w:link w:val="7"/>
    <w:semiHidden/>
    <w:qFormat/>
    <w:uiPriority w:val="9"/>
    <w:rPr>
      <w:rFonts w:cstheme="majorBidi"/>
      <w:b/>
      <w:bCs/>
    </w:rPr>
  </w:style>
  <w:style w:type="character" w:customStyle="1" w:styleId="65">
    <w:name w:val="标题 7 Char"/>
    <w:basedOn w:val="29"/>
    <w:link w:val="8"/>
    <w:semiHidden/>
    <w:qFormat/>
    <w:uiPriority w:val="9"/>
    <w:rPr>
      <w:sz w:val="24"/>
      <w:szCs w:val="24"/>
    </w:rPr>
  </w:style>
  <w:style w:type="character" w:customStyle="1" w:styleId="66">
    <w:name w:val="标题 8 Char"/>
    <w:basedOn w:val="29"/>
    <w:link w:val="9"/>
    <w:semiHidden/>
    <w:qFormat/>
    <w:uiPriority w:val="9"/>
    <w:rPr>
      <w:rFonts w:cstheme="majorBidi"/>
      <w:i/>
      <w:iCs/>
      <w:sz w:val="24"/>
      <w:szCs w:val="24"/>
    </w:rPr>
  </w:style>
  <w:style w:type="character" w:customStyle="1" w:styleId="67">
    <w:name w:val="标题 9 Char"/>
    <w:basedOn w:val="29"/>
    <w:link w:val="10"/>
    <w:semiHidden/>
    <w:qFormat/>
    <w:uiPriority w:val="9"/>
    <w:rPr>
      <w:rFonts w:asciiTheme="majorHAnsi" w:hAnsiTheme="majorHAnsi" w:eastAsiaTheme="majorEastAsia" w:cstheme="majorBidi"/>
    </w:rPr>
  </w:style>
  <w:style w:type="character" w:customStyle="1" w:styleId="68">
    <w:name w:val="标题 Char"/>
    <w:basedOn w:val="29"/>
    <w:link w:val="24"/>
    <w:qFormat/>
    <w:uiPriority w:val="10"/>
    <w:rPr>
      <w:rFonts w:asciiTheme="majorHAnsi" w:hAnsiTheme="majorHAnsi" w:eastAsiaTheme="majorEastAsia" w:cstheme="majorBidi"/>
      <w:b/>
      <w:bCs/>
      <w:kern w:val="28"/>
      <w:sz w:val="32"/>
      <w:szCs w:val="32"/>
    </w:rPr>
  </w:style>
  <w:style w:type="character" w:customStyle="1" w:styleId="69">
    <w:name w:val="副标题 Char"/>
    <w:basedOn w:val="29"/>
    <w:link w:val="22"/>
    <w:qFormat/>
    <w:uiPriority w:val="11"/>
    <w:rPr>
      <w:rFonts w:ascii="Calibri" w:hAnsi="Calibri" w:eastAsia="黑体" w:cstheme="majorBidi"/>
      <w:sz w:val="32"/>
      <w:szCs w:val="24"/>
    </w:rPr>
  </w:style>
  <w:style w:type="paragraph" w:styleId="70">
    <w:name w:val="No Spacing"/>
    <w:basedOn w:val="1"/>
    <w:qFormat/>
    <w:uiPriority w:val="1"/>
    <w:rPr>
      <w:szCs w:val="32"/>
    </w:rPr>
  </w:style>
  <w:style w:type="paragraph" w:styleId="71">
    <w:name w:val="List Paragraph"/>
    <w:basedOn w:val="1"/>
    <w:qFormat/>
    <w:uiPriority w:val="0"/>
    <w:pPr>
      <w:ind w:left="720"/>
      <w:contextualSpacing/>
    </w:pPr>
  </w:style>
  <w:style w:type="paragraph" w:styleId="72">
    <w:name w:val="Quote"/>
    <w:basedOn w:val="1"/>
    <w:next w:val="1"/>
    <w:link w:val="73"/>
    <w:qFormat/>
    <w:uiPriority w:val="29"/>
    <w:rPr>
      <w:i/>
    </w:rPr>
  </w:style>
  <w:style w:type="character" w:customStyle="1" w:styleId="73">
    <w:name w:val="引用 Char"/>
    <w:basedOn w:val="29"/>
    <w:link w:val="72"/>
    <w:qFormat/>
    <w:uiPriority w:val="29"/>
    <w:rPr>
      <w:i/>
      <w:sz w:val="24"/>
      <w:szCs w:val="24"/>
    </w:rPr>
  </w:style>
  <w:style w:type="paragraph" w:styleId="74">
    <w:name w:val="Intense Quote"/>
    <w:basedOn w:val="1"/>
    <w:next w:val="1"/>
    <w:link w:val="75"/>
    <w:qFormat/>
    <w:uiPriority w:val="30"/>
    <w:pPr>
      <w:ind w:left="720" w:right="720"/>
    </w:pPr>
    <w:rPr>
      <w:b/>
      <w:i/>
      <w:szCs w:val="22"/>
    </w:rPr>
  </w:style>
  <w:style w:type="character" w:customStyle="1" w:styleId="75">
    <w:name w:val="明显引用 Char"/>
    <w:basedOn w:val="29"/>
    <w:link w:val="74"/>
    <w:qFormat/>
    <w:uiPriority w:val="30"/>
    <w:rPr>
      <w:b/>
      <w:i/>
      <w:sz w:val="24"/>
    </w:rPr>
  </w:style>
  <w:style w:type="character" w:customStyle="1" w:styleId="76">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7">
    <w:name w:val="明显强调1"/>
    <w:basedOn w:val="29"/>
    <w:qFormat/>
    <w:uiPriority w:val="21"/>
    <w:rPr>
      <w:b/>
      <w:i/>
      <w:sz w:val="24"/>
      <w:szCs w:val="24"/>
      <w:u w:val="single"/>
    </w:rPr>
  </w:style>
  <w:style w:type="character" w:customStyle="1" w:styleId="78">
    <w:name w:val="不明显参考1"/>
    <w:basedOn w:val="29"/>
    <w:qFormat/>
    <w:uiPriority w:val="31"/>
    <w:rPr>
      <w:sz w:val="24"/>
      <w:szCs w:val="24"/>
      <w:u w:val="single"/>
    </w:rPr>
  </w:style>
  <w:style w:type="character" w:customStyle="1" w:styleId="79">
    <w:name w:val="明显参考1"/>
    <w:basedOn w:val="29"/>
    <w:qFormat/>
    <w:uiPriority w:val="32"/>
    <w:rPr>
      <w:b/>
      <w:sz w:val="24"/>
      <w:u w:val="single"/>
    </w:rPr>
  </w:style>
  <w:style w:type="character" w:customStyle="1" w:styleId="80">
    <w:name w:val="书籍标题1"/>
    <w:basedOn w:val="29"/>
    <w:qFormat/>
    <w:uiPriority w:val="33"/>
    <w:rPr>
      <w:rFonts w:asciiTheme="majorHAnsi" w:hAnsiTheme="majorHAnsi" w:eastAsiaTheme="majorEastAsia"/>
      <w:b/>
      <w:i/>
      <w:sz w:val="24"/>
      <w:szCs w:val="24"/>
    </w:rPr>
  </w:style>
  <w:style w:type="paragraph" w:customStyle="1" w:styleId="81">
    <w:name w:val="TOC 标题1"/>
    <w:basedOn w:val="2"/>
    <w:next w:val="1"/>
    <w:semiHidden/>
    <w:unhideWhenUsed/>
    <w:qFormat/>
    <w:uiPriority w:val="39"/>
    <w:pPr>
      <w:outlineLvl w:val="9"/>
    </w:pPr>
  </w:style>
  <w:style w:type="character" w:customStyle="1" w:styleId="82">
    <w:name w:val="批注框文本 Char"/>
    <w:basedOn w:val="29"/>
    <w:link w:val="18"/>
    <w:semiHidden/>
    <w:qFormat/>
    <w:uiPriority w:val="99"/>
    <w:rPr>
      <w:sz w:val="18"/>
      <w:szCs w:val="18"/>
    </w:rPr>
  </w:style>
  <w:style w:type="character" w:customStyle="1" w:styleId="83">
    <w:name w:val="批注文字 Char"/>
    <w:basedOn w:val="29"/>
    <w:link w:val="13"/>
    <w:qFormat/>
    <w:uiPriority w:val="99"/>
    <w:rPr>
      <w:rFonts w:ascii="Calibri Light" w:hAnsi="Calibri Light" w:eastAsia="华文仿宋" w:cs="Calibri Light"/>
      <w:kern w:val="2"/>
      <w:sz w:val="28"/>
      <w:szCs w:val="28"/>
    </w:rPr>
  </w:style>
  <w:style w:type="paragraph" w:customStyle="1" w:styleId="84">
    <w:name w:val="@正文"/>
    <w:basedOn w:val="43"/>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5">
    <w:name w:val="@一级小标题"/>
    <w:basedOn w:val="1"/>
    <w:next w:val="84"/>
    <w:qFormat/>
    <w:uiPriority w:val="0"/>
    <w:pPr>
      <w:keepNext/>
      <w:spacing w:before="120" w:after="60"/>
      <w:outlineLvl w:val="2"/>
    </w:pPr>
    <w:rPr>
      <w:rFonts w:ascii="Calibri" w:hAnsi="Calibri" w:eastAsia="黑体"/>
      <w:kern w:val="28"/>
      <w:sz w:val="28"/>
    </w:rPr>
  </w:style>
  <w:style w:type="paragraph" w:customStyle="1" w:styleId="86">
    <w:name w:val="@标题"/>
    <w:basedOn w:val="1"/>
    <w:next w:val="84"/>
    <w:qFormat/>
    <w:uiPriority w:val="0"/>
    <w:pPr>
      <w:keepNext/>
      <w:spacing w:before="50" w:beforeLines="50" w:after="50" w:afterLines="50"/>
      <w:jc w:val="center"/>
      <w:outlineLvl w:val="1"/>
    </w:pPr>
    <w:rPr>
      <w:rFonts w:ascii="Calibri" w:hAnsi="Calibri" w:eastAsia="黑体"/>
      <w:kern w:val="32"/>
      <w:sz w:val="32"/>
    </w:rPr>
  </w:style>
  <w:style w:type="table" w:customStyle="1" w:styleId="87">
    <w:name w:val="网格型1"/>
    <w:basedOn w:val="27"/>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页眉 Char1"/>
    <w:basedOn w:val="29"/>
    <w:semiHidden/>
    <w:qFormat/>
    <w:uiPriority w:val="99"/>
    <w:rPr>
      <w:rFonts w:cs="Calibri Light"/>
      <w:sz w:val="18"/>
      <w:szCs w:val="18"/>
    </w:rPr>
  </w:style>
  <w:style w:type="character" w:customStyle="1" w:styleId="89">
    <w:name w:val="页脚 Char1"/>
    <w:basedOn w:val="29"/>
    <w:semiHidden/>
    <w:qFormat/>
    <w:uiPriority w:val="99"/>
    <w:rPr>
      <w:rFonts w:cs="Calibri Light"/>
      <w:sz w:val="18"/>
      <w:szCs w:val="18"/>
    </w:rPr>
  </w:style>
  <w:style w:type="character" w:customStyle="1" w:styleId="90">
    <w:name w:val="批注主题 Char"/>
    <w:basedOn w:val="83"/>
    <w:link w:val="25"/>
    <w:semiHidden/>
    <w:qFormat/>
    <w:uiPriority w:val="99"/>
    <w:rPr>
      <w:rFonts w:ascii="Calibri Light" w:hAnsi="Calibri Light" w:eastAsia="华文仿宋" w:cs="Calibri Light"/>
      <w:b/>
      <w:bCs/>
      <w:kern w:val="2"/>
      <w:sz w:val="28"/>
      <w:szCs w:val="28"/>
    </w:rPr>
  </w:style>
  <w:style w:type="character" w:customStyle="1" w:styleId="91">
    <w:name w:val="文档结构图 Char"/>
    <w:basedOn w:val="29"/>
    <w:link w:val="12"/>
    <w:semiHidden/>
    <w:qFormat/>
    <w:uiPriority w:val="99"/>
    <w:rPr>
      <w:rFonts w:ascii="宋体" w:hAnsi="Calibri Light" w:eastAsia="宋体" w:cs="Calibri Light"/>
      <w:kern w:val="2"/>
      <w:sz w:val="18"/>
      <w:szCs w:val="18"/>
    </w:rPr>
  </w:style>
  <w:style w:type="character" w:styleId="92">
    <w:name w:val="Placeholder Text"/>
    <w:basedOn w:val="29"/>
    <w:semiHidden/>
    <w:qFormat/>
    <w:uiPriority w:val="99"/>
    <w:rPr>
      <w:color w:val="808080"/>
    </w:rPr>
  </w:style>
  <w:style w:type="table" w:customStyle="1" w:styleId="93">
    <w:name w:val="网格型11"/>
    <w:basedOn w:val="27"/>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2"/>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纯文本 Char"/>
    <w:basedOn w:val="29"/>
    <w:link w:val="16"/>
    <w:qFormat/>
    <w:uiPriority w:val="0"/>
    <w:rPr>
      <w:rFonts w:ascii="宋体" w:hAnsi="Courier New" w:eastAsia="宋体" w:cs="Courier New"/>
      <w:sz w:val="21"/>
      <w:szCs w:val="21"/>
    </w:rPr>
  </w:style>
  <w:style w:type="character" w:customStyle="1" w:styleId="96">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7">
    <w:name w:val="明显强调11"/>
    <w:basedOn w:val="29"/>
    <w:qFormat/>
    <w:uiPriority w:val="21"/>
    <w:rPr>
      <w:b/>
      <w:i/>
      <w:sz w:val="24"/>
      <w:szCs w:val="24"/>
      <w:u w:val="single"/>
    </w:rPr>
  </w:style>
  <w:style w:type="character" w:customStyle="1" w:styleId="98">
    <w:name w:val="不明显参考11"/>
    <w:basedOn w:val="29"/>
    <w:qFormat/>
    <w:uiPriority w:val="31"/>
    <w:rPr>
      <w:sz w:val="24"/>
      <w:szCs w:val="24"/>
      <w:u w:val="single"/>
    </w:rPr>
  </w:style>
  <w:style w:type="character" w:customStyle="1" w:styleId="99">
    <w:name w:val="明显参考11"/>
    <w:basedOn w:val="29"/>
    <w:qFormat/>
    <w:uiPriority w:val="32"/>
    <w:rPr>
      <w:b/>
      <w:sz w:val="24"/>
      <w:u w:val="single"/>
    </w:rPr>
  </w:style>
  <w:style w:type="character" w:customStyle="1" w:styleId="100">
    <w:name w:val="书籍标题11"/>
    <w:basedOn w:val="29"/>
    <w:qFormat/>
    <w:uiPriority w:val="33"/>
    <w:rPr>
      <w:rFonts w:asciiTheme="majorHAnsi" w:hAnsiTheme="majorHAnsi" w:eastAsiaTheme="majorEastAsia"/>
      <w:b/>
      <w:i/>
      <w:sz w:val="24"/>
      <w:szCs w:val="24"/>
    </w:rPr>
  </w:style>
  <w:style w:type="paragraph" w:customStyle="1" w:styleId="101">
    <w:name w:val="TOC 标题11"/>
    <w:basedOn w:val="2"/>
    <w:next w:val="1"/>
    <w:semiHidden/>
    <w:unhideWhenUsed/>
    <w:qFormat/>
    <w:uiPriority w:val="39"/>
    <w:pPr>
      <w:numPr>
        <w:numId w:val="2"/>
      </w:numPr>
      <w:outlineLvl w:val="9"/>
    </w:pPr>
  </w:style>
  <w:style w:type="paragraph" w:customStyle="1" w:styleId="102">
    <w:name w:val="Other|1"/>
    <w:basedOn w:val="1"/>
    <w:qFormat/>
    <w:uiPriority w:val="0"/>
    <w:pPr>
      <w:widowControl w:val="0"/>
      <w:spacing w:line="384" w:lineRule="auto"/>
      <w:ind w:firstLine="400"/>
      <w:jc w:val="both"/>
    </w:pPr>
    <w:rPr>
      <w:rFonts w:ascii="宋体" w:hAnsi="宋体" w:eastAsia="宋体" w:cs="宋体"/>
      <w:kern w:val="2"/>
      <w:sz w:val="28"/>
      <w:szCs w:val="28"/>
      <w:lang w:val="zh-TW" w:eastAsia="zh-TW" w:bidi="zh-TW"/>
    </w:rPr>
  </w:style>
  <w:style w:type="character" w:customStyle="1" w:styleId="103">
    <w:name w:val="正文文本 Char"/>
    <w:basedOn w:val="29"/>
    <w:link w:val="14"/>
    <w:qFormat/>
    <w:uiPriority w:val="1"/>
    <w:rPr>
      <w:rFonts w:ascii="Calibri" w:hAnsi="Calibri" w:eastAsia="宋体"/>
      <w:kern w:val="2"/>
      <w:sz w:val="21"/>
    </w:rPr>
  </w:style>
  <w:style w:type="character" w:customStyle="1" w:styleId="104">
    <w:name w:val="正文首行缩进 Char"/>
    <w:basedOn w:val="103"/>
    <w:link w:val="26"/>
    <w:qFormat/>
    <w:uiPriority w:val="99"/>
    <w:rPr>
      <w:rFonts w:ascii="Calibri" w:hAnsi="Calibri" w:eastAsia="宋体"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1347-EA3E-41F3-BAD9-8C2407CE7A1C}">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80</Pages>
  <Words>48</Words>
  <Characters>66</Characters>
  <Lines>372</Lines>
  <Paragraphs>104</Paragraphs>
  <TotalTime>255</TotalTime>
  <ScaleCrop>false</ScaleCrop>
  <LinksUpToDate>false</LinksUpToDate>
  <CharactersWithSpaces>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2023-10-20T01:08:00Z</dcterms:created>
  <dc:creator>admin</dc:creator>
  <cp:lastModifiedBy>常巧利</cp:lastModifiedBy>
  <cp:lastPrinted>2025-07-25T09:33:00Z</cp:lastPrinted>
  <dcterms:modified xsi:type="dcterms:W3CDTF">2025-08-19T07:55:11Z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C6176ED55AD44C3CAC02DD59FC837742_13</vt:lpwstr>
  </property>
</Properties>
</file>