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A4830">
      <w:pPr>
        <w:keepNext w:val="0"/>
        <w:keepLines w:val="0"/>
        <w:pageBreakBefore w:val="0"/>
        <w:widowControl/>
        <w:kinsoku/>
        <w:wordWrap w:val="0"/>
        <w:overflowPunct/>
        <w:topLinePunct/>
        <w:autoSpaceDE/>
        <w:autoSpaceDN/>
        <w:bidi w:val="0"/>
        <w:adjustRightInd w:val="0"/>
        <w:snapToGrid w:val="0"/>
        <w:spacing w:before="330" w:line="223" w:lineRule="auto"/>
        <w:jc w:val="both"/>
        <w:textAlignment w:val="baseline"/>
        <w:rPr>
          <w:rFonts w:hint="eastAsia" w:ascii="宋体" w:hAnsi="宋体" w:eastAsia="宋体" w:cs="宋体"/>
          <w:snapToGrid w:val="0"/>
          <w:color w:val="auto"/>
          <w:kern w:val="0"/>
          <w:sz w:val="31"/>
          <w:szCs w:val="31"/>
          <w:lang w:val="en-US" w:eastAsia="zh-CN" w:bidi="ar-SA"/>
        </w:rPr>
      </w:pPr>
      <w:r>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t>采购项目编号：</w:t>
      </w:r>
      <w:r>
        <w:rPr>
          <w:rFonts w:hint="eastAsia" w:ascii="宋体" w:hAnsi="宋体" w:eastAsia="宋体" w:cs="宋体"/>
          <w:snapToGrid w:val="0"/>
          <w:color w:val="auto"/>
          <w:kern w:val="0"/>
          <w:sz w:val="31"/>
          <w:szCs w:val="31"/>
          <w:lang w:val="en-US" w:eastAsia="zh-CN" w:bidi="ar-SA"/>
          <w14:textOutline w14:w="5793" w14:cap="sq" w14:cmpd="sng">
            <w14:solidFill>
              <w14:srgbClr w14:val="000000"/>
            </w14:solidFill>
            <w14:prstDash w14:val="solid"/>
            <w14:bevel/>
          </w14:textOutline>
        </w:rPr>
        <w:t>SXXS2025-FW-046</w:t>
      </w:r>
    </w:p>
    <w:p w14:paraId="11E1EFDC">
      <w:pPr>
        <w:keepNext w:val="0"/>
        <w:keepLines w:val="0"/>
        <w:pageBreakBefore w:val="0"/>
        <w:widowControl/>
        <w:kinsoku/>
        <w:wordWrap w:val="0"/>
        <w:overflowPunct/>
        <w:topLinePunct/>
        <w:autoSpaceDE/>
        <w:autoSpaceDN/>
        <w:bidi w:val="0"/>
        <w:adjustRightInd w:val="0"/>
        <w:snapToGrid w:val="0"/>
        <w:spacing w:line="257" w:lineRule="auto"/>
        <w:jc w:val="both"/>
        <w:textAlignment w:val="baseline"/>
        <w:rPr>
          <w:rFonts w:hint="eastAsia" w:ascii="宋体" w:hAnsi="宋体" w:eastAsia="宋体" w:cs="宋体"/>
          <w:snapToGrid w:val="0"/>
          <w:color w:val="auto"/>
          <w:kern w:val="0"/>
          <w:sz w:val="21"/>
          <w:szCs w:val="21"/>
          <w:lang w:val="en-US" w:eastAsia="en-US" w:bidi="ar-SA"/>
        </w:rPr>
      </w:pPr>
    </w:p>
    <w:p w14:paraId="40E3A652">
      <w:pPr>
        <w:keepNext w:val="0"/>
        <w:keepLines w:val="0"/>
        <w:pageBreakBefore w:val="0"/>
        <w:widowControl/>
        <w:kinsoku/>
        <w:wordWrap w:val="0"/>
        <w:overflowPunct/>
        <w:topLinePunct/>
        <w:autoSpaceDE/>
        <w:autoSpaceDN/>
        <w:bidi w:val="0"/>
        <w:adjustRightInd w:val="0"/>
        <w:snapToGrid w:val="0"/>
        <w:spacing w:line="258" w:lineRule="auto"/>
        <w:jc w:val="both"/>
        <w:textAlignment w:val="baseline"/>
        <w:rPr>
          <w:rFonts w:hint="eastAsia" w:ascii="宋体" w:hAnsi="宋体" w:eastAsia="宋体" w:cs="宋体"/>
          <w:snapToGrid w:val="0"/>
          <w:color w:val="auto"/>
          <w:kern w:val="0"/>
          <w:sz w:val="21"/>
          <w:szCs w:val="21"/>
          <w:lang w:val="en-US" w:eastAsia="en-US" w:bidi="ar-SA"/>
        </w:rPr>
      </w:pPr>
    </w:p>
    <w:p w14:paraId="11BF6516">
      <w:pPr>
        <w:keepNext w:val="0"/>
        <w:keepLines w:val="0"/>
        <w:pageBreakBefore w:val="0"/>
        <w:widowControl/>
        <w:kinsoku/>
        <w:wordWrap w:val="0"/>
        <w:overflowPunct/>
        <w:topLinePunct/>
        <w:autoSpaceDE/>
        <w:autoSpaceDN/>
        <w:bidi w:val="0"/>
        <w:adjustRightInd w:val="0"/>
        <w:snapToGrid w:val="0"/>
        <w:spacing w:line="258" w:lineRule="auto"/>
        <w:jc w:val="both"/>
        <w:textAlignment w:val="baseline"/>
        <w:rPr>
          <w:rFonts w:hint="eastAsia" w:ascii="宋体" w:hAnsi="宋体" w:eastAsia="宋体" w:cs="宋体"/>
          <w:snapToGrid w:val="0"/>
          <w:color w:val="auto"/>
          <w:kern w:val="0"/>
          <w:sz w:val="21"/>
          <w:szCs w:val="21"/>
          <w:lang w:val="en-US" w:eastAsia="en-US" w:bidi="ar-SA"/>
        </w:rPr>
      </w:pPr>
    </w:p>
    <w:p w14:paraId="7DAD838C">
      <w:pPr>
        <w:keepNext w:val="0"/>
        <w:keepLines w:val="0"/>
        <w:pageBreakBefore w:val="0"/>
        <w:widowControl/>
        <w:kinsoku/>
        <w:wordWrap w:val="0"/>
        <w:overflowPunct/>
        <w:topLinePunct/>
        <w:autoSpaceDE/>
        <w:autoSpaceDN/>
        <w:bidi w:val="0"/>
        <w:adjustRightInd w:val="0"/>
        <w:snapToGrid w:val="0"/>
        <w:spacing w:line="360" w:lineRule="auto"/>
        <w:jc w:val="both"/>
        <w:textAlignment w:val="baseline"/>
        <w:rPr>
          <w:rFonts w:hint="eastAsia" w:ascii="宋体" w:hAnsi="宋体" w:eastAsia="宋体" w:cs="宋体"/>
          <w:b/>
          <w:bCs/>
          <w:snapToGrid w:val="0"/>
          <w:color w:val="auto"/>
          <w:kern w:val="0"/>
          <w:sz w:val="40"/>
          <w:szCs w:val="40"/>
          <w:lang w:val="en-US" w:eastAsia="zh-CN" w:bidi="ar-SA"/>
        </w:rPr>
      </w:pPr>
    </w:p>
    <w:p w14:paraId="2A5FFFE5">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r>
        <w:rPr>
          <w:rFonts w:hint="eastAsia" w:ascii="宋体" w:hAnsi="宋体" w:eastAsia="宋体" w:cs="宋体"/>
          <w:b/>
          <w:bCs/>
          <w:snapToGrid w:val="0"/>
          <w:color w:val="auto"/>
          <w:kern w:val="0"/>
          <w:sz w:val="48"/>
          <w:szCs w:val="48"/>
          <w:lang w:val="en-US" w:eastAsia="zh-CN" w:bidi="ar-SA"/>
        </w:rPr>
        <w:t>榆林高新十三小校园环境营造建设项目</w:t>
      </w:r>
    </w:p>
    <w:p w14:paraId="0B50A158">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3EEF1BF2">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5DF2C958">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100D2035">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6C893D10">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550A59DD">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5D534D95">
      <w:pPr>
        <w:keepNext w:val="0"/>
        <w:keepLines w:val="0"/>
        <w:pageBreakBefore w:val="0"/>
        <w:widowControl/>
        <w:kinsoku/>
        <w:wordWrap w:val="0"/>
        <w:overflowPunct/>
        <w:topLinePunct/>
        <w:autoSpaceDE/>
        <w:autoSpaceDN/>
        <w:bidi w:val="0"/>
        <w:adjustRightInd w:val="0"/>
        <w:snapToGrid w:val="0"/>
        <w:spacing w:line="260" w:lineRule="auto"/>
        <w:jc w:val="both"/>
        <w:textAlignment w:val="baseline"/>
        <w:rPr>
          <w:rFonts w:hint="eastAsia" w:ascii="宋体" w:hAnsi="宋体" w:eastAsia="宋体" w:cs="宋体"/>
          <w:snapToGrid w:val="0"/>
          <w:color w:val="auto"/>
          <w:kern w:val="0"/>
          <w:sz w:val="21"/>
          <w:szCs w:val="21"/>
          <w:lang w:val="en-US" w:eastAsia="en-US" w:bidi="ar-SA"/>
        </w:rPr>
      </w:pPr>
    </w:p>
    <w:p w14:paraId="7D07AF82">
      <w:pPr>
        <w:keepNext w:val="0"/>
        <w:keepLines w:val="0"/>
        <w:pageBreakBefore w:val="0"/>
        <w:widowControl/>
        <w:kinsoku/>
        <w:wordWrap w:val="0"/>
        <w:overflowPunct/>
        <w:topLinePunct/>
        <w:autoSpaceDE/>
        <w:autoSpaceDN/>
        <w:bidi w:val="0"/>
        <w:adjustRightInd w:val="0"/>
        <w:snapToGrid w:val="0"/>
        <w:spacing w:before="309" w:line="221" w:lineRule="auto"/>
        <w:ind w:left="1213"/>
        <w:jc w:val="both"/>
        <w:textAlignment w:val="baseline"/>
        <w:outlineLvl w:val="9"/>
        <w:rPr>
          <w:rFonts w:hint="eastAsia" w:ascii="宋体" w:hAnsi="宋体" w:eastAsia="宋体" w:cs="宋体"/>
          <w:snapToGrid w:val="0"/>
          <w:color w:val="auto"/>
          <w:kern w:val="0"/>
          <w:sz w:val="95"/>
          <w:szCs w:val="95"/>
          <w:lang w:val="en-US" w:eastAsia="en-US" w:bidi="ar-SA"/>
        </w:rPr>
      </w:pPr>
      <w:bookmarkStart w:id="0" w:name="_Toc29425"/>
      <w:r>
        <w:rPr>
          <w:rFonts w:hint="eastAsia" w:ascii="宋体" w:hAnsi="宋体" w:eastAsia="宋体" w:cs="宋体"/>
          <w:snapToGrid w:val="0"/>
          <w:color w:val="auto"/>
          <w:spacing w:val="3"/>
          <w:kern w:val="0"/>
          <w:sz w:val="95"/>
          <w:szCs w:val="95"/>
          <w:lang w:val="en-US" w:eastAsia="en-US" w:bidi="ar-SA"/>
        </w:rPr>
        <w:t>竞争性谈判文件</w:t>
      </w:r>
      <w:bookmarkEnd w:id="0"/>
    </w:p>
    <w:p w14:paraId="1DC3DC96">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117850D4">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7F387F88">
      <w:pPr>
        <w:keepNext w:val="0"/>
        <w:keepLines w:val="0"/>
        <w:pageBreakBefore w:val="0"/>
        <w:widowControl/>
        <w:kinsoku/>
        <w:wordWrap w:val="0"/>
        <w:overflowPunct/>
        <w:topLinePunct/>
        <w:autoSpaceDE/>
        <w:autoSpaceDN/>
        <w:bidi w:val="0"/>
        <w:adjustRightInd w:val="0"/>
        <w:snapToGrid w:val="0"/>
        <w:spacing w:before="101" w:line="224" w:lineRule="auto"/>
        <w:ind w:left="960"/>
        <w:jc w:val="both"/>
        <w:textAlignment w:val="baseline"/>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pPr>
    </w:p>
    <w:p w14:paraId="30804845">
      <w:pPr>
        <w:keepNext w:val="0"/>
        <w:keepLines w:val="0"/>
        <w:pageBreakBefore w:val="0"/>
        <w:widowControl/>
        <w:kinsoku/>
        <w:wordWrap w:val="0"/>
        <w:overflowPunct/>
        <w:topLinePunct/>
        <w:autoSpaceDE/>
        <w:autoSpaceDN/>
        <w:bidi w:val="0"/>
        <w:adjustRightInd w:val="0"/>
        <w:snapToGrid w:val="0"/>
        <w:spacing w:before="101" w:line="224" w:lineRule="auto"/>
        <w:ind w:left="960" w:firstLine="1650" w:firstLineChars="500"/>
        <w:jc w:val="both"/>
        <w:textAlignment w:val="baseline"/>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pPr>
      <w:r>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t>本项目</w:t>
      </w:r>
      <w:r>
        <w:rPr>
          <w:rFonts w:hint="eastAsia" w:ascii="宋体" w:hAnsi="宋体" w:eastAsia="宋体" w:cs="宋体"/>
          <w:snapToGrid w:val="0"/>
          <w:color w:val="auto"/>
          <w:spacing w:val="10"/>
          <w:kern w:val="0"/>
          <w:sz w:val="31"/>
          <w:szCs w:val="31"/>
          <w:lang w:val="en-US" w:eastAsia="zh-CN" w:bidi="ar-SA"/>
          <w14:textOutline w14:w="5793" w14:cap="sq" w14:cmpd="sng">
            <w14:solidFill>
              <w14:srgbClr w14:val="000000"/>
            </w14:solidFill>
            <w14:prstDash w14:val="solid"/>
            <w14:bevel/>
          </w14:textOutline>
        </w:rPr>
        <w:t>专门</w:t>
      </w:r>
      <w:r>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t>向</w:t>
      </w:r>
      <w:r>
        <w:rPr>
          <w:rFonts w:hint="eastAsia" w:ascii="宋体" w:hAnsi="宋体" w:eastAsia="宋体" w:cs="宋体"/>
          <w:snapToGrid w:val="0"/>
          <w:color w:val="auto"/>
          <w:spacing w:val="10"/>
          <w:kern w:val="0"/>
          <w:sz w:val="31"/>
          <w:szCs w:val="31"/>
          <w:lang w:val="en-US" w:eastAsia="zh-CN" w:bidi="ar-SA"/>
          <w14:textOutline w14:w="5793" w14:cap="sq" w14:cmpd="sng">
            <w14:solidFill>
              <w14:srgbClr w14:val="000000"/>
            </w14:solidFill>
            <w14:prstDash w14:val="solid"/>
            <w14:bevel/>
          </w14:textOutline>
        </w:rPr>
        <w:t>小微</w:t>
      </w:r>
      <w:r>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t>企业采购</w:t>
      </w:r>
    </w:p>
    <w:p w14:paraId="369C98D2">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45C25290">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30D783A5">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240EC2C9">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18955A0A">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24A84C76">
      <w:pPr>
        <w:keepNext w:val="0"/>
        <w:keepLines w:val="0"/>
        <w:pageBreakBefore w:val="0"/>
        <w:widowControl/>
        <w:kinsoku/>
        <w:wordWrap w:val="0"/>
        <w:overflowPunct/>
        <w:topLinePunct/>
        <w:autoSpaceDE/>
        <w:autoSpaceDN/>
        <w:bidi w:val="0"/>
        <w:adjustRightInd w:val="0"/>
        <w:snapToGrid w:val="0"/>
        <w:spacing w:line="242" w:lineRule="auto"/>
        <w:jc w:val="both"/>
        <w:textAlignment w:val="baseline"/>
        <w:rPr>
          <w:rFonts w:hint="eastAsia" w:ascii="宋体" w:hAnsi="宋体" w:eastAsia="宋体" w:cs="宋体"/>
          <w:snapToGrid w:val="0"/>
          <w:color w:val="auto"/>
          <w:kern w:val="0"/>
          <w:sz w:val="21"/>
          <w:szCs w:val="21"/>
          <w:lang w:val="en-US" w:eastAsia="en-US" w:bidi="ar-SA"/>
        </w:rPr>
      </w:pPr>
    </w:p>
    <w:p w14:paraId="5BDE3C99">
      <w:pPr>
        <w:keepNext w:val="0"/>
        <w:keepLines w:val="0"/>
        <w:pageBreakBefore w:val="0"/>
        <w:widowControl/>
        <w:kinsoku/>
        <w:wordWrap w:val="0"/>
        <w:overflowPunct/>
        <w:topLinePunct/>
        <w:autoSpaceDE/>
        <w:autoSpaceDN/>
        <w:bidi w:val="0"/>
        <w:adjustRightInd w:val="0"/>
        <w:snapToGrid w:val="0"/>
        <w:spacing w:line="243" w:lineRule="auto"/>
        <w:jc w:val="both"/>
        <w:textAlignment w:val="baseline"/>
        <w:rPr>
          <w:rFonts w:hint="eastAsia" w:ascii="宋体" w:hAnsi="宋体" w:eastAsia="宋体" w:cs="宋体"/>
          <w:snapToGrid w:val="0"/>
          <w:color w:val="auto"/>
          <w:kern w:val="0"/>
          <w:sz w:val="21"/>
          <w:szCs w:val="21"/>
          <w:lang w:val="en-US" w:eastAsia="en-US" w:bidi="ar-SA"/>
        </w:rPr>
      </w:pPr>
    </w:p>
    <w:p w14:paraId="548C4C06">
      <w:pPr>
        <w:keepNext w:val="0"/>
        <w:keepLines w:val="0"/>
        <w:pageBreakBefore w:val="0"/>
        <w:widowControl/>
        <w:kinsoku/>
        <w:wordWrap w:val="0"/>
        <w:overflowPunct/>
        <w:topLinePunct/>
        <w:autoSpaceDE/>
        <w:autoSpaceDN/>
        <w:bidi w:val="0"/>
        <w:adjustRightInd w:val="0"/>
        <w:snapToGrid w:val="0"/>
        <w:spacing w:before="101" w:line="224" w:lineRule="auto"/>
        <w:ind w:left="960"/>
        <w:jc w:val="both"/>
        <w:textAlignment w:val="baseline"/>
        <w:rPr>
          <w:rFonts w:hint="eastAsia" w:ascii="宋体" w:hAnsi="宋体" w:eastAsia="宋体" w:cs="宋体"/>
          <w:snapToGrid w:val="0"/>
          <w:color w:val="auto"/>
          <w:kern w:val="0"/>
          <w:sz w:val="31"/>
          <w:szCs w:val="31"/>
          <w:lang w:val="en-US" w:eastAsia="zh-CN" w:bidi="ar-SA"/>
        </w:rPr>
      </w:pPr>
      <w:r>
        <w:rPr>
          <w:rFonts w:hint="eastAsia" w:ascii="宋体" w:hAnsi="宋体" w:eastAsia="宋体" w:cs="宋体"/>
          <w:snapToGrid w:val="0"/>
          <w:color w:val="auto"/>
          <w:spacing w:val="10"/>
          <w:kern w:val="0"/>
          <w:sz w:val="31"/>
          <w:szCs w:val="31"/>
          <w:lang w:val="en-US" w:eastAsia="zh-CN" w:bidi="ar-SA"/>
          <w14:textOutline w14:w="5793" w14:cap="sq" w14:cmpd="sng">
            <w14:solidFill>
              <w14:srgbClr w14:val="000000"/>
            </w14:solidFill>
            <w14:prstDash w14:val="solid"/>
            <w14:bevel/>
          </w14:textOutline>
        </w:rPr>
        <w:t>招标人</w:t>
      </w:r>
      <w:r>
        <w:rPr>
          <w:rFonts w:hint="eastAsia" w:ascii="宋体" w:hAnsi="宋体" w:eastAsia="宋体" w:cs="宋体"/>
          <w:snapToGrid w:val="0"/>
          <w:color w:val="auto"/>
          <w:spacing w:val="10"/>
          <w:kern w:val="0"/>
          <w:sz w:val="31"/>
          <w:szCs w:val="31"/>
          <w:lang w:val="en-US" w:eastAsia="en-US" w:bidi="ar-SA"/>
          <w14:textOutline w14:w="5793" w14:cap="sq" w14:cmpd="sng">
            <w14:solidFill>
              <w14:srgbClr w14:val="000000"/>
            </w14:solidFill>
            <w14:prstDash w14:val="solid"/>
            <w14:bevel/>
          </w14:textOutline>
        </w:rPr>
        <w:t>：</w:t>
      </w:r>
      <w:r>
        <w:rPr>
          <w:rFonts w:hint="eastAsia" w:ascii="宋体" w:hAnsi="宋体" w:eastAsia="宋体" w:cs="宋体"/>
          <w:snapToGrid w:val="0"/>
          <w:color w:val="auto"/>
          <w:spacing w:val="10"/>
          <w:kern w:val="0"/>
          <w:sz w:val="31"/>
          <w:szCs w:val="31"/>
          <w:lang w:val="en-US" w:eastAsia="zh-CN" w:bidi="ar-SA"/>
          <w14:textOutline w14:w="5793" w14:cap="sq" w14:cmpd="sng">
            <w14:solidFill>
              <w14:srgbClr w14:val="000000"/>
            </w14:solidFill>
            <w14:prstDash w14:val="solid"/>
            <w14:bevel/>
          </w14:textOutline>
        </w:rPr>
        <w:t>榆林高新区第十三小学</w:t>
      </w:r>
    </w:p>
    <w:p w14:paraId="38FB1DAB">
      <w:pPr>
        <w:keepNext w:val="0"/>
        <w:keepLines w:val="0"/>
        <w:pageBreakBefore w:val="0"/>
        <w:widowControl/>
        <w:kinsoku/>
        <w:wordWrap w:val="0"/>
        <w:overflowPunct/>
        <w:topLinePunct/>
        <w:autoSpaceDE/>
        <w:autoSpaceDN/>
        <w:bidi w:val="0"/>
        <w:adjustRightInd w:val="0"/>
        <w:snapToGrid w:val="0"/>
        <w:spacing w:line="420" w:lineRule="auto"/>
        <w:jc w:val="both"/>
        <w:textAlignment w:val="baseline"/>
        <w:rPr>
          <w:rFonts w:hint="eastAsia" w:ascii="宋体" w:hAnsi="宋体" w:eastAsia="宋体" w:cs="宋体"/>
          <w:snapToGrid w:val="0"/>
          <w:color w:val="auto"/>
          <w:kern w:val="0"/>
          <w:sz w:val="21"/>
          <w:szCs w:val="21"/>
          <w:lang w:val="en-US" w:eastAsia="en-US" w:bidi="ar-SA"/>
        </w:rPr>
      </w:pPr>
    </w:p>
    <w:p w14:paraId="49BF4116">
      <w:pPr>
        <w:keepNext w:val="0"/>
        <w:keepLines w:val="0"/>
        <w:pageBreakBefore w:val="0"/>
        <w:widowControl/>
        <w:kinsoku/>
        <w:wordWrap w:val="0"/>
        <w:overflowPunct/>
        <w:topLinePunct/>
        <w:autoSpaceDE/>
        <w:autoSpaceDN/>
        <w:bidi w:val="0"/>
        <w:adjustRightInd w:val="0"/>
        <w:snapToGrid w:val="0"/>
        <w:spacing w:before="102" w:line="900" w:lineRule="exact"/>
        <w:ind w:left="960"/>
        <w:jc w:val="both"/>
        <w:textAlignment w:val="baseline"/>
        <w:rPr>
          <w:rFonts w:hint="eastAsia" w:ascii="宋体" w:hAnsi="宋体" w:eastAsia="宋体" w:cs="宋体"/>
          <w:snapToGrid w:val="0"/>
          <w:color w:val="auto"/>
          <w:kern w:val="0"/>
          <w:sz w:val="31"/>
          <w:szCs w:val="31"/>
          <w:lang w:val="en-US" w:eastAsia="zh-CN" w:bidi="ar-SA"/>
        </w:rPr>
      </w:pPr>
      <w:r>
        <w:rPr>
          <w:rFonts w:hint="eastAsia" w:ascii="宋体" w:hAnsi="宋体" w:eastAsia="宋体" w:cs="宋体"/>
          <w:snapToGrid w:val="0"/>
          <w:color w:val="auto"/>
          <w:spacing w:val="10"/>
          <w:kern w:val="0"/>
          <w:position w:val="45"/>
          <w:sz w:val="31"/>
          <w:szCs w:val="31"/>
          <w:lang w:val="en-US" w:eastAsia="zh-CN" w:bidi="ar-SA"/>
          <w14:textOutline w14:w="5793" w14:cap="sq" w14:cmpd="sng">
            <w14:solidFill>
              <w14:srgbClr w14:val="000000"/>
            </w14:solidFill>
            <w14:prstDash w14:val="solid"/>
            <w14:bevel/>
          </w14:textOutline>
        </w:rPr>
        <w:t>招标代理机构</w:t>
      </w:r>
      <w:r>
        <w:rPr>
          <w:rFonts w:hint="eastAsia" w:ascii="宋体" w:hAnsi="宋体" w:eastAsia="宋体" w:cs="宋体"/>
          <w:snapToGrid w:val="0"/>
          <w:color w:val="auto"/>
          <w:spacing w:val="10"/>
          <w:kern w:val="0"/>
          <w:position w:val="45"/>
          <w:sz w:val="31"/>
          <w:szCs w:val="31"/>
          <w:lang w:val="en-US" w:eastAsia="en-US" w:bidi="ar-SA"/>
          <w14:textOutline w14:w="5793" w14:cap="sq" w14:cmpd="sng">
            <w14:solidFill>
              <w14:srgbClr w14:val="000000"/>
            </w14:solidFill>
            <w14:prstDash w14:val="solid"/>
            <w14:bevel/>
          </w14:textOutline>
        </w:rPr>
        <w:t>：</w:t>
      </w:r>
      <w:r>
        <w:rPr>
          <w:rFonts w:hint="eastAsia" w:ascii="宋体" w:hAnsi="宋体" w:eastAsia="宋体" w:cs="宋体"/>
          <w:snapToGrid w:val="0"/>
          <w:color w:val="auto"/>
          <w:spacing w:val="10"/>
          <w:kern w:val="0"/>
          <w:position w:val="45"/>
          <w:sz w:val="31"/>
          <w:szCs w:val="31"/>
          <w:lang w:val="en-US" w:eastAsia="zh-CN" w:bidi="ar-SA"/>
          <w14:textOutline w14:w="5793" w14:cap="sq" w14:cmpd="sng">
            <w14:solidFill>
              <w14:srgbClr w14:val="000000"/>
            </w14:solidFill>
            <w14:prstDash w14:val="solid"/>
            <w14:bevel/>
          </w14:textOutline>
        </w:rPr>
        <w:t>陕西新胜项目管理有限公司</w:t>
      </w:r>
    </w:p>
    <w:p w14:paraId="23EE92D6">
      <w:pPr>
        <w:keepNext w:val="0"/>
        <w:keepLines w:val="0"/>
        <w:pageBreakBefore w:val="0"/>
        <w:widowControl/>
        <w:kinsoku/>
        <w:wordWrap w:val="0"/>
        <w:overflowPunct/>
        <w:topLinePunct/>
        <w:autoSpaceDE/>
        <w:autoSpaceDN/>
        <w:bidi w:val="0"/>
        <w:adjustRightInd w:val="0"/>
        <w:snapToGrid w:val="0"/>
        <w:spacing w:before="1" w:line="224" w:lineRule="auto"/>
        <w:ind w:left="2567" w:firstLine="326" w:firstLineChars="100"/>
        <w:jc w:val="both"/>
        <w:textAlignment w:val="baseline"/>
        <w:rPr>
          <w:rFonts w:hint="eastAsia" w:ascii="宋体" w:hAnsi="宋体" w:eastAsia="宋体" w:cs="宋体"/>
          <w:snapToGrid w:val="0"/>
          <w:color w:val="auto"/>
          <w:kern w:val="0"/>
          <w:sz w:val="31"/>
          <w:szCs w:val="31"/>
          <w:lang w:val="en-US" w:eastAsia="en-US" w:bidi="ar-SA"/>
        </w:rPr>
      </w:pPr>
      <w:r>
        <w:rPr>
          <w:rFonts w:hint="eastAsia" w:ascii="宋体" w:hAnsi="宋体" w:eastAsia="宋体" w:cs="宋体"/>
          <w:snapToGrid w:val="0"/>
          <w:color w:val="auto"/>
          <w:spacing w:val="8"/>
          <w:kern w:val="0"/>
          <w:sz w:val="31"/>
          <w:szCs w:val="31"/>
          <w:lang w:val="en-US" w:eastAsia="en-US" w:bidi="ar-SA"/>
          <w14:textOutline w14:w="5793" w14:cap="sq" w14:cmpd="sng">
            <w14:solidFill>
              <w14:srgbClr w14:val="000000"/>
            </w14:solidFill>
            <w14:prstDash w14:val="solid"/>
            <w14:bevel/>
          </w14:textOutline>
        </w:rPr>
        <w:t>二零二</w:t>
      </w:r>
      <w:r>
        <w:rPr>
          <w:rFonts w:hint="eastAsia" w:ascii="宋体" w:hAnsi="宋体" w:eastAsia="宋体" w:cs="宋体"/>
          <w:snapToGrid w:val="0"/>
          <w:color w:val="auto"/>
          <w:spacing w:val="8"/>
          <w:kern w:val="0"/>
          <w:sz w:val="31"/>
          <w:szCs w:val="31"/>
          <w:lang w:val="en-US" w:eastAsia="zh-CN" w:bidi="ar-SA"/>
          <w14:textOutline w14:w="5793" w14:cap="sq" w14:cmpd="sng">
            <w14:solidFill>
              <w14:srgbClr w14:val="000000"/>
            </w14:solidFill>
            <w14:prstDash w14:val="solid"/>
            <w14:bevel/>
          </w14:textOutline>
        </w:rPr>
        <w:t>五</w:t>
      </w:r>
      <w:r>
        <w:rPr>
          <w:rFonts w:hint="eastAsia" w:ascii="宋体" w:hAnsi="宋体" w:eastAsia="宋体" w:cs="宋体"/>
          <w:snapToGrid w:val="0"/>
          <w:color w:val="auto"/>
          <w:spacing w:val="8"/>
          <w:kern w:val="0"/>
          <w:sz w:val="31"/>
          <w:szCs w:val="31"/>
          <w:lang w:val="en-US" w:eastAsia="en-US" w:bidi="ar-SA"/>
          <w14:textOutline w14:w="5793" w14:cap="sq" w14:cmpd="sng">
            <w14:solidFill>
              <w14:srgbClr w14:val="000000"/>
            </w14:solidFill>
            <w14:prstDash w14:val="solid"/>
            <w14:bevel/>
          </w14:textOutline>
        </w:rPr>
        <w:t>年</w:t>
      </w:r>
      <w:r>
        <w:rPr>
          <w:rFonts w:hint="eastAsia" w:ascii="宋体" w:hAnsi="宋体" w:eastAsia="宋体" w:cs="宋体"/>
          <w:snapToGrid w:val="0"/>
          <w:color w:val="auto"/>
          <w:spacing w:val="8"/>
          <w:kern w:val="0"/>
          <w:sz w:val="31"/>
          <w:szCs w:val="31"/>
          <w:lang w:val="en-US" w:eastAsia="zh-CN" w:bidi="ar-SA"/>
          <w14:textOutline w14:w="5793" w14:cap="sq" w14:cmpd="sng">
            <w14:solidFill>
              <w14:srgbClr w14:val="000000"/>
            </w14:solidFill>
            <w14:prstDash w14:val="solid"/>
            <w14:bevel/>
          </w14:textOutline>
        </w:rPr>
        <w:t>八</w:t>
      </w:r>
      <w:r>
        <w:rPr>
          <w:rFonts w:hint="eastAsia" w:ascii="宋体" w:hAnsi="宋体" w:eastAsia="宋体" w:cs="宋体"/>
          <w:snapToGrid w:val="0"/>
          <w:color w:val="auto"/>
          <w:spacing w:val="8"/>
          <w:kern w:val="0"/>
          <w:sz w:val="31"/>
          <w:szCs w:val="31"/>
          <w:lang w:val="en-US" w:eastAsia="en-US" w:bidi="ar-SA"/>
          <w14:textOutline w14:w="5793" w14:cap="sq" w14:cmpd="sng">
            <w14:solidFill>
              <w14:srgbClr w14:val="000000"/>
            </w14:solidFill>
            <w14:prstDash w14:val="solid"/>
            <w14:bevel/>
          </w14:textOutline>
        </w:rPr>
        <w:t>月</w:t>
      </w:r>
    </w:p>
    <w:p w14:paraId="2AF97CE7">
      <w:pPr>
        <w:keepNext w:val="0"/>
        <w:keepLines w:val="0"/>
        <w:pageBreakBefore w:val="0"/>
        <w:widowControl/>
        <w:kinsoku/>
        <w:wordWrap w:val="0"/>
        <w:overflowPunct/>
        <w:topLinePunct/>
        <w:autoSpaceDE/>
        <w:autoSpaceDN/>
        <w:bidi w:val="0"/>
        <w:adjustRightInd w:val="0"/>
        <w:snapToGrid w:val="0"/>
        <w:spacing w:line="224" w:lineRule="auto"/>
        <w:jc w:val="both"/>
        <w:textAlignment w:val="baseline"/>
        <w:rPr>
          <w:rFonts w:hint="eastAsia" w:ascii="宋体" w:hAnsi="宋体" w:eastAsia="宋体" w:cs="宋体"/>
          <w:snapToGrid w:val="0"/>
          <w:color w:val="auto"/>
          <w:kern w:val="0"/>
          <w:sz w:val="31"/>
          <w:szCs w:val="31"/>
          <w:lang w:val="en-US" w:eastAsia="en-US" w:bidi="ar-SA"/>
        </w:rPr>
        <w:sectPr>
          <w:pgSz w:w="11906" w:h="16839"/>
          <w:pgMar w:top="1431" w:right="1417" w:bottom="0" w:left="1427" w:header="0" w:footer="0" w:gutter="0"/>
          <w:cols w:space="720" w:num="1"/>
        </w:sectPr>
      </w:pPr>
    </w:p>
    <w:sdt>
      <w:sdtPr>
        <w:id w:val="147470197"/>
        <w15:color w:val="DBDBDB"/>
        <w:docPartObj>
          <w:docPartGallery w:val="Table of Contents"/>
          <w:docPartUnique/>
        </w:docPartObj>
      </w:sdtPr>
      <w:sdtEndPr>
        <w:rPr>
          <w:rFonts w:hint="eastAsia" w:ascii="宋体" w:hAnsi="宋体" w:eastAsia="宋体" w:cs="宋体"/>
          <w:snapToGrid w:val="0"/>
          <w:color w:val="auto"/>
          <w:kern w:val="0"/>
          <w:sz w:val="21"/>
          <w:szCs w:val="28"/>
          <w:lang w:val="en-US" w:eastAsia="en-US" w:bidi="ar-SA"/>
        </w:rPr>
      </w:sdtEndPr>
      <w:sdtContent>
        <w:p w14:paraId="686D41E2">
          <w:pPr>
            <w:pStyle w:val="49"/>
            <w:widowControl/>
          </w:pPr>
          <w:r>
            <w:t>目录</w:t>
          </w:r>
          <w:r>
            <w:fldChar w:fldCharType="begin"/>
          </w:r>
          <w:r>
            <w:instrText xml:space="preserve">TOC \o "1-3" \h \u </w:instrText>
          </w:r>
          <w:r>
            <w:fldChar w:fldCharType="separate"/>
          </w:r>
        </w:p>
        <w:p w14:paraId="43F0A604">
          <w:pPr>
            <w:pStyle w:val="36"/>
            <w:pageBreakBefore w:val="0"/>
            <w:tabs>
              <w:tab w:val="right" w:leader="dot" w:pos="9065"/>
            </w:tabs>
            <w:kinsoku/>
            <w:wordWrap w:val="0"/>
            <w:overflowPunct/>
            <w:topLinePunct/>
            <w:autoSpaceDE/>
            <w:autoSpaceDN/>
            <w:bidi w:val="0"/>
            <w:spacing w:line="480" w:lineRule="auto"/>
            <w:jc w:val="both"/>
            <w:rPr>
              <w:rFonts w:hint="eastAsia" w:ascii="宋体" w:hAnsi="宋体" w:eastAsia="宋体" w:cs="宋体"/>
              <w:b w:val="0"/>
              <w:bCs w:val="0"/>
              <w:color w:val="auto"/>
            </w:rPr>
          </w:pPr>
          <w:r>
            <w:rPr>
              <w:rFonts w:hint="eastAsia" w:ascii="宋体" w:hAnsi="宋体" w:eastAsia="宋体" w:cs="宋体"/>
              <w:b w:val="0"/>
              <w:bCs w:val="0"/>
              <w:color w:val="auto"/>
              <w:szCs w:val="28"/>
            </w:rPr>
            <w:fldChar w:fldCharType="begin"/>
          </w:r>
          <w:r>
            <w:rPr>
              <w:rFonts w:hint="eastAsia" w:ascii="宋体" w:hAnsi="宋体" w:eastAsia="宋体" w:cs="宋体"/>
              <w:b w:val="0"/>
              <w:bCs w:val="0"/>
              <w:color w:val="auto"/>
              <w:szCs w:val="28"/>
            </w:rPr>
            <w:instrText xml:space="preserve"> HYPERLINK \l _Toc26007 </w:instrText>
          </w:r>
          <w:r>
            <w:rPr>
              <w:rFonts w:hint="eastAsia" w:ascii="宋体" w:hAnsi="宋体" w:eastAsia="宋体" w:cs="宋体"/>
              <w:b w:val="0"/>
              <w:bCs w:val="0"/>
              <w:color w:val="auto"/>
              <w:szCs w:val="28"/>
            </w:rPr>
            <w:fldChar w:fldCharType="separate"/>
          </w:r>
          <w:r>
            <w:rPr>
              <w:rFonts w:hint="eastAsia" w:ascii="宋体" w:hAnsi="宋体" w:eastAsia="宋体" w:cs="宋体"/>
              <w:b w:val="0"/>
              <w:bCs w:val="0"/>
              <w:color w:val="auto"/>
              <w:spacing w:val="7"/>
              <w:szCs w:val="31"/>
              <w14:textOutline w14:w="5793" w14:cap="sq" w14:cmpd="sng">
                <w14:solidFill>
                  <w14:srgbClr w14:val="000000"/>
                </w14:solidFill>
                <w14:prstDash w14:val="solid"/>
                <w14:bevel/>
              </w14:textOutline>
            </w:rPr>
            <w:t>第一章</w:t>
          </w:r>
          <w:r>
            <w:rPr>
              <w:rFonts w:hint="eastAsia" w:ascii="宋体" w:hAnsi="宋体" w:eastAsia="宋体" w:cs="宋体"/>
              <w:b w:val="0"/>
              <w:bCs w:val="0"/>
              <w:color w:val="auto"/>
              <w:spacing w:val="7"/>
              <w:szCs w:val="31"/>
              <w:lang w:val="en-US" w:eastAsia="zh-CN"/>
              <w14:textOutline w14:w="5793" w14:cap="sq" w14:cmpd="sng">
                <w14:solidFill>
                  <w14:srgbClr w14:val="000000"/>
                </w14:solidFill>
                <w14:prstDash w14:val="solid"/>
                <w14:bevel/>
              </w14:textOutline>
            </w:rPr>
            <w:t xml:space="preserve"> 谈判邀请函</w:t>
          </w:r>
          <w:r>
            <w:rPr>
              <w:rFonts w:hint="eastAsia" w:ascii="宋体" w:hAnsi="宋体" w:eastAsia="宋体" w:cs="宋体"/>
              <w:b w:val="0"/>
              <w:bCs w:val="0"/>
              <w:color w:val="auto"/>
            </w:rPr>
            <w:tab/>
          </w:r>
          <w:r>
            <w:rPr>
              <w:rFonts w:hint="eastAsia" w:ascii="宋体" w:hAnsi="宋体" w:eastAsia="宋体" w:cs="宋体"/>
              <w:b w:val="0"/>
              <w:bCs w:val="0"/>
              <w:color w:val="auto"/>
            </w:rPr>
            <w:fldChar w:fldCharType="begin"/>
          </w:r>
          <w:r>
            <w:rPr>
              <w:rFonts w:hint="eastAsia" w:ascii="宋体" w:hAnsi="宋体" w:eastAsia="宋体" w:cs="宋体"/>
              <w:b w:val="0"/>
              <w:bCs w:val="0"/>
              <w:color w:val="auto"/>
            </w:rPr>
            <w:instrText xml:space="preserve"> PAGEREF _Toc26007 \h </w:instrText>
          </w:r>
          <w:r>
            <w:rPr>
              <w:rFonts w:hint="eastAsia" w:ascii="宋体" w:hAnsi="宋体" w:eastAsia="宋体" w:cs="宋体"/>
              <w:b w:val="0"/>
              <w:bCs w:val="0"/>
              <w:color w:val="auto"/>
            </w:rPr>
            <w:fldChar w:fldCharType="separate"/>
          </w:r>
          <w:r>
            <w:rPr>
              <w:rFonts w:hint="eastAsia" w:ascii="宋体" w:hAnsi="宋体" w:eastAsia="宋体" w:cs="宋体"/>
              <w:b w:val="0"/>
              <w:bCs w:val="0"/>
              <w:color w:val="auto"/>
            </w:rPr>
            <w:t>2</w:t>
          </w:r>
          <w:r>
            <w:rPr>
              <w:rFonts w:hint="eastAsia" w:ascii="宋体" w:hAnsi="宋体" w:eastAsia="宋体" w:cs="宋体"/>
              <w:b w:val="0"/>
              <w:bCs w:val="0"/>
              <w:color w:val="auto"/>
            </w:rPr>
            <w:fldChar w:fldCharType="end"/>
          </w:r>
          <w:r>
            <w:rPr>
              <w:rFonts w:hint="eastAsia" w:ascii="宋体" w:hAnsi="宋体" w:eastAsia="宋体" w:cs="宋体"/>
              <w:b w:val="0"/>
              <w:bCs w:val="0"/>
              <w:color w:val="auto"/>
              <w:szCs w:val="28"/>
            </w:rPr>
            <w:fldChar w:fldCharType="end"/>
          </w:r>
        </w:p>
        <w:p w14:paraId="69B4A68B">
          <w:pPr>
            <w:pStyle w:val="36"/>
            <w:pageBreakBefore w:val="0"/>
            <w:tabs>
              <w:tab w:val="right" w:leader="dot" w:pos="9065"/>
            </w:tabs>
            <w:kinsoku/>
            <w:wordWrap w:val="0"/>
            <w:overflowPunct/>
            <w:topLinePunct/>
            <w:autoSpaceDE/>
            <w:autoSpaceDN/>
            <w:bidi w:val="0"/>
            <w:spacing w:line="480" w:lineRule="auto"/>
            <w:jc w:val="both"/>
            <w:rPr>
              <w:rFonts w:hint="eastAsia" w:ascii="宋体" w:hAnsi="宋体" w:eastAsia="宋体" w:cs="宋体"/>
              <w:b w:val="0"/>
              <w:bCs w:val="0"/>
              <w:color w:val="auto"/>
            </w:rPr>
          </w:pPr>
          <w:r>
            <w:rPr>
              <w:rFonts w:hint="eastAsia" w:ascii="宋体" w:hAnsi="宋体" w:eastAsia="宋体" w:cs="宋体"/>
              <w:b w:val="0"/>
              <w:bCs w:val="0"/>
              <w:color w:val="auto"/>
              <w:szCs w:val="28"/>
            </w:rPr>
            <w:fldChar w:fldCharType="begin"/>
          </w:r>
          <w:r>
            <w:rPr>
              <w:rFonts w:hint="eastAsia" w:ascii="宋体" w:hAnsi="宋体" w:eastAsia="宋体" w:cs="宋体"/>
              <w:b w:val="0"/>
              <w:bCs w:val="0"/>
              <w:color w:val="auto"/>
              <w:szCs w:val="28"/>
            </w:rPr>
            <w:instrText xml:space="preserve"> HYPERLINK \l _Toc9187 </w:instrText>
          </w:r>
          <w:r>
            <w:rPr>
              <w:rFonts w:hint="eastAsia" w:ascii="宋体" w:hAnsi="宋体" w:eastAsia="宋体" w:cs="宋体"/>
              <w:b w:val="0"/>
              <w:bCs w:val="0"/>
              <w:color w:val="auto"/>
              <w:szCs w:val="28"/>
            </w:rPr>
            <w:fldChar w:fldCharType="separate"/>
          </w:r>
          <w:r>
            <w:rPr>
              <w:rFonts w:hint="eastAsia" w:ascii="宋体" w:hAnsi="宋体" w:eastAsia="宋体" w:cs="宋体"/>
              <w:b w:val="0"/>
              <w:bCs w:val="0"/>
              <w:color w:val="auto"/>
              <w:spacing w:val="8"/>
              <w:szCs w:val="31"/>
              <w14:textOutline w14:w="5793" w14:cap="sq" w14:cmpd="sng">
                <w14:solidFill>
                  <w14:srgbClr w14:val="000000"/>
                </w14:solidFill>
                <w14:prstDash w14:val="solid"/>
                <w14:bevel/>
              </w14:textOutline>
            </w:rPr>
            <w:t>第二章</w:t>
          </w:r>
          <w:r>
            <w:rPr>
              <w:rFonts w:hint="eastAsia" w:ascii="宋体" w:hAnsi="宋体" w:eastAsia="宋体" w:cs="宋体"/>
              <w:b w:val="0"/>
              <w:bCs w:val="0"/>
              <w:color w:val="auto"/>
              <w:spacing w:val="8"/>
              <w:szCs w:val="31"/>
              <w:lang w:val="en-US" w:eastAsia="zh-CN"/>
              <w14:textOutline w14:w="5793" w14:cap="sq" w14:cmpd="sng">
                <w14:solidFill>
                  <w14:srgbClr w14:val="000000"/>
                </w14:solidFill>
                <w14:prstDash w14:val="solid"/>
                <w14:bevel/>
              </w14:textOutline>
            </w:rPr>
            <w:t xml:space="preserve"> </w:t>
          </w:r>
          <w:r>
            <w:rPr>
              <w:rFonts w:hint="eastAsia" w:ascii="宋体" w:hAnsi="宋体" w:eastAsia="宋体" w:cs="宋体"/>
              <w:b w:val="0"/>
              <w:bCs w:val="0"/>
              <w:color w:val="auto"/>
              <w:spacing w:val="8"/>
              <w:szCs w:val="31"/>
              <w:lang w:eastAsia="zh-CN"/>
              <w14:textOutline w14:w="5793" w14:cap="sq" w14:cmpd="sng">
                <w14:solidFill>
                  <w14:srgbClr w14:val="000000"/>
                </w14:solidFill>
                <w14:prstDash w14:val="solid"/>
                <w14:bevel/>
              </w14:textOutline>
            </w:rPr>
            <w:t>投标人</w:t>
          </w:r>
          <w:r>
            <w:rPr>
              <w:rFonts w:hint="eastAsia" w:ascii="宋体" w:hAnsi="宋体" w:eastAsia="宋体" w:cs="宋体"/>
              <w:b w:val="0"/>
              <w:bCs w:val="0"/>
              <w:color w:val="auto"/>
              <w:spacing w:val="8"/>
              <w:szCs w:val="31"/>
              <w14:textOutline w14:w="5793" w14:cap="sq" w14:cmpd="sng">
                <w14:solidFill>
                  <w14:srgbClr w14:val="000000"/>
                </w14:solidFill>
                <w14:prstDash w14:val="solid"/>
                <w14:bevel/>
              </w14:textOutline>
            </w:rPr>
            <w:t>须知</w:t>
          </w:r>
          <w:r>
            <w:rPr>
              <w:rFonts w:hint="eastAsia" w:ascii="宋体" w:hAnsi="宋体" w:eastAsia="宋体" w:cs="宋体"/>
              <w:b w:val="0"/>
              <w:bCs w:val="0"/>
              <w:color w:val="auto"/>
            </w:rPr>
            <w:tab/>
          </w:r>
          <w:r>
            <w:rPr>
              <w:rFonts w:hint="eastAsia" w:ascii="宋体" w:hAnsi="宋体" w:eastAsia="宋体" w:cs="宋体"/>
              <w:b w:val="0"/>
              <w:bCs w:val="0"/>
              <w:color w:val="auto"/>
            </w:rPr>
            <w:fldChar w:fldCharType="begin"/>
          </w:r>
          <w:r>
            <w:rPr>
              <w:rFonts w:hint="eastAsia" w:ascii="宋体" w:hAnsi="宋体" w:eastAsia="宋体" w:cs="宋体"/>
              <w:b w:val="0"/>
              <w:bCs w:val="0"/>
              <w:color w:val="auto"/>
            </w:rPr>
            <w:instrText xml:space="preserve"> PAGEREF _Toc9187 \h </w:instrText>
          </w:r>
          <w:r>
            <w:rPr>
              <w:rFonts w:hint="eastAsia" w:ascii="宋体" w:hAnsi="宋体" w:eastAsia="宋体" w:cs="宋体"/>
              <w:b w:val="0"/>
              <w:bCs w:val="0"/>
              <w:color w:val="auto"/>
            </w:rPr>
            <w:fldChar w:fldCharType="separate"/>
          </w:r>
          <w:r>
            <w:rPr>
              <w:rFonts w:hint="eastAsia" w:ascii="宋体" w:hAnsi="宋体" w:eastAsia="宋体" w:cs="宋体"/>
              <w:b w:val="0"/>
              <w:bCs w:val="0"/>
              <w:color w:val="auto"/>
            </w:rPr>
            <w:t>2</w:t>
          </w:r>
          <w:r>
            <w:rPr>
              <w:rFonts w:hint="eastAsia" w:ascii="宋体" w:hAnsi="宋体" w:eastAsia="宋体" w:cs="宋体"/>
              <w:b w:val="0"/>
              <w:bCs w:val="0"/>
              <w:color w:val="auto"/>
            </w:rPr>
            <w:fldChar w:fldCharType="end"/>
          </w:r>
          <w:r>
            <w:rPr>
              <w:rFonts w:hint="eastAsia" w:ascii="宋体" w:hAnsi="宋体" w:eastAsia="宋体" w:cs="宋体"/>
              <w:b w:val="0"/>
              <w:bCs w:val="0"/>
              <w:color w:val="auto"/>
              <w:szCs w:val="28"/>
            </w:rPr>
            <w:fldChar w:fldCharType="end"/>
          </w:r>
        </w:p>
        <w:p w14:paraId="6872AB79">
          <w:pPr>
            <w:pStyle w:val="36"/>
            <w:pageBreakBefore w:val="0"/>
            <w:tabs>
              <w:tab w:val="right" w:leader="dot" w:pos="9065"/>
            </w:tabs>
            <w:kinsoku/>
            <w:wordWrap w:val="0"/>
            <w:overflowPunct/>
            <w:topLinePunct/>
            <w:autoSpaceDE/>
            <w:autoSpaceDN/>
            <w:bidi w:val="0"/>
            <w:spacing w:line="480" w:lineRule="auto"/>
            <w:jc w:val="both"/>
            <w:rPr>
              <w:rFonts w:hint="eastAsia" w:ascii="宋体" w:hAnsi="宋体" w:eastAsia="宋体" w:cs="宋体"/>
              <w:b w:val="0"/>
              <w:bCs w:val="0"/>
              <w:color w:val="auto"/>
            </w:rPr>
          </w:pPr>
          <w:r>
            <w:rPr>
              <w:rFonts w:hint="eastAsia" w:ascii="宋体" w:hAnsi="宋体" w:eastAsia="宋体" w:cs="宋体"/>
              <w:b w:val="0"/>
              <w:bCs w:val="0"/>
              <w:color w:val="auto"/>
              <w:szCs w:val="28"/>
            </w:rPr>
            <w:fldChar w:fldCharType="begin"/>
          </w:r>
          <w:r>
            <w:rPr>
              <w:rFonts w:hint="eastAsia" w:ascii="宋体" w:hAnsi="宋体" w:eastAsia="宋体" w:cs="宋体"/>
              <w:b w:val="0"/>
              <w:bCs w:val="0"/>
              <w:color w:val="auto"/>
              <w:szCs w:val="28"/>
            </w:rPr>
            <w:instrText xml:space="preserve"> HYPERLINK \l _Toc6516 </w:instrText>
          </w:r>
          <w:r>
            <w:rPr>
              <w:rFonts w:hint="eastAsia" w:ascii="宋体" w:hAnsi="宋体" w:eastAsia="宋体" w:cs="宋体"/>
              <w:b w:val="0"/>
              <w:bCs w:val="0"/>
              <w:color w:val="auto"/>
              <w:szCs w:val="28"/>
            </w:rPr>
            <w:fldChar w:fldCharType="separate"/>
          </w:r>
          <w:r>
            <w:rPr>
              <w:rFonts w:hint="eastAsia" w:ascii="宋体" w:hAnsi="宋体" w:eastAsia="宋体" w:cs="宋体"/>
              <w:b w:val="0"/>
              <w:bCs w:val="0"/>
              <w:color w:val="auto"/>
              <w:spacing w:val="9"/>
              <w:szCs w:val="31"/>
              <w14:textOutline w14:w="5793" w14:cap="sq" w14:cmpd="sng">
                <w14:solidFill>
                  <w14:srgbClr w14:val="000000"/>
                </w14:solidFill>
                <w14:prstDash w14:val="solid"/>
                <w14:bevel/>
              </w14:textOutline>
            </w:rPr>
            <w:t>第三章</w:t>
          </w:r>
          <w:r>
            <w:rPr>
              <w:rFonts w:hint="eastAsia" w:ascii="宋体" w:hAnsi="宋体" w:eastAsia="宋体" w:cs="宋体"/>
              <w:b w:val="0"/>
              <w:bCs w:val="0"/>
              <w:color w:val="auto"/>
              <w:spacing w:val="9"/>
              <w:szCs w:val="31"/>
              <w:lang w:val="en-US" w:eastAsia="zh-CN"/>
              <w14:textOutline w14:w="5793" w14:cap="sq" w14:cmpd="sng">
                <w14:solidFill>
                  <w14:srgbClr w14:val="000000"/>
                </w14:solidFill>
                <w14:prstDash w14:val="solid"/>
                <w14:bevel/>
              </w14:textOutline>
            </w:rPr>
            <w:t xml:space="preserve"> </w:t>
          </w:r>
          <w:r>
            <w:rPr>
              <w:rFonts w:hint="eastAsia" w:ascii="宋体" w:hAnsi="宋体" w:eastAsia="宋体" w:cs="宋体"/>
              <w:b w:val="0"/>
              <w:bCs w:val="0"/>
              <w:color w:val="auto"/>
              <w:spacing w:val="9"/>
              <w:szCs w:val="31"/>
              <w14:textOutline w14:w="5793" w14:cap="sq" w14:cmpd="sng">
                <w14:solidFill>
                  <w14:srgbClr w14:val="000000"/>
                </w14:solidFill>
                <w14:prstDash w14:val="solid"/>
                <w14:bevel/>
              </w14:textOutline>
            </w:rPr>
            <w:t>谈判内容及采购需求</w:t>
          </w:r>
          <w:r>
            <w:rPr>
              <w:rFonts w:hint="eastAsia" w:ascii="宋体" w:hAnsi="宋体" w:eastAsia="宋体" w:cs="宋体"/>
              <w:b w:val="0"/>
              <w:bCs w:val="0"/>
              <w:color w:val="auto"/>
            </w:rPr>
            <w:tab/>
          </w:r>
          <w:r>
            <w:rPr>
              <w:rFonts w:hint="eastAsia" w:ascii="宋体" w:hAnsi="宋体" w:eastAsia="宋体" w:cs="宋体"/>
              <w:b w:val="0"/>
              <w:bCs w:val="0"/>
              <w:color w:val="auto"/>
            </w:rPr>
            <w:fldChar w:fldCharType="begin"/>
          </w:r>
          <w:r>
            <w:rPr>
              <w:rFonts w:hint="eastAsia" w:ascii="宋体" w:hAnsi="宋体" w:eastAsia="宋体" w:cs="宋体"/>
              <w:b w:val="0"/>
              <w:bCs w:val="0"/>
              <w:color w:val="auto"/>
            </w:rPr>
            <w:instrText xml:space="preserve"> PAGEREF _Toc6516 \h </w:instrText>
          </w:r>
          <w:r>
            <w:rPr>
              <w:rFonts w:hint="eastAsia" w:ascii="宋体" w:hAnsi="宋体" w:eastAsia="宋体" w:cs="宋体"/>
              <w:b w:val="0"/>
              <w:bCs w:val="0"/>
              <w:color w:val="auto"/>
            </w:rPr>
            <w:fldChar w:fldCharType="separate"/>
          </w:r>
          <w:r>
            <w:rPr>
              <w:rFonts w:hint="eastAsia" w:ascii="宋体" w:hAnsi="宋体" w:eastAsia="宋体" w:cs="宋体"/>
              <w:b w:val="0"/>
              <w:bCs w:val="0"/>
              <w:color w:val="auto"/>
            </w:rPr>
            <w:t>24</w:t>
          </w:r>
          <w:r>
            <w:rPr>
              <w:rFonts w:hint="eastAsia" w:ascii="宋体" w:hAnsi="宋体" w:eastAsia="宋体" w:cs="宋体"/>
              <w:b w:val="0"/>
              <w:bCs w:val="0"/>
              <w:color w:val="auto"/>
            </w:rPr>
            <w:fldChar w:fldCharType="end"/>
          </w:r>
          <w:r>
            <w:rPr>
              <w:rFonts w:hint="eastAsia" w:ascii="宋体" w:hAnsi="宋体" w:eastAsia="宋体" w:cs="宋体"/>
              <w:b w:val="0"/>
              <w:bCs w:val="0"/>
              <w:color w:val="auto"/>
              <w:szCs w:val="28"/>
            </w:rPr>
            <w:fldChar w:fldCharType="end"/>
          </w:r>
        </w:p>
        <w:p w14:paraId="4ED693A4">
          <w:pPr>
            <w:pStyle w:val="36"/>
            <w:pageBreakBefore w:val="0"/>
            <w:tabs>
              <w:tab w:val="right" w:leader="dot" w:pos="9065"/>
            </w:tabs>
            <w:kinsoku/>
            <w:wordWrap w:val="0"/>
            <w:overflowPunct/>
            <w:topLinePunct/>
            <w:autoSpaceDE/>
            <w:autoSpaceDN/>
            <w:bidi w:val="0"/>
            <w:spacing w:line="480" w:lineRule="auto"/>
            <w:jc w:val="both"/>
            <w:rPr>
              <w:rFonts w:hint="eastAsia" w:ascii="宋体" w:hAnsi="宋体" w:eastAsia="宋体" w:cs="宋体"/>
              <w:b w:val="0"/>
              <w:bCs w:val="0"/>
              <w:color w:val="auto"/>
            </w:rPr>
          </w:pPr>
          <w:r>
            <w:rPr>
              <w:rFonts w:hint="eastAsia" w:ascii="宋体" w:hAnsi="宋体" w:eastAsia="宋体" w:cs="宋体"/>
              <w:b w:val="0"/>
              <w:bCs w:val="0"/>
              <w:color w:val="auto"/>
              <w:szCs w:val="28"/>
            </w:rPr>
            <w:fldChar w:fldCharType="begin"/>
          </w:r>
          <w:r>
            <w:rPr>
              <w:rFonts w:hint="eastAsia" w:ascii="宋体" w:hAnsi="宋体" w:eastAsia="宋体" w:cs="宋体"/>
              <w:b w:val="0"/>
              <w:bCs w:val="0"/>
              <w:color w:val="auto"/>
              <w:szCs w:val="28"/>
            </w:rPr>
            <w:instrText xml:space="preserve"> HYPERLINK \l _Toc10743 </w:instrText>
          </w:r>
          <w:r>
            <w:rPr>
              <w:rFonts w:hint="eastAsia" w:ascii="宋体" w:hAnsi="宋体" w:eastAsia="宋体" w:cs="宋体"/>
              <w:b w:val="0"/>
              <w:bCs w:val="0"/>
              <w:color w:val="auto"/>
              <w:szCs w:val="28"/>
            </w:rPr>
            <w:fldChar w:fldCharType="separate"/>
          </w:r>
          <w:r>
            <w:rPr>
              <w:rFonts w:hint="eastAsia" w:ascii="宋体" w:hAnsi="宋体" w:eastAsia="宋体" w:cs="宋体"/>
              <w:b w:val="0"/>
              <w:bCs w:val="0"/>
              <w:color w:val="auto"/>
              <w:spacing w:val="8"/>
              <w:szCs w:val="35"/>
              <w14:textOutline w14:w="6537" w14:cap="sq" w14:cmpd="sng">
                <w14:solidFill>
                  <w14:srgbClr w14:val="000000"/>
                </w14:solidFill>
                <w14:prstDash w14:val="solid"/>
                <w14:bevel/>
              </w14:textOutline>
            </w:rPr>
            <w:t>第四章</w:t>
          </w:r>
          <w:r>
            <w:rPr>
              <w:rFonts w:hint="eastAsia" w:ascii="宋体" w:hAnsi="宋体" w:eastAsia="宋体" w:cs="宋体"/>
              <w:b w:val="0"/>
              <w:bCs w:val="0"/>
              <w:color w:val="auto"/>
              <w:spacing w:val="8"/>
              <w:szCs w:val="35"/>
              <w:lang w:val="en-US" w:eastAsia="zh-CN"/>
              <w14:textOutline w14:w="6537" w14:cap="sq" w14:cmpd="sng">
                <w14:solidFill>
                  <w14:srgbClr w14:val="000000"/>
                </w14:solidFill>
                <w14:prstDash w14:val="solid"/>
                <w14:bevel/>
              </w14:textOutline>
            </w:rPr>
            <w:t xml:space="preserve"> </w:t>
          </w:r>
          <w:r>
            <w:rPr>
              <w:rFonts w:hint="eastAsia" w:ascii="宋体" w:hAnsi="宋体" w:eastAsia="宋体" w:cs="宋体"/>
              <w:b w:val="0"/>
              <w:bCs w:val="0"/>
              <w:color w:val="auto"/>
              <w:spacing w:val="8"/>
              <w:szCs w:val="35"/>
              <w14:textOutline w14:w="6537" w14:cap="sq" w14:cmpd="sng">
                <w14:solidFill>
                  <w14:srgbClr w14:val="000000"/>
                </w14:solidFill>
                <w14:prstDash w14:val="solid"/>
                <w14:bevel/>
              </w14:textOutline>
            </w:rPr>
            <w:t>采购合同</w:t>
          </w:r>
          <w:r>
            <w:rPr>
              <w:rFonts w:hint="eastAsia" w:ascii="宋体" w:hAnsi="宋体" w:eastAsia="宋体" w:cs="宋体"/>
              <w:b w:val="0"/>
              <w:bCs w:val="0"/>
              <w:color w:val="auto"/>
            </w:rPr>
            <w:tab/>
          </w:r>
          <w:r>
            <w:rPr>
              <w:rFonts w:hint="eastAsia" w:ascii="宋体" w:hAnsi="宋体" w:eastAsia="宋体" w:cs="宋体"/>
              <w:b w:val="0"/>
              <w:bCs w:val="0"/>
              <w:color w:val="auto"/>
            </w:rPr>
            <w:fldChar w:fldCharType="begin"/>
          </w:r>
          <w:r>
            <w:rPr>
              <w:rFonts w:hint="eastAsia" w:ascii="宋体" w:hAnsi="宋体" w:eastAsia="宋体" w:cs="宋体"/>
              <w:b w:val="0"/>
              <w:bCs w:val="0"/>
              <w:color w:val="auto"/>
            </w:rPr>
            <w:instrText xml:space="preserve"> PAGEREF _Toc10743 \h </w:instrText>
          </w:r>
          <w:r>
            <w:rPr>
              <w:rFonts w:hint="eastAsia" w:ascii="宋体" w:hAnsi="宋体" w:eastAsia="宋体" w:cs="宋体"/>
              <w:b w:val="0"/>
              <w:bCs w:val="0"/>
              <w:color w:val="auto"/>
            </w:rPr>
            <w:fldChar w:fldCharType="separate"/>
          </w:r>
          <w:r>
            <w:rPr>
              <w:rFonts w:hint="eastAsia" w:ascii="宋体" w:hAnsi="宋体" w:eastAsia="宋体" w:cs="宋体"/>
              <w:b w:val="0"/>
              <w:bCs w:val="0"/>
              <w:color w:val="auto"/>
            </w:rPr>
            <w:t>26</w:t>
          </w:r>
          <w:r>
            <w:rPr>
              <w:rFonts w:hint="eastAsia" w:ascii="宋体" w:hAnsi="宋体" w:eastAsia="宋体" w:cs="宋体"/>
              <w:b w:val="0"/>
              <w:bCs w:val="0"/>
              <w:color w:val="auto"/>
            </w:rPr>
            <w:fldChar w:fldCharType="end"/>
          </w:r>
          <w:r>
            <w:rPr>
              <w:rFonts w:hint="eastAsia" w:ascii="宋体" w:hAnsi="宋体" w:eastAsia="宋体" w:cs="宋体"/>
              <w:b w:val="0"/>
              <w:bCs w:val="0"/>
              <w:color w:val="auto"/>
              <w:szCs w:val="28"/>
            </w:rPr>
            <w:fldChar w:fldCharType="end"/>
          </w:r>
        </w:p>
        <w:p w14:paraId="677DC140">
          <w:pPr>
            <w:pStyle w:val="36"/>
            <w:pageBreakBefore w:val="0"/>
            <w:tabs>
              <w:tab w:val="right" w:leader="dot" w:pos="9065"/>
            </w:tabs>
            <w:kinsoku/>
            <w:wordWrap w:val="0"/>
            <w:overflowPunct/>
            <w:topLinePunct/>
            <w:autoSpaceDE/>
            <w:autoSpaceDN/>
            <w:bidi w:val="0"/>
            <w:spacing w:line="480" w:lineRule="auto"/>
            <w:jc w:val="both"/>
            <w:rPr>
              <w:rFonts w:hint="eastAsia" w:ascii="宋体" w:hAnsi="宋体" w:eastAsia="宋体" w:cs="宋体"/>
              <w:b w:val="0"/>
              <w:bCs w:val="0"/>
              <w:color w:val="auto"/>
            </w:rPr>
          </w:pPr>
          <w:r>
            <w:rPr>
              <w:rFonts w:hint="eastAsia" w:ascii="宋体" w:hAnsi="宋体" w:eastAsia="宋体" w:cs="宋体"/>
              <w:b w:val="0"/>
              <w:bCs w:val="0"/>
              <w:color w:val="auto"/>
              <w:szCs w:val="28"/>
            </w:rPr>
            <w:fldChar w:fldCharType="begin"/>
          </w:r>
          <w:r>
            <w:rPr>
              <w:rFonts w:hint="eastAsia" w:ascii="宋体" w:hAnsi="宋体" w:eastAsia="宋体" w:cs="宋体"/>
              <w:b w:val="0"/>
              <w:bCs w:val="0"/>
              <w:color w:val="auto"/>
              <w:szCs w:val="28"/>
            </w:rPr>
            <w:instrText xml:space="preserve"> HYPERLINK \l _Toc13128 </w:instrText>
          </w:r>
          <w:r>
            <w:rPr>
              <w:rFonts w:hint="eastAsia" w:ascii="宋体" w:hAnsi="宋体" w:eastAsia="宋体" w:cs="宋体"/>
              <w:b w:val="0"/>
              <w:bCs w:val="0"/>
              <w:color w:val="auto"/>
              <w:szCs w:val="28"/>
            </w:rPr>
            <w:fldChar w:fldCharType="separate"/>
          </w:r>
          <w:r>
            <w:rPr>
              <w:rFonts w:hint="eastAsia" w:ascii="宋体" w:hAnsi="宋体" w:eastAsia="宋体" w:cs="宋体"/>
              <w:b w:val="0"/>
              <w:bCs w:val="0"/>
              <w:color w:val="auto"/>
              <w:spacing w:val="9"/>
              <w:szCs w:val="31"/>
              <w14:textOutline w14:w="5793" w14:cap="sq" w14:cmpd="sng">
                <w14:solidFill>
                  <w14:srgbClr w14:val="000000"/>
                </w14:solidFill>
                <w14:prstDash w14:val="solid"/>
                <w14:bevel/>
              </w14:textOutline>
            </w:rPr>
            <w:t>第五章</w:t>
          </w:r>
          <w:r>
            <w:rPr>
              <w:rFonts w:hint="eastAsia" w:ascii="宋体" w:hAnsi="宋体" w:eastAsia="宋体" w:cs="宋体"/>
              <w:b w:val="0"/>
              <w:bCs w:val="0"/>
              <w:color w:val="auto"/>
              <w:spacing w:val="9"/>
              <w:szCs w:val="31"/>
              <w:lang w:val="en-US" w:eastAsia="zh-CN"/>
              <w14:textOutline w14:w="5793" w14:cap="sq" w14:cmpd="sng">
                <w14:solidFill>
                  <w14:srgbClr w14:val="000000"/>
                </w14:solidFill>
                <w14:prstDash w14:val="solid"/>
                <w14:bevel/>
              </w14:textOutline>
            </w:rPr>
            <w:t xml:space="preserve"> </w:t>
          </w:r>
          <w:r>
            <w:rPr>
              <w:rFonts w:hint="eastAsia" w:ascii="宋体" w:hAnsi="宋体" w:eastAsia="宋体" w:cs="宋体"/>
              <w:b w:val="0"/>
              <w:bCs w:val="0"/>
              <w:color w:val="auto"/>
              <w:spacing w:val="9"/>
              <w:szCs w:val="31"/>
              <w14:textOutline w14:w="5793" w14:cap="sq" w14:cmpd="sng">
                <w14:solidFill>
                  <w14:srgbClr w14:val="000000"/>
                </w14:solidFill>
                <w14:prstDash w14:val="solid"/>
                <w14:bevel/>
              </w14:textOutline>
            </w:rPr>
            <w:t>响应文件构成及格式</w:t>
          </w:r>
          <w:r>
            <w:rPr>
              <w:rFonts w:hint="eastAsia" w:ascii="宋体" w:hAnsi="宋体" w:eastAsia="宋体" w:cs="宋体"/>
              <w:b w:val="0"/>
              <w:bCs w:val="0"/>
              <w:color w:val="auto"/>
            </w:rPr>
            <w:tab/>
          </w:r>
          <w:r>
            <w:rPr>
              <w:rFonts w:hint="eastAsia" w:ascii="宋体" w:hAnsi="宋体" w:eastAsia="宋体" w:cs="宋体"/>
              <w:b w:val="0"/>
              <w:bCs w:val="0"/>
              <w:color w:val="auto"/>
            </w:rPr>
            <w:fldChar w:fldCharType="begin"/>
          </w:r>
          <w:r>
            <w:rPr>
              <w:rFonts w:hint="eastAsia" w:ascii="宋体" w:hAnsi="宋体" w:eastAsia="宋体" w:cs="宋体"/>
              <w:b w:val="0"/>
              <w:bCs w:val="0"/>
              <w:color w:val="auto"/>
            </w:rPr>
            <w:instrText xml:space="preserve"> PAGEREF _Toc13128 \h </w:instrText>
          </w:r>
          <w:r>
            <w:rPr>
              <w:rFonts w:hint="eastAsia" w:ascii="宋体" w:hAnsi="宋体" w:eastAsia="宋体" w:cs="宋体"/>
              <w:b w:val="0"/>
              <w:bCs w:val="0"/>
              <w:color w:val="auto"/>
            </w:rPr>
            <w:fldChar w:fldCharType="separate"/>
          </w:r>
          <w:r>
            <w:rPr>
              <w:rFonts w:hint="eastAsia" w:ascii="宋体" w:hAnsi="宋体" w:eastAsia="宋体" w:cs="宋体"/>
              <w:b w:val="0"/>
              <w:bCs w:val="0"/>
              <w:color w:val="auto"/>
            </w:rPr>
            <w:t>28</w:t>
          </w:r>
          <w:r>
            <w:rPr>
              <w:rFonts w:hint="eastAsia" w:ascii="宋体" w:hAnsi="宋体" w:eastAsia="宋体" w:cs="宋体"/>
              <w:b w:val="0"/>
              <w:bCs w:val="0"/>
              <w:color w:val="auto"/>
            </w:rPr>
            <w:fldChar w:fldCharType="end"/>
          </w:r>
          <w:r>
            <w:rPr>
              <w:rFonts w:hint="eastAsia" w:ascii="宋体" w:hAnsi="宋体" w:eastAsia="宋体" w:cs="宋体"/>
              <w:b w:val="0"/>
              <w:bCs w:val="0"/>
              <w:color w:val="auto"/>
              <w:szCs w:val="28"/>
            </w:rPr>
            <w:fldChar w:fldCharType="end"/>
          </w:r>
        </w:p>
        <w:p w14:paraId="0CB7DEBD">
          <w:pPr>
            <w:keepNext w:val="0"/>
            <w:keepLines w:val="0"/>
            <w:pageBreakBefore w:val="0"/>
            <w:widowControl/>
            <w:kinsoku/>
            <w:wordWrap w:val="0"/>
            <w:overflowPunct/>
            <w:topLinePunct/>
            <w:autoSpaceDE/>
            <w:autoSpaceDN/>
            <w:bidi w:val="0"/>
            <w:adjustRightInd w:val="0"/>
            <w:snapToGrid w:val="0"/>
            <w:spacing w:line="480" w:lineRule="auto"/>
            <w:jc w:val="both"/>
            <w:textAlignment w:val="baseline"/>
            <w:rPr>
              <w:rFonts w:hint="eastAsia" w:ascii="宋体" w:hAnsi="宋体" w:eastAsia="宋体" w:cs="宋体"/>
              <w:snapToGrid w:val="0"/>
              <w:color w:val="auto"/>
              <w:kern w:val="0"/>
              <w:sz w:val="21"/>
              <w:szCs w:val="28"/>
              <w:lang w:val="en-US" w:eastAsia="en-US" w:bidi="ar-SA"/>
            </w:rPr>
          </w:pPr>
          <w:r>
            <w:rPr>
              <w:rFonts w:hint="eastAsia" w:ascii="宋体" w:hAnsi="宋体" w:eastAsia="宋体" w:cs="宋体"/>
              <w:b w:val="0"/>
              <w:bCs w:val="0"/>
              <w:color w:val="auto"/>
              <w:szCs w:val="28"/>
            </w:rPr>
            <w:fldChar w:fldCharType="end"/>
          </w:r>
        </w:p>
      </w:sdtContent>
    </w:sdt>
    <w:p w14:paraId="068D0967">
      <w:pPr>
        <w:pageBreakBefore w:val="0"/>
        <w:kinsoku/>
        <w:wordWrap w:val="0"/>
        <w:overflowPunct/>
        <w:topLinePunct/>
        <w:autoSpaceDE/>
        <w:autoSpaceDN/>
        <w:bidi w:val="0"/>
        <w:rPr>
          <w:rFonts w:hint="eastAsia" w:ascii="宋体" w:hAnsi="宋体" w:eastAsia="宋体" w:cs="宋体"/>
          <w:color w:val="auto"/>
          <w:lang w:val="en-US" w:eastAsia="en-US"/>
        </w:rPr>
      </w:pPr>
    </w:p>
    <w:p w14:paraId="0A30E82F">
      <w:pPr>
        <w:pageBreakBefore w:val="0"/>
        <w:kinsoku/>
        <w:wordWrap w:val="0"/>
        <w:overflowPunct/>
        <w:topLinePunct/>
        <w:autoSpaceDE/>
        <w:autoSpaceDN/>
        <w:bidi w:val="0"/>
        <w:rPr>
          <w:rFonts w:hint="eastAsia" w:ascii="宋体" w:hAnsi="宋体" w:eastAsia="宋体" w:cs="宋体"/>
          <w:color w:val="auto"/>
          <w:lang w:val="en-US" w:eastAsia="en-US"/>
        </w:rPr>
      </w:pPr>
    </w:p>
    <w:p w14:paraId="385BEE10">
      <w:pPr>
        <w:pageBreakBefore w:val="0"/>
        <w:kinsoku/>
        <w:wordWrap w:val="0"/>
        <w:overflowPunct/>
        <w:topLinePunct/>
        <w:autoSpaceDE/>
        <w:autoSpaceDN/>
        <w:bidi w:val="0"/>
        <w:rPr>
          <w:rFonts w:hint="eastAsia" w:ascii="宋体" w:hAnsi="宋体" w:eastAsia="宋体" w:cs="宋体"/>
          <w:color w:val="auto"/>
          <w:lang w:val="en-US" w:eastAsia="en-US"/>
        </w:rPr>
      </w:pPr>
    </w:p>
    <w:p w14:paraId="142C70DC">
      <w:pPr>
        <w:pageBreakBefore w:val="0"/>
        <w:kinsoku/>
        <w:wordWrap w:val="0"/>
        <w:overflowPunct/>
        <w:topLinePunct/>
        <w:autoSpaceDE/>
        <w:autoSpaceDN/>
        <w:bidi w:val="0"/>
        <w:rPr>
          <w:rFonts w:hint="eastAsia" w:ascii="宋体" w:hAnsi="宋体" w:eastAsia="宋体" w:cs="宋体"/>
          <w:color w:val="auto"/>
          <w:lang w:val="en-US" w:eastAsia="en-US"/>
        </w:rPr>
      </w:pPr>
    </w:p>
    <w:p w14:paraId="7AF60746">
      <w:pPr>
        <w:pageBreakBefore w:val="0"/>
        <w:kinsoku/>
        <w:wordWrap w:val="0"/>
        <w:overflowPunct/>
        <w:topLinePunct/>
        <w:autoSpaceDE/>
        <w:autoSpaceDN/>
        <w:bidi w:val="0"/>
        <w:rPr>
          <w:rFonts w:hint="eastAsia" w:ascii="宋体" w:hAnsi="宋体" w:eastAsia="宋体" w:cs="宋体"/>
          <w:color w:val="auto"/>
          <w:lang w:val="en-US" w:eastAsia="en-US"/>
        </w:rPr>
      </w:pPr>
    </w:p>
    <w:p w14:paraId="5BB92D31">
      <w:pPr>
        <w:pageBreakBefore w:val="0"/>
        <w:kinsoku/>
        <w:wordWrap w:val="0"/>
        <w:overflowPunct/>
        <w:topLinePunct/>
        <w:autoSpaceDE/>
        <w:autoSpaceDN/>
        <w:bidi w:val="0"/>
        <w:rPr>
          <w:rFonts w:hint="eastAsia" w:ascii="宋体" w:hAnsi="宋体" w:eastAsia="宋体" w:cs="宋体"/>
          <w:color w:val="auto"/>
          <w:lang w:val="en-US" w:eastAsia="en-US"/>
        </w:rPr>
      </w:pPr>
    </w:p>
    <w:p w14:paraId="5270323B">
      <w:pPr>
        <w:pageBreakBefore w:val="0"/>
        <w:kinsoku/>
        <w:wordWrap w:val="0"/>
        <w:overflowPunct/>
        <w:topLinePunct/>
        <w:autoSpaceDE/>
        <w:autoSpaceDN/>
        <w:bidi w:val="0"/>
        <w:rPr>
          <w:rFonts w:hint="eastAsia" w:ascii="宋体" w:hAnsi="宋体" w:eastAsia="宋体" w:cs="宋体"/>
          <w:color w:val="auto"/>
          <w:lang w:val="en-US" w:eastAsia="en-US"/>
        </w:rPr>
      </w:pPr>
    </w:p>
    <w:p w14:paraId="4FC5C3C4">
      <w:pPr>
        <w:pageBreakBefore w:val="0"/>
        <w:kinsoku/>
        <w:wordWrap w:val="0"/>
        <w:overflowPunct/>
        <w:topLinePunct/>
        <w:autoSpaceDE/>
        <w:autoSpaceDN/>
        <w:bidi w:val="0"/>
        <w:rPr>
          <w:rFonts w:hint="eastAsia" w:ascii="宋体" w:hAnsi="宋体" w:eastAsia="宋体" w:cs="宋体"/>
          <w:color w:val="auto"/>
          <w:lang w:val="en-US" w:eastAsia="en-US"/>
        </w:rPr>
      </w:pPr>
    </w:p>
    <w:p w14:paraId="5E7DC656">
      <w:pPr>
        <w:pageBreakBefore w:val="0"/>
        <w:kinsoku/>
        <w:wordWrap w:val="0"/>
        <w:overflowPunct/>
        <w:topLinePunct/>
        <w:autoSpaceDE/>
        <w:autoSpaceDN/>
        <w:bidi w:val="0"/>
        <w:rPr>
          <w:rFonts w:hint="eastAsia" w:ascii="宋体" w:hAnsi="宋体" w:eastAsia="宋体" w:cs="宋体"/>
          <w:color w:val="auto"/>
          <w:lang w:val="en-US" w:eastAsia="en-US"/>
        </w:rPr>
      </w:pPr>
    </w:p>
    <w:p w14:paraId="667746FD">
      <w:pPr>
        <w:pageBreakBefore w:val="0"/>
        <w:kinsoku/>
        <w:wordWrap w:val="0"/>
        <w:overflowPunct/>
        <w:topLinePunct/>
        <w:autoSpaceDE/>
        <w:autoSpaceDN/>
        <w:bidi w:val="0"/>
        <w:rPr>
          <w:rFonts w:hint="eastAsia" w:ascii="宋体" w:hAnsi="宋体" w:eastAsia="宋体" w:cs="宋体"/>
          <w:color w:val="auto"/>
          <w:lang w:val="en-US" w:eastAsia="en-US"/>
        </w:rPr>
      </w:pPr>
    </w:p>
    <w:p w14:paraId="0F0BFCE8">
      <w:pPr>
        <w:pageBreakBefore w:val="0"/>
        <w:kinsoku/>
        <w:wordWrap w:val="0"/>
        <w:overflowPunct/>
        <w:topLinePunct/>
        <w:autoSpaceDE/>
        <w:autoSpaceDN/>
        <w:bidi w:val="0"/>
        <w:rPr>
          <w:rFonts w:hint="eastAsia" w:ascii="宋体" w:hAnsi="宋体" w:eastAsia="宋体" w:cs="宋体"/>
          <w:color w:val="auto"/>
          <w:lang w:val="en-US" w:eastAsia="en-US"/>
        </w:rPr>
      </w:pPr>
    </w:p>
    <w:p w14:paraId="719FA811">
      <w:pPr>
        <w:pageBreakBefore w:val="0"/>
        <w:kinsoku/>
        <w:wordWrap w:val="0"/>
        <w:overflowPunct/>
        <w:topLinePunct/>
        <w:autoSpaceDE/>
        <w:autoSpaceDN/>
        <w:bidi w:val="0"/>
        <w:rPr>
          <w:rFonts w:hint="eastAsia" w:ascii="宋体" w:hAnsi="宋体" w:eastAsia="宋体" w:cs="宋体"/>
          <w:color w:val="auto"/>
          <w:lang w:val="en-US" w:eastAsia="en-US"/>
        </w:rPr>
      </w:pPr>
    </w:p>
    <w:p w14:paraId="1015E8E5">
      <w:pPr>
        <w:pageBreakBefore w:val="0"/>
        <w:tabs>
          <w:tab w:val="left" w:pos="6939"/>
        </w:tabs>
        <w:kinsoku/>
        <w:wordWrap w:val="0"/>
        <w:overflowPunct/>
        <w:topLinePunct/>
        <w:autoSpaceDE/>
        <w:autoSpaceDN/>
        <w:bidi w:val="0"/>
        <w:jc w:val="left"/>
        <w:rPr>
          <w:rFonts w:hint="eastAsia" w:ascii="宋体" w:hAnsi="宋体" w:eastAsia="宋体" w:cs="宋体"/>
          <w:color w:val="auto"/>
          <w:lang w:val="en-US" w:eastAsia="zh-CN"/>
        </w:rPr>
        <w:sectPr>
          <w:footerReference r:id="rId5" w:type="default"/>
          <w:pgSz w:w="11906" w:h="16839"/>
          <w:pgMar w:top="1431" w:right="1415" w:bottom="1348" w:left="1426" w:header="0" w:footer="1186" w:gutter="0"/>
          <w:pgNumType w:fmt="decimal" w:start="1"/>
          <w:cols w:space="720" w:num="1"/>
        </w:sectPr>
      </w:pPr>
      <w:r>
        <w:rPr>
          <w:rFonts w:hint="eastAsia" w:ascii="宋体" w:hAnsi="宋体" w:eastAsia="宋体" w:cs="宋体"/>
          <w:color w:val="auto"/>
          <w:lang w:val="en-US" w:eastAsia="zh-CN"/>
        </w:rPr>
        <w:tab/>
      </w:r>
    </w:p>
    <w:p w14:paraId="260CC3E9">
      <w:pPr>
        <w:pStyle w:val="50"/>
        <w:widowControl/>
        <w:ind w:left="0" w:leftChars="0" w:firstLine="640" w:firstLineChars="200"/>
        <w:outlineLvl w:val="0"/>
      </w:pPr>
      <w:bookmarkStart w:id="1" w:name="_Toc26007"/>
      <w:r>
        <w:t xml:space="preserve">第一章 </w:t>
      </w:r>
      <w:bookmarkEnd w:id="1"/>
      <w:r>
        <w:t>谈判邀请函</w:t>
      </w:r>
    </w:p>
    <w:p w14:paraId="4E34B441">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bCs/>
          <w:sz w:val="21"/>
          <w:szCs w:val="21"/>
        </w:rPr>
      </w:pPr>
      <w:bookmarkStart w:id="2" w:name="_Toc9187"/>
      <w:r>
        <w:rPr>
          <w:rStyle w:val="27"/>
          <w:b/>
          <w:bCs/>
          <w:i w:val="0"/>
          <w:iCs w:val="0"/>
          <w:caps w:val="0"/>
          <w:color w:val="333333"/>
          <w:spacing w:val="0"/>
          <w:sz w:val="21"/>
          <w:szCs w:val="21"/>
          <w:shd w:val="clear" w:fill="FFFFFF"/>
        </w:rPr>
        <w:t>项目概况</w:t>
      </w:r>
    </w:p>
    <w:p w14:paraId="6060754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color w:val="000000" w:themeColor="text1"/>
          <w:sz w:val="21"/>
          <w:szCs w:val="21"/>
          <w14:textFill>
            <w14:solidFill>
              <w14:schemeClr w14:val="tx1"/>
            </w14:solidFill>
          </w14:textFill>
        </w:rPr>
      </w:pPr>
      <w:r>
        <w:rPr>
          <w:rFonts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榆林高新十三小校园环境营造建设项目</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采购项目的潜在供应商应在投标人应提供单位介绍信原件、经办人身份证原件及复印件加盖单位公章在陕西新胜项目管理有限公司（陕西省榆林市航宇路石化家属院三单元201室）获取采购文件，并于 2025年08月29日 08时00分 （北京时间）前提交响应文件。</w:t>
      </w:r>
    </w:p>
    <w:p w14:paraId="155F132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bCs/>
          <w:i w:val="0"/>
          <w:iCs w:val="0"/>
          <w:caps w:val="0"/>
          <w:color w:val="000000" w:themeColor="text1"/>
          <w:spacing w:val="0"/>
          <w:sz w:val="21"/>
          <w:szCs w:val="21"/>
          <w14:textFill>
            <w14:solidFill>
              <w14:schemeClr w14:val="tx1"/>
            </w14:solidFill>
          </w14:textFill>
        </w:rPr>
      </w:pPr>
      <w:r>
        <w:rPr>
          <w:rStyle w:val="27"/>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一、项目基本情况</w:t>
      </w:r>
    </w:p>
    <w:p w14:paraId="43A04D1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项目编号：SXXS2025-FW-046</w:t>
      </w:r>
    </w:p>
    <w:p w14:paraId="4C8F1F1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项目名称：榆林高新十三小校园环境营造建设项目</w:t>
      </w:r>
    </w:p>
    <w:p w14:paraId="328A75B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采购方式：竞争性谈判</w:t>
      </w:r>
    </w:p>
    <w:p w14:paraId="3A87CD5A">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预算金额：227,472.00元</w:t>
      </w:r>
    </w:p>
    <w:p w14:paraId="0ABC9904">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采购需求：</w:t>
      </w:r>
    </w:p>
    <w:p w14:paraId="22932ED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合同包1(榆林高新十三小校园环境营造建设项目):</w:t>
      </w:r>
    </w:p>
    <w:p w14:paraId="2B63B681">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合同包预算金额：227,472.00元</w:t>
      </w:r>
    </w:p>
    <w:p w14:paraId="2379595A">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合同包最高限价：227,472.00元</w:t>
      </w:r>
    </w:p>
    <w:tbl>
      <w:tblPr>
        <w:tblStyle w:val="24"/>
        <w:tblW w:w="100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6"/>
        <w:gridCol w:w="2365"/>
        <w:gridCol w:w="3243"/>
        <w:gridCol w:w="875"/>
        <w:gridCol w:w="1638"/>
        <w:gridCol w:w="1290"/>
      </w:tblGrid>
      <w:tr w14:paraId="451EEF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672373">
            <w:pPr>
              <w:keepNext w:val="0"/>
              <w:keepLines w:val="0"/>
              <w:widowControl/>
              <w:suppressLineNumbers w:val="0"/>
              <w:wordWrap w:val="0"/>
              <w:spacing w:before="0" w:beforeAutospacing="0" w:after="0" w:afterAutospacing="0" w:line="360" w:lineRule="atLeast"/>
              <w:ind w:left="0" w:right="0"/>
              <w:jc w:val="center"/>
              <w:rPr>
                <w:b/>
                <w:bCs/>
                <w:color w:val="000000" w:themeColor="text1"/>
                <w:sz w:val="21"/>
                <w:szCs w:val="21"/>
                <w14:textFill>
                  <w14:solidFill>
                    <w14:schemeClr w14:val="tx1"/>
                  </w14:solidFill>
                </w14:textFill>
              </w:rPr>
            </w:pPr>
            <w:r>
              <w:rPr>
                <w:rFonts w:ascii="宋体" w:hAnsi="宋体" w:eastAsia="宋体" w:cs="宋体"/>
                <w:b/>
                <w:bCs/>
                <w:snapToGrid w:val="0"/>
                <w:color w:val="000000" w:themeColor="text1"/>
                <w:kern w:val="0"/>
                <w:sz w:val="21"/>
                <w:szCs w:val="21"/>
                <w:lang w:val="en-US" w:eastAsia="zh-CN" w:bidi="ar"/>
                <w14:textFill>
                  <w14:solidFill>
                    <w14:schemeClr w14:val="tx1"/>
                  </w14:solidFill>
                </w14:textFill>
              </w:rPr>
              <w:t>品目号</w:t>
            </w:r>
          </w:p>
        </w:tc>
        <w:tc>
          <w:tcPr>
            <w:tcW w:w="2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182A79">
            <w:pPr>
              <w:keepNext w:val="0"/>
              <w:keepLines w:val="0"/>
              <w:widowControl/>
              <w:suppressLineNumbers w:val="0"/>
              <w:wordWrap w:val="0"/>
              <w:spacing w:before="0" w:beforeAutospacing="0" w:after="0" w:afterAutospacing="0" w:line="360" w:lineRule="atLeast"/>
              <w:ind w:left="0" w:right="0"/>
              <w:jc w:val="center"/>
              <w:rPr>
                <w:b/>
                <w:bCs/>
                <w:color w:val="000000" w:themeColor="text1"/>
                <w:sz w:val="21"/>
                <w:szCs w:val="21"/>
                <w14:textFill>
                  <w14:solidFill>
                    <w14:schemeClr w14:val="tx1"/>
                  </w14:solidFill>
                </w14:textFill>
              </w:rPr>
            </w:pPr>
            <w:r>
              <w:rPr>
                <w:rFonts w:ascii="宋体" w:hAnsi="宋体" w:eastAsia="宋体" w:cs="宋体"/>
                <w:b/>
                <w:bCs/>
                <w:snapToGrid w:val="0"/>
                <w:color w:val="000000" w:themeColor="text1"/>
                <w:kern w:val="0"/>
                <w:sz w:val="21"/>
                <w:szCs w:val="21"/>
                <w:lang w:val="en-US" w:eastAsia="zh-CN" w:bidi="ar"/>
                <w14:textFill>
                  <w14:solidFill>
                    <w14:schemeClr w14:val="tx1"/>
                  </w14:solidFill>
                </w14:textFill>
              </w:rPr>
              <w:t>品目名称</w:t>
            </w:r>
          </w:p>
        </w:tc>
        <w:tc>
          <w:tcPr>
            <w:tcW w:w="2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7F1D79">
            <w:pPr>
              <w:keepNext w:val="0"/>
              <w:keepLines w:val="0"/>
              <w:widowControl/>
              <w:suppressLineNumbers w:val="0"/>
              <w:wordWrap w:val="0"/>
              <w:spacing w:before="0" w:beforeAutospacing="0" w:after="0" w:afterAutospacing="0" w:line="360" w:lineRule="atLeast"/>
              <w:ind w:left="0" w:right="0"/>
              <w:jc w:val="center"/>
              <w:rPr>
                <w:b/>
                <w:bCs/>
                <w:color w:val="000000" w:themeColor="text1"/>
                <w:sz w:val="21"/>
                <w:szCs w:val="21"/>
                <w14:textFill>
                  <w14:solidFill>
                    <w14:schemeClr w14:val="tx1"/>
                  </w14:solidFill>
                </w14:textFill>
              </w:rPr>
            </w:pPr>
            <w:r>
              <w:rPr>
                <w:rFonts w:ascii="宋体" w:hAnsi="宋体" w:eastAsia="宋体" w:cs="宋体"/>
                <w:b/>
                <w:bCs/>
                <w:snapToGrid w:val="0"/>
                <w:color w:val="000000" w:themeColor="text1"/>
                <w:kern w:val="0"/>
                <w:sz w:val="21"/>
                <w:szCs w:val="21"/>
                <w:lang w:val="en-US" w:eastAsia="zh-CN" w:bidi="ar"/>
                <w14:textFill>
                  <w14:solidFill>
                    <w14:schemeClr w14:val="tx1"/>
                  </w14:solidFill>
                </w14:textFill>
              </w:rPr>
              <w:t>采购标的</w:t>
            </w:r>
          </w:p>
        </w:tc>
        <w:tc>
          <w:tcPr>
            <w:tcW w:w="9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54D822">
            <w:pPr>
              <w:keepNext w:val="0"/>
              <w:keepLines w:val="0"/>
              <w:widowControl/>
              <w:suppressLineNumbers w:val="0"/>
              <w:wordWrap w:val="0"/>
              <w:spacing w:before="0" w:beforeAutospacing="0" w:after="0" w:afterAutospacing="0" w:line="360" w:lineRule="atLeast"/>
              <w:ind w:left="0" w:right="0"/>
              <w:jc w:val="center"/>
              <w:rPr>
                <w:b/>
                <w:bCs/>
                <w:color w:val="000000" w:themeColor="text1"/>
                <w:sz w:val="21"/>
                <w:szCs w:val="21"/>
                <w14:textFill>
                  <w14:solidFill>
                    <w14:schemeClr w14:val="tx1"/>
                  </w14:solidFill>
                </w14:textFill>
              </w:rPr>
            </w:pPr>
            <w:r>
              <w:rPr>
                <w:rFonts w:ascii="宋体" w:hAnsi="宋体" w:eastAsia="宋体" w:cs="宋体"/>
                <w:b/>
                <w:bCs/>
                <w:snapToGrid w:val="0"/>
                <w:color w:val="000000" w:themeColor="text1"/>
                <w:kern w:val="0"/>
                <w:sz w:val="21"/>
                <w:szCs w:val="21"/>
                <w:lang w:val="en-US" w:eastAsia="zh-CN" w:bidi="ar"/>
                <w14:textFill>
                  <w14:solidFill>
                    <w14:schemeClr w14:val="tx1"/>
                  </w14:solidFill>
                </w14:textFill>
              </w:rPr>
              <w:t>数量（单位）</w:t>
            </w:r>
          </w:p>
        </w:tc>
        <w:tc>
          <w:tcPr>
            <w:tcW w:w="18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790060">
            <w:pPr>
              <w:keepNext w:val="0"/>
              <w:keepLines w:val="0"/>
              <w:widowControl/>
              <w:suppressLineNumbers w:val="0"/>
              <w:wordWrap w:val="0"/>
              <w:spacing w:before="0" w:beforeAutospacing="0" w:after="0" w:afterAutospacing="0" w:line="360" w:lineRule="atLeast"/>
              <w:ind w:left="0" w:right="0"/>
              <w:jc w:val="center"/>
              <w:rPr>
                <w:b/>
                <w:bCs/>
                <w:color w:val="000000" w:themeColor="text1"/>
                <w:sz w:val="21"/>
                <w:szCs w:val="21"/>
                <w14:textFill>
                  <w14:solidFill>
                    <w14:schemeClr w14:val="tx1"/>
                  </w14:solidFill>
                </w14:textFill>
              </w:rPr>
            </w:pPr>
            <w:r>
              <w:rPr>
                <w:rFonts w:ascii="宋体" w:hAnsi="宋体" w:eastAsia="宋体" w:cs="宋体"/>
                <w:b/>
                <w:bCs/>
                <w:snapToGrid w:val="0"/>
                <w:color w:val="000000" w:themeColor="text1"/>
                <w:kern w:val="0"/>
                <w:sz w:val="21"/>
                <w:szCs w:val="21"/>
                <w:lang w:val="en-US" w:eastAsia="zh-CN" w:bidi="ar"/>
                <w14:textFill>
                  <w14:solidFill>
                    <w14:schemeClr w14:val="tx1"/>
                  </w14:solidFill>
                </w14:textFill>
              </w:rPr>
              <w:t>技术规格、参数及要求</w:t>
            </w:r>
          </w:p>
        </w:tc>
        <w:tc>
          <w:tcPr>
            <w:tcW w:w="11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A42F32">
            <w:pPr>
              <w:keepNext w:val="0"/>
              <w:keepLines w:val="0"/>
              <w:widowControl/>
              <w:suppressLineNumbers w:val="0"/>
              <w:wordWrap w:val="0"/>
              <w:spacing w:before="0" w:beforeAutospacing="0" w:after="0" w:afterAutospacing="0" w:line="360" w:lineRule="atLeast"/>
              <w:ind w:left="0" w:right="0"/>
              <w:jc w:val="center"/>
              <w:rPr>
                <w:b/>
                <w:bCs/>
                <w:color w:val="000000" w:themeColor="text1"/>
                <w:sz w:val="21"/>
                <w:szCs w:val="21"/>
                <w14:textFill>
                  <w14:solidFill>
                    <w14:schemeClr w14:val="tx1"/>
                  </w14:solidFill>
                </w14:textFill>
              </w:rPr>
            </w:pPr>
            <w:r>
              <w:rPr>
                <w:rFonts w:ascii="宋体" w:hAnsi="宋体" w:eastAsia="宋体" w:cs="宋体"/>
                <w:b/>
                <w:bCs/>
                <w:snapToGrid w:val="0"/>
                <w:color w:val="000000" w:themeColor="text1"/>
                <w:kern w:val="0"/>
                <w:sz w:val="21"/>
                <w:szCs w:val="21"/>
                <w:lang w:val="en-US" w:eastAsia="zh-CN" w:bidi="ar"/>
                <w14:textFill>
                  <w14:solidFill>
                    <w14:schemeClr w14:val="tx1"/>
                  </w14:solidFill>
                </w14:textFill>
              </w:rPr>
              <w:t>品目预算(元)</w:t>
            </w:r>
          </w:p>
        </w:tc>
      </w:tr>
      <w:tr w14:paraId="69D10D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29DAC3">
            <w:pPr>
              <w:keepNext w:val="0"/>
              <w:keepLines w:val="0"/>
              <w:widowControl/>
              <w:suppressLineNumbers w:val="0"/>
              <w:wordWrap w:val="0"/>
              <w:spacing w:before="0" w:beforeAutospacing="0" w:after="0" w:afterAutospacing="0" w:line="360" w:lineRule="atLeast"/>
              <w:ind w:left="0" w:right="0"/>
              <w:jc w:val="center"/>
              <w:rPr>
                <w:color w:val="000000" w:themeColor="text1"/>
                <w:sz w:val="21"/>
                <w:szCs w:val="21"/>
                <w14:textFill>
                  <w14:solidFill>
                    <w14:schemeClr w14:val="tx1"/>
                  </w14:solidFill>
                </w14:textFill>
              </w:rPr>
            </w:pPr>
            <w:r>
              <w:rPr>
                <w:rFonts w:ascii="宋体" w:hAnsi="宋体" w:eastAsia="宋体" w:cs="宋体"/>
                <w:snapToGrid w:val="0"/>
                <w:color w:val="000000" w:themeColor="text1"/>
                <w:kern w:val="0"/>
                <w:sz w:val="21"/>
                <w:szCs w:val="21"/>
                <w:lang w:val="en-US" w:eastAsia="zh-CN" w:bidi="ar"/>
                <w14:textFill>
                  <w14:solidFill>
                    <w14:schemeClr w14:val="tx1"/>
                  </w14:solidFill>
                </w14:textFill>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A769B1">
            <w:pPr>
              <w:keepNext w:val="0"/>
              <w:keepLines w:val="0"/>
              <w:widowControl/>
              <w:suppressLineNumbers w:val="0"/>
              <w:wordWrap w:val="0"/>
              <w:spacing w:before="0" w:beforeAutospacing="0" w:after="0" w:afterAutospacing="0" w:line="360" w:lineRule="atLeast"/>
              <w:ind w:left="0" w:right="0"/>
              <w:jc w:val="center"/>
              <w:rPr>
                <w:color w:val="000000" w:themeColor="text1"/>
                <w:sz w:val="21"/>
                <w:szCs w:val="21"/>
                <w14:textFill>
                  <w14:solidFill>
                    <w14:schemeClr w14:val="tx1"/>
                  </w14:solidFill>
                </w14:textFill>
              </w:rPr>
            </w:pPr>
            <w:r>
              <w:rPr>
                <w:rFonts w:ascii="宋体" w:hAnsi="宋体" w:eastAsia="宋体" w:cs="宋体"/>
                <w:snapToGrid w:val="0"/>
                <w:color w:val="000000" w:themeColor="text1"/>
                <w:kern w:val="0"/>
                <w:sz w:val="21"/>
                <w:szCs w:val="21"/>
                <w:lang w:val="en-US" w:eastAsia="zh-CN" w:bidi="ar"/>
                <w14:textFill>
                  <w14:solidFill>
                    <w14:schemeClr w14:val="tx1"/>
                  </w14:solidFill>
                </w14:textFill>
              </w:rPr>
              <w:t>广告宣传服务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D11ACC">
            <w:pPr>
              <w:keepNext w:val="0"/>
              <w:keepLines w:val="0"/>
              <w:widowControl/>
              <w:suppressLineNumbers w:val="0"/>
              <w:wordWrap w:val="0"/>
              <w:spacing w:before="0" w:beforeAutospacing="0" w:after="0" w:afterAutospacing="0" w:line="360" w:lineRule="atLeast"/>
              <w:ind w:left="0" w:right="0"/>
              <w:jc w:val="center"/>
              <w:rPr>
                <w:color w:val="000000" w:themeColor="text1"/>
                <w:sz w:val="21"/>
                <w:szCs w:val="21"/>
                <w14:textFill>
                  <w14:solidFill>
                    <w14:schemeClr w14:val="tx1"/>
                  </w14:solidFill>
                </w14:textFill>
              </w:rPr>
            </w:pPr>
            <w:r>
              <w:rPr>
                <w:rFonts w:ascii="宋体" w:hAnsi="宋体" w:eastAsia="宋体" w:cs="宋体"/>
                <w:snapToGrid w:val="0"/>
                <w:color w:val="000000" w:themeColor="text1"/>
                <w:kern w:val="0"/>
                <w:sz w:val="21"/>
                <w:szCs w:val="21"/>
                <w:lang w:val="en-US" w:eastAsia="zh-CN" w:bidi="ar"/>
                <w14:textFill>
                  <w14:solidFill>
                    <w14:schemeClr w14:val="tx1"/>
                  </w14:solidFill>
                </w14:textFill>
              </w:rPr>
              <w:t>榆林高新十三小校园环境营造建设项目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547D59">
            <w:pPr>
              <w:keepNext w:val="0"/>
              <w:keepLines w:val="0"/>
              <w:widowControl/>
              <w:suppressLineNumbers w:val="0"/>
              <w:wordWrap w:val="0"/>
              <w:spacing w:before="0" w:beforeAutospacing="0" w:after="0" w:afterAutospacing="0" w:line="360" w:lineRule="atLeast"/>
              <w:ind w:left="0" w:right="0"/>
              <w:jc w:val="center"/>
              <w:rPr>
                <w:color w:val="000000" w:themeColor="text1"/>
                <w:sz w:val="21"/>
                <w:szCs w:val="21"/>
                <w14:textFill>
                  <w14:solidFill>
                    <w14:schemeClr w14:val="tx1"/>
                  </w14:solidFill>
                </w14:textFill>
              </w:rPr>
            </w:pPr>
            <w:r>
              <w:rPr>
                <w:rFonts w:ascii="宋体" w:hAnsi="宋体" w:eastAsia="宋体" w:cs="宋体"/>
                <w:snapToGrid w:val="0"/>
                <w:color w:val="000000" w:themeColor="text1"/>
                <w:kern w:val="0"/>
                <w:sz w:val="21"/>
                <w:szCs w:val="21"/>
                <w:lang w:val="en-US" w:eastAsia="zh-CN" w:bidi="ar"/>
                <w14:textFill>
                  <w14:solidFill>
                    <w14:schemeClr w14:val="tx1"/>
                  </w14:solidFill>
                </w14:textFill>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7903B9">
            <w:pPr>
              <w:keepNext w:val="0"/>
              <w:keepLines w:val="0"/>
              <w:widowControl/>
              <w:suppressLineNumbers w:val="0"/>
              <w:wordWrap w:val="0"/>
              <w:spacing w:before="0" w:beforeAutospacing="0" w:after="0" w:afterAutospacing="0" w:line="360" w:lineRule="atLeast"/>
              <w:ind w:left="0" w:right="0"/>
              <w:jc w:val="center"/>
              <w:rPr>
                <w:color w:val="000000" w:themeColor="text1"/>
                <w:sz w:val="21"/>
                <w:szCs w:val="21"/>
                <w14:textFill>
                  <w14:solidFill>
                    <w14:schemeClr w14:val="tx1"/>
                  </w14:solidFill>
                </w14:textFill>
              </w:rPr>
            </w:pPr>
            <w:r>
              <w:rPr>
                <w:rFonts w:ascii="宋体" w:hAnsi="宋体" w:eastAsia="宋体" w:cs="宋体"/>
                <w:snapToGrid w:val="0"/>
                <w:color w:val="000000" w:themeColor="text1"/>
                <w:kern w:val="0"/>
                <w:sz w:val="21"/>
                <w:szCs w:val="21"/>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93171E">
            <w:pPr>
              <w:keepNext w:val="0"/>
              <w:keepLines w:val="0"/>
              <w:widowControl/>
              <w:suppressLineNumbers w:val="0"/>
              <w:wordWrap/>
              <w:spacing w:before="0" w:beforeAutospacing="0" w:after="0" w:afterAutospacing="0" w:line="360" w:lineRule="atLeast"/>
              <w:ind w:left="0" w:right="0"/>
              <w:jc w:val="right"/>
              <w:rPr>
                <w:color w:val="000000" w:themeColor="text1"/>
                <w:sz w:val="21"/>
                <w:szCs w:val="21"/>
                <w14:textFill>
                  <w14:solidFill>
                    <w14:schemeClr w14:val="tx1"/>
                  </w14:solidFill>
                </w14:textFill>
              </w:rPr>
            </w:pPr>
            <w:r>
              <w:rPr>
                <w:rFonts w:ascii="宋体" w:hAnsi="宋体" w:eastAsia="宋体" w:cs="宋体"/>
                <w:snapToGrid w:val="0"/>
                <w:color w:val="000000" w:themeColor="text1"/>
                <w:kern w:val="0"/>
                <w:sz w:val="21"/>
                <w:szCs w:val="21"/>
                <w:lang w:val="en-US" w:eastAsia="zh-CN" w:bidi="ar"/>
                <w14:textFill>
                  <w14:solidFill>
                    <w14:schemeClr w14:val="tx1"/>
                  </w14:solidFill>
                </w14:textFill>
              </w:rPr>
              <w:t>227,472.00</w:t>
            </w:r>
          </w:p>
        </w:tc>
      </w:tr>
    </w:tbl>
    <w:p w14:paraId="6977846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本合同包不接受联合体投标</w:t>
      </w:r>
    </w:p>
    <w:p w14:paraId="07DDFF1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合同履行期限：合同签订后60日历天内完成本项目并验收合格</w:t>
      </w:r>
    </w:p>
    <w:p w14:paraId="329625A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bCs/>
          <w:i w:val="0"/>
          <w:iCs w:val="0"/>
          <w:caps w:val="0"/>
          <w:color w:val="000000" w:themeColor="text1"/>
          <w:spacing w:val="0"/>
          <w:sz w:val="21"/>
          <w:szCs w:val="21"/>
          <w14:textFill>
            <w14:solidFill>
              <w14:schemeClr w14:val="tx1"/>
            </w14:solidFill>
          </w14:textFill>
        </w:rPr>
      </w:pPr>
      <w:r>
        <w:rPr>
          <w:rStyle w:val="27"/>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二、申请人的资格要求：</w:t>
      </w:r>
    </w:p>
    <w:p w14:paraId="2AE3C60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1.满足《中华人民共和国政府采购法》第二十二条规定;</w:t>
      </w:r>
    </w:p>
    <w:p w14:paraId="55DD478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2.落实政府采购政策需满足的资格要求：</w:t>
      </w:r>
    </w:p>
    <w:p w14:paraId="593B590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合同包1(榆林高新十三小校园环境营造建设项目)落实政府采购政策需满足的资格要求如下:</w:t>
      </w:r>
    </w:p>
    <w:p w14:paraId="1B8D82D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合同包1(榆林高新十三小校园环境营造建设项目)落实政府采购政策需满足的资格要求如下:</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br w:type="textWrapping"/>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1）《政府采购促进中小企业发展管理办法》（财库〔2020〕46号）；（2）《陕西省财政厅关于进一步加大政府采购支持中小企业力度的通知》（陕财办采〔2022〕5号）；（3）《榆林市财政局关于进一步加大政府采购支持中小企业力度的通知》（榆政财采发〔2022〕10号）；本项目专门面向小微企业采购；（4）《陕西省财政厅关于印发&lt;陕西省中小企业政府采购信用融资办法&gt;的通知》（陕财办采〔2018〕23号）相关政策、业务流程、办理平台(http://www.ccgp-shaanxi.gov.cn/zcdservice/zcd/shanxi/；（5）《财政部司法部关于政府采购支持监狱企业发展有关问题的通知》（财库〔2014〕68号）；（6）《国务院办公厅关于建立政府强制采购节能产品制度的通知》（国办发〔2007〕51号）；（7）《环境标志产品政府采购实施的意见》（财库[2006]90号）；（8）《节能产品政府采购实施意见》（财库[2004]185号）；（9）《财政部、民政部、中国残疾人联合会关于促进残疾人就业政府采购政策的通知》（财库〔2017〕141号）；（10）《关于在政府采购活动中查询及使用信用记录有关问题的通知》（财库〔2016〕125号）；（11）如有最新颁布的政府采购政策，按最新的文件执行</w:t>
      </w:r>
    </w:p>
    <w:p w14:paraId="558EF2F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3.本项目的特定资格要求：</w:t>
      </w:r>
    </w:p>
    <w:p w14:paraId="6200B195">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合同包1(榆林高新十三小校园环境营造建设项目)特定资格要求如下:</w:t>
      </w:r>
    </w:p>
    <w:p w14:paraId="603B94C3">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合同包1(榆林高新十三小校园环境营造建设项目)特定资格要求如下:</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br w:type="textWrapping"/>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1、投标人应为在中华人民共和国境内依法注册的法人或其他组织，具备有效的营业执照(或事业法人登记证书)；</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br w:type="textWrapping"/>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2、投标人应提供《具有履行合同所必需的设备和专业技术能力的承诺函》，提供1份2022年8月1日至投标截止时间前的类似项目服务业绩合同；</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br w:type="textWrapping"/>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3、投标人应具有良好的商业信誉和健全的财务会计制度，具有依法缴纳税收和社会保障金的良好记录，参加本项目采购活动前三年内无重大违法活动记录。提供《基本资格条件承诺函》；</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br w:type="textWrapping"/>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4、投标人不得列入国家企业信用信息公示系统经营异常名录、严重违法失信名单（黑名单），不得列入信用中国经营异常、严重失信主体名单，不得列入中国执行信息公开网失信被执行人名单；</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br w:type="textWrapping"/>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5、本项目不接受联合体投标。投标单位负责人为同一人或者存在控股、管理关系的不同单位，不得同时参加本项目投标。</w:t>
      </w:r>
    </w:p>
    <w:p w14:paraId="305B666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bCs/>
          <w:i w:val="0"/>
          <w:iCs w:val="0"/>
          <w:caps w:val="0"/>
          <w:color w:val="000000" w:themeColor="text1"/>
          <w:spacing w:val="0"/>
          <w:sz w:val="21"/>
          <w:szCs w:val="21"/>
          <w14:textFill>
            <w14:solidFill>
              <w14:schemeClr w14:val="tx1"/>
            </w14:solidFill>
          </w14:textFill>
        </w:rPr>
      </w:pPr>
      <w:r>
        <w:rPr>
          <w:rStyle w:val="27"/>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三、获取采购文件</w:t>
      </w:r>
    </w:p>
    <w:p w14:paraId="0AC71D1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时间： 2025年08月26日 至 2025年08月28日 ，每天上午 08:00:00 至 12:00:00 ，下午 12:00:00 至 18:00:00 （北京时间）</w:t>
      </w:r>
    </w:p>
    <w:p w14:paraId="2E1E6CC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途径：投标人应提供单位介绍信原件、经办人身份证原件及复印件加盖单位公章在陕西新胜项目管理有限公司（陕西省榆林市航宇路石化家属院三单元201室）</w:t>
      </w:r>
    </w:p>
    <w:p w14:paraId="2ED66BE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方式：现场获取</w:t>
      </w:r>
    </w:p>
    <w:p w14:paraId="43E0561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售价： 0元</w:t>
      </w:r>
    </w:p>
    <w:p w14:paraId="005C8EDC">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四、响应文件提交</w:t>
      </w:r>
    </w:p>
    <w:p w14:paraId="52CF5D2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截止时间： 2025年08月29日 08时00分00秒 （北京时间）</w:t>
      </w:r>
    </w:p>
    <w:p w14:paraId="1370F2C1">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地点：陕西省榆林市沙河路金融中心8楼第七会议室纸质文件递交</w:t>
      </w:r>
    </w:p>
    <w:p w14:paraId="644AC89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五、开启</w:t>
      </w:r>
    </w:p>
    <w:p w14:paraId="666403C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时间： 2025年08月29日 08时00分00秒 （北京时间）</w:t>
      </w:r>
    </w:p>
    <w:p w14:paraId="3808895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地点：陕西省榆林市沙河路金融中心8楼第七会议室</w:t>
      </w:r>
    </w:p>
    <w:p w14:paraId="7350EF9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六、公告期限</w:t>
      </w:r>
    </w:p>
    <w:p w14:paraId="7388AAB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自本公告发布之日起3个工作日。</w:t>
      </w:r>
    </w:p>
    <w:p w14:paraId="46A3107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七、其他补充事宜</w:t>
      </w:r>
    </w:p>
    <w:p w14:paraId="2D89749A">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逾期送达或者未送达指定地点的响应文件，招标人不予受理。</w:t>
      </w:r>
    </w:p>
    <w:p w14:paraId="57BC42E8">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发布网站：《陕西政府采购网》。</w:t>
      </w:r>
    </w:p>
    <w:p w14:paraId="11C496B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如有异议请以书面形式并加盖公章向招标代理机构或招标人或监督部门反映。接收异议的联系人及联系方式：</w:t>
      </w:r>
      <w:r>
        <w:rPr>
          <w:rFonts w:hint="default"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15929020717</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p>
    <w:p w14:paraId="4006A88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1"/>
          <w:szCs w:val="21"/>
          <w:shd w:val="clear" w:fill="FFFFFF"/>
          <w14:textFill>
            <w14:solidFill>
              <w14:schemeClr w14:val="tx1"/>
            </w14:solidFill>
          </w14:textFill>
        </w:rPr>
        <w:t>八、对本次招标提出询问，请按以下方式联系。</w:t>
      </w:r>
    </w:p>
    <w:p w14:paraId="41B6B348">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1.采购人信息</w:t>
      </w:r>
    </w:p>
    <w:p w14:paraId="6FED0B53">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名称：榆林高新区第十三小学</w:t>
      </w:r>
    </w:p>
    <w:p w14:paraId="53BD2B42">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地址：榆林市榆阳区航宇路街道开源大道阳光城璞悦高新十三小</w:t>
      </w:r>
    </w:p>
    <w:p w14:paraId="275D2DBA">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联系方式：13488443902</w:t>
      </w:r>
    </w:p>
    <w:p w14:paraId="7E807F4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2.采购代理机构信息</w:t>
      </w:r>
    </w:p>
    <w:p w14:paraId="6CB817E6">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名称：陕西新胜项目管理有限公司</w:t>
      </w:r>
    </w:p>
    <w:p w14:paraId="189B60C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地址：陕西省西安市长安区陕西省西安市长安区子午大道荣欣一号</w:t>
      </w:r>
    </w:p>
    <w:p w14:paraId="029695E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联系方式：15619895155</w:t>
      </w:r>
    </w:p>
    <w:p w14:paraId="08EF796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3.项目联系方式</w:t>
      </w:r>
    </w:p>
    <w:p w14:paraId="5224539B">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项目联系人：陈思璇</w:t>
      </w:r>
    </w:p>
    <w:p w14:paraId="5D816497">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电话：15619895155</w:t>
      </w:r>
    </w:p>
    <w:p w14:paraId="06521E3E">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right"/>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榆林高新区第十三小学</w:t>
      </w:r>
    </w:p>
    <w:p w14:paraId="353FB6ED">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right"/>
        <w:rPr>
          <w:rFonts w:hint="default" w:ascii="微软雅黑" w:hAnsi="微软雅黑" w:eastAsia="微软雅黑" w:cs="微软雅黑"/>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lang w:val="en-US" w:eastAsia="zh-CN"/>
          <w14:textFill>
            <w14:solidFill>
              <w14:schemeClr w14:val="tx1"/>
            </w14:solidFill>
          </w14:textFill>
        </w:rPr>
        <w:t>2025年08月25日</w:t>
      </w:r>
    </w:p>
    <w:p w14:paraId="12D6B980">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p>
    <w:p w14:paraId="60016174">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p>
    <w:p w14:paraId="438DF99F">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p>
    <w:p w14:paraId="2BD6B9BE">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p>
    <w:p w14:paraId="5625D778">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p>
    <w:p w14:paraId="7C66790F">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3CB8139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40486430">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7DCF9E3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71CD2080">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18289E93">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29BD206D">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42C978E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0F76E05E">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696C53E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7A5FDAD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22FE497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204557D4">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775D36AE">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09EDC03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43C795D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5E57B2D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6AEC6DD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7696284A">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276BFB30">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333333"/>
          <w:spacing w:val="0"/>
          <w:sz w:val="21"/>
          <w:szCs w:val="21"/>
          <w:shd w:val="clear" w:fill="FFFFFF"/>
        </w:rPr>
      </w:pPr>
    </w:p>
    <w:p w14:paraId="28D53C22">
      <w:pPr>
        <w:pStyle w:val="50"/>
        <w:widowControl/>
        <w:ind w:left="0" w:leftChars="0" w:firstLine="0" w:firstLineChars="0"/>
        <w:outlineLvl w:val="0"/>
      </w:pPr>
      <w:r>
        <w:t>第二章 投标人须知</w:t>
      </w:r>
      <w:bookmarkEnd w:id="2"/>
    </w:p>
    <w:p w14:paraId="4743E48E">
      <w:pPr>
        <w:pStyle w:val="2"/>
        <w:widowControl/>
        <w:numPr>
          <w:ilvl w:val="0"/>
          <w:numId w:val="1"/>
        </w:numPr>
        <w:tabs>
          <w:tab w:val="left" w:pos="1037"/>
        </w:tabs>
        <w:topLinePunct w:val="0"/>
        <w:ind w:left="0" w:leftChars="0" w:firstLine="482" w:firstLineChars="200"/>
        <w:rPr>
          <w:b/>
        </w:rPr>
      </w:pPr>
      <w:bookmarkStart w:id="3" w:name="_Toc18189"/>
      <w:r>
        <w:t>定义</w:t>
      </w:r>
      <w:bookmarkEnd w:id="3"/>
    </w:p>
    <w:p w14:paraId="629E0825">
      <w:pPr>
        <w:pStyle w:val="12"/>
        <w:widowControl/>
        <w:numPr>
          <w:ilvl w:val="0"/>
          <w:numId w:val="2"/>
        </w:numPr>
        <w:tabs>
          <w:tab w:val="left" w:pos="840"/>
        </w:tabs>
        <w:topLinePunct w:val="0"/>
        <w:ind w:left="0" w:leftChars="0" w:firstLine="480" w:firstLineChars="200"/>
        <w:rPr>
          <w:rFonts w:hint="eastAsia" w:ascii="宋体" w:hAnsi="宋体" w:eastAsia="宋体" w:cs="宋体"/>
          <w:b w:val="0"/>
          <w:color w:val="auto"/>
        </w:rPr>
      </w:pPr>
      <w:r>
        <w:rPr>
          <w:color w:val="auto"/>
        </w:rPr>
        <w:t>“招标人”系指依法进行招标的国家机关、事业单位、团体组织。本采购项目的招标人名称、地址、电话、联系人见谈判邀请函。</w:t>
      </w:r>
    </w:p>
    <w:p w14:paraId="6E913122">
      <w:pPr>
        <w:pStyle w:val="12"/>
        <w:widowControl/>
        <w:numPr>
          <w:ilvl w:val="0"/>
          <w:numId w:val="2"/>
        </w:numPr>
        <w:tabs>
          <w:tab w:val="left" w:pos="840"/>
        </w:tabs>
        <w:topLinePunct w:val="0"/>
        <w:ind w:left="0" w:leftChars="0" w:firstLine="480" w:firstLineChars="200"/>
        <w:rPr>
          <w:rFonts w:hint="eastAsia" w:ascii="宋体" w:hAnsi="宋体" w:eastAsia="宋体" w:cs="宋体"/>
          <w:b w:val="0"/>
          <w:color w:val="auto"/>
        </w:rPr>
      </w:pPr>
      <w:r>
        <w:rPr>
          <w:color w:val="auto"/>
        </w:rPr>
        <w:t>“招标代理机构”系指接受招标人委托，代理采购项目的集中采购机构和经监督部门认定资格的其他招标代理机构。本采购项目的招标代理机构名称、地址、电话、联系人见谈判邀请函。</w:t>
      </w:r>
    </w:p>
    <w:p w14:paraId="6D27ADA9">
      <w:pPr>
        <w:pStyle w:val="12"/>
        <w:widowControl/>
        <w:numPr>
          <w:ilvl w:val="0"/>
          <w:numId w:val="2"/>
        </w:numPr>
        <w:tabs>
          <w:tab w:val="left" w:pos="840"/>
        </w:tabs>
        <w:topLinePunct w:val="0"/>
        <w:ind w:left="0" w:leftChars="0" w:firstLine="480" w:firstLineChars="200"/>
        <w:rPr>
          <w:rFonts w:hint="eastAsia" w:ascii="宋体" w:hAnsi="宋体" w:eastAsia="宋体" w:cs="宋体"/>
          <w:b w:val="0"/>
          <w:color w:val="auto"/>
        </w:rPr>
      </w:pPr>
      <w:bookmarkStart w:id="4" w:name="_Toc20475"/>
      <w:r>
        <w:rPr>
          <w:color w:val="auto"/>
        </w:rPr>
        <w:t>“投标人或服务商”拟向招标人提供货物、服务或者工程的法人、其他组织或者自然人</w:t>
      </w:r>
      <w:bookmarkEnd w:id="4"/>
    </w:p>
    <w:p w14:paraId="2ADBCCAD">
      <w:pPr>
        <w:pStyle w:val="12"/>
        <w:widowControl/>
        <w:numPr>
          <w:ilvl w:val="0"/>
          <w:numId w:val="2"/>
        </w:numPr>
        <w:tabs>
          <w:tab w:val="left" w:pos="840"/>
        </w:tabs>
        <w:topLinePunct w:val="0"/>
        <w:ind w:left="0" w:leftChars="0" w:firstLine="480" w:firstLineChars="200"/>
        <w:rPr>
          <w:rFonts w:hint="eastAsia" w:ascii="宋体" w:hAnsi="宋体" w:eastAsia="宋体" w:cs="宋体"/>
          <w:b w:val="0"/>
          <w:color w:val="auto"/>
        </w:rPr>
      </w:pPr>
      <w:r>
        <w:rPr>
          <w:color w:val="auto"/>
        </w:rPr>
        <w:t>“谈判小组”是指依据《中华人民共和国政府采购法》和《政府采购非招标采购方式管理办法》有关规定组建，依法依规履行其职责和义务的机构。</w:t>
      </w:r>
    </w:p>
    <w:p w14:paraId="4D0C8478">
      <w:pPr>
        <w:pStyle w:val="2"/>
        <w:widowControl/>
        <w:numPr>
          <w:ilvl w:val="0"/>
          <w:numId w:val="1"/>
        </w:numPr>
        <w:tabs>
          <w:tab w:val="left" w:pos="1037"/>
        </w:tabs>
        <w:topLinePunct w:val="0"/>
        <w:ind w:left="0" w:leftChars="0" w:firstLine="482" w:firstLineChars="200"/>
        <w:rPr>
          <w:b/>
        </w:rPr>
      </w:pPr>
      <w:bookmarkStart w:id="5" w:name="_Toc20258"/>
      <w:r>
        <w:t>投标人注意事项</w:t>
      </w:r>
      <w:bookmarkEnd w:id="5"/>
    </w:p>
    <w:p w14:paraId="7CC22B30">
      <w:pPr>
        <w:pStyle w:val="3"/>
        <w:widowControl/>
        <w:numPr>
          <w:ilvl w:val="0"/>
          <w:numId w:val="3"/>
        </w:numPr>
        <w:tabs>
          <w:tab w:val="left" w:pos="1270"/>
        </w:tabs>
        <w:topLinePunct w:val="0"/>
        <w:ind w:left="0" w:leftChars="0" w:firstLine="482" w:firstLineChars="200"/>
        <w:rPr>
          <w:rFonts w:hint="eastAsia" w:ascii="宋体" w:hAnsi="宋体" w:eastAsia="宋体" w:cs="宋体"/>
          <w:b/>
        </w:rPr>
      </w:pPr>
      <w:bookmarkStart w:id="6" w:name="_Toc28747"/>
      <w:r>
        <w:t>询问</w:t>
      </w:r>
      <w:bookmarkEnd w:id="6"/>
    </w:p>
    <w:p w14:paraId="11E3408E">
      <w:pPr>
        <w:pStyle w:val="12"/>
        <w:widowControl/>
        <w:ind w:left="0" w:leftChars="0" w:firstLine="480" w:firstLineChars="200"/>
        <w:rPr>
          <w:color w:val="auto"/>
        </w:rPr>
      </w:pPr>
      <w:bookmarkStart w:id="7" w:name="_Toc11172"/>
      <w:r>
        <w:rPr>
          <w:color w:val="auto"/>
        </w:rPr>
        <w:t>投标人对招标活动事项有疑问的，可以向招标人提出询问，采购</w:t>
      </w:r>
      <w:bookmarkEnd w:id="7"/>
    </w:p>
    <w:p w14:paraId="40838490">
      <w:pPr>
        <w:pStyle w:val="12"/>
        <w:widowControl/>
        <w:ind w:left="0" w:leftChars="0" w:firstLine="480" w:firstLineChars="200"/>
        <w:rPr>
          <w:color w:val="auto"/>
        </w:rPr>
      </w:pPr>
      <w:r>
        <w:rPr>
          <w:color w:val="auto"/>
        </w:rPr>
        <w:t>人应当及时作出答复，但答复的内容不得涉及商业秘密。</w:t>
      </w:r>
    </w:p>
    <w:p w14:paraId="5DCE1F07">
      <w:pPr>
        <w:pStyle w:val="12"/>
        <w:widowControl/>
        <w:ind w:left="0" w:leftChars="0" w:firstLine="480" w:firstLineChars="200"/>
        <w:rPr>
          <w:color w:val="auto"/>
        </w:rPr>
      </w:pPr>
      <w:r>
        <w:rPr>
          <w:color w:val="auto"/>
        </w:rPr>
        <w:t>询问内容超出招标人对招标代理机构委托授权范围的，投标人应当向招标人提出。</w:t>
      </w:r>
    </w:p>
    <w:p w14:paraId="219780DA">
      <w:pPr>
        <w:pStyle w:val="3"/>
        <w:widowControl/>
        <w:numPr>
          <w:ilvl w:val="0"/>
          <w:numId w:val="3"/>
        </w:numPr>
        <w:tabs>
          <w:tab w:val="left" w:pos="1270"/>
        </w:tabs>
        <w:topLinePunct w:val="0"/>
        <w:ind w:left="0" w:leftChars="0" w:firstLine="482" w:firstLineChars="200"/>
        <w:rPr>
          <w:rFonts w:hint="eastAsia" w:ascii="宋体" w:hAnsi="宋体" w:eastAsia="宋体" w:cs="宋体"/>
          <w:b/>
        </w:rPr>
      </w:pPr>
      <w:bookmarkStart w:id="8" w:name="_Toc27919"/>
      <w:r>
        <w:t>质疑和投诉</w:t>
      </w:r>
      <w:bookmarkEnd w:id="8"/>
    </w:p>
    <w:p w14:paraId="05F96D6E">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投标人认为采购文件、采购过程、成交结果使自己的权益受到损害的，可以在知道或应知其权益受到损害之日起7个工作日内以书面形式向招标人提出。</w:t>
      </w:r>
    </w:p>
    <w:p w14:paraId="091B06A1">
      <w:pPr>
        <w:pStyle w:val="12"/>
        <w:widowControl/>
        <w:ind w:left="0" w:leftChars="0" w:firstLine="480" w:firstLineChars="200"/>
        <w:rPr>
          <w:color w:val="auto"/>
        </w:rPr>
      </w:pPr>
      <w:r>
        <w:rPr>
          <w:color w:val="auto"/>
        </w:rPr>
        <w:t>联系人：张洁</w:t>
      </w:r>
    </w:p>
    <w:p w14:paraId="374DC4A6">
      <w:pPr>
        <w:pStyle w:val="12"/>
        <w:widowControl/>
        <w:ind w:left="0" w:leftChars="0" w:firstLine="480" w:firstLineChars="200"/>
        <w:rPr>
          <w:color w:val="auto"/>
        </w:rPr>
      </w:pPr>
      <w:r>
        <w:rPr>
          <w:color w:val="auto"/>
        </w:rPr>
        <w:t>联系方式：15129529611</w:t>
      </w:r>
    </w:p>
    <w:p w14:paraId="2841A33C">
      <w:pPr>
        <w:pStyle w:val="12"/>
        <w:widowControl/>
        <w:ind w:left="0" w:leftChars="0" w:firstLine="480" w:firstLineChars="200"/>
        <w:rPr>
          <w:color w:val="auto"/>
        </w:rPr>
      </w:pPr>
      <w:r>
        <w:rPr>
          <w:color w:val="auto"/>
        </w:rPr>
        <w:t>通信地址：榆林市高新南区开源大道与通源路交汇处西北方向</w:t>
      </w:r>
    </w:p>
    <w:p w14:paraId="78A1C550">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投标人对采购文件（采购需求除外）、开评标程序提出质疑的，可以在知道或应知其权益受到损害之日起7个工作日内，通过下列任一形式向招标代理机构提出。</w:t>
      </w:r>
    </w:p>
    <w:p w14:paraId="527F4898">
      <w:pPr>
        <w:pStyle w:val="12"/>
        <w:widowControl/>
        <w:ind w:left="0" w:leftChars="0" w:firstLine="480" w:firstLineChars="200"/>
        <w:rPr>
          <w:color w:val="auto"/>
        </w:rPr>
      </w:pPr>
      <w:r>
        <w:rPr>
          <w:color w:val="auto"/>
        </w:rPr>
        <w:t>书面质疑：书面质疑函应按照财政部国库司制定的《政府采购投标人质疑函范本》（见下方链接）进行填写，签字、盖章后提交至招标代理机构。</w:t>
      </w:r>
    </w:p>
    <w:p w14:paraId="602AFB35">
      <w:pPr>
        <w:pStyle w:val="12"/>
        <w:widowControl/>
        <w:ind w:left="0" w:leftChars="0" w:firstLine="480" w:firstLineChars="200"/>
        <w:rPr>
          <w:color w:val="auto"/>
        </w:rPr>
      </w:pPr>
      <w:r>
        <w:rPr>
          <w:color w:val="auto"/>
        </w:rPr>
        <w:t>联系人：陈思璇</w:t>
      </w:r>
      <w:r>
        <w:rPr>
          <w:color w:val="auto"/>
        </w:rPr>
        <w:tab/>
      </w:r>
    </w:p>
    <w:p w14:paraId="54917F9D">
      <w:pPr>
        <w:pStyle w:val="12"/>
        <w:widowControl/>
        <w:ind w:left="0" w:leftChars="0" w:firstLine="480" w:firstLineChars="200"/>
        <w:rPr>
          <w:color w:val="auto"/>
        </w:rPr>
      </w:pPr>
      <w:r>
        <w:rPr>
          <w:color w:val="auto"/>
        </w:rPr>
        <w:t>联系电话：15619895155</w:t>
      </w:r>
    </w:p>
    <w:p w14:paraId="03F05318">
      <w:pPr>
        <w:pStyle w:val="12"/>
        <w:widowControl/>
        <w:ind w:left="0" w:leftChars="0" w:firstLine="480" w:firstLineChars="200"/>
        <w:rPr>
          <w:color w:val="auto"/>
        </w:rPr>
      </w:pPr>
      <w:r>
        <w:rPr>
          <w:color w:val="auto"/>
        </w:rPr>
        <w:t>通信地址：陕西省榆林市航宇路5号石化家属院三单元201室</w:t>
      </w:r>
    </w:p>
    <w:p w14:paraId="644F3AC7">
      <w:pPr>
        <w:pStyle w:val="12"/>
        <w:widowControl/>
        <w:ind w:left="0" w:leftChars="0" w:firstLine="480" w:firstLineChars="200"/>
        <w:rPr>
          <w:color w:val="auto"/>
        </w:rPr>
      </w:pPr>
      <w:r>
        <w:rPr>
          <w:color w:val="auto"/>
        </w:rPr>
        <w:t>范本地址：http://gks.mof.gov.cn/ztztz/zhengfucaigouguanli/201802/t20180201_2804589.html</w:t>
      </w:r>
    </w:p>
    <w:p w14:paraId="1F744631">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投标人提出质疑应当提交质疑事项和必要的证明材料。在法定质疑期内，针对同一采购程序环节的质疑应当一次性提出。招标人、招标代理机构将在收到书面质疑后7个工作日内，在线答复或以书面形式通知质疑人和其他有关投标人。</w:t>
      </w:r>
    </w:p>
    <w:p w14:paraId="72F318BD">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投标人为自然人的，应当由本人签字；投标人为法人或者其他组织的，应当由法定代表人、主要负责人，或者其授权代表签字或者盖章，并加盖公章，公章不得以合同章或其他印章代替。投标人委托代理人提出质疑的，应当同时提交投标人签署的授权委托书。</w:t>
      </w:r>
    </w:p>
    <w:p w14:paraId="528A3C43">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有下列情形之一的，属于无效质疑：</w:t>
      </w:r>
    </w:p>
    <w:p w14:paraId="49432CE0">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对采购文件提出质疑的质疑人不是依法获取采购文件的潜在投标人；对采购过程、中标或成交结果提出质疑的质疑人不是参与本项目的投标人；</w:t>
      </w:r>
    </w:p>
    <w:p w14:paraId="5D27773F">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超过法定期限，或未以线上、书面形式提出的；</w:t>
      </w:r>
    </w:p>
    <w:p w14:paraId="7E6D0A88">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质疑人与质疑事项不存在利害关系的；</w:t>
      </w:r>
    </w:p>
    <w:p w14:paraId="09B6A3DC">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书面质疑函主要内容构成不完整的，或缺乏必要的证明材料及证明材料不完整的，或捏造事实、提供虚假材料，或以非法手段取得证明材料的；</w:t>
      </w:r>
    </w:p>
    <w:p w14:paraId="411532A1">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书面质疑函没有合法有效的签字、盖章或委托授权书的（代理人提出质疑和投诉，应当提交投标人签署的授权委托书）；</w:t>
      </w:r>
    </w:p>
    <w:p w14:paraId="71B7B354">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针对同一采购程序环节又提出其他质疑事项的，或质疑答复后就同一事项再次提出质疑的；</w:t>
      </w:r>
    </w:p>
    <w:p w14:paraId="05F7E609">
      <w:pPr>
        <w:pStyle w:val="12"/>
        <w:widowControl/>
        <w:numPr>
          <w:ilvl w:val="0"/>
          <w:numId w:val="5"/>
        </w:numPr>
        <w:tabs>
          <w:tab w:val="left" w:pos="1080"/>
        </w:tabs>
        <w:topLinePunct w:val="0"/>
        <w:ind w:left="0" w:leftChars="0" w:firstLine="480" w:firstLineChars="200"/>
        <w:rPr>
          <w:rFonts w:hint="eastAsia" w:ascii="宋体" w:hAnsi="宋体" w:eastAsia="宋体" w:cs="宋体"/>
          <w:b w:val="0"/>
          <w:color w:val="auto"/>
        </w:rPr>
      </w:pPr>
      <w:r>
        <w:rPr>
          <w:color w:val="auto"/>
        </w:rPr>
        <w:t>不符合法律、法规、规章和监管机构规定的其他条件的。</w:t>
      </w:r>
    </w:p>
    <w:p w14:paraId="456DCD87">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质疑投标人对招标人、招标代理机构的答复不满意，或者招标人、招标代理机构未在规定的时间内做出答复的，可以在答复期满后15个工作日内按照《政府采购质疑和投诉办法》（财政部94号令）相关规定向榆林高新区财政局提出投诉。投标人投诉的事项不得超出已质疑事项的范围。</w:t>
      </w:r>
    </w:p>
    <w:p w14:paraId="71366055">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对捏造事实、提供虚假材料进行质疑、投诉的行为予以严肃处理：</w:t>
      </w:r>
    </w:p>
    <w:p w14:paraId="5C88978D">
      <w:pPr>
        <w:pStyle w:val="12"/>
        <w:widowControl/>
        <w:numPr>
          <w:ilvl w:val="0"/>
          <w:numId w:val="6"/>
        </w:numPr>
        <w:tabs>
          <w:tab w:val="left" w:pos="1080"/>
        </w:tabs>
        <w:topLinePunct w:val="0"/>
        <w:ind w:left="0" w:leftChars="0" w:firstLine="480" w:firstLineChars="200"/>
        <w:rPr>
          <w:rFonts w:hint="eastAsia" w:ascii="宋体" w:hAnsi="宋体" w:eastAsia="宋体" w:cs="宋体"/>
          <w:b w:val="0"/>
          <w:color w:val="auto"/>
        </w:rPr>
      </w:pPr>
      <w:r>
        <w:rPr>
          <w:color w:val="auto"/>
        </w:rPr>
        <w:t>依据《中华人民共和国政府采购法》、《中华人民共和国政府采购法实施条例》、《政府采购非招标采购方式管理办法》、《政府采购质疑和投诉办法》等法律法规的规定，投标人质疑、投诉应当有明确的请求和必要的证明材料。</w:t>
      </w:r>
    </w:p>
    <w:p w14:paraId="4E2ADF60">
      <w:pPr>
        <w:pStyle w:val="12"/>
        <w:widowControl/>
        <w:numPr>
          <w:ilvl w:val="0"/>
          <w:numId w:val="6"/>
        </w:numPr>
        <w:tabs>
          <w:tab w:val="left" w:pos="1080"/>
        </w:tabs>
        <w:topLinePunct w:val="0"/>
        <w:ind w:left="0" w:leftChars="0" w:firstLine="480" w:firstLineChars="200"/>
        <w:rPr>
          <w:rFonts w:hint="eastAsia" w:ascii="宋体" w:hAnsi="宋体" w:eastAsia="宋体" w:cs="宋体"/>
          <w:b w:val="0"/>
          <w:color w:val="auto"/>
        </w:rPr>
      </w:pPr>
      <w:r>
        <w:rPr>
          <w:color w:val="auto"/>
        </w:rPr>
        <w:t>依据《政府采购质疑和投诉办法》（财政部94号令）有关规定，投诉人在全国范围内十二个月内三次以上投诉查无实据的，由监督部门列入不良行为记录名单。对于捏造事实、或提供虚假材料、或以非法手段取得证明材料（证据来源的合法性存在明显疑问，投诉人无法证明其取得方式合法的，视为以非法手段取得证明材料）进行投诉的，属于虚假、恶意投诉，由监督部门列入不良行为记录名单，并禁止其一至三年内参加招标活动。</w:t>
      </w:r>
    </w:p>
    <w:p w14:paraId="76E82DCE">
      <w:pPr>
        <w:pStyle w:val="12"/>
        <w:widowControl/>
        <w:numPr>
          <w:ilvl w:val="0"/>
          <w:numId w:val="4"/>
        </w:numPr>
        <w:tabs>
          <w:tab w:val="left" w:pos="840"/>
        </w:tabs>
        <w:topLinePunct w:val="0"/>
        <w:ind w:left="0" w:leftChars="0" w:firstLine="480" w:firstLineChars="200"/>
        <w:rPr>
          <w:rFonts w:hint="eastAsia" w:ascii="宋体" w:hAnsi="宋体" w:eastAsia="宋体" w:cs="宋体"/>
          <w:b w:val="0"/>
          <w:color w:val="auto"/>
        </w:rPr>
      </w:pPr>
      <w:r>
        <w:rPr>
          <w:color w:val="auto"/>
        </w:rPr>
        <w:t>对捏造事实诬告陷害他人、诽谤他人的法律适用：</w:t>
      </w:r>
    </w:p>
    <w:p w14:paraId="4C6108AD">
      <w:pPr>
        <w:pStyle w:val="12"/>
        <w:widowControl/>
        <w:ind w:left="0" w:leftChars="0" w:firstLine="480" w:firstLineChars="200"/>
        <w:rPr>
          <w:color w:val="auto"/>
        </w:rPr>
      </w:pPr>
      <w:r>
        <w:rPr>
          <w:color w:val="auto"/>
        </w:rPr>
        <w:t>《中华人民共和国刑法》第243条【诬告陷害罪】捏造事实诬告陷害他人，意图使他人受刑事追究，情节严重的，处三年以下有期徒刑、拘役或者管制；造成严重后果的，处三年以上十年以下有期徒刑。</w:t>
      </w:r>
    </w:p>
    <w:p w14:paraId="40CDC2BB">
      <w:pPr>
        <w:pStyle w:val="12"/>
        <w:widowControl/>
        <w:ind w:left="0" w:leftChars="0" w:firstLine="480" w:firstLineChars="200"/>
        <w:rPr>
          <w:color w:val="auto"/>
        </w:rPr>
      </w:pPr>
      <w:r>
        <w:rPr>
          <w:color w:val="auto"/>
        </w:rPr>
        <w:t>《中华人民共和国刑法》第246条【侮辱罪、诽谤罪】以暴力或者其他方法公然侮辱他人或者捏造事实诽谤他人，情节严重的，处三年以下有期徒刑、拘役、管制或者剥夺政治权利。</w:t>
      </w:r>
    </w:p>
    <w:p w14:paraId="0560D237">
      <w:pPr>
        <w:pStyle w:val="3"/>
        <w:widowControl/>
        <w:numPr>
          <w:ilvl w:val="0"/>
          <w:numId w:val="3"/>
        </w:numPr>
        <w:tabs>
          <w:tab w:val="left" w:pos="1270"/>
        </w:tabs>
        <w:topLinePunct w:val="0"/>
        <w:ind w:left="0" w:leftChars="0" w:firstLine="482" w:firstLineChars="200"/>
        <w:rPr>
          <w:rFonts w:hint="eastAsia" w:ascii="宋体" w:hAnsi="宋体" w:eastAsia="宋体" w:cs="宋体"/>
          <w:b/>
        </w:rPr>
      </w:pPr>
      <w:bookmarkStart w:id="9" w:name="_Toc29535"/>
      <w:r>
        <w:t>关于知识产权与保密事项</w:t>
      </w:r>
      <w:bookmarkEnd w:id="9"/>
    </w:p>
    <w:p w14:paraId="30FE5FC1">
      <w:pPr>
        <w:pStyle w:val="12"/>
        <w:widowControl/>
        <w:numPr>
          <w:ilvl w:val="0"/>
          <w:numId w:val="7"/>
        </w:numPr>
        <w:tabs>
          <w:tab w:val="left" w:pos="840"/>
        </w:tabs>
        <w:topLinePunct w:val="0"/>
        <w:ind w:left="0" w:leftChars="0" w:firstLine="480" w:firstLineChars="200"/>
        <w:rPr>
          <w:rFonts w:hint="eastAsia" w:ascii="宋体" w:hAnsi="宋体" w:eastAsia="宋体" w:cs="宋体"/>
          <w:b w:val="0"/>
          <w:color w:val="auto"/>
        </w:rPr>
      </w:pPr>
      <w:r>
        <w:rPr>
          <w:color w:val="auto"/>
        </w:rPr>
        <w:t>所有涉及知识产权的产品及设计，投标人必须确保招标人拥有其合法的、不受限制的无偿使用权，并免受任何侵权诉讼或索偿，否则，由此产生的一切经济损失和法律责任由投标人承担。</w:t>
      </w:r>
    </w:p>
    <w:p w14:paraId="28C9C15D">
      <w:pPr>
        <w:pStyle w:val="12"/>
        <w:widowControl/>
        <w:numPr>
          <w:ilvl w:val="0"/>
          <w:numId w:val="7"/>
        </w:numPr>
        <w:tabs>
          <w:tab w:val="left" w:pos="840"/>
        </w:tabs>
        <w:topLinePunct w:val="0"/>
        <w:ind w:left="0" w:leftChars="0" w:firstLine="480" w:firstLineChars="200"/>
        <w:rPr>
          <w:rFonts w:hint="eastAsia" w:ascii="宋体" w:hAnsi="宋体" w:eastAsia="宋体" w:cs="宋体"/>
          <w:b w:val="0"/>
          <w:color w:val="auto"/>
        </w:rPr>
      </w:pPr>
      <w:r>
        <w:rPr>
          <w:color w:val="auto"/>
        </w:rPr>
        <w:t>由招标人向投标人提供的所有资料，投标人不得向第三方透露或将其用于本次采购以外的任何用途。开标后，若招标人有要求，投标人须归还招标人认为需保密的文件和资料，并销毁所有相应的备份文件及资料。</w:t>
      </w:r>
    </w:p>
    <w:p w14:paraId="50098735">
      <w:pPr>
        <w:pStyle w:val="3"/>
        <w:widowControl/>
        <w:numPr>
          <w:ilvl w:val="0"/>
          <w:numId w:val="3"/>
        </w:numPr>
        <w:tabs>
          <w:tab w:val="left" w:pos="1270"/>
        </w:tabs>
        <w:topLinePunct w:val="0"/>
        <w:ind w:left="0" w:leftChars="0" w:firstLine="482" w:firstLineChars="200"/>
        <w:rPr>
          <w:rFonts w:hint="eastAsia" w:ascii="宋体" w:hAnsi="宋体" w:eastAsia="宋体" w:cs="宋体"/>
          <w:b/>
        </w:rPr>
      </w:pPr>
      <w:bookmarkStart w:id="10" w:name="_Toc12754"/>
      <w:r>
        <w:t>投标人的谈判费用自理</w:t>
      </w:r>
      <w:bookmarkEnd w:id="10"/>
    </w:p>
    <w:p w14:paraId="534AA952">
      <w:pPr>
        <w:pStyle w:val="12"/>
        <w:widowControl/>
        <w:numPr>
          <w:ilvl w:val="0"/>
          <w:numId w:val="8"/>
        </w:numPr>
        <w:tabs>
          <w:tab w:val="left" w:pos="840"/>
        </w:tabs>
        <w:topLinePunct w:val="0"/>
        <w:ind w:left="0" w:leftChars="0" w:firstLine="480" w:firstLineChars="200"/>
        <w:rPr>
          <w:rFonts w:hint="eastAsia" w:ascii="宋体" w:hAnsi="宋体" w:eastAsia="宋体" w:cs="宋体"/>
          <w:b w:val="0"/>
          <w:color w:val="auto"/>
        </w:rPr>
      </w:pPr>
      <w:r>
        <w:rPr>
          <w:color w:val="auto"/>
        </w:rPr>
        <w:t>投标人应承担所有与编写和提交响应文件有关的费用，无论投标过程中的做法和结果如何，招标人在任何情况下均无义务和责任承担这些费用。</w:t>
      </w:r>
    </w:p>
    <w:p w14:paraId="789DB72E">
      <w:pPr>
        <w:pStyle w:val="12"/>
        <w:widowControl/>
        <w:numPr>
          <w:ilvl w:val="0"/>
          <w:numId w:val="8"/>
        </w:numPr>
        <w:tabs>
          <w:tab w:val="left" w:pos="840"/>
        </w:tabs>
        <w:topLinePunct w:val="0"/>
        <w:ind w:left="0" w:leftChars="0" w:firstLine="480" w:firstLineChars="200"/>
        <w:rPr>
          <w:rFonts w:hint="eastAsia" w:ascii="宋体" w:hAnsi="宋体" w:eastAsia="宋体" w:cs="宋体"/>
          <w:b w:val="0"/>
          <w:color w:val="auto"/>
        </w:rPr>
      </w:pPr>
      <w:r>
        <w:rPr>
          <w:color w:val="auto"/>
        </w:rPr>
        <w:t>招标人或招标代理机构不组织现场踏勘，投标人对采购文件的所有内容进行仔细阅读，由于对各种因素考虑不周和对谈判文件的理解不深或误解等而造成的漏报、误报，招标人和招标代理机构不负任何责任。</w:t>
      </w:r>
    </w:p>
    <w:p w14:paraId="5AD432E0">
      <w:pPr>
        <w:pStyle w:val="12"/>
        <w:widowControl/>
        <w:numPr>
          <w:ilvl w:val="0"/>
          <w:numId w:val="8"/>
        </w:numPr>
        <w:tabs>
          <w:tab w:val="left" w:pos="840"/>
        </w:tabs>
        <w:topLinePunct w:val="0"/>
        <w:ind w:left="0" w:leftChars="0" w:firstLine="480" w:firstLineChars="200"/>
        <w:rPr>
          <w:rFonts w:hint="eastAsia" w:ascii="宋体" w:hAnsi="宋体" w:eastAsia="宋体" w:cs="宋体"/>
          <w:b w:val="0"/>
          <w:color w:val="auto"/>
        </w:rPr>
      </w:pPr>
      <w:r>
        <w:rPr>
          <w:color w:val="auto"/>
        </w:rPr>
        <w:t>投标人可自行踏勘现场，自行负责因踏勘所产生的费用、风险和其他一切后果由投标人自己承担，招标人和招标代理机构不承担任何责任。</w:t>
      </w:r>
    </w:p>
    <w:p w14:paraId="4CBD29FE">
      <w:pPr>
        <w:pStyle w:val="2"/>
        <w:widowControl/>
        <w:numPr>
          <w:ilvl w:val="0"/>
          <w:numId w:val="1"/>
        </w:numPr>
        <w:tabs>
          <w:tab w:val="left" w:pos="1037"/>
        </w:tabs>
        <w:topLinePunct w:val="0"/>
        <w:ind w:left="0" w:leftChars="0" w:firstLine="482" w:firstLineChars="200"/>
        <w:rPr>
          <w:b/>
        </w:rPr>
      </w:pPr>
      <w:bookmarkStart w:id="11" w:name="_Toc5955"/>
      <w:r>
        <w:t>谈判文件</w:t>
      </w:r>
      <w:bookmarkEnd w:id="11"/>
    </w:p>
    <w:p w14:paraId="1E328DCB">
      <w:pPr>
        <w:pStyle w:val="3"/>
        <w:widowControl/>
        <w:numPr>
          <w:ilvl w:val="0"/>
          <w:numId w:val="9"/>
        </w:numPr>
        <w:tabs>
          <w:tab w:val="left" w:pos="1278"/>
        </w:tabs>
        <w:topLinePunct w:val="0"/>
        <w:ind w:left="0" w:leftChars="0" w:firstLine="482" w:firstLineChars="200"/>
        <w:rPr>
          <w:rFonts w:hint="eastAsia" w:ascii="宋体" w:hAnsi="宋体" w:eastAsia="宋体" w:cs="宋体"/>
          <w:b/>
        </w:rPr>
      </w:pPr>
      <w:bookmarkStart w:id="12" w:name="_Toc12325"/>
      <w:r>
        <w:t>谈判文件包括下列内容</w:t>
      </w:r>
      <w:bookmarkEnd w:id="12"/>
    </w:p>
    <w:p w14:paraId="01784CFA">
      <w:pPr>
        <w:pStyle w:val="12"/>
        <w:widowControl/>
        <w:tabs>
          <w:tab w:val="left" w:pos="480"/>
        </w:tabs>
        <w:ind w:left="0" w:leftChars="0" w:firstLine="480" w:firstLineChars="200"/>
        <w:rPr>
          <w:color w:val="auto"/>
        </w:rPr>
      </w:pPr>
      <w:r>
        <w:rPr>
          <w:color w:val="auto"/>
        </w:rPr>
        <w:t>第一章</w:t>
      </w:r>
      <w:r>
        <w:rPr>
          <w:color w:val="auto"/>
        </w:rPr>
        <w:tab/>
      </w:r>
      <w:r>
        <w:rPr>
          <w:color w:val="auto"/>
        </w:rPr>
        <w:t>谈判邀请函</w:t>
      </w:r>
    </w:p>
    <w:p w14:paraId="10811D73">
      <w:pPr>
        <w:pStyle w:val="12"/>
        <w:widowControl/>
        <w:tabs>
          <w:tab w:val="left" w:pos="480"/>
        </w:tabs>
        <w:ind w:left="0" w:leftChars="0" w:firstLine="480" w:firstLineChars="200"/>
        <w:rPr>
          <w:color w:val="auto"/>
        </w:rPr>
      </w:pPr>
      <w:r>
        <w:rPr>
          <w:color w:val="auto"/>
        </w:rPr>
        <w:t>第二章</w:t>
      </w:r>
      <w:r>
        <w:rPr>
          <w:color w:val="auto"/>
        </w:rPr>
        <w:tab/>
      </w:r>
      <w:r>
        <w:rPr>
          <w:color w:val="auto"/>
        </w:rPr>
        <w:t>投标人须知</w:t>
      </w:r>
    </w:p>
    <w:p w14:paraId="284000AE">
      <w:pPr>
        <w:pStyle w:val="12"/>
        <w:widowControl/>
        <w:tabs>
          <w:tab w:val="left" w:pos="480"/>
        </w:tabs>
        <w:ind w:left="0" w:leftChars="0" w:firstLine="480" w:firstLineChars="200"/>
        <w:rPr>
          <w:color w:val="auto"/>
        </w:rPr>
      </w:pPr>
      <w:r>
        <w:rPr>
          <w:color w:val="auto"/>
        </w:rPr>
        <w:t>第三章</w:t>
      </w:r>
      <w:r>
        <w:rPr>
          <w:color w:val="auto"/>
        </w:rPr>
        <w:tab/>
      </w:r>
      <w:r>
        <w:rPr>
          <w:color w:val="auto"/>
        </w:rPr>
        <w:t>谈判内容及采购要求</w:t>
      </w:r>
    </w:p>
    <w:p w14:paraId="034CD3F9">
      <w:pPr>
        <w:pStyle w:val="12"/>
        <w:widowControl/>
        <w:tabs>
          <w:tab w:val="left" w:pos="480"/>
        </w:tabs>
        <w:ind w:left="0" w:leftChars="0" w:firstLine="480" w:firstLineChars="200"/>
        <w:rPr>
          <w:color w:val="auto"/>
        </w:rPr>
      </w:pPr>
      <w:r>
        <w:rPr>
          <w:color w:val="auto"/>
        </w:rPr>
        <w:t>第四章</w:t>
      </w:r>
      <w:r>
        <w:rPr>
          <w:color w:val="auto"/>
        </w:rPr>
        <w:tab/>
      </w:r>
      <w:r>
        <w:rPr>
          <w:color w:val="auto"/>
        </w:rPr>
        <w:t>合同基本条款</w:t>
      </w:r>
    </w:p>
    <w:p w14:paraId="4F4C5231">
      <w:pPr>
        <w:pStyle w:val="12"/>
        <w:widowControl/>
        <w:tabs>
          <w:tab w:val="left" w:pos="480"/>
        </w:tabs>
        <w:ind w:left="0" w:leftChars="0" w:firstLine="480" w:firstLineChars="200"/>
        <w:rPr>
          <w:color w:val="auto"/>
        </w:rPr>
      </w:pPr>
      <w:r>
        <w:rPr>
          <w:color w:val="auto"/>
        </w:rPr>
        <w:t>第五章</w:t>
      </w:r>
      <w:r>
        <w:rPr>
          <w:color w:val="auto"/>
        </w:rPr>
        <w:tab/>
      </w:r>
      <w:r>
        <w:rPr>
          <w:color w:val="auto"/>
        </w:rPr>
        <w:t>响应文件构成及格式</w:t>
      </w:r>
    </w:p>
    <w:p w14:paraId="0B1CAC57">
      <w:pPr>
        <w:pStyle w:val="3"/>
        <w:widowControl/>
        <w:numPr>
          <w:ilvl w:val="0"/>
          <w:numId w:val="9"/>
        </w:numPr>
        <w:tabs>
          <w:tab w:val="left" w:pos="1278"/>
        </w:tabs>
        <w:topLinePunct w:val="0"/>
        <w:ind w:left="0" w:leftChars="0" w:firstLine="482" w:firstLineChars="200"/>
        <w:rPr>
          <w:rFonts w:hint="eastAsia" w:ascii="宋体" w:hAnsi="宋体" w:eastAsia="宋体" w:cs="宋体"/>
          <w:b/>
        </w:rPr>
      </w:pPr>
      <w:bookmarkStart w:id="13" w:name="_Toc16337"/>
      <w:r>
        <w:t>谈判文件的检查及阅读</w:t>
      </w:r>
      <w:bookmarkEnd w:id="13"/>
    </w:p>
    <w:p w14:paraId="52C4E834">
      <w:pPr>
        <w:pStyle w:val="12"/>
        <w:widowControl/>
        <w:ind w:left="0" w:leftChars="0" w:firstLine="480" w:firstLineChars="200"/>
        <w:rPr>
          <w:color w:val="auto"/>
        </w:rPr>
      </w:pPr>
      <w:r>
        <w:rPr>
          <w:color w:val="auto"/>
        </w:rPr>
        <w:t>投标人下载谈判文件后应仔细阅读检查谈判文件中的所有内容，按照谈判文件中所列事项、条款、规范要求及格式，在响应文件中对谈判文件做出全面的响应，并按谈判文件的要求提交全部资料。</w:t>
      </w:r>
    </w:p>
    <w:p w14:paraId="5BC6A9FB">
      <w:pPr>
        <w:pStyle w:val="12"/>
        <w:widowControl/>
        <w:ind w:left="0" w:leftChars="0" w:firstLine="480" w:firstLineChars="200"/>
        <w:rPr>
          <w:color w:val="auto"/>
        </w:rPr>
      </w:pPr>
      <w:r>
        <w:rPr>
          <w:color w:val="auto"/>
        </w:rPr>
        <w:t>如本项目废标后需重新开展采购活动，招标代理机构将重新编制、发布新版谈判文件，投标人应按新版谈判文件重新编制响应文件。原谈判文件及响应文件失效。</w:t>
      </w:r>
    </w:p>
    <w:p w14:paraId="6B7C2B6B">
      <w:pPr>
        <w:pStyle w:val="12"/>
        <w:widowControl/>
        <w:ind w:left="0" w:leftChars="0" w:firstLine="480" w:firstLineChars="200"/>
        <w:rPr>
          <w:color w:val="auto"/>
        </w:rPr>
      </w:pPr>
      <w:r>
        <w:rPr>
          <w:color w:val="auto"/>
        </w:rPr>
        <w:t>谈判响应文件中项目名称、项目编号、标段（如有）应当与最新发布</w:t>
      </w:r>
    </w:p>
    <w:p w14:paraId="63C2FA2D">
      <w:pPr>
        <w:pStyle w:val="12"/>
        <w:widowControl/>
        <w:ind w:left="0" w:leftChars="0" w:firstLine="480" w:firstLineChars="200"/>
        <w:rPr>
          <w:color w:val="auto"/>
        </w:rPr>
      </w:pPr>
      <w:r>
        <w:rPr>
          <w:color w:val="auto"/>
        </w:rPr>
        <w:t>的谈判文件保持一致，否则将被视为无效响应文件。</w:t>
      </w:r>
    </w:p>
    <w:p w14:paraId="202D6817">
      <w:pPr>
        <w:pStyle w:val="3"/>
        <w:widowControl/>
        <w:numPr>
          <w:ilvl w:val="0"/>
          <w:numId w:val="9"/>
        </w:numPr>
        <w:tabs>
          <w:tab w:val="left" w:pos="1278"/>
        </w:tabs>
        <w:topLinePunct w:val="0"/>
        <w:ind w:left="0" w:leftChars="0" w:firstLine="482" w:firstLineChars="200"/>
        <w:rPr>
          <w:rFonts w:hint="eastAsia" w:ascii="宋体" w:hAnsi="宋体" w:eastAsia="宋体" w:cs="宋体"/>
          <w:b/>
        </w:rPr>
      </w:pPr>
      <w:bookmarkStart w:id="14" w:name="_Toc8199"/>
      <w:r>
        <w:t>谈判文件的修改、澄清</w:t>
      </w:r>
      <w:bookmarkEnd w:id="14"/>
    </w:p>
    <w:p w14:paraId="17BF1C6B">
      <w:pPr>
        <w:pStyle w:val="12"/>
        <w:widowControl/>
        <w:numPr>
          <w:ilvl w:val="0"/>
          <w:numId w:val="10"/>
        </w:numPr>
        <w:tabs>
          <w:tab w:val="left" w:pos="840"/>
        </w:tabs>
        <w:topLinePunct w:val="0"/>
        <w:ind w:left="0" w:leftChars="0" w:firstLine="480" w:firstLineChars="200"/>
        <w:rPr>
          <w:rFonts w:hint="eastAsia" w:ascii="宋体" w:hAnsi="宋体" w:eastAsia="宋体" w:cs="宋体"/>
          <w:b w:val="0"/>
          <w:color w:val="auto"/>
        </w:rPr>
      </w:pPr>
      <w:r>
        <w:rPr>
          <w:color w:val="auto"/>
        </w:rPr>
        <w:t>招标代理机构可以对已发出的谈判文件进行必要的澄清或者修改，但不得改变采购标的和资格条件。澄清或者修改应将在原公告发布媒体上发布澄清公告，其内容为谈判文件的组成部分。</w:t>
      </w:r>
    </w:p>
    <w:p w14:paraId="19E562C5">
      <w:pPr>
        <w:pStyle w:val="12"/>
        <w:widowControl/>
        <w:numPr>
          <w:ilvl w:val="0"/>
          <w:numId w:val="10"/>
        </w:numPr>
        <w:tabs>
          <w:tab w:val="left" w:pos="840"/>
        </w:tabs>
        <w:topLinePunct w:val="0"/>
        <w:ind w:left="0" w:leftChars="0" w:firstLine="480" w:firstLineChars="200"/>
        <w:rPr>
          <w:rFonts w:hint="eastAsia" w:ascii="宋体" w:hAnsi="宋体" w:eastAsia="宋体" w:cs="宋体"/>
          <w:b w:val="0"/>
          <w:color w:val="auto"/>
        </w:rPr>
      </w:pPr>
      <w:r>
        <w:rPr>
          <w:color w:val="auto"/>
        </w:rPr>
        <w:t>提交首次响应文件截止之日前，招标人、招标代理机构或谈判小组可对已发出的谈判文件进行必要的澄清或者修改，澄清或者修改的内容作为谈判文件的组成部分。澄清或修改的内容可能影响响应文件编制的，招标人、招标代理机构应当在在提交首次响应文件截止之日3个工作日前，在《陕西采购与招标网》、《陕西省公共资源交易平台》发布媒体上发布变更公告，不足3个工作日的，招标人、招标代理机构将顺延提交首次响应文件截止时间。</w:t>
      </w:r>
    </w:p>
    <w:p w14:paraId="46306911">
      <w:pPr>
        <w:pStyle w:val="12"/>
        <w:widowControl/>
        <w:numPr>
          <w:ilvl w:val="0"/>
          <w:numId w:val="10"/>
        </w:numPr>
        <w:tabs>
          <w:tab w:val="left" w:pos="840"/>
        </w:tabs>
        <w:topLinePunct w:val="0"/>
        <w:ind w:left="0" w:leftChars="0" w:firstLine="480" w:firstLineChars="200"/>
        <w:rPr>
          <w:rFonts w:hint="eastAsia" w:ascii="宋体" w:hAnsi="宋体" w:eastAsia="宋体" w:cs="宋体"/>
          <w:b w:val="0"/>
          <w:color w:val="auto"/>
        </w:rPr>
      </w:pPr>
      <w:r>
        <w:rPr>
          <w:color w:val="auto"/>
        </w:rPr>
        <w:t>各投标人在提交响应文件截止时间之前，应随时关注《陕西采购与招标网》、《陕西省公共资源交易平台》发布的变更公告，招标代理机构不再单独通知，因投标人未及时关注所造成的一切后果由投标人自行承担：</w:t>
      </w:r>
    </w:p>
    <w:p w14:paraId="16FA30D4">
      <w:pPr>
        <w:pStyle w:val="3"/>
        <w:widowControl/>
        <w:numPr>
          <w:ilvl w:val="0"/>
          <w:numId w:val="9"/>
        </w:numPr>
        <w:tabs>
          <w:tab w:val="left" w:pos="1278"/>
        </w:tabs>
        <w:topLinePunct w:val="0"/>
        <w:ind w:left="0" w:leftChars="0" w:firstLine="482" w:firstLineChars="200"/>
        <w:rPr>
          <w:rFonts w:hint="eastAsia" w:ascii="宋体" w:hAnsi="宋体" w:eastAsia="宋体" w:cs="宋体"/>
          <w:b/>
        </w:rPr>
      </w:pPr>
      <w:bookmarkStart w:id="15" w:name="_Toc14115"/>
      <w:r>
        <w:t>谈判文件的解释权归招标代理机构。</w:t>
      </w:r>
      <w:bookmarkEnd w:id="15"/>
    </w:p>
    <w:p w14:paraId="64D111DA">
      <w:pPr>
        <w:pStyle w:val="2"/>
        <w:widowControl/>
        <w:numPr>
          <w:ilvl w:val="0"/>
          <w:numId w:val="1"/>
        </w:numPr>
        <w:tabs>
          <w:tab w:val="left" w:pos="1037"/>
        </w:tabs>
        <w:topLinePunct w:val="0"/>
        <w:ind w:left="0" w:leftChars="0" w:firstLine="482" w:firstLineChars="200"/>
        <w:rPr>
          <w:b/>
        </w:rPr>
      </w:pPr>
      <w:bookmarkStart w:id="16" w:name="_Toc23103"/>
      <w:r>
        <w:t>关于投标信用承诺</w:t>
      </w:r>
      <w:bookmarkEnd w:id="16"/>
    </w:p>
    <w:p w14:paraId="496DFE86">
      <w:pPr>
        <w:pStyle w:val="12"/>
        <w:widowControl/>
        <w:numPr>
          <w:ilvl w:val="0"/>
          <w:numId w:val="11"/>
        </w:numPr>
        <w:tabs>
          <w:tab w:val="left" w:pos="840"/>
        </w:tabs>
        <w:topLinePunct w:val="0"/>
        <w:ind w:left="0" w:leftChars="0" w:firstLine="480" w:firstLineChars="200"/>
        <w:rPr>
          <w:rFonts w:hint="eastAsia" w:ascii="宋体" w:hAnsi="宋体" w:eastAsia="宋体" w:cs="宋体"/>
          <w:b w:val="0"/>
          <w:color w:val="auto"/>
        </w:rPr>
      </w:pPr>
      <w:r>
        <w:rPr>
          <w:color w:val="auto"/>
        </w:rPr>
        <w:t>投标人在递交响应文件的同时，应根据项目实施地相关部门规定提供投标信用承诺书。</w:t>
      </w:r>
    </w:p>
    <w:p w14:paraId="0F2A0EB9">
      <w:pPr>
        <w:pStyle w:val="12"/>
        <w:widowControl/>
        <w:numPr>
          <w:ilvl w:val="0"/>
          <w:numId w:val="11"/>
        </w:numPr>
        <w:tabs>
          <w:tab w:val="left" w:pos="840"/>
        </w:tabs>
        <w:topLinePunct w:val="0"/>
        <w:ind w:left="0" w:leftChars="0" w:firstLine="480" w:firstLineChars="200"/>
        <w:rPr>
          <w:rFonts w:hint="eastAsia" w:ascii="宋体" w:hAnsi="宋体" w:eastAsia="宋体" w:cs="宋体"/>
          <w:b w:val="0"/>
          <w:color w:val="auto"/>
        </w:rPr>
      </w:pPr>
      <w:r>
        <w:rPr>
          <w:color w:val="auto"/>
        </w:rPr>
        <w:t>投标人未提供投标信用承诺书的，将被视为自动放弃投标的权利，谈判小组将拒绝评审其投标人的谈判响应文件。</w:t>
      </w:r>
    </w:p>
    <w:p w14:paraId="379EA5BB">
      <w:pPr>
        <w:pStyle w:val="2"/>
        <w:widowControl/>
        <w:numPr>
          <w:ilvl w:val="0"/>
          <w:numId w:val="1"/>
        </w:numPr>
        <w:tabs>
          <w:tab w:val="left" w:pos="1037"/>
        </w:tabs>
        <w:topLinePunct w:val="0"/>
        <w:ind w:left="0" w:leftChars="0" w:firstLine="482" w:firstLineChars="200"/>
        <w:rPr>
          <w:b/>
        </w:rPr>
      </w:pPr>
      <w:bookmarkStart w:id="17" w:name="_Toc18574"/>
      <w:r>
        <w:t>谈判报价</w:t>
      </w:r>
      <w:bookmarkEnd w:id="17"/>
    </w:p>
    <w:p w14:paraId="63C4385A">
      <w:pPr>
        <w:pStyle w:val="12"/>
        <w:widowControl/>
        <w:ind w:left="0" w:leftChars="0" w:firstLine="480" w:firstLineChars="200"/>
        <w:rPr>
          <w:color w:val="auto"/>
        </w:rPr>
      </w:pPr>
      <w:r>
        <w:rPr>
          <w:color w:val="auto"/>
        </w:rPr>
        <w:t>谈判报价是投标人响应招标项目要求的全部工作内容的价格体现，包括完成采购内容所需的直接费、间接费、利润、税金及其它相关的一切费用。</w:t>
      </w:r>
    </w:p>
    <w:p w14:paraId="1D93DD0C">
      <w:pPr>
        <w:pStyle w:val="12"/>
        <w:widowControl/>
        <w:numPr>
          <w:ilvl w:val="0"/>
          <w:numId w:val="12"/>
        </w:numPr>
        <w:tabs>
          <w:tab w:val="left" w:pos="1200"/>
        </w:tabs>
        <w:topLinePunct w:val="0"/>
        <w:ind w:left="0" w:leftChars="0" w:firstLine="480" w:firstLineChars="200"/>
        <w:rPr>
          <w:rFonts w:hint="eastAsia" w:ascii="宋体" w:hAnsi="宋体" w:eastAsia="宋体" w:cs="宋体"/>
          <w:b w:val="0"/>
          <w:color w:val="auto"/>
        </w:rPr>
      </w:pPr>
      <w:r>
        <w:rPr>
          <w:color w:val="auto"/>
        </w:rPr>
        <w:t>投标人在报价时应充分考虑所有可能发生的费用，谈判文件未列明，而投标人认为应当计取的费用均应列入报价中。报价时不论是否计取，招标人均按已计取对待。</w:t>
      </w:r>
    </w:p>
    <w:p w14:paraId="1CE64C62">
      <w:pPr>
        <w:pStyle w:val="12"/>
        <w:widowControl/>
        <w:numPr>
          <w:ilvl w:val="0"/>
          <w:numId w:val="12"/>
        </w:numPr>
        <w:tabs>
          <w:tab w:val="left" w:pos="1200"/>
        </w:tabs>
        <w:topLinePunct w:val="0"/>
        <w:ind w:left="0" w:leftChars="0" w:firstLine="480" w:firstLineChars="200"/>
        <w:rPr>
          <w:rFonts w:hint="eastAsia" w:ascii="宋体" w:hAnsi="宋体" w:eastAsia="宋体" w:cs="宋体"/>
          <w:b w:val="0"/>
          <w:color w:val="auto"/>
        </w:rPr>
      </w:pPr>
      <w:r>
        <w:rPr>
          <w:color w:val="auto"/>
        </w:rPr>
        <w:t>谈判项目实行多次报价（一般情况下为两次），每次报价只能提交唯一报价，并且在合同履行过程中是固定不变的，任何有选择的报价招标代理机构将不予接受，其响应文件视为无效文件。</w:t>
      </w:r>
    </w:p>
    <w:p w14:paraId="4B6F03C9">
      <w:pPr>
        <w:pStyle w:val="12"/>
        <w:widowControl/>
        <w:numPr>
          <w:ilvl w:val="0"/>
          <w:numId w:val="13"/>
        </w:numPr>
        <w:tabs>
          <w:tab w:val="left" w:pos="840"/>
        </w:tabs>
        <w:topLinePunct w:val="0"/>
        <w:ind w:left="0" w:leftChars="0" w:firstLine="480" w:firstLineChars="200"/>
        <w:rPr>
          <w:rFonts w:hint="eastAsia" w:ascii="宋体" w:hAnsi="宋体" w:eastAsia="宋体" w:cs="宋体"/>
          <w:b w:val="0"/>
          <w:color w:val="auto"/>
        </w:rPr>
      </w:pPr>
      <w:r>
        <w:rPr>
          <w:color w:val="auto"/>
        </w:rPr>
        <w:t>第一次报价时，投标人应严格按照响应文件《第一次谈判报价表》中的相关要求填写分类报价及其他需要响应的内容。</w:t>
      </w:r>
    </w:p>
    <w:p w14:paraId="72267D1F">
      <w:pPr>
        <w:pStyle w:val="12"/>
        <w:widowControl/>
        <w:numPr>
          <w:ilvl w:val="0"/>
          <w:numId w:val="13"/>
        </w:numPr>
        <w:tabs>
          <w:tab w:val="left" w:pos="840"/>
        </w:tabs>
        <w:topLinePunct w:val="0"/>
        <w:ind w:left="0" w:leftChars="0" w:firstLine="480" w:firstLineChars="200"/>
        <w:rPr>
          <w:rFonts w:hint="eastAsia" w:ascii="宋体" w:hAnsi="宋体" w:eastAsia="宋体" w:cs="宋体"/>
          <w:b w:val="0"/>
          <w:color w:val="auto"/>
        </w:rPr>
      </w:pPr>
      <w:r>
        <w:rPr>
          <w:color w:val="auto"/>
        </w:rPr>
        <w:t>谈判结束后，所有实质性响应的投标人应当按照谈判小组的要求在规定时间内提交最后报价。最后报价是投标人响应文件的有效组成部分。</w:t>
      </w:r>
    </w:p>
    <w:p w14:paraId="6157CF39">
      <w:pPr>
        <w:pStyle w:val="12"/>
        <w:widowControl/>
        <w:numPr>
          <w:ilvl w:val="0"/>
          <w:numId w:val="12"/>
        </w:numPr>
        <w:tabs>
          <w:tab w:val="left" w:pos="1200"/>
        </w:tabs>
        <w:topLinePunct w:val="0"/>
        <w:ind w:left="0" w:leftChars="0" w:firstLine="480" w:firstLineChars="200"/>
        <w:rPr>
          <w:rFonts w:hint="eastAsia" w:ascii="宋体" w:hAnsi="宋体" w:eastAsia="宋体" w:cs="宋体"/>
          <w:b w:val="0"/>
          <w:color w:val="auto"/>
        </w:rPr>
      </w:pPr>
      <w:bookmarkStart w:id="18" w:name="_Toc1004"/>
      <w:r>
        <w:rPr>
          <w:color w:val="auto"/>
        </w:rPr>
        <w:t>谈判报价货币：人民币；单位：元，精确到小数点后两位。</w:t>
      </w:r>
      <w:bookmarkEnd w:id="18"/>
    </w:p>
    <w:p w14:paraId="4115B488">
      <w:pPr>
        <w:pStyle w:val="12"/>
        <w:widowControl/>
        <w:numPr>
          <w:ilvl w:val="0"/>
          <w:numId w:val="12"/>
        </w:numPr>
        <w:tabs>
          <w:tab w:val="left" w:pos="1200"/>
        </w:tabs>
        <w:topLinePunct w:val="0"/>
        <w:ind w:left="0" w:leftChars="0" w:firstLine="480" w:firstLineChars="200"/>
        <w:rPr>
          <w:rFonts w:hint="eastAsia" w:ascii="宋体" w:hAnsi="宋体" w:eastAsia="宋体" w:cs="宋体"/>
          <w:b w:val="0"/>
          <w:color w:val="auto"/>
        </w:rPr>
      </w:pPr>
      <w:r>
        <w:rPr>
          <w:color w:val="auto"/>
        </w:rPr>
        <w:t>谈判报价应遵守《中华人民共和国价格法》，投标人不得以低于成本的报价参与谈判。</w:t>
      </w:r>
    </w:p>
    <w:p w14:paraId="3CB722FB">
      <w:pPr>
        <w:pStyle w:val="12"/>
        <w:widowControl/>
        <w:numPr>
          <w:ilvl w:val="0"/>
          <w:numId w:val="12"/>
        </w:numPr>
        <w:tabs>
          <w:tab w:val="left" w:pos="1200"/>
        </w:tabs>
        <w:topLinePunct w:val="0"/>
        <w:ind w:left="0" w:leftChars="0" w:firstLine="480" w:firstLineChars="200"/>
        <w:rPr>
          <w:rFonts w:hint="eastAsia" w:ascii="宋体" w:hAnsi="宋体" w:eastAsia="宋体" w:cs="宋体"/>
          <w:b w:val="0"/>
          <w:color w:val="auto"/>
        </w:rPr>
      </w:pPr>
      <w:bookmarkStart w:id="19" w:name="_Toc22367"/>
      <w:r>
        <w:rPr>
          <w:color w:val="auto"/>
        </w:rPr>
        <w:t>响应文件报价出现前后不一致的，除谈判文件另有规定外，按照</w:t>
      </w:r>
      <w:bookmarkEnd w:id="19"/>
    </w:p>
    <w:p w14:paraId="590EC65B">
      <w:pPr>
        <w:pStyle w:val="12"/>
        <w:widowControl/>
        <w:ind w:left="0" w:leftChars="0" w:firstLine="480" w:firstLineChars="200"/>
        <w:rPr>
          <w:color w:val="auto"/>
        </w:rPr>
      </w:pPr>
      <w:r>
        <w:rPr>
          <w:color w:val="auto"/>
        </w:rPr>
        <w:t>下列规定修正：</w:t>
      </w:r>
    </w:p>
    <w:p w14:paraId="20E05502">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大写金额和小写金额不一致的，以大写金额为准；</w:t>
      </w:r>
    </w:p>
    <w:p w14:paraId="4BECF94B">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单价金额小数点或者百分比有明显错位的，以开标一览表的总价为准，并修改单价；</w:t>
      </w:r>
    </w:p>
    <w:p w14:paraId="0A8B98A6">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总价金额与按单价汇总金额不一致的，以单价金额计算结果为准；同时出现两种以上不一致的，按照前款规定的顺序修正。修正后的报价经</w:t>
      </w:r>
    </w:p>
    <w:p w14:paraId="2E1C27F9">
      <w:pPr>
        <w:pStyle w:val="12"/>
        <w:widowControl/>
        <w:ind w:left="0" w:leftChars="0" w:firstLine="480" w:firstLineChars="200"/>
        <w:rPr>
          <w:color w:val="auto"/>
        </w:rPr>
      </w:pPr>
      <w:r>
        <w:rPr>
          <w:color w:val="auto"/>
        </w:rPr>
        <w:t>投标人确认后产生约束力，投标人不确认的，其投标无效。</w:t>
      </w:r>
    </w:p>
    <w:p w14:paraId="28AF1E2B">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谈判响应文件正本与副本不一致的，以正本为准；</w:t>
      </w:r>
    </w:p>
    <w:p w14:paraId="1A0C8929">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多处内容交叉不符时，以谈判小组成员评审结果为准；</w:t>
      </w:r>
    </w:p>
    <w:p w14:paraId="550E3C52">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文字与图表不符时以文字为准；</w:t>
      </w:r>
    </w:p>
    <w:p w14:paraId="4B288A31">
      <w:pPr>
        <w:pStyle w:val="12"/>
        <w:widowControl/>
        <w:numPr>
          <w:ilvl w:val="0"/>
          <w:numId w:val="14"/>
        </w:numPr>
        <w:tabs>
          <w:tab w:val="left" w:pos="840"/>
        </w:tabs>
        <w:topLinePunct w:val="0"/>
        <w:ind w:left="0" w:leftChars="0" w:firstLine="480" w:firstLineChars="200"/>
        <w:rPr>
          <w:rFonts w:hint="eastAsia" w:ascii="宋体" w:hAnsi="宋体" w:eastAsia="宋体" w:cs="宋体"/>
          <w:b w:val="0"/>
          <w:color w:val="auto"/>
        </w:rPr>
      </w:pPr>
      <w:r>
        <w:rPr>
          <w:color w:val="auto"/>
        </w:rPr>
        <w:t>分项报价表中的服务技术参数要求与技术偏差表不一致时，以分项</w:t>
      </w:r>
    </w:p>
    <w:p w14:paraId="01D9A5B8">
      <w:pPr>
        <w:pStyle w:val="12"/>
        <w:widowControl/>
        <w:ind w:left="0" w:leftChars="0" w:firstLine="480" w:firstLineChars="200"/>
        <w:rPr>
          <w:color w:val="auto"/>
        </w:rPr>
      </w:pPr>
      <w:r>
        <w:rPr>
          <w:color w:val="auto"/>
        </w:rPr>
        <w:t>报价表为准；</w:t>
      </w:r>
    </w:p>
    <w:p w14:paraId="6721D4B5">
      <w:pPr>
        <w:pStyle w:val="12"/>
        <w:widowControl/>
        <w:ind w:left="0" w:leftChars="0" w:firstLine="480" w:firstLineChars="200"/>
        <w:rPr>
          <w:color w:val="auto"/>
        </w:rPr>
      </w:pPr>
      <w:r>
        <w:rPr>
          <w:color w:val="auto"/>
        </w:rPr>
        <w:t>按上述修正错误的原则及方法调整或修正谈判响应文件的报价，投标人同意后，调整后的报价对投标人起约束作用。如果投标人</w:t>
      </w:r>
    </w:p>
    <w:p w14:paraId="3D11F5B6">
      <w:pPr>
        <w:pStyle w:val="12"/>
        <w:widowControl/>
        <w:ind w:left="0" w:leftChars="0" w:firstLine="480" w:firstLineChars="200"/>
        <w:rPr>
          <w:color w:val="auto"/>
        </w:rPr>
      </w:pPr>
      <w:r>
        <w:rPr>
          <w:color w:val="auto"/>
        </w:rPr>
        <w:t>不接受修正后的报价，则其谈判活动将被拒绝。</w:t>
      </w:r>
    </w:p>
    <w:p w14:paraId="463D7EBF">
      <w:pPr>
        <w:pStyle w:val="12"/>
        <w:widowControl/>
        <w:numPr>
          <w:ilvl w:val="0"/>
          <w:numId w:val="12"/>
        </w:numPr>
        <w:tabs>
          <w:tab w:val="left" w:pos="1200"/>
        </w:tabs>
        <w:topLinePunct w:val="0"/>
        <w:ind w:left="0" w:leftChars="0" w:firstLine="480" w:firstLineChars="200"/>
        <w:rPr>
          <w:rFonts w:hint="eastAsia" w:ascii="宋体" w:hAnsi="宋体" w:eastAsia="宋体" w:cs="宋体"/>
          <w:b w:val="0"/>
          <w:color w:val="auto"/>
        </w:rPr>
      </w:pPr>
      <w:bookmarkStart w:id="20" w:name="_Toc17165"/>
      <w:r>
        <w:rPr>
          <w:color w:val="auto"/>
        </w:rPr>
        <w:t>因投标人对谈判文件理解不透、误解、疏漏或对市场行情了解不</w:t>
      </w:r>
      <w:bookmarkEnd w:id="20"/>
    </w:p>
    <w:p w14:paraId="6ED69945">
      <w:pPr>
        <w:pStyle w:val="12"/>
        <w:widowControl/>
        <w:ind w:left="0" w:leftChars="0" w:firstLine="480" w:firstLineChars="200"/>
        <w:rPr>
          <w:color w:val="auto"/>
        </w:rPr>
      </w:pPr>
      <w:r>
        <w:rPr>
          <w:color w:val="auto"/>
        </w:rPr>
        <w:t>清造成的后果和风险，均由投标人自己负责。</w:t>
      </w:r>
    </w:p>
    <w:p w14:paraId="5BF36482">
      <w:pPr>
        <w:pStyle w:val="2"/>
        <w:widowControl/>
        <w:numPr>
          <w:ilvl w:val="0"/>
          <w:numId w:val="1"/>
        </w:numPr>
        <w:tabs>
          <w:tab w:val="left" w:pos="1037"/>
        </w:tabs>
        <w:topLinePunct w:val="0"/>
        <w:ind w:left="0" w:leftChars="0" w:firstLine="482" w:firstLineChars="200"/>
        <w:rPr>
          <w:b/>
        </w:rPr>
      </w:pPr>
      <w:bookmarkStart w:id="21" w:name="_Toc10722"/>
      <w:r>
        <w:t>响应文件</w:t>
      </w:r>
      <w:bookmarkEnd w:id="21"/>
    </w:p>
    <w:p w14:paraId="52D7A8C5">
      <w:pPr>
        <w:pStyle w:val="3"/>
        <w:widowControl/>
        <w:ind w:left="0" w:leftChars="0" w:firstLine="482" w:firstLineChars="200"/>
      </w:pPr>
      <w:bookmarkStart w:id="22" w:name="_Toc9210"/>
      <w:r>
        <w:t>（一）响应文件的编制</w:t>
      </w:r>
      <w:bookmarkEnd w:id="22"/>
    </w:p>
    <w:p w14:paraId="66F7BF1E">
      <w:pPr>
        <w:pStyle w:val="12"/>
        <w:widowControl/>
        <w:ind w:left="0" w:leftChars="0" w:firstLine="480" w:firstLineChars="200"/>
        <w:rPr>
          <w:color w:val="auto"/>
        </w:rPr>
      </w:pPr>
      <w:r>
        <w:rPr>
          <w:color w:val="auto"/>
        </w:rPr>
        <w:t>谈判响应文件必须根据谈判文件提供的内容及格式编制，并对谈判文件做出实质性响应；具体内容包括：</w:t>
      </w:r>
    </w:p>
    <w:p w14:paraId="2927BB5D">
      <w:pPr>
        <w:pStyle w:val="12"/>
        <w:widowControl/>
        <w:tabs>
          <w:tab w:val="left" w:pos="480"/>
        </w:tabs>
        <w:ind w:left="0" w:leftChars="0" w:firstLine="480" w:firstLineChars="200"/>
        <w:rPr>
          <w:color w:val="auto"/>
        </w:rPr>
      </w:pPr>
      <w:r>
        <w:rPr>
          <w:color w:val="auto"/>
        </w:rPr>
        <w:t>第一部分 响应函格式</w:t>
      </w:r>
    </w:p>
    <w:p w14:paraId="02C22F07">
      <w:pPr>
        <w:pStyle w:val="12"/>
        <w:widowControl/>
        <w:tabs>
          <w:tab w:val="left" w:pos="480"/>
        </w:tabs>
        <w:ind w:left="0" w:leftChars="0" w:firstLine="480" w:firstLineChars="200"/>
        <w:rPr>
          <w:color w:val="auto"/>
        </w:rPr>
      </w:pPr>
      <w:r>
        <w:rPr>
          <w:color w:val="auto"/>
        </w:rPr>
        <w:t>第二部分 第一次谈判报价表</w:t>
      </w:r>
    </w:p>
    <w:p w14:paraId="60B21EB6">
      <w:pPr>
        <w:pStyle w:val="12"/>
        <w:widowControl/>
        <w:tabs>
          <w:tab w:val="left" w:pos="480"/>
        </w:tabs>
        <w:ind w:left="0" w:leftChars="0" w:firstLine="480" w:firstLineChars="200"/>
        <w:rPr>
          <w:color w:val="auto"/>
        </w:rPr>
      </w:pPr>
      <w:r>
        <w:rPr>
          <w:color w:val="auto"/>
        </w:rPr>
        <w:t>第三部分 资格证明文件</w:t>
      </w:r>
    </w:p>
    <w:p w14:paraId="6A7C08A8">
      <w:pPr>
        <w:pStyle w:val="12"/>
        <w:widowControl/>
        <w:tabs>
          <w:tab w:val="left" w:pos="480"/>
        </w:tabs>
        <w:ind w:left="0" w:leftChars="0" w:firstLine="480" w:firstLineChars="200"/>
        <w:rPr>
          <w:color w:val="auto"/>
        </w:rPr>
      </w:pPr>
      <w:r>
        <w:rPr>
          <w:color w:val="auto"/>
        </w:rPr>
        <w:t>第四部分 投标人参加招标活动承诺书</w:t>
      </w:r>
    </w:p>
    <w:p w14:paraId="39D222CD">
      <w:pPr>
        <w:pStyle w:val="12"/>
        <w:widowControl/>
        <w:tabs>
          <w:tab w:val="left" w:pos="480"/>
        </w:tabs>
        <w:ind w:left="0" w:leftChars="0" w:firstLine="480" w:firstLineChars="200"/>
        <w:rPr>
          <w:color w:val="auto"/>
        </w:rPr>
      </w:pPr>
      <w:r>
        <w:rPr>
          <w:color w:val="auto"/>
        </w:rPr>
        <w:t>第五部分 响应说明</w:t>
      </w:r>
    </w:p>
    <w:p w14:paraId="65825E38">
      <w:pPr>
        <w:pStyle w:val="3"/>
        <w:widowControl/>
        <w:ind w:left="0" w:leftChars="0" w:firstLine="482" w:firstLineChars="200"/>
      </w:pPr>
      <w:bookmarkStart w:id="23" w:name="_Toc25944"/>
      <w:r>
        <w:t>（二）响应文件有效期</w:t>
      </w:r>
      <w:bookmarkEnd w:id="23"/>
    </w:p>
    <w:p w14:paraId="23A15959">
      <w:pPr>
        <w:pStyle w:val="12"/>
        <w:widowControl/>
        <w:ind w:left="0" w:leftChars="0" w:firstLine="480" w:firstLineChars="200"/>
        <w:rPr>
          <w:color w:val="auto"/>
        </w:rPr>
      </w:pPr>
      <w:r>
        <w:rPr>
          <w:color w:val="auto"/>
        </w:rPr>
        <w:t>响应文件有效期为自开标之日起90个日历日。如成交，延长至合同执行完毕时止。</w:t>
      </w:r>
    </w:p>
    <w:p w14:paraId="15C07B0C">
      <w:pPr>
        <w:pStyle w:val="3"/>
        <w:widowControl/>
        <w:ind w:left="0" w:leftChars="0" w:firstLine="482" w:firstLineChars="200"/>
      </w:pPr>
      <w:bookmarkStart w:id="24" w:name="_Toc8183"/>
      <w:r>
        <w:t>（三）响应文件的签署及规定</w:t>
      </w:r>
      <w:bookmarkEnd w:id="24"/>
    </w:p>
    <w:p w14:paraId="07486423">
      <w:pPr>
        <w:pStyle w:val="12"/>
        <w:widowControl/>
        <w:numPr>
          <w:ilvl w:val="0"/>
          <w:numId w:val="15"/>
        </w:numPr>
        <w:tabs>
          <w:tab w:val="left" w:pos="1080"/>
        </w:tabs>
        <w:topLinePunct w:val="0"/>
        <w:ind w:left="0" w:leftChars="0" w:firstLine="480" w:firstLineChars="200"/>
        <w:rPr>
          <w:rFonts w:hint="eastAsia" w:ascii="宋体" w:hAnsi="宋体" w:eastAsia="宋体" w:cs="宋体"/>
          <w:b w:val="0"/>
          <w:color w:val="auto"/>
        </w:rPr>
      </w:pPr>
      <w:r>
        <w:rPr>
          <w:color w:val="auto"/>
        </w:rPr>
        <w:t>投标人须依据谈判文件内容和谈判响应文件格式的要求编制谈判响应文件；</w:t>
      </w:r>
    </w:p>
    <w:p w14:paraId="617ABBB4">
      <w:pPr>
        <w:pStyle w:val="12"/>
        <w:widowControl/>
        <w:numPr>
          <w:ilvl w:val="0"/>
          <w:numId w:val="15"/>
        </w:numPr>
        <w:tabs>
          <w:tab w:val="left" w:pos="1080"/>
        </w:tabs>
        <w:topLinePunct w:val="0"/>
        <w:ind w:left="0" w:leftChars="0" w:firstLine="480" w:firstLineChars="200"/>
        <w:rPr>
          <w:rFonts w:hint="eastAsia" w:ascii="宋体" w:hAnsi="宋体" w:eastAsia="宋体" w:cs="宋体"/>
          <w:b w:val="0"/>
          <w:color w:val="auto"/>
        </w:rPr>
      </w:pPr>
      <w:r>
        <w:rPr>
          <w:color w:val="auto"/>
        </w:rPr>
        <w:t>谈判响应文件的正本和所有的副本均需打印或用不褪色的蓝（黑）墨水填写并逐页加盖投标单位原章，注明“正本”“副本”字样。统一胶装、编码，在每一页的正下方清楚标明连续页码，不得使用活页夹、不可插页或抽页。谈判响应文件的正本和所有的副本一起包装、加贴封条，并在封套的封口处加盖投标人单位章。</w:t>
      </w:r>
    </w:p>
    <w:p w14:paraId="5BFBE460">
      <w:pPr>
        <w:pStyle w:val="12"/>
        <w:widowControl/>
        <w:numPr>
          <w:ilvl w:val="0"/>
          <w:numId w:val="15"/>
        </w:numPr>
        <w:tabs>
          <w:tab w:val="left" w:pos="1080"/>
        </w:tabs>
        <w:topLinePunct w:val="0"/>
        <w:ind w:left="0" w:leftChars="0" w:firstLine="480" w:firstLineChars="200"/>
        <w:rPr>
          <w:rFonts w:hint="eastAsia" w:ascii="宋体" w:hAnsi="宋体" w:eastAsia="宋体" w:cs="宋体"/>
          <w:b w:val="0"/>
          <w:color w:val="auto"/>
        </w:rPr>
      </w:pPr>
      <w:r>
        <w:rPr>
          <w:color w:val="auto"/>
        </w:rPr>
        <w:t>谈判响应文件份数，本次谈判需提交谈判响应文件共叁份，其中正本壹份，副本贰份，在封面标明“正本”、“副本”字样；</w:t>
      </w:r>
    </w:p>
    <w:p w14:paraId="4CCA3D93">
      <w:pPr>
        <w:pStyle w:val="12"/>
        <w:widowControl/>
        <w:numPr>
          <w:ilvl w:val="0"/>
          <w:numId w:val="15"/>
        </w:numPr>
        <w:tabs>
          <w:tab w:val="left" w:pos="1080"/>
        </w:tabs>
        <w:topLinePunct w:val="0"/>
        <w:ind w:left="0" w:leftChars="0" w:firstLine="480" w:firstLineChars="200"/>
        <w:rPr>
          <w:rFonts w:hint="eastAsia" w:ascii="宋体" w:hAnsi="宋体" w:eastAsia="宋体" w:cs="宋体"/>
          <w:b w:val="0"/>
          <w:color w:val="auto"/>
        </w:rPr>
      </w:pPr>
      <w:r>
        <w:rPr>
          <w:color w:val="auto"/>
        </w:rPr>
        <w:t>投标人在谈判响应文件中指定的页面落款投标人名称或要求盖公章处须填写全称，同时加盖公章，否则按无效谈判响应文件处理；</w:t>
      </w:r>
    </w:p>
    <w:p w14:paraId="7C04B84E">
      <w:pPr>
        <w:pStyle w:val="12"/>
        <w:widowControl/>
        <w:numPr>
          <w:ilvl w:val="0"/>
          <w:numId w:val="15"/>
        </w:numPr>
        <w:tabs>
          <w:tab w:val="left" w:pos="1080"/>
        </w:tabs>
        <w:topLinePunct w:val="0"/>
        <w:ind w:left="0" w:leftChars="0" w:firstLine="480" w:firstLineChars="200"/>
        <w:rPr>
          <w:rFonts w:hint="eastAsia" w:ascii="宋体" w:hAnsi="宋体" w:eastAsia="宋体" w:cs="宋体"/>
          <w:b w:val="0"/>
          <w:color w:val="auto"/>
        </w:rPr>
      </w:pPr>
      <w:r>
        <w:rPr>
          <w:color w:val="auto"/>
        </w:rPr>
        <w:t>谈判响应文件的任何行间插字、涂改和增删，必须由法定代表人或被授权人在改动处旁签字方为有效；</w:t>
      </w:r>
    </w:p>
    <w:p w14:paraId="5FBE7CB2">
      <w:pPr>
        <w:pStyle w:val="12"/>
        <w:widowControl/>
        <w:numPr>
          <w:ilvl w:val="0"/>
          <w:numId w:val="15"/>
        </w:numPr>
        <w:tabs>
          <w:tab w:val="left" w:pos="1080"/>
        </w:tabs>
        <w:topLinePunct w:val="0"/>
        <w:ind w:left="0" w:leftChars="0" w:firstLine="480" w:firstLineChars="200"/>
        <w:rPr>
          <w:rFonts w:hint="eastAsia" w:ascii="宋体" w:hAnsi="宋体" w:eastAsia="宋体" w:cs="宋体"/>
          <w:b w:val="0"/>
          <w:color w:val="auto"/>
        </w:rPr>
      </w:pPr>
      <w:r>
        <w:rPr>
          <w:color w:val="auto"/>
        </w:rPr>
        <w:t>谈判响应文件因字迹潦草或表达不清所引起的后果由投标人负责。</w:t>
      </w:r>
    </w:p>
    <w:p w14:paraId="3E70C146">
      <w:pPr>
        <w:pStyle w:val="3"/>
        <w:widowControl/>
        <w:ind w:left="0" w:leftChars="0" w:firstLine="482" w:firstLineChars="200"/>
      </w:pPr>
      <w:bookmarkStart w:id="25" w:name="_Toc2784"/>
      <w:r>
        <w:t>（四）响应文件的语言及计量单位</w:t>
      </w:r>
      <w:bookmarkEnd w:id="25"/>
    </w:p>
    <w:p w14:paraId="3E3DC650">
      <w:pPr>
        <w:pStyle w:val="12"/>
        <w:widowControl/>
        <w:numPr>
          <w:ilvl w:val="0"/>
          <w:numId w:val="16"/>
        </w:numPr>
        <w:tabs>
          <w:tab w:val="left" w:pos="840"/>
        </w:tabs>
        <w:topLinePunct w:val="0"/>
        <w:ind w:left="0" w:leftChars="0" w:firstLine="480" w:firstLineChars="200"/>
        <w:rPr>
          <w:rFonts w:hint="eastAsia" w:ascii="宋体" w:hAnsi="宋体" w:eastAsia="宋体" w:cs="宋体"/>
          <w:b w:val="0"/>
          <w:color w:val="auto"/>
        </w:rPr>
      </w:pPr>
      <w:r>
        <w:rPr>
          <w:color w:val="auto"/>
        </w:rPr>
        <w:t>谈判活动的所有文件、资料、函电文字均使用简体中文，确需提交用其他语言形成的资料，必须翻译成简体中文，如有差异，以简体中文为准。</w:t>
      </w:r>
    </w:p>
    <w:p w14:paraId="02146173">
      <w:pPr>
        <w:pStyle w:val="12"/>
        <w:widowControl/>
        <w:numPr>
          <w:ilvl w:val="0"/>
          <w:numId w:val="16"/>
        </w:numPr>
        <w:tabs>
          <w:tab w:val="left" w:pos="840"/>
        </w:tabs>
        <w:topLinePunct w:val="0"/>
        <w:ind w:left="0" w:leftChars="0" w:firstLine="480" w:firstLineChars="200"/>
        <w:rPr>
          <w:rFonts w:hint="eastAsia" w:ascii="宋体" w:hAnsi="宋体" w:eastAsia="宋体" w:cs="宋体"/>
          <w:b w:val="0"/>
          <w:color w:val="auto"/>
        </w:rPr>
      </w:pPr>
      <w:r>
        <w:rPr>
          <w:color w:val="auto"/>
        </w:rPr>
        <w:t>响应文件的计量单位应使用中华人民共和国法定计量单位，但谈判文件另有规定的除外。</w:t>
      </w:r>
    </w:p>
    <w:p w14:paraId="48889554">
      <w:pPr>
        <w:pStyle w:val="3"/>
        <w:widowControl/>
        <w:ind w:left="0" w:leftChars="0" w:firstLine="482" w:firstLineChars="200"/>
      </w:pPr>
      <w:bookmarkStart w:id="26" w:name="_Toc29960"/>
      <w:r>
        <w:t>（五）响应文件的补充、修改和撤回</w:t>
      </w:r>
      <w:bookmarkEnd w:id="26"/>
    </w:p>
    <w:p w14:paraId="04F88F34">
      <w:pPr>
        <w:pStyle w:val="12"/>
        <w:widowControl/>
        <w:numPr>
          <w:ilvl w:val="0"/>
          <w:numId w:val="17"/>
        </w:numPr>
        <w:tabs>
          <w:tab w:val="left" w:pos="840"/>
        </w:tabs>
        <w:topLinePunct w:val="0"/>
        <w:ind w:left="0" w:leftChars="0" w:firstLine="480" w:firstLineChars="200"/>
        <w:rPr>
          <w:rFonts w:hint="eastAsia" w:ascii="宋体" w:hAnsi="宋体" w:eastAsia="宋体" w:cs="宋体"/>
          <w:b w:val="0"/>
          <w:color w:val="auto"/>
        </w:rPr>
      </w:pPr>
      <w:r>
        <w:rPr>
          <w:color w:val="auto"/>
        </w:rPr>
        <w:t>投标人在递交响应文件后，且在提交响应文件截止时间前，可以对</w:t>
      </w:r>
    </w:p>
    <w:p w14:paraId="2A4F2C56">
      <w:pPr>
        <w:pStyle w:val="12"/>
        <w:widowControl/>
        <w:ind w:left="0" w:leftChars="0" w:firstLine="480" w:firstLineChars="200"/>
        <w:rPr>
          <w:color w:val="auto"/>
        </w:rPr>
      </w:pPr>
      <w:r>
        <w:rPr>
          <w:color w:val="auto"/>
        </w:rPr>
        <w:t>所提交的响应文件进行补充、修改或撤回。</w:t>
      </w:r>
    </w:p>
    <w:p w14:paraId="3FD2DCB2">
      <w:pPr>
        <w:pStyle w:val="12"/>
        <w:widowControl/>
        <w:numPr>
          <w:ilvl w:val="0"/>
          <w:numId w:val="17"/>
        </w:numPr>
        <w:tabs>
          <w:tab w:val="left" w:pos="840"/>
        </w:tabs>
        <w:topLinePunct w:val="0"/>
        <w:ind w:left="0" w:leftChars="0" w:firstLine="480" w:firstLineChars="200"/>
        <w:rPr>
          <w:rFonts w:hint="eastAsia" w:ascii="宋体" w:hAnsi="宋体" w:eastAsia="宋体" w:cs="宋体"/>
          <w:b w:val="0"/>
          <w:color w:val="auto"/>
        </w:rPr>
      </w:pPr>
      <w:r>
        <w:rPr>
          <w:color w:val="auto"/>
        </w:rPr>
        <w:t>响应文件提交截止时间后，投标人不得对其响应文件做任何修改。</w:t>
      </w:r>
    </w:p>
    <w:p w14:paraId="0B67EDD9">
      <w:pPr>
        <w:pStyle w:val="3"/>
        <w:widowControl/>
        <w:ind w:left="0" w:leftChars="0" w:firstLine="482" w:firstLineChars="200"/>
      </w:pPr>
      <w:bookmarkStart w:id="27" w:name="_Toc1116"/>
      <w:r>
        <w:t>（六）响应文件封装、递交</w:t>
      </w:r>
      <w:bookmarkEnd w:id="27"/>
    </w:p>
    <w:p w14:paraId="62973DFD">
      <w:pPr>
        <w:pStyle w:val="4"/>
        <w:widowControl/>
        <w:numPr>
          <w:ilvl w:val="0"/>
          <w:numId w:val="18"/>
        </w:numPr>
        <w:tabs>
          <w:tab w:val="left" w:pos="909"/>
        </w:tabs>
        <w:topLinePunct w:val="0"/>
        <w:ind w:left="0" w:leftChars="0" w:firstLine="482" w:firstLineChars="200"/>
        <w:rPr>
          <w:rFonts w:hint="eastAsia" w:ascii="宋体" w:hAnsi="宋体" w:eastAsia="宋体" w:cs="宋体"/>
          <w:b/>
        </w:rPr>
      </w:pPr>
      <w:r>
        <w:t>谈判响应文件的封装及标记</w:t>
      </w:r>
    </w:p>
    <w:p w14:paraId="0B0BF10D">
      <w:pPr>
        <w:pStyle w:val="12"/>
        <w:widowControl/>
        <w:numPr>
          <w:ilvl w:val="0"/>
          <w:numId w:val="19"/>
        </w:numPr>
        <w:tabs>
          <w:tab w:val="left" w:pos="1080"/>
        </w:tabs>
        <w:topLinePunct w:val="0"/>
        <w:ind w:left="0" w:leftChars="0" w:firstLine="480" w:firstLineChars="200"/>
        <w:rPr>
          <w:rFonts w:hint="eastAsia" w:ascii="宋体" w:hAnsi="宋体" w:eastAsia="宋体" w:cs="宋体"/>
          <w:b w:val="0"/>
          <w:color w:val="auto"/>
        </w:rPr>
      </w:pPr>
      <w:r>
        <w:rPr>
          <w:color w:val="auto"/>
        </w:rPr>
        <w:t>谈判响应文件封装：</w:t>
      </w:r>
    </w:p>
    <w:p w14:paraId="44C588E9">
      <w:pPr>
        <w:pStyle w:val="12"/>
        <w:widowControl/>
        <w:ind w:left="0" w:leftChars="0" w:firstLine="480" w:firstLineChars="200"/>
        <w:rPr>
          <w:color w:val="auto"/>
        </w:rPr>
      </w:pPr>
      <w:r>
        <w:rPr>
          <w:color w:val="auto"/>
        </w:rPr>
        <w:t>投标人应将谈判响应文件的正本和所有的副本用封袋一起装密封（封袋不得有破损），在封袋上标明“响应文件”及采购项目名称、采购项目编号、投标人名称、年月日时分前不得启封等字样，封线处有投标人授权代表签字及盖投标人公章，封袋正面要粘贴标识。谈判响应文件正、副本中所附的资质证明文件为复印件加盖投标人公章。</w:t>
      </w:r>
    </w:p>
    <w:p w14:paraId="648CE277">
      <w:pPr>
        <w:pStyle w:val="12"/>
        <w:widowControl/>
        <w:numPr>
          <w:ilvl w:val="0"/>
          <w:numId w:val="19"/>
        </w:numPr>
        <w:tabs>
          <w:tab w:val="left" w:pos="1080"/>
        </w:tabs>
        <w:topLinePunct w:val="0"/>
        <w:ind w:left="0" w:leftChars="0" w:firstLine="480" w:firstLineChars="200"/>
        <w:rPr>
          <w:rFonts w:hint="eastAsia" w:ascii="宋体" w:hAnsi="宋体" w:eastAsia="宋体" w:cs="宋体"/>
          <w:b w:val="0"/>
          <w:color w:val="auto"/>
        </w:rPr>
      </w:pPr>
      <w:r>
        <w:rPr>
          <w:color w:val="auto"/>
        </w:rPr>
        <w:t>如果投标人未按上述要求封装及加写标记，误投或过早启封的谈判响应文件，出现此类情况的谈判响应文件，招标代理机构将拒绝接收，并退回投标人。招标代理机构对谈判响应文件的误投和提前启封概不负责。</w:t>
      </w:r>
    </w:p>
    <w:p w14:paraId="5CAB6B72">
      <w:pPr>
        <w:pStyle w:val="4"/>
        <w:widowControl/>
        <w:numPr>
          <w:ilvl w:val="0"/>
          <w:numId w:val="18"/>
        </w:numPr>
        <w:tabs>
          <w:tab w:val="left" w:pos="909"/>
        </w:tabs>
        <w:topLinePunct w:val="0"/>
        <w:ind w:left="0" w:leftChars="0" w:firstLine="482" w:firstLineChars="200"/>
        <w:rPr>
          <w:rFonts w:hint="eastAsia" w:ascii="宋体" w:hAnsi="宋体" w:eastAsia="宋体" w:cs="宋体"/>
          <w:b/>
        </w:rPr>
      </w:pPr>
      <w:r>
        <w:t>谈判响应文件递交</w:t>
      </w:r>
    </w:p>
    <w:p w14:paraId="513717F1">
      <w:pPr>
        <w:pStyle w:val="12"/>
        <w:widowControl/>
        <w:numPr>
          <w:ilvl w:val="0"/>
          <w:numId w:val="20"/>
        </w:numPr>
        <w:tabs>
          <w:tab w:val="left" w:pos="1080"/>
        </w:tabs>
        <w:topLinePunct w:val="0"/>
        <w:ind w:left="0" w:leftChars="0" w:firstLine="480" w:firstLineChars="200"/>
        <w:rPr>
          <w:rFonts w:hint="eastAsia" w:ascii="宋体" w:hAnsi="宋体" w:eastAsia="宋体" w:cs="宋体"/>
          <w:b w:val="0"/>
          <w:color w:val="auto"/>
        </w:rPr>
      </w:pPr>
      <w:r>
        <w:rPr>
          <w:color w:val="auto"/>
        </w:rPr>
        <w:t>投标人必须在谈判文件规定的时间和地点，将全部谈判响应文件递交至招标代理机构项目承办人；</w:t>
      </w:r>
    </w:p>
    <w:p w14:paraId="44CF62BE">
      <w:pPr>
        <w:pStyle w:val="12"/>
        <w:widowControl/>
        <w:numPr>
          <w:ilvl w:val="0"/>
          <w:numId w:val="20"/>
        </w:numPr>
        <w:tabs>
          <w:tab w:val="left" w:pos="1080"/>
        </w:tabs>
        <w:topLinePunct w:val="0"/>
        <w:ind w:left="0" w:leftChars="0" w:firstLine="480" w:firstLineChars="200"/>
        <w:rPr>
          <w:rFonts w:hint="eastAsia" w:ascii="宋体" w:hAnsi="宋体" w:eastAsia="宋体" w:cs="宋体"/>
          <w:b w:val="0"/>
          <w:color w:val="auto"/>
        </w:rPr>
      </w:pPr>
      <w:r>
        <w:rPr>
          <w:color w:val="auto"/>
        </w:rPr>
        <w:t>招标代理机构项目承办人在谈判文件规定的谈判响应文件递交截止时间前，只负责谈判响应文件的接收、清点、造册登记工作，并请法定代表人或被授权人签字确认，对其有效性不负任何责任；</w:t>
      </w:r>
    </w:p>
    <w:p w14:paraId="00453B1F">
      <w:pPr>
        <w:pStyle w:val="12"/>
        <w:widowControl/>
        <w:numPr>
          <w:ilvl w:val="0"/>
          <w:numId w:val="20"/>
        </w:numPr>
        <w:tabs>
          <w:tab w:val="left" w:pos="1080"/>
        </w:tabs>
        <w:topLinePunct w:val="0"/>
        <w:ind w:left="0" w:leftChars="0" w:firstLine="480" w:firstLineChars="200"/>
        <w:rPr>
          <w:rFonts w:hint="eastAsia" w:ascii="宋体" w:hAnsi="宋体" w:eastAsia="宋体" w:cs="宋体"/>
          <w:b w:val="0"/>
          <w:color w:val="auto"/>
        </w:rPr>
      </w:pPr>
      <w:r>
        <w:rPr>
          <w:color w:val="auto"/>
        </w:rPr>
        <w:t>招标代理机构在宣布递交谈判响应文件时间截止之后，拒绝接收任何人送达、递交的谈判响应文件；</w:t>
      </w:r>
    </w:p>
    <w:p w14:paraId="1A70B361">
      <w:pPr>
        <w:pStyle w:val="12"/>
        <w:widowControl/>
        <w:numPr>
          <w:ilvl w:val="0"/>
          <w:numId w:val="20"/>
        </w:numPr>
        <w:tabs>
          <w:tab w:val="left" w:pos="1080"/>
        </w:tabs>
        <w:topLinePunct w:val="0"/>
        <w:ind w:left="0" w:leftChars="0" w:firstLine="480" w:firstLineChars="200"/>
        <w:rPr>
          <w:rFonts w:hint="eastAsia" w:ascii="宋体" w:hAnsi="宋体" w:eastAsia="宋体" w:cs="宋体"/>
          <w:b w:val="0"/>
          <w:color w:val="auto"/>
        </w:rPr>
      </w:pPr>
      <w:r>
        <w:rPr>
          <w:color w:val="auto"/>
        </w:rPr>
        <w:t>无论投标人成交与否或者废标，其谈判响应文件恕不退还。</w:t>
      </w:r>
    </w:p>
    <w:p w14:paraId="34304CA2">
      <w:pPr>
        <w:pStyle w:val="4"/>
        <w:widowControl/>
        <w:numPr>
          <w:ilvl w:val="0"/>
          <w:numId w:val="18"/>
        </w:numPr>
        <w:tabs>
          <w:tab w:val="left" w:pos="909"/>
        </w:tabs>
        <w:topLinePunct w:val="0"/>
        <w:ind w:left="0" w:leftChars="0" w:firstLine="482" w:firstLineChars="200"/>
        <w:rPr>
          <w:rFonts w:hint="eastAsia" w:ascii="宋体" w:hAnsi="宋体" w:eastAsia="宋体" w:cs="宋体"/>
          <w:b/>
        </w:rPr>
      </w:pPr>
      <w:r>
        <w:t>谈判响应文件递交截止时间</w:t>
      </w:r>
    </w:p>
    <w:p w14:paraId="0734EC0F">
      <w:pPr>
        <w:pStyle w:val="12"/>
        <w:widowControl/>
        <w:numPr>
          <w:ilvl w:val="0"/>
          <w:numId w:val="21"/>
        </w:numPr>
        <w:tabs>
          <w:tab w:val="left" w:pos="1080"/>
        </w:tabs>
        <w:topLinePunct w:val="0"/>
        <w:ind w:left="0" w:leftChars="0" w:firstLine="480" w:firstLineChars="200"/>
        <w:rPr>
          <w:rFonts w:hint="eastAsia" w:ascii="宋体" w:hAnsi="宋体" w:eastAsia="宋体" w:cs="宋体"/>
          <w:b w:val="0"/>
          <w:color w:val="auto"/>
        </w:rPr>
      </w:pPr>
      <w:r>
        <w:rPr>
          <w:color w:val="auto"/>
        </w:rPr>
        <w:t>投标人必须在谈判文件规定的递交截止时间之前递交谈判响应文件，招标代理机构在截止时间后拒绝接收任何谈判响应文件。</w:t>
      </w:r>
    </w:p>
    <w:p w14:paraId="11C2F38B">
      <w:pPr>
        <w:pStyle w:val="12"/>
        <w:widowControl/>
        <w:numPr>
          <w:ilvl w:val="0"/>
          <w:numId w:val="21"/>
        </w:numPr>
        <w:tabs>
          <w:tab w:val="left" w:pos="1080"/>
        </w:tabs>
        <w:topLinePunct w:val="0"/>
        <w:ind w:left="0" w:leftChars="0" w:firstLine="480" w:firstLineChars="200"/>
        <w:rPr>
          <w:rFonts w:hint="eastAsia" w:ascii="宋体" w:hAnsi="宋体" w:eastAsia="宋体" w:cs="宋体"/>
          <w:b w:val="0"/>
          <w:color w:val="auto"/>
        </w:rPr>
      </w:pPr>
      <w:r>
        <w:rPr>
          <w:color w:val="auto"/>
        </w:rPr>
        <w:t>招标代理机构因采购单位推迟谈判截止时间时，应以书面（或传真）的形式，通知所有投标人；在这种情况下，招标代理机构和投标人的权利和义务将受到新的截止期的约束。</w:t>
      </w:r>
    </w:p>
    <w:p w14:paraId="3C16B7AA">
      <w:pPr>
        <w:pStyle w:val="4"/>
        <w:widowControl/>
        <w:numPr>
          <w:ilvl w:val="0"/>
          <w:numId w:val="18"/>
        </w:numPr>
        <w:tabs>
          <w:tab w:val="left" w:pos="909"/>
        </w:tabs>
        <w:topLinePunct w:val="0"/>
        <w:ind w:left="0" w:leftChars="0" w:firstLine="482" w:firstLineChars="200"/>
        <w:rPr>
          <w:rFonts w:hint="eastAsia" w:ascii="宋体" w:hAnsi="宋体" w:eastAsia="宋体" w:cs="宋体"/>
          <w:b/>
        </w:rPr>
      </w:pPr>
      <w:r>
        <w:t>谈判响应文件的修改和撤回</w:t>
      </w:r>
    </w:p>
    <w:p w14:paraId="43DABB54">
      <w:pPr>
        <w:pStyle w:val="12"/>
        <w:widowControl/>
        <w:numPr>
          <w:ilvl w:val="0"/>
          <w:numId w:val="22"/>
        </w:numPr>
        <w:tabs>
          <w:tab w:val="left" w:pos="1080"/>
        </w:tabs>
        <w:topLinePunct w:val="0"/>
        <w:ind w:left="0" w:leftChars="0" w:firstLine="480" w:firstLineChars="200"/>
        <w:rPr>
          <w:rFonts w:hint="eastAsia" w:ascii="宋体" w:hAnsi="宋体" w:eastAsia="宋体" w:cs="宋体"/>
          <w:b w:val="0"/>
          <w:color w:val="auto"/>
        </w:rPr>
      </w:pPr>
      <w:r>
        <w:rPr>
          <w:color w:val="auto"/>
        </w:rPr>
        <w:t>谈判响应文件递交后，如果投标人提出书面修改和撤回谈判响应文件要求，在谈判截止时间前以书面形式送达招标代理机构；</w:t>
      </w:r>
    </w:p>
    <w:p w14:paraId="610D5C64">
      <w:pPr>
        <w:pStyle w:val="12"/>
        <w:widowControl/>
        <w:numPr>
          <w:ilvl w:val="0"/>
          <w:numId w:val="22"/>
        </w:numPr>
        <w:tabs>
          <w:tab w:val="left" w:pos="1080"/>
        </w:tabs>
        <w:topLinePunct w:val="0"/>
        <w:ind w:left="0" w:leftChars="0" w:firstLine="480" w:firstLineChars="200"/>
        <w:rPr>
          <w:rFonts w:hint="eastAsia" w:ascii="宋体" w:hAnsi="宋体" w:eastAsia="宋体" w:cs="宋体"/>
          <w:b w:val="0"/>
          <w:color w:val="auto"/>
        </w:rPr>
      </w:pPr>
      <w:r>
        <w:rPr>
          <w:color w:val="auto"/>
        </w:rPr>
        <w:t>投标人修改谈判响应文件的书面材料，须密封送达招标代理机构，修改或补充的内容应按谈判文件要求签署、盖章、密封、标记，并作为谈判响应文件的组成部分；</w:t>
      </w:r>
    </w:p>
    <w:p w14:paraId="12C84919">
      <w:pPr>
        <w:pStyle w:val="12"/>
        <w:widowControl/>
        <w:numPr>
          <w:ilvl w:val="0"/>
          <w:numId w:val="22"/>
        </w:numPr>
        <w:tabs>
          <w:tab w:val="left" w:pos="1080"/>
        </w:tabs>
        <w:topLinePunct w:val="0"/>
        <w:ind w:left="0" w:leftChars="0" w:firstLine="480" w:firstLineChars="200"/>
        <w:rPr>
          <w:rFonts w:hint="eastAsia" w:ascii="宋体" w:hAnsi="宋体" w:eastAsia="宋体" w:cs="宋体"/>
          <w:b w:val="0"/>
          <w:color w:val="auto"/>
        </w:rPr>
      </w:pPr>
      <w:r>
        <w:rPr>
          <w:color w:val="auto"/>
        </w:rPr>
        <w:t>撤回谈判响应文件应以书面（或传真）的形式通知招标代理机构。如采取传真形式撤回谈判响应文件，随后必须补充有法定代表人或被授权人签署的要求撤回谈判响应文件的正式文件；撤回谈判响应文件的时间以送达招标代理机构到达日期为准；</w:t>
      </w:r>
    </w:p>
    <w:p w14:paraId="320244B0">
      <w:pPr>
        <w:pStyle w:val="12"/>
        <w:widowControl/>
        <w:numPr>
          <w:ilvl w:val="0"/>
          <w:numId w:val="22"/>
        </w:numPr>
        <w:tabs>
          <w:tab w:val="left" w:pos="1080"/>
        </w:tabs>
        <w:topLinePunct w:val="0"/>
        <w:ind w:left="0" w:leftChars="0" w:firstLine="480" w:firstLineChars="200"/>
        <w:rPr>
          <w:rFonts w:hint="eastAsia" w:ascii="宋体" w:hAnsi="宋体" w:eastAsia="宋体" w:cs="宋体"/>
          <w:b w:val="0"/>
          <w:color w:val="auto"/>
        </w:rPr>
      </w:pPr>
      <w:r>
        <w:rPr>
          <w:color w:val="auto"/>
        </w:rPr>
        <w:t>在谈判截止时间后到谈判文件规定的谈判有效期满之间的这段时间内，投标人不得撤回其谈判响应文件；</w:t>
      </w:r>
    </w:p>
    <w:p w14:paraId="6BE9C001">
      <w:pPr>
        <w:pStyle w:val="12"/>
        <w:widowControl/>
        <w:numPr>
          <w:ilvl w:val="0"/>
          <w:numId w:val="22"/>
        </w:numPr>
        <w:tabs>
          <w:tab w:val="left" w:pos="1080"/>
        </w:tabs>
        <w:topLinePunct w:val="0"/>
        <w:ind w:left="0" w:leftChars="0" w:firstLine="480" w:firstLineChars="200"/>
        <w:rPr>
          <w:rFonts w:hint="eastAsia" w:ascii="宋体" w:hAnsi="宋体" w:eastAsia="宋体" w:cs="宋体"/>
          <w:b w:val="0"/>
          <w:color w:val="auto"/>
        </w:rPr>
      </w:pPr>
      <w:r>
        <w:rPr>
          <w:color w:val="auto"/>
        </w:rPr>
        <w:t>投标人在谈判响应文件递交截止时间后，不得对其谈判响应文件做任何修改。</w:t>
      </w:r>
    </w:p>
    <w:p w14:paraId="1B51730F">
      <w:pPr>
        <w:pStyle w:val="2"/>
        <w:widowControl/>
        <w:numPr>
          <w:ilvl w:val="0"/>
          <w:numId w:val="1"/>
        </w:numPr>
        <w:tabs>
          <w:tab w:val="left" w:pos="1037"/>
        </w:tabs>
        <w:topLinePunct w:val="0"/>
        <w:ind w:left="0" w:leftChars="0" w:firstLine="482" w:firstLineChars="200"/>
        <w:rPr>
          <w:b/>
        </w:rPr>
      </w:pPr>
      <w:bookmarkStart w:id="28" w:name="_Toc16807"/>
      <w:r>
        <w:t>组织开标</w:t>
      </w:r>
      <w:bookmarkEnd w:id="28"/>
    </w:p>
    <w:p w14:paraId="5F77220A">
      <w:pPr>
        <w:pStyle w:val="12"/>
        <w:widowControl/>
        <w:numPr>
          <w:ilvl w:val="0"/>
          <w:numId w:val="23"/>
        </w:numPr>
        <w:tabs>
          <w:tab w:val="left" w:pos="1200"/>
        </w:tabs>
        <w:topLinePunct w:val="0"/>
        <w:ind w:left="0" w:leftChars="0" w:firstLine="480" w:firstLineChars="200"/>
        <w:rPr>
          <w:rFonts w:hint="eastAsia" w:ascii="宋体" w:hAnsi="宋体" w:eastAsia="宋体" w:cs="宋体"/>
          <w:b w:val="0"/>
          <w:color w:val="auto"/>
        </w:rPr>
      </w:pPr>
      <w:r>
        <w:rPr>
          <w:color w:val="auto"/>
        </w:rPr>
        <w:t>招标人及招标代理机构按谈判公告中规定的时间和地点接受投标人递交的响应文件。开标会议在腾讯会议app上按时举行，投标人的法定代表人或其授权代表应提前下载该软件，在开标时间（暨：投标截止时间）前输入会议号“256-280-899”，未按时参加本项目开标会议或未签到的投标人，视为自动放弃本项目投标，按无效处理。</w:t>
      </w:r>
    </w:p>
    <w:p w14:paraId="1619B3ED">
      <w:pPr>
        <w:pStyle w:val="12"/>
        <w:widowControl/>
        <w:numPr>
          <w:ilvl w:val="0"/>
          <w:numId w:val="23"/>
        </w:numPr>
        <w:tabs>
          <w:tab w:val="left" w:pos="1200"/>
        </w:tabs>
        <w:topLinePunct w:val="0"/>
        <w:ind w:left="0" w:leftChars="0" w:firstLine="480" w:firstLineChars="200"/>
        <w:rPr>
          <w:rFonts w:hint="eastAsia" w:ascii="宋体" w:hAnsi="宋体" w:eastAsia="宋体" w:cs="宋体"/>
          <w:b w:val="0"/>
          <w:color w:val="auto"/>
        </w:rPr>
      </w:pPr>
      <w:r>
        <w:rPr>
          <w:color w:val="auto"/>
        </w:rPr>
        <w:t>开标时，投标人授权代表与监标人共同查验响应文件密封情况并签字或在线确认。确认无误后方可拆封响应文件。</w:t>
      </w:r>
    </w:p>
    <w:p w14:paraId="1BE561FB">
      <w:pPr>
        <w:pStyle w:val="12"/>
        <w:widowControl/>
        <w:numPr>
          <w:ilvl w:val="0"/>
          <w:numId w:val="23"/>
        </w:numPr>
        <w:tabs>
          <w:tab w:val="left" w:pos="1200"/>
        </w:tabs>
        <w:topLinePunct w:val="0"/>
        <w:ind w:left="0" w:leftChars="0" w:firstLine="480" w:firstLineChars="200"/>
        <w:rPr>
          <w:rFonts w:hint="eastAsia" w:ascii="宋体" w:hAnsi="宋体" w:eastAsia="宋体" w:cs="宋体"/>
          <w:b w:val="0"/>
          <w:color w:val="auto"/>
        </w:rPr>
      </w:pPr>
      <w:r>
        <w:rPr>
          <w:color w:val="auto"/>
        </w:rPr>
        <w:t>开标程序：</w:t>
      </w:r>
    </w:p>
    <w:p w14:paraId="789015DF">
      <w:pPr>
        <w:pStyle w:val="12"/>
        <w:ind w:left="0" w:leftChars="0" w:firstLine="480" w:firstLineChars="200"/>
        <w:rPr>
          <w:color w:val="auto"/>
        </w:rPr>
      </w:pPr>
      <w:r>
        <w:rPr>
          <w:color w:val="auto"/>
        </w:rPr>
        <w:t>1) 介绍出席会议人员；</w:t>
      </w:r>
    </w:p>
    <w:p w14:paraId="62DB2B37">
      <w:pPr>
        <w:pStyle w:val="12"/>
        <w:numPr>
          <w:ilvl w:val="0"/>
          <w:numId w:val="24"/>
        </w:numPr>
        <w:tabs>
          <w:tab w:val="left" w:pos="879"/>
          <w:tab w:val="clear" w:pos="210"/>
        </w:tabs>
        <w:ind w:left="0" w:leftChars="0" w:firstLine="480" w:firstLineChars="200"/>
        <w:rPr>
          <w:b w:val="0"/>
          <w:color w:val="auto"/>
        </w:rPr>
      </w:pPr>
      <w:r>
        <w:rPr>
          <w:color w:val="auto"/>
        </w:rPr>
        <w:t>介绍投标人；</w:t>
      </w:r>
    </w:p>
    <w:p w14:paraId="115C151B">
      <w:pPr>
        <w:pStyle w:val="12"/>
        <w:numPr>
          <w:ilvl w:val="0"/>
          <w:numId w:val="24"/>
        </w:numPr>
        <w:tabs>
          <w:tab w:val="left" w:pos="879"/>
          <w:tab w:val="clear" w:pos="210"/>
        </w:tabs>
        <w:ind w:left="0" w:leftChars="0" w:firstLine="480" w:firstLineChars="200"/>
        <w:rPr>
          <w:b w:val="0"/>
          <w:color w:val="auto"/>
        </w:rPr>
      </w:pPr>
      <w:r>
        <w:rPr>
          <w:color w:val="auto"/>
        </w:rPr>
        <w:t>宣布开标纪律；</w:t>
      </w:r>
    </w:p>
    <w:p w14:paraId="6953AAFB">
      <w:pPr>
        <w:pStyle w:val="12"/>
        <w:numPr>
          <w:ilvl w:val="0"/>
          <w:numId w:val="24"/>
        </w:numPr>
        <w:tabs>
          <w:tab w:val="left" w:pos="879"/>
          <w:tab w:val="clear" w:pos="210"/>
        </w:tabs>
        <w:ind w:left="0" w:leftChars="0" w:firstLine="480" w:firstLineChars="200"/>
        <w:rPr>
          <w:b w:val="0"/>
          <w:color w:val="auto"/>
        </w:rPr>
      </w:pPr>
      <w:r>
        <w:rPr>
          <w:color w:val="auto"/>
        </w:rPr>
        <w:t>由监标人对投标人进行身份核验；</w:t>
      </w:r>
    </w:p>
    <w:p w14:paraId="62446C4D">
      <w:pPr>
        <w:pStyle w:val="12"/>
        <w:ind w:left="0" w:leftChars="0" w:firstLine="480" w:firstLineChars="200"/>
        <w:rPr>
          <w:color w:val="auto"/>
        </w:rPr>
      </w:pPr>
      <w:r>
        <w:rPr>
          <w:color w:val="auto"/>
        </w:rPr>
        <w:t>参加开标会议的供应商代表必须是法定代表人或其授权委托的代理人：1）法定代表人参加开标会议的，须提供法定代表人身份证原件复印件加盖供应商公章1份；2）受权委托人参加开标会议的，须提供授权委托书原件、被委托人的身份原件证复印件加盖供应商公章1份。</w:t>
      </w:r>
    </w:p>
    <w:p w14:paraId="5ECF374A">
      <w:pPr>
        <w:pStyle w:val="12"/>
        <w:ind w:left="0" w:leftChars="0" w:firstLine="480" w:firstLineChars="200"/>
        <w:rPr>
          <w:color w:val="auto"/>
        </w:rPr>
      </w:pPr>
      <w:r>
        <w:rPr>
          <w:color w:val="auto"/>
        </w:rPr>
        <w:t>注：投标核验资料与响应文件同时递交。开标时，供应商代表应手持本人身份证原件，由监督部门对投标人身份进行核验，若投标人身份核验不合格，按无效投标处理。</w:t>
      </w:r>
    </w:p>
    <w:p w14:paraId="75CB7625">
      <w:pPr>
        <w:pStyle w:val="12"/>
        <w:numPr>
          <w:ilvl w:val="0"/>
          <w:numId w:val="24"/>
        </w:numPr>
        <w:tabs>
          <w:tab w:val="left" w:pos="879"/>
          <w:tab w:val="clear" w:pos="210"/>
        </w:tabs>
        <w:ind w:left="0" w:leftChars="0" w:firstLine="480" w:firstLineChars="200"/>
        <w:rPr>
          <w:b w:val="0"/>
          <w:color w:val="auto"/>
        </w:rPr>
      </w:pPr>
      <w:r>
        <w:rPr>
          <w:color w:val="auto"/>
        </w:rPr>
        <w:t>第一次唱标前，由监标人和投标人参会代表共同检查响应文件的密封情况，并对密封情况签字确认，确认无误后拆封谈判响应文件。</w:t>
      </w:r>
    </w:p>
    <w:p w14:paraId="6A883792">
      <w:pPr>
        <w:pStyle w:val="12"/>
        <w:numPr>
          <w:ilvl w:val="0"/>
          <w:numId w:val="24"/>
        </w:numPr>
        <w:tabs>
          <w:tab w:val="left" w:pos="879"/>
          <w:tab w:val="clear" w:pos="210"/>
        </w:tabs>
        <w:ind w:left="0" w:leftChars="0" w:firstLine="480" w:firstLineChars="200"/>
        <w:rPr>
          <w:b w:val="0"/>
          <w:color w:val="auto"/>
        </w:rPr>
      </w:pPr>
      <w:r>
        <w:rPr>
          <w:color w:val="auto"/>
        </w:rPr>
        <w:t>由代理公司工作人员拆封所有响应文件；</w:t>
      </w:r>
    </w:p>
    <w:p w14:paraId="4BCC4BFA">
      <w:pPr>
        <w:pStyle w:val="12"/>
        <w:numPr>
          <w:ilvl w:val="0"/>
          <w:numId w:val="24"/>
        </w:numPr>
        <w:tabs>
          <w:tab w:val="left" w:pos="879"/>
          <w:tab w:val="clear" w:pos="210"/>
        </w:tabs>
        <w:ind w:left="0" w:leftChars="0" w:firstLine="480" w:firstLineChars="200"/>
        <w:rPr>
          <w:b w:val="0"/>
          <w:color w:val="auto"/>
        </w:rPr>
      </w:pPr>
      <w:r>
        <w:rPr>
          <w:color w:val="auto"/>
        </w:rPr>
        <w:t>代理机构工作人员宣读并记录唱标内容：谈判响应文件份数、工期等内容，开标记录经招标人、投标人签字确认后随谈判文件一并存档。参照陕西省财政厅《关于政府采购有关问题的通知》（陕财办采资〔2016〕53号）第六条规定，在每轮谈判结束时对服务商的报价均不予公开；投标人对开标过程和开标记录有疑义，以及认为招标人、代理机构相关工作人员有需要回避情形的，应在提出询问或回避申请，招标人、代理机构应当及时处理；</w:t>
      </w:r>
    </w:p>
    <w:p w14:paraId="64FB39CE">
      <w:pPr>
        <w:pStyle w:val="12"/>
        <w:numPr>
          <w:ilvl w:val="0"/>
          <w:numId w:val="24"/>
        </w:numPr>
        <w:tabs>
          <w:tab w:val="left" w:pos="879"/>
          <w:tab w:val="clear" w:pos="210"/>
        </w:tabs>
        <w:ind w:left="0" w:leftChars="0" w:firstLine="480" w:firstLineChars="200"/>
        <w:rPr>
          <w:b w:val="0"/>
          <w:color w:val="auto"/>
        </w:rPr>
      </w:pPr>
      <w:r>
        <w:rPr>
          <w:color w:val="auto"/>
        </w:rPr>
        <w:t>开标会议结束（投标人未参加开标的，视同认可开标结果），进入评审和谈判阶段。</w:t>
      </w:r>
    </w:p>
    <w:p w14:paraId="60F8900B">
      <w:pPr>
        <w:pStyle w:val="12"/>
        <w:widowControl/>
        <w:numPr>
          <w:ilvl w:val="0"/>
          <w:numId w:val="23"/>
        </w:numPr>
        <w:tabs>
          <w:tab w:val="left" w:pos="1200"/>
        </w:tabs>
        <w:topLinePunct w:val="0"/>
        <w:ind w:left="0" w:leftChars="0" w:firstLine="480" w:firstLineChars="200"/>
        <w:rPr>
          <w:rFonts w:hint="eastAsia" w:ascii="宋体" w:hAnsi="宋体" w:eastAsia="宋体" w:cs="宋体"/>
          <w:b w:val="0"/>
          <w:color w:val="auto"/>
        </w:rPr>
      </w:pPr>
      <w:r>
        <w:rPr>
          <w:color w:val="auto"/>
        </w:rPr>
        <w:t>投标人对开标过程和开标记录有疑义，以及认为招标人、招标代理机构相关工作人员有需要回避情形的，应在提出询问或回避申请，招标人、招标代理机构应当及时处理。</w:t>
      </w:r>
    </w:p>
    <w:p w14:paraId="5905DB10">
      <w:pPr>
        <w:pStyle w:val="2"/>
        <w:widowControl/>
        <w:numPr>
          <w:ilvl w:val="0"/>
          <w:numId w:val="1"/>
        </w:numPr>
        <w:tabs>
          <w:tab w:val="left" w:pos="1037"/>
        </w:tabs>
        <w:topLinePunct w:val="0"/>
        <w:ind w:left="0" w:leftChars="0" w:firstLine="482" w:firstLineChars="200"/>
        <w:rPr>
          <w:b/>
        </w:rPr>
      </w:pPr>
      <w:bookmarkStart w:id="29" w:name="_Toc11047"/>
      <w:r>
        <w:t>资格审查</w:t>
      </w:r>
      <w:bookmarkEnd w:id="29"/>
    </w:p>
    <w:p w14:paraId="4586CC70">
      <w:pPr>
        <w:pStyle w:val="12"/>
        <w:widowControl/>
        <w:numPr>
          <w:ilvl w:val="0"/>
          <w:numId w:val="25"/>
        </w:numPr>
        <w:tabs>
          <w:tab w:val="left" w:pos="840"/>
        </w:tabs>
        <w:topLinePunct w:val="0"/>
        <w:ind w:left="0" w:leftChars="0" w:firstLine="480" w:firstLineChars="200"/>
        <w:rPr>
          <w:rFonts w:hint="eastAsia" w:ascii="宋体" w:hAnsi="宋体" w:eastAsia="宋体" w:cs="宋体"/>
          <w:b w:val="0"/>
          <w:color w:val="auto"/>
        </w:rPr>
      </w:pPr>
      <w:r>
        <w:rPr>
          <w:color w:val="auto"/>
        </w:rPr>
        <w:t>开标结束后，谈判响应文件的资格性审查：依据法律法规和谈判文件的规定，由谈判小组对谈判响应文件中的资格证明文件进行审查，以确保投标人是否具备相应资格，未通过资格审查的投标人其响应文件将被视为无效。</w:t>
      </w:r>
    </w:p>
    <w:p w14:paraId="039672DC">
      <w:pPr>
        <w:pStyle w:val="52"/>
        <w:widowControl/>
      </w:pPr>
      <w:r>
        <w:t>资格性审查表</w:t>
      </w:r>
    </w:p>
    <w:tbl>
      <w:tblPr>
        <w:tblStyle w:val="28"/>
        <w:tblW w:w="90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427"/>
      </w:tblGrid>
      <w:tr w14:paraId="07C2B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00" w:type="dxa"/>
            <w:vAlign w:val="center"/>
          </w:tcPr>
          <w:p w14:paraId="4492EBAC">
            <w:pPr>
              <w:jc w:val="center"/>
              <w:rPr>
                <w:rFonts w:hint="eastAsia" w:ascii="宋体" w:hAnsi="宋体" w:eastAsia="宋体" w:cs="宋体"/>
                <w:color w:val="auto"/>
                <w:sz w:val="28"/>
                <w:szCs w:val="28"/>
                <w:lang w:val="en-US" w:eastAsia="zh-CN"/>
              </w:rPr>
            </w:pPr>
            <w:r>
              <w:rPr>
                <w:rFonts w:hint="eastAsia" w:ascii="宋体" w:hAnsi="宋体" w:eastAsia="宋体" w:cs="宋体"/>
                <w:color w:val="auto"/>
                <w:spacing w:val="-5"/>
              </w:rPr>
              <w:t>序号</w:t>
            </w:r>
          </w:p>
        </w:tc>
        <w:tc>
          <w:tcPr>
            <w:tcW w:w="8427" w:type="dxa"/>
            <w:vAlign w:val="top"/>
          </w:tcPr>
          <w:p w14:paraId="1BE7E322">
            <w:pPr>
              <w:pStyle w:val="29"/>
              <w:keepNext w:val="0"/>
              <w:keepLines w:val="0"/>
              <w:pageBreakBefore w:val="0"/>
              <w:widowControl/>
              <w:kinsoku/>
              <w:wordWrap w:val="0"/>
              <w:overflowPunct/>
              <w:topLinePunct/>
              <w:autoSpaceDE/>
              <w:autoSpaceDN/>
              <w:bidi w:val="0"/>
              <w:adjustRightInd w:val="0"/>
              <w:snapToGrid w:val="0"/>
              <w:spacing w:before="70" w:line="219" w:lineRule="auto"/>
              <w:ind w:left="114"/>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4"/>
              </w:rPr>
              <w:t>资格性审查标准</w:t>
            </w:r>
          </w:p>
        </w:tc>
      </w:tr>
      <w:tr w14:paraId="1D2D0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00" w:type="dxa"/>
            <w:tcBorders>
              <w:bottom w:val="single" w:color="auto" w:sz="4" w:space="0"/>
            </w:tcBorders>
            <w:vAlign w:val="center"/>
          </w:tcPr>
          <w:p w14:paraId="3268E73B">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w:t>
            </w:r>
          </w:p>
        </w:tc>
        <w:tc>
          <w:tcPr>
            <w:tcW w:w="8427" w:type="dxa"/>
            <w:vAlign w:val="top"/>
          </w:tcPr>
          <w:p w14:paraId="0A15A72A">
            <w:pPr>
              <w:pStyle w:val="29"/>
              <w:keepNext w:val="0"/>
              <w:keepLines w:val="0"/>
              <w:pageBreakBefore w:val="0"/>
              <w:widowControl/>
              <w:kinsoku/>
              <w:wordWrap w:val="0"/>
              <w:overflowPunct/>
              <w:topLinePunct/>
              <w:autoSpaceDE/>
              <w:autoSpaceDN/>
              <w:bidi w:val="0"/>
              <w:adjustRightInd w:val="0"/>
              <w:snapToGrid w:val="0"/>
              <w:spacing w:before="70" w:line="219" w:lineRule="auto"/>
              <w:ind w:left="114"/>
              <w:jc w:val="both"/>
              <w:textAlignment w:val="baseline"/>
              <w:rPr>
                <w:rFonts w:hint="eastAsia" w:ascii="宋体" w:hAnsi="宋体" w:eastAsia="宋体" w:cs="宋体"/>
                <w:color w:val="auto"/>
                <w:spacing w:val="3"/>
                <w:lang w:eastAsia="zh-CN"/>
              </w:rPr>
            </w:pPr>
            <w:r>
              <w:rPr>
                <w:rFonts w:hint="eastAsia" w:ascii="宋体" w:hAnsi="宋体" w:eastAsia="宋体" w:cs="宋体"/>
                <w:color w:val="auto"/>
                <w:spacing w:val="3"/>
                <w:lang w:val="en-US" w:eastAsia="zh-CN"/>
              </w:rPr>
              <w:t>投标人应为在中华人民共和国境内依法注册的法人或其他组织，具备有效的营业执照(或事业法人登记证书)；</w:t>
            </w:r>
          </w:p>
        </w:tc>
      </w:tr>
      <w:tr w14:paraId="40BFD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00" w:type="dxa"/>
            <w:tcBorders>
              <w:top w:val="single" w:color="auto" w:sz="4" w:space="0"/>
              <w:bottom w:val="single" w:color="auto" w:sz="4" w:space="0"/>
            </w:tcBorders>
            <w:vAlign w:val="center"/>
          </w:tcPr>
          <w:p w14:paraId="39F91708">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p>
        </w:tc>
        <w:tc>
          <w:tcPr>
            <w:tcW w:w="8427" w:type="dxa"/>
            <w:vAlign w:val="top"/>
          </w:tcPr>
          <w:p w14:paraId="4D0F2D79">
            <w:pPr>
              <w:keepNext w:val="0"/>
              <w:keepLines w:val="0"/>
              <w:pageBreakBefore w:val="0"/>
              <w:widowControl/>
              <w:kinsoku/>
              <w:wordWrap w:val="0"/>
              <w:overflowPunct/>
              <w:topLinePunct/>
              <w:autoSpaceDE/>
              <w:autoSpaceDN/>
              <w:bidi w:val="0"/>
              <w:adjustRightInd w:val="0"/>
              <w:snapToGrid w:val="0"/>
              <w:spacing w:before="45" w:line="245" w:lineRule="auto"/>
              <w:ind w:right="97"/>
              <w:jc w:val="both"/>
              <w:textAlignment w:val="baseline"/>
              <w:rPr>
                <w:rFonts w:hint="eastAsia" w:ascii="宋体" w:hAnsi="宋体" w:eastAsia="宋体" w:cs="宋体"/>
                <w:snapToGrid w:val="0"/>
                <w:color w:val="auto"/>
                <w:spacing w:val="3"/>
                <w:kern w:val="0"/>
                <w:sz w:val="28"/>
                <w:szCs w:val="28"/>
                <w:lang w:val="en-US" w:eastAsia="zh-CN" w:bidi="ar-SA"/>
              </w:rPr>
            </w:pPr>
            <w:r>
              <w:rPr>
                <w:rFonts w:hint="eastAsia" w:ascii="宋体" w:hAnsi="宋体" w:eastAsia="宋体" w:cs="宋体"/>
                <w:snapToGrid w:val="0"/>
                <w:color w:val="auto"/>
                <w:spacing w:val="3"/>
                <w:kern w:val="0"/>
                <w:sz w:val="28"/>
                <w:szCs w:val="28"/>
                <w:lang w:val="en-US" w:eastAsia="zh-CN" w:bidi="ar-SA"/>
              </w:rPr>
              <w:t>投标人应提供《具有履行合同所必需的设备和专业技术能力的承诺函》，提供1份2022年1月1日至投标截止时间前的类似项目服务业绩合同；</w:t>
            </w:r>
          </w:p>
        </w:tc>
      </w:tr>
      <w:tr w14:paraId="2C28C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00" w:type="dxa"/>
            <w:tcBorders>
              <w:top w:val="single" w:color="auto" w:sz="4" w:space="0"/>
              <w:bottom w:val="single" w:color="auto" w:sz="4" w:space="0"/>
            </w:tcBorders>
            <w:vAlign w:val="center"/>
          </w:tcPr>
          <w:p w14:paraId="36051F7A">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w:t>
            </w:r>
          </w:p>
        </w:tc>
        <w:tc>
          <w:tcPr>
            <w:tcW w:w="8427" w:type="dxa"/>
            <w:vAlign w:val="top"/>
          </w:tcPr>
          <w:p w14:paraId="28CF5396">
            <w:pPr>
              <w:keepNext w:val="0"/>
              <w:keepLines w:val="0"/>
              <w:pageBreakBefore w:val="0"/>
              <w:widowControl/>
              <w:kinsoku/>
              <w:wordWrap w:val="0"/>
              <w:overflowPunct/>
              <w:topLinePunct/>
              <w:autoSpaceDE/>
              <w:autoSpaceDN/>
              <w:bidi w:val="0"/>
              <w:adjustRightInd w:val="0"/>
              <w:snapToGrid w:val="0"/>
              <w:spacing w:before="45" w:line="245" w:lineRule="auto"/>
              <w:ind w:right="97"/>
              <w:jc w:val="both"/>
              <w:textAlignment w:val="baseline"/>
              <w:rPr>
                <w:rFonts w:hint="eastAsia" w:ascii="宋体" w:hAnsi="宋体" w:eastAsia="宋体" w:cs="宋体"/>
                <w:snapToGrid w:val="0"/>
                <w:color w:val="auto"/>
                <w:spacing w:val="3"/>
                <w:kern w:val="0"/>
                <w:sz w:val="28"/>
                <w:szCs w:val="28"/>
                <w:lang w:val="en-US" w:eastAsia="zh-CN" w:bidi="ar-SA"/>
              </w:rPr>
            </w:pPr>
            <w:r>
              <w:rPr>
                <w:rFonts w:hint="eastAsia" w:ascii="宋体" w:hAnsi="宋体" w:eastAsia="宋体" w:cs="宋体"/>
                <w:snapToGrid w:val="0"/>
                <w:color w:val="auto"/>
                <w:spacing w:val="3"/>
                <w:kern w:val="0"/>
                <w:sz w:val="28"/>
                <w:szCs w:val="28"/>
                <w:lang w:val="en-US" w:eastAsia="zh-CN" w:bidi="ar-SA"/>
              </w:rPr>
              <w:t>投标人应具有良好的商业信誉和健全的财务会计制度，具有依法缴纳税收和社会保障金的良好记录，参加本项目采购活动前三年内无重大违法活动记录。提供《基本资格条件承诺函》；</w:t>
            </w:r>
          </w:p>
        </w:tc>
      </w:tr>
      <w:tr w14:paraId="52506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00" w:type="dxa"/>
            <w:tcBorders>
              <w:top w:val="single" w:color="auto" w:sz="4" w:space="0"/>
              <w:bottom w:val="single" w:color="auto" w:sz="4" w:space="0"/>
            </w:tcBorders>
            <w:vAlign w:val="center"/>
          </w:tcPr>
          <w:p w14:paraId="063C6F3B">
            <w:pPr>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c>
          <w:tcPr>
            <w:tcW w:w="8427" w:type="dxa"/>
            <w:vAlign w:val="top"/>
          </w:tcPr>
          <w:p w14:paraId="3E219444">
            <w:pPr>
              <w:keepNext w:val="0"/>
              <w:keepLines w:val="0"/>
              <w:pageBreakBefore w:val="0"/>
              <w:widowControl/>
              <w:kinsoku/>
              <w:wordWrap w:val="0"/>
              <w:overflowPunct/>
              <w:topLinePunct/>
              <w:autoSpaceDE/>
              <w:autoSpaceDN/>
              <w:bidi w:val="0"/>
              <w:adjustRightInd w:val="0"/>
              <w:snapToGrid w:val="0"/>
              <w:spacing w:before="45" w:line="245" w:lineRule="auto"/>
              <w:ind w:right="97"/>
              <w:jc w:val="both"/>
              <w:textAlignment w:val="baseline"/>
              <w:rPr>
                <w:rFonts w:hint="eastAsia" w:ascii="宋体" w:hAnsi="宋体" w:eastAsia="宋体" w:cs="宋体"/>
                <w:snapToGrid w:val="0"/>
                <w:color w:val="auto"/>
                <w:spacing w:val="3"/>
                <w:kern w:val="0"/>
                <w:sz w:val="28"/>
                <w:szCs w:val="28"/>
                <w:lang w:val="en-US" w:eastAsia="zh-CN" w:bidi="ar-SA"/>
              </w:rPr>
            </w:pPr>
            <w:r>
              <w:rPr>
                <w:rFonts w:hint="eastAsia" w:ascii="宋体" w:hAnsi="宋体" w:eastAsia="宋体" w:cs="宋体"/>
                <w:snapToGrid w:val="0"/>
                <w:color w:val="auto"/>
                <w:spacing w:val="3"/>
                <w:kern w:val="0"/>
                <w:sz w:val="28"/>
                <w:szCs w:val="28"/>
                <w:lang w:val="en-US" w:eastAsia="zh-CN" w:bidi="ar-SA"/>
              </w:rPr>
              <w:t>本项目专门面向中小企业采购，参加政府采购活动的中小企业/残疾人单位应提供《中小企业声明函》或《残疾人福利性单位声明函》。参加政府采购活动的监狱企业应提供由省级以上监狱管理局、戒毒管理局（含新疆生产建设兵团）出具的生产厂商属于监狱企业的证明文件扫描件。</w:t>
            </w:r>
          </w:p>
        </w:tc>
      </w:tr>
      <w:tr w14:paraId="4ED63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00" w:type="dxa"/>
            <w:tcBorders>
              <w:top w:val="single" w:color="auto" w:sz="4" w:space="0"/>
              <w:bottom w:val="single" w:color="auto" w:sz="4" w:space="0"/>
            </w:tcBorders>
            <w:vAlign w:val="center"/>
          </w:tcPr>
          <w:p w14:paraId="10658DF0">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w:t>
            </w:r>
          </w:p>
        </w:tc>
        <w:tc>
          <w:tcPr>
            <w:tcW w:w="8427" w:type="dxa"/>
            <w:vAlign w:val="top"/>
          </w:tcPr>
          <w:p w14:paraId="65A64ED2">
            <w:pPr>
              <w:keepNext w:val="0"/>
              <w:keepLines w:val="0"/>
              <w:pageBreakBefore w:val="0"/>
              <w:widowControl/>
              <w:kinsoku/>
              <w:wordWrap w:val="0"/>
              <w:overflowPunct/>
              <w:topLinePunct/>
              <w:autoSpaceDE/>
              <w:autoSpaceDN/>
              <w:bidi w:val="0"/>
              <w:adjustRightInd w:val="0"/>
              <w:snapToGrid w:val="0"/>
              <w:spacing w:before="45" w:line="245" w:lineRule="auto"/>
              <w:ind w:right="97"/>
              <w:jc w:val="both"/>
              <w:textAlignment w:val="baseline"/>
              <w:rPr>
                <w:rFonts w:hint="eastAsia" w:ascii="宋体" w:hAnsi="宋体" w:eastAsia="宋体" w:cs="宋体"/>
                <w:snapToGrid w:val="0"/>
                <w:color w:val="auto"/>
                <w:spacing w:val="3"/>
                <w:kern w:val="0"/>
                <w:sz w:val="28"/>
                <w:szCs w:val="28"/>
                <w:lang w:val="en-US" w:eastAsia="zh-CN" w:bidi="ar-SA"/>
              </w:rPr>
            </w:pPr>
            <w:r>
              <w:rPr>
                <w:rFonts w:hint="eastAsia" w:ascii="宋体" w:hAnsi="宋体" w:eastAsia="宋体" w:cs="宋体"/>
                <w:snapToGrid w:val="0"/>
                <w:color w:val="auto"/>
                <w:spacing w:val="3"/>
                <w:kern w:val="0"/>
                <w:sz w:val="28"/>
                <w:szCs w:val="28"/>
                <w:lang w:val="en-US" w:eastAsia="zh-CN" w:bidi="ar-SA"/>
              </w:rPr>
              <w:t>投标人不得列入国家企业信用信息公示系统经营异常名录、严重违法失信名单（黑名单），不得列入信用中国经营异常、严重失信主体名单，不得列入中国执行信息公开网失信被执行人名单；</w:t>
            </w:r>
          </w:p>
        </w:tc>
      </w:tr>
      <w:tr w14:paraId="5210C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00" w:type="dxa"/>
            <w:tcBorders>
              <w:top w:val="single" w:color="auto" w:sz="4" w:space="0"/>
              <w:bottom w:val="single" w:color="auto" w:sz="4" w:space="0"/>
            </w:tcBorders>
            <w:vAlign w:val="center"/>
          </w:tcPr>
          <w:p w14:paraId="03502D27">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w:t>
            </w:r>
          </w:p>
        </w:tc>
        <w:tc>
          <w:tcPr>
            <w:tcW w:w="8427" w:type="dxa"/>
            <w:vAlign w:val="top"/>
          </w:tcPr>
          <w:p w14:paraId="4E5A79B8">
            <w:pPr>
              <w:keepNext w:val="0"/>
              <w:keepLines w:val="0"/>
              <w:pageBreakBefore w:val="0"/>
              <w:widowControl/>
              <w:kinsoku/>
              <w:wordWrap w:val="0"/>
              <w:overflowPunct/>
              <w:topLinePunct/>
              <w:autoSpaceDE/>
              <w:autoSpaceDN/>
              <w:bidi w:val="0"/>
              <w:adjustRightInd w:val="0"/>
              <w:snapToGrid w:val="0"/>
              <w:spacing w:before="45" w:line="245" w:lineRule="auto"/>
              <w:ind w:right="97"/>
              <w:jc w:val="both"/>
              <w:textAlignment w:val="baseline"/>
              <w:rPr>
                <w:rFonts w:hint="eastAsia" w:ascii="宋体" w:hAnsi="宋体" w:eastAsia="宋体" w:cs="宋体"/>
                <w:snapToGrid w:val="0"/>
                <w:color w:val="auto"/>
                <w:spacing w:val="3"/>
                <w:kern w:val="0"/>
                <w:sz w:val="28"/>
                <w:szCs w:val="28"/>
                <w:lang w:val="en-US" w:eastAsia="zh-CN" w:bidi="ar-SA"/>
              </w:rPr>
            </w:pPr>
            <w:r>
              <w:rPr>
                <w:rFonts w:hint="eastAsia" w:ascii="宋体" w:hAnsi="宋体" w:eastAsia="宋体" w:cs="宋体"/>
                <w:snapToGrid w:val="0"/>
                <w:color w:val="auto"/>
                <w:spacing w:val="3"/>
                <w:kern w:val="0"/>
                <w:sz w:val="28"/>
                <w:szCs w:val="28"/>
                <w:lang w:val="en-US" w:eastAsia="zh-CN" w:bidi="ar-SA"/>
              </w:rPr>
              <w:t>本项目不接受联合体投标。投标单位负责人为同一人或者存在控股、管理关系的不同单位，不得同时参加本项目投标。</w:t>
            </w:r>
          </w:p>
          <w:p w14:paraId="564F81F9">
            <w:pPr>
              <w:keepNext w:val="0"/>
              <w:keepLines w:val="0"/>
              <w:pageBreakBefore w:val="0"/>
              <w:widowControl/>
              <w:kinsoku/>
              <w:wordWrap w:val="0"/>
              <w:overflowPunct/>
              <w:topLinePunct/>
              <w:autoSpaceDE/>
              <w:autoSpaceDN/>
              <w:bidi w:val="0"/>
              <w:adjustRightInd w:val="0"/>
              <w:snapToGrid w:val="0"/>
              <w:spacing w:before="45" w:line="245" w:lineRule="auto"/>
              <w:ind w:right="97"/>
              <w:jc w:val="both"/>
              <w:textAlignment w:val="baseline"/>
              <w:rPr>
                <w:rFonts w:hint="eastAsia" w:ascii="宋体" w:hAnsi="宋体" w:eastAsia="宋体" w:cs="宋体"/>
                <w:snapToGrid w:val="0"/>
                <w:color w:val="auto"/>
                <w:spacing w:val="3"/>
                <w:kern w:val="0"/>
                <w:sz w:val="28"/>
                <w:szCs w:val="28"/>
                <w:lang w:val="en-US" w:eastAsia="zh-CN" w:bidi="ar-SA"/>
              </w:rPr>
            </w:pPr>
            <w:r>
              <w:rPr>
                <w:rFonts w:hint="eastAsia" w:ascii="宋体" w:hAnsi="宋体" w:eastAsia="宋体" w:cs="宋体"/>
                <w:snapToGrid w:val="0"/>
                <w:color w:val="auto"/>
                <w:spacing w:val="3"/>
                <w:kern w:val="0"/>
                <w:sz w:val="28"/>
                <w:szCs w:val="28"/>
                <w:lang w:val="en-US" w:eastAsia="zh-CN" w:bidi="ar-SA"/>
              </w:rPr>
              <w:t>注：评审以谈判响应文件中所附加盖单位公章的非联合体投标书面声明为准。</w:t>
            </w:r>
          </w:p>
        </w:tc>
      </w:tr>
    </w:tbl>
    <w:p w14:paraId="5F165261">
      <w:pPr>
        <w:pStyle w:val="12"/>
        <w:widowControl/>
        <w:ind w:left="0" w:leftChars="0" w:firstLine="480" w:firstLineChars="200"/>
        <w:rPr>
          <w:color w:val="auto"/>
        </w:rPr>
      </w:pPr>
      <w:r>
        <w:rPr>
          <w:color w:val="auto"/>
        </w:rPr>
        <w:t>注：评审以谈判响应文件中所附加盖单位公章的非联合体投标书面声明为准。</w:t>
      </w:r>
    </w:p>
    <w:p w14:paraId="541BED19">
      <w:pPr>
        <w:pStyle w:val="12"/>
        <w:widowControl/>
        <w:numPr>
          <w:ilvl w:val="0"/>
          <w:numId w:val="25"/>
        </w:numPr>
        <w:tabs>
          <w:tab w:val="left" w:pos="840"/>
        </w:tabs>
        <w:topLinePunct w:val="0"/>
        <w:ind w:left="0" w:leftChars="0" w:firstLine="480" w:firstLineChars="200"/>
        <w:rPr>
          <w:rFonts w:hint="eastAsia" w:ascii="宋体" w:hAnsi="宋体" w:eastAsia="宋体" w:cs="宋体"/>
          <w:b w:val="0"/>
          <w:color w:val="auto"/>
        </w:rPr>
      </w:pPr>
      <w:r>
        <w:rPr>
          <w:color w:val="auto"/>
        </w:rPr>
        <w:t>资格审查结束后，资格审查小组成员应当对审查结果进行签字确认，并告知无效投标人资格审查未通过的原因。</w:t>
      </w:r>
    </w:p>
    <w:p w14:paraId="6DE86A7F">
      <w:pPr>
        <w:pStyle w:val="12"/>
        <w:widowControl/>
        <w:numPr>
          <w:ilvl w:val="0"/>
          <w:numId w:val="25"/>
        </w:numPr>
        <w:tabs>
          <w:tab w:val="left" w:pos="840"/>
        </w:tabs>
        <w:topLinePunct w:val="0"/>
        <w:ind w:left="0" w:leftChars="0" w:firstLine="480" w:firstLineChars="200"/>
        <w:rPr>
          <w:rFonts w:hint="eastAsia" w:ascii="宋体" w:hAnsi="宋体" w:eastAsia="宋体" w:cs="宋体"/>
          <w:b w:val="0"/>
          <w:color w:val="auto"/>
        </w:rPr>
      </w:pPr>
      <w:bookmarkStart w:id="30" w:name="_Toc19317"/>
      <w:r>
        <w:rPr>
          <w:color w:val="auto"/>
        </w:rPr>
        <w:t>合格投标人不足3家的，不得评标。</w:t>
      </w:r>
      <w:bookmarkEnd w:id="30"/>
    </w:p>
    <w:p w14:paraId="11F7FF17">
      <w:pPr>
        <w:pStyle w:val="2"/>
        <w:widowControl/>
        <w:numPr>
          <w:ilvl w:val="0"/>
          <w:numId w:val="1"/>
        </w:numPr>
        <w:tabs>
          <w:tab w:val="left" w:pos="1037"/>
        </w:tabs>
        <w:topLinePunct w:val="0"/>
        <w:ind w:left="0" w:leftChars="0" w:firstLine="482" w:firstLineChars="200"/>
        <w:rPr>
          <w:b/>
        </w:rPr>
      </w:pPr>
      <w:bookmarkStart w:id="31" w:name="_Toc26148"/>
      <w:r>
        <w:t>组织评审</w:t>
      </w:r>
      <w:bookmarkEnd w:id="31"/>
    </w:p>
    <w:p w14:paraId="1FD7B685">
      <w:pPr>
        <w:pStyle w:val="3"/>
        <w:widowControl/>
        <w:numPr>
          <w:ilvl w:val="0"/>
          <w:numId w:val="26"/>
        </w:numPr>
        <w:tabs>
          <w:tab w:val="left" w:pos="1274"/>
        </w:tabs>
        <w:topLinePunct w:val="0"/>
        <w:ind w:left="0" w:leftChars="0" w:firstLine="482" w:firstLineChars="200"/>
        <w:rPr>
          <w:rFonts w:hint="eastAsia" w:ascii="宋体" w:hAnsi="宋体" w:eastAsia="宋体" w:cs="宋体"/>
          <w:b/>
        </w:rPr>
      </w:pPr>
      <w:bookmarkStart w:id="32" w:name="_Toc19583"/>
      <w:r>
        <w:t>招标代理机构负责组织评审工作，并履行下列职责：</w:t>
      </w:r>
      <w:bookmarkEnd w:id="32"/>
    </w:p>
    <w:p w14:paraId="01F80B36">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核对评审专家身份和招标人代表授权函，对评审专家在招标活动中的职责履行情况予以记录，并及时将有关违法违规行为向监督部门报告；</w:t>
      </w:r>
    </w:p>
    <w:p w14:paraId="616B3286">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宣布评审纪律；</w:t>
      </w:r>
    </w:p>
    <w:p w14:paraId="4A773A20">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公布投标人名单，告知评审专家应当回避的情形；</w:t>
      </w:r>
    </w:p>
    <w:p w14:paraId="1CF22CDF">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组织谈判小组推选评审组长，招标人代表不得担任组长；</w:t>
      </w:r>
    </w:p>
    <w:p w14:paraId="3EC50908">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在评审期间采取必要的通讯管理措施，保证评审活动不受外界干</w:t>
      </w:r>
    </w:p>
    <w:p w14:paraId="6CA01B5F">
      <w:pPr>
        <w:pStyle w:val="12"/>
        <w:widowControl/>
        <w:ind w:left="0" w:leftChars="0" w:firstLine="480" w:firstLineChars="200"/>
        <w:rPr>
          <w:color w:val="auto"/>
        </w:rPr>
      </w:pPr>
      <w:r>
        <w:rPr>
          <w:color w:val="auto"/>
        </w:rPr>
        <w:t>扰；</w:t>
      </w:r>
    </w:p>
    <w:p w14:paraId="2D5CD29D">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根据谈判小组的要求介绍招标相关政策法规、谈判文件；</w:t>
      </w:r>
    </w:p>
    <w:p w14:paraId="41584E09">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维护评审秩序，监督谈判小组依照谈判文件规定的评审程序、方法和标准进行独立评审，及时制止和纠正招标人代表、评审专家的倾向性言论或者违法违规行为；</w:t>
      </w:r>
    </w:p>
    <w:p w14:paraId="0E59E804">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核对评审结果；</w:t>
      </w:r>
    </w:p>
    <w:p w14:paraId="20DF797A">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评审工作完成后，按照规定向评审专家支付劳务报酬和异地评审差旅费，不得向评审专家以外的其他人员支付评审劳务报酬；</w:t>
      </w:r>
    </w:p>
    <w:p w14:paraId="581092D8">
      <w:pPr>
        <w:pStyle w:val="12"/>
        <w:widowControl/>
        <w:numPr>
          <w:ilvl w:val="0"/>
          <w:numId w:val="27"/>
        </w:numPr>
        <w:tabs>
          <w:tab w:val="left" w:pos="840"/>
        </w:tabs>
        <w:topLinePunct w:val="0"/>
        <w:ind w:left="0" w:leftChars="0" w:firstLine="480" w:firstLineChars="200"/>
        <w:rPr>
          <w:rFonts w:hint="eastAsia" w:ascii="宋体" w:hAnsi="宋体" w:eastAsia="宋体" w:cs="宋体"/>
          <w:b w:val="0"/>
          <w:color w:val="auto"/>
        </w:rPr>
      </w:pPr>
      <w:r>
        <w:rPr>
          <w:color w:val="auto"/>
        </w:rPr>
        <w:t>处理与评审有关的其他事项。</w:t>
      </w:r>
    </w:p>
    <w:p w14:paraId="3132BFBC">
      <w:pPr>
        <w:pStyle w:val="3"/>
        <w:widowControl/>
        <w:numPr>
          <w:ilvl w:val="0"/>
          <w:numId w:val="26"/>
        </w:numPr>
        <w:tabs>
          <w:tab w:val="left" w:pos="1274"/>
        </w:tabs>
        <w:topLinePunct w:val="0"/>
        <w:ind w:left="0" w:leftChars="0" w:firstLine="482" w:firstLineChars="200"/>
        <w:rPr>
          <w:rFonts w:hint="eastAsia" w:ascii="宋体" w:hAnsi="宋体" w:eastAsia="宋体" w:cs="宋体"/>
          <w:b/>
        </w:rPr>
      </w:pPr>
      <w:bookmarkStart w:id="33" w:name="_Toc15018"/>
      <w:r>
        <w:t>谈判小组负责具体评审事务，并独立履行下列职责：</w:t>
      </w:r>
      <w:bookmarkEnd w:id="33"/>
    </w:p>
    <w:p w14:paraId="7D79533C">
      <w:pPr>
        <w:pStyle w:val="12"/>
        <w:widowControl/>
        <w:numPr>
          <w:ilvl w:val="0"/>
          <w:numId w:val="28"/>
        </w:numPr>
        <w:tabs>
          <w:tab w:val="left" w:pos="840"/>
        </w:tabs>
        <w:topLinePunct w:val="0"/>
        <w:ind w:left="0" w:leftChars="0" w:firstLine="480" w:firstLineChars="200"/>
        <w:rPr>
          <w:rFonts w:hint="eastAsia" w:ascii="宋体" w:hAnsi="宋体" w:eastAsia="宋体" w:cs="宋体"/>
          <w:b w:val="0"/>
          <w:color w:val="auto"/>
        </w:rPr>
      </w:pPr>
      <w:r>
        <w:rPr>
          <w:color w:val="auto"/>
        </w:rPr>
        <w:t>严格遵守评审工作纪律，按照客观、公正、审慎的原则，根据谈</w:t>
      </w:r>
    </w:p>
    <w:p w14:paraId="63ECC8CE">
      <w:pPr>
        <w:pStyle w:val="12"/>
        <w:widowControl/>
        <w:ind w:left="0" w:leftChars="0" w:firstLine="480" w:firstLineChars="200"/>
        <w:rPr>
          <w:color w:val="auto"/>
        </w:rPr>
      </w:pPr>
      <w:r>
        <w:rPr>
          <w:color w:val="auto"/>
        </w:rPr>
        <w:t>判文件规定的评审程序、评审方法和评审标准进行独立评审；</w:t>
      </w:r>
    </w:p>
    <w:p w14:paraId="427AAA39">
      <w:pPr>
        <w:pStyle w:val="12"/>
        <w:widowControl/>
        <w:numPr>
          <w:ilvl w:val="0"/>
          <w:numId w:val="28"/>
        </w:numPr>
        <w:tabs>
          <w:tab w:val="left" w:pos="840"/>
        </w:tabs>
        <w:topLinePunct w:val="0"/>
        <w:ind w:left="0" w:leftChars="0" w:firstLine="480" w:firstLineChars="200"/>
        <w:rPr>
          <w:color w:val="auto"/>
        </w:rPr>
      </w:pPr>
      <w:r>
        <w:rPr>
          <w:color w:val="auto"/>
        </w:rPr>
        <w:t>发现谈判文件内容违反国家有关强制性规定或者谈判文件存在歧</w:t>
      </w:r>
    </w:p>
    <w:p w14:paraId="0BEE4793">
      <w:pPr>
        <w:pStyle w:val="12"/>
        <w:widowControl/>
        <w:ind w:left="0" w:leftChars="0" w:firstLine="480" w:firstLineChars="200"/>
        <w:rPr>
          <w:color w:val="auto"/>
        </w:rPr>
      </w:pPr>
      <w:r>
        <w:rPr>
          <w:color w:val="auto"/>
        </w:rPr>
        <w:t>义、重大缺陷导致评审工作无法进行时，应当停止评审并向招标人或者采</w:t>
      </w:r>
    </w:p>
    <w:p w14:paraId="517833F7">
      <w:pPr>
        <w:pStyle w:val="12"/>
        <w:widowControl/>
        <w:ind w:left="0" w:leftChars="0" w:firstLine="480" w:firstLineChars="200"/>
        <w:rPr>
          <w:color w:val="auto"/>
        </w:rPr>
      </w:pPr>
      <w:r>
        <w:rPr>
          <w:color w:val="auto"/>
        </w:rPr>
        <w:t>购代理机构书面说明情况；</w:t>
      </w:r>
    </w:p>
    <w:p w14:paraId="1E5C187E">
      <w:pPr>
        <w:pStyle w:val="12"/>
        <w:widowControl/>
        <w:numPr>
          <w:ilvl w:val="0"/>
          <w:numId w:val="28"/>
        </w:numPr>
        <w:tabs>
          <w:tab w:val="left" w:pos="840"/>
        </w:tabs>
        <w:topLinePunct w:val="0"/>
        <w:ind w:left="0" w:leftChars="0" w:firstLine="480" w:firstLineChars="200"/>
        <w:rPr>
          <w:color w:val="auto"/>
        </w:rPr>
      </w:pPr>
      <w:r>
        <w:rPr>
          <w:color w:val="auto"/>
        </w:rPr>
        <w:t>审查、评价响应文件是否符合谈判文件的商务、技术等实质性要</w:t>
      </w:r>
    </w:p>
    <w:p w14:paraId="33D3028B">
      <w:pPr>
        <w:pStyle w:val="12"/>
        <w:widowControl/>
        <w:ind w:left="0" w:leftChars="0" w:firstLine="480" w:firstLineChars="200"/>
        <w:rPr>
          <w:color w:val="auto"/>
        </w:rPr>
      </w:pPr>
      <w:r>
        <w:rPr>
          <w:color w:val="auto"/>
        </w:rPr>
        <w:t>求；</w:t>
      </w:r>
    </w:p>
    <w:p w14:paraId="7123F9AB">
      <w:pPr>
        <w:pStyle w:val="12"/>
        <w:widowControl/>
        <w:numPr>
          <w:ilvl w:val="0"/>
          <w:numId w:val="28"/>
        </w:numPr>
        <w:tabs>
          <w:tab w:val="left" w:pos="840"/>
        </w:tabs>
        <w:topLinePunct w:val="0"/>
        <w:ind w:left="0" w:leftChars="0" w:firstLine="480" w:firstLineChars="200"/>
        <w:rPr>
          <w:rFonts w:hint="eastAsia" w:ascii="宋体" w:hAnsi="宋体" w:eastAsia="宋体" w:cs="宋体"/>
          <w:b w:val="0"/>
          <w:color w:val="auto"/>
        </w:rPr>
      </w:pPr>
      <w:r>
        <w:rPr>
          <w:color w:val="auto"/>
        </w:rPr>
        <w:t>要求投标人对响应文件有关事项做出澄清或者说明；</w:t>
      </w:r>
    </w:p>
    <w:p w14:paraId="6879E4DF">
      <w:pPr>
        <w:pStyle w:val="12"/>
        <w:widowControl/>
        <w:numPr>
          <w:ilvl w:val="0"/>
          <w:numId w:val="28"/>
        </w:numPr>
        <w:tabs>
          <w:tab w:val="left" w:pos="840"/>
        </w:tabs>
        <w:topLinePunct w:val="0"/>
        <w:ind w:left="0" w:leftChars="0" w:firstLine="480" w:firstLineChars="200"/>
        <w:rPr>
          <w:rFonts w:hint="eastAsia" w:ascii="宋体" w:hAnsi="宋体" w:eastAsia="宋体" w:cs="宋体"/>
          <w:b w:val="0"/>
          <w:color w:val="auto"/>
        </w:rPr>
      </w:pPr>
      <w:r>
        <w:rPr>
          <w:color w:val="auto"/>
        </w:rPr>
        <w:t>对响应文件进行比较和评价；</w:t>
      </w:r>
    </w:p>
    <w:p w14:paraId="049ED639">
      <w:pPr>
        <w:pStyle w:val="12"/>
        <w:widowControl/>
        <w:numPr>
          <w:ilvl w:val="0"/>
          <w:numId w:val="28"/>
        </w:numPr>
        <w:tabs>
          <w:tab w:val="left" w:pos="840"/>
        </w:tabs>
        <w:topLinePunct w:val="0"/>
        <w:ind w:left="0" w:leftChars="0" w:firstLine="480" w:firstLineChars="200"/>
        <w:rPr>
          <w:rFonts w:hint="eastAsia" w:ascii="宋体" w:hAnsi="宋体" w:eastAsia="宋体" w:cs="宋体"/>
          <w:b w:val="0"/>
          <w:color w:val="auto"/>
        </w:rPr>
      </w:pPr>
      <w:r>
        <w:rPr>
          <w:color w:val="auto"/>
        </w:rPr>
        <w:t>确定成交候选人名单；</w:t>
      </w:r>
    </w:p>
    <w:p w14:paraId="609BC0E2">
      <w:pPr>
        <w:pStyle w:val="12"/>
        <w:widowControl/>
        <w:numPr>
          <w:ilvl w:val="0"/>
          <w:numId w:val="28"/>
        </w:numPr>
        <w:tabs>
          <w:tab w:val="left" w:pos="840"/>
        </w:tabs>
        <w:topLinePunct w:val="0"/>
        <w:ind w:left="0" w:leftChars="0" w:firstLine="480" w:firstLineChars="200"/>
        <w:rPr>
          <w:rFonts w:hint="eastAsia" w:ascii="宋体" w:hAnsi="宋体" w:eastAsia="宋体" w:cs="宋体"/>
          <w:b w:val="0"/>
          <w:color w:val="auto"/>
        </w:rPr>
      </w:pPr>
      <w:r>
        <w:rPr>
          <w:color w:val="auto"/>
        </w:rPr>
        <w:t>配合答复投标人的询问、质疑和投诉等事项,不得泄露评审文件、</w:t>
      </w:r>
    </w:p>
    <w:p w14:paraId="56933CA9">
      <w:pPr>
        <w:pStyle w:val="12"/>
        <w:widowControl/>
        <w:ind w:left="0" w:leftChars="0" w:firstLine="480" w:firstLineChars="200"/>
        <w:rPr>
          <w:color w:val="auto"/>
        </w:rPr>
      </w:pPr>
      <w:r>
        <w:rPr>
          <w:color w:val="auto"/>
        </w:rPr>
        <w:t>评审情况和在评审过程中获悉的商业秘密；</w:t>
      </w:r>
    </w:p>
    <w:p w14:paraId="4756ECBA">
      <w:pPr>
        <w:pStyle w:val="12"/>
        <w:widowControl/>
        <w:numPr>
          <w:ilvl w:val="0"/>
          <w:numId w:val="28"/>
        </w:numPr>
        <w:tabs>
          <w:tab w:val="left" w:pos="840"/>
        </w:tabs>
        <w:topLinePunct w:val="0"/>
        <w:ind w:left="0" w:leftChars="0" w:firstLine="480" w:firstLineChars="200"/>
        <w:rPr>
          <w:color w:val="auto"/>
        </w:rPr>
      </w:pPr>
      <w:r>
        <w:rPr>
          <w:color w:val="auto"/>
        </w:rPr>
        <w:t>向招标人、招标代理机构或者有关部门报告评审中发现的违法行</w:t>
      </w:r>
    </w:p>
    <w:p w14:paraId="1A4BA4A9">
      <w:pPr>
        <w:pStyle w:val="12"/>
        <w:widowControl/>
        <w:ind w:left="0" w:leftChars="0" w:firstLine="480" w:firstLineChars="200"/>
        <w:rPr>
          <w:color w:val="auto"/>
        </w:rPr>
      </w:pPr>
      <w:r>
        <w:rPr>
          <w:color w:val="auto"/>
        </w:rPr>
        <w:t>为。审查、评价响应文件是否符合谈判文件的商务、技术等实质性要求。</w:t>
      </w:r>
    </w:p>
    <w:p w14:paraId="48B07656">
      <w:pPr>
        <w:pStyle w:val="12"/>
        <w:widowControl/>
        <w:numPr>
          <w:ilvl w:val="0"/>
          <w:numId w:val="28"/>
        </w:numPr>
        <w:tabs>
          <w:tab w:val="left" w:pos="840"/>
        </w:tabs>
        <w:topLinePunct w:val="0"/>
        <w:ind w:left="0" w:leftChars="0" w:firstLine="480" w:firstLineChars="200"/>
        <w:rPr>
          <w:rFonts w:hint="eastAsia" w:ascii="宋体" w:hAnsi="宋体" w:eastAsia="宋体" w:cs="宋体"/>
          <w:b w:val="0"/>
          <w:color w:val="auto"/>
        </w:rPr>
      </w:pPr>
      <w:r>
        <w:rPr>
          <w:color w:val="auto"/>
        </w:rPr>
        <w:t>编写评审报告。</w:t>
      </w:r>
    </w:p>
    <w:p w14:paraId="31723B01">
      <w:pPr>
        <w:pStyle w:val="3"/>
        <w:widowControl/>
        <w:numPr>
          <w:ilvl w:val="0"/>
          <w:numId w:val="26"/>
        </w:numPr>
        <w:tabs>
          <w:tab w:val="left" w:pos="1274"/>
        </w:tabs>
        <w:topLinePunct w:val="0"/>
        <w:ind w:left="0" w:leftChars="0" w:firstLine="482" w:firstLineChars="200"/>
        <w:rPr>
          <w:rFonts w:hint="eastAsia" w:ascii="宋体" w:hAnsi="宋体" w:eastAsia="宋体" w:cs="宋体"/>
          <w:b/>
        </w:rPr>
      </w:pPr>
      <w:bookmarkStart w:id="34" w:name="_Toc32547"/>
      <w:r>
        <w:t>组建谈判小组</w:t>
      </w:r>
      <w:bookmarkEnd w:id="34"/>
    </w:p>
    <w:p w14:paraId="6B7959C3">
      <w:pPr>
        <w:pStyle w:val="12"/>
        <w:widowControl/>
        <w:numPr>
          <w:ilvl w:val="0"/>
          <w:numId w:val="29"/>
        </w:numPr>
        <w:tabs>
          <w:tab w:val="left" w:pos="840"/>
        </w:tabs>
        <w:topLinePunct w:val="0"/>
        <w:ind w:left="0" w:leftChars="0" w:firstLine="480" w:firstLineChars="200"/>
        <w:rPr>
          <w:rFonts w:hint="eastAsia" w:ascii="宋体" w:hAnsi="宋体" w:eastAsia="宋体" w:cs="宋体"/>
          <w:b w:val="0"/>
          <w:color w:val="auto"/>
        </w:rPr>
      </w:pPr>
      <w:r>
        <w:rPr>
          <w:color w:val="auto"/>
        </w:rPr>
        <w:t>为了确保评审工作的公平、公正，依据有关法规、规章，成立谈判小组。谈判小组由招标人的代表和有关专家共三人以上的单数组成，其中专家的人数不得少于成员总数的三分之二。评审专家对本单位的采购项目只能作为招标人代表参与评审。招标代理机构工作人员不得参加由本机构代理的项目的评审。谈判小组成员名单在评审结果公告前应当保密。</w:t>
      </w:r>
    </w:p>
    <w:p w14:paraId="493797F9">
      <w:pPr>
        <w:pStyle w:val="12"/>
        <w:widowControl/>
        <w:numPr>
          <w:ilvl w:val="0"/>
          <w:numId w:val="29"/>
        </w:numPr>
        <w:tabs>
          <w:tab w:val="left" w:pos="840"/>
        </w:tabs>
        <w:topLinePunct w:val="0"/>
        <w:ind w:left="0" w:leftChars="0" w:firstLine="480" w:firstLineChars="200"/>
        <w:rPr>
          <w:rFonts w:hint="eastAsia" w:ascii="宋体" w:hAnsi="宋体" w:eastAsia="宋体" w:cs="宋体"/>
          <w:b w:val="0"/>
          <w:color w:val="auto"/>
        </w:rPr>
      </w:pPr>
      <w:r>
        <w:rPr>
          <w:color w:val="auto"/>
        </w:rPr>
        <w:t>评审专家从评审专家库内相关专业的专家名单中随机抽取。对技术复杂、专业性强的采购项目，通过随机方式难以确定合适评审专家的，经主管预算单位同意，招标人可以自行选定相应专业领域的评审</w:t>
      </w:r>
    </w:p>
    <w:p w14:paraId="13B35626">
      <w:pPr>
        <w:pStyle w:val="12"/>
        <w:widowControl/>
        <w:ind w:left="0" w:leftChars="0" w:firstLine="480" w:firstLineChars="200"/>
        <w:rPr>
          <w:color w:val="auto"/>
        </w:rPr>
      </w:pPr>
      <w:r>
        <w:rPr>
          <w:color w:val="auto"/>
        </w:rPr>
        <w:t>专家。自行选定评审专家的，应当优先选择本单位以外的评审专家。</w:t>
      </w:r>
    </w:p>
    <w:p w14:paraId="354C55FA">
      <w:pPr>
        <w:pStyle w:val="12"/>
        <w:widowControl/>
        <w:numPr>
          <w:ilvl w:val="0"/>
          <w:numId w:val="29"/>
        </w:numPr>
        <w:tabs>
          <w:tab w:val="left" w:pos="840"/>
        </w:tabs>
        <w:topLinePunct w:val="0"/>
        <w:ind w:left="0" w:leftChars="0" w:firstLine="480" w:firstLineChars="200"/>
        <w:rPr>
          <w:rFonts w:hint="eastAsia" w:ascii="宋体" w:hAnsi="宋体" w:eastAsia="宋体" w:cs="宋体"/>
          <w:b w:val="0"/>
          <w:color w:val="auto"/>
        </w:rPr>
      </w:pPr>
      <w:r>
        <w:rPr>
          <w:color w:val="auto"/>
        </w:rPr>
        <w:t>评审中因谈判小组成员缺席、回避或者健康等特殊原因导致谈判小组组成不符合规定的，招标代理机构应当依法补足后继续评审。被更换的谈判小组成员所做出的评审意见无效。无法及时补足谈判小组成员的，招标代理机构应当停止评审活动，封存所有响应文件和开标、评审资料，依</w:t>
      </w:r>
    </w:p>
    <w:p w14:paraId="28DE9131">
      <w:pPr>
        <w:pStyle w:val="12"/>
        <w:widowControl/>
        <w:ind w:left="0" w:leftChars="0" w:firstLine="480" w:firstLineChars="200"/>
        <w:rPr>
          <w:color w:val="auto"/>
        </w:rPr>
      </w:pPr>
      <w:r>
        <w:rPr>
          <w:color w:val="auto"/>
        </w:rPr>
        <w:t>法重新组建谈判小组进行评审。原谈判小组所做出的评审意见无效。</w:t>
      </w:r>
    </w:p>
    <w:p w14:paraId="6DF3ADE9">
      <w:pPr>
        <w:pStyle w:val="3"/>
        <w:widowControl/>
        <w:numPr>
          <w:ilvl w:val="0"/>
          <w:numId w:val="26"/>
        </w:numPr>
        <w:tabs>
          <w:tab w:val="left" w:pos="1274"/>
        </w:tabs>
        <w:topLinePunct w:val="0"/>
        <w:ind w:left="0" w:leftChars="0" w:firstLine="482" w:firstLineChars="200"/>
        <w:rPr>
          <w:rFonts w:hint="eastAsia" w:ascii="宋体" w:hAnsi="宋体" w:eastAsia="宋体" w:cs="宋体"/>
          <w:b/>
        </w:rPr>
      </w:pPr>
      <w:bookmarkStart w:id="35" w:name="_Toc27835"/>
      <w:r>
        <w:t>评审方法：本次评审采用最低评审价法</w:t>
      </w:r>
      <w:bookmarkEnd w:id="35"/>
    </w:p>
    <w:p w14:paraId="07E22FDA">
      <w:pPr>
        <w:pStyle w:val="12"/>
        <w:widowControl/>
        <w:ind w:left="0" w:leftChars="0" w:firstLine="480" w:firstLineChars="200"/>
        <w:rPr>
          <w:color w:val="auto"/>
        </w:rPr>
      </w:pPr>
      <w:r>
        <w:rPr>
          <w:color w:val="auto"/>
        </w:rPr>
        <w:t>最低评审价法，是指响应文件满足谈判文件全部实质性要求，且谈判</w:t>
      </w:r>
    </w:p>
    <w:p w14:paraId="0EBC7623">
      <w:pPr>
        <w:pStyle w:val="12"/>
        <w:widowControl/>
        <w:ind w:left="0" w:leftChars="0" w:firstLine="480" w:firstLineChars="200"/>
        <w:rPr>
          <w:color w:val="auto"/>
        </w:rPr>
      </w:pPr>
      <w:r>
        <w:rPr>
          <w:color w:val="auto"/>
        </w:rPr>
        <w:t>报价最低的投标人为成交候选人的评审方法。</w:t>
      </w:r>
    </w:p>
    <w:p w14:paraId="7AEA53CD">
      <w:pPr>
        <w:pStyle w:val="3"/>
        <w:widowControl/>
        <w:numPr>
          <w:ilvl w:val="0"/>
          <w:numId w:val="26"/>
        </w:numPr>
        <w:tabs>
          <w:tab w:val="left" w:pos="1274"/>
        </w:tabs>
        <w:topLinePunct w:val="0"/>
        <w:ind w:left="0" w:leftChars="0" w:firstLine="482" w:firstLineChars="200"/>
        <w:rPr>
          <w:rFonts w:hint="eastAsia" w:ascii="宋体" w:hAnsi="宋体" w:eastAsia="宋体" w:cs="宋体"/>
          <w:b/>
        </w:rPr>
      </w:pPr>
      <w:bookmarkStart w:id="36" w:name="_Toc31511"/>
      <w:r>
        <w:t>谈判程序</w:t>
      </w:r>
      <w:bookmarkEnd w:id="36"/>
    </w:p>
    <w:p w14:paraId="29C07E8E">
      <w:pPr>
        <w:pStyle w:val="12"/>
        <w:widowControl/>
        <w:ind w:left="0" w:leftChars="0" w:firstLine="480" w:firstLineChars="200"/>
        <w:rPr>
          <w:color w:val="auto"/>
        </w:rPr>
      </w:pPr>
      <w:r>
        <w:rPr>
          <w:color w:val="auto"/>
        </w:rPr>
        <w:t>谈判的全过程分为第一次谈判报价、符合性审查、谈判过程、谈判承诺、最终报价、评审阶段。通过资质审查合格的各投标人，只有在响应文件及谈判承诺符合谈判文件要求和满足技术、商务需要的才有最终报价和</w:t>
      </w:r>
    </w:p>
    <w:p w14:paraId="695F285B">
      <w:pPr>
        <w:pStyle w:val="12"/>
        <w:widowControl/>
        <w:ind w:left="0" w:leftChars="0" w:firstLine="480" w:firstLineChars="200"/>
        <w:rPr>
          <w:color w:val="auto"/>
        </w:rPr>
      </w:pPr>
      <w:r>
        <w:rPr>
          <w:color w:val="auto"/>
        </w:rPr>
        <w:t>评审的机会。</w:t>
      </w:r>
    </w:p>
    <w:p w14:paraId="1C1FEB27">
      <w:pPr>
        <w:pStyle w:val="4"/>
        <w:widowControl/>
        <w:ind w:left="0" w:leftChars="0" w:firstLine="482" w:firstLineChars="200"/>
      </w:pPr>
      <w:r>
        <w:t>1、第一次谈判报价。</w:t>
      </w:r>
    </w:p>
    <w:p w14:paraId="7C75F153">
      <w:pPr>
        <w:pStyle w:val="12"/>
        <w:widowControl/>
        <w:ind w:left="0" w:leftChars="0" w:firstLine="480" w:firstLineChars="200"/>
        <w:rPr>
          <w:color w:val="auto"/>
        </w:rPr>
      </w:pPr>
      <w:r>
        <w:rPr>
          <w:color w:val="auto"/>
        </w:rPr>
        <w:t>第一次报价未超出采购预算，否则按无效报价处理。</w:t>
      </w:r>
    </w:p>
    <w:p w14:paraId="2C978F0C">
      <w:pPr>
        <w:pStyle w:val="4"/>
        <w:widowControl/>
        <w:ind w:left="0" w:leftChars="0" w:firstLine="482" w:firstLineChars="200"/>
      </w:pPr>
      <w:r>
        <w:t>2、谈判响应文件的符合性审查</w:t>
      </w:r>
    </w:p>
    <w:p w14:paraId="72270BA1">
      <w:pPr>
        <w:pStyle w:val="12"/>
        <w:widowControl/>
        <w:ind w:left="0" w:leftChars="0" w:firstLine="480" w:firstLineChars="200"/>
        <w:rPr>
          <w:color w:val="auto"/>
        </w:rPr>
      </w:pPr>
      <w:r>
        <w:rPr>
          <w:color w:val="auto"/>
        </w:rPr>
        <w:t>谈判小组依据谈判文件的规定，对谈判响应文件的有效性、完整性和对谈判文件的响应程度进行审查，以确定是否对谈判文件的全部实质性要</w:t>
      </w:r>
    </w:p>
    <w:p w14:paraId="2A960EAA">
      <w:pPr>
        <w:pStyle w:val="12"/>
        <w:widowControl/>
        <w:ind w:left="0" w:leftChars="0" w:firstLine="480" w:firstLineChars="200"/>
        <w:rPr>
          <w:color w:val="auto"/>
        </w:rPr>
      </w:pPr>
      <w:r>
        <w:rPr>
          <w:color w:val="auto"/>
        </w:rPr>
        <w:t>求做出响应。</w:t>
      </w:r>
    </w:p>
    <w:p w14:paraId="01001848">
      <w:pPr>
        <w:pStyle w:val="51"/>
        <w:widowControl/>
        <w:ind w:left="0" w:leftChars="0" w:firstLine="482" w:firstLineChars="200"/>
        <w:outlineLvl w:val="9"/>
      </w:pPr>
      <w:r>
        <w:t>符合性审查标准</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2081"/>
        <w:gridCol w:w="5033"/>
        <w:gridCol w:w="498"/>
        <w:gridCol w:w="1107"/>
      </w:tblGrid>
      <w:tr w14:paraId="69D74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shd w:val="clear" w:color="auto" w:fill="F7CAAC"/>
            <w:noWrap w:val="0"/>
            <w:vAlign w:val="center"/>
          </w:tcPr>
          <w:p w14:paraId="701EEFFA">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序号</w:t>
            </w:r>
          </w:p>
        </w:tc>
        <w:tc>
          <w:tcPr>
            <w:tcW w:w="1136" w:type="pct"/>
            <w:shd w:val="clear" w:color="auto" w:fill="F7CAAC"/>
            <w:noWrap w:val="0"/>
            <w:vAlign w:val="center"/>
          </w:tcPr>
          <w:p w14:paraId="767DD630">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符合性审查项</w:t>
            </w:r>
          </w:p>
        </w:tc>
        <w:tc>
          <w:tcPr>
            <w:tcW w:w="2727" w:type="pct"/>
            <w:shd w:val="clear" w:color="auto" w:fill="F7CAAC"/>
            <w:noWrap w:val="0"/>
            <w:vAlign w:val="center"/>
          </w:tcPr>
          <w:p w14:paraId="0BC23D4F">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通过条件</w:t>
            </w:r>
          </w:p>
        </w:tc>
        <w:tc>
          <w:tcPr>
            <w:tcW w:w="213" w:type="pct"/>
            <w:shd w:val="clear" w:color="auto" w:fill="F7CAAC"/>
            <w:noWrap w:val="0"/>
            <w:vAlign w:val="center"/>
          </w:tcPr>
          <w:p w14:paraId="237993BB">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结论</w:t>
            </w:r>
          </w:p>
        </w:tc>
        <w:tc>
          <w:tcPr>
            <w:tcW w:w="608" w:type="pct"/>
            <w:shd w:val="clear" w:color="auto" w:fill="F7CAAC"/>
            <w:noWrap w:val="0"/>
            <w:vAlign w:val="center"/>
          </w:tcPr>
          <w:p w14:paraId="4996DC3C">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未通过原因</w:t>
            </w:r>
          </w:p>
        </w:tc>
      </w:tr>
      <w:tr w14:paraId="5ADC6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5C0DA467">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1</w:t>
            </w:r>
          </w:p>
        </w:tc>
        <w:tc>
          <w:tcPr>
            <w:tcW w:w="1136" w:type="pct"/>
            <w:noWrap w:val="0"/>
            <w:vAlign w:val="center"/>
          </w:tcPr>
          <w:p w14:paraId="1570C77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响应文件项目名称、项目编号</w:t>
            </w:r>
          </w:p>
        </w:tc>
        <w:tc>
          <w:tcPr>
            <w:tcW w:w="2727" w:type="pct"/>
            <w:noWrap w:val="0"/>
            <w:vAlign w:val="center"/>
          </w:tcPr>
          <w:p w14:paraId="5BD7418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响应文件以下三处的项目名称、项目编号无遗漏，且与本项目一致：</w:t>
            </w:r>
          </w:p>
          <w:p w14:paraId="3A6BAE43">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（1）封面；</w:t>
            </w:r>
          </w:p>
          <w:p w14:paraId="5FC56BDA">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（2）响应函；</w:t>
            </w:r>
          </w:p>
          <w:p w14:paraId="0DC9EC7A">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（3）法定代表人委托授权书。</w:t>
            </w:r>
          </w:p>
        </w:tc>
        <w:tc>
          <w:tcPr>
            <w:tcW w:w="213" w:type="pct"/>
            <w:noWrap w:val="0"/>
            <w:vAlign w:val="center"/>
          </w:tcPr>
          <w:p w14:paraId="1CA9F4D7">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21E37FD3">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1B38A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5E87E2AF">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2</w:t>
            </w:r>
          </w:p>
        </w:tc>
        <w:tc>
          <w:tcPr>
            <w:tcW w:w="1136" w:type="pct"/>
            <w:noWrap w:val="0"/>
            <w:vAlign w:val="center"/>
          </w:tcPr>
          <w:p w14:paraId="445E201D">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响应文件组成</w:t>
            </w:r>
          </w:p>
        </w:tc>
        <w:tc>
          <w:tcPr>
            <w:tcW w:w="2727" w:type="pct"/>
            <w:noWrap w:val="0"/>
            <w:vAlign w:val="center"/>
          </w:tcPr>
          <w:p w14:paraId="7CF44F98">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bCs/>
                <w:color w:val="auto"/>
                <w:kern w:val="0"/>
                <w:sz w:val="28"/>
                <w:szCs w:val="28"/>
              </w:rPr>
              <w:t>响应文件</w:t>
            </w:r>
            <w:r>
              <w:rPr>
                <w:rFonts w:hint="eastAsia" w:ascii="宋体" w:hAnsi="宋体" w:eastAsia="宋体" w:cs="宋体"/>
                <w:color w:val="auto"/>
                <w:sz w:val="28"/>
                <w:szCs w:val="28"/>
              </w:rPr>
              <w:t>应包含以下内容：</w:t>
            </w:r>
          </w:p>
          <w:p w14:paraId="4EDCEE95">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bCs/>
                <w:color w:val="auto"/>
                <w:kern w:val="0"/>
                <w:sz w:val="28"/>
                <w:szCs w:val="28"/>
              </w:rPr>
              <w:t>响应函</w:t>
            </w:r>
            <w:r>
              <w:rPr>
                <w:rFonts w:hint="eastAsia" w:ascii="宋体" w:hAnsi="宋体" w:eastAsia="宋体" w:cs="宋体"/>
                <w:color w:val="auto"/>
                <w:sz w:val="28"/>
                <w:szCs w:val="28"/>
              </w:rPr>
              <w:t>；</w:t>
            </w:r>
          </w:p>
          <w:p w14:paraId="25EFF3F1">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（2）第一次谈判报价表、分项报价表（谈判文件未作要求的除外）；</w:t>
            </w:r>
          </w:p>
          <w:p w14:paraId="6BA985FC">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（3）资格证明文件；</w:t>
            </w:r>
          </w:p>
          <w:p w14:paraId="539D5BC2">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投标人</w:t>
            </w:r>
            <w:r>
              <w:rPr>
                <w:rFonts w:hint="eastAsia" w:ascii="宋体" w:hAnsi="宋体" w:eastAsia="宋体" w:cs="宋体"/>
                <w:color w:val="auto"/>
                <w:sz w:val="28"/>
                <w:szCs w:val="28"/>
              </w:rPr>
              <w:t>参加</w:t>
            </w:r>
            <w:r>
              <w:rPr>
                <w:rFonts w:hint="eastAsia" w:ascii="宋体" w:hAnsi="宋体" w:eastAsia="宋体" w:cs="宋体"/>
                <w:color w:val="auto"/>
                <w:sz w:val="28"/>
                <w:szCs w:val="28"/>
                <w:lang w:eastAsia="zh-CN"/>
              </w:rPr>
              <w:t>招标活动</w:t>
            </w:r>
            <w:r>
              <w:rPr>
                <w:rFonts w:hint="eastAsia" w:ascii="宋体" w:hAnsi="宋体" w:eastAsia="宋体" w:cs="宋体"/>
                <w:color w:val="auto"/>
                <w:sz w:val="28"/>
                <w:szCs w:val="28"/>
              </w:rPr>
              <w:t>承诺书；</w:t>
            </w:r>
          </w:p>
          <w:p w14:paraId="646E5F6B">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）针对本项目的</w:t>
            </w:r>
            <w:r>
              <w:rPr>
                <w:rFonts w:hint="eastAsia" w:ascii="宋体" w:hAnsi="宋体" w:eastAsia="宋体" w:cs="宋体"/>
                <w:color w:val="auto"/>
                <w:spacing w:val="-7"/>
                <w:sz w:val="28"/>
                <w:szCs w:val="28"/>
                <w:lang w:val="en-US" w:eastAsia="zh-CN"/>
              </w:rPr>
              <w:t>响应说明</w:t>
            </w:r>
            <w:r>
              <w:rPr>
                <w:rFonts w:hint="eastAsia" w:ascii="宋体" w:hAnsi="宋体" w:eastAsia="宋体" w:cs="宋体"/>
                <w:color w:val="auto"/>
                <w:sz w:val="28"/>
                <w:szCs w:val="28"/>
              </w:rPr>
              <w:t>。</w:t>
            </w:r>
          </w:p>
        </w:tc>
        <w:tc>
          <w:tcPr>
            <w:tcW w:w="213" w:type="pct"/>
            <w:noWrap w:val="0"/>
            <w:vAlign w:val="center"/>
          </w:tcPr>
          <w:p w14:paraId="1E551394">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04E974BA">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318DA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434F9484">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3</w:t>
            </w:r>
          </w:p>
        </w:tc>
        <w:tc>
          <w:tcPr>
            <w:tcW w:w="1136" w:type="pct"/>
            <w:noWrap w:val="0"/>
            <w:vAlign w:val="center"/>
          </w:tcPr>
          <w:p w14:paraId="44159908">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响应文件签字、盖章</w:t>
            </w:r>
          </w:p>
        </w:tc>
        <w:tc>
          <w:tcPr>
            <w:tcW w:w="2727" w:type="pct"/>
            <w:noWrap w:val="0"/>
            <w:vAlign w:val="center"/>
          </w:tcPr>
          <w:p w14:paraId="09514AEF">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color w:val="auto"/>
                <w:sz w:val="28"/>
                <w:szCs w:val="28"/>
              </w:rPr>
              <w:t>签字、盖章符合谈判文件要求，且无遗漏。</w:t>
            </w:r>
          </w:p>
        </w:tc>
        <w:tc>
          <w:tcPr>
            <w:tcW w:w="213" w:type="pct"/>
            <w:noWrap w:val="0"/>
            <w:vAlign w:val="center"/>
          </w:tcPr>
          <w:p w14:paraId="774236B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02801E5A">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4B737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458291B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4</w:t>
            </w:r>
          </w:p>
        </w:tc>
        <w:tc>
          <w:tcPr>
            <w:tcW w:w="1136" w:type="pct"/>
            <w:noWrap w:val="0"/>
            <w:vAlign w:val="center"/>
          </w:tcPr>
          <w:p w14:paraId="378404CC">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响应文件的语言及计量单位</w:t>
            </w:r>
          </w:p>
        </w:tc>
        <w:tc>
          <w:tcPr>
            <w:tcW w:w="2727" w:type="pct"/>
            <w:noWrap w:val="0"/>
            <w:vAlign w:val="center"/>
          </w:tcPr>
          <w:p w14:paraId="2C26BED2">
            <w:pPr>
              <w:pageBreakBefore w:val="0"/>
              <w:widowControl/>
              <w:kinsoku/>
              <w:wordWrap w:val="0"/>
              <w:overflowPunct/>
              <w:topLinePunct/>
              <w:autoSpaceDE/>
              <w:autoSpaceDN/>
              <w:bidi w:val="0"/>
              <w:spacing w:line="320" w:lineRule="exact"/>
              <w:ind w:left="33"/>
              <w:jc w:val="both"/>
              <w:textAlignment w:val="auto"/>
              <w:rPr>
                <w:rFonts w:hint="eastAsia" w:ascii="宋体" w:hAnsi="宋体" w:eastAsia="宋体" w:cs="宋体"/>
                <w:b/>
                <w:bCs/>
                <w:color w:val="auto"/>
                <w:kern w:val="0"/>
                <w:sz w:val="28"/>
                <w:szCs w:val="28"/>
              </w:rPr>
            </w:pPr>
            <w:r>
              <w:rPr>
                <w:rFonts w:hint="eastAsia" w:ascii="宋体" w:hAnsi="宋体" w:eastAsia="宋体" w:cs="宋体"/>
                <w:color w:val="auto"/>
                <w:sz w:val="28"/>
                <w:szCs w:val="28"/>
              </w:rPr>
              <w:t>均符合谈判文件的要求。</w:t>
            </w:r>
          </w:p>
        </w:tc>
        <w:tc>
          <w:tcPr>
            <w:tcW w:w="213" w:type="pct"/>
            <w:noWrap w:val="0"/>
            <w:vAlign w:val="center"/>
          </w:tcPr>
          <w:p w14:paraId="72AFDD0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35C98A29">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3B4E7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6C566FD6">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5</w:t>
            </w:r>
          </w:p>
        </w:tc>
        <w:tc>
          <w:tcPr>
            <w:tcW w:w="1136" w:type="pct"/>
            <w:noWrap w:val="0"/>
            <w:vAlign w:val="center"/>
          </w:tcPr>
          <w:p w14:paraId="052957DC">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响应文件有效期</w:t>
            </w:r>
          </w:p>
        </w:tc>
        <w:tc>
          <w:tcPr>
            <w:tcW w:w="2727" w:type="pct"/>
            <w:noWrap w:val="0"/>
            <w:vAlign w:val="center"/>
          </w:tcPr>
          <w:p w14:paraId="3DEDDD98">
            <w:pPr>
              <w:pageBreakBefore w:val="0"/>
              <w:widowControl/>
              <w:kinsoku/>
              <w:wordWrap w:val="0"/>
              <w:overflowPunct/>
              <w:topLinePunct/>
              <w:autoSpaceDE/>
              <w:autoSpaceDN/>
              <w:bidi w:val="0"/>
              <w:spacing w:line="320" w:lineRule="exact"/>
              <w:ind w:left="33"/>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符合谈判文件的要求。</w:t>
            </w:r>
          </w:p>
        </w:tc>
        <w:tc>
          <w:tcPr>
            <w:tcW w:w="213" w:type="pct"/>
            <w:noWrap w:val="0"/>
            <w:vAlign w:val="center"/>
          </w:tcPr>
          <w:p w14:paraId="7882B309">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45556A4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253EB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6E231A26">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6</w:t>
            </w:r>
          </w:p>
        </w:tc>
        <w:tc>
          <w:tcPr>
            <w:tcW w:w="1136" w:type="pct"/>
            <w:noWrap w:val="0"/>
            <w:vAlign w:val="center"/>
          </w:tcPr>
          <w:p w14:paraId="4685EA0D">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谈判报价</w:t>
            </w:r>
          </w:p>
        </w:tc>
        <w:tc>
          <w:tcPr>
            <w:tcW w:w="2727" w:type="pct"/>
            <w:noWrap w:val="0"/>
            <w:vAlign w:val="center"/>
          </w:tcPr>
          <w:p w14:paraId="659B2F04">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同时满足以下条款：</w:t>
            </w:r>
          </w:p>
          <w:p w14:paraId="211B6C2C">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（1）</w:t>
            </w:r>
            <w:r>
              <w:rPr>
                <w:rFonts w:hint="eastAsia" w:ascii="宋体" w:hAnsi="宋体" w:eastAsia="宋体" w:cs="宋体"/>
                <w:color w:val="auto"/>
                <w:sz w:val="28"/>
                <w:szCs w:val="28"/>
              </w:rPr>
              <w:t>谈判</w:t>
            </w:r>
            <w:r>
              <w:rPr>
                <w:rFonts w:hint="eastAsia" w:ascii="宋体" w:hAnsi="宋体" w:eastAsia="宋体" w:cs="宋体"/>
                <w:bCs/>
                <w:color w:val="auto"/>
                <w:kern w:val="0"/>
                <w:sz w:val="28"/>
                <w:szCs w:val="28"/>
              </w:rPr>
              <w:t>报价符合唯一性要求；</w:t>
            </w:r>
          </w:p>
          <w:p w14:paraId="4389D52D">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（2）第一次</w:t>
            </w:r>
            <w:r>
              <w:rPr>
                <w:rFonts w:hint="eastAsia" w:ascii="宋体" w:hAnsi="宋体" w:eastAsia="宋体" w:cs="宋体"/>
                <w:color w:val="auto"/>
                <w:sz w:val="28"/>
                <w:szCs w:val="28"/>
              </w:rPr>
              <w:t>谈判</w:t>
            </w:r>
            <w:r>
              <w:rPr>
                <w:rFonts w:hint="eastAsia" w:ascii="宋体" w:hAnsi="宋体" w:eastAsia="宋体" w:cs="宋体"/>
                <w:bCs/>
                <w:color w:val="auto"/>
                <w:kern w:val="0"/>
                <w:sz w:val="28"/>
                <w:szCs w:val="28"/>
              </w:rPr>
              <w:t>报价表填写符合要求；</w:t>
            </w:r>
          </w:p>
          <w:p w14:paraId="3DB5E5EB">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（3）报价货币符合</w:t>
            </w:r>
            <w:r>
              <w:rPr>
                <w:rFonts w:hint="eastAsia" w:ascii="宋体" w:hAnsi="宋体" w:eastAsia="宋体" w:cs="宋体"/>
                <w:color w:val="auto"/>
                <w:sz w:val="28"/>
                <w:szCs w:val="28"/>
              </w:rPr>
              <w:t>谈判</w:t>
            </w:r>
            <w:r>
              <w:rPr>
                <w:rFonts w:hint="eastAsia" w:ascii="宋体" w:hAnsi="宋体" w:eastAsia="宋体" w:cs="宋体"/>
                <w:bCs/>
                <w:color w:val="auto"/>
                <w:kern w:val="0"/>
                <w:sz w:val="28"/>
                <w:szCs w:val="28"/>
              </w:rPr>
              <w:t>文件要求；</w:t>
            </w:r>
          </w:p>
          <w:p w14:paraId="39A20085">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（4）未超出采购预算或</w:t>
            </w:r>
            <w:r>
              <w:rPr>
                <w:rFonts w:hint="eastAsia" w:ascii="宋体" w:hAnsi="宋体" w:eastAsia="宋体" w:cs="宋体"/>
                <w:color w:val="auto"/>
                <w:sz w:val="28"/>
                <w:szCs w:val="28"/>
              </w:rPr>
              <w:t>谈判</w:t>
            </w:r>
            <w:r>
              <w:rPr>
                <w:rFonts w:hint="eastAsia" w:ascii="宋体" w:hAnsi="宋体" w:eastAsia="宋体" w:cs="宋体"/>
                <w:bCs/>
                <w:color w:val="auto"/>
                <w:kern w:val="0"/>
                <w:sz w:val="28"/>
                <w:szCs w:val="28"/>
              </w:rPr>
              <w:t>文件规定的最高限价；</w:t>
            </w:r>
          </w:p>
          <w:p w14:paraId="0A1DC40C">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lang w:val="en-US" w:eastAsia="zh-CN"/>
              </w:rPr>
              <w:t>（5）响应文件</w:t>
            </w:r>
            <w:r>
              <w:rPr>
                <w:rFonts w:hint="eastAsia" w:ascii="宋体" w:hAnsi="宋体" w:eastAsia="宋体" w:cs="宋体"/>
                <w:bCs/>
                <w:color w:val="auto"/>
                <w:kern w:val="0"/>
                <w:sz w:val="28"/>
                <w:szCs w:val="28"/>
              </w:rPr>
              <w:t>出现</w:t>
            </w:r>
            <w:r>
              <w:rPr>
                <w:rFonts w:hint="eastAsia" w:ascii="宋体" w:hAnsi="宋体" w:eastAsia="宋体" w:cs="宋体"/>
                <w:bCs/>
                <w:color w:val="auto"/>
                <w:kern w:val="0"/>
                <w:sz w:val="28"/>
                <w:szCs w:val="28"/>
                <w:lang w:val="en-US" w:eastAsia="zh-CN"/>
              </w:rPr>
              <w:t>有</w:t>
            </w:r>
            <w:r>
              <w:rPr>
                <w:rFonts w:hint="eastAsia" w:ascii="宋体" w:hAnsi="宋体" w:eastAsia="宋体" w:cs="宋体"/>
                <w:bCs/>
                <w:color w:val="auto"/>
                <w:kern w:val="0"/>
                <w:sz w:val="28"/>
                <w:szCs w:val="28"/>
              </w:rPr>
              <w:t>选择性报价的</w:t>
            </w:r>
            <w:r>
              <w:rPr>
                <w:rFonts w:hint="eastAsia" w:ascii="宋体" w:hAnsi="宋体" w:eastAsia="宋体" w:cs="宋体"/>
                <w:bCs/>
                <w:color w:val="auto"/>
                <w:kern w:val="0"/>
                <w:sz w:val="28"/>
                <w:szCs w:val="28"/>
                <w:lang w:val="en-US" w:eastAsia="zh-CN"/>
              </w:rPr>
              <w:t>或</w:t>
            </w:r>
            <w:r>
              <w:rPr>
                <w:rFonts w:hint="eastAsia" w:ascii="宋体" w:hAnsi="宋体" w:eastAsia="宋体" w:cs="宋体"/>
                <w:bCs/>
                <w:color w:val="auto"/>
                <w:kern w:val="0"/>
                <w:sz w:val="28"/>
                <w:szCs w:val="28"/>
              </w:rPr>
              <w:t>谈判报价子目出现漏项或报价数量与要求不符的；</w:t>
            </w:r>
          </w:p>
          <w:p w14:paraId="1ACA8050">
            <w:pPr>
              <w:pageBreakBefore w:val="0"/>
              <w:widowControl/>
              <w:kinsoku/>
              <w:wordWrap w:val="0"/>
              <w:overflowPunct/>
              <w:topLinePunct/>
              <w:autoSpaceDE/>
              <w:autoSpaceDN/>
              <w:bidi w:val="0"/>
              <w:spacing w:line="320" w:lineRule="exact"/>
              <w:ind w:right="210"/>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lang w:val="en-US" w:eastAsia="zh-CN"/>
              </w:rPr>
              <w:t>（6）</w:t>
            </w:r>
            <w:r>
              <w:rPr>
                <w:rFonts w:hint="eastAsia" w:ascii="宋体" w:hAnsi="宋体" w:eastAsia="宋体" w:cs="宋体"/>
                <w:bCs/>
                <w:color w:val="auto"/>
                <w:kern w:val="0"/>
                <w:sz w:val="28"/>
                <w:szCs w:val="28"/>
              </w:rPr>
              <w:t>谈判报价与市场价格偏离较大、低于成本、形成不正当竞争的</w:t>
            </w:r>
            <w:r>
              <w:rPr>
                <w:rFonts w:hint="eastAsia" w:ascii="宋体" w:hAnsi="宋体" w:eastAsia="宋体" w:cs="宋体"/>
                <w:bCs/>
                <w:color w:val="auto"/>
                <w:kern w:val="0"/>
                <w:sz w:val="28"/>
                <w:szCs w:val="28"/>
                <w:lang w:val="en-US" w:eastAsia="zh-CN"/>
              </w:rPr>
              <w:t>。</w:t>
            </w:r>
          </w:p>
        </w:tc>
        <w:tc>
          <w:tcPr>
            <w:tcW w:w="213" w:type="pct"/>
            <w:noWrap w:val="0"/>
            <w:vAlign w:val="center"/>
          </w:tcPr>
          <w:p w14:paraId="531444F8">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2FE323BC">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591D5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514F1C7F">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w:t>
            </w:r>
          </w:p>
        </w:tc>
        <w:tc>
          <w:tcPr>
            <w:tcW w:w="1136" w:type="pct"/>
            <w:noWrap w:val="0"/>
            <w:vAlign w:val="center"/>
          </w:tcPr>
          <w:p w14:paraId="1B7121B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lang w:eastAsia="zh-CN"/>
              </w:rPr>
            </w:pPr>
            <w:r>
              <w:rPr>
                <w:rFonts w:hint="eastAsia" w:ascii="宋体" w:hAnsi="宋体" w:eastAsia="宋体" w:cs="宋体"/>
                <w:color w:val="auto"/>
                <w:spacing w:val="3"/>
                <w:sz w:val="28"/>
                <w:szCs w:val="28"/>
              </w:rPr>
              <w:t>商务</w:t>
            </w:r>
            <w:r>
              <w:rPr>
                <w:rFonts w:hint="eastAsia" w:ascii="宋体" w:hAnsi="宋体" w:eastAsia="宋体" w:cs="宋体"/>
                <w:color w:val="auto"/>
                <w:spacing w:val="3"/>
                <w:sz w:val="28"/>
                <w:szCs w:val="28"/>
                <w:lang w:val="en-US" w:eastAsia="zh-CN"/>
              </w:rPr>
              <w:t>响应</w:t>
            </w:r>
          </w:p>
        </w:tc>
        <w:tc>
          <w:tcPr>
            <w:tcW w:w="2727" w:type="pct"/>
            <w:noWrap w:val="0"/>
            <w:vAlign w:val="center"/>
          </w:tcPr>
          <w:p w14:paraId="451D7F04">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pacing w:val="3"/>
                <w:sz w:val="28"/>
                <w:szCs w:val="28"/>
              </w:rPr>
            </w:pPr>
            <w:r>
              <w:rPr>
                <w:rFonts w:hint="eastAsia" w:ascii="宋体" w:hAnsi="宋体" w:eastAsia="宋体" w:cs="宋体"/>
                <w:color w:val="auto"/>
                <w:spacing w:val="3"/>
                <w:sz w:val="28"/>
                <w:szCs w:val="28"/>
              </w:rPr>
              <w:t>谈判文件要求的商务条款出现重大负偏离</w:t>
            </w:r>
            <w:r>
              <w:rPr>
                <w:rFonts w:hint="eastAsia" w:ascii="宋体" w:hAnsi="宋体" w:eastAsia="宋体" w:cs="宋体"/>
                <w:color w:val="auto"/>
                <w:spacing w:val="3"/>
                <w:sz w:val="28"/>
                <w:szCs w:val="28"/>
                <w:lang w:val="en-US" w:eastAsia="zh-CN"/>
              </w:rPr>
              <w:t>或不响应</w:t>
            </w:r>
            <w:r>
              <w:rPr>
                <w:rFonts w:hint="eastAsia" w:ascii="宋体" w:hAnsi="宋体" w:eastAsia="宋体" w:cs="宋体"/>
                <w:color w:val="auto"/>
                <w:spacing w:val="3"/>
                <w:sz w:val="28"/>
                <w:szCs w:val="28"/>
              </w:rPr>
              <w:t>的；</w:t>
            </w:r>
          </w:p>
        </w:tc>
        <w:tc>
          <w:tcPr>
            <w:tcW w:w="213" w:type="pct"/>
            <w:noWrap w:val="0"/>
            <w:vAlign w:val="center"/>
          </w:tcPr>
          <w:p w14:paraId="0ADEC771">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1391EF2E">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4B739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106795FD">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p>
        </w:tc>
        <w:tc>
          <w:tcPr>
            <w:tcW w:w="1136" w:type="pct"/>
            <w:noWrap w:val="0"/>
            <w:vAlign w:val="center"/>
          </w:tcPr>
          <w:p w14:paraId="0CEF4B63">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color w:val="auto"/>
                <w:spacing w:val="3"/>
                <w:sz w:val="28"/>
                <w:szCs w:val="28"/>
              </w:rPr>
              <w:t>实质性响应</w:t>
            </w:r>
          </w:p>
        </w:tc>
        <w:tc>
          <w:tcPr>
            <w:tcW w:w="2727" w:type="pct"/>
            <w:noWrap w:val="0"/>
            <w:vAlign w:val="center"/>
          </w:tcPr>
          <w:p w14:paraId="06A404E5">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pacing w:val="3"/>
                <w:sz w:val="28"/>
                <w:szCs w:val="28"/>
              </w:rPr>
              <w:t>响应文件未实质性响应谈判文件要求的；</w:t>
            </w:r>
          </w:p>
        </w:tc>
        <w:tc>
          <w:tcPr>
            <w:tcW w:w="213" w:type="pct"/>
            <w:noWrap w:val="0"/>
            <w:vAlign w:val="center"/>
          </w:tcPr>
          <w:p w14:paraId="37BD922D">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567E6A56">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3E781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7AE828E3">
            <w:pPr>
              <w:pageBreakBefore w:val="0"/>
              <w:widowControl/>
              <w:kinsoku/>
              <w:wordWrap w:val="0"/>
              <w:overflowPunct/>
              <w:topLinePunct/>
              <w:autoSpaceDE/>
              <w:autoSpaceDN/>
              <w:bidi w:val="0"/>
              <w:spacing w:line="320" w:lineRule="exact"/>
              <w:jc w:val="both"/>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p>
        </w:tc>
        <w:tc>
          <w:tcPr>
            <w:tcW w:w="1136" w:type="pct"/>
            <w:noWrap w:val="0"/>
            <w:vAlign w:val="center"/>
          </w:tcPr>
          <w:p w14:paraId="6D111C4E">
            <w:pPr>
              <w:pageBreakBefore w:val="0"/>
              <w:widowControl/>
              <w:kinsoku/>
              <w:wordWrap w:val="0"/>
              <w:overflowPunct/>
              <w:topLinePunct/>
              <w:autoSpaceDE/>
              <w:autoSpaceDN/>
              <w:bidi w:val="0"/>
              <w:spacing w:line="320" w:lineRule="exact"/>
              <w:jc w:val="both"/>
              <w:textAlignment w:val="auto"/>
              <w:rPr>
                <w:rFonts w:hint="default" w:ascii="宋体" w:hAnsi="宋体" w:eastAsia="宋体" w:cs="宋体"/>
                <w:bCs/>
                <w:color w:val="auto"/>
                <w:kern w:val="0"/>
                <w:sz w:val="28"/>
                <w:szCs w:val="28"/>
                <w:lang w:val="en-US" w:eastAsia="zh-CN"/>
              </w:rPr>
            </w:pPr>
            <w:r>
              <w:rPr>
                <w:rFonts w:hint="eastAsia" w:ascii="宋体" w:hAnsi="宋体" w:eastAsia="宋体" w:cs="宋体"/>
                <w:bCs/>
                <w:color w:val="auto"/>
                <w:kern w:val="0"/>
                <w:sz w:val="28"/>
                <w:szCs w:val="28"/>
                <w:lang w:val="en-US" w:eastAsia="zh-CN"/>
              </w:rPr>
              <w:t>技术方案响应</w:t>
            </w:r>
          </w:p>
        </w:tc>
        <w:tc>
          <w:tcPr>
            <w:tcW w:w="2727" w:type="pct"/>
            <w:noWrap w:val="0"/>
            <w:vAlign w:val="center"/>
          </w:tcPr>
          <w:p w14:paraId="266A8639">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符合谈判文件的要求。</w:t>
            </w:r>
          </w:p>
        </w:tc>
        <w:tc>
          <w:tcPr>
            <w:tcW w:w="213" w:type="pct"/>
            <w:noWrap w:val="0"/>
            <w:vAlign w:val="center"/>
          </w:tcPr>
          <w:p w14:paraId="68D9D503">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1FA627AF">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0C29B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662D66A0">
            <w:pPr>
              <w:pageBreakBefore w:val="0"/>
              <w:widowControl/>
              <w:kinsoku/>
              <w:wordWrap w:val="0"/>
              <w:overflowPunct/>
              <w:topLinePunct/>
              <w:autoSpaceDE/>
              <w:autoSpaceDN/>
              <w:bidi w:val="0"/>
              <w:spacing w:line="320" w:lineRule="exact"/>
              <w:jc w:val="both"/>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w:t>
            </w:r>
          </w:p>
        </w:tc>
        <w:tc>
          <w:tcPr>
            <w:tcW w:w="1136" w:type="pct"/>
            <w:noWrap w:val="0"/>
            <w:vAlign w:val="center"/>
          </w:tcPr>
          <w:p w14:paraId="298DC4CB">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lang w:val="en-US" w:eastAsia="zh-CN"/>
              </w:rPr>
            </w:pPr>
            <w:r>
              <w:rPr>
                <w:rFonts w:hint="eastAsia" w:ascii="宋体" w:hAnsi="宋体" w:eastAsia="宋体" w:cs="宋体"/>
                <w:bCs/>
                <w:color w:val="auto"/>
                <w:kern w:val="0"/>
                <w:sz w:val="28"/>
                <w:szCs w:val="28"/>
                <w:lang w:val="en-US" w:eastAsia="zh-CN"/>
              </w:rPr>
              <w:t>投标响应</w:t>
            </w:r>
          </w:p>
        </w:tc>
        <w:tc>
          <w:tcPr>
            <w:tcW w:w="2727" w:type="pct"/>
            <w:noWrap w:val="0"/>
            <w:vAlign w:val="center"/>
          </w:tcPr>
          <w:p w14:paraId="22646E4A">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提供虚假资质、虚假证明（包括第三方提供的虚假证明）、出现虚假应答的，除按无效谈判响应文件处理外，还将按照有关规定进行处罚；</w:t>
            </w:r>
          </w:p>
        </w:tc>
        <w:tc>
          <w:tcPr>
            <w:tcW w:w="213" w:type="pct"/>
            <w:noWrap w:val="0"/>
            <w:vAlign w:val="center"/>
          </w:tcPr>
          <w:p w14:paraId="617AB60C">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220512E3">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3AB3E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 w:type="pct"/>
            <w:noWrap w:val="0"/>
            <w:vAlign w:val="center"/>
          </w:tcPr>
          <w:p w14:paraId="23E1D3F9">
            <w:pPr>
              <w:pageBreakBefore w:val="0"/>
              <w:widowControl/>
              <w:kinsoku/>
              <w:wordWrap w:val="0"/>
              <w:overflowPunct/>
              <w:topLinePunct/>
              <w:autoSpaceDE/>
              <w:autoSpaceDN/>
              <w:bidi w:val="0"/>
              <w:spacing w:line="320" w:lineRule="exact"/>
              <w:jc w:val="both"/>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11</w:t>
            </w:r>
          </w:p>
        </w:tc>
        <w:tc>
          <w:tcPr>
            <w:tcW w:w="1136" w:type="pct"/>
            <w:noWrap w:val="0"/>
            <w:vAlign w:val="center"/>
          </w:tcPr>
          <w:p w14:paraId="3F4E4101">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其他</w:t>
            </w:r>
          </w:p>
        </w:tc>
        <w:tc>
          <w:tcPr>
            <w:tcW w:w="2727" w:type="pct"/>
            <w:noWrap w:val="0"/>
            <w:vAlign w:val="center"/>
          </w:tcPr>
          <w:p w14:paraId="3A9B8091">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完全理解并接受法律法规和谈判文件对</w:t>
            </w:r>
            <w:r>
              <w:rPr>
                <w:rFonts w:hint="eastAsia" w:ascii="宋体" w:hAnsi="宋体" w:eastAsia="宋体" w:cs="宋体"/>
                <w:color w:val="auto"/>
                <w:sz w:val="28"/>
                <w:szCs w:val="28"/>
                <w:lang w:eastAsia="zh-CN"/>
              </w:rPr>
              <w:t>投标人</w:t>
            </w:r>
            <w:r>
              <w:rPr>
                <w:rFonts w:hint="eastAsia" w:ascii="宋体" w:hAnsi="宋体" w:eastAsia="宋体" w:cs="宋体"/>
                <w:color w:val="auto"/>
                <w:sz w:val="28"/>
                <w:szCs w:val="28"/>
              </w:rPr>
              <w:t>的各项须知、规约要求和责任义务，没有出现法律法规或谈判文件明确规定的其他被视为“无效响应”的情形。</w:t>
            </w:r>
          </w:p>
        </w:tc>
        <w:tc>
          <w:tcPr>
            <w:tcW w:w="213" w:type="pct"/>
            <w:noWrap w:val="0"/>
            <w:vAlign w:val="center"/>
          </w:tcPr>
          <w:p w14:paraId="786ABE6F">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c>
          <w:tcPr>
            <w:tcW w:w="608" w:type="pct"/>
            <w:noWrap w:val="0"/>
            <w:vAlign w:val="center"/>
          </w:tcPr>
          <w:p w14:paraId="4FB2BCAD">
            <w:pPr>
              <w:pageBreakBefore w:val="0"/>
              <w:widowControl/>
              <w:kinsoku/>
              <w:wordWrap w:val="0"/>
              <w:overflowPunct/>
              <w:topLinePunct/>
              <w:autoSpaceDE/>
              <w:autoSpaceDN/>
              <w:bidi w:val="0"/>
              <w:spacing w:line="320" w:lineRule="exact"/>
              <w:jc w:val="both"/>
              <w:textAlignment w:val="auto"/>
              <w:rPr>
                <w:rFonts w:hint="eastAsia" w:ascii="宋体" w:hAnsi="宋体" w:eastAsia="宋体" w:cs="宋体"/>
                <w:b/>
                <w:bCs/>
                <w:color w:val="auto"/>
                <w:kern w:val="0"/>
                <w:sz w:val="28"/>
                <w:szCs w:val="28"/>
              </w:rPr>
            </w:pPr>
          </w:p>
        </w:tc>
      </w:tr>
      <w:tr w14:paraId="7C169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000" w:type="pct"/>
            <w:gridSpan w:val="5"/>
            <w:noWrap w:val="0"/>
            <w:vAlign w:val="top"/>
          </w:tcPr>
          <w:p w14:paraId="03CABE80">
            <w:pPr>
              <w:pageBreakBefore w:val="0"/>
              <w:widowControl/>
              <w:kinsoku/>
              <w:wordWrap w:val="0"/>
              <w:overflowPunct/>
              <w:topLinePunct/>
              <w:autoSpaceDE/>
              <w:autoSpaceDN/>
              <w:bidi w:val="0"/>
              <w:jc w:val="both"/>
              <w:textAlignment w:val="auto"/>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谈判小组：（签字或盖章）</w:t>
            </w:r>
          </w:p>
        </w:tc>
      </w:tr>
    </w:tbl>
    <w:p w14:paraId="58D1CB44">
      <w:pPr>
        <w:pStyle w:val="12"/>
        <w:widowControl/>
        <w:ind w:left="0" w:leftChars="0" w:firstLine="480" w:firstLineChars="200"/>
        <w:rPr>
          <w:color w:val="auto"/>
        </w:rPr>
      </w:pPr>
      <w:r>
        <w:rPr>
          <w:color w:val="auto"/>
        </w:rPr>
        <w:t>谈判小组要审查每份谈判响应文件是否实质上响应了谈判文件的要求。实质上没有响应谈判文件要求的投标作无效响应文件处理。谈判小组应告知有关投标人未通过审查的原因，投标人不得通过修正或撤销不符之处而使其成为实质上响应。</w:t>
      </w:r>
    </w:p>
    <w:p w14:paraId="77AC0A90">
      <w:pPr>
        <w:pStyle w:val="12"/>
        <w:widowControl/>
        <w:ind w:left="0" w:leftChars="0" w:firstLine="480" w:firstLineChars="200"/>
        <w:rPr>
          <w:color w:val="auto"/>
        </w:rPr>
      </w:pPr>
      <w:r>
        <w:rPr>
          <w:color w:val="auto"/>
        </w:rPr>
        <w:t>串标行为认定：投标人应当遵循公平竞争的原则，不得恶意串通，不得妨碍其他投标人的竞争行为，不得损害招标人或者其他投标人的合法权益。在评标过程中发现投标人有上述情形的，谈判小组应当认定其投标无效，并书面报告本级监督部门。</w:t>
      </w:r>
    </w:p>
    <w:p w14:paraId="597D2A4D">
      <w:pPr>
        <w:pStyle w:val="12"/>
        <w:widowControl/>
        <w:ind w:left="0" w:leftChars="0" w:firstLine="480" w:firstLineChars="200"/>
        <w:rPr>
          <w:color w:val="auto"/>
        </w:rPr>
      </w:pPr>
      <w:r>
        <w:rPr>
          <w:color w:val="auto"/>
        </w:rPr>
        <w:t>有下列情形之一的，视为投标人串通投标，其投标无效：</w:t>
      </w:r>
    </w:p>
    <w:p w14:paraId="03EDE772">
      <w:pPr>
        <w:pStyle w:val="12"/>
        <w:widowControl/>
        <w:ind w:left="0" w:leftChars="0" w:firstLine="480" w:firstLineChars="200"/>
        <w:rPr>
          <w:color w:val="auto"/>
        </w:rPr>
      </w:pPr>
      <w:r>
        <w:rPr>
          <w:color w:val="auto"/>
        </w:rPr>
        <w:t>（一）不同投标人的谈判响应文件由同一单位或者个人编制；</w:t>
      </w:r>
    </w:p>
    <w:p w14:paraId="25ECEC85">
      <w:pPr>
        <w:pStyle w:val="12"/>
        <w:widowControl/>
        <w:ind w:left="0" w:leftChars="0" w:firstLine="480" w:firstLineChars="200"/>
        <w:rPr>
          <w:color w:val="auto"/>
        </w:rPr>
      </w:pPr>
      <w:r>
        <w:rPr>
          <w:color w:val="auto"/>
        </w:rPr>
        <w:t>（二）不同投标人委托同一单位或者个人办理投标事宜；</w:t>
      </w:r>
    </w:p>
    <w:p w14:paraId="21374FBC">
      <w:pPr>
        <w:pStyle w:val="12"/>
        <w:widowControl/>
        <w:ind w:left="0" w:leftChars="0" w:firstLine="480" w:firstLineChars="200"/>
        <w:rPr>
          <w:color w:val="auto"/>
        </w:rPr>
      </w:pPr>
      <w:r>
        <w:rPr>
          <w:color w:val="auto"/>
        </w:rPr>
        <w:t>（三）不同投标人的谈判响应文件载明的项目管理成员或者联系人员为同一人；</w:t>
      </w:r>
    </w:p>
    <w:p w14:paraId="50F33381">
      <w:pPr>
        <w:pStyle w:val="12"/>
        <w:widowControl/>
        <w:ind w:left="0" w:leftChars="0" w:firstLine="480" w:firstLineChars="200"/>
        <w:rPr>
          <w:color w:val="auto"/>
        </w:rPr>
      </w:pPr>
      <w:bookmarkStart w:id="37" w:name="_Toc29195"/>
      <w:r>
        <w:rPr>
          <w:color w:val="auto"/>
        </w:rPr>
        <w:t>（四）不同投标人的谈判响应文件异常一致或者投标报价呈规律性</w:t>
      </w:r>
      <w:bookmarkEnd w:id="37"/>
      <w:r>
        <w:rPr>
          <w:color w:val="auto"/>
        </w:rPr>
        <w:t>差异；</w:t>
      </w:r>
    </w:p>
    <w:p w14:paraId="792886F5">
      <w:pPr>
        <w:pStyle w:val="12"/>
        <w:widowControl/>
        <w:ind w:left="0" w:leftChars="0" w:firstLine="480" w:firstLineChars="200"/>
        <w:rPr>
          <w:color w:val="auto"/>
        </w:rPr>
      </w:pPr>
      <w:bookmarkStart w:id="38" w:name="_Toc28875"/>
      <w:r>
        <w:rPr>
          <w:color w:val="auto"/>
        </w:rPr>
        <w:t>（五）不同投标人的谈判响应文件相互混装</w:t>
      </w:r>
      <w:bookmarkEnd w:id="38"/>
      <w:r>
        <w:rPr>
          <w:color w:val="auto"/>
        </w:rPr>
        <w:t>。</w:t>
      </w:r>
    </w:p>
    <w:p w14:paraId="7CCF76B7">
      <w:pPr>
        <w:pStyle w:val="4"/>
        <w:widowControl/>
        <w:ind w:left="0" w:leftChars="0" w:firstLine="482" w:firstLineChars="200"/>
      </w:pPr>
      <w:r>
        <w:t>4、谈判响应文件的澄清</w:t>
      </w:r>
    </w:p>
    <w:p w14:paraId="6FA17252">
      <w:pPr>
        <w:pStyle w:val="12"/>
        <w:widowControl/>
        <w:numPr>
          <w:ilvl w:val="0"/>
          <w:numId w:val="30"/>
        </w:numPr>
        <w:tabs>
          <w:tab w:val="left" w:pos="1080"/>
        </w:tabs>
        <w:topLinePunct w:val="0"/>
        <w:ind w:left="0" w:leftChars="0" w:firstLine="480" w:firstLineChars="200"/>
        <w:rPr>
          <w:rFonts w:hint="eastAsia" w:ascii="宋体" w:hAnsi="宋体" w:eastAsia="宋体" w:cs="宋体"/>
          <w:b w:val="0"/>
          <w:color w:val="auto"/>
        </w:rPr>
      </w:pPr>
      <w:r>
        <w:rPr>
          <w:color w:val="auto"/>
        </w:rPr>
        <w:t>谈判小组在对谈判响应文件的有效性、完整性和响应程度进行审查时，可以要求投标人对谈判响应文件中含义不明确、同类问题表述不一致或者有明显文字和计算错误的内容等做出必要的澄清、说明或者补正。</w:t>
      </w:r>
    </w:p>
    <w:p w14:paraId="5FFF1955">
      <w:pPr>
        <w:pStyle w:val="12"/>
        <w:widowControl/>
        <w:numPr>
          <w:ilvl w:val="0"/>
          <w:numId w:val="30"/>
        </w:numPr>
        <w:tabs>
          <w:tab w:val="left" w:pos="1080"/>
        </w:tabs>
        <w:topLinePunct w:val="0"/>
        <w:ind w:left="0" w:leftChars="0" w:firstLine="480" w:firstLineChars="200"/>
        <w:rPr>
          <w:rFonts w:hint="eastAsia" w:ascii="宋体" w:hAnsi="宋体" w:eastAsia="宋体" w:cs="宋体"/>
          <w:b w:val="0"/>
          <w:color w:val="auto"/>
        </w:rPr>
      </w:pPr>
      <w:r>
        <w:rPr>
          <w:color w:val="auto"/>
        </w:rPr>
        <w:t>依照民法中的过失责任原则，澄清、说明或补正前谈判小组将</w:t>
      </w:r>
    </w:p>
    <w:p w14:paraId="558B6D1B">
      <w:pPr>
        <w:pStyle w:val="12"/>
        <w:widowControl/>
        <w:ind w:left="0" w:leftChars="0" w:firstLine="480" w:firstLineChars="200"/>
        <w:rPr>
          <w:color w:val="auto"/>
        </w:rPr>
      </w:pPr>
      <w:r>
        <w:rPr>
          <w:color w:val="auto"/>
        </w:rPr>
        <w:t>按最不利于投标人的原则对谈判响应文件做出评判。</w:t>
      </w:r>
    </w:p>
    <w:p w14:paraId="2F496987">
      <w:pPr>
        <w:pStyle w:val="12"/>
        <w:widowControl/>
        <w:numPr>
          <w:ilvl w:val="0"/>
          <w:numId w:val="30"/>
        </w:numPr>
        <w:tabs>
          <w:tab w:val="left" w:pos="1080"/>
        </w:tabs>
        <w:topLinePunct w:val="0"/>
        <w:ind w:left="0" w:leftChars="0" w:firstLine="480" w:firstLineChars="200"/>
        <w:rPr>
          <w:rFonts w:hint="eastAsia" w:ascii="宋体" w:hAnsi="宋体" w:eastAsia="宋体" w:cs="宋体"/>
          <w:b w:val="0"/>
          <w:color w:val="auto"/>
        </w:rPr>
      </w:pPr>
      <w:r>
        <w:rPr>
          <w:color w:val="auto"/>
        </w:rPr>
        <w:t>谈判小组应书面要求投标人澄清、说明或者补正谈判响应文件。投标人应当在规定的澄清时限内按谈判小组要求的方式提交。</w:t>
      </w:r>
    </w:p>
    <w:p w14:paraId="68FF1E93">
      <w:pPr>
        <w:pStyle w:val="12"/>
        <w:widowControl/>
        <w:numPr>
          <w:ilvl w:val="0"/>
          <w:numId w:val="30"/>
        </w:numPr>
        <w:tabs>
          <w:tab w:val="left" w:pos="1080"/>
        </w:tabs>
        <w:topLinePunct w:val="0"/>
        <w:ind w:left="0" w:leftChars="0" w:firstLine="480" w:firstLineChars="200"/>
        <w:rPr>
          <w:rFonts w:hint="eastAsia" w:ascii="宋体" w:hAnsi="宋体" w:eastAsia="宋体" w:cs="宋体"/>
          <w:b w:val="0"/>
          <w:color w:val="auto"/>
        </w:rPr>
      </w:pPr>
      <w:r>
        <w:rPr>
          <w:color w:val="auto"/>
        </w:rPr>
        <w:t>投标人的澄清、说明或者补正不得超出谈判响应文件的范围或者改变谈判响应文件的实质性内容。澄清、说明或者补正的内容将作为合同履行的重要依据。</w:t>
      </w:r>
    </w:p>
    <w:p w14:paraId="5D7BD481">
      <w:pPr>
        <w:pStyle w:val="4"/>
        <w:widowControl/>
        <w:ind w:left="0" w:leftChars="0" w:firstLine="482" w:firstLineChars="200"/>
      </w:pPr>
      <w:r>
        <w:t>5、谈判方法</w:t>
      </w:r>
    </w:p>
    <w:p w14:paraId="534361BB">
      <w:pPr>
        <w:pStyle w:val="12"/>
        <w:widowControl/>
        <w:numPr>
          <w:ilvl w:val="0"/>
          <w:numId w:val="31"/>
        </w:numPr>
        <w:tabs>
          <w:tab w:val="left" w:pos="1080"/>
        </w:tabs>
        <w:topLinePunct w:val="0"/>
        <w:ind w:left="0" w:leftChars="0" w:firstLine="480" w:firstLineChars="200"/>
        <w:rPr>
          <w:rFonts w:hint="eastAsia" w:ascii="宋体" w:hAnsi="宋体" w:eastAsia="宋体" w:cs="宋体"/>
          <w:b w:val="0"/>
          <w:color w:val="auto"/>
        </w:rPr>
      </w:pPr>
      <w:r>
        <w:rPr>
          <w:color w:val="auto"/>
        </w:rPr>
        <w:t>谈判原则：按照财政部令（第74号）文件精神，谈判方式应采取“符合采购需求情况下，坚持低价优先原则。”谈判小组应当从质量和服务均能满足谈判文件实质性响应要求的投标人中，按照最后报价由低到高的顺序提出3名以上成交候选投标人，经采购单位确认，以投标人的最低报价作为成交价格。</w:t>
      </w:r>
    </w:p>
    <w:p w14:paraId="1C472731">
      <w:pPr>
        <w:pStyle w:val="12"/>
        <w:widowControl/>
        <w:numPr>
          <w:ilvl w:val="0"/>
          <w:numId w:val="31"/>
        </w:numPr>
        <w:tabs>
          <w:tab w:val="left" w:pos="1080"/>
        </w:tabs>
        <w:topLinePunct w:val="0"/>
        <w:ind w:left="0" w:leftChars="0" w:firstLine="480" w:firstLineChars="200"/>
        <w:rPr>
          <w:rFonts w:hint="eastAsia" w:ascii="宋体" w:hAnsi="宋体" w:eastAsia="宋体" w:cs="宋体"/>
          <w:b w:val="0"/>
          <w:color w:val="auto"/>
        </w:rPr>
      </w:pPr>
      <w:r>
        <w:rPr>
          <w:color w:val="auto"/>
        </w:rPr>
        <w:t>谈判程序：分步评审，每一步评审不符合者，不进入下一步评审。谈判开始前将由采购单位纪检人员当众检验谈判响应文件的密封情况，确认无误后方可进行拆封、谈判。由谈判小组成员集中与单一参加谈判的投标人分别进行谈判。</w:t>
      </w:r>
    </w:p>
    <w:p w14:paraId="637B269F">
      <w:pPr>
        <w:pStyle w:val="12"/>
        <w:widowControl/>
        <w:ind w:left="0" w:leftChars="0" w:firstLine="480" w:firstLineChars="200"/>
        <w:rPr>
          <w:color w:val="auto"/>
        </w:rPr>
      </w:pPr>
      <w:r>
        <w:rPr>
          <w:color w:val="auto"/>
        </w:rPr>
        <w:t>谈判过程依次为公布谈判响应文件份数、谈判响应文件资格性审查、</w:t>
      </w:r>
    </w:p>
    <w:p w14:paraId="09EB7AF9">
      <w:pPr>
        <w:pStyle w:val="12"/>
        <w:widowControl/>
        <w:ind w:left="0" w:leftChars="0" w:firstLine="480" w:firstLineChars="200"/>
        <w:rPr>
          <w:color w:val="auto"/>
        </w:rPr>
      </w:pPr>
      <w:r>
        <w:rPr>
          <w:color w:val="auto"/>
        </w:rPr>
        <w:t>商务符合性审查、响应说明响应性审查、谈判与承诺、最后报价六个阶段。</w:t>
      </w:r>
    </w:p>
    <w:p w14:paraId="4661CF8A">
      <w:pPr>
        <w:pStyle w:val="12"/>
        <w:widowControl/>
        <w:ind w:left="0" w:leftChars="0" w:firstLine="480" w:firstLineChars="200"/>
        <w:rPr>
          <w:color w:val="auto"/>
        </w:rPr>
      </w:pPr>
      <w:r>
        <w:rPr>
          <w:color w:val="auto"/>
        </w:rPr>
        <w:t>谈判小组对于各个投标人的谈判响应文件先进行资格性审查、再进行商务符合性审查、再进行响应说明响应性审查，审查全都合格的投标人才有参加谈判与承诺的资格。</w:t>
      </w:r>
    </w:p>
    <w:p w14:paraId="2C7F57ED">
      <w:pPr>
        <w:pStyle w:val="12"/>
        <w:widowControl/>
        <w:ind w:left="0" w:leftChars="0" w:firstLine="480" w:firstLineChars="200"/>
        <w:rPr>
          <w:color w:val="auto"/>
        </w:rPr>
      </w:pPr>
      <w:r>
        <w:rPr>
          <w:color w:val="auto"/>
        </w:rPr>
        <w:t>谈判采取背对背的方式。即谈判小组所有成员通过腾讯会议集中与各投标人分别进行一对一、面对面的谈判。谈判小组可以要求投标人对谈判响应文件含义不明确的内容做出必要的澄清或说明，投标人应采用书面形式进行澄清或说明，但不得超出谈判响应文件的范围或改变谈判响应文件的实质性内容。</w:t>
      </w:r>
    </w:p>
    <w:p w14:paraId="3C761B83">
      <w:pPr>
        <w:pStyle w:val="12"/>
        <w:widowControl/>
        <w:ind w:left="0" w:leftChars="0" w:firstLine="480" w:firstLineChars="200"/>
        <w:rPr>
          <w:color w:val="auto"/>
        </w:rPr>
      </w:pPr>
      <w:r>
        <w:rPr>
          <w:color w:val="auto"/>
        </w:rPr>
        <w:t>双方经过谈判，质量和服务均能满足采购文件实质性响应要求的投标</w:t>
      </w:r>
    </w:p>
    <w:p w14:paraId="1F383198">
      <w:pPr>
        <w:pStyle w:val="12"/>
        <w:widowControl/>
        <w:ind w:left="0" w:leftChars="0" w:firstLine="480" w:firstLineChars="200"/>
        <w:rPr>
          <w:color w:val="auto"/>
        </w:rPr>
      </w:pPr>
      <w:r>
        <w:rPr>
          <w:color w:val="auto"/>
        </w:rPr>
        <w:t>投标人才具有最后报价的机会。</w:t>
      </w:r>
    </w:p>
    <w:p w14:paraId="660F9D77">
      <w:pPr>
        <w:pStyle w:val="12"/>
        <w:widowControl/>
        <w:ind w:left="0" w:leftChars="0" w:firstLine="480" w:firstLineChars="200"/>
        <w:rPr>
          <w:color w:val="auto"/>
        </w:rPr>
      </w:pPr>
      <w:r>
        <w:rPr>
          <w:color w:val="auto"/>
        </w:rPr>
        <w:t>谈判后，投标人应按谈判小组规定的时间进行最后报价，并由法定代表人或其授权人签字，最后报价现场不对投标人公布。该谈判报价为不可更改价格，作为谈判小组推荐成交候选人的依据。</w:t>
      </w:r>
    </w:p>
    <w:p w14:paraId="1CB90290">
      <w:pPr>
        <w:pStyle w:val="12"/>
        <w:widowControl/>
        <w:ind w:left="0" w:leftChars="0" w:firstLine="480" w:firstLineChars="200"/>
        <w:rPr>
          <w:color w:val="auto"/>
        </w:rPr>
      </w:pPr>
      <w:r>
        <w:rPr>
          <w:color w:val="auto"/>
        </w:rPr>
        <w:t>评审方法：谈判小组从质量和服务均能满足采购文件实质性响应要求</w:t>
      </w:r>
    </w:p>
    <w:p w14:paraId="639CB421">
      <w:pPr>
        <w:pStyle w:val="12"/>
        <w:widowControl/>
        <w:ind w:left="0" w:leftChars="0" w:firstLine="480" w:firstLineChars="200"/>
        <w:rPr>
          <w:color w:val="auto"/>
        </w:rPr>
      </w:pPr>
      <w:r>
        <w:rPr>
          <w:color w:val="auto"/>
        </w:rPr>
        <w:t>的投标人中，按照最后报价由低到高的顺序提出成交候选人。</w:t>
      </w:r>
    </w:p>
    <w:p w14:paraId="3B5DF38F">
      <w:pPr>
        <w:pStyle w:val="4"/>
        <w:widowControl/>
        <w:ind w:left="0" w:leftChars="0" w:firstLine="482" w:firstLineChars="200"/>
      </w:pPr>
      <w:r>
        <w:t>6、谈判过程</w:t>
      </w:r>
    </w:p>
    <w:p w14:paraId="6AFD0D45">
      <w:pPr>
        <w:pStyle w:val="12"/>
        <w:widowControl/>
        <w:ind w:left="0" w:leftChars="0" w:firstLine="480" w:firstLineChars="200"/>
        <w:rPr>
          <w:color w:val="auto"/>
        </w:rPr>
      </w:pPr>
      <w:r>
        <w:rPr>
          <w:color w:val="auto"/>
        </w:rPr>
        <w:t>谈判小组应在符合性评审的基础上对各投标人的响应文件认真阅读，谈判小组必须对响应文件的采购内容等有关要求与投标人进行背对背的方式谈判。即谈判小组所有成员集中与各投标人分别进行一对一、面对面的谈判。在谈判中，谈判的任何一方不得透露与谈判有关的其他投标人的技术资料、价格和其他信息。谈判文件有实质性变动的，谈判小组应当以书面形式通知所有参加谈判的投标人。</w:t>
      </w:r>
    </w:p>
    <w:p w14:paraId="048976FF">
      <w:pPr>
        <w:pStyle w:val="4"/>
        <w:widowControl/>
        <w:ind w:left="0" w:leftChars="0" w:firstLine="482" w:firstLineChars="200"/>
      </w:pPr>
      <w:r>
        <w:t>7、谈判内容</w:t>
      </w:r>
    </w:p>
    <w:p w14:paraId="20C32306">
      <w:pPr>
        <w:pStyle w:val="12"/>
        <w:widowControl/>
        <w:numPr>
          <w:ilvl w:val="0"/>
          <w:numId w:val="32"/>
        </w:numPr>
        <w:tabs>
          <w:tab w:val="left" w:pos="1080"/>
        </w:tabs>
        <w:topLinePunct w:val="0"/>
        <w:ind w:left="0" w:leftChars="0" w:firstLine="480" w:firstLineChars="200"/>
        <w:rPr>
          <w:rFonts w:hint="eastAsia" w:ascii="宋体" w:hAnsi="宋体" w:eastAsia="宋体" w:cs="宋体"/>
          <w:b w:val="0"/>
          <w:color w:val="auto"/>
        </w:rPr>
      </w:pPr>
      <w:r>
        <w:rPr>
          <w:color w:val="auto"/>
        </w:rPr>
        <w:t>谈判小组对实质上响应谈判文件要求的谈判响应文件进行评价和比较。成交原则：“符合采购需求情况下，坚持低价优先原则”。</w:t>
      </w:r>
    </w:p>
    <w:p w14:paraId="7F8B9D1B">
      <w:pPr>
        <w:pStyle w:val="12"/>
        <w:widowControl/>
        <w:numPr>
          <w:ilvl w:val="0"/>
          <w:numId w:val="32"/>
        </w:numPr>
        <w:tabs>
          <w:tab w:val="left" w:pos="1080"/>
        </w:tabs>
        <w:topLinePunct w:val="0"/>
        <w:ind w:left="0" w:leftChars="0" w:firstLine="480" w:firstLineChars="200"/>
        <w:rPr>
          <w:rFonts w:hint="eastAsia" w:ascii="宋体" w:hAnsi="宋体" w:eastAsia="宋体" w:cs="宋体"/>
          <w:b w:val="0"/>
          <w:color w:val="auto"/>
        </w:rPr>
      </w:pPr>
      <w:r>
        <w:rPr>
          <w:color w:val="auto"/>
        </w:rPr>
        <w:t>谈判小组在评定时，将主要考虑下列因素：</w:t>
      </w:r>
    </w:p>
    <w:p w14:paraId="21B9C10D">
      <w:pPr>
        <w:pStyle w:val="12"/>
        <w:widowControl/>
        <w:numPr>
          <w:ilvl w:val="0"/>
          <w:numId w:val="33"/>
        </w:numPr>
        <w:tabs>
          <w:tab w:val="left" w:pos="840"/>
        </w:tabs>
        <w:topLinePunct w:val="0"/>
        <w:ind w:left="0" w:leftChars="0" w:firstLine="480" w:firstLineChars="200"/>
        <w:rPr>
          <w:rFonts w:hint="eastAsia" w:ascii="宋体" w:hAnsi="宋体" w:eastAsia="宋体" w:cs="宋体"/>
          <w:b w:val="0"/>
          <w:color w:val="auto"/>
        </w:rPr>
      </w:pPr>
      <w:r>
        <w:rPr>
          <w:color w:val="auto"/>
        </w:rPr>
        <w:t>投标人最终报价；</w:t>
      </w:r>
    </w:p>
    <w:p w14:paraId="369E5026">
      <w:pPr>
        <w:pStyle w:val="12"/>
        <w:widowControl/>
        <w:numPr>
          <w:ilvl w:val="0"/>
          <w:numId w:val="33"/>
        </w:numPr>
        <w:tabs>
          <w:tab w:val="left" w:pos="840"/>
        </w:tabs>
        <w:topLinePunct w:val="0"/>
        <w:ind w:left="0" w:leftChars="0" w:firstLine="480" w:firstLineChars="200"/>
        <w:rPr>
          <w:rFonts w:hint="eastAsia" w:ascii="宋体" w:hAnsi="宋体" w:eastAsia="宋体" w:cs="宋体"/>
          <w:b w:val="0"/>
          <w:color w:val="auto"/>
        </w:rPr>
      </w:pPr>
      <w:r>
        <w:rPr>
          <w:color w:val="auto"/>
        </w:rPr>
        <w:t>响应说明。</w:t>
      </w:r>
    </w:p>
    <w:p w14:paraId="5F42BCAC">
      <w:pPr>
        <w:pStyle w:val="12"/>
        <w:widowControl/>
        <w:numPr>
          <w:ilvl w:val="0"/>
          <w:numId w:val="32"/>
        </w:numPr>
        <w:tabs>
          <w:tab w:val="left" w:pos="1080"/>
        </w:tabs>
        <w:topLinePunct w:val="0"/>
        <w:ind w:left="0" w:leftChars="0" w:firstLine="480" w:firstLineChars="200"/>
        <w:rPr>
          <w:rFonts w:hint="eastAsia" w:ascii="宋体" w:hAnsi="宋体" w:eastAsia="宋体" w:cs="宋体"/>
          <w:b w:val="0"/>
          <w:color w:val="auto"/>
        </w:rPr>
      </w:pPr>
      <w:r>
        <w:rPr>
          <w:color w:val="auto"/>
        </w:rPr>
        <w:t>竞争性谈判确定的最终价格及服务等仍不能满足采购单位的要求，采购单位及谈判小组将保留最终放弃本次谈判的权利。</w:t>
      </w:r>
    </w:p>
    <w:p w14:paraId="34EAA64A">
      <w:pPr>
        <w:pStyle w:val="4"/>
        <w:widowControl/>
        <w:ind w:left="0" w:leftChars="0" w:firstLine="482" w:firstLineChars="200"/>
      </w:pPr>
      <w:r>
        <w:t>8、最终报价</w:t>
      </w:r>
    </w:p>
    <w:p w14:paraId="47402E9F">
      <w:pPr>
        <w:pStyle w:val="12"/>
        <w:widowControl/>
        <w:ind w:left="0" w:leftChars="0" w:firstLine="480" w:firstLineChars="200"/>
        <w:rPr>
          <w:color w:val="auto"/>
        </w:rPr>
      </w:pPr>
      <w:r>
        <w:rPr>
          <w:color w:val="auto"/>
        </w:rPr>
        <w:t>资格性审查和符合性审查通过的投标人进入最终报价阶段。最终报价是投标人响应文件的有效组成部分。（最后报价相同时，可进行多次报价）各有效供应商在谈判小组与合格供应商谈判后30分钟内现场递交合格有效的书面最终报价原件，递交的最后报价为最终报价，作为评审依据。</w:t>
      </w:r>
    </w:p>
    <w:p w14:paraId="6F11EA5B">
      <w:pPr>
        <w:pStyle w:val="12"/>
        <w:widowControl/>
        <w:ind w:left="0" w:leftChars="0" w:firstLine="480" w:firstLineChars="200"/>
        <w:rPr>
          <w:color w:val="auto"/>
        </w:rPr>
      </w:pPr>
      <w:r>
        <w:rPr>
          <w:color w:val="auto"/>
        </w:rPr>
        <w:t>投标人的最终报价出现明显低于或高于同业同期市场平均价的情形时，谈判小组应当在评审意见中详细说明推荐理由。</w:t>
      </w:r>
    </w:p>
    <w:p w14:paraId="1171F4C0">
      <w:pPr>
        <w:pStyle w:val="4"/>
        <w:widowControl/>
        <w:ind w:left="0" w:leftChars="0" w:firstLine="482" w:firstLineChars="200"/>
      </w:pPr>
      <w:r>
        <w:t>9、推荐成交候选人</w:t>
      </w:r>
    </w:p>
    <w:p w14:paraId="120441BF">
      <w:pPr>
        <w:pStyle w:val="12"/>
        <w:widowControl/>
        <w:ind w:left="0" w:leftChars="0" w:firstLine="480" w:firstLineChars="200"/>
        <w:rPr>
          <w:color w:val="auto"/>
        </w:rPr>
      </w:pPr>
      <w:r>
        <w:rPr>
          <w:color w:val="auto"/>
        </w:rPr>
        <w:t>经过最后报价，谈判小组按照最终报价由低到高的顺序推荐三名成交候选人。</w:t>
      </w:r>
    </w:p>
    <w:p w14:paraId="33AEF0BC">
      <w:pPr>
        <w:pStyle w:val="4"/>
        <w:widowControl/>
        <w:ind w:left="0" w:leftChars="0" w:firstLine="482" w:firstLineChars="200"/>
      </w:pPr>
      <w:r>
        <w:t>10、编写评审报告</w:t>
      </w:r>
    </w:p>
    <w:p w14:paraId="0D2DEA6B">
      <w:pPr>
        <w:pStyle w:val="12"/>
        <w:widowControl/>
        <w:numPr>
          <w:ilvl w:val="0"/>
          <w:numId w:val="34"/>
        </w:numPr>
        <w:tabs>
          <w:tab w:val="left" w:pos="1080"/>
        </w:tabs>
        <w:topLinePunct w:val="0"/>
        <w:ind w:left="0" w:leftChars="0" w:firstLine="480" w:firstLineChars="200"/>
        <w:rPr>
          <w:rFonts w:hint="eastAsia" w:ascii="宋体" w:hAnsi="宋体" w:eastAsia="宋体" w:cs="宋体"/>
          <w:b w:val="0"/>
          <w:color w:val="auto"/>
        </w:rPr>
      </w:pPr>
      <w:r>
        <w:rPr>
          <w:color w:val="auto"/>
        </w:rPr>
        <w:t>谈判小组应根据全体评审成员签字的原始评审记录和评审结果编写评审报告。评审报告应包括：谈判邀请函刊登的媒体名称、开标日期和地点;投标人名单和谈判小组成员名单;评审方法和标准;开标记录和评审情况及说明，包括无效投标人名单及原因;评审结果，确定的成交候选人名单或者经招标人委托直接确定的成交人;其他需要说明的情况，包括评审过程中投标人根据谈判小组要求进行的澄清、说明或者补正，谈判小组成员的更换等。</w:t>
      </w:r>
    </w:p>
    <w:p w14:paraId="3B2A7CDB">
      <w:pPr>
        <w:pStyle w:val="12"/>
        <w:widowControl/>
        <w:numPr>
          <w:ilvl w:val="0"/>
          <w:numId w:val="34"/>
        </w:numPr>
        <w:tabs>
          <w:tab w:val="left" w:pos="1080"/>
        </w:tabs>
        <w:topLinePunct w:val="0"/>
        <w:ind w:left="0" w:leftChars="0" w:firstLine="480" w:firstLineChars="200"/>
        <w:rPr>
          <w:rFonts w:hint="eastAsia" w:ascii="宋体" w:hAnsi="宋体" w:eastAsia="宋体" w:cs="宋体"/>
          <w:b w:val="0"/>
          <w:color w:val="auto"/>
        </w:rPr>
      </w:pPr>
      <w:r>
        <w:rPr>
          <w:color w:val="auto"/>
        </w:rPr>
        <w:t>谈判小组成员对需要共同认定的事项存在争议的，应当按照少数服从多数的原则做出结论。持不同意见的谈判小组成员应当在评审报告上签署不同意见及理由，否则视为同意评审报告。对拒绝说明理由的，报市财政局处理，并将其评审情况如实计入考核表。</w:t>
      </w:r>
    </w:p>
    <w:p w14:paraId="5DC4342D">
      <w:pPr>
        <w:pStyle w:val="2"/>
        <w:widowControl/>
        <w:numPr>
          <w:ilvl w:val="0"/>
          <w:numId w:val="1"/>
        </w:numPr>
        <w:tabs>
          <w:tab w:val="left" w:pos="1037"/>
        </w:tabs>
        <w:topLinePunct w:val="0"/>
        <w:ind w:left="0" w:leftChars="0" w:firstLine="482" w:firstLineChars="200"/>
        <w:rPr>
          <w:b/>
        </w:rPr>
      </w:pPr>
      <w:bookmarkStart w:id="39" w:name="_Toc11430"/>
      <w:r>
        <w:t>无效响应文件情形</w:t>
      </w:r>
      <w:bookmarkEnd w:id="39"/>
    </w:p>
    <w:p w14:paraId="5B01C78C">
      <w:pPr>
        <w:pStyle w:val="3"/>
        <w:widowControl/>
        <w:numPr>
          <w:ilvl w:val="0"/>
          <w:numId w:val="35"/>
        </w:numPr>
        <w:tabs>
          <w:tab w:val="left" w:pos="1290"/>
        </w:tabs>
        <w:topLinePunct w:val="0"/>
        <w:ind w:left="0" w:leftChars="0" w:firstLine="482" w:firstLineChars="200"/>
        <w:rPr>
          <w:rFonts w:hint="eastAsia" w:ascii="宋体" w:hAnsi="宋体" w:eastAsia="宋体" w:cs="宋体"/>
          <w:b/>
        </w:rPr>
      </w:pPr>
      <w:bookmarkStart w:id="40" w:name="_Toc26609"/>
      <w:r>
        <w:t>投标人存在下列情况之一的，响应文件无效:</w:t>
      </w:r>
      <w:bookmarkEnd w:id="40"/>
    </w:p>
    <w:p w14:paraId="4876BD50">
      <w:pPr>
        <w:pStyle w:val="12"/>
        <w:widowControl/>
        <w:numPr>
          <w:ilvl w:val="0"/>
          <w:numId w:val="36"/>
        </w:numPr>
        <w:tabs>
          <w:tab w:val="left" w:pos="840"/>
        </w:tabs>
        <w:topLinePunct w:val="0"/>
        <w:ind w:left="0" w:leftChars="0" w:firstLine="480" w:firstLineChars="200"/>
        <w:rPr>
          <w:rFonts w:hint="eastAsia" w:ascii="宋体" w:hAnsi="宋体" w:eastAsia="宋体" w:cs="宋体"/>
          <w:b w:val="0"/>
          <w:color w:val="auto"/>
        </w:rPr>
      </w:pPr>
      <w:r>
        <w:rPr>
          <w:color w:val="auto"/>
        </w:rPr>
        <w:t>响应文件未按谈判文件要求签署、盖章;</w:t>
      </w:r>
    </w:p>
    <w:p w14:paraId="6FC03411">
      <w:pPr>
        <w:pStyle w:val="12"/>
        <w:widowControl/>
        <w:numPr>
          <w:ilvl w:val="0"/>
          <w:numId w:val="36"/>
        </w:numPr>
        <w:tabs>
          <w:tab w:val="left" w:pos="840"/>
        </w:tabs>
        <w:topLinePunct w:val="0"/>
        <w:ind w:left="0" w:leftChars="0" w:firstLine="480" w:firstLineChars="200"/>
        <w:rPr>
          <w:rFonts w:hint="eastAsia" w:ascii="宋体" w:hAnsi="宋体" w:eastAsia="宋体" w:cs="宋体"/>
          <w:b w:val="0"/>
          <w:color w:val="auto"/>
        </w:rPr>
      </w:pPr>
      <w:r>
        <w:rPr>
          <w:color w:val="auto"/>
        </w:rPr>
        <w:t>不具备谈判文件中规定的资格要求;</w:t>
      </w:r>
    </w:p>
    <w:p w14:paraId="004DBDC0">
      <w:pPr>
        <w:pStyle w:val="12"/>
        <w:widowControl/>
        <w:numPr>
          <w:ilvl w:val="0"/>
          <w:numId w:val="36"/>
        </w:numPr>
        <w:tabs>
          <w:tab w:val="left" w:pos="840"/>
        </w:tabs>
        <w:topLinePunct w:val="0"/>
        <w:ind w:left="0" w:leftChars="0" w:firstLine="480" w:firstLineChars="200"/>
        <w:rPr>
          <w:rFonts w:hint="eastAsia" w:ascii="宋体" w:hAnsi="宋体" w:eastAsia="宋体" w:cs="宋体"/>
          <w:b w:val="0"/>
          <w:color w:val="auto"/>
        </w:rPr>
      </w:pPr>
      <w:r>
        <w:rPr>
          <w:color w:val="auto"/>
        </w:rPr>
        <w:t>报价超过谈判文件中规定的预算金额或者最高限价;</w:t>
      </w:r>
    </w:p>
    <w:p w14:paraId="1EC9E8D1">
      <w:pPr>
        <w:pStyle w:val="12"/>
        <w:widowControl/>
        <w:numPr>
          <w:ilvl w:val="0"/>
          <w:numId w:val="36"/>
        </w:numPr>
        <w:tabs>
          <w:tab w:val="left" w:pos="840"/>
        </w:tabs>
        <w:topLinePunct w:val="0"/>
        <w:ind w:left="0" w:leftChars="0" w:firstLine="480" w:firstLineChars="200"/>
        <w:rPr>
          <w:rFonts w:hint="eastAsia" w:ascii="宋体" w:hAnsi="宋体" w:eastAsia="宋体" w:cs="宋体"/>
          <w:b w:val="0"/>
          <w:color w:val="auto"/>
        </w:rPr>
      </w:pPr>
      <w:r>
        <w:rPr>
          <w:color w:val="auto"/>
        </w:rPr>
        <w:t>响应文件含有招标人不能接受的附加条件;</w:t>
      </w:r>
    </w:p>
    <w:p w14:paraId="7DC10A4D">
      <w:pPr>
        <w:pStyle w:val="12"/>
        <w:widowControl/>
        <w:numPr>
          <w:ilvl w:val="0"/>
          <w:numId w:val="36"/>
        </w:numPr>
        <w:tabs>
          <w:tab w:val="left" w:pos="840"/>
        </w:tabs>
        <w:topLinePunct w:val="0"/>
        <w:ind w:left="0" w:leftChars="0" w:firstLine="480" w:firstLineChars="200"/>
        <w:rPr>
          <w:rFonts w:hint="eastAsia" w:ascii="宋体" w:hAnsi="宋体" w:eastAsia="宋体" w:cs="宋体"/>
          <w:b w:val="0"/>
          <w:color w:val="auto"/>
        </w:rPr>
      </w:pPr>
      <w:r>
        <w:rPr>
          <w:color w:val="auto"/>
        </w:rPr>
        <w:t>有选择的报价将不予接受，按无效响应文件处理；</w:t>
      </w:r>
    </w:p>
    <w:p w14:paraId="2DB5CB93">
      <w:pPr>
        <w:pStyle w:val="12"/>
        <w:widowControl/>
        <w:numPr>
          <w:ilvl w:val="0"/>
          <w:numId w:val="36"/>
        </w:numPr>
        <w:tabs>
          <w:tab w:val="left" w:pos="840"/>
        </w:tabs>
        <w:topLinePunct w:val="0"/>
        <w:ind w:left="0" w:leftChars="0" w:firstLine="480" w:firstLineChars="200"/>
        <w:rPr>
          <w:rFonts w:hint="eastAsia" w:ascii="宋体" w:hAnsi="宋体" w:eastAsia="宋体" w:cs="宋体"/>
          <w:b w:val="0"/>
          <w:color w:val="auto"/>
        </w:rPr>
      </w:pPr>
      <w:r>
        <w:rPr>
          <w:color w:val="auto"/>
        </w:rPr>
        <w:t>按《政府采购非招标采购方式管理办法》（财政部令第74号）修正后的报价经投标人确认后产生约束力，投标人不确认的，其响应文件无效。</w:t>
      </w:r>
    </w:p>
    <w:p w14:paraId="14C55E15">
      <w:pPr>
        <w:pStyle w:val="3"/>
        <w:widowControl/>
        <w:numPr>
          <w:ilvl w:val="0"/>
          <w:numId w:val="35"/>
        </w:numPr>
        <w:tabs>
          <w:tab w:val="left" w:pos="1290"/>
        </w:tabs>
        <w:topLinePunct w:val="0"/>
        <w:ind w:left="0" w:leftChars="0" w:firstLine="482" w:firstLineChars="200"/>
        <w:rPr>
          <w:rFonts w:hint="eastAsia" w:ascii="宋体" w:hAnsi="宋体" w:eastAsia="宋体" w:cs="宋体"/>
          <w:b/>
        </w:rPr>
      </w:pPr>
      <w:r>
        <w:t>投标人存在下列情形之一的，视为串通投标，其响应文件无效：</w:t>
      </w:r>
    </w:p>
    <w:p w14:paraId="1E659732">
      <w:pPr>
        <w:pStyle w:val="12"/>
        <w:widowControl/>
        <w:numPr>
          <w:ilvl w:val="0"/>
          <w:numId w:val="37"/>
        </w:numPr>
        <w:tabs>
          <w:tab w:val="left" w:pos="840"/>
        </w:tabs>
        <w:topLinePunct w:val="0"/>
        <w:ind w:left="0" w:leftChars="0" w:firstLine="480" w:firstLineChars="200"/>
        <w:rPr>
          <w:rFonts w:hint="eastAsia" w:ascii="宋体" w:hAnsi="宋体" w:eastAsia="宋体" w:cs="宋体"/>
          <w:b w:val="0"/>
          <w:color w:val="auto"/>
        </w:rPr>
      </w:pPr>
      <w:r>
        <w:rPr>
          <w:color w:val="auto"/>
        </w:rPr>
        <w:t>不同投标人的响应文件由同一单位或者个人编制；</w:t>
      </w:r>
    </w:p>
    <w:p w14:paraId="6655361A">
      <w:pPr>
        <w:pStyle w:val="12"/>
        <w:widowControl/>
        <w:numPr>
          <w:ilvl w:val="0"/>
          <w:numId w:val="37"/>
        </w:numPr>
        <w:tabs>
          <w:tab w:val="left" w:pos="840"/>
        </w:tabs>
        <w:topLinePunct w:val="0"/>
        <w:ind w:left="0" w:leftChars="0" w:firstLine="480" w:firstLineChars="200"/>
        <w:rPr>
          <w:rFonts w:hint="eastAsia" w:ascii="宋体" w:hAnsi="宋体" w:eastAsia="宋体" w:cs="宋体"/>
          <w:b w:val="0"/>
          <w:color w:val="auto"/>
        </w:rPr>
      </w:pPr>
      <w:r>
        <w:rPr>
          <w:color w:val="auto"/>
        </w:rPr>
        <w:t>不同投标人委托同一单位或者个人办理投标事宜；</w:t>
      </w:r>
    </w:p>
    <w:p w14:paraId="7DD426BC">
      <w:pPr>
        <w:pStyle w:val="12"/>
        <w:widowControl/>
        <w:numPr>
          <w:ilvl w:val="0"/>
          <w:numId w:val="37"/>
        </w:numPr>
        <w:tabs>
          <w:tab w:val="left" w:pos="840"/>
        </w:tabs>
        <w:topLinePunct w:val="0"/>
        <w:ind w:left="0" w:leftChars="0" w:firstLine="480" w:firstLineChars="200"/>
        <w:rPr>
          <w:rFonts w:hint="eastAsia" w:ascii="宋体" w:hAnsi="宋体" w:eastAsia="宋体" w:cs="宋体"/>
          <w:b w:val="0"/>
          <w:color w:val="auto"/>
        </w:rPr>
      </w:pPr>
      <w:r>
        <w:rPr>
          <w:color w:val="auto"/>
        </w:rPr>
        <w:t>不同投标人的响应文件载明的项目管理成员或者联系人员为同一</w:t>
      </w:r>
    </w:p>
    <w:p w14:paraId="3506E518">
      <w:pPr>
        <w:pStyle w:val="12"/>
        <w:widowControl/>
        <w:ind w:left="0" w:leftChars="0" w:firstLine="480" w:firstLineChars="200"/>
        <w:rPr>
          <w:color w:val="auto"/>
        </w:rPr>
      </w:pPr>
      <w:r>
        <w:rPr>
          <w:color w:val="auto"/>
        </w:rPr>
        <w:t>人；</w:t>
      </w:r>
    </w:p>
    <w:p w14:paraId="0C0CF2C7">
      <w:pPr>
        <w:pStyle w:val="12"/>
        <w:widowControl/>
        <w:numPr>
          <w:ilvl w:val="0"/>
          <w:numId w:val="37"/>
        </w:numPr>
        <w:tabs>
          <w:tab w:val="left" w:pos="840"/>
        </w:tabs>
        <w:topLinePunct w:val="0"/>
        <w:ind w:left="0" w:leftChars="0" w:firstLine="480" w:firstLineChars="200"/>
        <w:rPr>
          <w:rFonts w:hint="eastAsia" w:ascii="宋体" w:hAnsi="宋体" w:eastAsia="宋体" w:cs="宋体"/>
          <w:b w:val="0"/>
          <w:color w:val="auto"/>
        </w:rPr>
      </w:pPr>
      <w:r>
        <w:rPr>
          <w:color w:val="auto"/>
        </w:rPr>
        <w:t>不同投标人的响应文件异常一致或者谈判报价呈规律性差异。</w:t>
      </w:r>
    </w:p>
    <w:p w14:paraId="1D201969">
      <w:pPr>
        <w:pStyle w:val="3"/>
        <w:widowControl/>
        <w:numPr>
          <w:ilvl w:val="0"/>
          <w:numId w:val="35"/>
        </w:numPr>
        <w:tabs>
          <w:tab w:val="left" w:pos="1290"/>
        </w:tabs>
        <w:topLinePunct w:val="0"/>
        <w:ind w:left="0" w:leftChars="0" w:firstLine="482" w:firstLineChars="200"/>
        <w:rPr>
          <w:rFonts w:hint="eastAsia" w:ascii="宋体" w:hAnsi="宋体" w:eastAsia="宋体" w:cs="宋体"/>
          <w:b/>
        </w:rPr>
      </w:pPr>
      <w:r>
        <w:t>投标人不得以低于成本的报价参加本次采购项目：</w:t>
      </w:r>
    </w:p>
    <w:p w14:paraId="32013BA8">
      <w:pPr>
        <w:pStyle w:val="12"/>
        <w:widowControl/>
        <w:ind w:left="0" w:leftChars="0" w:firstLine="480" w:firstLineChars="200"/>
        <w:rPr>
          <w:color w:val="auto"/>
        </w:rPr>
      </w:pPr>
      <w:r>
        <w:rPr>
          <w:color w:val="auto"/>
        </w:rPr>
        <w:t>谈判小组认为投标人的报价明显低于其他通过符合性审查投标人的报价，有可能影响服务质量或者不能诚信履约的，应当要求其在评审现场合理的时间内提供书面说明，同时提交相关证明材料;投标人不能证明其报价合理性的，谈判小组应当将其作为无效响应文件处理。</w:t>
      </w:r>
    </w:p>
    <w:p w14:paraId="576A3CED">
      <w:pPr>
        <w:pStyle w:val="2"/>
        <w:widowControl/>
        <w:numPr>
          <w:ilvl w:val="0"/>
          <w:numId w:val="1"/>
        </w:numPr>
        <w:tabs>
          <w:tab w:val="left" w:pos="1037"/>
        </w:tabs>
        <w:topLinePunct w:val="0"/>
        <w:ind w:left="0" w:leftChars="0" w:firstLine="482" w:firstLineChars="200"/>
        <w:rPr>
          <w:b/>
        </w:rPr>
      </w:pPr>
      <w:bookmarkStart w:id="41" w:name="_Toc25580"/>
      <w:r>
        <w:t>成交</w:t>
      </w:r>
      <w:bookmarkEnd w:id="41"/>
    </w:p>
    <w:p w14:paraId="15804614">
      <w:pPr>
        <w:pStyle w:val="12"/>
        <w:widowControl/>
        <w:numPr>
          <w:ilvl w:val="0"/>
          <w:numId w:val="38"/>
        </w:numPr>
        <w:tabs>
          <w:tab w:val="left" w:pos="1200"/>
        </w:tabs>
        <w:topLinePunct w:val="0"/>
        <w:ind w:left="0" w:leftChars="0" w:firstLine="480" w:firstLineChars="200"/>
        <w:rPr>
          <w:rFonts w:hint="eastAsia" w:ascii="宋体" w:hAnsi="宋体" w:eastAsia="宋体" w:cs="宋体"/>
          <w:b w:val="0"/>
          <w:color w:val="auto"/>
        </w:rPr>
      </w:pPr>
      <w:bookmarkStart w:id="42" w:name="_Toc14101"/>
      <w:r>
        <w:rPr>
          <w:color w:val="auto"/>
        </w:rPr>
        <w:t>招标代理机构在评审工作结束后2个工作日内将评审报告送采购</w:t>
      </w:r>
      <w:bookmarkEnd w:id="42"/>
    </w:p>
    <w:p w14:paraId="69D4206A">
      <w:pPr>
        <w:pStyle w:val="12"/>
        <w:widowControl/>
        <w:ind w:left="0" w:leftChars="0" w:firstLine="480" w:firstLineChars="200"/>
        <w:rPr>
          <w:color w:val="auto"/>
        </w:rPr>
      </w:pPr>
      <w:r>
        <w:rPr>
          <w:color w:val="auto"/>
        </w:rPr>
        <w:t>人。</w:t>
      </w:r>
    </w:p>
    <w:p w14:paraId="1B4E54D7">
      <w:pPr>
        <w:pStyle w:val="12"/>
        <w:widowControl/>
        <w:numPr>
          <w:ilvl w:val="0"/>
          <w:numId w:val="38"/>
        </w:numPr>
        <w:tabs>
          <w:tab w:val="left" w:pos="1200"/>
        </w:tabs>
        <w:topLinePunct w:val="0"/>
        <w:ind w:left="0" w:leftChars="0" w:firstLine="480" w:firstLineChars="200"/>
        <w:rPr>
          <w:rFonts w:hint="eastAsia" w:ascii="宋体" w:hAnsi="宋体" w:eastAsia="宋体" w:cs="宋体"/>
          <w:b w:val="0"/>
          <w:color w:val="auto"/>
        </w:rPr>
      </w:pPr>
      <w:bookmarkStart w:id="43" w:name="_Toc13882"/>
      <w:r>
        <w:rPr>
          <w:color w:val="auto"/>
        </w:rPr>
        <w:t>招标人在收到评审报告之日起5个工作日内，在评审报告确定的</w:t>
      </w:r>
      <w:bookmarkEnd w:id="43"/>
      <w:r>
        <w:rPr>
          <w:color w:val="auto"/>
        </w:rPr>
        <w:t>成交候选人名单中按顺序确定投标人。</w:t>
      </w:r>
    </w:p>
    <w:p w14:paraId="062E261E">
      <w:pPr>
        <w:pStyle w:val="12"/>
        <w:widowControl/>
        <w:ind w:left="0" w:leftChars="0" w:firstLine="480" w:firstLineChars="200"/>
        <w:rPr>
          <w:color w:val="auto"/>
        </w:rPr>
      </w:pPr>
      <w:r>
        <w:rPr>
          <w:color w:val="auto"/>
        </w:rPr>
        <w:t>招标人在收到评审报告5个工作日内未按评审报告推荐的成交候选人顺序确定投标人，又不能说明合法理由的，视同按评审报告推荐的顺序确定投标人，招标代理机构将发布成交公告。</w:t>
      </w:r>
    </w:p>
    <w:p w14:paraId="7AF28127">
      <w:pPr>
        <w:pStyle w:val="12"/>
        <w:widowControl/>
        <w:numPr>
          <w:ilvl w:val="0"/>
          <w:numId w:val="38"/>
        </w:numPr>
        <w:tabs>
          <w:tab w:val="left" w:pos="1200"/>
        </w:tabs>
        <w:topLinePunct w:val="0"/>
        <w:ind w:left="0" w:leftChars="0" w:firstLine="480" w:firstLineChars="200"/>
        <w:rPr>
          <w:color w:val="auto"/>
        </w:rPr>
      </w:pPr>
      <w:r>
        <w:rPr>
          <w:color w:val="auto"/>
        </w:rPr>
        <w:t>招标代理机构将在投标人确定之日起2个工作日内，在发布媒体《榆林高新区第十三小学网站》上公告成交结果。成交公告期限为1个工作日。</w:t>
      </w:r>
    </w:p>
    <w:p w14:paraId="4987EB2D">
      <w:pPr>
        <w:pStyle w:val="12"/>
        <w:widowControl/>
        <w:numPr>
          <w:ilvl w:val="0"/>
          <w:numId w:val="38"/>
        </w:numPr>
        <w:tabs>
          <w:tab w:val="left" w:pos="1200"/>
        </w:tabs>
        <w:topLinePunct w:val="0"/>
        <w:ind w:left="0" w:leftChars="0" w:firstLine="480" w:firstLineChars="200"/>
        <w:rPr>
          <w:color w:val="auto"/>
        </w:rPr>
      </w:pPr>
      <w:r>
        <w:rPr>
          <w:color w:val="auto"/>
        </w:rPr>
        <w:t>在成交结果公告公示的同时，招标代理机构向投标人发出成交通知书（成交通知书领取地点：陕西新胜项目管理有限公司（陕西省榆林市航宇路5号石化家属院三单元201室）。</w:t>
      </w:r>
    </w:p>
    <w:p w14:paraId="60E426E3">
      <w:pPr>
        <w:pStyle w:val="12"/>
        <w:widowControl/>
        <w:numPr>
          <w:ilvl w:val="0"/>
          <w:numId w:val="38"/>
        </w:numPr>
        <w:tabs>
          <w:tab w:val="left" w:pos="1200"/>
        </w:tabs>
        <w:topLinePunct w:val="0"/>
        <w:ind w:left="0" w:leftChars="0" w:firstLine="480" w:firstLineChars="200"/>
        <w:rPr>
          <w:rFonts w:hint="eastAsia" w:ascii="宋体" w:hAnsi="宋体" w:eastAsia="宋体" w:cs="宋体"/>
          <w:b w:val="0"/>
          <w:color w:val="auto"/>
        </w:rPr>
      </w:pPr>
      <w:bookmarkStart w:id="44" w:name="_Toc9501"/>
      <w:r>
        <w:rPr>
          <w:color w:val="auto"/>
        </w:rPr>
        <w:t>成交通知书发出后，招标人不得违法改变成交结果，</w:t>
      </w:r>
      <w:bookmarkEnd w:id="44"/>
      <w:r>
        <w:rPr>
          <w:color w:val="auto"/>
        </w:rPr>
        <w:t>投标人</w:t>
      </w:r>
    </w:p>
    <w:p w14:paraId="5F9EAF17">
      <w:pPr>
        <w:pStyle w:val="12"/>
        <w:widowControl/>
        <w:ind w:left="0" w:leftChars="0" w:firstLine="480" w:firstLineChars="200"/>
        <w:rPr>
          <w:color w:val="auto"/>
        </w:rPr>
      </w:pPr>
      <w:r>
        <w:rPr>
          <w:color w:val="auto"/>
        </w:rPr>
        <w:t>无正当理由不得放弃成交。</w:t>
      </w:r>
    </w:p>
    <w:p w14:paraId="76546A65">
      <w:pPr>
        <w:pStyle w:val="2"/>
        <w:widowControl/>
        <w:numPr>
          <w:ilvl w:val="0"/>
          <w:numId w:val="1"/>
        </w:numPr>
        <w:tabs>
          <w:tab w:val="left" w:pos="1037"/>
        </w:tabs>
        <w:topLinePunct w:val="0"/>
        <w:ind w:left="0" w:leftChars="0" w:firstLine="482" w:firstLineChars="200"/>
        <w:rPr>
          <w:b/>
        </w:rPr>
      </w:pPr>
      <w:bookmarkStart w:id="45" w:name="_Toc20720"/>
      <w:r>
        <w:t>签订采购合同</w:t>
      </w:r>
      <w:bookmarkEnd w:id="45"/>
    </w:p>
    <w:p w14:paraId="09F47B53">
      <w:pPr>
        <w:pStyle w:val="12"/>
        <w:widowControl/>
        <w:numPr>
          <w:ilvl w:val="0"/>
          <w:numId w:val="39"/>
        </w:numPr>
        <w:tabs>
          <w:tab w:val="left" w:pos="1200"/>
        </w:tabs>
        <w:topLinePunct w:val="0"/>
        <w:ind w:left="0" w:leftChars="0" w:firstLine="480" w:firstLineChars="200"/>
        <w:rPr>
          <w:rFonts w:hint="eastAsia" w:ascii="宋体" w:hAnsi="宋体" w:eastAsia="宋体" w:cs="宋体"/>
          <w:b w:val="0"/>
          <w:color w:val="auto"/>
        </w:rPr>
      </w:pPr>
      <w:r>
        <w:rPr>
          <w:color w:val="auto"/>
        </w:rPr>
        <w:t>自成交通知书发出之日起10日内，招标人与投标人应按谈判文件和投标人响应文件的规定，签订书面合同。所签订的合同不得对谈判文件和投标人的响应文件内容作实质性修改。招标人不得向投标人提出任何不合理的要求作为签订合同的条件。投标人拒绝与招标人签订合同的，招标人可以按照评审报告推荐的成交候选人名单排序，确定下一候选人为投标人，也可以重新开展招标活动。</w:t>
      </w:r>
    </w:p>
    <w:p w14:paraId="5A8E7F54">
      <w:pPr>
        <w:pStyle w:val="12"/>
        <w:widowControl/>
        <w:numPr>
          <w:ilvl w:val="0"/>
          <w:numId w:val="39"/>
        </w:numPr>
        <w:tabs>
          <w:tab w:val="left" w:pos="1200"/>
        </w:tabs>
        <w:topLinePunct w:val="0"/>
        <w:ind w:left="0" w:leftChars="0" w:firstLine="480" w:firstLineChars="200"/>
        <w:rPr>
          <w:rFonts w:hint="eastAsia" w:ascii="宋体" w:hAnsi="宋体" w:eastAsia="宋体" w:cs="宋体"/>
          <w:b w:val="0"/>
          <w:color w:val="auto"/>
        </w:rPr>
      </w:pPr>
      <w:r>
        <w:rPr>
          <w:color w:val="auto"/>
        </w:rPr>
        <w:t>谈判文件、投标人的响应文件、《成交通知书》及其澄清、说明文件、承诺等，均为签订采购合同的依据，作为采购合同的组成部分。</w:t>
      </w:r>
    </w:p>
    <w:p w14:paraId="47DFA438">
      <w:pPr>
        <w:pStyle w:val="12"/>
        <w:widowControl/>
        <w:numPr>
          <w:ilvl w:val="0"/>
          <w:numId w:val="39"/>
        </w:numPr>
        <w:tabs>
          <w:tab w:val="left" w:pos="1200"/>
        </w:tabs>
        <w:topLinePunct w:val="0"/>
        <w:ind w:left="0" w:leftChars="0" w:firstLine="480" w:firstLineChars="200"/>
        <w:rPr>
          <w:rFonts w:hint="eastAsia" w:ascii="宋体" w:hAnsi="宋体" w:eastAsia="宋体" w:cs="宋体"/>
          <w:b w:val="0"/>
          <w:color w:val="auto"/>
        </w:rPr>
      </w:pPr>
      <w:r>
        <w:rPr>
          <w:color w:val="auto"/>
        </w:rPr>
        <w:t>合同应当包括招标人与投标人的名称和住所、标的、数量、质量、价款或者报酬、履行期限及地点和方式、验收要求、违约责任、解决争议的方法等内容。</w:t>
      </w:r>
    </w:p>
    <w:p w14:paraId="024AFA7F">
      <w:pPr>
        <w:pStyle w:val="12"/>
        <w:widowControl/>
        <w:numPr>
          <w:ilvl w:val="0"/>
          <w:numId w:val="39"/>
        </w:numPr>
        <w:tabs>
          <w:tab w:val="left" w:pos="1200"/>
        </w:tabs>
        <w:topLinePunct w:val="0"/>
        <w:ind w:left="0" w:leftChars="0" w:firstLine="480" w:firstLineChars="200"/>
        <w:rPr>
          <w:rFonts w:hint="eastAsia" w:ascii="宋体" w:hAnsi="宋体" w:eastAsia="宋体" w:cs="宋体"/>
          <w:b w:val="0"/>
          <w:color w:val="auto"/>
        </w:rPr>
      </w:pPr>
      <w:r>
        <w:rPr>
          <w:color w:val="auto"/>
        </w:rPr>
        <w:t>招标人与投标人应当根据合同的约定依法履行合同义务。合同的履行、违约责任和解决争议的方法等适用《中华人民共和国民法典》。</w:t>
      </w:r>
    </w:p>
    <w:p w14:paraId="509E13C7">
      <w:pPr>
        <w:pStyle w:val="12"/>
        <w:widowControl/>
        <w:numPr>
          <w:ilvl w:val="0"/>
          <w:numId w:val="39"/>
        </w:numPr>
        <w:tabs>
          <w:tab w:val="left" w:pos="1200"/>
        </w:tabs>
        <w:topLinePunct w:val="0"/>
        <w:ind w:left="0" w:leftChars="0" w:firstLine="480" w:firstLineChars="200"/>
        <w:rPr>
          <w:rFonts w:hint="eastAsia" w:ascii="宋体" w:hAnsi="宋体" w:eastAsia="宋体" w:cs="宋体"/>
          <w:b w:val="0"/>
          <w:color w:val="auto"/>
        </w:rPr>
      </w:pPr>
      <w:r>
        <w:rPr>
          <w:color w:val="auto"/>
        </w:rPr>
        <w:t>招标人应及时对采购项目进行验收。招标人可以邀请参加本项目的其他投标人或者第三方机构参与验收。参与验收的投标人或者第三方机构的意见作为验收书的参考资料一并存档。</w:t>
      </w:r>
    </w:p>
    <w:p w14:paraId="376591D7">
      <w:pPr>
        <w:pStyle w:val="12"/>
        <w:widowControl/>
        <w:numPr>
          <w:ilvl w:val="0"/>
          <w:numId w:val="39"/>
        </w:numPr>
        <w:tabs>
          <w:tab w:val="left" w:pos="1200"/>
        </w:tabs>
        <w:topLinePunct w:val="0"/>
        <w:ind w:left="0" w:leftChars="0" w:firstLine="480" w:firstLineChars="200"/>
        <w:rPr>
          <w:rFonts w:hint="eastAsia" w:ascii="宋体" w:hAnsi="宋体" w:eastAsia="宋体" w:cs="宋体"/>
          <w:b w:val="0"/>
          <w:color w:val="auto"/>
        </w:rPr>
      </w:pPr>
      <w:r>
        <w:rPr>
          <w:color w:val="auto"/>
        </w:rPr>
        <w:t>招标人应当加强对投标人的履约管理，并按照采购合同约定，及时向投标人支付采购资金。对于投标人违反采购合同约定的行为，招标人应当及时处理，依法追究其违约责任。</w:t>
      </w:r>
    </w:p>
    <w:p w14:paraId="55835AD5">
      <w:pPr>
        <w:pStyle w:val="2"/>
        <w:widowControl/>
        <w:numPr>
          <w:ilvl w:val="0"/>
          <w:numId w:val="1"/>
        </w:numPr>
        <w:tabs>
          <w:tab w:val="left" w:pos="1037"/>
        </w:tabs>
        <w:topLinePunct w:val="0"/>
        <w:ind w:left="0" w:leftChars="0" w:firstLine="482" w:firstLineChars="200"/>
        <w:rPr>
          <w:b/>
        </w:rPr>
      </w:pPr>
      <w:bookmarkStart w:id="46" w:name="_Toc27565"/>
      <w:r>
        <w:t>废标情形</w:t>
      </w:r>
      <w:bookmarkEnd w:id="46"/>
    </w:p>
    <w:p w14:paraId="0D60A09D">
      <w:pPr>
        <w:pStyle w:val="12"/>
        <w:widowControl/>
        <w:numPr>
          <w:ilvl w:val="0"/>
          <w:numId w:val="40"/>
        </w:numPr>
        <w:tabs>
          <w:tab w:val="left" w:pos="1200"/>
        </w:tabs>
        <w:topLinePunct w:val="0"/>
        <w:ind w:left="0" w:leftChars="0" w:firstLine="480" w:firstLineChars="200"/>
        <w:rPr>
          <w:rFonts w:hint="eastAsia" w:ascii="宋体" w:hAnsi="宋体" w:eastAsia="宋体" w:cs="宋体"/>
          <w:b w:val="0"/>
          <w:color w:val="auto"/>
        </w:rPr>
      </w:pPr>
      <w:r>
        <w:rPr>
          <w:color w:val="auto"/>
        </w:rPr>
        <w:t>谈判小组发现谈判文件存在歧义、重大缺陷导致评审工作无法进行，或者谈判文件内容违反国家有关强制性规定的，应当停止评审工作，与招标人或者招标代理机构沟通并作书面记录。招标人或者招标代理机构确认后，应当修改谈判文件，重新组织采购活动。</w:t>
      </w:r>
    </w:p>
    <w:p w14:paraId="5E24CFE5">
      <w:pPr>
        <w:pStyle w:val="12"/>
        <w:widowControl/>
        <w:numPr>
          <w:ilvl w:val="0"/>
          <w:numId w:val="40"/>
        </w:numPr>
        <w:tabs>
          <w:tab w:val="left" w:pos="1200"/>
        </w:tabs>
        <w:topLinePunct w:val="0"/>
        <w:ind w:left="0" w:leftChars="0" w:firstLine="480" w:firstLineChars="200"/>
        <w:rPr>
          <w:rFonts w:hint="eastAsia" w:ascii="宋体" w:hAnsi="宋体" w:eastAsia="宋体" w:cs="宋体"/>
          <w:b w:val="0"/>
          <w:color w:val="auto"/>
        </w:rPr>
      </w:pPr>
      <w:bookmarkStart w:id="47" w:name="_Toc27077"/>
      <w:r>
        <w:rPr>
          <w:color w:val="auto"/>
        </w:rPr>
        <w:t>参照《政府采购法》第三十六条规定，在采购活动中，出现下列</w:t>
      </w:r>
      <w:bookmarkEnd w:id="47"/>
    </w:p>
    <w:p w14:paraId="0C35C6D3">
      <w:pPr>
        <w:pStyle w:val="12"/>
        <w:widowControl/>
        <w:ind w:left="0" w:leftChars="0" w:firstLine="480" w:firstLineChars="200"/>
        <w:rPr>
          <w:color w:val="auto"/>
        </w:rPr>
      </w:pPr>
      <w:r>
        <w:rPr>
          <w:color w:val="auto"/>
        </w:rPr>
        <w:t>情形之一的，本项目按废标处理：</w:t>
      </w:r>
    </w:p>
    <w:p w14:paraId="0E860E77">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auto"/>
        </w:rPr>
      </w:pPr>
      <w:r>
        <w:rPr>
          <w:color w:val="auto"/>
        </w:rPr>
        <w:t>出现影响采购公正的违法、违规行为；</w:t>
      </w:r>
    </w:p>
    <w:p w14:paraId="7AFDF841">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auto"/>
        </w:rPr>
      </w:pPr>
      <w:r>
        <w:rPr>
          <w:color w:val="auto"/>
        </w:rPr>
        <w:t>投标人的报价均超过了采购预算，招标人不能支付；</w:t>
      </w:r>
    </w:p>
    <w:p w14:paraId="7B85ECCA">
      <w:pPr>
        <w:pStyle w:val="12"/>
        <w:widowControl/>
        <w:numPr>
          <w:ilvl w:val="0"/>
          <w:numId w:val="41"/>
        </w:numPr>
        <w:tabs>
          <w:tab w:val="left" w:pos="840"/>
        </w:tabs>
        <w:topLinePunct w:val="0"/>
        <w:ind w:left="0" w:leftChars="0" w:firstLine="480" w:firstLineChars="200"/>
        <w:rPr>
          <w:rFonts w:hint="eastAsia" w:ascii="宋体" w:hAnsi="宋体" w:eastAsia="宋体" w:cs="宋体"/>
          <w:b w:val="0"/>
          <w:color w:val="auto"/>
        </w:rPr>
      </w:pPr>
      <w:r>
        <w:rPr>
          <w:color w:val="auto"/>
        </w:rPr>
        <w:t>因重大变故，采购任务取消。</w:t>
      </w:r>
    </w:p>
    <w:p w14:paraId="756784A5">
      <w:pPr>
        <w:pStyle w:val="12"/>
        <w:widowControl/>
        <w:ind w:left="0" w:leftChars="0" w:firstLine="480" w:firstLineChars="200"/>
        <w:rPr>
          <w:color w:val="auto"/>
        </w:rPr>
      </w:pPr>
      <w:r>
        <w:rPr>
          <w:color w:val="auto"/>
        </w:rPr>
        <w:t>废标后，由招标代理机构发布废标公告。</w:t>
      </w:r>
    </w:p>
    <w:p w14:paraId="45B31183">
      <w:pPr>
        <w:pStyle w:val="2"/>
        <w:widowControl/>
        <w:numPr>
          <w:ilvl w:val="0"/>
          <w:numId w:val="1"/>
        </w:numPr>
        <w:tabs>
          <w:tab w:val="left" w:pos="1037"/>
        </w:tabs>
        <w:topLinePunct w:val="0"/>
        <w:ind w:left="0" w:leftChars="0" w:firstLine="482" w:firstLineChars="200"/>
        <w:rPr>
          <w:b/>
        </w:rPr>
      </w:pPr>
      <w:bookmarkStart w:id="48" w:name="_Toc18880"/>
      <w:r>
        <w:t>成交服务费</w:t>
      </w:r>
      <w:bookmarkEnd w:id="48"/>
    </w:p>
    <w:p w14:paraId="0B53C3E3">
      <w:pPr>
        <w:pStyle w:val="12"/>
        <w:widowControl/>
        <w:numPr>
          <w:ilvl w:val="0"/>
          <w:numId w:val="42"/>
        </w:numPr>
        <w:tabs>
          <w:tab w:val="left" w:pos="840"/>
        </w:tabs>
        <w:topLinePunct w:val="0"/>
        <w:ind w:left="0" w:leftChars="0" w:firstLine="480" w:firstLineChars="200"/>
        <w:rPr>
          <w:rFonts w:hint="eastAsia" w:ascii="宋体" w:hAnsi="宋体" w:eastAsia="宋体" w:cs="宋体"/>
          <w:b w:val="0"/>
          <w:color w:val="auto"/>
        </w:rPr>
      </w:pPr>
      <w:bookmarkStart w:id="49" w:name="_Toc2939"/>
      <w:r>
        <w:rPr>
          <w:color w:val="auto"/>
        </w:rPr>
        <w:t>成交服务费按约定由成交人支付。</w:t>
      </w:r>
      <w:bookmarkEnd w:id="49"/>
    </w:p>
    <w:p w14:paraId="38F5382E">
      <w:pPr>
        <w:pStyle w:val="12"/>
        <w:widowControl/>
        <w:numPr>
          <w:ilvl w:val="0"/>
          <w:numId w:val="42"/>
        </w:numPr>
        <w:tabs>
          <w:tab w:val="left" w:pos="840"/>
        </w:tabs>
        <w:topLinePunct w:val="0"/>
        <w:ind w:left="0" w:leftChars="0" w:firstLine="480" w:firstLineChars="200"/>
        <w:rPr>
          <w:rFonts w:hint="eastAsia" w:ascii="宋体" w:hAnsi="宋体" w:eastAsia="宋体" w:cs="宋体"/>
          <w:b w:val="0"/>
          <w:color w:val="auto"/>
        </w:rPr>
      </w:pPr>
      <w:r>
        <w:rPr>
          <w:color w:val="auto"/>
        </w:rPr>
        <w:t>成交人应依据成交金额向招标代理机构交纳成交服务费，交费金额参照国家计委颁布的《招标代理服务收费管理暂行办法》（计价格[2002]1980号）及发改办价格[2003]857号文件的规定标准收取。</w:t>
      </w:r>
    </w:p>
    <w:p w14:paraId="7F8E6CC8">
      <w:pPr>
        <w:pStyle w:val="12"/>
        <w:widowControl/>
        <w:numPr>
          <w:ilvl w:val="0"/>
          <w:numId w:val="42"/>
        </w:numPr>
        <w:tabs>
          <w:tab w:val="left" w:pos="840"/>
        </w:tabs>
        <w:topLinePunct w:val="0"/>
        <w:ind w:left="0" w:leftChars="0" w:firstLine="480" w:firstLineChars="200"/>
        <w:rPr>
          <w:rFonts w:hint="eastAsia" w:ascii="宋体" w:hAnsi="宋体" w:eastAsia="宋体" w:cs="宋体"/>
          <w:b w:val="0"/>
          <w:color w:val="auto"/>
        </w:rPr>
      </w:pPr>
      <w:bookmarkStart w:id="50" w:name="_Toc4085"/>
      <w:r>
        <w:rPr>
          <w:color w:val="auto"/>
        </w:rPr>
        <w:t>本项目代理服务费按货物计取。</w:t>
      </w:r>
      <w:bookmarkEnd w:id="50"/>
    </w:p>
    <w:tbl>
      <w:tblPr>
        <w:tblStyle w:val="28"/>
        <w:tblW w:w="8363" w:type="dxa"/>
        <w:tblInd w:w="3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1"/>
        <w:gridCol w:w="1830"/>
        <w:gridCol w:w="2089"/>
        <w:gridCol w:w="2093"/>
      </w:tblGrid>
      <w:tr w14:paraId="449FD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2351" w:type="dxa"/>
            <w:vAlign w:val="top"/>
          </w:tcPr>
          <w:p w14:paraId="6CB9E116">
            <w:pPr>
              <w:pStyle w:val="29"/>
              <w:keepNext w:val="0"/>
              <w:keepLines w:val="0"/>
              <w:pageBreakBefore w:val="0"/>
              <w:widowControl/>
              <w:kinsoku/>
              <w:wordWrap w:val="0"/>
              <w:overflowPunct/>
              <w:topLinePunct/>
              <w:autoSpaceDE/>
              <w:autoSpaceDN/>
              <w:bidi w:val="0"/>
              <w:adjustRightInd w:val="0"/>
              <w:snapToGrid w:val="0"/>
              <w:spacing w:before="149" w:line="217" w:lineRule="auto"/>
              <w:jc w:val="both"/>
              <w:textAlignment w:val="baseline"/>
              <w:rPr>
                <w:rFonts w:hint="eastAsia" w:ascii="宋体" w:hAnsi="宋体" w:eastAsia="宋体" w:cs="宋体"/>
                <w:color w:val="auto"/>
              </w:rPr>
            </w:pPr>
            <w:r>
              <w:rPr>
                <w:rFonts w:hint="eastAsia" w:ascii="宋体" w:hAnsi="宋体" w:eastAsia="宋体" w:cs="宋体"/>
                <w:color w:val="auto"/>
                <w:spacing w:val="-4"/>
                <w14:textOutline w14:w="5103" w14:cap="sq" w14:cmpd="sng">
                  <w14:solidFill>
                    <w14:srgbClr w14:val="000000"/>
                  </w14:solidFill>
                  <w14:prstDash w14:val="solid"/>
                  <w14:bevel/>
                </w14:textOutline>
              </w:rPr>
              <w:t>成交金额（万元）</w:t>
            </w:r>
          </w:p>
        </w:tc>
        <w:tc>
          <w:tcPr>
            <w:tcW w:w="1830" w:type="dxa"/>
            <w:vAlign w:val="top"/>
          </w:tcPr>
          <w:p w14:paraId="13270688">
            <w:pPr>
              <w:pStyle w:val="29"/>
              <w:keepNext w:val="0"/>
              <w:keepLines w:val="0"/>
              <w:pageBreakBefore w:val="0"/>
              <w:widowControl/>
              <w:kinsoku/>
              <w:wordWrap w:val="0"/>
              <w:overflowPunct/>
              <w:topLinePunct/>
              <w:autoSpaceDE/>
              <w:autoSpaceDN/>
              <w:bidi w:val="0"/>
              <w:adjustRightInd w:val="0"/>
              <w:snapToGrid w:val="0"/>
              <w:spacing w:before="149" w:line="217" w:lineRule="auto"/>
              <w:ind w:left="367"/>
              <w:jc w:val="both"/>
              <w:textAlignment w:val="baseline"/>
              <w:rPr>
                <w:rFonts w:hint="eastAsia" w:ascii="宋体" w:hAnsi="宋体" w:eastAsia="宋体" w:cs="宋体"/>
                <w:color w:val="auto"/>
              </w:rPr>
            </w:pPr>
            <w:r>
              <w:rPr>
                <w:rFonts w:hint="eastAsia" w:ascii="宋体" w:hAnsi="宋体" w:eastAsia="宋体" w:cs="宋体"/>
                <w:color w:val="auto"/>
                <w:spacing w:val="-4"/>
                <w14:textOutline w14:w="5103" w14:cap="sq" w14:cmpd="sng">
                  <w14:solidFill>
                    <w14:srgbClr w14:val="000000"/>
                  </w14:solidFill>
                  <w14:prstDash w14:val="solid"/>
                  <w14:bevel/>
                </w14:textOutline>
              </w:rPr>
              <w:t>货物招标</w:t>
            </w:r>
          </w:p>
        </w:tc>
        <w:tc>
          <w:tcPr>
            <w:tcW w:w="2089" w:type="dxa"/>
            <w:vAlign w:val="top"/>
          </w:tcPr>
          <w:p w14:paraId="5D9C7A5E">
            <w:pPr>
              <w:pStyle w:val="29"/>
              <w:keepNext w:val="0"/>
              <w:keepLines w:val="0"/>
              <w:pageBreakBefore w:val="0"/>
              <w:widowControl/>
              <w:kinsoku/>
              <w:wordWrap w:val="0"/>
              <w:overflowPunct/>
              <w:topLinePunct/>
              <w:autoSpaceDE/>
              <w:autoSpaceDN/>
              <w:bidi w:val="0"/>
              <w:adjustRightInd w:val="0"/>
              <w:snapToGrid w:val="0"/>
              <w:spacing w:before="149" w:line="217" w:lineRule="auto"/>
              <w:ind w:left="491"/>
              <w:jc w:val="both"/>
              <w:textAlignment w:val="baseline"/>
              <w:rPr>
                <w:rFonts w:hint="eastAsia" w:ascii="宋体" w:hAnsi="宋体" w:eastAsia="宋体" w:cs="宋体"/>
                <w:color w:val="auto"/>
              </w:rPr>
            </w:pPr>
            <w:r>
              <w:rPr>
                <w:rFonts w:hint="eastAsia" w:ascii="宋体" w:hAnsi="宋体" w:eastAsia="宋体" w:cs="宋体"/>
                <w:color w:val="auto"/>
                <w:spacing w:val="-2"/>
                <w14:textOutline w14:w="5103" w14:cap="sq" w14:cmpd="sng">
                  <w14:solidFill>
                    <w14:srgbClr w14:val="000000"/>
                  </w14:solidFill>
                  <w14:prstDash w14:val="solid"/>
                  <w14:bevel/>
                </w14:textOutline>
              </w:rPr>
              <w:t>服务招标</w:t>
            </w:r>
          </w:p>
        </w:tc>
        <w:tc>
          <w:tcPr>
            <w:tcW w:w="2093" w:type="dxa"/>
            <w:vAlign w:val="top"/>
          </w:tcPr>
          <w:p w14:paraId="54AC0CBA">
            <w:pPr>
              <w:pStyle w:val="29"/>
              <w:keepNext w:val="0"/>
              <w:keepLines w:val="0"/>
              <w:pageBreakBefore w:val="0"/>
              <w:widowControl/>
              <w:kinsoku/>
              <w:wordWrap w:val="0"/>
              <w:overflowPunct/>
              <w:topLinePunct/>
              <w:autoSpaceDE/>
              <w:autoSpaceDN/>
              <w:bidi w:val="0"/>
              <w:adjustRightInd w:val="0"/>
              <w:snapToGrid w:val="0"/>
              <w:spacing w:before="149" w:line="217" w:lineRule="auto"/>
              <w:ind w:left="495"/>
              <w:jc w:val="both"/>
              <w:textAlignment w:val="baseline"/>
              <w:rPr>
                <w:rFonts w:hint="eastAsia" w:ascii="宋体" w:hAnsi="宋体" w:eastAsia="宋体" w:cs="宋体"/>
                <w:color w:val="auto"/>
              </w:rPr>
            </w:pPr>
            <w:r>
              <w:rPr>
                <w:rFonts w:hint="eastAsia" w:ascii="宋体" w:hAnsi="宋体" w:eastAsia="宋体" w:cs="宋体"/>
                <w:color w:val="auto"/>
                <w:spacing w:val="-3"/>
                <w14:textOutline w14:w="5103" w14:cap="sq" w14:cmpd="sng">
                  <w14:solidFill>
                    <w14:srgbClr w14:val="000000"/>
                  </w14:solidFill>
                  <w14:prstDash w14:val="solid"/>
                  <w14:bevel/>
                </w14:textOutline>
              </w:rPr>
              <w:t>工程招标</w:t>
            </w:r>
          </w:p>
        </w:tc>
      </w:tr>
      <w:tr w14:paraId="03822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351" w:type="dxa"/>
            <w:vAlign w:val="top"/>
          </w:tcPr>
          <w:p w14:paraId="561F697B">
            <w:pPr>
              <w:pStyle w:val="29"/>
              <w:keepNext w:val="0"/>
              <w:keepLines w:val="0"/>
              <w:pageBreakBefore w:val="0"/>
              <w:widowControl/>
              <w:kinsoku/>
              <w:wordWrap w:val="0"/>
              <w:overflowPunct/>
              <w:topLinePunct/>
              <w:autoSpaceDE/>
              <w:autoSpaceDN/>
              <w:bidi w:val="0"/>
              <w:adjustRightInd w:val="0"/>
              <w:snapToGrid w:val="0"/>
              <w:spacing w:before="144" w:line="217" w:lineRule="auto"/>
              <w:ind w:left="140"/>
              <w:jc w:val="both"/>
              <w:textAlignment w:val="baseline"/>
              <w:rPr>
                <w:rFonts w:hint="eastAsia" w:ascii="宋体" w:hAnsi="宋体" w:eastAsia="宋体" w:cs="宋体"/>
                <w:color w:val="auto"/>
              </w:rPr>
            </w:pPr>
            <w:r>
              <w:rPr>
                <w:rFonts w:hint="eastAsia" w:ascii="宋体" w:hAnsi="宋体" w:eastAsia="宋体" w:cs="宋体"/>
                <w:color w:val="auto"/>
                <w:spacing w:val="-15"/>
              </w:rPr>
              <w:t>100以下</w:t>
            </w:r>
          </w:p>
        </w:tc>
        <w:tc>
          <w:tcPr>
            <w:tcW w:w="1830" w:type="dxa"/>
            <w:vAlign w:val="top"/>
          </w:tcPr>
          <w:p w14:paraId="4366431C">
            <w:pPr>
              <w:pStyle w:val="29"/>
              <w:keepNext w:val="0"/>
              <w:keepLines w:val="0"/>
              <w:pageBreakBefore w:val="0"/>
              <w:widowControl/>
              <w:kinsoku/>
              <w:wordWrap w:val="0"/>
              <w:overflowPunct/>
              <w:topLinePunct/>
              <w:autoSpaceDE/>
              <w:autoSpaceDN/>
              <w:bidi w:val="0"/>
              <w:adjustRightInd w:val="0"/>
              <w:snapToGrid w:val="0"/>
              <w:spacing w:before="144" w:line="217" w:lineRule="auto"/>
              <w:ind w:left="664"/>
              <w:jc w:val="both"/>
              <w:textAlignment w:val="baseline"/>
              <w:rPr>
                <w:rFonts w:hint="eastAsia" w:ascii="宋体" w:hAnsi="宋体" w:eastAsia="宋体" w:cs="宋体"/>
                <w:color w:val="auto"/>
              </w:rPr>
            </w:pPr>
            <w:r>
              <w:rPr>
                <w:rFonts w:hint="eastAsia" w:ascii="宋体" w:hAnsi="宋体" w:eastAsia="宋体" w:cs="宋体"/>
                <w:color w:val="auto"/>
                <w:spacing w:val="-8"/>
              </w:rPr>
              <w:t>1.5%</w:t>
            </w:r>
          </w:p>
        </w:tc>
        <w:tc>
          <w:tcPr>
            <w:tcW w:w="2089" w:type="dxa"/>
            <w:vAlign w:val="top"/>
          </w:tcPr>
          <w:p w14:paraId="217F84F9">
            <w:pPr>
              <w:pStyle w:val="29"/>
              <w:keepNext w:val="0"/>
              <w:keepLines w:val="0"/>
              <w:pageBreakBefore w:val="0"/>
              <w:widowControl/>
              <w:kinsoku/>
              <w:wordWrap w:val="0"/>
              <w:overflowPunct/>
              <w:topLinePunct/>
              <w:autoSpaceDE/>
              <w:autoSpaceDN/>
              <w:bidi w:val="0"/>
              <w:adjustRightInd w:val="0"/>
              <w:snapToGrid w:val="0"/>
              <w:spacing w:before="144" w:line="217" w:lineRule="auto"/>
              <w:ind w:left="795"/>
              <w:jc w:val="both"/>
              <w:textAlignment w:val="baseline"/>
              <w:rPr>
                <w:rFonts w:hint="eastAsia" w:ascii="宋体" w:hAnsi="宋体" w:eastAsia="宋体" w:cs="宋体"/>
                <w:color w:val="auto"/>
              </w:rPr>
            </w:pPr>
            <w:r>
              <w:rPr>
                <w:rFonts w:hint="eastAsia" w:ascii="宋体" w:hAnsi="宋体" w:eastAsia="宋体" w:cs="宋体"/>
                <w:color w:val="auto"/>
                <w:spacing w:val="-8"/>
              </w:rPr>
              <w:t>1.5%</w:t>
            </w:r>
          </w:p>
        </w:tc>
        <w:tc>
          <w:tcPr>
            <w:tcW w:w="2093" w:type="dxa"/>
            <w:vAlign w:val="top"/>
          </w:tcPr>
          <w:p w14:paraId="07FF4C43">
            <w:pPr>
              <w:pStyle w:val="29"/>
              <w:keepNext w:val="0"/>
              <w:keepLines w:val="0"/>
              <w:pageBreakBefore w:val="0"/>
              <w:widowControl/>
              <w:kinsoku/>
              <w:wordWrap w:val="0"/>
              <w:overflowPunct/>
              <w:topLinePunct/>
              <w:autoSpaceDE/>
              <w:autoSpaceDN/>
              <w:bidi w:val="0"/>
              <w:adjustRightInd w:val="0"/>
              <w:snapToGrid w:val="0"/>
              <w:spacing w:before="144" w:line="217" w:lineRule="auto"/>
              <w:ind w:left="796"/>
              <w:jc w:val="both"/>
              <w:textAlignment w:val="baseline"/>
              <w:rPr>
                <w:rFonts w:hint="eastAsia" w:ascii="宋体" w:hAnsi="宋体" w:eastAsia="宋体" w:cs="宋体"/>
                <w:color w:val="auto"/>
              </w:rPr>
            </w:pPr>
            <w:r>
              <w:rPr>
                <w:rFonts w:hint="eastAsia" w:ascii="宋体" w:hAnsi="宋体" w:eastAsia="宋体" w:cs="宋体"/>
                <w:color w:val="auto"/>
                <w:spacing w:val="-8"/>
              </w:rPr>
              <w:t>1.0%</w:t>
            </w:r>
          </w:p>
        </w:tc>
      </w:tr>
      <w:tr w14:paraId="0C865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351" w:type="dxa"/>
            <w:vAlign w:val="top"/>
          </w:tcPr>
          <w:p w14:paraId="2E526B1E">
            <w:pPr>
              <w:pStyle w:val="29"/>
              <w:keepNext w:val="0"/>
              <w:keepLines w:val="0"/>
              <w:pageBreakBefore w:val="0"/>
              <w:widowControl/>
              <w:kinsoku/>
              <w:wordWrap w:val="0"/>
              <w:overflowPunct/>
              <w:topLinePunct/>
              <w:autoSpaceDE/>
              <w:autoSpaceDN/>
              <w:bidi w:val="0"/>
              <w:adjustRightInd w:val="0"/>
              <w:snapToGrid w:val="0"/>
              <w:spacing w:before="189" w:line="184" w:lineRule="auto"/>
              <w:ind w:left="140"/>
              <w:jc w:val="both"/>
              <w:textAlignment w:val="baseline"/>
              <w:rPr>
                <w:rFonts w:hint="eastAsia" w:ascii="宋体" w:hAnsi="宋体" w:eastAsia="宋体" w:cs="宋体"/>
                <w:color w:val="auto"/>
              </w:rPr>
            </w:pPr>
            <w:r>
              <w:rPr>
                <w:rFonts w:hint="eastAsia" w:ascii="宋体" w:hAnsi="宋体" w:eastAsia="宋体" w:cs="宋体"/>
                <w:color w:val="auto"/>
                <w:spacing w:val="-5"/>
              </w:rPr>
              <w:t>100-500</w:t>
            </w:r>
          </w:p>
        </w:tc>
        <w:tc>
          <w:tcPr>
            <w:tcW w:w="1830" w:type="dxa"/>
            <w:vAlign w:val="top"/>
          </w:tcPr>
          <w:p w14:paraId="692E7CFD">
            <w:pPr>
              <w:pStyle w:val="29"/>
              <w:keepNext w:val="0"/>
              <w:keepLines w:val="0"/>
              <w:pageBreakBefore w:val="0"/>
              <w:widowControl/>
              <w:kinsoku/>
              <w:wordWrap w:val="0"/>
              <w:overflowPunct/>
              <w:topLinePunct/>
              <w:autoSpaceDE/>
              <w:autoSpaceDN/>
              <w:bidi w:val="0"/>
              <w:adjustRightInd w:val="0"/>
              <w:snapToGrid w:val="0"/>
              <w:spacing w:before="146" w:line="216" w:lineRule="auto"/>
              <w:ind w:left="664"/>
              <w:jc w:val="both"/>
              <w:textAlignment w:val="baseline"/>
              <w:rPr>
                <w:rFonts w:hint="eastAsia" w:ascii="宋体" w:hAnsi="宋体" w:eastAsia="宋体" w:cs="宋体"/>
                <w:color w:val="auto"/>
              </w:rPr>
            </w:pPr>
            <w:r>
              <w:rPr>
                <w:rFonts w:hint="eastAsia" w:ascii="宋体" w:hAnsi="宋体" w:eastAsia="宋体" w:cs="宋体"/>
                <w:color w:val="auto"/>
                <w:spacing w:val="-8"/>
              </w:rPr>
              <w:t>1.1%</w:t>
            </w:r>
          </w:p>
        </w:tc>
        <w:tc>
          <w:tcPr>
            <w:tcW w:w="2089" w:type="dxa"/>
            <w:vAlign w:val="top"/>
          </w:tcPr>
          <w:p w14:paraId="50CAF0DE">
            <w:pPr>
              <w:pStyle w:val="29"/>
              <w:keepNext w:val="0"/>
              <w:keepLines w:val="0"/>
              <w:pageBreakBefore w:val="0"/>
              <w:widowControl/>
              <w:kinsoku/>
              <w:wordWrap w:val="0"/>
              <w:overflowPunct/>
              <w:topLinePunct/>
              <w:autoSpaceDE/>
              <w:autoSpaceDN/>
              <w:bidi w:val="0"/>
              <w:adjustRightInd w:val="0"/>
              <w:snapToGrid w:val="0"/>
              <w:spacing w:before="146" w:line="216" w:lineRule="auto"/>
              <w:ind w:left="776"/>
              <w:jc w:val="both"/>
              <w:textAlignment w:val="baseline"/>
              <w:rPr>
                <w:rFonts w:hint="eastAsia" w:ascii="宋体" w:hAnsi="宋体" w:eastAsia="宋体" w:cs="宋体"/>
                <w:color w:val="auto"/>
              </w:rPr>
            </w:pPr>
            <w:r>
              <w:rPr>
                <w:rFonts w:hint="eastAsia" w:ascii="宋体" w:hAnsi="宋体" w:eastAsia="宋体" w:cs="宋体"/>
                <w:color w:val="auto"/>
                <w:spacing w:val="-3"/>
              </w:rPr>
              <w:t>0.8%</w:t>
            </w:r>
          </w:p>
        </w:tc>
        <w:tc>
          <w:tcPr>
            <w:tcW w:w="2093" w:type="dxa"/>
            <w:vAlign w:val="top"/>
          </w:tcPr>
          <w:p w14:paraId="473CE0ED">
            <w:pPr>
              <w:pStyle w:val="29"/>
              <w:keepNext w:val="0"/>
              <w:keepLines w:val="0"/>
              <w:pageBreakBefore w:val="0"/>
              <w:widowControl/>
              <w:kinsoku/>
              <w:wordWrap w:val="0"/>
              <w:overflowPunct/>
              <w:topLinePunct/>
              <w:autoSpaceDE/>
              <w:autoSpaceDN/>
              <w:bidi w:val="0"/>
              <w:adjustRightInd w:val="0"/>
              <w:snapToGrid w:val="0"/>
              <w:spacing w:before="146" w:line="216" w:lineRule="auto"/>
              <w:ind w:left="778"/>
              <w:jc w:val="both"/>
              <w:textAlignment w:val="baseline"/>
              <w:rPr>
                <w:rFonts w:hint="eastAsia" w:ascii="宋体" w:hAnsi="宋体" w:eastAsia="宋体" w:cs="宋体"/>
                <w:color w:val="auto"/>
              </w:rPr>
            </w:pPr>
            <w:r>
              <w:rPr>
                <w:rFonts w:hint="eastAsia" w:ascii="宋体" w:hAnsi="宋体" w:eastAsia="宋体" w:cs="宋体"/>
                <w:color w:val="auto"/>
                <w:spacing w:val="-3"/>
              </w:rPr>
              <w:t>0.7%</w:t>
            </w:r>
          </w:p>
        </w:tc>
      </w:tr>
      <w:tr w14:paraId="6BF38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351" w:type="dxa"/>
            <w:vAlign w:val="top"/>
          </w:tcPr>
          <w:p w14:paraId="6DF77219">
            <w:pPr>
              <w:pStyle w:val="29"/>
              <w:keepNext w:val="0"/>
              <w:keepLines w:val="0"/>
              <w:pageBreakBefore w:val="0"/>
              <w:widowControl/>
              <w:kinsoku/>
              <w:wordWrap w:val="0"/>
              <w:overflowPunct/>
              <w:topLinePunct/>
              <w:autoSpaceDE/>
              <w:autoSpaceDN/>
              <w:bidi w:val="0"/>
              <w:adjustRightInd w:val="0"/>
              <w:snapToGrid w:val="0"/>
              <w:spacing w:before="190" w:line="184" w:lineRule="auto"/>
              <w:ind w:left="124"/>
              <w:jc w:val="both"/>
              <w:textAlignment w:val="baseline"/>
              <w:rPr>
                <w:rFonts w:hint="eastAsia" w:ascii="宋体" w:hAnsi="宋体" w:eastAsia="宋体" w:cs="宋体"/>
                <w:color w:val="auto"/>
              </w:rPr>
            </w:pPr>
            <w:r>
              <w:rPr>
                <w:rFonts w:hint="eastAsia" w:ascii="宋体" w:hAnsi="宋体" w:eastAsia="宋体" w:cs="宋体"/>
                <w:color w:val="auto"/>
                <w:spacing w:val="-2"/>
              </w:rPr>
              <w:t>500-1000</w:t>
            </w:r>
          </w:p>
        </w:tc>
        <w:tc>
          <w:tcPr>
            <w:tcW w:w="1830" w:type="dxa"/>
            <w:vAlign w:val="top"/>
          </w:tcPr>
          <w:p w14:paraId="042E4CF5">
            <w:pPr>
              <w:pStyle w:val="29"/>
              <w:keepNext w:val="0"/>
              <w:keepLines w:val="0"/>
              <w:pageBreakBefore w:val="0"/>
              <w:widowControl/>
              <w:kinsoku/>
              <w:wordWrap w:val="0"/>
              <w:overflowPunct/>
              <w:topLinePunct/>
              <w:autoSpaceDE/>
              <w:autoSpaceDN/>
              <w:bidi w:val="0"/>
              <w:adjustRightInd w:val="0"/>
              <w:snapToGrid w:val="0"/>
              <w:spacing w:before="146" w:line="216" w:lineRule="auto"/>
              <w:ind w:left="645"/>
              <w:jc w:val="both"/>
              <w:textAlignment w:val="baseline"/>
              <w:rPr>
                <w:rFonts w:hint="eastAsia" w:ascii="宋体" w:hAnsi="宋体" w:eastAsia="宋体" w:cs="宋体"/>
                <w:color w:val="auto"/>
              </w:rPr>
            </w:pPr>
            <w:r>
              <w:rPr>
                <w:rFonts w:hint="eastAsia" w:ascii="宋体" w:hAnsi="宋体" w:eastAsia="宋体" w:cs="宋体"/>
                <w:color w:val="auto"/>
                <w:spacing w:val="-3"/>
              </w:rPr>
              <w:t>0.8%</w:t>
            </w:r>
          </w:p>
        </w:tc>
        <w:tc>
          <w:tcPr>
            <w:tcW w:w="2089" w:type="dxa"/>
            <w:vAlign w:val="top"/>
          </w:tcPr>
          <w:p w14:paraId="3AECFD31">
            <w:pPr>
              <w:pStyle w:val="29"/>
              <w:keepNext w:val="0"/>
              <w:keepLines w:val="0"/>
              <w:pageBreakBefore w:val="0"/>
              <w:widowControl/>
              <w:kinsoku/>
              <w:wordWrap w:val="0"/>
              <w:overflowPunct/>
              <w:topLinePunct/>
              <w:autoSpaceDE/>
              <w:autoSpaceDN/>
              <w:bidi w:val="0"/>
              <w:adjustRightInd w:val="0"/>
              <w:snapToGrid w:val="0"/>
              <w:spacing w:before="146" w:line="216" w:lineRule="auto"/>
              <w:ind w:left="707"/>
              <w:jc w:val="both"/>
              <w:textAlignment w:val="baseline"/>
              <w:rPr>
                <w:rFonts w:hint="eastAsia" w:ascii="宋体" w:hAnsi="宋体" w:eastAsia="宋体" w:cs="宋体"/>
                <w:color w:val="auto"/>
              </w:rPr>
            </w:pPr>
            <w:r>
              <w:rPr>
                <w:rFonts w:hint="eastAsia" w:ascii="宋体" w:hAnsi="宋体" w:eastAsia="宋体" w:cs="宋体"/>
                <w:color w:val="auto"/>
                <w:spacing w:val="-3"/>
              </w:rPr>
              <w:t>0.45%</w:t>
            </w:r>
          </w:p>
        </w:tc>
        <w:tc>
          <w:tcPr>
            <w:tcW w:w="2093" w:type="dxa"/>
            <w:vAlign w:val="top"/>
          </w:tcPr>
          <w:p w14:paraId="763D3419">
            <w:pPr>
              <w:pStyle w:val="29"/>
              <w:keepNext w:val="0"/>
              <w:keepLines w:val="0"/>
              <w:pageBreakBefore w:val="0"/>
              <w:widowControl/>
              <w:kinsoku/>
              <w:wordWrap w:val="0"/>
              <w:overflowPunct/>
              <w:topLinePunct/>
              <w:autoSpaceDE/>
              <w:autoSpaceDN/>
              <w:bidi w:val="0"/>
              <w:adjustRightInd w:val="0"/>
              <w:snapToGrid w:val="0"/>
              <w:spacing w:before="146" w:line="216" w:lineRule="auto"/>
              <w:ind w:left="706"/>
              <w:jc w:val="both"/>
              <w:textAlignment w:val="baseline"/>
              <w:rPr>
                <w:rFonts w:hint="eastAsia" w:ascii="宋体" w:hAnsi="宋体" w:eastAsia="宋体" w:cs="宋体"/>
                <w:color w:val="auto"/>
              </w:rPr>
            </w:pPr>
            <w:r>
              <w:rPr>
                <w:rFonts w:hint="eastAsia" w:ascii="宋体" w:hAnsi="宋体" w:eastAsia="宋体" w:cs="宋体"/>
                <w:color w:val="auto"/>
                <w:spacing w:val="-3"/>
              </w:rPr>
              <w:t>0.55%</w:t>
            </w:r>
          </w:p>
        </w:tc>
      </w:tr>
      <w:tr w14:paraId="23C16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351" w:type="dxa"/>
            <w:vAlign w:val="top"/>
          </w:tcPr>
          <w:p w14:paraId="6A3E1C2F">
            <w:pPr>
              <w:pStyle w:val="29"/>
              <w:keepNext w:val="0"/>
              <w:keepLines w:val="0"/>
              <w:pageBreakBefore w:val="0"/>
              <w:widowControl/>
              <w:kinsoku/>
              <w:wordWrap w:val="0"/>
              <w:overflowPunct/>
              <w:topLinePunct/>
              <w:autoSpaceDE/>
              <w:autoSpaceDN/>
              <w:bidi w:val="0"/>
              <w:adjustRightInd w:val="0"/>
              <w:snapToGrid w:val="0"/>
              <w:spacing w:before="190" w:line="184" w:lineRule="auto"/>
              <w:ind w:left="140"/>
              <w:jc w:val="both"/>
              <w:textAlignment w:val="baseline"/>
              <w:rPr>
                <w:rFonts w:hint="eastAsia" w:ascii="宋体" w:hAnsi="宋体" w:eastAsia="宋体" w:cs="宋体"/>
                <w:color w:val="auto"/>
              </w:rPr>
            </w:pPr>
            <w:r>
              <w:rPr>
                <w:rFonts w:hint="eastAsia" w:ascii="宋体" w:hAnsi="宋体" w:eastAsia="宋体" w:cs="宋体"/>
                <w:color w:val="auto"/>
                <w:spacing w:val="-4"/>
              </w:rPr>
              <w:t>1000-5000</w:t>
            </w:r>
          </w:p>
        </w:tc>
        <w:tc>
          <w:tcPr>
            <w:tcW w:w="1830" w:type="dxa"/>
            <w:vAlign w:val="top"/>
          </w:tcPr>
          <w:p w14:paraId="43ED57E7">
            <w:pPr>
              <w:pStyle w:val="29"/>
              <w:keepNext w:val="0"/>
              <w:keepLines w:val="0"/>
              <w:pageBreakBefore w:val="0"/>
              <w:widowControl/>
              <w:kinsoku/>
              <w:wordWrap w:val="0"/>
              <w:overflowPunct/>
              <w:topLinePunct/>
              <w:autoSpaceDE/>
              <w:autoSpaceDN/>
              <w:bidi w:val="0"/>
              <w:adjustRightInd w:val="0"/>
              <w:snapToGrid w:val="0"/>
              <w:spacing w:before="146" w:line="216" w:lineRule="auto"/>
              <w:ind w:left="645"/>
              <w:jc w:val="both"/>
              <w:textAlignment w:val="baseline"/>
              <w:rPr>
                <w:rFonts w:hint="eastAsia" w:ascii="宋体" w:hAnsi="宋体" w:eastAsia="宋体" w:cs="宋体"/>
                <w:color w:val="auto"/>
              </w:rPr>
            </w:pPr>
            <w:r>
              <w:rPr>
                <w:rFonts w:hint="eastAsia" w:ascii="宋体" w:hAnsi="宋体" w:eastAsia="宋体" w:cs="宋体"/>
                <w:color w:val="auto"/>
                <w:spacing w:val="-3"/>
              </w:rPr>
              <w:t>0.5%</w:t>
            </w:r>
          </w:p>
        </w:tc>
        <w:tc>
          <w:tcPr>
            <w:tcW w:w="2089" w:type="dxa"/>
            <w:vAlign w:val="top"/>
          </w:tcPr>
          <w:p w14:paraId="3B9EB3CE">
            <w:pPr>
              <w:pStyle w:val="29"/>
              <w:keepNext w:val="0"/>
              <w:keepLines w:val="0"/>
              <w:pageBreakBefore w:val="0"/>
              <w:widowControl/>
              <w:kinsoku/>
              <w:wordWrap w:val="0"/>
              <w:overflowPunct/>
              <w:topLinePunct/>
              <w:autoSpaceDE/>
              <w:autoSpaceDN/>
              <w:bidi w:val="0"/>
              <w:adjustRightInd w:val="0"/>
              <w:snapToGrid w:val="0"/>
              <w:spacing w:before="146" w:line="216" w:lineRule="auto"/>
              <w:ind w:left="707"/>
              <w:jc w:val="both"/>
              <w:textAlignment w:val="baseline"/>
              <w:rPr>
                <w:rFonts w:hint="eastAsia" w:ascii="宋体" w:hAnsi="宋体" w:eastAsia="宋体" w:cs="宋体"/>
                <w:color w:val="auto"/>
              </w:rPr>
            </w:pPr>
            <w:r>
              <w:rPr>
                <w:rFonts w:hint="eastAsia" w:ascii="宋体" w:hAnsi="宋体" w:eastAsia="宋体" w:cs="宋体"/>
                <w:color w:val="auto"/>
                <w:spacing w:val="-3"/>
              </w:rPr>
              <w:t>0.25%</w:t>
            </w:r>
          </w:p>
        </w:tc>
        <w:tc>
          <w:tcPr>
            <w:tcW w:w="2093" w:type="dxa"/>
            <w:vAlign w:val="top"/>
          </w:tcPr>
          <w:p w14:paraId="7CFB6571">
            <w:pPr>
              <w:pStyle w:val="29"/>
              <w:keepNext w:val="0"/>
              <w:keepLines w:val="0"/>
              <w:pageBreakBefore w:val="0"/>
              <w:widowControl/>
              <w:kinsoku/>
              <w:wordWrap w:val="0"/>
              <w:overflowPunct/>
              <w:topLinePunct/>
              <w:autoSpaceDE/>
              <w:autoSpaceDN/>
              <w:bidi w:val="0"/>
              <w:adjustRightInd w:val="0"/>
              <w:snapToGrid w:val="0"/>
              <w:spacing w:before="146" w:line="216" w:lineRule="auto"/>
              <w:ind w:left="706"/>
              <w:jc w:val="both"/>
              <w:textAlignment w:val="baseline"/>
              <w:rPr>
                <w:rFonts w:hint="eastAsia" w:ascii="宋体" w:hAnsi="宋体" w:eastAsia="宋体" w:cs="宋体"/>
                <w:color w:val="auto"/>
              </w:rPr>
            </w:pPr>
            <w:r>
              <w:rPr>
                <w:rFonts w:hint="eastAsia" w:ascii="宋体" w:hAnsi="宋体" w:eastAsia="宋体" w:cs="宋体"/>
                <w:color w:val="auto"/>
                <w:spacing w:val="-3"/>
              </w:rPr>
              <w:t>0.35%</w:t>
            </w:r>
          </w:p>
        </w:tc>
      </w:tr>
      <w:tr w14:paraId="13D35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2351" w:type="dxa"/>
            <w:vAlign w:val="top"/>
          </w:tcPr>
          <w:p w14:paraId="6E0F1F1F">
            <w:pPr>
              <w:pStyle w:val="29"/>
              <w:keepNext w:val="0"/>
              <w:keepLines w:val="0"/>
              <w:pageBreakBefore w:val="0"/>
              <w:widowControl/>
              <w:kinsoku/>
              <w:wordWrap w:val="0"/>
              <w:overflowPunct/>
              <w:topLinePunct/>
              <w:autoSpaceDE/>
              <w:autoSpaceDN/>
              <w:bidi w:val="0"/>
              <w:adjustRightInd w:val="0"/>
              <w:snapToGrid w:val="0"/>
              <w:spacing w:before="191" w:line="184" w:lineRule="auto"/>
              <w:ind w:left="124"/>
              <w:jc w:val="both"/>
              <w:textAlignment w:val="baseline"/>
              <w:rPr>
                <w:rFonts w:hint="eastAsia" w:ascii="宋体" w:hAnsi="宋体" w:eastAsia="宋体" w:cs="宋体"/>
                <w:color w:val="auto"/>
              </w:rPr>
            </w:pPr>
            <w:r>
              <w:rPr>
                <w:rFonts w:hint="eastAsia" w:ascii="宋体" w:hAnsi="宋体" w:eastAsia="宋体" w:cs="宋体"/>
                <w:color w:val="auto"/>
                <w:spacing w:val="-2"/>
              </w:rPr>
              <w:t>5000-10000</w:t>
            </w:r>
          </w:p>
        </w:tc>
        <w:tc>
          <w:tcPr>
            <w:tcW w:w="1830" w:type="dxa"/>
            <w:vAlign w:val="top"/>
          </w:tcPr>
          <w:p w14:paraId="7688C8FB">
            <w:pPr>
              <w:pStyle w:val="29"/>
              <w:keepNext w:val="0"/>
              <w:keepLines w:val="0"/>
              <w:pageBreakBefore w:val="0"/>
              <w:widowControl/>
              <w:kinsoku/>
              <w:wordWrap w:val="0"/>
              <w:overflowPunct/>
              <w:topLinePunct/>
              <w:autoSpaceDE/>
              <w:autoSpaceDN/>
              <w:bidi w:val="0"/>
              <w:adjustRightInd w:val="0"/>
              <w:snapToGrid w:val="0"/>
              <w:spacing w:before="147" w:line="216" w:lineRule="auto"/>
              <w:ind w:left="573"/>
              <w:jc w:val="both"/>
              <w:textAlignment w:val="baseline"/>
              <w:rPr>
                <w:rFonts w:hint="eastAsia" w:ascii="宋体" w:hAnsi="宋体" w:eastAsia="宋体" w:cs="宋体"/>
                <w:color w:val="auto"/>
              </w:rPr>
            </w:pPr>
            <w:r>
              <w:rPr>
                <w:rFonts w:hint="eastAsia" w:ascii="宋体" w:hAnsi="宋体" w:eastAsia="宋体" w:cs="宋体"/>
                <w:color w:val="auto"/>
                <w:spacing w:val="-3"/>
              </w:rPr>
              <w:t>0.25%</w:t>
            </w:r>
          </w:p>
        </w:tc>
        <w:tc>
          <w:tcPr>
            <w:tcW w:w="2089" w:type="dxa"/>
            <w:vAlign w:val="top"/>
          </w:tcPr>
          <w:p w14:paraId="7C6CEF91">
            <w:pPr>
              <w:pStyle w:val="29"/>
              <w:keepNext w:val="0"/>
              <w:keepLines w:val="0"/>
              <w:pageBreakBefore w:val="0"/>
              <w:widowControl/>
              <w:kinsoku/>
              <w:wordWrap w:val="0"/>
              <w:overflowPunct/>
              <w:topLinePunct/>
              <w:autoSpaceDE/>
              <w:autoSpaceDN/>
              <w:bidi w:val="0"/>
              <w:adjustRightInd w:val="0"/>
              <w:snapToGrid w:val="0"/>
              <w:spacing w:before="147" w:line="216" w:lineRule="auto"/>
              <w:ind w:left="776"/>
              <w:jc w:val="both"/>
              <w:textAlignment w:val="baseline"/>
              <w:rPr>
                <w:rFonts w:hint="eastAsia" w:ascii="宋体" w:hAnsi="宋体" w:eastAsia="宋体" w:cs="宋体"/>
                <w:color w:val="auto"/>
              </w:rPr>
            </w:pPr>
            <w:r>
              <w:rPr>
                <w:rFonts w:hint="eastAsia" w:ascii="宋体" w:hAnsi="宋体" w:eastAsia="宋体" w:cs="宋体"/>
                <w:color w:val="auto"/>
                <w:spacing w:val="-3"/>
              </w:rPr>
              <w:t>0.1%</w:t>
            </w:r>
          </w:p>
        </w:tc>
        <w:tc>
          <w:tcPr>
            <w:tcW w:w="2093" w:type="dxa"/>
            <w:vAlign w:val="top"/>
          </w:tcPr>
          <w:p w14:paraId="6F2F47A4">
            <w:pPr>
              <w:pStyle w:val="29"/>
              <w:keepNext w:val="0"/>
              <w:keepLines w:val="0"/>
              <w:pageBreakBefore w:val="0"/>
              <w:widowControl/>
              <w:kinsoku/>
              <w:wordWrap w:val="0"/>
              <w:overflowPunct/>
              <w:topLinePunct/>
              <w:autoSpaceDE/>
              <w:autoSpaceDN/>
              <w:bidi w:val="0"/>
              <w:adjustRightInd w:val="0"/>
              <w:snapToGrid w:val="0"/>
              <w:spacing w:before="147" w:line="216" w:lineRule="auto"/>
              <w:ind w:left="778"/>
              <w:jc w:val="both"/>
              <w:textAlignment w:val="baseline"/>
              <w:rPr>
                <w:rFonts w:hint="eastAsia" w:ascii="宋体" w:hAnsi="宋体" w:eastAsia="宋体" w:cs="宋体"/>
                <w:color w:val="auto"/>
              </w:rPr>
            </w:pPr>
            <w:r>
              <w:rPr>
                <w:rFonts w:hint="eastAsia" w:ascii="宋体" w:hAnsi="宋体" w:eastAsia="宋体" w:cs="宋体"/>
                <w:color w:val="auto"/>
                <w:spacing w:val="-3"/>
              </w:rPr>
              <w:t>0.2%</w:t>
            </w:r>
          </w:p>
        </w:tc>
      </w:tr>
      <w:tr w14:paraId="52724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2351" w:type="dxa"/>
            <w:vAlign w:val="top"/>
          </w:tcPr>
          <w:p w14:paraId="05A36F72">
            <w:pPr>
              <w:pStyle w:val="29"/>
              <w:keepNext w:val="0"/>
              <w:keepLines w:val="0"/>
              <w:pageBreakBefore w:val="0"/>
              <w:widowControl/>
              <w:kinsoku/>
              <w:wordWrap w:val="0"/>
              <w:overflowPunct/>
              <w:topLinePunct/>
              <w:autoSpaceDE/>
              <w:autoSpaceDN/>
              <w:bidi w:val="0"/>
              <w:adjustRightInd w:val="0"/>
              <w:snapToGrid w:val="0"/>
              <w:spacing w:before="193" w:line="184" w:lineRule="auto"/>
              <w:ind w:left="140"/>
              <w:jc w:val="both"/>
              <w:textAlignment w:val="baseline"/>
              <w:rPr>
                <w:rFonts w:hint="eastAsia" w:ascii="宋体" w:hAnsi="宋体" w:eastAsia="宋体" w:cs="宋体"/>
                <w:color w:val="auto"/>
              </w:rPr>
            </w:pPr>
            <w:r>
              <w:rPr>
                <w:rFonts w:hint="eastAsia" w:ascii="宋体" w:hAnsi="宋体" w:eastAsia="宋体" w:cs="宋体"/>
                <w:color w:val="auto"/>
                <w:spacing w:val="-3"/>
              </w:rPr>
              <w:t>10000-100000</w:t>
            </w:r>
          </w:p>
        </w:tc>
        <w:tc>
          <w:tcPr>
            <w:tcW w:w="1830" w:type="dxa"/>
            <w:vAlign w:val="top"/>
          </w:tcPr>
          <w:p w14:paraId="58DFB256">
            <w:pPr>
              <w:pStyle w:val="29"/>
              <w:keepNext w:val="0"/>
              <w:keepLines w:val="0"/>
              <w:pageBreakBefore w:val="0"/>
              <w:widowControl/>
              <w:kinsoku/>
              <w:wordWrap w:val="0"/>
              <w:overflowPunct/>
              <w:topLinePunct/>
              <w:autoSpaceDE/>
              <w:autoSpaceDN/>
              <w:bidi w:val="0"/>
              <w:adjustRightInd w:val="0"/>
              <w:snapToGrid w:val="0"/>
              <w:spacing w:before="148" w:line="215" w:lineRule="auto"/>
              <w:ind w:left="573"/>
              <w:jc w:val="both"/>
              <w:textAlignment w:val="baseline"/>
              <w:rPr>
                <w:rFonts w:hint="eastAsia" w:ascii="宋体" w:hAnsi="宋体" w:eastAsia="宋体" w:cs="宋体"/>
                <w:color w:val="auto"/>
              </w:rPr>
            </w:pPr>
            <w:r>
              <w:rPr>
                <w:rFonts w:hint="eastAsia" w:ascii="宋体" w:hAnsi="宋体" w:eastAsia="宋体" w:cs="宋体"/>
                <w:color w:val="auto"/>
                <w:spacing w:val="-3"/>
              </w:rPr>
              <w:t>0.05%</w:t>
            </w:r>
          </w:p>
        </w:tc>
        <w:tc>
          <w:tcPr>
            <w:tcW w:w="2089" w:type="dxa"/>
            <w:vAlign w:val="top"/>
          </w:tcPr>
          <w:p w14:paraId="27747B17">
            <w:pPr>
              <w:pStyle w:val="29"/>
              <w:keepNext w:val="0"/>
              <w:keepLines w:val="0"/>
              <w:pageBreakBefore w:val="0"/>
              <w:widowControl/>
              <w:kinsoku/>
              <w:wordWrap w:val="0"/>
              <w:overflowPunct/>
              <w:topLinePunct/>
              <w:autoSpaceDE/>
              <w:autoSpaceDN/>
              <w:bidi w:val="0"/>
              <w:adjustRightInd w:val="0"/>
              <w:snapToGrid w:val="0"/>
              <w:spacing w:before="148" w:line="215" w:lineRule="auto"/>
              <w:ind w:left="707"/>
              <w:jc w:val="both"/>
              <w:textAlignment w:val="baseline"/>
              <w:rPr>
                <w:rFonts w:hint="eastAsia" w:ascii="宋体" w:hAnsi="宋体" w:eastAsia="宋体" w:cs="宋体"/>
                <w:color w:val="auto"/>
              </w:rPr>
            </w:pPr>
            <w:r>
              <w:rPr>
                <w:rFonts w:hint="eastAsia" w:ascii="宋体" w:hAnsi="宋体" w:eastAsia="宋体" w:cs="宋体"/>
                <w:color w:val="auto"/>
                <w:spacing w:val="-3"/>
              </w:rPr>
              <w:t>0.05%</w:t>
            </w:r>
          </w:p>
        </w:tc>
        <w:tc>
          <w:tcPr>
            <w:tcW w:w="2093" w:type="dxa"/>
            <w:vAlign w:val="top"/>
          </w:tcPr>
          <w:p w14:paraId="4BA12928">
            <w:pPr>
              <w:pStyle w:val="29"/>
              <w:keepNext w:val="0"/>
              <w:keepLines w:val="0"/>
              <w:pageBreakBefore w:val="0"/>
              <w:widowControl/>
              <w:kinsoku/>
              <w:wordWrap w:val="0"/>
              <w:overflowPunct/>
              <w:topLinePunct/>
              <w:autoSpaceDE/>
              <w:autoSpaceDN/>
              <w:bidi w:val="0"/>
              <w:adjustRightInd w:val="0"/>
              <w:snapToGrid w:val="0"/>
              <w:spacing w:before="148" w:line="215" w:lineRule="auto"/>
              <w:ind w:left="706"/>
              <w:jc w:val="both"/>
              <w:textAlignment w:val="baseline"/>
              <w:rPr>
                <w:rFonts w:hint="eastAsia" w:ascii="宋体" w:hAnsi="宋体" w:eastAsia="宋体" w:cs="宋体"/>
                <w:color w:val="auto"/>
              </w:rPr>
            </w:pPr>
            <w:r>
              <w:rPr>
                <w:rFonts w:hint="eastAsia" w:ascii="宋体" w:hAnsi="宋体" w:eastAsia="宋体" w:cs="宋体"/>
                <w:color w:val="auto"/>
                <w:spacing w:val="-3"/>
              </w:rPr>
              <w:t>0.05%</w:t>
            </w:r>
          </w:p>
        </w:tc>
      </w:tr>
      <w:tr w14:paraId="57505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2351" w:type="dxa"/>
            <w:vAlign w:val="top"/>
          </w:tcPr>
          <w:p w14:paraId="59FFC0A4">
            <w:pPr>
              <w:pStyle w:val="29"/>
              <w:keepNext w:val="0"/>
              <w:keepLines w:val="0"/>
              <w:pageBreakBefore w:val="0"/>
              <w:widowControl/>
              <w:kinsoku/>
              <w:wordWrap w:val="0"/>
              <w:overflowPunct/>
              <w:topLinePunct/>
              <w:autoSpaceDE/>
              <w:autoSpaceDN/>
              <w:bidi w:val="0"/>
              <w:adjustRightInd w:val="0"/>
              <w:snapToGrid w:val="0"/>
              <w:spacing w:before="149" w:line="217" w:lineRule="auto"/>
              <w:ind w:left="140"/>
              <w:jc w:val="both"/>
              <w:textAlignment w:val="baseline"/>
              <w:rPr>
                <w:rFonts w:hint="eastAsia" w:ascii="宋体" w:hAnsi="宋体" w:eastAsia="宋体" w:cs="宋体"/>
                <w:color w:val="auto"/>
              </w:rPr>
            </w:pPr>
            <w:r>
              <w:rPr>
                <w:rFonts w:hint="eastAsia" w:ascii="宋体" w:hAnsi="宋体" w:eastAsia="宋体" w:cs="宋体"/>
                <w:color w:val="auto"/>
                <w:spacing w:val="-9"/>
              </w:rPr>
              <w:t>100000以上</w:t>
            </w:r>
          </w:p>
        </w:tc>
        <w:tc>
          <w:tcPr>
            <w:tcW w:w="1830" w:type="dxa"/>
            <w:vAlign w:val="top"/>
          </w:tcPr>
          <w:p w14:paraId="6992338B">
            <w:pPr>
              <w:pStyle w:val="29"/>
              <w:keepNext w:val="0"/>
              <w:keepLines w:val="0"/>
              <w:pageBreakBefore w:val="0"/>
              <w:widowControl/>
              <w:kinsoku/>
              <w:wordWrap w:val="0"/>
              <w:overflowPunct/>
              <w:topLinePunct/>
              <w:autoSpaceDE/>
              <w:autoSpaceDN/>
              <w:bidi w:val="0"/>
              <w:adjustRightInd w:val="0"/>
              <w:snapToGrid w:val="0"/>
              <w:spacing w:before="149" w:line="217" w:lineRule="auto"/>
              <w:ind w:left="573"/>
              <w:jc w:val="both"/>
              <w:textAlignment w:val="baseline"/>
              <w:rPr>
                <w:rFonts w:hint="eastAsia" w:ascii="宋体" w:hAnsi="宋体" w:eastAsia="宋体" w:cs="宋体"/>
                <w:color w:val="auto"/>
              </w:rPr>
            </w:pPr>
            <w:r>
              <w:rPr>
                <w:rFonts w:hint="eastAsia" w:ascii="宋体" w:hAnsi="宋体" w:eastAsia="宋体" w:cs="宋体"/>
                <w:color w:val="auto"/>
                <w:spacing w:val="-3"/>
              </w:rPr>
              <w:t>0.01%</w:t>
            </w:r>
          </w:p>
        </w:tc>
        <w:tc>
          <w:tcPr>
            <w:tcW w:w="2089" w:type="dxa"/>
            <w:vAlign w:val="top"/>
          </w:tcPr>
          <w:p w14:paraId="0B23215F">
            <w:pPr>
              <w:pStyle w:val="29"/>
              <w:keepNext w:val="0"/>
              <w:keepLines w:val="0"/>
              <w:pageBreakBefore w:val="0"/>
              <w:widowControl/>
              <w:kinsoku/>
              <w:wordWrap w:val="0"/>
              <w:overflowPunct/>
              <w:topLinePunct/>
              <w:autoSpaceDE/>
              <w:autoSpaceDN/>
              <w:bidi w:val="0"/>
              <w:adjustRightInd w:val="0"/>
              <w:snapToGrid w:val="0"/>
              <w:spacing w:before="149" w:line="217" w:lineRule="auto"/>
              <w:ind w:left="707"/>
              <w:jc w:val="both"/>
              <w:textAlignment w:val="baseline"/>
              <w:rPr>
                <w:rFonts w:hint="eastAsia" w:ascii="宋体" w:hAnsi="宋体" w:eastAsia="宋体" w:cs="宋体"/>
                <w:color w:val="auto"/>
              </w:rPr>
            </w:pPr>
            <w:r>
              <w:rPr>
                <w:rFonts w:hint="eastAsia" w:ascii="宋体" w:hAnsi="宋体" w:eastAsia="宋体" w:cs="宋体"/>
                <w:color w:val="auto"/>
                <w:spacing w:val="-3"/>
              </w:rPr>
              <w:t>0.01%</w:t>
            </w:r>
          </w:p>
        </w:tc>
        <w:tc>
          <w:tcPr>
            <w:tcW w:w="2093" w:type="dxa"/>
            <w:vAlign w:val="top"/>
          </w:tcPr>
          <w:p w14:paraId="12433E11">
            <w:pPr>
              <w:pStyle w:val="29"/>
              <w:keepNext w:val="0"/>
              <w:keepLines w:val="0"/>
              <w:pageBreakBefore w:val="0"/>
              <w:widowControl/>
              <w:kinsoku/>
              <w:wordWrap w:val="0"/>
              <w:overflowPunct/>
              <w:topLinePunct/>
              <w:autoSpaceDE/>
              <w:autoSpaceDN/>
              <w:bidi w:val="0"/>
              <w:adjustRightInd w:val="0"/>
              <w:snapToGrid w:val="0"/>
              <w:spacing w:before="149" w:line="217" w:lineRule="auto"/>
              <w:ind w:left="636"/>
              <w:jc w:val="both"/>
              <w:textAlignment w:val="baseline"/>
              <w:rPr>
                <w:rFonts w:hint="eastAsia" w:ascii="宋体" w:hAnsi="宋体" w:eastAsia="宋体" w:cs="宋体"/>
                <w:color w:val="auto"/>
              </w:rPr>
            </w:pPr>
            <w:r>
              <w:rPr>
                <w:rFonts w:hint="eastAsia" w:ascii="宋体" w:hAnsi="宋体" w:eastAsia="宋体" w:cs="宋体"/>
                <w:color w:val="auto"/>
                <w:spacing w:val="-2"/>
              </w:rPr>
              <w:t>0.015%</w:t>
            </w:r>
          </w:p>
        </w:tc>
      </w:tr>
    </w:tbl>
    <w:p w14:paraId="307DEE48">
      <w:pPr>
        <w:pStyle w:val="12"/>
        <w:widowControl/>
        <w:ind w:left="0" w:leftChars="0" w:firstLine="480" w:firstLineChars="200"/>
        <w:rPr>
          <w:color w:val="auto"/>
        </w:rPr>
      </w:pPr>
      <w:r>
        <w:rPr>
          <w:color w:val="auto"/>
        </w:rPr>
        <w:t>注：招标代理服务收费按差额定率累进法计算。</w:t>
      </w:r>
    </w:p>
    <w:p w14:paraId="05C19496">
      <w:pPr>
        <w:pStyle w:val="12"/>
        <w:widowControl/>
        <w:ind w:left="0" w:leftChars="0" w:firstLine="480" w:firstLineChars="200"/>
        <w:rPr>
          <w:color w:val="auto"/>
        </w:rPr>
      </w:pPr>
      <w:r>
        <w:rPr>
          <w:color w:val="auto"/>
        </w:rPr>
        <w:t>以货物项目为例：成交金额为1200万元，计算招标代理服务收费额如下：</w:t>
      </w:r>
    </w:p>
    <w:p w14:paraId="01E38815">
      <w:pPr>
        <w:pStyle w:val="12"/>
        <w:widowControl/>
        <w:ind w:left="0" w:leftChars="0" w:firstLine="480" w:firstLineChars="200"/>
        <w:rPr>
          <w:color w:val="auto"/>
        </w:rPr>
      </w:pPr>
      <w:r>
        <w:rPr>
          <w:color w:val="auto"/>
        </w:rPr>
        <w:t>100万元×1.5%=1.5万元</w:t>
      </w:r>
    </w:p>
    <w:p w14:paraId="01E22873">
      <w:pPr>
        <w:pStyle w:val="12"/>
        <w:widowControl/>
        <w:ind w:left="0" w:leftChars="0" w:firstLine="480" w:firstLineChars="200"/>
        <w:rPr>
          <w:color w:val="auto"/>
        </w:rPr>
      </w:pPr>
      <w:r>
        <w:rPr>
          <w:color w:val="auto"/>
        </w:rPr>
        <w:t>（500-100）万元×1.1%=4.4万元</w:t>
      </w:r>
    </w:p>
    <w:p w14:paraId="6A62EF76">
      <w:pPr>
        <w:pStyle w:val="12"/>
        <w:widowControl/>
        <w:ind w:left="0" w:leftChars="0" w:firstLine="480" w:firstLineChars="200"/>
        <w:rPr>
          <w:color w:val="auto"/>
        </w:rPr>
      </w:pPr>
      <w:r>
        <w:rPr>
          <w:color w:val="auto"/>
        </w:rPr>
        <w:t>（1000-500）万元×0.8%=4万元</w:t>
      </w:r>
    </w:p>
    <w:p w14:paraId="49BC2FC6">
      <w:pPr>
        <w:pStyle w:val="12"/>
        <w:widowControl/>
        <w:ind w:left="0" w:leftChars="0" w:firstLine="480" w:firstLineChars="200"/>
        <w:rPr>
          <w:color w:val="auto"/>
        </w:rPr>
      </w:pPr>
      <w:r>
        <w:rPr>
          <w:color w:val="auto"/>
        </w:rPr>
        <w:t>（1200-1000）万元×0.5%=1万元</w:t>
      </w:r>
    </w:p>
    <w:p w14:paraId="530CD610">
      <w:pPr>
        <w:pStyle w:val="12"/>
        <w:widowControl/>
        <w:ind w:left="0" w:leftChars="0" w:firstLine="480" w:firstLineChars="200"/>
        <w:rPr>
          <w:color w:val="auto"/>
        </w:rPr>
      </w:pPr>
      <w:r>
        <w:rPr>
          <w:color w:val="auto"/>
        </w:rPr>
        <w:t>合计收费=1.5+4.4+4+1=10.9万元</w:t>
      </w:r>
    </w:p>
    <w:p w14:paraId="2EB89F02">
      <w:pPr>
        <w:keepNext w:val="0"/>
        <w:keepLines w:val="0"/>
        <w:pageBreakBefore w:val="0"/>
        <w:widowControl/>
        <w:kinsoku/>
        <w:wordWrap w:val="0"/>
        <w:overflowPunct/>
        <w:topLinePunct/>
        <w:autoSpaceDE/>
        <w:autoSpaceDN/>
        <w:bidi w:val="0"/>
        <w:adjustRightInd w:val="0"/>
        <w:snapToGrid w:val="0"/>
        <w:spacing w:line="219" w:lineRule="auto"/>
        <w:jc w:val="both"/>
        <w:textAlignment w:val="baseline"/>
        <w:rPr>
          <w:rFonts w:hint="eastAsia" w:ascii="宋体" w:hAnsi="宋体" w:eastAsia="宋体" w:cs="宋体"/>
          <w:color w:val="auto"/>
          <w:sz w:val="28"/>
          <w:szCs w:val="28"/>
        </w:rPr>
        <w:sectPr>
          <w:footerReference r:id="rId6" w:type="default"/>
          <w:pgSz w:w="11906" w:h="16839"/>
          <w:pgMar w:top="1431" w:right="1415" w:bottom="1348" w:left="1428" w:header="0" w:footer="1186" w:gutter="0"/>
          <w:pgNumType w:fmt="decimal"/>
          <w:cols w:space="720" w:num="1"/>
        </w:sectPr>
      </w:pPr>
    </w:p>
    <w:p w14:paraId="60E2DE88">
      <w:pPr>
        <w:pStyle w:val="50"/>
        <w:widowControl/>
        <w:ind w:left="0" w:leftChars="0" w:firstLine="640" w:firstLineChars="200"/>
        <w:outlineLvl w:val="0"/>
      </w:pPr>
      <w:bookmarkStart w:id="51" w:name="_Toc6516"/>
      <w:r>
        <w:t>第三章谈判内容及采购需求</w:t>
      </w:r>
      <w:bookmarkEnd w:id="51"/>
    </w:p>
    <w:p w14:paraId="44FC3E7D">
      <w:pPr>
        <w:pStyle w:val="2"/>
        <w:widowControl/>
        <w:ind w:left="0" w:leftChars="0" w:firstLine="0" w:firstLineChars="0"/>
      </w:pPr>
      <w:bookmarkStart w:id="52" w:name="_Toc10743"/>
      <w:r>
        <w:t>（一）采购内容及要求</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8"/>
        <w:gridCol w:w="1496"/>
        <w:gridCol w:w="3020"/>
        <w:gridCol w:w="538"/>
        <w:gridCol w:w="696"/>
        <w:gridCol w:w="2231"/>
      </w:tblGrid>
      <w:tr w14:paraId="1B03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72"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8E3B526">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themeColor="text1"/>
                <w:sz w:val="32"/>
                <w:szCs w:val="32"/>
                <w:u w:val="none"/>
                <w14:textFill>
                  <w14:solidFill>
                    <w14:schemeClr w14:val="tx1"/>
                  </w14:solidFill>
                </w14:textFill>
              </w:rPr>
            </w:pPr>
            <w:r>
              <w:rPr>
                <w:rFonts w:hint="eastAsia" w:ascii="仿宋" w:hAnsi="仿宋" w:eastAsia="仿宋" w:cs="仿宋"/>
                <w:b/>
                <w:bCs/>
                <w:i w:val="0"/>
                <w:iCs w:val="0"/>
                <w:color w:val="000000" w:themeColor="text1"/>
                <w:kern w:val="0"/>
                <w:sz w:val="32"/>
                <w:szCs w:val="32"/>
                <w:u w:val="none"/>
                <w:lang w:val="en-US" w:eastAsia="zh-CN" w:bidi="ar"/>
                <w14:textFill>
                  <w14:solidFill>
                    <w14:schemeClr w14:val="tx1"/>
                  </w14:solidFill>
                </w14:textFill>
              </w:rPr>
              <w:t>序号</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6F9A40A">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themeColor="text1"/>
                <w:sz w:val="32"/>
                <w:szCs w:val="32"/>
                <w:u w:val="none"/>
                <w14:textFill>
                  <w14:solidFill>
                    <w14:schemeClr w14:val="tx1"/>
                  </w14:solidFill>
                </w14:textFill>
              </w:rPr>
            </w:pPr>
            <w:r>
              <w:rPr>
                <w:rStyle w:val="43"/>
                <w:rFonts w:hint="eastAsia" w:ascii="仿宋" w:hAnsi="仿宋" w:eastAsia="仿宋" w:cs="仿宋"/>
                <w:b/>
                <w:bCs/>
                <w:color w:val="000000" w:themeColor="text1"/>
                <w:sz w:val="32"/>
                <w:szCs w:val="32"/>
                <w:lang w:val="en-US" w:eastAsia="zh-CN" w:bidi="ar"/>
                <w14:textFill>
                  <w14:solidFill>
                    <w14:schemeClr w14:val="tx1"/>
                  </w14:solidFill>
                </w14:textFill>
              </w:rPr>
              <w:t>项目名称</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E306860">
            <w:pPr>
              <w:keepNext w:val="0"/>
              <w:keepLines w:val="0"/>
              <w:widowControl/>
              <w:suppressLineNumbers w:val="0"/>
              <w:jc w:val="center"/>
              <w:textAlignment w:val="center"/>
              <w:rPr>
                <w:rFonts w:hint="eastAsia" w:ascii="仿宋" w:hAnsi="仿宋" w:eastAsia="仿宋" w:cs="仿宋"/>
                <w:b/>
                <w:bCs/>
                <w:i w:val="0"/>
                <w:iCs w:val="0"/>
                <w:color w:val="000000" w:themeColor="text1"/>
                <w:sz w:val="32"/>
                <w:szCs w:val="32"/>
                <w:u w:val="none"/>
                <w14:textFill>
                  <w14:solidFill>
                    <w14:schemeClr w14:val="tx1"/>
                  </w14:solidFill>
                </w14:textFill>
              </w:rPr>
            </w:pPr>
            <w:r>
              <w:rPr>
                <w:rStyle w:val="43"/>
                <w:rFonts w:hint="eastAsia" w:ascii="仿宋" w:hAnsi="仿宋" w:eastAsia="仿宋" w:cs="仿宋"/>
                <w:b/>
                <w:bCs/>
                <w:color w:val="000000" w:themeColor="text1"/>
                <w:sz w:val="32"/>
                <w:szCs w:val="32"/>
                <w:lang w:val="en-US" w:eastAsia="zh-CN" w:bidi="ar"/>
                <w14:textFill>
                  <w14:solidFill>
                    <w14:schemeClr w14:val="tx1"/>
                  </w14:solidFill>
                </w14:textFill>
              </w:rPr>
              <w:t>项目图片引导</w:t>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EDB8948">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themeColor="text1"/>
                <w:sz w:val="32"/>
                <w:szCs w:val="32"/>
                <w:u w:val="none"/>
                <w14:textFill>
                  <w14:solidFill>
                    <w14:schemeClr w14:val="tx1"/>
                  </w14:solidFill>
                </w14:textFill>
              </w:rPr>
            </w:pPr>
            <w:r>
              <w:rPr>
                <w:rStyle w:val="43"/>
                <w:rFonts w:hint="eastAsia" w:ascii="仿宋" w:hAnsi="仿宋" w:eastAsia="仿宋" w:cs="仿宋"/>
                <w:b/>
                <w:bCs/>
                <w:color w:val="000000" w:themeColor="text1"/>
                <w:sz w:val="32"/>
                <w:szCs w:val="32"/>
                <w:lang w:val="en-US" w:eastAsia="zh-CN" w:bidi="ar"/>
                <w14:textFill>
                  <w14:solidFill>
                    <w14:schemeClr w14:val="tx1"/>
                  </w14:solidFill>
                </w14:textFill>
              </w:rPr>
              <w:t>单位</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6B772A6">
            <w:pPr>
              <w:keepNext w:val="0"/>
              <w:keepLines w:val="0"/>
              <w:widowControl/>
              <w:suppressLineNumbers w:val="0"/>
              <w:ind w:left="0" w:leftChars="0" w:firstLine="0" w:firstLineChars="0"/>
              <w:jc w:val="center"/>
              <w:textAlignment w:val="center"/>
              <w:rPr>
                <w:rFonts w:hint="eastAsia" w:ascii="仿宋" w:hAnsi="仿宋" w:eastAsia="仿宋" w:cs="仿宋"/>
                <w:b/>
                <w:bCs/>
                <w:i w:val="0"/>
                <w:iCs w:val="0"/>
                <w:color w:val="000000" w:themeColor="text1"/>
                <w:sz w:val="32"/>
                <w:szCs w:val="32"/>
                <w:u w:val="none"/>
                <w14:textFill>
                  <w14:solidFill>
                    <w14:schemeClr w14:val="tx1"/>
                  </w14:solidFill>
                </w14:textFill>
              </w:rPr>
            </w:pPr>
            <w:r>
              <w:rPr>
                <w:rStyle w:val="43"/>
                <w:rFonts w:hint="eastAsia" w:ascii="仿宋" w:hAnsi="仿宋" w:eastAsia="仿宋" w:cs="仿宋"/>
                <w:b/>
                <w:bCs/>
                <w:color w:val="000000" w:themeColor="text1"/>
                <w:sz w:val="32"/>
                <w:szCs w:val="32"/>
                <w:lang w:val="en-US" w:eastAsia="zh-CN" w:bidi="ar"/>
                <w14:textFill>
                  <w14:solidFill>
                    <w14:schemeClr w14:val="tx1"/>
                  </w14:solidFill>
                </w14:textFill>
              </w:rPr>
              <w:t>数量</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8384693">
            <w:pPr>
              <w:keepNext w:val="0"/>
              <w:keepLines w:val="0"/>
              <w:widowControl/>
              <w:suppressLineNumbers w:val="0"/>
              <w:jc w:val="center"/>
              <w:textAlignment w:val="center"/>
              <w:rPr>
                <w:rFonts w:hint="eastAsia" w:ascii="仿宋" w:hAnsi="仿宋" w:eastAsia="仿宋" w:cs="仿宋"/>
                <w:b/>
                <w:bCs/>
                <w:i w:val="0"/>
                <w:iCs w:val="0"/>
                <w:color w:val="000000" w:themeColor="text1"/>
                <w:sz w:val="32"/>
                <w:szCs w:val="32"/>
                <w:u w:val="none"/>
                <w14:textFill>
                  <w14:solidFill>
                    <w14:schemeClr w14:val="tx1"/>
                  </w14:solidFill>
                </w14:textFill>
              </w:rPr>
            </w:pPr>
            <w:r>
              <w:rPr>
                <w:rStyle w:val="43"/>
                <w:rFonts w:hint="eastAsia" w:ascii="仿宋" w:hAnsi="仿宋" w:eastAsia="仿宋" w:cs="仿宋"/>
                <w:b/>
                <w:bCs/>
                <w:color w:val="000000" w:themeColor="text1"/>
                <w:sz w:val="32"/>
                <w:szCs w:val="32"/>
                <w:lang w:val="en-US" w:eastAsia="zh-CN" w:bidi="ar"/>
                <w14:textFill>
                  <w14:solidFill>
                    <w14:schemeClr w14:val="tx1"/>
                  </w14:solidFill>
                </w14:textFill>
              </w:rPr>
              <w:t>备注</w:t>
            </w:r>
          </w:p>
        </w:tc>
      </w:tr>
      <w:tr w14:paraId="51639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8"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909B553">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6B0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党的教育方针</w:t>
            </w:r>
          </w:p>
        </w:tc>
        <w:tc>
          <w:tcPr>
            <w:tcW w:w="1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E895E">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教育必须为社会主义现代化建设服务、为人民服务，必须与生产劳动和社会实践相结合，培养德智体美劳全面发展的社会主义建设者和接班人。</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CBA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个</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87C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59</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F50A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镀锌不锈钢立体字，用激光切割机切出轮廓，焊接成立体字，打磨抛光让表面光滑，最后安装到指定位置，安装投光灯打光</w:t>
            </w:r>
          </w:p>
        </w:tc>
      </w:tr>
      <w:tr w14:paraId="20B7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9"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86E6233">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8A4E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社会主义核心价值观</w:t>
            </w:r>
          </w:p>
        </w:tc>
        <w:tc>
          <w:tcPr>
            <w:tcW w:w="1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2351F">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富强、民主、文明、和谐，自由、平等、公正、法治，爱国、敬业、诚信、友善。</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AF9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个</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C66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24</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0AB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镀锌不锈钢立体字，用激光切割机切出轮廓，焊接成立体字，打磨抛光让表面光滑，最后安装到指定位置，安装投光灯打光</w:t>
            </w:r>
          </w:p>
        </w:tc>
      </w:tr>
      <w:tr w14:paraId="57B94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9"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07DA81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0281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为党育才，</w:t>
            </w: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为国育人</w:t>
            </w:r>
          </w:p>
        </w:tc>
        <w:tc>
          <w:tcPr>
            <w:tcW w:w="1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3F9A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为党育才，为国育人</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BCB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个</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85A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8</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B9C4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镀锌不锈钢立体字，用激光切割机切出轮廓，焊接成立体字，打磨抛光让表面光滑，最后安装到指定位置，安装投光灯打光</w:t>
            </w:r>
          </w:p>
        </w:tc>
      </w:tr>
      <w:tr w14:paraId="74187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CF4C4AD">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C460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中小学生守则</w:t>
            </w:r>
          </w:p>
        </w:tc>
        <w:tc>
          <w:tcPr>
            <w:tcW w:w="1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76D5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4"/>
                <w:rFonts w:hint="eastAsia" w:ascii="仿宋" w:hAnsi="仿宋" w:eastAsia="仿宋" w:cs="仿宋"/>
                <w:color w:val="000000" w:themeColor="text1"/>
                <w:sz w:val="32"/>
                <w:szCs w:val="32"/>
                <w:lang w:val="en-US" w:eastAsia="zh-CN" w:bidi="ar"/>
                <w14:textFill>
                  <w14:solidFill>
                    <w14:schemeClr w14:val="tx1"/>
                  </w14:solidFill>
                </w14:textFill>
              </w:rPr>
              <w:t>一、爱党爱国爱人民。了解党史国情,珍视国家荣誉,热爱祖国,热爱人民,热爱中国共产党。</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二、好学多问肯钻研。上课专心听讲,积极发表见解,乐于科学探索,养成阅读习惯。</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三、勤劳笃行乐奉献。自己事自己做,主动分担家务,参与劳动实践,热心志愿服务。</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四、明礼守法讲美德。遵守国法校纪,自觉礼让排队,保持公共卫生,爱护公共财物。</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五、孝亲尊师善待人。孝父母敬师长,爱集体助同学，虚心接受批评,学会合作共处。</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六、诚实守信有担当。保持言行一致,不说谎不作弊,借东西及时还,做到知错就改。</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七、自强自律健身心。坚持锻炼身体,乐观开朗向上,不吸烟不喝酒,文明绿色上网。</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八、珍爱生命保安全。红灯停绿灯行,防溺水不玩火,会自护懂求救,坚决远离毒品。</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九、勤俭节约护家园。不比吃喝穿戴,爱惜花草树木,节粮节水节电,低碳环保生活。</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D8A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个</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187A">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344</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5767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镀锌不锈钢立体字，用激光切割机切出轮廓，焊接成立体字，打磨抛光让表面光滑，最后安装到指定位置，安装投光灯打光</w:t>
            </w:r>
          </w:p>
        </w:tc>
      </w:tr>
      <w:tr w14:paraId="22BB5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4EE4986">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5</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DDB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四有好老师</w:t>
            </w:r>
          </w:p>
        </w:tc>
        <w:tc>
          <w:tcPr>
            <w:tcW w:w="1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6E29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5"/>
                <w:rFonts w:hint="eastAsia" w:ascii="仿宋" w:hAnsi="仿宋" w:eastAsia="仿宋" w:cs="仿宋"/>
                <w:color w:val="000000" w:themeColor="text1"/>
                <w:sz w:val="32"/>
                <w:szCs w:val="32"/>
                <w:lang w:val="en-US" w:eastAsia="zh-CN" w:bidi="ar"/>
                <w14:textFill>
                  <w14:solidFill>
                    <w14:schemeClr w14:val="tx1"/>
                  </w14:solidFill>
                </w14:textFill>
              </w:rPr>
              <w:t>有理想信念、有道德情操、</w:t>
            </w:r>
            <w:r>
              <w:rPr>
                <w:rStyle w:val="46"/>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5"/>
                <w:rFonts w:hint="eastAsia" w:ascii="仿宋" w:hAnsi="仿宋" w:eastAsia="仿宋" w:cs="仿宋"/>
                <w:color w:val="000000" w:themeColor="text1"/>
                <w:sz w:val="32"/>
                <w:szCs w:val="32"/>
                <w:lang w:val="en-US" w:eastAsia="zh-CN" w:bidi="ar"/>
                <w14:textFill>
                  <w14:solidFill>
                    <w14:schemeClr w14:val="tx1"/>
                  </w14:solidFill>
                </w14:textFill>
              </w:rPr>
              <w:t>有扎实学识、有仁爱之心。</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47E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个</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B58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20</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E9EE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镀锌不锈钢立体字，用激光切割机切出轮廓，焊接成立体字，打磨抛光让表面光滑，最后安装到指定位置，安装投光灯打光</w:t>
            </w:r>
          </w:p>
        </w:tc>
      </w:tr>
      <w:tr w14:paraId="37CCE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8"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8F6F319">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6</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264C0">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三风一训</w:t>
            </w:r>
          </w:p>
        </w:tc>
        <w:tc>
          <w:tcPr>
            <w:tcW w:w="1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F55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4"/>
                <w:rFonts w:hint="eastAsia" w:ascii="仿宋" w:hAnsi="仿宋" w:eastAsia="仿宋" w:cs="仿宋"/>
                <w:color w:val="000000" w:themeColor="text1"/>
                <w:sz w:val="32"/>
                <w:szCs w:val="32"/>
                <w:lang w:val="en-US" w:eastAsia="zh-CN" w:bidi="ar"/>
                <w14:textFill>
                  <w14:solidFill>
                    <w14:schemeClr w14:val="tx1"/>
                  </w14:solidFill>
                </w14:textFill>
              </w:rPr>
              <w:t>校训：心有爱行有矩。</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校风：务实求真积极进取和谐发展</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教风：找准“自己”凝聚“我们”看见“成长”</w:t>
            </w:r>
            <w:r>
              <w:rPr>
                <w:rStyle w:val="44"/>
                <w:rFonts w:hint="eastAsia" w:ascii="仿宋" w:hAnsi="仿宋" w:eastAsia="仿宋" w:cs="仿宋"/>
                <w:color w:val="000000" w:themeColor="text1"/>
                <w:sz w:val="32"/>
                <w:szCs w:val="32"/>
                <w:lang w:val="en-US" w:eastAsia="zh-CN" w:bidi="ar"/>
                <w14:textFill>
                  <w14:solidFill>
                    <w14:schemeClr w14:val="tx1"/>
                  </w14:solidFill>
                </w14:textFill>
              </w:rPr>
              <w:br w:type="textWrapping"/>
            </w:r>
            <w:r>
              <w:rPr>
                <w:rStyle w:val="44"/>
                <w:rFonts w:hint="eastAsia" w:ascii="仿宋" w:hAnsi="仿宋" w:eastAsia="仿宋" w:cs="仿宋"/>
                <w:color w:val="000000" w:themeColor="text1"/>
                <w:sz w:val="32"/>
                <w:szCs w:val="32"/>
                <w:lang w:val="en-US" w:eastAsia="zh-CN" w:bidi="ar"/>
                <w14:textFill>
                  <w14:solidFill>
                    <w14:schemeClr w14:val="tx1"/>
                  </w14:solidFill>
                </w14:textFill>
              </w:rPr>
              <w:t>学风：发现美好超越自我协同创新</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F8D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个</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079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42</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ED1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镀锌不锈钢立体字，用激光切割机切出轮廓，焊接成立体字，打磨抛光让表面光滑，最后安装到指定位置，安装投光灯打光</w:t>
            </w:r>
          </w:p>
        </w:tc>
      </w:tr>
      <w:tr w14:paraId="686D5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FDF818F">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7</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40F1CB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墙面翻新变色</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91F2E91">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760095</wp:posOffset>
                  </wp:positionH>
                  <wp:positionV relativeFrom="paragraph">
                    <wp:posOffset>22225</wp:posOffset>
                  </wp:positionV>
                  <wp:extent cx="685165" cy="469265"/>
                  <wp:effectExtent l="0" t="0" r="635" b="6985"/>
                  <wp:wrapNone/>
                  <wp:docPr id="2" name="image39"/>
                  <wp:cNvGraphicFramePr/>
                  <a:graphic xmlns:a="http://schemas.openxmlformats.org/drawingml/2006/main">
                    <a:graphicData uri="http://schemas.openxmlformats.org/drawingml/2006/picture">
                      <pic:pic xmlns:pic="http://schemas.openxmlformats.org/drawingml/2006/picture">
                        <pic:nvPicPr>
                          <pic:cNvPr id="2" name="image39"/>
                          <pic:cNvPicPr/>
                        </pic:nvPicPr>
                        <pic:blipFill>
                          <a:blip r:embed="rId18"/>
                          <a:stretch>
                            <a:fillRect/>
                          </a:stretch>
                        </pic:blipFill>
                        <pic:spPr>
                          <a:xfrm>
                            <a:off x="0" y="0"/>
                            <a:ext cx="685165" cy="46926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31AD3C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平米</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66D571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42</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4A93EB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外墙防水涂料、白色2遍+彩色2边</w:t>
            </w:r>
          </w:p>
        </w:tc>
      </w:tr>
      <w:tr w14:paraId="23CA9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4D5B935">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8</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F28CF8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金属底座</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D4A9BFF">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760095</wp:posOffset>
                  </wp:positionH>
                  <wp:positionV relativeFrom="paragraph">
                    <wp:posOffset>24130</wp:posOffset>
                  </wp:positionV>
                  <wp:extent cx="685165" cy="462915"/>
                  <wp:effectExtent l="0" t="0" r="635" b="13335"/>
                  <wp:wrapNone/>
                  <wp:docPr id="15" name="image40"/>
                  <wp:cNvGraphicFramePr/>
                  <a:graphic xmlns:a="http://schemas.openxmlformats.org/drawingml/2006/main">
                    <a:graphicData uri="http://schemas.openxmlformats.org/drawingml/2006/picture">
                      <pic:pic xmlns:pic="http://schemas.openxmlformats.org/drawingml/2006/picture">
                        <pic:nvPicPr>
                          <pic:cNvPr id="15" name="image40"/>
                          <pic:cNvPicPr/>
                        </pic:nvPicPr>
                        <pic:blipFill>
                          <a:blip r:embed="rId19"/>
                          <a:stretch>
                            <a:fillRect/>
                          </a:stretch>
                        </pic:blipFill>
                        <pic:spPr>
                          <a:xfrm>
                            <a:off x="0" y="0"/>
                            <a:ext cx="685165" cy="4629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51EF3D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延米</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6AE6D2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7</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895B35F">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钢架焊接内部结构、饰面金属冷板喷涂饰面</w:t>
            </w:r>
          </w:p>
        </w:tc>
      </w:tr>
      <w:tr w14:paraId="0CE26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D528CDD">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9</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5E5720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书型金属盒体</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DA909B3">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760095</wp:posOffset>
                  </wp:positionH>
                  <wp:positionV relativeFrom="paragraph">
                    <wp:posOffset>27940</wp:posOffset>
                  </wp:positionV>
                  <wp:extent cx="685165" cy="455295"/>
                  <wp:effectExtent l="0" t="0" r="635" b="1905"/>
                  <wp:wrapNone/>
                  <wp:docPr id="10" name="image38"/>
                  <wp:cNvGraphicFramePr/>
                  <a:graphic xmlns:a="http://schemas.openxmlformats.org/drawingml/2006/main">
                    <a:graphicData uri="http://schemas.openxmlformats.org/drawingml/2006/picture">
                      <pic:pic xmlns:pic="http://schemas.openxmlformats.org/drawingml/2006/picture">
                        <pic:nvPicPr>
                          <pic:cNvPr id="10" name="image38"/>
                          <pic:cNvPicPr/>
                        </pic:nvPicPr>
                        <pic:blipFill>
                          <a:blip r:embed="rId20"/>
                          <a:stretch>
                            <a:fillRect/>
                          </a:stretch>
                        </pic:blipFill>
                        <pic:spPr>
                          <a:xfrm>
                            <a:off x="0" y="0"/>
                            <a:ext cx="685165" cy="45529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FBA90F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件</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6E02E8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9</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9A7E05B">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冷板激光切割、喷涂防锈、表面氟碳漆饰面、白色使用粉末喷涂</w:t>
            </w:r>
          </w:p>
        </w:tc>
      </w:tr>
      <w:tr w14:paraId="7559B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964BB22">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10</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19EC75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书型盒体文字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BA0AD3D">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760095</wp:posOffset>
                  </wp:positionH>
                  <wp:positionV relativeFrom="paragraph">
                    <wp:posOffset>17780</wp:posOffset>
                  </wp:positionV>
                  <wp:extent cx="685165" cy="475615"/>
                  <wp:effectExtent l="0" t="0" r="635" b="635"/>
                  <wp:wrapNone/>
                  <wp:docPr id="13" name="image37"/>
                  <wp:cNvGraphicFramePr/>
                  <a:graphic xmlns:a="http://schemas.openxmlformats.org/drawingml/2006/main">
                    <a:graphicData uri="http://schemas.openxmlformats.org/drawingml/2006/picture">
                      <pic:pic xmlns:pic="http://schemas.openxmlformats.org/drawingml/2006/picture">
                        <pic:nvPicPr>
                          <pic:cNvPr id="13" name="image37"/>
                          <pic:cNvPicPr/>
                        </pic:nvPicPr>
                        <pic:blipFill>
                          <a:blip r:embed="rId21"/>
                          <a:stretch>
                            <a:fillRect/>
                          </a:stretch>
                        </pic:blipFill>
                        <pic:spPr>
                          <a:xfrm>
                            <a:off x="0" y="0"/>
                            <a:ext cx="685165" cy="4756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6698DD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184CAA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B731F71">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威斯伯即时贴雕刻粘贴</w:t>
            </w:r>
          </w:p>
        </w:tc>
      </w:tr>
      <w:tr w14:paraId="5565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6027C40">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11</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26ABAB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铅笔造型</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12BA02D7">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17145</wp:posOffset>
                  </wp:positionH>
                  <wp:positionV relativeFrom="paragraph">
                    <wp:posOffset>17780</wp:posOffset>
                  </wp:positionV>
                  <wp:extent cx="1631315" cy="835025"/>
                  <wp:effectExtent l="0" t="0" r="6985" b="3175"/>
                  <wp:wrapNone/>
                  <wp:docPr id="3" name="image1"/>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22"/>
                          <a:stretch>
                            <a:fillRect/>
                          </a:stretch>
                        </pic:blipFill>
                        <pic:spPr>
                          <a:xfrm>
                            <a:off x="0" y="0"/>
                            <a:ext cx="1631315" cy="83502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879193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A8402A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F45A808">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w:t>
            </w:r>
          </w:p>
        </w:tc>
      </w:tr>
      <w:tr w14:paraId="75CC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A57D1BA">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12</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50443B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金属底座</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0F191A8">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17145</wp:posOffset>
                  </wp:positionH>
                  <wp:positionV relativeFrom="paragraph">
                    <wp:posOffset>49530</wp:posOffset>
                  </wp:positionV>
                  <wp:extent cx="1486535" cy="888365"/>
                  <wp:effectExtent l="0" t="0" r="18415" b="6985"/>
                  <wp:wrapNone/>
                  <wp:docPr id="4" name="image20"/>
                  <wp:cNvGraphicFramePr/>
                  <a:graphic xmlns:a="http://schemas.openxmlformats.org/drawingml/2006/main">
                    <a:graphicData uri="http://schemas.openxmlformats.org/drawingml/2006/picture">
                      <pic:pic xmlns:pic="http://schemas.openxmlformats.org/drawingml/2006/picture">
                        <pic:nvPicPr>
                          <pic:cNvPr id="4" name="image20"/>
                          <pic:cNvPicPr/>
                        </pic:nvPicPr>
                        <pic:blipFill>
                          <a:blip r:embed="rId23"/>
                          <a:stretch>
                            <a:fillRect/>
                          </a:stretch>
                        </pic:blipFill>
                        <pic:spPr>
                          <a:xfrm>
                            <a:off x="0" y="0"/>
                            <a:ext cx="1486535" cy="88836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05D9BB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延米</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F1D235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6.8</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BA829A4">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钢架焊接内部结构、饰面金属冷板喷涂饰面</w:t>
            </w:r>
          </w:p>
        </w:tc>
      </w:tr>
      <w:tr w14:paraId="3B02B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E41D255">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13</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EDE328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造型1</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B67C857">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584325" cy="994410"/>
                  <wp:effectExtent l="0" t="0" r="15875" b="15240"/>
                  <wp:wrapNone/>
                  <wp:docPr id="5" name="image19"/>
                  <wp:cNvGraphicFramePr/>
                  <a:graphic xmlns:a="http://schemas.openxmlformats.org/drawingml/2006/main">
                    <a:graphicData uri="http://schemas.openxmlformats.org/drawingml/2006/picture">
                      <pic:pic xmlns:pic="http://schemas.openxmlformats.org/drawingml/2006/picture">
                        <pic:nvPicPr>
                          <pic:cNvPr id="5" name="image19"/>
                          <pic:cNvPicPr/>
                        </pic:nvPicPr>
                        <pic:blipFill>
                          <a:blip r:embed="rId24"/>
                          <a:stretch>
                            <a:fillRect/>
                          </a:stretch>
                        </pic:blipFill>
                        <pic:spPr>
                          <a:xfrm>
                            <a:off x="0" y="0"/>
                            <a:ext cx="1584325" cy="9944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8833D7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46C6FD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5AC6FF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w:t>
            </w:r>
          </w:p>
        </w:tc>
      </w:tr>
      <w:tr w14:paraId="2C077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B924454">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14</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D65BEA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造型2</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F41C53C">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27940</wp:posOffset>
                  </wp:positionH>
                  <wp:positionV relativeFrom="paragraph">
                    <wp:posOffset>17780</wp:posOffset>
                  </wp:positionV>
                  <wp:extent cx="1490345" cy="1068070"/>
                  <wp:effectExtent l="0" t="0" r="14605" b="17780"/>
                  <wp:wrapNone/>
                  <wp:docPr id="6" name="image8"/>
                  <wp:cNvGraphicFramePr/>
                  <a:graphic xmlns:a="http://schemas.openxmlformats.org/drawingml/2006/main">
                    <a:graphicData uri="http://schemas.openxmlformats.org/drawingml/2006/picture">
                      <pic:pic xmlns:pic="http://schemas.openxmlformats.org/drawingml/2006/picture">
                        <pic:nvPicPr>
                          <pic:cNvPr id="6" name="image8"/>
                          <pic:cNvPicPr/>
                        </pic:nvPicPr>
                        <pic:blipFill>
                          <a:blip r:embed="rId25"/>
                          <a:stretch>
                            <a:fillRect/>
                          </a:stretch>
                        </pic:blipFill>
                        <pic:spPr>
                          <a:xfrm>
                            <a:off x="0" y="0"/>
                            <a:ext cx="1490345" cy="106807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466E89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3E3B47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B16A801">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281C1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BB1C4E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15</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4C80B7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立体文字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9FFC1F7">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27940</wp:posOffset>
                  </wp:positionH>
                  <wp:positionV relativeFrom="paragraph">
                    <wp:posOffset>17780</wp:posOffset>
                  </wp:positionV>
                  <wp:extent cx="1643380" cy="1068705"/>
                  <wp:effectExtent l="0" t="0" r="13970" b="17145"/>
                  <wp:wrapNone/>
                  <wp:docPr id="7" name="image7"/>
                  <wp:cNvGraphicFramePr/>
                  <a:graphic xmlns:a="http://schemas.openxmlformats.org/drawingml/2006/main">
                    <a:graphicData uri="http://schemas.openxmlformats.org/drawingml/2006/picture">
                      <pic:pic xmlns:pic="http://schemas.openxmlformats.org/drawingml/2006/picture">
                        <pic:nvPicPr>
                          <pic:cNvPr id="7" name="image7"/>
                          <pic:cNvPicPr/>
                        </pic:nvPicPr>
                        <pic:blipFill>
                          <a:blip r:embed="rId26"/>
                          <a:stretch>
                            <a:fillRect/>
                          </a:stretch>
                        </pic:blipFill>
                        <pic:spPr>
                          <a:xfrm>
                            <a:off x="0" y="0"/>
                            <a:ext cx="1643380" cy="106870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9BD25D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1171D1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6DEF7CC">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用加厚PVC烤漆饰面就可以，中间小字喷绘于底图上</w:t>
            </w:r>
          </w:p>
        </w:tc>
      </w:tr>
      <w:tr w14:paraId="478C9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1C779CE">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16</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AC19A8C">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造型3</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FE2F9E2">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634490" cy="994410"/>
                  <wp:effectExtent l="0" t="0" r="3810" b="15240"/>
                  <wp:wrapNone/>
                  <wp:docPr id="14" name="image18"/>
                  <wp:cNvGraphicFramePr/>
                  <a:graphic xmlns:a="http://schemas.openxmlformats.org/drawingml/2006/main">
                    <a:graphicData uri="http://schemas.openxmlformats.org/drawingml/2006/picture">
                      <pic:pic xmlns:pic="http://schemas.openxmlformats.org/drawingml/2006/picture">
                        <pic:nvPicPr>
                          <pic:cNvPr id="14" name="image18"/>
                          <pic:cNvPicPr/>
                        </pic:nvPicPr>
                        <pic:blipFill>
                          <a:blip r:embed="rId27"/>
                          <a:stretch>
                            <a:fillRect/>
                          </a:stretch>
                        </pic:blipFill>
                        <pic:spPr>
                          <a:xfrm>
                            <a:off x="0" y="0"/>
                            <a:ext cx="1634490" cy="9944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974467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1E4236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E0CFB9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5D019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5BC45F6">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17</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F74563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立体文字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0FF3DC76">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506855" cy="919480"/>
                  <wp:effectExtent l="0" t="0" r="17145" b="13970"/>
                  <wp:wrapNone/>
                  <wp:docPr id="9" name="image21"/>
                  <wp:cNvGraphicFramePr/>
                  <a:graphic xmlns:a="http://schemas.openxmlformats.org/drawingml/2006/main">
                    <a:graphicData uri="http://schemas.openxmlformats.org/drawingml/2006/picture">
                      <pic:pic xmlns:pic="http://schemas.openxmlformats.org/drawingml/2006/picture">
                        <pic:nvPicPr>
                          <pic:cNvPr id="9" name="image21"/>
                          <pic:cNvPicPr/>
                        </pic:nvPicPr>
                        <pic:blipFill>
                          <a:blip r:embed="rId27"/>
                          <a:stretch>
                            <a:fillRect/>
                          </a:stretch>
                        </pic:blipFill>
                        <pic:spPr>
                          <a:xfrm>
                            <a:off x="0" y="0"/>
                            <a:ext cx="1506855" cy="91948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D3DE14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E02085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EBD94B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用加厚白色PVC雕刻立体字、中间小字喷绘于底图上</w:t>
            </w:r>
          </w:p>
        </w:tc>
      </w:tr>
      <w:tr w14:paraId="64F17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F66E16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18</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140298C">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造型4</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3414920">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40640</wp:posOffset>
                  </wp:positionH>
                  <wp:positionV relativeFrom="paragraph">
                    <wp:posOffset>17780</wp:posOffset>
                  </wp:positionV>
                  <wp:extent cx="2124075" cy="475615"/>
                  <wp:effectExtent l="0" t="0" r="9525" b="635"/>
                  <wp:wrapNone/>
                  <wp:docPr id="16" name="image9"/>
                  <wp:cNvGraphicFramePr/>
                  <a:graphic xmlns:a="http://schemas.openxmlformats.org/drawingml/2006/main">
                    <a:graphicData uri="http://schemas.openxmlformats.org/drawingml/2006/picture">
                      <pic:pic xmlns:pic="http://schemas.openxmlformats.org/drawingml/2006/picture">
                        <pic:nvPicPr>
                          <pic:cNvPr id="16" name="image9"/>
                          <pic:cNvPicPr/>
                        </pic:nvPicPr>
                        <pic:blipFill>
                          <a:blip r:embed="rId28"/>
                          <a:stretch>
                            <a:fillRect/>
                          </a:stretch>
                        </pic:blipFill>
                        <pic:spPr>
                          <a:xfrm>
                            <a:off x="0" y="0"/>
                            <a:ext cx="2124075" cy="4756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2CC4D9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2154C3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CFCD08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w:t>
            </w:r>
          </w:p>
        </w:tc>
      </w:tr>
      <w:tr w14:paraId="034B5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7975C17">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19</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8365061">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造型5</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03CD29BB">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51435</wp:posOffset>
                  </wp:positionH>
                  <wp:positionV relativeFrom="paragraph">
                    <wp:posOffset>17780</wp:posOffset>
                  </wp:positionV>
                  <wp:extent cx="1584325" cy="803910"/>
                  <wp:effectExtent l="0" t="0" r="15875" b="15240"/>
                  <wp:wrapNone/>
                  <wp:docPr id="17" name="image11"/>
                  <wp:cNvGraphicFramePr/>
                  <a:graphic xmlns:a="http://schemas.openxmlformats.org/drawingml/2006/main">
                    <a:graphicData uri="http://schemas.openxmlformats.org/drawingml/2006/picture">
                      <pic:pic xmlns:pic="http://schemas.openxmlformats.org/drawingml/2006/picture">
                        <pic:nvPicPr>
                          <pic:cNvPr id="17" name="image11"/>
                          <pic:cNvPicPr/>
                        </pic:nvPicPr>
                        <pic:blipFill>
                          <a:blip r:embed="rId29"/>
                          <a:stretch>
                            <a:fillRect/>
                          </a:stretch>
                        </pic:blipFill>
                        <pic:spPr>
                          <a:xfrm>
                            <a:off x="0" y="0"/>
                            <a:ext cx="1584325" cy="8039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4D087C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9FBDE1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0851EA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6E000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B2FD3BE">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20</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D6BF31E">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716A945">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51435</wp:posOffset>
                  </wp:positionH>
                  <wp:positionV relativeFrom="paragraph">
                    <wp:posOffset>17780</wp:posOffset>
                  </wp:positionV>
                  <wp:extent cx="1679575" cy="782955"/>
                  <wp:effectExtent l="0" t="0" r="15875" b="17145"/>
                  <wp:wrapNone/>
                  <wp:docPr id="18" name="image12"/>
                  <wp:cNvGraphicFramePr/>
                  <a:graphic xmlns:a="http://schemas.openxmlformats.org/drawingml/2006/main">
                    <a:graphicData uri="http://schemas.openxmlformats.org/drawingml/2006/picture">
                      <pic:pic xmlns:pic="http://schemas.openxmlformats.org/drawingml/2006/picture">
                        <pic:nvPicPr>
                          <pic:cNvPr id="18" name="image12"/>
                          <pic:cNvPicPr/>
                        </pic:nvPicPr>
                        <pic:blipFill>
                          <a:blip r:embed="rId30"/>
                          <a:stretch>
                            <a:fillRect/>
                          </a:stretch>
                        </pic:blipFill>
                        <pic:spPr>
                          <a:xfrm>
                            <a:off x="0" y="0"/>
                            <a:ext cx="1679575" cy="78295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BD6575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C08092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3D4F95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用加厚PVC烤漆饰面就可以</w:t>
            </w:r>
          </w:p>
        </w:tc>
      </w:tr>
      <w:tr w14:paraId="42458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BF2DC6C">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21</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3E73DA1">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异形造型</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44B3C23">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51435</wp:posOffset>
                  </wp:positionH>
                  <wp:positionV relativeFrom="paragraph">
                    <wp:posOffset>17780</wp:posOffset>
                  </wp:positionV>
                  <wp:extent cx="1691005" cy="909320"/>
                  <wp:effectExtent l="0" t="0" r="4445" b="5080"/>
                  <wp:wrapNone/>
                  <wp:docPr id="19" name="image10"/>
                  <wp:cNvGraphicFramePr/>
                  <a:graphic xmlns:a="http://schemas.openxmlformats.org/drawingml/2006/main">
                    <a:graphicData uri="http://schemas.openxmlformats.org/drawingml/2006/picture">
                      <pic:pic xmlns:pic="http://schemas.openxmlformats.org/drawingml/2006/picture">
                        <pic:nvPicPr>
                          <pic:cNvPr id="19" name="image10"/>
                          <pic:cNvPicPr/>
                        </pic:nvPicPr>
                        <pic:blipFill>
                          <a:blip r:embed="rId31"/>
                          <a:stretch>
                            <a:fillRect/>
                          </a:stretch>
                        </pic:blipFill>
                        <pic:spPr>
                          <a:xfrm>
                            <a:off x="0" y="0"/>
                            <a:ext cx="1691005" cy="90932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E4BF38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AAA321F">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5</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809912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18加密饰面、表面文字和图型所有UV印刷</w:t>
            </w:r>
          </w:p>
        </w:tc>
      </w:tr>
      <w:tr w14:paraId="4EB58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8CB11E9">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22</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2C98C17">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造型6</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F96911F">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21590</wp:posOffset>
                  </wp:positionH>
                  <wp:positionV relativeFrom="paragraph">
                    <wp:posOffset>17780</wp:posOffset>
                  </wp:positionV>
                  <wp:extent cx="2162175" cy="475615"/>
                  <wp:effectExtent l="0" t="0" r="9525" b="635"/>
                  <wp:wrapNone/>
                  <wp:docPr id="20" name="image2"/>
                  <wp:cNvGraphicFramePr/>
                  <a:graphic xmlns:a="http://schemas.openxmlformats.org/drawingml/2006/main">
                    <a:graphicData uri="http://schemas.openxmlformats.org/drawingml/2006/picture">
                      <pic:pic xmlns:pic="http://schemas.openxmlformats.org/drawingml/2006/picture">
                        <pic:nvPicPr>
                          <pic:cNvPr id="20" name="image2"/>
                          <pic:cNvPicPr/>
                        </pic:nvPicPr>
                        <pic:blipFill>
                          <a:blip r:embed="rId32"/>
                          <a:stretch>
                            <a:fillRect/>
                          </a:stretch>
                        </pic:blipFill>
                        <pic:spPr>
                          <a:xfrm>
                            <a:off x="0" y="0"/>
                            <a:ext cx="2162175" cy="4756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D1FD59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49F6E5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E7A9AA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w:t>
            </w:r>
          </w:p>
        </w:tc>
      </w:tr>
      <w:tr w14:paraId="58A7F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84A8B2D">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23</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CF5CB3E">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墙面美工</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24610A1">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21590</wp:posOffset>
                  </wp:positionH>
                  <wp:positionV relativeFrom="paragraph">
                    <wp:posOffset>17780</wp:posOffset>
                  </wp:positionV>
                  <wp:extent cx="1687830" cy="898525"/>
                  <wp:effectExtent l="0" t="0" r="7620" b="15875"/>
                  <wp:wrapNone/>
                  <wp:docPr id="32" name="image6"/>
                  <wp:cNvGraphicFramePr/>
                  <a:graphic xmlns:a="http://schemas.openxmlformats.org/drawingml/2006/main">
                    <a:graphicData uri="http://schemas.openxmlformats.org/drawingml/2006/picture">
                      <pic:pic xmlns:pic="http://schemas.openxmlformats.org/drawingml/2006/picture">
                        <pic:nvPicPr>
                          <pic:cNvPr id="32" name="image6"/>
                          <pic:cNvPicPr/>
                        </pic:nvPicPr>
                        <pic:blipFill>
                          <a:blip r:embed="rId33"/>
                          <a:stretch>
                            <a:fillRect/>
                          </a:stretch>
                        </pic:blipFill>
                        <pic:spPr>
                          <a:xfrm>
                            <a:off x="0" y="0"/>
                            <a:ext cx="1687830" cy="89852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DF74EE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D34304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D71A0F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墙面底纹所有威斯伯即时贴雕刻粘贴、突起造型所有加厚PVC雕刻粘贴亚克力立体字</w:t>
            </w:r>
          </w:p>
        </w:tc>
      </w:tr>
      <w:tr w14:paraId="7EFDB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9"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3FE85EA">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24</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541A4B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造型7</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1F696B5C">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21590</wp:posOffset>
                  </wp:positionH>
                  <wp:positionV relativeFrom="paragraph">
                    <wp:posOffset>17780</wp:posOffset>
                  </wp:positionV>
                  <wp:extent cx="1686560" cy="803910"/>
                  <wp:effectExtent l="0" t="0" r="8890" b="15240"/>
                  <wp:wrapNone/>
                  <wp:docPr id="21" name="image4"/>
                  <wp:cNvGraphicFramePr/>
                  <a:graphic xmlns:a="http://schemas.openxmlformats.org/drawingml/2006/main">
                    <a:graphicData uri="http://schemas.openxmlformats.org/drawingml/2006/picture">
                      <pic:pic xmlns:pic="http://schemas.openxmlformats.org/drawingml/2006/picture">
                        <pic:nvPicPr>
                          <pic:cNvPr id="21" name="image4"/>
                          <pic:cNvPicPr/>
                        </pic:nvPicPr>
                        <pic:blipFill>
                          <a:blip r:embed="rId34"/>
                          <a:stretch>
                            <a:fillRect/>
                          </a:stretch>
                        </pic:blipFill>
                        <pic:spPr>
                          <a:xfrm>
                            <a:off x="0" y="0"/>
                            <a:ext cx="1686560" cy="8039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1D3699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E80774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B87478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冷板激光切割、喷涂防锈、表面氟碳漆饰面、中间镜子用亚克力银镜（安全一些，但是效果没有玻璃银镜好）</w:t>
            </w:r>
          </w:p>
        </w:tc>
      </w:tr>
      <w:tr w14:paraId="529B0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F24CCFD">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25</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18E8CB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05525734">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21590</wp:posOffset>
                  </wp:positionH>
                  <wp:positionV relativeFrom="paragraph">
                    <wp:posOffset>17780</wp:posOffset>
                  </wp:positionV>
                  <wp:extent cx="1771650" cy="994410"/>
                  <wp:effectExtent l="0" t="0" r="0" b="15240"/>
                  <wp:wrapNone/>
                  <wp:docPr id="23" name="image5"/>
                  <wp:cNvGraphicFramePr/>
                  <a:graphic xmlns:a="http://schemas.openxmlformats.org/drawingml/2006/main">
                    <a:graphicData uri="http://schemas.openxmlformats.org/drawingml/2006/picture">
                      <pic:pic xmlns:pic="http://schemas.openxmlformats.org/drawingml/2006/picture">
                        <pic:nvPicPr>
                          <pic:cNvPr id="23" name="image5"/>
                          <pic:cNvPicPr/>
                        </pic:nvPicPr>
                        <pic:blipFill>
                          <a:blip r:embed="rId35"/>
                          <a:stretch>
                            <a:fillRect/>
                          </a:stretch>
                        </pic:blipFill>
                        <pic:spPr>
                          <a:xfrm>
                            <a:off x="0" y="0"/>
                            <a:ext cx="1771650" cy="9944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F64F10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E1CE67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2E1D84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用加厚PVC烤漆饰面就可以、这个区域需要背透明亚克力衬板</w:t>
            </w:r>
          </w:p>
        </w:tc>
      </w:tr>
      <w:tr w14:paraId="33342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EEF111C">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26</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D8F89B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大造型1</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348BCEE">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16510</wp:posOffset>
                  </wp:positionV>
                  <wp:extent cx="2046605" cy="485775"/>
                  <wp:effectExtent l="0" t="0" r="10795" b="9525"/>
                  <wp:wrapNone/>
                  <wp:docPr id="28" name="image13"/>
                  <wp:cNvGraphicFramePr/>
                  <a:graphic xmlns:a="http://schemas.openxmlformats.org/drawingml/2006/main">
                    <a:graphicData uri="http://schemas.openxmlformats.org/drawingml/2006/picture">
                      <pic:pic xmlns:pic="http://schemas.openxmlformats.org/drawingml/2006/picture">
                        <pic:nvPicPr>
                          <pic:cNvPr id="28" name="image13"/>
                          <pic:cNvPicPr/>
                        </pic:nvPicPr>
                        <pic:blipFill>
                          <a:blip r:embed="rId36"/>
                          <a:stretch>
                            <a:fillRect/>
                          </a:stretch>
                        </pic:blipFill>
                        <pic:spPr>
                          <a:xfrm>
                            <a:off x="0" y="0"/>
                            <a:ext cx="2046605" cy="48577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53A5C7F">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A88092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53A03F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4A8C5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50B55E3">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27</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A29622F">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金属立体字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7529C7C">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19685</wp:posOffset>
                  </wp:positionV>
                  <wp:extent cx="1549400" cy="889635"/>
                  <wp:effectExtent l="0" t="0" r="12700" b="5715"/>
                  <wp:wrapNone/>
                  <wp:docPr id="30" name="image24"/>
                  <wp:cNvGraphicFramePr/>
                  <a:graphic xmlns:a="http://schemas.openxmlformats.org/drawingml/2006/main">
                    <a:graphicData uri="http://schemas.openxmlformats.org/drawingml/2006/picture">
                      <pic:pic xmlns:pic="http://schemas.openxmlformats.org/drawingml/2006/picture">
                        <pic:nvPicPr>
                          <pic:cNvPr id="30" name="image24"/>
                          <pic:cNvPicPr/>
                        </pic:nvPicPr>
                        <pic:blipFill>
                          <a:blip r:embed="rId37"/>
                          <a:stretch>
                            <a:fillRect/>
                          </a:stretch>
                        </pic:blipFill>
                        <pic:spPr>
                          <a:xfrm>
                            <a:off x="0" y="0"/>
                            <a:ext cx="1549400" cy="88963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5F6C15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29E160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FC76A4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金属加工焊接、表面氟碳漆饰面</w:t>
            </w:r>
          </w:p>
        </w:tc>
      </w:tr>
      <w:tr w14:paraId="63D3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5C5E156">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28</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8FF207A">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2009FF5">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422400" cy="814070"/>
                  <wp:effectExtent l="0" t="0" r="6350" b="5080"/>
                  <wp:wrapNone/>
                  <wp:docPr id="31" name="image17"/>
                  <wp:cNvGraphicFramePr/>
                  <a:graphic xmlns:a="http://schemas.openxmlformats.org/drawingml/2006/main">
                    <a:graphicData uri="http://schemas.openxmlformats.org/drawingml/2006/picture">
                      <pic:pic xmlns:pic="http://schemas.openxmlformats.org/drawingml/2006/picture">
                        <pic:nvPicPr>
                          <pic:cNvPr id="31" name="image17"/>
                          <pic:cNvPicPr/>
                        </pic:nvPicPr>
                        <pic:blipFill>
                          <a:blip r:embed="rId38"/>
                          <a:stretch>
                            <a:fillRect/>
                          </a:stretch>
                        </pic:blipFill>
                        <pic:spPr>
                          <a:xfrm>
                            <a:off x="0" y="0"/>
                            <a:ext cx="1422400" cy="81407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2DF4A6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66F6FF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1423B5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用加厚PVC饰面就可以，可更换区域使用PVC雕刻内嵌可更换人物展板</w:t>
            </w:r>
          </w:p>
        </w:tc>
      </w:tr>
      <w:tr w14:paraId="6AF0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A5CE5F2">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29</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48580AC">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翻板</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2621B90">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75565</wp:posOffset>
                  </wp:positionH>
                  <wp:positionV relativeFrom="paragraph">
                    <wp:posOffset>17780</wp:posOffset>
                  </wp:positionV>
                  <wp:extent cx="1348105" cy="867410"/>
                  <wp:effectExtent l="0" t="0" r="4445" b="8890"/>
                  <wp:wrapNone/>
                  <wp:docPr id="33" name="image14"/>
                  <wp:cNvGraphicFramePr/>
                  <a:graphic xmlns:a="http://schemas.openxmlformats.org/drawingml/2006/main">
                    <a:graphicData uri="http://schemas.openxmlformats.org/drawingml/2006/picture">
                      <pic:pic xmlns:pic="http://schemas.openxmlformats.org/drawingml/2006/picture">
                        <pic:nvPicPr>
                          <pic:cNvPr id="33" name="image14"/>
                          <pic:cNvPicPr/>
                        </pic:nvPicPr>
                        <pic:blipFill>
                          <a:blip r:embed="rId39"/>
                          <a:stretch>
                            <a:fillRect/>
                          </a:stretch>
                        </pic:blipFill>
                        <pic:spPr>
                          <a:xfrm>
                            <a:off x="0" y="0"/>
                            <a:ext cx="1348105" cy="8674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29E080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976739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9</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CE3352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用加厚PVC饰面就可以，双层叠加</w:t>
            </w:r>
          </w:p>
        </w:tc>
      </w:tr>
      <w:tr w14:paraId="46EC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4E4F779">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30</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BC6AA0D">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大造型2</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DB8B43A">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529080" cy="1068070"/>
                  <wp:effectExtent l="0" t="0" r="13970" b="17780"/>
                  <wp:wrapNone/>
                  <wp:docPr id="34" name="image22"/>
                  <wp:cNvGraphicFramePr/>
                  <a:graphic xmlns:a="http://schemas.openxmlformats.org/drawingml/2006/main">
                    <a:graphicData uri="http://schemas.openxmlformats.org/drawingml/2006/picture">
                      <pic:pic xmlns:pic="http://schemas.openxmlformats.org/drawingml/2006/picture">
                        <pic:nvPicPr>
                          <pic:cNvPr id="34" name="image22"/>
                          <pic:cNvPicPr/>
                        </pic:nvPicPr>
                        <pic:blipFill>
                          <a:blip r:embed="rId40"/>
                          <a:stretch>
                            <a:fillRect/>
                          </a:stretch>
                        </pic:blipFill>
                        <pic:spPr>
                          <a:xfrm>
                            <a:off x="0" y="0"/>
                            <a:ext cx="1529080" cy="106807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7EB994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B23BFD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587012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w:t>
            </w:r>
          </w:p>
        </w:tc>
      </w:tr>
      <w:tr w14:paraId="71A8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22E65F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31</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47C8033">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金属立体字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27D989CA">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522730" cy="1160145"/>
                  <wp:effectExtent l="0" t="0" r="1270" b="1905"/>
                  <wp:wrapNone/>
                  <wp:docPr id="35" name="image16"/>
                  <wp:cNvGraphicFramePr/>
                  <a:graphic xmlns:a="http://schemas.openxmlformats.org/drawingml/2006/main">
                    <a:graphicData uri="http://schemas.openxmlformats.org/drawingml/2006/picture">
                      <pic:pic xmlns:pic="http://schemas.openxmlformats.org/drawingml/2006/picture">
                        <pic:nvPicPr>
                          <pic:cNvPr id="35" name="image16"/>
                          <pic:cNvPicPr/>
                        </pic:nvPicPr>
                        <pic:blipFill>
                          <a:blip r:embed="rId41"/>
                          <a:stretch>
                            <a:fillRect/>
                          </a:stretch>
                        </pic:blipFill>
                        <pic:spPr>
                          <a:xfrm>
                            <a:off x="0" y="0"/>
                            <a:ext cx="1522730" cy="116014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878AE9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15C8D3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FA96ED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金属加工焊接、表面氟碳漆饰面</w:t>
            </w:r>
          </w:p>
        </w:tc>
      </w:tr>
      <w:tr w14:paraId="1CC62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3473FA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32</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B0D76CC">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425B298">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337945" cy="898525"/>
                  <wp:effectExtent l="0" t="0" r="14605" b="15875"/>
                  <wp:wrapNone/>
                  <wp:docPr id="36" name="image15"/>
                  <wp:cNvGraphicFramePr/>
                  <a:graphic xmlns:a="http://schemas.openxmlformats.org/drawingml/2006/main">
                    <a:graphicData uri="http://schemas.openxmlformats.org/drawingml/2006/picture">
                      <pic:pic xmlns:pic="http://schemas.openxmlformats.org/drawingml/2006/picture">
                        <pic:nvPicPr>
                          <pic:cNvPr id="36" name="image15"/>
                          <pic:cNvPicPr/>
                        </pic:nvPicPr>
                        <pic:blipFill>
                          <a:blip r:embed="rId42"/>
                          <a:stretch>
                            <a:fillRect/>
                          </a:stretch>
                        </pic:blipFill>
                        <pic:spPr>
                          <a:xfrm>
                            <a:off x="0" y="0"/>
                            <a:ext cx="1337945" cy="89852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2A1A47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AA9737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035AB9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用加厚PVC烤漆饰面就可以，部分文字PVC底板UV印刷</w:t>
            </w:r>
          </w:p>
        </w:tc>
      </w:tr>
      <w:tr w14:paraId="6F09B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9B2AF8F">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33</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C00FF1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大造型3</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A168202">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17780</wp:posOffset>
                  </wp:positionV>
                  <wp:extent cx="1515745" cy="1152525"/>
                  <wp:effectExtent l="0" t="0" r="8255" b="9525"/>
                  <wp:wrapNone/>
                  <wp:docPr id="37" name="image23"/>
                  <wp:cNvGraphicFramePr/>
                  <a:graphic xmlns:a="http://schemas.openxmlformats.org/drawingml/2006/main">
                    <a:graphicData uri="http://schemas.openxmlformats.org/drawingml/2006/picture">
                      <pic:pic xmlns:pic="http://schemas.openxmlformats.org/drawingml/2006/picture">
                        <pic:nvPicPr>
                          <pic:cNvPr id="37" name="image23"/>
                          <pic:cNvPicPr/>
                        </pic:nvPicPr>
                        <pic:blipFill>
                          <a:blip r:embed="rId43"/>
                          <a:stretch>
                            <a:fillRect/>
                          </a:stretch>
                        </pic:blipFill>
                        <pic:spPr>
                          <a:xfrm>
                            <a:off x="0" y="0"/>
                            <a:ext cx="1515745" cy="115252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4576AE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797145F">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A8E341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08D2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1616505">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34</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B8C40C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4F9F5472">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21590</wp:posOffset>
                  </wp:positionH>
                  <wp:positionV relativeFrom="paragraph">
                    <wp:posOffset>17780</wp:posOffset>
                  </wp:positionV>
                  <wp:extent cx="1812925" cy="888365"/>
                  <wp:effectExtent l="0" t="0" r="15875" b="6985"/>
                  <wp:wrapNone/>
                  <wp:docPr id="38" name="image3"/>
                  <wp:cNvGraphicFramePr/>
                  <a:graphic xmlns:a="http://schemas.openxmlformats.org/drawingml/2006/main">
                    <a:graphicData uri="http://schemas.openxmlformats.org/drawingml/2006/picture">
                      <pic:pic xmlns:pic="http://schemas.openxmlformats.org/drawingml/2006/picture">
                        <pic:nvPicPr>
                          <pic:cNvPr id="38" name="image3"/>
                          <pic:cNvPicPr/>
                        </pic:nvPicPr>
                        <pic:blipFill>
                          <a:blip r:embed="rId44"/>
                          <a:stretch>
                            <a:fillRect/>
                          </a:stretch>
                        </pic:blipFill>
                        <pic:spPr>
                          <a:xfrm>
                            <a:off x="0" y="0"/>
                            <a:ext cx="1812925" cy="88836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4E8529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38DF9EA">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E1D70D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用加厚PVC饰面就可以，部分文字PVC底板UV印刷</w:t>
            </w:r>
          </w:p>
        </w:tc>
      </w:tr>
      <w:tr w14:paraId="11DF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44DDC15">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35</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BFB7A15">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大造型4</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48928CFA">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146685</wp:posOffset>
                  </wp:positionH>
                  <wp:positionV relativeFrom="paragraph">
                    <wp:posOffset>17780</wp:posOffset>
                  </wp:positionV>
                  <wp:extent cx="1456690" cy="909320"/>
                  <wp:effectExtent l="0" t="0" r="10160" b="5080"/>
                  <wp:wrapNone/>
                  <wp:docPr id="39" name="image32"/>
                  <wp:cNvGraphicFramePr/>
                  <a:graphic xmlns:a="http://schemas.openxmlformats.org/drawingml/2006/main">
                    <a:graphicData uri="http://schemas.openxmlformats.org/drawingml/2006/picture">
                      <pic:pic xmlns:pic="http://schemas.openxmlformats.org/drawingml/2006/picture">
                        <pic:nvPicPr>
                          <pic:cNvPr id="39" name="image32"/>
                          <pic:cNvPicPr/>
                        </pic:nvPicPr>
                        <pic:blipFill>
                          <a:blip r:embed="rId45"/>
                          <a:stretch>
                            <a:fillRect/>
                          </a:stretch>
                        </pic:blipFill>
                        <pic:spPr>
                          <a:xfrm>
                            <a:off x="0" y="0"/>
                            <a:ext cx="1456690" cy="90932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BBA631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E03B84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362486C">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冷板激光切割、喷涂防锈、表面氟碳漆饰面、木纹使用车贴饰面</w:t>
            </w:r>
          </w:p>
        </w:tc>
      </w:tr>
      <w:tr w14:paraId="4069C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2F31365">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36</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D2E3DBB">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金属立体字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0BA02158">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135890</wp:posOffset>
                  </wp:positionH>
                  <wp:positionV relativeFrom="paragraph">
                    <wp:posOffset>17780</wp:posOffset>
                  </wp:positionV>
                  <wp:extent cx="1454150" cy="867410"/>
                  <wp:effectExtent l="0" t="0" r="12700" b="8890"/>
                  <wp:wrapNone/>
                  <wp:docPr id="40" name="image31"/>
                  <wp:cNvGraphicFramePr/>
                  <a:graphic xmlns:a="http://schemas.openxmlformats.org/drawingml/2006/main">
                    <a:graphicData uri="http://schemas.openxmlformats.org/drawingml/2006/picture">
                      <pic:pic xmlns:pic="http://schemas.openxmlformats.org/drawingml/2006/picture">
                        <pic:nvPicPr>
                          <pic:cNvPr id="40" name="image31"/>
                          <pic:cNvPicPr/>
                        </pic:nvPicPr>
                        <pic:blipFill>
                          <a:blip r:embed="rId46"/>
                          <a:stretch>
                            <a:fillRect/>
                          </a:stretch>
                        </pic:blipFill>
                        <pic:spPr>
                          <a:xfrm>
                            <a:off x="0" y="0"/>
                            <a:ext cx="1454150" cy="8674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95CB08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6C8E54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DBFF2B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用加厚PVC烤漆饰面就可以，双层，中间有空腔部分</w:t>
            </w:r>
          </w:p>
        </w:tc>
      </w:tr>
      <w:tr w14:paraId="1165A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45C987C">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37</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E7AA7D9">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翻板</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8E831D7">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118745</wp:posOffset>
                  </wp:positionH>
                  <wp:positionV relativeFrom="paragraph">
                    <wp:posOffset>17780</wp:posOffset>
                  </wp:positionV>
                  <wp:extent cx="1509395" cy="1024890"/>
                  <wp:effectExtent l="0" t="0" r="14605" b="3810"/>
                  <wp:wrapNone/>
                  <wp:docPr id="41" name="image25"/>
                  <wp:cNvGraphicFramePr/>
                  <a:graphic xmlns:a="http://schemas.openxmlformats.org/drawingml/2006/main">
                    <a:graphicData uri="http://schemas.openxmlformats.org/drawingml/2006/picture">
                      <pic:pic xmlns:pic="http://schemas.openxmlformats.org/drawingml/2006/picture">
                        <pic:nvPicPr>
                          <pic:cNvPr id="41" name="image25"/>
                          <pic:cNvPicPr/>
                        </pic:nvPicPr>
                        <pic:blipFill>
                          <a:blip r:embed="rId47"/>
                          <a:stretch>
                            <a:fillRect/>
                          </a:stretch>
                        </pic:blipFill>
                        <pic:spPr>
                          <a:xfrm>
                            <a:off x="0" y="0"/>
                            <a:ext cx="1509395" cy="102489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CC0D58B">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F30EDE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6</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13C8554">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w:t>
            </w:r>
          </w:p>
        </w:tc>
      </w:tr>
      <w:tr w14:paraId="4BD7D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E6A9AA6">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38</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7219C06">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大造型5</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432252DE">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122555</wp:posOffset>
                  </wp:positionH>
                  <wp:positionV relativeFrom="paragraph">
                    <wp:posOffset>17780</wp:posOffset>
                  </wp:positionV>
                  <wp:extent cx="1483995" cy="781685"/>
                  <wp:effectExtent l="0" t="0" r="1905" b="18415"/>
                  <wp:wrapNone/>
                  <wp:docPr id="42" name="image27"/>
                  <wp:cNvGraphicFramePr/>
                  <a:graphic xmlns:a="http://schemas.openxmlformats.org/drawingml/2006/main">
                    <a:graphicData uri="http://schemas.openxmlformats.org/drawingml/2006/picture">
                      <pic:pic xmlns:pic="http://schemas.openxmlformats.org/drawingml/2006/picture">
                        <pic:nvPicPr>
                          <pic:cNvPr id="42" name="image27"/>
                          <pic:cNvPicPr/>
                        </pic:nvPicPr>
                        <pic:blipFill>
                          <a:blip r:embed="rId48"/>
                          <a:stretch>
                            <a:fillRect/>
                          </a:stretch>
                        </pic:blipFill>
                        <pic:spPr>
                          <a:xfrm>
                            <a:off x="0" y="0"/>
                            <a:ext cx="1483995" cy="78168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A54E3A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1D3757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32E50A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7A8FE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0EC5920">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39</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A971CB8">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突起造型</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671C9E81">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122555</wp:posOffset>
                  </wp:positionH>
                  <wp:positionV relativeFrom="paragraph">
                    <wp:posOffset>17780</wp:posOffset>
                  </wp:positionV>
                  <wp:extent cx="1452245" cy="803910"/>
                  <wp:effectExtent l="0" t="0" r="14605" b="15240"/>
                  <wp:wrapNone/>
                  <wp:docPr id="43" name="image28"/>
                  <wp:cNvGraphicFramePr/>
                  <a:graphic xmlns:a="http://schemas.openxmlformats.org/drawingml/2006/main">
                    <a:graphicData uri="http://schemas.openxmlformats.org/drawingml/2006/picture">
                      <pic:pic xmlns:pic="http://schemas.openxmlformats.org/drawingml/2006/picture">
                        <pic:nvPicPr>
                          <pic:cNvPr id="43" name="image28"/>
                          <pic:cNvPicPr/>
                        </pic:nvPicPr>
                        <pic:blipFill>
                          <a:blip r:embed="rId49"/>
                          <a:stretch>
                            <a:fillRect/>
                          </a:stretch>
                        </pic:blipFill>
                        <pic:spPr>
                          <a:xfrm>
                            <a:off x="0" y="0"/>
                            <a:ext cx="1452245" cy="80391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39C35B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9CE4AC9">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03978F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用加厚PVC饰面就可以，部分文字UV印刷</w:t>
            </w:r>
          </w:p>
        </w:tc>
      </w:tr>
      <w:tr w14:paraId="1E57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F98E893">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40</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A224DD2">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大造型6</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AD74F85">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185420</wp:posOffset>
                  </wp:positionH>
                  <wp:positionV relativeFrom="paragraph">
                    <wp:posOffset>17780</wp:posOffset>
                  </wp:positionV>
                  <wp:extent cx="1361440" cy="941705"/>
                  <wp:effectExtent l="0" t="0" r="10160" b="10795"/>
                  <wp:wrapNone/>
                  <wp:docPr id="44" name="image33"/>
                  <wp:cNvGraphicFramePr/>
                  <a:graphic xmlns:a="http://schemas.openxmlformats.org/drawingml/2006/main">
                    <a:graphicData uri="http://schemas.openxmlformats.org/drawingml/2006/picture">
                      <pic:pic xmlns:pic="http://schemas.openxmlformats.org/drawingml/2006/picture">
                        <pic:nvPicPr>
                          <pic:cNvPr id="44" name="image33"/>
                          <pic:cNvPicPr/>
                        </pic:nvPicPr>
                        <pic:blipFill>
                          <a:blip r:embed="rId50"/>
                          <a:stretch>
                            <a:fillRect/>
                          </a:stretch>
                        </pic:blipFill>
                        <pic:spPr>
                          <a:xfrm>
                            <a:off x="0" y="0"/>
                            <a:ext cx="1361440" cy="94170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67775D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F42F1C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8FF29A1">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冷板激光切割、喷涂防锈、表面氟碳漆饰面、中间部分钢架封PVC底板、车贴饰面</w:t>
            </w:r>
          </w:p>
        </w:tc>
      </w:tr>
      <w:tr w14:paraId="62E0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C14743A">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41</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37B9AC2">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金属立体字</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60BED28">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131445</wp:posOffset>
                  </wp:positionH>
                  <wp:positionV relativeFrom="paragraph">
                    <wp:posOffset>17780</wp:posOffset>
                  </wp:positionV>
                  <wp:extent cx="1265555" cy="898525"/>
                  <wp:effectExtent l="0" t="0" r="10795" b="15875"/>
                  <wp:wrapNone/>
                  <wp:docPr id="45" name="image30"/>
                  <wp:cNvGraphicFramePr/>
                  <a:graphic xmlns:a="http://schemas.openxmlformats.org/drawingml/2006/main">
                    <a:graphicData uri="http://schemas.openxmlformats.org/drawingml/2006/picture">
                      <pic:pic xmlns:pic="http://schemas.openxmlformats.org/drawingml/2006/picture">
                        <pic:nvPicPr>
                          <pic:cNvPr id="45" name="image30"/>
                          <pic:cNvPicPr/>
                        </pic:nvPicPr>
                        <pic:blipFill>
                          <a:blip r:embed="rId51"/>
                          <a:stretch>
                            <a:fillRect/>
                          </a:stretch>
                        </pic:blipFill>
                        <pic:spPr>
                          <a:xfrm>
                            <a:off x="0" y="0"/>
                            <a:ext cx="1265555" cy="89852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C8F8A3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4951D9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1</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AB2F343">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金属加工焊接、表面氟碳漆饰面</w:t>
            </w:r>
          </w:p>
        </w:tc>
      </w:tr>
      <w:tr w14:paraId="6AAAA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46920BC">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42</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F1EE319">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可更换展板</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75BA2F3E">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-28575</wp:posOffset>
                  </wp:positionH>
                  <wp:positionV relativeFrom="paragraph">
                    <wp:posOffset>102870</wp:posOffset>
                  </wp:positionV>
                  <wp:extent cx="1425575" cy="814070"/>
                  <wp:effectExtent l="0" t="0" r="3175" b="5080"/>
                  <wp:wrapNone/>
                  <wp:docPr id="46" name="image29"/>
                  <wp:cNvGraphicFramePr/>
                  <a:graphic xmlns:a="http://schemas.openxmlformats.org/drawingml/2006/main">
                    <a:graphicData uri="http://schemas.openxmlformats.org/drawingml/2006/picture">
                      <pic:pic xmlns:pic="http://schemas.openxmlformats.org/drawingml/2006/picture">
                        <pic:nvPicPr>
                          <pic:cNvPr id="46" name="image29"/>
                          <pic:cNvPicPr/>
                        </pic:nvPicPr>
                        <pic:blipFill>
                          <a:blip r:embed="rId52"/>
                          <a:stretch>
                            <a:fillRect/>
                          </a:stretch>
                        </pic:blipFill>
                        <pic:spPr>
                          <a:xfrm>
                            <a:off x="0" y="0"/>
                            <a:ext cx="1425575" cy="814070"/>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CA856D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6945A1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8</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64E3FE6">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周边翻边方式更换海报</w:t>
            </w:r>
          </w:p>
        </w:tc>
      </w:tr>
      <w:tr w14:paraId="7530A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0A2A0FD6">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43</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33C2718">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大造型7</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571682F2">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182245</wp:posOffset>
                  </wp:positionH>
                  <wp:positionV relativeFrom="paragraph">
                    <wp:posOffset>7620</wp:posOffset>
                  </wp:positionV>
                  <wp:extent cx="1396365" cy="1311275"/>
                  <wp:effectExtent l="0" t="0" r="13335" b="3175"/>
                  <wp:wrapNone/>
                  <wp:docPr id="47" name="image26"/>
                  <wp:cNvGraphicFramePr/>
                  <a:graphic xmlns:a="http://schemas.openxmlformats.org/drawingml/2006/main">
                    <a:graphicData uri="http://schemas.openxmlformats.org/drawingml/2006/picture">
                      <pic:pic xmlns:pic="http://schemas.openxmlformats.org/drawingml/2006/picture">
                        <pic:nvPicPr>
                          <pic:cNvPr id="47" name="image26"/>
                          <pic:cNvPicPr/>
                        </pic:nvPicPr>
                        <pic:blipFill>
                          <a:blip r:embed="rId53"/>
                          <a:stretch>
                            <a:fillRect/>
                          </a:stretch>
                        </pic:blipFill>
                        <pic:spPr>
                          <a:xfrm>
                            <a:off x="0" y="0"/>
                            <a:ext cx="1396365" cy="131127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64B82F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项</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113F702">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3</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29F804B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方刚焊接、弯头激光切割焊接、表面氟碳漆饰面、部分内嵌硅胶灯带发光，顶部需要制作2组圆圈便于吊挂</w:t>
            </w:r>
          </w:p>
        </w:tc>
      </w:tr>
      <w:tr w14:paraId="0B222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8854F9C">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44</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155D577">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顶部圆形灯箱</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4EB6ED12">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795020</wp:posOffset>
                  </wp:positionH>
                  <wp:positionV relativeFrom="paragraph">
                    <wp:posOffset>17780</wp:posOffset>
                  </wp:positionV>
                  <wp:extent cx="617855" cy="475615"/>
                  <wp:effectExtent l="0" t="0" r="10795" b="635"/>
                  <wp:wrapNone/>
                  <wp:docPr id="48" name="image41"/>
                  <wp:cNvGraphicFramePr/>
                  <a:graphic xmlns:a="http://schemas.openxmlformats.org/drawingml/2006/main">
                    <a:graphicData uri="http://schemas.openxmlformats.org/drawingml/2006/picture">
                      <pic:pic xmlns:pic="http://schemas.openxmlformats.org/drawingml/2006/picture">
                        <pic:nvPicPr>
                          <pic:cNvPr id="48" name="image41"/>
                          <pic:cNvPicPr/>
                        </pic:nvPicPr>
                        <pic:blipFill>
                          <a:blip r:embed="rId54"/>
                          <a:stretch>
                            <a:fillRect/>
                          </a:stretch>
                        </pic:blipFill>
                        <pic:spPr>
                          <a:xfrm>
                            <a:off x="0" y="0"/>
                            <a:ext cx="617855" cy="4756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0B49F9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组</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087937D">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6F84738E">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定制圆形卡布灯箱、软膜发光</w:t>
            </w:r>
          </w:p>
        </w:tc>
      </w:tr>
      <w:tr w14:paraId="25604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B3EB115">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45</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71111F6">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顶部圆环造型</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1DF4184E">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795020</wp:posOffset>
                  </wp:positionH>
                  <wp:positionV relativeFrom="paragraph">
                    <wp:posOffset>17780</wp:posOffset>
                  </wp:positionV>
                  <wp:extent cx="617855" cy="475615"/>
                  <wp:effectExtent l="0" t="0" r="10795" b="635"/>
                  <wp:wrapNone/>
                  <wp:docPr id="49" name="image43"/>
                  <wp:cNvGraphicFramePr/>
                  <a:graphic xmlns:a="http://schemas.openxmlformats.org/drawingml/2006/main">
                    <a:graphicData uri="http://schemas.openxmlformats.org/drawingml/2006/picture">
                      <pic:pic xmlns:pic="http://schemas.openxmlformats.org/drawingml/2006/picture">
                        <pic:nvPicPr>
                          <pic:cNvPr id="49" name="image43"/>
                          <pic:cNvPicPr/>
                        </pic:nvPicPr>
                        <pic:blipFill>
                          <a:blip r:embed="rId54"/>
                          <a:stretch>
                            <a:fillRect/>
                          </a:stretch>
                        </pic:blipFill>
                        <pic:spPr>
                          <a:xfrm>
                            <a:off x="0" y="0"/>
                            <a:ext cx="617855" cy="4756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70D9A17">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组</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9F15321">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6</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73648300">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方钢拉弯、表面氟碳漆饰面、通丝吊挂</w:t>
            </w:r>
          </w:p>
        </w:tc>
      </w:tr>
      <w:tr w14:paraId="5EFD9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6" w:hRule="atLeast"/>
        </w:trPr>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85E1727">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46</w:t>
            </w:r>
          </w:p>
        </w:tc>
        <w:tc>
          <w:tcPr>
            <w:tcW w:w="844" w:type="pct"/>
            <w:tcBorders>
              <w:top w:val="single" w:color="030303" w:sz="4" w:space="0"/>
              <w:left w:val="single" w:color="030303" w:sz="4" w:space="0"/>
              <w:bottom w:val="single" w:color="030303" w:sz="4" w:space="0"/>
              <w:right w:val="single" w:color="030303" w:sz="4" w:space="0"/>
            </w:tcBorders>
            <w:shd w:val="clear" w:color="auto" w:fill="auto"/>
            <w:vAlign w:val="center"/>
          </w:tcPr>
          <w:p w14:paraId="4F7D3D27">
            <w:pPr>
              <w:keepNext w:val="0"/>
              <w:keepLines w:val="0"/>
              <w:widowControl/>
              <w:suppressLineNumbers w:val="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Style w:val="47"/>
                <w:rFonts w:hint="eastAsia" w:ascii="仿宋" w:hAnsi="仿宋" w:eastAsia="仿宋" w:cs="仿宋"/>
                <w:color w:val="000000" w:themeColor="text1"/>
                <w:sz w:val="32"/>
                <w:szCs w:val="32"/>
                <w:lang w:val="en-US" w:eastAsia="zh-CN" w:bidi="ar"/>
                <w14:textFill>
                  <w14:solidFill>
                    <w14:schemeClr w14:val="tx1"/>
                  </w14:solidFill>
                </w14:textFill>
              </w:rPr>
              <w:t>顶部圆型造型</w:t>
            </w:r>
          </w:p>
        </w:tc>
        <w:tc>
          <w:tcPr>
            <w:tcW w:w="1789" w:type="pct"/>
            <w:tcBorders>
              <w:top w:val="single" w:color="030303" w:sz="4" w:space="0"/>
              <w:left w:val="single" w:color="030303" w:sz="4" w:space="0"/>
              <w:bottom w:val="single" w:color="030303" w:sz="4" w:space="0"/>
              <w:right w:val="single" w:color="030303" w:sz="4" w:space="0"/>
            </w:tcBorders>
            <w:shd w:val="clear" w:color="auto" w:fill="auto"/>
            <w:vAlign w:val="top"/>
          </w:tcPr>
          <w:p w14:paraId="41C00556">
            <w:pPr>
              <w:keepNext w:val="0"/>
              <w:keepLines w:val="0"/>
              <w:widowControl/>
              <w:suppressLineNumbers w:val="0"/>
              <w:jc w:val="left"/>
              <w:textAlignment w:val="top"/>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bdr w:val="single" w:color="030303"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795020</wp:posOffset>
                  </wp:positionH>
                  <wp:positionV relativeFrom="paragraph">
                    <wp:posOffset>17780</wp:posOffset>
                  </wp:positionV>
                  <wp:extent cx="617855" cy="475615"/>
                  <wp:effectExtent l="0" t="0" r="10795" b="635"/>
                  <wp:wrapNone/>
                  <wp:docPr id="50" name="image42"/>
                  <wp:cNvGraphicFramePr/>
                  <a:graphic xmlns:a="http://schemas.openxmlformats.org/drawingml/2006/main">
                    <a:graphicData uri="http://schemas.openxmlformats.org/drawingml/2006/picture">
                      <pic:pic xmlns:pic="http://schemas.openxmlformats.org/drawingml/2006/picture">
                        <pic:nvPicPr>
                          <pic:cNvPr id="50" name="image42"/>
                          <pic:cNvPicPr/>
                        </pic:nvPicPr>
                        <pic:blipFill>
                          <a:blip r:embed="rId55"/>
                          <a:stretch>
                            <a:fillRect/>
                          </a:stretch>
                        </pic:blipFill>
                        <pic:spPr>
                          <a:xfrm>
                            <a:off x="0" y="0"/>
                            <a:ext cx="617855" cy="475615"/>
                          </a:xfrm>
                          <a:prstGeom prst="rect">
                            <a:avLst/>
                          </a:prstGeom>
                          <a:noFill/>
                          <a:ln>
                            <a:noFill/>
                          </a:ln>
                        </pic:spPr>
                      </pic:pic>
                    </a:graphicData>
                  </a:graphic>
                </wp:anchor>
              </w:drawing>
            </w:r>
          </w:p>
        </w:tc>
        <w:tc>
          <w:tcPr>
            <w:tcW w:w="315" w:type="pct"/>
            <w:tcBorders>
              <w:top w:val="single" w:color="030303" w:sz="4" w:space="0"/>
              <w:left w:val="single" w:color="030303" w:sz="4" w:space="0"/>
              <w:bottom w:val="single" w:color="030303" w:sz="4" w:space="0"/>
              <w:right w:val="single" w:color="030303" w:sz="4" w:space="0"/>
            </w:tcBorders>
            <w:shd w:val="clear" w:color="auto" w:fill="auto"/>
            <w:vAlign w:val="center"/>
          </w:tcPr>
          <w:p w14:paraId="5B316A28">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组</w:t>
            </w:r>
          </w:p>
        </w:tc>
        <w:tc>
          <w:tcPr>
            <w:tcW w:w="408" w:type="pct"/>
            <w:tcBorders>
              <w:top w:val="single" w:color="030303" w:sz="4" w:space="0"/>
              <w:left w:val="single" w:color="030303" w:sz="4" w:space="0"/>
              <w:bottom w:val="single" w:color="030303" w:sz="4" w:space="0"/>
              <w:right w:val="single" w:color="030303" w:sz="4" w:space="0"/>
            </w:tcBorders>
            <w:shd w:val="clear" w:color="auto" w:fill="auto"/>
            <w:vAlign w:val="center"/>
          </w:tcPr>
          <w:p w14:paraId="32189F6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6</w:t>
            </w:r>
          </w:p>
        </w:tc>
        <w:tc>
          <w:tcPr>
            <w:tcW w:w="1326" w:type="pct"/>
            <w:tcBorders>
              <w:top w:val="single" w:color="030303" w:sz="4" w:space="0"/>
              <w:left w:val="single" w:color="030303" w:sz="4" w:space="0"/>
              <w:bottom w:val="single" w:color="030303" w:sz="4" w:space="0"/>
              <w:right w:val="single" w:color="030303" w:sz="4" w:space="0"/>
            </w:tcBorders>
            <w:shd w:val="clear" w:color="auto" w:fill="auto"/>
            <w:vAlign w:val="center"/>
          </w:tcPr>
          <w:p w14:paraId="15599665">
            <w:pPr>
              <w:keepNext w:val="0"/>
              <w:keepLines w:val="0"/>
              <w:widowControl/>
              <w:suppressLineNumbers w:val="0"/>
              <w:ind w:left="0" w:leftChars="0" w:firstLine="0" w:firstLineChars="0"/>
              <w:jc w:val="left"/>
              <w:textAlignment w:val="center"/>
              <w:rPr>
                <w:rFonts w:hint="eastAsia" w:ascii="仿宋" w:hAnsi="仿宋" w:eastAsia="仿宋" w:cs="仿宋"/>
                <w:i w:val="0"/>
                <w:iCs w:val="0"/>
                <w:color w:val="000000" w:themeColor="text1"/>
                <w:sz w:val="32"/>
                <w:szCs w:val="32"/>
                <w:u w:val="none"/>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定制圆形卡布灯箱、软膜不发光</w:t>
            </w:r>
          </w:p>
        </w:tc>
      </w:tr>
    </w:tbl>
    <w:p w14:paraId="18754C8F">
      <w:pPr>
        <w:pStyle w:val="3"/>
        <w:numPr>
          <w:ilvl w:val="0"/>
          <w:numId w:val="43"/>
        </w:numPr>
        <w:tabs>
          <w:tab w:val="left" w:pos="1282"/>
        </w:tabs>
        <w:topLinePunct w:val="0"/>
        <w:ind w:left="0" w:leftChars="0" w:firstLine="482" w:firstLineChars="200"/>
        <w:rPr>
          <w:rFonts w:hint="eastAsia" w:ascii="宋体" w:hAnsi="宋体" w:eastAsia="宋体" w:cs="宋体"/>
          <w:b/>
        </w:rPr>
      </w:pPr>
      <w:r>
        <w:t>采购要求要求</w:t>
      </w:r>
    </w:p>
    <w:p w14:paraId="02E8BA67">
      <w:pPr>
        <w:pStyle w:val="12"/>
        <w:numPr>
          <w:ilvl w:val="0"/>
          <w:numId w:val="44"/>
        </w:numPr>
        <w:tabs>
          <w:tab w:val="left" w:pos="840"/>
        </w:tabs>
        <w:topLinePunct w:val="0"/>
        <w:ind w:left="0" w:leftChars="0" w:firstLine="480" w:firstLineChars="200"/>
        <w:rPr>
          <w:rFonts w:hint="eastAsia" w:ascii="宋体" w:hAnsi="宋体" w:eastAsia="宋体" w:cs="宋体"/>
          <w:b w:val="0"/>
          <w:color w:val="auto"/>
        </w:rPr>
      </w:pPr>
      <w:r>
        <w:rPr>
          <w:color w:val="auto"/>
        </w:rPr>
        <w:t>主要功能或目标:满足学校开展师生价值观、行为方向引导，符合教育目标增强师生归属感，形成群体认同感，积极文化氛围激发师生进取精神。</w:t>
      </w:r>
    </w:p>
    <w:p w14:paraId="1BBD94D5">
      <w:pPr>
        <w:pStyle w:val="12"/>
        <w:numPr>
          <w:ilvl w:val="0"/>
          <w:numId w:val="44"/>
        </w:numPr>
        <w:tabs>
          <w:tab w:val="left" w:pos="840"/>
        </w:tabs>
        <w:topLinePunct w:val="0"/>
        <w:ind w:left="0" w:leftChars="0" w:firstLine="480" w:firstLineChars="200"/>
        <w:rPr>
          <w:rFonts w:hint="eastAsia" w:ascii="宋体" w:hAnsi="宋体" w:eastAsia="宋体" w:cs="宋体"/>
          <w:b w:val="0"/>
          <w:color w:val="auto"/>
        </w:rPr>
      </w:pPr>
      <w:r>
        <w:rPr>
          <w:color w:val="auto"/>
        </w:rPr>
        <w:t>需满足的要求:满足学校校园文化建设要求，质量符合国家相关标准。</w:t>
      </w:r>
    </w:p>
    <w:p w14:paraId="7A48C2D8">
      <w:pPr>
        <w:pStyle w:val="12"/>
        <w:widowControl/>
        <w:numPr>
          <w:ilvl w:val="0"/>
          <w:numId w:val="44"/>
        </w:numPr>
        <w:tabs>
          <w:tab w:val="left" w:pos="840"/>
        </w:tabs>
        <w:topLinePunct w:val="0"/>
        <w:ind w:left="0" w:leftChars="0" w:firstLine="480" w:firstLineChars="200"/>
        <w:rPr>
          <w:rFonts w:hint="eastAsia" w:ascii="宋体" w:hAnsi="宋体" w:eastAsia="宋体" w:cs="宋体"/>
          <w:b w:val="0"/>
        </w:rPr>
      </w:pPr>
      <w:r>
        <w:rPr>
          <w:color w:val="auto"/>
        </w:rPr>
        <w:t>中标人应负责整个产品的供货、运输、安装、验收及后期服务等。</w:t>
      </w:r>
    </w:p>
    <w:p w14:paraId="4C51A231">
      <w:pPr>
        <w:pStyle w:val="2"/>
        <w:numPr>
          <w:ilvl w:val="0"/>
          <w:numId w:val="43"/>
        </w:numPr>
        <w:tabs>
          <w:tab w:val="left" w:pos="1282"/>
        </w:tabs>
        <w:topLinePunct w:val="0"/>
        <w:ind w:left="0" w:leftChars="0" w:firstLine="482" w:firstLineChars="200"/>
        <w:rPr>
          <w:b/>
        </w:rPr>
      </w:pPr>
      <w:r>
        <w:t>商务要求</w:t>
      </w:r>
    </w:p>
    <w:p w14:paraId="0EB89FED">
      <w:pPr>
        <w:pStyle w:val="12"/>
        <w:widowControl/>
        <w:numPr>
          <w:ilvl w:val="0"/>
          <w:numId w:val="45"/>
        </w:numPr>
        <w:tabs>
          <w:tab w:val="left" w:pos="962"/>
        </w:tabs>
        <w:topLinePunct w:val="0"/>
        <w:ind w:left="0" w:leftChars="0" w:firstLine="482" w:firstLineChars="200"/>
        <w:rPr>
          <w:rFonts w:hint="eastAsia" w:ascii="宋体" w:hAnsi="宋体" w:eastAsia="宋体" w:cs="宋体"/>
          <w:b w:val="0"/>
          <w:color w:val="auto"/>
        </w:rPr>
      </w:pPr>
      <w:r>
        <w:rPr>
          <w:b/>
          <w:color w:val="000000"/>
        </w:rPr>
        <w:t>交货</w:t>
      </w:r>
      <w:r>
        <w:rPr>
          <w:b/>
          <w:color w:val="auto"/>
        </w:rPr>
        <w:t>地点:</w:t>
      </w:r>
      <w:r>
        <w:rPr>
          <w:color w:val="auto"/>
        </w:rPr>
        <w:t xml:space="preserve"> 榆林高新区第十三小学指定地点。</w:t>
      </w:r>
    </w:p>
    <w:p w14:paraId="2E728625">
      <w:pPr>
        <w:pStyle w:val="12"/>
        <w:widowControl/>
        <w:numPr>
          <w:ilvl w:val="0"/>
          <w:numId w:val="45"/>
        </w:numPr>
        <w:tabs>
          <w:tab w:val="left" w:pos="962"/>
        </w:tabs>
        <w:topLinePunct w:val="0"/>
        <w:ind w:left="0" w:leftChars="0" w:firstLine="482" w:firstLineChars="200"/>
        <w:rPr>
          <w:rFonts w:hint="eastAsia" w:ascii="宋体" w:hAnsi="宋体" w:eastAsia="宋体" w:cs="宋体"/>
          <w:b/>
          <w:color w:val="auto"/>
        </w:rPr>
      </w:pPr>
      <w:r>
        <w:rPr>
          <w:b/>
          <w:color w:val="auto"/>
        </w:rPr>
        <w:t>交货期</w:t>
      </w:r>
      <w:r>
        <w:rPr>
          <w:b/>
          <w:color w:val="auto"/>
          <w:highlight w:val="none"/>
        </w:rPr>
        <w:t>：</w:t>
      </w:r>
      <w:r>
        <w:rPr>
          <w:rFonts w:hint="eastAsia"/>
          <w:b/>
          <w:color w:val="auto"/>
          <w:highlight w:val="none"/>
          <w:lang w:eastAsia="zh-CN"/>
        </w:rPr>
        <w:t>合同签订后60日历天内完成本项目并验收</w:t>
      </w:r>
    </w:p>
    <w:p w14:paraId="4094218E">
      <w:pPr>
        <w:pStyle w:val="12"/>
        <w:widowControl/>
        <w:numPr>
          <w:ilvl w:val="0"/>
          <w:numId w:val="45"/>
        </w:numPr>
        <w:tabs>
          <w:tab w:val="left" w:pos="962"/>
        </w:tabs>
        <w:topLinePunct w:val="0"/>
        <w:ind w:left="0" w:leftChars="0" w:firstLine="482" w:firstLineChars="200"/>
        <w:rPr>
          <w:rFonts w:hint="eastAsia" w:ascii="宋体" w:hAnsi="宋体" w:eastAsia="宋体" w:cs="宋体"/>
          <w:b/>
          <w:color w:val="auto"/>
        </w:rPr>
      </w:pPr>
      <w:r>
        <w:rPr>
          <w:rFonts w:hint="eastAsia"/>
          <w:b/>
          <w:color w:val="auto"/>
          <w:highlight w:val="none"/>
          <w:lang w:eastAsia="zh-CN"/>
        </w:rPr>
        <w:t>合格</w:t>
      </w:r>
      <w:r>
        <w:rPr>
          <w:b/>
          <w:color w:val="auto"/>
        </w:rPr>
        <w:t>合同价款：</w:t>
      </w:r>
    </w:p>
    <w:p w14:paraId="0958129E">
      <w:pPr>
        <w:pStyle w:val="12"/>
        <w:widowControl/>
        <w:ind w:left="0" w:leftChars="0" w:firstLine="480" w:firstLineChars="200"/>
        <w:rPr>
          <w:color w:val="auto"/>
        </w:rPr>
      </w:pPr>
      <w:r>
        <w:rPr>
          <w:color w:val="auto"/>
        </w:rPr>
        <w:t>1．合同总价包括：产品供应价、运杂费(含保险)、安装调试费、及其验收费用。</w:t>
      </w:r>
    </w:p>
    <w:p w14:paraId="1063A8E8">
      <w:pPr>
        <w:pStyle w:val="12"/>
        <w:widowControl/>
        <w:ind w:left="0" w:leftChars="0" w:firstLine="480" w:firstLineChars="200"/>
        <w:rPr>
          <w:color w:val="auto"/>
        </w:rPr>
      </w:pPr>
      <w:r>
        <w:rPr>
          <w:color w:val="auto"/>
        </w:rPr>
        <w:t>2．合同总价不受市场价变化的影响，不受实际数量变化的影响。</w:t>
      </w:r>
    </w:p>
    <w:p w14:paraId="3FBAF951">
      <w:pPr>
        <w:pStyle w:val="12"/>
        <w:widowControl/>
        <w:numPr>
          <w:ilvl w:val="0"/>
          <w:numId w:val="45"/>
        </w:numPr>
        <w:tabs>
          <w:tab w:val="left" w:pos="962"/>
        </w:tabs>
        <w:topLinePunct w:val="0"/>
        <w:ind w:left="0" w:leftChars="0" w:firstLine="482" w:firstLineChars="200"/>
        <w:rPr>
          <w:rFonts w:hint="eastAsia" w:ascii="宋体" w:hAnsi="宋体" w:eastAsia="宋体" w:cs="宋体"/>
          <w:b/>
          <w:color w:val="auto"/>
          <w:highlight w:val="none"/>
        </w:rPr>
      </w:pPr>
      <w:r>
        <w:rPr>
          <w:b/>
          <w:color w:val="auto"/>
          <w:highlight w:val="none"/>
        </w:rPr>
        <w:t>款项结算</w:t>
      </w:r>
    </w:p>
    <w:p w14:paraId="580F3A45">
      <w:pPr>
        <w:pStyle w:val="12"/>
        <w:numPr>
          <w:ilvl w:val="0"/>
          <w:numId w:val="46"/>
        </w:numPr>
        <w:tabs>
          <w:tab w:val="left" w:pos="96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color w:val="000000" w:themeColor="text1"/>
          <w14:textFill>
            <w14:solidFill>
              <w14:schemeClr w14:val="tx1"/>
            </w14:solidFill>
          </w14:textFill>
        </w:rPr>
        <w:t>签定合同后甲方预付合同总金额的40%，乙方完成本项目服务并验收合格后，一次性</w:t>
      </w:r>
      <w:bookmarkStart w:id="116" w:name="_GoBack"/>
      <w:bookmarkEnd w:id="116"/>
      <w:r>
        <w:rPr>
          <w:color w:val="000000" w:themeColor="text1"/>
          <w14:textFill>
            <w14:solidFill>
              <w14:schemeClr w14:val="tx1"/>
            </w14:solidFill>
          </w14:textFill>
        </w:rPr>
        <w:t>付清剩余合同价款。</w:t>
      </w:r>
    </w:p>
    <w:p w14:paraId="045247FD">
      <w:pPr>
        <w:pStyle w:val="12"/>
        <w:numPr>
          <w:ilvl w:val="0"/>
          <w:numId w:val="46"/>
        </w:numPr>
        <w:tabs>
          <w:tab w:val="left" w:pos="96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color w:val="000000" w:themeColor="text1"/>
          <w14:textFill>
            <w14:solidFill>
              <w14:schemeClr w14:val="tx1"/>
            </w14:solidFill>
          </w14:textFill>
        </w:rPr>
        <w:t>支付方式：银行转账。</w:t>
      </w:r>
    </w:p>
    <w:p w14:paraId="7FB2B1F7">
      <w:pPr>
        <w:pStyle w:val="12"/>
        <w:numPr>
          <w:ilvl w:val="0"/>
          <w:numId w:val="46"/>
        </w:numPr>
        <w:tabs>
          <w:tab w:val="left" w:pos="960"/>
          <w:tab w:val="clear" w:pos="210"/>
        </w:tabs>
        <w:ind w:left="0" w:leftChars="0" w:firstLine="480" w:firstLineChars="200"/>
        <w:rPr>
          <w:rFonts w:hint="eastAsia" w:ascii="宋体" w:hAnsi="宋体" w:eastAsia="宋体" w:cs="宋体"/>
          <w:b w:val="0"/>
          <w:color w:val="000000" w:themeColor="text1"/>
          <w14:textFill>
            <w14:solidFill>
              <w14:schemeClr w14:val="tx1"/>
            </w14:solidFill>
          </w14:textFill>
        </w:rPr>
      </w:pPr>
      <w:r>
        <w:rPr>
          <w:color w:val="000000" w:themeColor="text1"/>
          <w14:textFill>
            <w14:solidFill>
              <w14:schemeClr w14:val="tx1"/>
            </w14:solidFill>
          </w14:textFill>
        </w:rPr>
        <w:t>结算方式：投标人持成交通知书、发票（按合同总价直开采购人）、合同，与采购人结算。</w:t>
      </w:r>
    </w:p>
    <w:p w14:paraId="49CB0EFB">
      <w:pPr>
        <w:pStyle w:val="12"/>
        <w:widowControl/>
        <w:numPr>
          <w:ilvl w:val="0"/>
          <w:numId w:val="45"/>
        </w:numPr>
        <w:tabs>
          <w:tab w:val="left" w:pos="962"/>
        </w:tabs>
        <w:topLinePunct w:val="0"/>
        <w:ind w:left="0" w:leftChars="0" w:firstLine="480" w:firstLineChars="200"/>
        <w:rPr>
          <w:rFonts w:hint="eastAsia" w:ascii="宋体" w:hAnsi="宋体" w:eastAsia="宋体" w:cs="宋体"/>
          <w:b w:val="0"/>
          <w:color w:val="auto"/>
        </w:rPr>
      </w:pPr>
      <w:r>
        <w:rPr>
          <w:color w:val="auto"/>
        </w:rPr>
        <w:t>技术服务总要求</w:t>
      </w:r>
    </w:p>
    <w:p w14:paraId="463F1667">
      <w:pPr>
        <w:pStyle w:val="12"/>
        <w:widowControl/>
        <w:ind w:left="0" w:leftChars="0" w:firstLine="480" w:firstLineChars="200"/>
        <w:rPr>
          <w:color w:val="auto"/>
        </w:rPr>
      </w:pPr>
      <w:r>
        <w:rPr>
          <w:color w:val="auto"/>
        </w:rPr>
        <w:t>中标人应负责整个产品的供货、运输、安装、验收及后期服务等。</w:t>
      </w:r>
    </w:p>
    <w:p w14:paraId="72AFB013">
      <w:pPr>
        <w:pStyle w:val="12"/>
        <w:widowControl/>
        <w:numPr>
          <w:ilvl w:val="0"/>
          <w:numId w:val="45"/>
        </w:numPr>
        <w:tabs>
          <w:tab w:val="left" w:pos="962"/>
        </w:tabs>
        <w:topLinePunct w:val="0"/>
        <w:ind w:left="0" w:leftChars="0" w:firstLine="480" w:firstLineChars="200"/>
        <w:rPr>
          <w:rFonts w:hint="eastAsia" w:ascii="宋体" w:hAnsi="宋体" w:eastAsia="宋体" w:cs="宋体"/>
          <w:b w:val="0"/>
          <w:color w:val="auto"/>
        </w:rPr>
      </w:pPr>
      <w:r>
        <w:rPr>
          <w:color w:val="auto"/>
        </w:rPr>
        <w:t>运输</w:t>
      </w:r>
    </w:p>
    <w:p w14:paraId="38D06E1A">
      <w:pPr>
        <w:pStyle w:val="12"/>
        <w:widowControl/>
        <w:numPr>
          <w:ilvl w:val="0"/>
          <w:numId w:val="47"/>
        </w:numPr>
        <w:tabs>
          <w:tab w:val="left" w:pos="960"/>
          <w:tab w:val="clear" w:pos="210"/>
        </w:tabs>
        <w:ind w:left="0" w:leftChars="0" w:firstLine="480" w:firstLineChars="200"/>
        <w:rPr>
          <w:rFonts w:hint="eastAsia" w:ascii="宋体" w:hAnsi="宋体" w:eastAsia="宋体" w:cs="宋体"/>
          <w:b w:val="0"/>
          <w:color w:val="auto"/>
        </w:rPr>
      </w:pPr>
      <w:r>
        <w:rPr>
          <w:color w:val="auto"/>
        </w:rPr>
        <w:t>运杂费：已包含在合同总价内，包括从产品供应地点到交货地点所包含的运输费、保险费、搬运费等。</w:t>
      </w:r>
    </w:p>
    <w:p w14:paraId="66703DA9">
      <w:pPr>
        <w:pStyle w:val="12"/>
        <w:widowControl/>
        <w:numPr>
          <w:ilvl w:val="0"/>
          <w:numId w:val="47"/>
        </w:numPr>
        <w:tabs>
          <w:tab w:val="left" w:pos="960"/>
          <w:tab w:val="clear" w:pos="210"/>
        </w:tabs>
        <w:ind w:left="0" w:leftChars="0" w:firstLine="480" w:firstLineChars="200"/>
        <w:rPr>
          <w:rFonts w:hint="eastAsia" w:ascii="宋体" w:hAnsi="宋体" w:eastAsia="宋体" w:cs="宋体"/>
          <w:b w:val="0"/>
          <w:color w:val="auto"/>
        </w:rPr>
      </w:pPr>
      <w:r>
        <w:rPr>
          <w:color w:val="auto"/>
        </w:rPr>
        <w:t>运输方式：自行选择。</w:t>
      </w:r>
    </w:p>
    <w:p w14:paraId="7A2DE84B">
      <w:pPr>
        <w:pStyle w:val="12"/>
        <w:widowControl/>
        <w:numPr>
          <w:ilvl w:val="0"/>
          <w:numId w:val="45"/>
        </w:numPr>
        <w:tabs>
          <w:tab w:val="left" w:pos="962"/>
        </w:tabs>
        <w:topLinePunct w:val="0"/>
        <w:ind w:left="0" w:leftChars="0" w:firstLine="480" w:firstLineChars="200"/>
        <w:rPr>
          <w:rFonts w:hint="eastAsia" w:ascii="宋体" w:hAnsi="宋体" w:eastAsia="宋体" w:cs="宋体"/>
          <w:b w:val="0"/>
          <w:color w:val="auto"/>
        </w:rPr>
      </w:pPr>
      <w:r>
        <w:rPr>
          <w:color w:val="auto"/>
        </w:rPr>
        <w:t>安装</w:t>
      </w:r>
    </w:p>
    <w:p w14:paraId="64C2B397">
      <w:pPr>
        <w:pStyle w:val="12"/>
        <w:widowControl/>
        <w:ind w:left="0" w:leftChars="0" w:firstLine="480" w:firstLineChars="200"/>
        <w:rPr>
          <w:color w:val="auto"/>
        </w:rPr>
      </w:pPr>
      <w:r>
        <w:rPr>
          <w:color w:val="auto"/>
        </w:rPr>
        <w:t>中标单位必须按照合同要求，将货物送到指定地点，派技术人员完成安装等任务，并承担由此发生的一切费用，且应在报价文件中做出明确承诺。</w:t>
      </w:r>
    </w:p>
    <w:p w14:paraId="7595C0A6">
      <w:pPr>
        <w:pStyle w:val="12"/>
        <w:widowControl/>
        <w:numPr>
          <w:ilvl w:val="0"/>
          <w:numId w:val="45"/>
        </w:numPr>
        <w:tabs>
          <w:tab w:val="left" w:pos="962"/>
        </w:tabs>
        <w:topLinePunct w:val="0"/>
        <w:ind w:left="0" w:leftChars="0" w:firstLine="480" w:firstLineChars="200"/>
        <w:rPr>
          <w:rFonts w:hint="eastAsia" w:ascii="宋体" w:hAnsi="宋体" w:eastAsia="宋体" w:cs="宋体"/>
          <w:b w:val="0"/>
          <w:color w:val="auto"/>
        </w:rPr>
      </w:pPr>
      <w:r>
        <w:rPr>
          <w:color w:val="auto"/>
        </w:rPr>
        <w:t>质量保证</w:t>
      </w:r>
    </w:p>
    <w:p w14:paraId="70A4F8E0">
      <w:pPr>
        <w:pStyle w:val="12"/>
        <w:widowControl/>
        <w:numPr>
          <w:ilvl w:val="0"/>
          <w:numId w:val="48"/>
        </w:numPr>
        <w:tabs>
          <w:tab w:val="left" w:pos="960"/>
          <w:tab w:val="clear" w:pos="210"/>
        </w:tabs>
        <w:ind w:left="0" w:leftChars="0" w:firstLine="480" w:firstLineChars="200"/>
        <w:rPr>
          <w:rFonts w:hint="eastAsia" w:ascii="宋体" w:hAnsi="宋体" w:eastAsia="宋体" w:cs="宋体"/>
          <w:b w:val="0"/>
          <w:color w:val="auto"/>
        </w:rPr>
      </w:pPr>
      <w:r>
        <w:rPr>
          <w:color w:val="auto"/>
        </w:rPr>
        <w:t>选用的产品及材料必须保证质量可靠、进货渠道正常，配置合理，满足标书要求。</w:t>
      </w:r>
    </w:p>
    <w:p w14:paraId="7B97A06E">
      <w:pPr>
        <w:pStyle w:val="12"/>
        <w:widowControl/>
        <w:numPr>
          <w:ilvl w:val="0"/>
          <w:numId w:val="48"/>
        </w:numPr>
        <w:tabs>
          <w:tab w:val="left" w:pos="960"/>
          <w:tab w:val="clear" w:pos="210"/>
        </w:tabs>
        <w:ind w:left="0" w:leftChars="0" w:firstLine="480" w:firstLineChars="200"/>
        <w:rPr>
          <w:rFonts w:hint="eastAsia" w:ascii="宋体" w:hAnsi="宋体" w:eastAsia="宋体" w:cs="宋体"/>
          <w:b w:val="0"/>
          <w:color w:val="auto"/>
        </w:rPr>
      </w:pPr>
      <w:r>
        <w:rPr>
          <w:color w:val="auto"/>
        </w:rPr>
        <w:t>产品因所用原材料或加工工艺造成的质量和内外观缺陷问题，由中标单位负责解决并承担费用。</w:t>
      </w:r>
    </w:p>
    <w:p w14:paraId="36C5F636">
      <w:pPr>
        <w:pStyle w:val="12"/>
        <w:widowControl/>
        <w:numPr>
          <w:ilvl w:val="0"/>
          <w:numId w:val="48"/>
        </w:numPr>
        <w:tabs>
          <w:tab w:val="left" w:pos="960"/>
          <w:tab w:val="clear" w:pos="210"/>
        </w:tabs>
        <w:ind w:left="0" w:leftChars="0" w:firstLine="480" w:firstLineChars="200"/>
        <w:rPr>
          <w:rFonts w:hint="eastAsia" w:ascii="宋体" w:hAnsi="宋体" w:eastAsia="宋体" w:cs="宋体"/>
          <w:b w:val="0"/>
          <w:color w:val="auto"/>
        </w:rPr>
      </w:pPr>
      <w:r>
        <w:rPr>
          <w:color w:val="auto"/>
        </w:rPr>
        <w:t>产品质量保证措施完善，符合国家相关标准。</w:t>
      </w:r>
    </w:p>
    <w:p w14:paraId="59D6555D">
      <w:pPr>
        <w:pStyle w:val="12"/>
        <w:widowControl/>
        <w:numPr>
          <w:ilvl w:val="0"/>
          <w:numId w:val="48"/>
        </w:numPr>
        <w:tabs>
          <w:tab w:val="left" w:pos="960"/>
          <w:tab w:val="clear" w:pos="210"/>
        </w:tabs>
        <w:ind w:left="0" w:leftChars="0" w:firstLine="480" w:firstLineChars="200"/>
        <w:rPr>
          <w:rFonts w:hint="eastAsia" w:ascii="宋体" w:hAnsi="宋体" w:eastAsia="宋体" w:cs="宋体"/>
          <w:b w:val="0"/>
          <w:color w:val="auto"/>
        </w:rPr>
      </w:pPr>
      <w:r>
        <w:rPr>
          <w:color w:val="auto"/>
        </w:rPr>
        <w:t>提供不低于1年（技术参数要求中另有要求的除外）的质保期，质保期从验收合格之日算起，质保期内所有维修均免费（人为因素及不可抗力造成的损毁除外），质保期外只收取零配件成本费用，质保期外重复出现质保期内出现的故障属免费保修范围，质保期内出现的故障在一个月内不能修复的在接到采购人（用户）通知后免费更换同型号的设备，交货期与投标文件的承诺相同；</w:t>
      </w:r>
    </w:p>
    <w:p w14:paraId="59ABD64A">
      <w:pPr>
        <w:pStyle w:val="12"/>
        <w:widowControl/>
        <w:numPr>
          <w:ilvl w:val="0"/>
          <w:numId w:val="45"/>
        </w:numPr>
        <w:tabs>
          <w:tab w:val="left" w:pos="962"/>
        </w:tabs>
        <w:topLinePunct w:val="0"/>
        <w:ind w:left="0" w:leftChars="0" w:firstLine="480" w:firstLineChars="200"/>
        <w:rPr>
          <w:b w:val="0"/>
          <w:color w:val="auto"/>
        </w:rPr>
      </w:pPr>
      <w:r>
        <w:rPr>
          <w:color w:val="auto"/>
        </w:rPr>
        <w:t>故障响应</w:t>
      </w:r>
    </w:p>
    <w:p w14:paraId="2B2C2863">
      <w:pPr>
        <w:pStyle w:val="12"/>
        <w:widowControl/>
        <w:numPr>
          <w:ilvl w:val="0"/>
          <w:numId w:val="49"/>
        </w:numPr>
        <w:tabs>
          <w:tab w:val="left" w:pos="960"/>
          <w:tab w:val="clear" w:pos="210"/>
        </w:tabs>
        <w:ind w:left="0" w:leftChars="0" w:firstLine="480" w:firstLineChars="200"/>
        <w:rPr>
          <w:rFonts w:hint="eastAsia" w:ascii="宋体" w:hAnsi="宋体" w:eastAsia="宋体" w:cs="宋体"/>
          <w:b w:val="0"/>
        </w:rPr>
      </w:pPr>
      <w:r>
        <w:rPr>
          <w:color w:val="auto"/>
        </w:rPr>
        <w:t>供应商应提供维修点地址、电话、联系人。在接到用户报修电话后，工作日6小时内赶到现场，节假日24小时内赶至现场进</w:t>
      </w:r>
      <w:r>
        <w:t>行维修。</w:t>
      </w:r>
      <w:r>
        <w:rPr>
          <w:color w:val="000000"/>
        </w:rPr>
        <w:t>否则使用方将自行采取必要的措施，由此产生风险和费用应由卖方承担。</w:t>
      </w:r>
    </w:p>
    <w:p w14:paraId="1CD9E29B">
      <w:pPr>
        <w:pStyle w:val="12"/>
        <w:widowControl/>
        <w:numPr>
          <w:ilvl w:val="0"/>
          <w:numId w:val="49"/>
        </w:numPr>
        <w:tabs>
          <w:tab w:val="left" w:pos="960"/>
          <w:tab w:val="clear" w:pos="210"/>
        </w:tabs>
        <w:ind w:left="0" w:leftChars="0" w:firstLine="480" w:firstLineChars="200"/>
        <w:rPr>
          <w:rFonts w:hint="eastAsia" w:ascii="宋体" w:hAnsi="宋体" w:eastAsia="宋体" w:cs="宋体"/>
          <w:b w:val="0"/>
          <w:color w:val="000000"/>
        </w:rPr>
      </w:pPr>
      <w:r>
        <w:rPr>
          <w:color w:val="000000"/>
        </w:rPr>
        <w:t>在保修期内（保修起始日期应为货到验收合格之日起），供应商在接到用户对所购产品进行维修的要求后，应在4小时内给予答复，并派出合格的维修人员在一个工作日内到用户现场进行维修服务，全部费用由卖方支付，若需将产品送回生产厂，卖方还应支付维修产品所需的往返费用。</w:t>
      </w:r>
    </w:p>
    <w:p w14:paraId="5C16DD13">
      <w:pPr>
        <w:pStyle w:val="12"/>
        <w:widowControl/>
        <w:numPr>
          <w:ilvl w:val="0"/>
          <w:numId w:val="49"/>
        </w:numPr>
        <w:tabs>
          <w:tab w:val="left" w:pos="960"/>
          <w:tab w:val="clear" w:pos="210"/>
        </w:tabs>
        <w:ind w:left="0" w:leftChars="0" w:firstLine="480" w:firstLineChars="200"/>
        <w:rPr>
          <w:b w:val="0"/>
          <w:color w:val="auto"/>
        </w:rPr>
      </w:pPr>
      <w:r>
        <w:rPr>
          <w:color w:val="000000"/>
        </w:rPr>
        <w:t>.技术培训</w:t>
      </w:r>
    </w:p>
    <w:p w14:paraId="72C625A4">
      <w:pPr>
        <w:pStyle w:val="12"/>
        <w:widowControl/>
        <w:ind w:left="0" w:leftChars="0" w:firstLine="480" w:firstLineChars="200"/>
        <w:rPr>
          <w:color w:val="000000"/>
        </w:rPr>
      </w:pPr>
      <w:r>
        <w:rPr>
          <w:color w:val="000000"/>
        </w:rPr>
        <w:t>供应商应从产品使用操作、保养维修技术等方面对受训人员进行培训，使受训人员达到独立使用、熟练操作的程度。受训人员的培训费等已包含在合同总价中，招标人不再另行支付。</w:t>
      </w:r>
    </w:p>
    <w:p w14:paraId="00B0709C">
      <w:pPr>
        <w:pageBreakBefore w:val="0"/>
        <w:kinsoku/>
        <w:wordWrap w:val="0"/>
        <w:overflowPunct/>
        <w:topLinePunct/>
        <w:autoSpaceDE/>
        <w:autoSpaceDN/>
        <w:bidi w:val="0"/>
        <w:spacing w:line="360" w:lineRule="auto"/>
        <w:ind w:firstLine="240" w:firstLineChars="100"/>
        <w:jc w:val="both"/>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十、</w:t>
      </w:r>
      <w:r>
        <w:rPr>
          <w:rFonts w:hint="eastAsia" w:ascii="宋体" w:hAnsi="宋体" w:eastAsia="宋体" w:cs="宋体"/>
          <w:b w:val="0"/>
          <w:bCs w:val="0"/>
          <w:color w:val="auto"/>
          <w:sz w:val="24"/>
          <w:highlight w:val="none"/>
        </w:rPr>
        <w:t>技术要求</w:t>
      </w:r>
    </w:p>
    <w:p w14:paraId="4DC989F0">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供货方案应当完全满足谈判文件规定的以下要求，至少包括：</w:t>
      </w:r>
    </w:p>
    <w:p w14:paraId="707DA51E">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1）投标内容技术证明资料满足采购人及谈判文件的要求；</w:t>
      </w:r>
    </w:p>
    <w:p w14:paraId="27E4ACC8">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2）供应商应具备完成本次</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的保障能力；</w:t>
      </w:r>
    </w:p>
    <w:p w14:paraId="0D8FA4C8">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3）供应商有完整的</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组织实施方案；</w:t>
      </w:r>
    </w:p>
    <w:p w14:paraId="45599303">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4）供应商有经谈判代表签字并加盖公章的完成本项目的质量保证承诺书；</w:t>
      </w:r>
    </w:p>
    <w:p w14:paraId="50CA7824">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5）供应商有经谈判代表签字并盖章的完成本项目的售后服务的承诺书；</w:t>
      </w:r>
    </w:p>
    <w:p w14:paraId="256CF117">
      <w:pPr>
        <w:pageBreakBefore w:val="0"/>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）满足谈判文件规定的其他要求。</w:t>
      </w:r>
    </w:p>
    <w:p w14:paraId="7602FC59">
      <w:pPr>
        <w:pStyle w:val="12"/>
        <w:widowControl/>
        <w:numPr>
          <w:numId w:val="0"/>
        </w:numPr>
        <w:tabs>
          <w:tab w:val="left" w:pos="962"/>
        </w:tabs>
        <w:topLinePunct w:val="0"/>
        <w:ind w:leftChars="200"/>
        <w:rPr>
          <w:rFonts w:hint="eastAsia" w:ascii="宋体" w:hAnsi="宋体" w:eastAsia="宋体" w:cs="宋体"/>
          <w:b w:val="0"/>
          <w:color w:val="000000"/>
          <w:lang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）谈判文件的采购内容及要求为最低要求，</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应当完全满足，不允许出现负偏</w:t>
      </w:r>
      <w:r>
        <w:rPr>
          <w:rFonts w:hint="eastAsia" w:ascii="宋体" w:hAnsi="宋体" w:eastAsia="宋体" w:cs="宋体"/>
          <w:color w:val="auto"/>
          <w:sz w:val="24"/>
          <w:highlight w:val="none"/>
          <w:lang w:eastAsia="zh-CN"/>
        </w:rPr>
        <w:t>。</w:t>
      </w:r>
    </w:p>
    <w:p w14:paraId="57196AAB">
      <w:pPr>
        <w:pStyle w:val="12"/>
        <w:widowControl/>
        <w:numPr>
          <w:numId w:val="0"/>
        </w:numPr>
        <w:tabs>
          <w:tab w:val="left" w:pos="962"/>
        </w:tabs>
        <w:topLinePunct w:val="0"/>
        <w:ind w:leftChars="200"/>
        <w:rPr>
          <w:rFonts w:hint="eastAsia" w:ascii="宋体" w:hAnsi="宋体" w:eastAsia="宋体" w:cs="宋体"/>
          <w:b w:val="0"/>
          <w:color w:val="000000"/>
        </w:rPr>
      </w:pPr>
      <w:r>
        <w:rPr>
          <w:rFonts w:hint="eastAsia" w:ascii="宋体" w:hAnsi="宋体" w:cs="宋体"/>
          <w:b w:val="0"/>
          <w:color w:val="000000"/>
          <w:lang w:val="en-US" w:eastAsia="zh-CN"/>
        </w:rPr>
        <w:t>十一、验收</w:t>
      </w:r>
    </w:p>
    <w:p w14:paraId="635E23B4">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11.1</w:t>
      </w:r>
      <w:r>
        <w:rPr>
          <w:color w:val="000000"/>
        </w:rPr>
        <w:t>到货后，乙方负责安装调试，达到正常使用后通知招标人验收。</w:t>
      </w:r>
    </w:p>
    <w:p w14:paraId="161FDF11">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11.2</w:t>
      </w:r>
      <w:r>
        <w:rPr>
          <w:color w:val="000000"/>
        </w:rPr>
        <w:t>招标人根据合同要求对产品进行验收、确认产品的产地、规格、型号和数量。由</w:t>
      </w:r>
      <w:r>
        <w:rPr>
          <w:color w:val="auto"/>
        </w:rPr>
        <w:t>项目由代理公司和招标人组织</w:t>
      </w:r>
      <w:r>
        <w:rPr>
          <w:color w:val="000000"/>
        </w:rPr>
        <w:t>邀请省财政厅专家库专家进行验收，验收时中标人应无条件予以配合并提供验收所需的全部资料，验收结束后，应当出具验收书，列明各项标准的验收情况及项目总体评价，由验收双方共同签署。验收所产生的费用由中标人承担。</w:t>
      </w:r>
    </w:p>
    <w:p w14:paraId="7911D13F">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11.3</w:t>
      </w:r>
      <w:r>
        <w:rPr>
          <w:color w:val="000000"/>
        </w:rPr>
        <w:t>验收合格后，并向使用单位提交产品所包含的所有资料，以便使用。</w:t>
      </w:r>
    </w:p>
    <w:p w14:paraId="777C6FD8">
      <w:pPr>
        <w:pStyle w:val="12"/>
        <w:widowControl/>
        <w:numPr>
          <w:ilvl w:val="0"/>
          <w:numId w:val="45"/>
        </w:numPr>
        <w:tabs>
          <w:tab w:val="left" w:pos="962"/>
        </w:tabs>
        <w:topLinePunct w:val="0"/>
        <w:ind w:left="0" w:leftChars="0" w:firstLine="480" w:firstLineChars="200"/>
        <w:rPr>
          <w:rFonts w:hint="eastAsia" w:ascii="宋体" w:hAnsi="宋体" w:eastAsia="宋体" w:cs="宋体"/>
          <w:b w:val="0"/>
          <w:color w:val="000000"/>
        </w:rPr>
      </w:pPr>
      <w:r>
        <w:rPr>
          <w:rFonts w:hint="eastAsia"/>
          <w:color w:val="000000"/>
          <w:lang w:val="en-US" w:eastAsia="zh-CN"/>
        </w:rPr>
        <w:t>二</w:t>
      </w:r>
      <w:r>
        <w:rPr>
          <w:color w:val="000000"/>
        </w:rPr>
        <w:t>验收标准</w:t>
      </w:r>
    </w:p>
    <w:p w14:paraId="332E0AE7">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12.1</w:t>
      </w:r>
      <w:r>
        <w:rPr>
          <w:color w:val="000000"/>
        </w:rPr>
        <w:t>中标人所提供的货物应与所投产品一致。</w:t>
      </w:r>
    </w:p>
    <w:p w14:paraId="2DCE97DA">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12.2</w:t>
      </w:r>
      <w:r>
        <w:rPr>
          <w:color w:val="000000"/>
        </w:rPr>
        <w:t>投标人提供的所有货物和服务，其质量、技术等特征必须符合国家、行业现行的标准及用户需求；</w:t>
      </w:r>
    </w:p>
    <w:p w14:paraId="59E086FE">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12.3</w:t>
      </w:r>
      <w:r>
        <w:rPr>
          <w:color w:val="000000"/>
        </w:rPr>
        <w:t>所有设备必须有相应的详细中文说明书；</w:t>
      </w:r>
    </w:p>
    <w:p w14:paraId="2C3BC3C5">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12.4</w:t>
      </w:r>
      <w:r>
        <w:rPr>
          <w:color w:val="000000"/>
        </w:rPr>
        <w:t>采购人有权拒绝接受任何不合格的货物和服务，由此产生的费用及相关后果均由投标人自行承担。</w:t>
      </w:r>
    </w:p>
    <w:p w14:paraId="6BAA5857">
      <w:pPr>
        <w:pStyle w:val="12"/>
        <w:widowControl/>
        <w:numPr>
          <w:numId w:val="0"/>
        </w:numPr>
        <w:tabs>
          <w:tab w:val="left" w:pos="1080"/>
        </w:tabs>
        <w:ind w:leftChars="200"/>
        <w:rPr>
          <w:rFonts w:hint="eastAsia" w:ascii="宋体" w:hAnsi="宋体" w:eastAsia="宋体" w:cs="宋体"/>
          <w:b w:val="0"/>
          <w:color w:val="000000"/>
        </w:rPr>
      </w:pPr>
      <w:r>
        <w:rPr>
          <w:rFonts w:hint="eastAsia"/>
          <w:color w:val="000000"/>
          <w:lang w:val="en-US" w:eastAsia="zh-CN"/>
        </w:rPr>
        <w:t>12.5</w:t>
      </w:r>
      <w:r>
        <w:rPr>
          <w:color w:val="000000"/>
        </w:rPr>
        <w:t>验收按国家有关的规定、规范进行。</w:t>
      </w:r>
    </w:p>
    <w:p w14:paraId="0217BD5C">
      <w:pPr>
        <w:pStyle w:val="12"/>
        <w:widowControl/>
        <w:numPr>
          <w:numId w:val="0"/>
        </w:numPr>
        <w:tabs>
          <w:tab w:val="left" w:pos="962"/>
        </w:tabs>
        <w:topLinePunct w:val="0"/>
        <w:ind w:leftChars="200"/>
        <w:rPr>
          <w:rFonts w:hint="eastAsia" w:ascii="宋体" w:hAnsi="宋体" w:eastAsia="宋体" w:cs="宋体"/>
          <w:b/>
          <w:color w:val="000000"/>
        </w:rPr>
      </w:pPr>
      <w:r>
        <w:rPr>
          <w:rFonts w:hint="eastAsia"/>
          <w:b/>
          <w:color w:val="000000"/>
          <w:lang w:val="en-US" w:eastAsia="zh-CN"/>
        </w:rPr>
        <w:t>十三、</w:t>
      </w:r>
      <w:r>
        <w:rPr>
          <w:b/>
          <w:color w:val="000000"/>
        </w:rPr>
        <w:t>违约责任</w:t>
      </w:r>
    </w:p>
    <w:p w14:paraId="511CF61D">
      <w:pPr>
        <w:pStyle w:val="12"/>
        <w:widowControl/>
        <w:numPr>
          <w:ilvl w:val="0"/>
          <w:numId w:val="50"/>
        </w:numPr>
        <w:tabs>
          <w:tab w:val="left" w:pos="780"/>
          <w:tab w:val="clear" w:pos="210"/>
        </w:tabs>
        <w:ind w:left="0" w:leftChars="0" w:firstLine="480" w:firstLineChars="200"/>
        <w:rPr>
          <w:b w:val="0"/>
          <w:color w:val="000000"/>
        </w:rPr>
      </w:pPr>
      <w:r>
        <w:rPr>
          <w:color w:val="000000"/>
        </w:rPr>
        <w:t>按《中华人民共和国民法典》中的相关条款执行。</w:t>
      </w:r>
    </w:p>
    <w:p w14:paraId="61DE6705">
      <w:pPr>
        <w:pStyle w:val="12"/>
        <w:widowControl/>
        <w:numPr>
          <w:ilvl w:val="0"/>
          <w:numId w:val="50"/>
        </w:numPr>
        <w:tabs>
          <w:tab w:val="left" w:pos="780"/>
          <w:tab w:val="clear" w:pos="210"/>
        </w:tabs>
        <w:ind w:left="0" w:leftChars="0" w:firstLine="480" w:firstLineChars="200"/>
        <w:rPr>
          <w:b w:val="0"/>
          <w:color w:val="000000"/>
        </w:rPr>
      </w:pPr>
      <w:r>
        <w:rPr>
          <w:color w:val="000000"/>
        </w:rPr>
        <w:t>未按合同要求提供产品或设备质量不能满足技术要求，采购人会同监督单位、代理机构有权终止合同，甚至对供方违约行为进行追究。</w:t>
      </w:r>
    </w:p>
    <w:p w14:paraId="2EE331DD">
      <w:pPr>
        <w:jc w:val="center"/>
        <w:outlineLvl w:val="9"/>
        <w:rPr>
          <w:rFonts w:hint="eastAsia" w:ascii="宋体" w:hAnsi="宋体" w:cs="宋体"/>
          <w:b/>
          <w:bCs/>
          <w:sz w:val="32"/>
          <w:szCs w:val="32"/>
        </w:rPr>
        <w:sectPr>
          <w:pgSz w:w="11906" w:h="16838"/>
          <w:pgMar w:top="1440" w:right="1800" w:bottom="1440" w:left="1800" w:header="851" w:footer="992" w:gutter="0"/>
          <w:pgNumType w:fmt="decimal"/>
          <w:cols w:space="720" w:num="1"/>
          <w:docGrid w:type="lines" w:linePitch="312" w:charSpace="0"/>
        </w:sectPr>
      </w:pPr>
    </w:p>
    <w:p w14:paraId="2E893855">
      <w:pPr>
        <w:pStyle w:val="50"/>
        <w:widowControl/>
        <w:ind w:left="0" w:leftChars="0" w:firstLine="0" w:firstLineChars="0"/>
        <w:outlineLvl w:val="0"/>
      </w:pPr>
      <w:r>
        <w:t>第四章采购合同</w:t>
      </w:r>
      <w:bookmarkEnd w:id="52"/>
    </w:p>
    <w:p w14:paraId="4A86D4D9">
      <w:pPr>
        <w:pStyle w:val="12"/>
        <w:widowControl/>
        <w:ind w:left="0" w:leftChars="0" w:firstLine="480" w:firstLineChars="200"/>
        <w:rPr>
          <w:color w:val="auto"/>
        </w:rPr>
      </w:pPr>
      <w:r>
        <w:rPr>
          <w:color w:val="auto"/>
        </w:rPr>
        <w:t xml:space="preserve">甲方（采购人）：                                                    </w:t>
      </w:r>
    </w:p>
    <w:p w14:paraId="3613462C">
      <w:pPr>
        <w:pStyle w:val="12"/>
        <w:widowControl/>
        <w:ind w:left="0" w:leftChars="0" w:firstLine="480" w:firstLineChars="200"/>
        <w:rPr>
          <w:color w:val="auto"/>
        </w:rPr>
      </w:pPr>
      <w:r>
        <w:rPr>
          <w:color w:val="auto"/>
        </w:rPr>
        <w:t xml:space="preserve">乙方（中标人）：                                                </w:t>
      </w:r>
    </w:p>
    <w:p w14:paraId="49F355D4">
      <w:pPr>
        <w:pStyle w:val="12"/>
        <w:widowControl/>
        <w:ind w:left="0" w:leftChars="0" w:firstLine="480" w:firstLineChars="200"/>
        <w:rPr>
          <w:color w:val="auto"/>
        </w:rPr>
      </w:pPr>
      <w:r>
        <w:rPr>
          <w:color w:val="auto"/>
        </w:rPr>
        <w:t>根据《中华人民共和国政府采购法》、《中华人民共和国民法典》等相关法律，甲、乙双方就  (项目名称、项目编号），经平等协商达成合同如下：</w:t>
      </w:r>
    </w:p>
    <w:p w14:paraId="17BA8050">
      <w:pPr>
        <w:pStyle w:val="2"/>
        <w:widowControl/>
        <w:numPr>
          <w:ilvl w:val="0"/>
          <w:numId w:val="51"/>
        </w:numPr>
        <w:tabs>
          <w:tab w:val="left" w:pos="961"/>
        </w:tabs>
        <w:topLinePunct w:val="0"/>
        <w:ind w:left="0" w:leftChars="0" w:firstLine="482" w:firstLineChars="200"/>
        <w:rPr>
          <w:b/>
        </w:rPr>
      </w:pPr>
      <w:r>
        <w:t>合同文件</w:t>
      </w:r>
    </w:p>
    <w:p w14:paraId="26E5F60B">
      <w:pPr>
        <w:pStyle w:val="12"/>
        <w:widowControl/>
        <w:ind w:left="0" w:leftChars="0" w:firstLine="480" w:firstLineChars="200"/>
        <w:rPr>
          <w:color w:val="auto"/>
        </w:rPr>
      </w:pPr>
      <w:r>
        <w:rPr>
          <w:color w:val="auto"/>
        </w:rPr>
        <w:t>本合同所附下列文件是构成本合同不可分割的部分，组成合同的各项文件应互相解释，互为说明，解释合同文件的优先顺序如下：</w:t>
      </w:r>
    </w:p>
    <w:p w14:paraId="4B313FC2">
      <w:pPr>
        <w:pStyle w:val="12"/>
        <w:widowControl/>
        <w:numPr>
          <w:ilvl w:val="0"/>
          <w:numId w:val="52"/>
        </w:numPr>
        <w:tabs>
          <w:tab w:val="left" w:pos="1200"/>
        </w:tabs>
        <w:topLinePunct w:val="0"/>
        <w:ind w:left="0" w:leftChars="0" w:firstLine="480" w:firstLineChars="200"/>
        <w:rPr>
          <w:rFonts w:hint="eastAsia" w:ascii="宋体" w:hAnsi="宋体" w:eastAsia="宋体" w:cs="宋体"/>
          <w:b w:val="0"/>
          <w:color w:val="auto"/>
        </w:rPr>
      </w:pPr>
      <w:r>
        <w:rPr>
          <w:color w:val="auto"/>
        </w:rPr>
        <w:t>合同格式以及合同条款</w:t>
      </w:r>
    </w:p>
    <w:p w14:paraId="0508AB70">
      <w:pPr>
        <w:pStyle w:val="12"/>
        <w:widowControl/>
        <w:numPr>
          <w:ilvl w:val="0"/>
          <w:numId w:val="52"/>
        </w:numPr>
        <w:tabs>
          <w:tab w:val="left" w:pos="1200"/>
        </w:tabs>
        <w:topLinePunct w:val="0"/>
        <w:ind w:left="0" w:leftChars="0" w:firstLine="480" w:firstLineChars="200"/>
        <w:rPr>
          <w:rFonts w:hint="eastAsia" w:ascii="宋体" w:hAnsi="宋体" w:eastAsia="宋体" w:cs="宋体"/>
          <w:b w:val="0"/>
          <w:color w:val="auto"/>
        </w:rPr>
      </w:pPr>
      <w:r>
        <w:rPr>
          <w:color w:val="auto"/>
        </w:rPr>
        <w:t>成交通知书</w:t>
      </w:r>
    </w:p>
    <w:p w14:paraId="53D6D242">
      <w:pPr>
        <w:pStyle w:val="12"/>
        <w:widowControl/>
        <w:numPr>
          <w:ilvl w:val="0"/>
          <w:numId w:val="52"/>
        </w:numPr>
        <w:tabs>
          <w:tab w:val="left" w:pos="1200"/>
        </w:tabs>
        <w:topLinePunct w:val="0"/>
        <w:ind w:left="0" w:leftChars="0" w:firstLine="480" w:firstLineChars="200"/>
        <w:rPr>
          <w:rFonts w:hint="eastAsia" w:ascii="宋体" w:hAnsi="宋体" w:eastAsia="宋体" w:cs="宋体"/>
          <w:b w:val="0"/>
          <w:color w:val="auto"/>
        </w:rPr>
      </w:pPr>
      <w:r>
        <w:rPr>
          <w:color w:val="auto"/>
        </w:rPr>
        <w:t>成交供应商在谈判过程中做出的有关澄清、说明、承诺或者补正文件</w:t>
      </w:r>
    </w:p>
    <w:p w14:paraId="165D38F0">
      <w:pPr>
        <w:pStyle w:val="12"/>
        <w:widowControl/>
        <w:numPr>
          <w:ilvl w:val="0"/>
          <w:numId w:val="52"/>
        </w:numPr>
        <w:tabs>
          <w:tab w:val="left" w:pos="1200"/>
        </w:tabs>
        <w:topLinePunct w:val="0"/>
        <w:ind w:left="0" w:leftChars="0" w:firstLine="480" w:firstLineChars="200"/>
        <w:rPr>
          <w:rFonts w:hint="eastAsia" w:ascii="宋体" w:hAnsi="宋体" w:eastAsia="宋体" w:cs="宋体"/>
          <w:b w:val="0"/>
          <w:color w:val="auto"/>
        </w:rPr>
      </w:pPr>
      <w:r>
        <w:rPr>
          <w:color w:val="auto"/>
        </w:rPr>
        <w:t>成交供应商的竞争性谈判响应文件</w:t>
      </w:r>
    </w:p>
    <w:p w14:paraId="0D31FBCF">
      <w:pPr>
        <w:pStyle w:val="12"/>
        <w:widowControl/>
        <w:numPr>
          <w:ilvl w:val="0"/>
          <w:numId w:val="52"/>
        </w:numPr>
        <w:tabs>
          <w:tab w:val="left" w:pos="1200"/>
        </w:tabs>
        <w:topLinePunct w:val="0"/>
        <w:ind w:left="0" w:leftChars="0" w:firstLine="480" w:firstLineChars="200"/>
        <w:rPr>
          <w:rFonts w:hint="eastAsia" w:ascii="宋体" w:hAnsi="宋体" w:eastAsia="宋体" w:cs="宋体"/>
          <w:b w:val="0"/>
          <w:color w:val="auto"/>
        </w:rPr>
      </w:pPr>
      <w:r>
        <w:rPr>
          <w:color w:val="auto"/>
        </w:rPr>
        <w:t>竞争性谈判文件</w:t>
      </w:r>
    </w:p>
    <w:p w14:paraId="654E8004">
      <w:pPr>
        <w:pStyle w:val="12"/>
        <w:widowControl/>
        <w:numPr>
          <w:ilvl w:val="0"/>
          <w:numId w:val="52"/>
        </w:numPr>
        <w:tabs>
          <w:tab w:val="left" w:pos="1200"/>
        </w:tabs>
        <w:topLinePunct w:val="0"/>
        <w:ind w:left="0" w:leftChars="0" w:firstLine="480" w:firstLineChars="200"/>
        <w:rPr>
          <w:rFonts w:hint="eastAsia" w:ascii="宋体" w:hAnsi="宋体" w:eastAsia="宋体" w:cs="宋体"/>
          <w:b w:val="0"/>
          <w:color w:val="auto"/>
        </w:rPr>
      </w:pPr>
      <w:r>
        <w:rPr>
          <w:color w:val="auto"/>
        </w:rPr>
        <w:t>本合同附件</w:t>
      </w:r>
    </w:p>
    <w:p w14:paraId="2FCCF5C5">
      <w:pPr>
        <w:pStyle w:val="12"/>
        <w:widowControl/>
        <w:ind w:left="0" w:leftChars="0" w:firstLine="480" w:firstLineChars="200"/>
        <w:rPr>
          <w:color w:val="auto"/>
        </w:rPr>
      </w:pPr>
      <w:r>
        <w:rPr>
          <w:color w:val="auto"/>
        </w:rPr>
        <w:t>同一层次的合同文件规定有矛盾的以较后时间制定的为准。</w:t>
      </w:r>
    </w:p>
    <w:p w14:paraId="0C2FE817">
      <w:pPr>
        <w:pStyle w:val="2"/>
        <w:widowControl/>
        <w:numPr>
          <w:ilvl w:val="0"/>
          <w:numId w:val="51"/>
        </w:numPr>
        <w:tabs>
          <w:tab w:val="left" w:pos="961"/>
        </w:tabs>
        <w:topLinePunct w:val="0"/>
        <w:ind w:left="0" w:leftChars="0" w:firstLine="482" w:firstLineChars="200"/>
        <w:rPr>
          <w:b/>
        </w:rPr>
      </w:pPr>
      <w:r>
        <w:t>合同的范围和条件</w:t>
      </w:r>
    </w:p>
    <w:p w14:paraId="66BDFFBE">
      <w:pPr>
        <w:pStyle w:val="12"/>
        <w:widowControl/>
        <w:ind w:left="0" w:leftChars="0" w:firstLine="480" w:firstLineChars="200"/>
        <w:rPr>
          <w:color w:val="auto"/>
        </w:rPr>
      </w:pPr>
      <w:r>
        <w:rPr>
          <w:color w:val="auto"/>
        </w:rPr>
        <w:t>本合同的范围和条件应与上述合同文件的规定相一致。</w:t>
      </w:r>
    </w:p>
    <w:p w14:paraId="21A2C468">
      <w:pPr>
        <w:pStyle w:val="2"/>
        <w:widowControl/>
        <w:numPr>
          <w:ilvl w:val="0"/>
          <w:numId w:val="51"/>
        </w:numPr>
        <w:tabs>
          <w:tab w:val="left" w:pos="961"/>
        </w:tabs>
        <w:topLinePunct w:val="0"/>
        <w:ind w:left="0" w:leftChars="0" w:firstLine="482" w:firstLineChars="200"/>
        <w:rPr>
          <w:b/>
        </w:rPr>
      </w:pPr>
      <w:r>
        <w:t>货物、数量以及规格</w:t>
      </w:r>
    </w:p>
    <w:p w14:paraId="45D0E849">
      <w:pPr>
        <w:pStyle w:val="12"/>
        <w:widowControl/>
        <w:ind w:left="0" w:leftChars="0" w:firstLine="480" w:firstLineChars="200"/>
        <w:rPr>
          <w:color w:val="auto"/>
        </w:rPr>
      </w:pPr>
      <w:r>
        <w:rPr>
          <w:color w:val="auto"/>
        </w:rPr>
        <w:t>本合同所提供的货物、数量以及规格等详见乙方投标文件报价清单（应包含品牌、型号、产地、技术参数、数量、单价、合计等信息）。</w:t>
      </w:r>
    </w:p>
    <w:p w14:paraId="4EAFB9F6">
      <w:pPr>
        <w:pStyle w:val="2"/>
        <w:widowControl/>
        <w:numPr>
          <w:ilvl w:val="0"/>
          <w:numId w:val="51"/>
        </w:numPr>
        <w:tabs>
          <w:tab w:val="left" w:pos="961"/>
        </w:tabs>
        <w:topLinePunct w:val="0"/>
        <w:ind w:left="0" w:leftChars="0" w:firstLine="482" w:firstLineChars="200"/>
        <w:rPr>
          <w:b/>
        </w:rPr>
      </w:pPr>
      <w:r>
        <w:t>合同金额</w:t>
      </w:r>
    </w:p>
    <w:p w14:paraId="233C1123">
      <w:pPr>
        <w:pStyle w:val="12"/>
        <w:widowControl/>
        <w:ind w:left="0" w:leftChars="0" w:firstLine="480" w:firstLineChars="200"/>
        <w:rPr>
          <w:color w:val="auto"/>
        </w:rPr>
      </w:pPr>
      <w:r>
        <w:rPr>
          <w:color w:val="auto"/>
        </w:rPr>
        <w:t>根据上述文件要求，合同金额为人民币</w:t>
      </w:r>
      <w:r>
        <w:rPr>
          <w:color w:val="auto"/>
          <w:u w:val="single"/>
        </w:rPr>
        <w:t xml:space="preserve">                           </w:t>
      </w:r>
      <w:r>
        <w:rPr>
          <w:color w:val="auto"/>
        </w:rPr>
        <w:t>元，大写：</w:t>
      </w:r>
      <w:r>
        <w:rPr>
          <w:color w:val="auto"/>
          <w:u w:val="single"/>
        </w:rPr>
        <w:t xml:space="preserve">                                         </w:t>
      </w:r>
      <w:r>
        <w:rPr>
          <w:color w:val="auto"/>
        </w:rPr>
        <w:t>。</w:t>
      </w:r>
    </w:p>
    <w:p w14:paraId="513DFD58">
      <w:pPr>
        <w:pStyle w:val="2"/>
        <w:widowControl/>
        <w:numPr>
          <w:ilvl w:val="0"/>
          <w:numId w:val="51"/>
        </w:numPr>
        <w:tabs>
          <w:tab w:val="left" w:pos="961"/>
        </w:tabs>
        <w:topLinePunct w:val="0"/>
        <w:ind w:left="0" w:leftChars="0" w:firstLine="482" w:firstLineChars="200"/>
        <w:rPr>
          <w:b/>
        </w:rPr>
      </w:pPr>
      <w:r>
        <w:t>付款途径</w:t>
      </w:r>
    </w:p>
    <w:p w14:paraId="0534AF53">
      <w:pPr>
        <w:pStyle w:val="12"/>
        <w:widowControl/>
        <w:ind w:left="0" w:leftChars="0" w:firstLine="480" w:firstLineChars="200"/>
        <w:rPr>
          <w:color w:val="auto"/>
        </w:rPr>
      </w:pPr>
      <w:r>
        <w:rPr>
          <w:color w:val="auto"/>
        </w:rPr>
        <w:t>□国库集中支付    □甲方支付   □国库与甲方共同支付    □其他</w:t>
      </w:r>
    </w:p>
    <w:p w14:paraId="2FD4770D">
      <w:pPr>
        <w:pStyle w:val="12"/>
        <w:widowControl/>
        <w:ind w:left="0" w:leftChars="0" w:firstLine="480" w:firstLineChars="200"/>
        <w:rPr>
          <w:color w:val="auto"/>
        </w:rPr>
      </w:pPr>
      <w:r>
        <w:rPr>
          <w:color w:val="auto"/>
        </w:rPr>
        <w:t>国库集中支付资金</w:t>
      </w:r>
      <w:r>
        <w:rPr>
          <w:color w:val="auto"/>
          <w:u w:val="single"/>
        </w:rPr>
        <w:t xml:space="preserve">                         </w:t>
      </w:r>
      <w:r>
        <w:rPr>
          <w:color w:val="auto"/>
        </w:rPr>
        <w:t>万元。</w:t>
      </w:r>
    </w:p>
    <w:p w14:paraId="4AB61085">
      <w:pPr>
        <w:pStyle w:val="12"/>
        <w:widowControl/>
        <w:ind w:left="0" w:leftChars="0" w:firstLine="480" w:firstLineChars="200"/>
        <w:rPr>
          <w:color w:val="auto"/>
        </w:rPr>
      </w:pPr>
      <w:r>
        <w:rPr>
          <w:color w:val="auto"/>
        </w:rPr>
        <w:t>属国库集中支付的财政性资金，甲方应按照合同约定的付款期限，及时向同级财政部门报送资金支付申请，同级财政部门对支付申请审核无误后</w:t>
      </w:r>
      <w:r>
        <w:rPr>
          <w:color w:val="auto"/>
          <w:u w:val="single"/>
        </w:rPr>
        <w:t xml:space="preserve">      </w:t>
      </w:r>
      <w:r>
        <w:rPr>
          <w:color w:val="auto"/>
        </w:rPr>
        <w:t>个工作日内将货款直接支付至乙方账户。</w:t>
      </w:r>
    </w:p>
    <w:p w14:paraId="31D79EB2">
      <w:pPr>
        <w:pStyle w:val="2"/>
        <w:widowControl/>
        <w:numPr>
          <w:ilvl w:val="0"/>
          <w:numId w:val="51"/>
        </w:numPr>
        <w:tabs>
          <w:tab w:val="left" w:pos="961"/>
        </w:tabs>
        <w:topLinePunct w:val="0"/>
        <w:ind w:left="0" w:leftChars="0" w:firstLine="482" w:firstLineChars="200"/>
        <w:rPr>
          <w:b/>
        </w:rPr>
      </w:pPr>
      <w:r>
        <w:t>付款方式</w:t>
      </w:r>
    </w:p>
    <w:p w14:paraId="5532F48B">
      <w:pPr>
        <w:pStyle w:val="12"/>
        <w:widowControl/>
        <w:ind w:left="0" w:leftChars="0" w:firstLine="480" w:firstLineChars="200"/>
        <w:rPr>
          <w:color w:val="auto"/>
        </w:rPr>
      </w:pPr>
      <w:r>
        <w:rPr>
          <w:color w:val="auto"/>
        </w:rPr>
        <w:t>签定合同后甲方预付合同总金额的40%，乙方完成本项目服务并验收合格后，一次性付清剩余合同价款。</w:t>
      </w:r>
    </w:p>
    <w:p w14:paraId="6C4C2A09">
      <w:pPr>
        <w:pStyle w:val="2"/>
        <w:widowControl/>
        <w:numPr>
          <w:ilvl w:val="0"/>
          <w:numId w:val="51"/>
        </w:numPr>
        <w:tabs>
          <w:tab w:val="left" w:pos="961"/>
        </w:tabs>
        <w:topLinePunct w:val="0"/>
        <w:ind w:left="0" w:leftChars="0" w:firstLine="482" w:firstLineChars="200"/>
        <w:rPr>
          <w:b/>
        </w:rPr>
      </w:pPr>
      <w:r>
        <w:t>交货安装</w:t>
      </w:r>
      <w:r>
        <w:tab/>
      </w:r>
    </w:p>
    <w:p w14:paraId="4300A534">
      <w:pPr>
        <w:pStyle w:val="12"/>
        <w:widowControl/>
        <w:numPr>
          <w:ilvl w:val="0"/>
          <w:numId w:val="53"/>
        </w:numPr>
        <w:tabs>
          <w:tab w:val="left" w:pos="840"/>
        </w:tabs>
        <w:topLinePunct w:val="0"/>
        <w:ind w:left="0" w:leftChars="0" w:firstLine="480" w:firstLineChars="200"/>
        <w:rPr>
          <w:rFonts w:hint="eastAsia" w:ascii="宋体" w:hAnsi="宋体" w:eastAsia="宋体" w:cs="宋体"/>
          <w:b w:val="0"/>
          <w:color w:val="auto"/>
        </w:rPr>
      </w:pPr>
      <w:r>
        <w:rPr>
          <w:color w:val="auto"/>
        </w:rPr>
        <w:t>交货时间：合同签订并接到采购人供货通知后</w:t>
      </w:r>
      <w:r>
        <w:rPr>
          <w:color w:val="auto"/>
          <w:u w:val="single"/>
        </w:rPr>
        <w:t xml:space="preserve">           </w:t>
      </w:r>
      <w:r>
        <w:rPr>
          <w:color w:val="auto"/>
        </w:rPr>
        <w:t>日内供货完毕。</w:t>
      </w:r>
    </w:p>
    <w:p w14:paraId="0AA3221B">
      <w:pPr>
        <w:pStyle w:val="12"/>
        <w:widowControl/>
        <w:numPr>
          <w:ilvl w:val="0"/>
          <w:numId w:val="53"/>
        </w:numPr>
        <w:tabs>
          <w:tab w:val="left" w:pos="840"/>
        </w:tabs>
        <w:topLinePunct w:val="0"/>
        <w:ind w:left="0" w:leftChars="0" w:firstLine="480" w:firstLineChars="200"/>
        <w:rPr>
          <w:rFonts w:hint="eastAsia" w:ascii="宋体" w:hAnsi="宋体" w:eastAsia="宋体" w:cs="宋体"/>
          <w:b w:val="0"/>
          <w:color w:val="auto"/>
          <w:u w:val="single"/>
        </w:rPr>
      </w:pPr>
      <w:r>
        <w:rPr>
          <w:color w:val="auto"/>
        </w:rPr>
        <w:t>交货地点：</w:t>
      </w:r>
      <w:r>
        <w:rPr>
          <w:color w:val="auto"/>
          <w:u w:val="single"/>
        </w:rPr>
        <w:t xml:space="preserve">                            </w:t>
      </w:r>
    </w:p>
    <w:p w14:paraId="4856FFD6">
      <w:pPr>
        <w:pStyle w:val="12"/>
        <w:widowControl/>
        <w:numPr>
          <w:ilvl w:val="0"/>
          <w:numId w:val="53"/>
        </w:numPr>
        <w:tabs>
          <w:tab w:val="left" w:pos="840"/>
        </w:tabs>
        <w:topLinePunct w:val="0"/>
        <w:ind w:left="0" w:leftChars="0" w:firstLine="480" w:firstLineChars="200"/>
        <w:rPr>
          <w:rFonts w:hint="eastAsia" w:ascii="宋体" w:hAnsi="宋体" w:eastAsia="宋体" w:cs="宋体"/>
          <w:b w:val="0"/>
          <w:color w:val="auto"/>
        </w:rPr>
      </w:pPr>
      <w:r>
        <w:rPr>
          <w:color w:val="auto"/>
        </w:rPr>
        <w:t>风险负担：</w:t>
      </w:r>
    </w:p>
    <w:p w14:paraId="4D6D3532">
      <w:pPr>
        <w:pStyle w:val="12"/>
        <w:widowControl/>
        <w:ind w:left="0" w:leftChars="0" w:firstLine="480" w:firstLineChars="200"/>
        <w:rPr>
          <w:color w:val="auto"/>
        </w:rPr>
      </w:pPr>
      <w:r>
        <w:rPr>
          <w:color w:val="auto"/>
        </w:rPr>
        <w:t>货物毁损、灭失的风险在该货物通过甲乙双方联合验收交付前由乙方承担，通过联合验收交付后由甲方承担；因质量问题甲方拒收的，风险由乙方承担。</w:t>
      </w:r>
    </w:p>
    <w:p w14:paraId="581094AF">
      <w:pPr>
        <w:pStyle w:val="2"/>
        <w:widowControl/>
        <w:numPr>
          <w:ilvl w:val="0"/>
          <w:numId w:val="51"/>
        </w:numPr>
        <w:tabs>
          <w:tab w:val="left" w:pos="961"/>
        </w:tabs>
        <w:topLinePunct w:val="0"/>
        <w:ind w:left="0" w:leftChars="0" w:firstLine="482" w:firstLineChars="200"/>
      </w:pPr>
      <w:r>
        <w:t>货物清单：</w:t>
      </w:r>
    </w:p>
    <w:tbl>
      <w:tblPr>
        <w:tblStyle w:val="24"/>
        <w:tblW w:w="8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44"/>
        <w:gridCol w:w="889"/>
        <w:gridCol w:w="5"/>
        <w:gridCol w:w="878"/>
        <w:gridCol w:w="2949"/>
        <w:gridCol w:w="1030"/>
        <w:gridCol w:w="1"/>
        <w:gridCol w:w="2130"/>
        <w:gridCol w:w="1"/>
      </w:tblGrid>
      <w:tr w14:paraId="744A7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 w:type="dxa"/>
          <w:trHeight w:val="399"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A812FBB">
            <w:pPr>
              <w:keepNext w:val="0"/>
              <w:keepLines w:val="0"/>
              <w:widowControl/>
              <w:suppressLineNumbers w:val="0"/>
              <w:jc w:val="center"/>
              <w:textAlignment w:val="center"/>
              <w:rPr>
                <w:rFonts w:ascii="微软雅黑" w:hAnsi="微软雅黑" w:eastAsia="微软雅黑" w:cs="微软雅黑"/>
                <w:b w:val="0"/>
                <w:bCs/>
                <w:i w:val="0"/>
                <w:color w:val="auto"/>
                <w:sz w:val="18"/>
                <w:szCs w:val="18"/>
                <w:u w:val="none"/>
              </w:rPr>
            </w:pPr>
            <w:r>
              <w:rPr>
                <w:rFonts w:hint="eastAsia" w:ascii="微软雅黑" w:hAnsi="微软雅黑" w:eastAsia="微软雅黑" w:cs="微软雅黑"/>
                <w:b w:val="0"/>
                <w:bCs/>
                <w:i w:val="0"/>
                <w:color w:val="auto"/>
                <w:kern w:val="0"/>
                <w:sz w:val="18"/>
                <w:szCs w:val="18"/>
                <w:u w:val="none"/>
                <w:lang w:val="en-US" w:eastAsia="zh-CN" w:bidi="ar"/>
              </w:rPr>
              <w:t>序号</w:t>
            </w:r>
          </w:p>
        </w:tc>
        <w:tc>
          <w:tcPr>
            <w:tcW w:w="889" w:type="dxa"/>
            <w:tcBorders>
              <w:top w:val="single" w:color="000000" w:sz="4" w:space="0"/>
              <w:left w:val="single" w:color="000000" w:sz="4" w:space="0"/>
              <w:bottom w:val="single" w:color="000000" w:sz="4" w:space="0"/>
              <w:right w:val="single" w:color="auto" w:sz="4" w:space="0"/>
            </w:tcBorders>
            <w:noWrap w:val="0"/>
            <w:vAlign w:val="center"/>
          </w:tcPr>
          <w:p w14:paraId="5B809E06">
            <w:pPr>
              <w:keepNext w:val="0"/>
              <w:keepLines w:val="0"/>
              <w:widowControl/>
              <w:suppressLineNumbers w:val="0"/>
              <w:jc w:val="center"/>
              <w:textAlignment w:val="center"/>
              <w:rPr>
                <w:rFonts w:hint="eastAsia" w:ascii="微软雅黑" w:hAnsi="微软雅黑" w:eastAsia="微软雅黑" w:cs="微软雅黑"/>
                <w:b w:val="0"/>
                <w:bCs/>
                <w:i w:val="0"/>
                <w:color w:val="auto"/>
                <w:sz w:val="18"/>
                <w:szCs w:val="18"/>
                <w:u w:val="none"/>
              </w:rPr>
            </w:pPr>
            <w:r>
              <w:rPr>
                <w:rFonts w:hint="eastAsia" w:ascii="微软雅黑" w:hAnsi="微软雅黑" w:eastAsia="微软雅黑" w:cs="微软雅黑"/>
                <w:b w:val="0"/>
                <w:bCs/>
                <w:i w:val="0"/>
                <w:color w:val="auto"/>
                <w:kern w:val="0"/>
                <w:sz w:val="18"/>
                <w:szCs w:val="18"/>
                <w:u w:val="none"/>
                <w:lang w:val="en-US" w:eastAsia="zh-CN" w:bidi="ar"/>
              </w:rPr>
              <w:t>项目名称</w:t>
            </w:r>
          </w:p>
        </w:tc>
        <w:tc>
          <w:tcPr>
            <w:tcW w:w="883" w:type="dxa"/>
            <w:gridSpan w:val="2"/>
            <w:tcBorders>
              <w:top w:val="single" w:color="000000" w:sz="4" w:space="0"/>
              <w:left w:val="single" w:color="auto" w:sz="4" w:space="0"/>
              <w:bottom w:val="single" w:color="000000" w:sz="4" w:space="0"/>
              <w:right w:val="single" w:color="000000" w:sz="4" w:space="0"/>
            </w:tcBorders>
            <w:noWrap w:val="0"/>
            <w:vAlign w:val="center"/>
          </w:tcPr>
          <w:p w14:paraId="2299A94A">
            <w:pPr>
              <w:keepNext w:val="0"/>
              <w:keepLines w:val="0"/>
              <w:widowControl/>
              <w:suppressLineNumbers w:val="0"/>
              <w:jc w:val="center"/>
              <w:textAlignment w:val="center"/>
              <w:rPr>
                <w:rFonts w:hint="eastAsia" w:ascii="微软雅黑" w:hAnsi="微软雅黑" w:eastAsia="微软雅黑" w:cs="微软雅黑"/>
                <w:b w:val="0"/>
                <w:bCs/>
                <w:i w:val="0"/>
                <w:color w:val="auto"/>
                <w:sz w:val="18"/>
                <w:szCs w:val="18"/>
                <w:u w:val="none"/>
              </w:rPr>
            </w:pPr>
            <w:r>
              <w:rPr>
                <w:rFonts w:hint="eastAsia" w:ascii="微软雅黑" w:hAnsi="微软雅黑" w:eastAsia="微软雅黑" w:cs="微软雅黑"/>
                <w:b w:val="0"/>
                <w:bCs/>
                <w:i w:val="0"/>
                <w:color w:val="auto"/>
                <w:kern w:val="0"/>
                <w:sz w:val="18"/>
                <w:szCs w:val="18"/>
                <w:u w:val="none"/>
                <w:lang w:val="en-US" w:eastAsia="zh-CN" w:bidi="ar"/>
              </w:rPr>
              <w:t>产品名称</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0D57E18B">
            <w:pPr>
              <w:keepNext w:val="0"/>
              <w:keepLines w:val="0"/>
              <w:widowControl/>
              <w:suppressLineNumbers w:val="0"/>
              <w:jc w:val="center"/>
              <w:textAlignment w:val="center"/>
              <w:rPr>
                <w:rFonts w:hint="eastAsia" w:ascii="微软雅黑" w:hAnsi="微软雅黑" w:eastAsia="微软雅黑" w:cs="微软雅黑"/>
                <w:b w:val="0"/>
                <w:bCs/>
                <w:i w:val="0"/>
                <w:color w:val="auto"/>
                <w:sz w:val="18"/>
                <w:szCs w:val="18"/>
                <w:u w:val="none"/>
              </w:rPr>
            </w:pPr>
            <w:r>
              <w:rPr>
                <w:rFonts w:hint="eastAsia" w:ascii="微软雅黑" w:hAnsi="微软雅黑" w:eastAsia="微软雅黑" w:cs="微软雅黑"/>
                <w:b w:val="0"/>
                <w:bCs/>
                <w:i w:val="0"/>
                <w:color w:val="auto"/>
                <w:kern w:val="0"/>
                <w:sz w:val="18"/>
                <w:szCs w:val="18"/>
                <w:u w:val="none"/>
                <w:lang w:val="en-US" w:eastAsia="zh-CN" w:bidi="ar"/>
              </w:rPr>
              <w:t>品牌型号</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14:paraId="462A45F3">
            <w:pPr>
              <w:keepNext w:val="0"/>
              <w:keepLines w:val="0"/>
              <w:widowControl/>
              <w:suppressLineNumbers w:val="0"/>
              <w:jc w:val="center"/>
              <w:textAlignment w:val="center"/>
              <w:rPr>
                <w:rFonts w:hint="eastAsia" w:ascii="微软雅黑" w:hAnsi="微软雅黑" w:eastAsia="微软雅黑" w:cs="微软雅黑"/>
                <w:b w:val="0"/>
                <w:bCs/>
                <w:i w:val="0"/>
                <w:color w:val="auto"/>
                <w:sz w:val="18"/>
                <w:szCs w:val="18"/>
                <w:u w:val="none"/>
              </w:rPr>
            </w:pPr>
            <w:r>
              <w:rPr>
                <w:rFonts w:hint="eastAsia" w:ascii="微软雅黑" w:hAnsi="微软雅黑" w:eastAsia="微软雅黑" w:cs="微软雅黑"/>
                <w:b w:val="0"/>
                <w:bCs/>
                <w:i w:val="0"/>
                <w:color w:val="auto"/>
                <w:kern w:val="0"/>
                <w:sz w:val="18"/>
                <w:szCs w:val="18"/>
                <w:u w:val="none"/>
                <w:lang w:val="en-US" w:eastAsia="zh-CN" w:bidi="ar"/>
              </w:rPr>
              <w:t>数量</w:t>
            </w: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0E92BB59">
            <w:pPr>
              <w:keepNext w:val="0"/>
              <w:keepLines w:val="0"/>
              <w:widowControl/>
              <w:suppressLineNumbers w:val="0"/>
              <w:jc w:val="center"/>
              <w:textAlignment w:val="center"/>
              <w:rPr>
                <w:rFonts w:hint="eastAsia" w:ascii="微软雅黑" w:hAnsi="微软雅黑" w:eastAsia="微软雅黑" w:cs="微软雅黑"/>
                <w:b w:val="0"/>
                <w:bCs/>
                <w:i w:val="0"/>
                <w:color w:val="auto"/>
                <w:kern w:val="0"/>
                <w:sz w:val="18"/>
                <w:szCs w:val="18"/>
                <w:u w:val="none"/>
                <w:lang w:val="en-US" w:eastAsia="zh-CN" w:bidi="ar"/>
              </w:rPr>
            </w:pPr>
            <w:r>
              <w:rPr>
                <w:rFonts w:hint="eastAsia" w:ascii="微软雅黑" w:hAnsi="微软雅黑" w:eastAsia="微软雅黑" w:cs="微软雅黑"/>
                <w:b w:val="0"/>
                <w:bCs/>
                <w:i w:val="0"/>
                <w:color w:val="auto"/>
                <w:kern w:val="0"/>
                <w:sz w:val="18"/>
                <w:szCs w:val="18"/>
                <w:u w:val="none"/>
                <w:lang w:val="en-US" w:eastAsia="zh-CN" w:bidi="ar"/>
              </w:rPr>
              <w:t>备注</w:t>
            </w:r>
          </w:p>
        </w:tc>
      </w:tr>
      <w:tr w14:paraId="2D2DF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9674766">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1</w:t>
            </w:r>
          </w:p>
        </w:tc>
        <w:tc>
          <w:tcPr>
            <w:tcW w:w="894" w:type="dxa"/>
            <w:gridSpan w:val="2"/>
            <w:tcBorders>
              <w:top w:val="single" w:color="000000" w:sz="4" w:space="0"/>
              <w:left w:val="single" w:color="000000" w:sz="4" w:space="0"/>
              <w:right w:val="single" w:color="auto" w:sz="4" w:space="0"/>
            </w:tcBorders>
            <w:noWrap w:val="0"/>
            <w:vAlign w:val="center"/>
          </w:tcPr>
          <w:p w14:paraId="31F464AB">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right w:val="single" w:color="000000" w:sz="4" w:space="0"/>
            </w:tcBorders>
            <w:noWrap w:val="0"/>
            <w:vAlign w:val="center"/>
          </w:tcPr>
          <w:p w14:paraId="26951467">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60979053">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2164806D">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7EBF266F">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r w14:paraId="00DC7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5"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B034F35">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2</w:t>
            </w:r>
          </w:p>
        </w:tc>
        <w:tc>
          <w:tcPr>
            <w:tcW w:w="894" w:type="dxa"/>
            <w:gridSpan w:val="2"/>
            <w:tcBorders>
              <w:top w:val="single" w:color="000000" w:sz="4" w:space="0"/>
              <w:left w:val="single" w:color="000000" w:sz="4" w:space="0"/>
              <w:right w:val="single" w:color="auto" w:sz="4" w:space="0"/>
            </w:tcBorders>
            <w:noWrap w:val="0"/>
            <w:vAlign w:val="center"/>
          </w:tcPr>
          <w:p w14:paraId="5B090F0B">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right w:val="single" w:color="000000" w:sz="4" w:space="0"/>
            </w:tcBorders>
            <w:noWrap w:val="0"/>
            <w:vAlign w:val="center"/>
          </w:tcPr>
          <w:p w14:paraId="7BC5EE09">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741231B5">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30198F07">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5C1BD565">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r w14:paraId="4510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1"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3D3EAED">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3</w:t>
            </w:r>
          </w:p>
        </w:tc>
        <w:tc>
          <w:tcPr>
            <w:tcW w:w="894" w:type="dxa"/>
            <w:gridSpan w:val="2"/>
            <w:tcBorders>
              <w:top w:val="single" w:color="000000" w:sz="4" w:space="0"/>
              <w:left w:val="single" w:color="000000" w:sz="4" w:space="0"/>
              <w:right w:val="single" w:color="auto" w:sz="4" w:space="0"/>
            </w:tcBorders>
            <w:noWrap w:val="0"/>
            <w:vAlign w:val="center"/>
          </w:tcPr>
          <w:p w14:paraId="109C9D0F">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right w:val="single" w:color="000000" w:sz="4" w:space="0"/>
            </w:tcBorders>
            <w:noWrap w:val="0"/>
            <w:vAlign w:val="center"/>
          </w:tcPr>
          <w:p w14:paraId="1598FF72">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7B10D209">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4EBD7125">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668EE9F2">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r w14:paraId="75662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77F5823">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4</w:t>
            </w:r>
          </w:p>
        </w:tc>
        <w:tc>
          <w:tcPr>
            <w:tcW w:w="894" w:type="dxa"/>
            <w:gridSpan w:val="2"/>
            <w:tcBorders>
              <w:top w:val="single" w:color="000000" w:sz="4" w:space="0"/>
              <w:left w:val="single" w:color="000000" w:sz="4" w:space="0"/>
              <w:right w:val="single" w:color="auto" w:sz="4" w:space="0"/>
            </w:tcBorders>
            <w:noWrap w:val="0"/>
            <w:vAlign w:val="center"/>
          </w:tcPr>
          <w:p w14:paraId="014423E5">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right w:val="single" w:color="000000" w:sz="4" w:space="0"/>
            </w:tcBorders>
            <w:noWrap w:val="0"/>
            <w:vAlign w:val="center"/>
          </w:tcPr>
          <w:p w14:paraId="5BB1EFC7">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5C8AB2A8">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71615555">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354CECFC">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r w14:paraId="1877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06BDC5F3">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5</w:t>
            </w:r>
          </w:p>
        </w:tc>
        <w:tc>
          <w:tcPr>
            <w:tcW w:w="894" w:type="dxa"/>
            <w:gridSpan w:val="2"/>
            <w:tcBorders>
              <w:top w:val="single" w:color="000000" w:sz="4" w:space="0"/>
              <w:left w:val="single" w:color="000000" w:sz="4" w:space="0"/>
              <w:right w:val="single" w:color="auto" w:sz="4" w:space="0"/>
            </w:tcBorders>
            <w:noWrap w:val="0"/>
            <w:vAlign w:val="center"/>
          </w:tcPr>
          <w:p w14:paraId="0A503A9C">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right w:val="single" w:color="000000" w:sz="4" w:space="0"/>
            </w:tcBorders>
            <w:noWrap w:val="0"/>
            <w:vAlign w:val="center"/>
          </w:tcPr>
          <w:p w14:paraId="3018B13E">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325190FB">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48DAA318">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164193AF">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r w14:paraId="7057E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0A52343">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6</w:t>
            </w:r>
          </w:p>
        </w:tc>
        <w:tc>
          <w:tcPr>
            <w:tcW w:w="894" w:type="dxa"/>
            <w:gridSpan w:val="2"/>
            <w:tcBorders>
              <w:top w:val="single" w:color="000000" w:sz="4" w:space="0"/>
              <w:left w:val="single" w:color="000000" w:sz="4" w:space="0"/>
              <w:right w:val="single" w:color="auto" w:sz="4" w:space="0"/>
            </w:tcBorders>
            <w:noWrap w:val="0"/>
            <w:vAlign w:val="center"/>
          </w:tcPr>
          <w:p w14:paraId="3729E6CE">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right w:val="single" w:color="000000" w:sz="4" w:space="0"/>
            </w:tcBorders>
            <w:noWrap w:val="0"/>
            <w:vAlign w:val="center"/>
          </w:tcPr>
          <w:p w14:paraId="56F89B79">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4BF11E8D">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41BB496C">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23B9D3A9">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r w14:paraId="65F62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0037DAB4">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r>
              <w:rPr>
                <w:rFonts w:hint="eastAsia" w:ascii="微软雅黑" w:hAnsi="微软雅黑" w:eastAsia="微软雅黑" w:cs="微软雅黑"/>
                <w:i w:val="0"/>
                <w:color w:val="auto"/>
                <w:kern w:val="0"/>
                <w:sz w:val="16"/>
                <w:szCs w:val="16"/>
                <w:u w:val="none"/>
                <w:lang w:val="en-US" w:eastAsia="zh-CN" w:bidi="ar"/>
              </w:rPr>
              <w:t>7</w:t>
            </w:r>
          </w:p>
        </w:tc>
        <w:tc>
          <w:tcPr>
            <w:tcW w:w="894" w:type="dxa"/>
            <w:gridSpan w:val="2"/>
            <w:tcBorders>
              <w:top w:val="single" w:color="000000" w:sz="4" w:space="0"/>
              <w:left w:val="single" w:color="000000" w:sz="4" w:space="0"/>
              <w:bottom w:val="single" w:color="000000" w:sz="4" w:space="0"/>
              <w:right w:val="single" w:color="auto" w:sz="4" w:space="0"/>
            </w:tcBorders>
            <w:noWrap w:val="0"/>
            <w:vAlign w:val="center"/>
          </w:tcPr>
          <w:p w14:paraId="15019B5D">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878" w:type="dxa"/>
            <w:tcBorders>
              <w:top w:val="single" w:color="000000" w:sz="4" w:space="0"/>
              <w:left w:val="single" w:color="auto" w:sz="4" w:space="0"/>
              <w:bottom w:val="single" w:color="000000" w:sz="4" w:space="0"/>
              <w:right w:val="single" w:color="000000" w:sz="4" w:space="0"/>
            </w:tcBorders>
            <w:noWrap w:val="0"/>
            <w:vAlign w:val="center"/>
          </w:tcPr>
          <w:p w14:paraId="35D96E2E">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597BF1AB">
            <w:pPr>
              <w:keepNext w:val="0"/>
              <w:keepLines w:val="0"/>
              <w:widowControl/>
              <w:suppressLineNumbers w:val="0"/>
              <w:jc w:val="center"/>
              <w:textAlignment w:val="center"/>
              <w:rPr>
                <w:rFonts w:hint="eastAsia" w:ascii="微软雅黑" w:hAnsi="微软雅黑" w:eastAsia="微软雅黑" w:cs="微软雅黑"/>
                <w:i w:val="0"/>
                <w:color w:val="auto"/>
                <w:sz w:val="16"/>
                <w:szCs w:val="16"/>
                <w:u w:val="none"/>
              </w:rPr>
            </w:pPr>
          </w:p>
        </w:tc>
        <w:tc>
          <w:tcPr>
            <w:tcW w:w="1031" w:type="dxa"/>
            <w:gridSpan w:val="2"/>
            <w:tcBorders>
              <w:top w:val="single" w:color="000000" w:sz="4" w:space="0"/>
              <w:left w:val="single" w:color="000000" w:sz="4" w:space="0"/>
              <w:bottom w:val="single" w:color="000000" w:sz="4" w:space="0"/>
              <w:right w:val="single" w:color="000000" w:sz="4" w:space="0"/>
            </w:tcBorders>
            <w:noWrap w:val="0"/>
            <w:vAlign w:val="center"/>
          </w:tcPr>
          <w:p w14:paraId="00C6EA11">
            <w:pPr>
              <w:keepNext w:val="0"/>
              <w:keepLines w:val="0"/>
              <w:widowControl/>
              <w:suppressLineNumbers w:val="0"/>
              <w:jc w:val="center"/>
              <w:textAlignment w:val="center"/>
              <w:rPr>
                <w:rFonts w:hint="eastAsia" w:ascii="微软雅黑" w:hAnsi="微软雅黑" w:eastAsia="微软雅黑" w:cs="微软雅黑"/>
                <w:i w:val="0"/>
                <w:color w:val="auto"/>
                <w:sz w:val="18"/>
                <w:szCs w:val="18"/>
                <w:u w:val="none"/>
              </w:rPr>
            </w:pPr>
          </w:p>
        </w:tc>
        <w:tc>
          <w:tcPr>
            <w:tcW w:w="2131" w:type="dxa"/>
            <w:gridSpan w:val="2"/>
            <w:tcBorders>
              <w:top w:val="single" w:color="000000" w:sz="4" w:space="0"/>
              <w:left w:val="single" w:color="000000" w:sz="4" w:space="0"/>
              <w:bottom w:val="single" w:color="000000" w:sz="4" w:space="0"/>
              <w:right w:val="single" w:color="000000" w:sz="4" w:space="0"/>
            </w:tcBorders>
            <w:noWrap w:val="0"/>
            <w:vAlign w:val="center"/>
          </w:tcPr>
          <w:p w14:paraId="660105FE">
            <w:pPr>
              <w:keepNext w:val="0"/>
              <w:keepLines w:val="0"/>
              <w:widowControl/>
              <w:suppressLineNumbers w:val="0"/>
              <w:jc w:val="center"/>
              <w:textAlignment w:val="center"/>
              <w:rPr>
                <w:rFonts w:hint="eastAsia" w:ascii="微软雅黑" w:hAnsi="微软雅黑" w:eastAsia="微软雅黑" w:cs="微软雅黑"/>
                <w:i w:val="0"/>
                <w:color w:val="auto"/>
                <w:kern w:val="0"/>
                <w:sz w:val="18"/>
                <w:szCs w:val="18"/>
                <w:u w:val="none"/>
                <w:lang w:val="en-US" w:eastAsia="zh-CN" w:bidi="ar"/>
              </w:rPr>
            </w:pPr>
          </w:p>
        </w:tc>
      </w:tr>
    </w:tbl>
    <w:p w14:paraId="731DEA4A">
      <w:pPr>
        <w:pStyle w:val="2"/>
        <w:widowControl/>
        <w:numPr>
          <w:ilvl w:val="0"/>
          <w:numId w:val="51"/>
        </w:numPr>
        <w:tabs>
          <w:tab w:val="left" w:pos="961"/>
        </w:tabs>
        <w:topLinePunct w:val="0"/>
        <w:ind w:left="0" w:leftChars="0" w:firstLine="482" w:firstLineChars="200"/>
        <w:rPr>
          <w:b/>
        </w:rPr>
      </w:pPr>
      <w:r>
        <w:t>包装</w:t>
      </w:r>
    </w:p>
    <w:p w14:paraId="0F88E486">
      <w:pPr>
        <w:pStyle w:val="12"/>
        <w:widowControl/>
        <w:ind w:left="0" w:leftChars="0" w:firstLine="480" w:firstLineChars="200"/>
        <w:rPr>
          <w:color w:val="auto"/>
        </w:rPr>
      </w:pPr>
      <w:r>
        <w:rPr>
          <w:color w:val="auto"/>
        </w:rPr>
        <w:t>货物的包装应按照国家或业务主管部门的技术规定执行，国家或业务主管部门无技术规定的，应当按双方约定采取足以保护货物安全、完好的包装方式。</w:t>
      </w:r>
    </w:p>
    <w:p w14:paraId="3E9F8194">
      <w:pPr>
        <w:pStyle w:val="2"/>
        <w:widowControl/>
        <w:numPr>
          <w:ilvl w:val="0"/>
          <w:numId w:val="51"/>
        </w:numPr>
        <w:tabs>
          <w:tab w:val="left" w:pos="961"/>
        </w:tabs>
        <w:topLinePunct w:val="0"/>
        <w:ind w:left="0" w:leftChars="0" w:firstLine="482" w:firstLineChars="200"/>
        <w:rPr>
          <w:b/>
        </w:rPr>
      </w:pPr>
      <w:r>
        <w:t>运输要求</w:t>
      </w:r>
    </w:p>
    <w:p w14:paraId="3BB22602">
      <w:pPr>
        <w:pStyle w:val="12"/>
        <w:widowControl/>
        <w:numPr>
          <w:ilvl w:val="0"/>
          <w:numId w:val="54"/>
        </w:numPr>
        <w:tabs>
          <w:tab w:val="left" w:pos="840"/>
        </w:tabs>
        <w:topLinePunct w:val="0"/>
        <w:ind w:left="0" w:leftChars="0" w:firstLine="480" w:firstLineChars="200"/>
        <w:rPr>
          <w:rFonts w:hint="eastAsia" w:ascii="宋体" w:hAnsi="宋体" w:eastAsia="宋体" w:cs="宋体"/>
          <w:b w:val="0"/>
          <w:color w:val="auto"/>
        </w:rPr>
      </w:pPr>
      <w:r>
        <w:rPr>
          <w:color w:val="auto"/>
        </w:rPr>
        <w:t>运输方式及线路：                                             。</w:t>
      </w:r>
    </w:p>
    <w:p w14:paraId="4B68DF19">
      <w:pPr>
        <w:pStyle w:val="12"/>
        <w:widowControl/>
        <w:numPr>
          <w:ilvl w:val="0"/>
          <w:numId w:val="54"/>
        </w:numPr>
        <w:tabs>
          <w:tab w:val="left" w:pos="840"/>
        </w:tabs>
        <w:topLinePunct w:val="0"/>
        <w:ind w:left="0" w:leftChars="0" w:firstLine="480" w:firstLineChars="200"/>
        <w:rPr>
          <w:rFonts w:hint="eastAsia" w:ascii="宋体" w:hAnsi="宋体" w:eastAsia="宋体" w:cs="宋体"/>
          <w:b w:val="0"/>
          <w:color w:val="auto"/>
        </w:rPr>
      </w:pPr>
      <w:r>
        <w:rPr>
          <w:color w:val="auto"/>
        </w:rPr>
        <w:t>运输及相关费用由乙方承担。</w:t>
      </w:r>
    </w:p>
    <w:p w14:paraId="160733CB">
      <w:pPr>
        <w:pStyle w:val="2"/>
        <w:widowControl/>
        <w:numPr>
          <w:ilvl w:val="0"/>
          <w:numId w:val="51"/>
        </w:numPr>
        <w:tabs>
          <w:tab w:val="left" w:pos="961"/>
        </w:tabs>
        <w:topLinePunct w:val="0"/>
        <w:ind w:left="0" w:leftChars="0" w:firstLine="482" w:firstLineChars="200"/>
        <w:rPr>
          <w:b/>
        </w:rPr>
      </w:pPr>
      <w:r>
        <w:t>知识产权</w:t>
      </w:r>
    </w:p>
    <w:p w14:paraId="2DF7F0A8">
      <w:pPr>
        <w:pStyle w:val="12"/>
        <w:widowControl/>
        <w:ind w:left="0" w:leftChars="0" w:firstLine="480" w:firstLineChars="200"/>
        <w:rPr>
          <w:color w:val="auto"/>
        </w:rPr>
      </w:pPr>
      <w:r>
        <w:rPr>
          <w:color w:val="auto"/>
        </w:rPr>
        <w:t>乙方应保证甲方在中国境内使用货物或货物的任何一部分时，免受第三方提出的侵犯其知识产权的诉讼。</w:t>
      </w:r>
    </w:p>
    <w:p w14:paraId="05D639ED">
      <w:pPr>
        <w:pStyle w:val="2"/>
        <w:widowControl/>
        <w:numPr>
          <w:ilvl w:val="0"/>
          <w:numId w:val="51"/>
        </w:numPr>
        <w:tabs>
          <w:tab w:val="left" w:pos="961"/>
        </w:tabs>
        <w:topLinePunct w:val="0"/>
        <w:ind w:left="0" w:leftChars="0" w:firstLine="482" w:firstLineChars="200"/>
        <w:rPr>
          <w:b/>
        </w:rPr>
      </w:pPr>
      <w:r>
        <w:t>验收</w:t>
      </w:r>
    </w:p>
    <w:p w14:paraId="4FFCAC44">
      <w:pPr>
        <w:pStyle w:val="12"/>
        <w:widowControl/>
        <w:numPr>
          <w:ilvl w:val="0"/>
          <w:numId w:val="55"/>
        </w:numPr>
        <w:tabs>
          <w:tab w:val="left" w:pos="840"/>
        </w:tabs>
        <w:topLinePunct w:val="0"/>
        <w:ind w:left="0" w:leftChars="0" w:firstLine="480" w:firstLineChars="200"/>
        <w:rPr>
          <w:rFonts w:hint="eastAsia" w:ascii="宋体" w:hAnsi="宋体" w:eastAsia="宋体" w:cs="宋体"/>
          <w:b w:val="0"/>
          <w:color w:val="auto"/>
        </w:rPr>
      </w:pPr>
      <w:r>
        <w:rPr>
          <w:color w:val="auto"/>
        </w:rPr>
        <w:t>货物运达甲方指定的交货地点后，由甲乙双方一同验收并签字确认。</w:t>
      </w:r>
    </w:p>
    <w:p w14:paraId="3F0766BD">
      <w:pPr>
        <w:pStyle w:val="12"/>
        <w:widowControl/>
        <w:numPr>
          <w:ilvl w:val="0"/>
          <w:numId w:val="55"/>
        </w:numPr>
        <w:tabs>
          <w:tab w:val="left" w:pos="840"/>
        </w:tabs>
        <w:topLinePunct w:val="0"/>
        <w:ind w:left="0" w:leftChars="0" w:firstLine="480" w:firstLineChars="200"/>
        <w:rPr>
          <w:rFonts w:hint="eastAsia" w:ascii="宋体" w:hAnsi="宋体" w:eastAsia="宋体" w:cs="宋体"/>
          <w:b w:val="0"/>
          <w:color w:val="auto"/>
        </w:rPr>
      </w:pPr>
      <w:r>
        <w:rPr>
          <w:color w:val="auto"/>
        </w:rPr>
        <w:t>对货物的质量问题，甲方应在发现后向乙方提出书面异议，乙方在接到书面异议后，应当在</w:t>
      </w:r>
      <w:r>
        <w:rPr>
          <w:color w:val="auto"/>
          <w:u w:val="single"/>
        </w:rPr>
        <w:t xml:space="preserve">        </w:t>
      </w:r>
      <w:r>
        <w:rPr>
          <w:color w:val="auto"/>
        </w:rPr>
        <w:t>日内负责处理。甲方逾期提出的，对所交货物视为符合合同的规定。如果乙方在投标文件及谈判过程中做出的书面说明及承诺中，有明确质量保证期的，适用质量保证期。</w:t>
      </w:r>
    </w:p>
    <w:p w14:paraId="564970EF">
      <w:pPr>
        <w:pStyle w:val="12"/>
        <w:widowControl/>
        <w:numPr>
          <w:ilvl w:val="0"/>
          <w:numId w:val="55"/>
        </w:numPr>
        <w:tabs>
          <w:tab w:val="left" w:pos="840"/>
        </w:tabs>
        <w:topLinePunct w:val="0"/>
        <w:ind w:left="0" w:leftChars="0" w:firstLine="480" w:firstLineChars="200"/>
        <w:rPr>
          <w:rFonts w:hint="eastAsia" w:ascii="宋体" w:hAnsi="宋体" w:eastAsia="宋体" w:cs="宋体"/>
          <w:b w:val="0"/>
          <w:color w:val="auto"/>
        </w:rPr>
      </w:pPr>
      <w:r>
        <w:rPr>
          <w:color w:val="auto"/>
        </w:rPr>
        <w:t>经双方共同验收，货物达不到质量或规格要求的，甲方可以拒收，并可解除合同且不承担任何法律责任。</w:t>
      </w:r>
    </w:p>
    <w:p w14:paraId="106A2215">
      <w:pPr>
        <w:pStyle w:val="2"/>
        <w:widowControl/>
        <w:numPr>
          <w:ilvl w:val="0"/>
          <w:numId w:val="51"/>
        </w:numPr>
        <w:tabs>
          <w:tab w:val="left" w:pos="961"/>
        </w:tabs>
        <w:topLinePunct w:val="0"/>
        <w:ind w:left="0" w:leftChars="0" w:firstLine="482" w:firstLineChars="200"/>
        <w:rPr>
          <w:b/>
        </w:rPr>
      </w:pPr>
      <w:r>
        <w:t>售后服务</w:t>
      </w:r>
    </w:p>
    <w:p w14:paraId="383514EA">
      <w:pPr>
        <w:pStyle w:val="12"/>
        <w:widowControl/>
        <w:numPr>
          <w:ilvl w:val="0"/>
          <w:numId w:val="56"/>
        </w:numPr>
        <w:tabs>
          <w:tab w:val="left" w:pos="840"/>
        </w:tabs>
        <w:topLinePunct w:val="0"/>
        <w:ind w:left="0" w:leftChars="0" w:firstLine="480" w:firstLineChars="200"/>
        <w:rPr>
          <w:rFonts w:hint="eastAsia" w:ascii="宋体" w:hAnsi="宋体" w:eastAsia="宋体" w:cs="宋体"/>
          <w:b w:val="0"/>
          <w:color w:val="auto"/>
        </w:rPr>
      </w:pPr>
      <w:r>
        <w:rPr>
          <w:color w:val="auto"/>
        </w:rPr>
        <w:t>乙方应按竞争性谈判文件、投标文件及乙方在谈判过程中做出的书面说明或承诺提供及时、快速、优质的售后服务。</w:t>
      </w:r>
    </w:p>
    <w:p w14:paraId="037E726E">
      <w:pPr>
        <w:pStyle w:val="12"/>
        <w:widowControl/>
        <w:numPr>
          <w:ilvl w:val="0"/>
          <w:numId w:val="56"/>
        </w:numPr>
        <w:tabs>
          <w:tab w:val="left" w:pos="840"/>
        </w:tabs>
        <w:topLinePunct w:val="0"/>
        <w:ind w:left="0" w:leftChars="0" w:firstLine="480" w:firstLineChars="200"/>
        <w:rPr>
          <w:rFonts w:hint="eastAsia" w:ascii="宋体" w:hAnsi="宋体" w:eastAsia="宋体" w:cs="宋体"/>
          <w:b w:val="0"/>
          <w:color w:val="auto"/>
        </w:rPr>
      </w:pPr>
      <w:r>
        <w:rPr>
          <w:color w:val="auto"/>
        </w:rPr>
        <w:t>乙方提供货物的质量保证期为</w:t>
      </w:r>
      <w:r>
        <w:rPr>
          <w:color w:val="auto"/>
          <w:u w:val="single"/>
        </w:rPr>
        <w:t xml:space="preserve">       </w:t>
      </w:r>
      <w:r>
        <w:rPr>
          <w:color w:val="auto"/>
        </w:rPr>
        <w:t>个月（自交货验收合格之日算起）。</w:t>
      </w:r>
    </w:p>
    <w:p w14:paraId="4FDE1977">
      <w:pPr>
        <w:pStyle w:val="12"/>
        <w:widowControl/>
        <w:numPr>
          <w:ilvl w:val="0"/>
          <w:numId w:val="56"/>
        </w:numPr>
        <w:tabs>
          <w:tab w:val="left" w:pos="840"/>
        </w:tabs>
        <w:topLinePunct w:val="0"/>
        <w:ind w:left="0" w:leftChars="0" w:firstLine="480" w:firstLineChars="200"/>
        <w:rPr>
          <w:rFonts w:hint="eastAsia" w:ascii="宋体" w:hAnsi="宋体" w:eastAsia="宋体" w:cs="宋体"/>
          <w:b w:val="0"/>
          <w:color w:val="auto"/>
        </w:rPr>
      </w:pPr>
      <w:r>
        <w:rPr>
          <w:color w:val="auto"/>
        </w:rPr>
        <w:t>其他售后服务内容：</w:t>
      </w:r>
    </w:p>
    <w:p w14:paraId="38F0CA1A">
      <w:pPr>
        <w:pStyle w:val="2"/>
        <w:widowControl/>
        <w:numPr>
          <w:ilvl w:val="0"/>
          <w:numId w:val="51"/>
        </w:numPr>
        <w:tabs>
          <w:tab w:val="left" w:pos="961"/>
        </w:tabs>
        <w:topLinePunct w:val="0"/>
        <w:ind w:left="0" w:leftChars="0" w:firstLine="482" w:firstLineChars="200"/>
        <w:rPr>
          <w:b/>
        </w:rPr>
      </w:pPr>
      <w:r>
        <w:t>违约条款</w:t>
      </w:r>
    </w:p>
    <w:p w14:paraId="4789BD24">
      <w:pPr>
        <w:pStyle w:val="12"/>
        <w:widowControl/>
        <w:numPr>
          <w:ilvl w:val="0"/>
          <w:numId w:val="57"/>
        </w:numPr>
        <w:tabs>
          <w:tab w:val="left" w:pos="840"/>
        </w:tabs>
        <w:topLinePunct w:val="0"/>
        <w:ind w:left="0" w:leftChars="0" w:firstLine="480" w:firstLineChars="200"/>
        <w:rPr>
          <w:rFonts w:hint="eastAsia" w:ascii="宋体" w:hAnsi="宋体" w:eastAsia="宋体" w:cs="宋体"/>
          <w:b w:val="0"/>
          <w:color w:val="auto"/>
        </w:rPr>
      </w:pPr>
      <w:r>
        <w:rPr>
          <w:color w:val="auto"/>
        </w:rPr>
        <w:t>乙方延迟交货，每延迟</w:t>
      </w:r>
      <w:r>
        <w:rPr>
          <w:color w:val="auto"/>
          <w:u w:val="single"/>
        </w:rPr>
        <w:t xml:space="preserve">       </w:t>
      </w:r>
      <w:r>
        <w:rPr>
          <w:color w:val="auto"/>
        </w:rPr>
        <w:t>日，按应交付货物总额</w:t>
      </w:r>
      <w:r>
        <w:rPr>
          <w:color w:val="auto"/>
          <w:u w:val="single"/>
        </w:rPr>
        <w:t xml:space="preserve">      </w:t>
      </w:r>
      <w:r>
        <w:rPr>
          <w:color w:val="auto"/>
        </w:rPr>
        <w:t>支付违约金。</w:t>
      </w:r>
    </w:p>
    <w:p w14:paraId="30FD7DB3">
      <w:pPr>
        <w:pStyle w:val="12"/>
        <w:widowControl/>
        <w:numPr>
          <w:ilvl w:val="0"/>
          <w:numId w:val="57"/>
        </w:numPr>
        <w:tabs>
          <w:tab w:val="left" w:pos="840"/>
        </w:tabs>
        <w:topLinePunct w:val="0"/>
        <w:ind w:left="0" w:leftChars="0" w:firstLine="480" w:firstLineChars="200"/>
        <w:rPr>
          <w:rFonts w:hint="eastAsia" w:ascii="宋体" w:hAnsi="宋体" w:eastAsia="宋体" w:cs="宋体"/>
          <w:b w:val="0"/>
          <w:color w:val="auto"/>
        </w:rPr>
      </w:pPr>
      <w:r>
        <w:rPr>
          <w:color w:val="auto"/>
        </w:rPr>
        <w:t>乙方履行合同不符合规定，除应按合同约定及时调换外，在调换货物期间，应按调换货物金额每日</w:t>
      </w:r>
      <w:r>
        <w:rPr>
          <w:color w:val="auto"/>
          <w:u w:val="single"/>
        </w:rPr>
        <w:t xml:space="preserve">      </w:t>
      </w:r>
      <w:r>
        <w:rPr>
          <w:color w:val="auto"/>
        </w:rPr>
        <w:t>向甲方支付违约金。</w:t>
      </w:r>
    </w:p>
    <w:p w14:paraId="0BE5C95A">
      <w:pPr>
        <w:pStyle w:val="12"/>
        <w:widowControl/>
        <w:numPr>
          <w:ilvl w:val="0"/>
          <w:numId w:val="57"/>
        </w:numPr>
        <w:tabs>
          <w:tab w:val="left" w:pos="840"/>
        </w:tabs>
        <w:topLinePunct w:val="0"/>
        <w:ind w:left="0" w:leftChars="0" w:firstLine="480" w:firstLineChars="200"/>
        <w:rPr>
          <w:rFonts w:hint="eastAsia" w:ascii="宋体" w:hAnsi="宋体" w:eastAsia="宋体" w:cs="宋体"/>
          <w:b w:val="0"/>
          <w:color w:val="auto"/>
        </w:rPr>
      </w:pPr>
      <w:r>
        <w:rPr>
          <w:color w:val="auto"/>
        </w:rPr>
        <w:t>一方不按期履行合同，并经另一方提示后</w:t>
      </w:r>
      <w:r>
        <w:rPr>
          <w:color w:val="auto"/>
          <w:u w:val="single"/>
        </w:rPr>
        <w:t xml:space="preserve">      </w:t>
      </w:r>
      <w:r>
        <w:rPr>
          <w:color w:val="auto"/>
        </w:rPr>
        <w:t>日内仍不履行合同的，守约方有权解除合同，违约方要承担相应的法律责任。</w:t>
      </w:r>
    </w:p>
    <w:p w14:paraId="7C364495">
      <w:pPr>
        <w:pStyle w:val="12"/>
        <w:widowControl/>
        <w:numPr>
          <w:ilvl w:val="0"/>
          <w:numId w:val="57"/>
        </w:numPr>
        <w:tabs>
          <w:tab w:val="left" w:pos="840"/>
        </w:tabs>
        <w:topLinePunct w:val="0"/>
        <w:ind w:left="0" w:leftChars="0" w:firstLine="480" w:firstLineChars="200"/>
        <w:rPr>
          <w:rFonts w:hint="eastAsia" w:ascii="宋体" w:hAnsi="宋体" w:eastAsia="宋体" w:cs="宋体"/>
          <w:b w:val="0"/>
          <w:color w:val="auto"/>
        </w:rPr>
      </w:pPr>
      <w:r>
        <w:rPr>
          <w:color w:val="auto"/>
        </w:rPr>
        <w:t>如因一方违约，双方未能就赔偿损失达成协议，引起诉讼或仲裁时，违约方除应赔偿对方经济损失外，还应承担因诉讼或仲裁所支付的律师代理费等相关费用。</w:t>
      </w:r>
    </w:p>
    <w:p w14:paraId="0978584B">
      <w:pPr>
        <w:pStyle w:val="12"/>
        <w:widowControl/>
        <w:numPr>
          <w:ilvl w:val="0"/>
          <w:numId w:val="57"/>
        </w:numPr>
        <w:tabs>
          <w:tab w:val="left" w:pos="840"/>
        </w:tabs>
        <w:topLinePunct w:val="0"/>
        <w:ind w:left="0" w:leftChars="0" w:firstLine="480" w:firstLineChars="200"/>
        <w:rPr>
          <w:rFonts w:hint="eastAsia" w:ascii="宋体" w:hAnsi="宋体" w:eastAsia="宋体" w:cs="宋体"/>
          <w:b w:val="0"/>
          <w:color w:val="auto"/>
        </w:rPr>
      </w:pPr>
      <w:r>
        <w:rPr>
          <w:color w:val="auto"/>
        </w:rPr>
        <w:t>其它应承担的违约责任，以《中华人民共和国民法典》和其它有关法律、法规规定为准，无相关规定的，双方协商解决。</w:t>
      </w:r>
    </w:p>
    <w:p w14:paraId="0D156F2D">
      <w:pPr>
        <w:pStyle w:val="12"/>
        <w:widowControl/>
        <w:numPr>
          <w:ilvl w:val="0"/>
          <w:numId w:val="57"/>
        </w:numPr>
        <w:tabs>
          <w:tab w:val="left" w:pos="840"/>
        </w:tabs>
        <w:topLinePunct w:val="0"/>
        <w:ind w:left="0" w:leftChars="0" w:firstLine="480" w:firstLineChars="200"/>
        <w:rPr>
          <w:rFonts w:hint="eastAsia" w:ascii="宋体" w:hAnsi="宋体" w:eastAsia="宋体" w:cs="宋体"/>
          <w:b w:val="0"/>
          <w:color w:val="auto"/>
        </w:rPr>
      </w:pPr>
      <w:r>
        <w:rPr>
          <w:color w:val="auto"/>
        </w:rPr>
        <w:t>按照本合同规定应该偿付的违约金、赔偿金等，应当在明确责任后</w:t>
      </w:r>
      <w:r>
        <w:rPr>
          <w:color w:val="auto"/>
          <w:u w:val="single"/>
        </w:rPr>
        <w:t xml:space="preserve">     </w:t>
      </w:r>
      <w:r>
        <w:rPr>
          <w:color w:val="auto"/>
        </w:rPr>
        <w:t>日内，按银行规定或双方商定的结算办法付清，否则按逾期付款处理。</w:t>
      </w:r>
    </w:p>
    <w:p w14:paraId="37E6630C">
      <w:pPr>
        <w:pStyle w:val="2"/>
        <w:widowControl/>
        <w:numPr>
          <w:ilvl w:val="0"/>
          <w:numId w:val="51"/>
        </w:numPr>
        <w:tabs>
          <w:tab w:val="left" w:pos="961"/>
        </w:tabs>
        <w:topLinePunct w:val="0"/>
        <w:ind w:left="0" w:leftChars="0" w:firstLine="482" w:firstLineChars="200"/>
        <w:rPr>
          <w:b/>
        </w:rPr>
      </w:pPr>
      <w:r>
        <w:t>不可抗力条款</w:t>
      </w:r>
    </w:p>
    <w:p w14:paraId="5113B359">
      <w:pPr>
        <w:pStyle w:val="12"/>
        <w:widowControl/>
        <w:ind w:left="0" w:leftChars="0" w:firstLine="480" w:firstLineChars="200"/>
        <w:rPr>
          <w:color w:val="auto"/>
        </w:rPr>
      </w:pPr>
      <w:r>
        <w:rPr>
          <w:color w:val="auto"/>
        </w:rPr>
        <w:t>因不可抗力致使一方不能及时或完全履行合同的，应及时通知招标代理机构及另一方，双方互不承担责任，并在</w:t>
      </w:r>
      <w:r>
        <w:rPr>
          <w:color w:val="auto"/>
          <w:u w:val="single"/>
        </w:rPr>
        <w:t xml:space="preserve">      </w:t>
      </w:r>
      <w:r>
        <w:rPr>
          <w:color w:val="auto"/>
        </w:rPr>
        <w:t>天内提供有关不可抗力的相应证明。合同未履行部分是否继续履行、如何履行等问题，可由双方协商解决。</w:t>
      </w:r>
    </w:p>
    <w:p w14:paraId="6791C329">
      <w:pPr>
        <w:pStyle w:val="2"/>
        <w:widowControl/>
        <w:numPr>
          <w:ilvl w:val="0"/>
          <w:numId w:val="51"/>
        </w:numPr>
        <w:tabs>
          <w:tab w:val="left" w:pos="961"/>
        </w:tabs>
        <w:topLinePunct w:val="0"/>
        <w:ind w:left="0" w:leftChars="0" w:firstLine="482" w:firstLineChars="200"/>
        <w:rPr>
          <w:b/>
        </w:rPr>
      </w:pPr>
      <w:r>
        <w:t>争议的解决方式</w:t>
      </w:r>
    </w:p>
    <w:p w14:paraId="410A13E3">
      <w:pPr>
        <w:pStyle w:val="12"/>
        <w:widowControl/>
        <w:ind w:left="0" w:leftChars="0" w:firstLine="480" w:firstLineChars="200"/>
        <w:rPr>
          <w:color w:val="auto"/>
        </w:rPr>
      </w:pPr>
      <w:r>
        <w:rPr>
          <w:color w:val="auto"/>
        </w:rPr>
        <w:t>合同发生纠纷时，双方应协商解决，协商不成可以采用下列方式解决：</w:t>
      </w:r>
    </w:p>
    <w:p w14:paraId="6B50B043">
      <w:pPr>
        <w:pStyle w:val="12"/>
        <w:widowControl/>
        <w:numPr>
          <w:ilvl w:val="0"/>
          <w:numId w:val="58"/>
        </w:numPr>
        <w:tabs>
          <w:tab w:val="left" w:pos="840"/>
        </w:tabs>
        <w:topLinePunct w:val="0"/>
        <w:ind w:left="0" w:leftChars="0" w:firstLine="480" w:firstLineChars="200"/>
        <w:rPr>
          <w:rFonts w:hint="eastAsia" w:ascii="宋体" w:hAnsi="宋体" w:eastAsia="宋体" w:cs="宋体"/>
          <w:b w:val="0"/>
          <w:color w:val="auto"/>
        </w:rPr>
      </w:pPr>
      <w:r>
        <w:rPr>
          <w:color w:val="auto"/>
        </w:rPr>
        <w:t>提交仲裁委员会仲裁；</w:t>
      </w:r>
    </w:p>
    <w:p w14:paraId="580843E4">
      <w:pPr>
        <w:pStyle w:val="12"/>
        <w:widowControl/>
        <w:numPr>
          <w:ilvl w:val="0"/>
          <w:numId w:val="58"/>
        </w:numPr>
        <w:tabs>
          <w:tab w:val="left" w:pos="840"/>
        </w:tabs>
        <w:topLinePunct w:val="0"/>
        <w:ind w:left="0" w:leftChars="0" w:firstLine="480" w:firstLineChars="200"/>
        <w:rPr>
          <w:rFonts w:hint="eastAsia" w:ascii="宋体" w:hAnsi="宋体" w:eastAsia="宋体" w:cs="宋体"/>
          <w:b w:val="0"/>
          <w:color w:val="auto"/>
        </w:rPr>
      </w:pPr>
      <w:r>
        <w:rPr>
          <w:color w:val="auto"/>
        </w:rPr>
        <w:t>向人民法院诉讼。</w:t>
      </w:r>
    </w:p>
    <w:p w14:paraId="64D3709C">
      <w:pPr>
        <w:pStyle w:val="2"/>
        <w:widowControl/>
        <w:numPr>
          <w:ilvl w:val="0"/>
          <w:numId w:val="51"/>
        </w:numPr>
        <w:tabs>
          <w:tab w:val="left" w:pos="961"/>
        </w:tabs>
        <w:topLinePunct w:val="0"/>
        <w:ind w:left="0" w:leftChars="0" w:firstLine="482" w:firstLineChars="200"/>
        <w:rPr>
          <w:b/>
        </w:rPr>
      </w:pPr>
      <w:r>
        <w:t>补充协议</w:t>
      </w:r>
    </w:p>
    <w:p w14:paraId="3B1AE0A3">
      <w:pPr>
        <w:pStyle w:val="12"/>
        <w:widowControl/>
        <w:ind w:left="0" w:leftChars="0" w:firstLine="480" w:firstLineChars="200"/>
        <w:rPr>
          <w:color w:val="auto"/>
        </w:rPr>
      </w:pPr>
      <w:r>
        <w:rPr>
          <w:color w:val="auto"/>
        </w:rPr>
        <w:t>合同未尽事宜，经双方协商可签订补充协议，所签订的补充协议与本合同具有同等的法律效力，补充协议的生效应符合本合同的有关规定。合同补充条款应同时报同级财政部门备案。</w:t>
      </w:r>
    </w:p>
    <w:p w14:paraId="11258AD1">
      <w:pPr>
        <w:pStyle w:val="2"/>
        <w:widowControl/>
        <w:numPr>
          <w:ilvl w:val="0"/>
          <w:numId w:val="51"/>
        </w:numPr>
        <w:tabs>
          <w:tab w:val="left" w:pos="961"/>
        </w:tabs>
        <w:topLinePunct w:val="0"/>
        <w:ind w:left="0" w:leftChars="0" w:firstLine="482" w:firstLineChars="200"/>
        <w:rPr>
          <w:b/>
        </w:rPr>
      </w:pPr>
      <w:r>
        <w:t>合同保存</w:t>
      </w:r>
    </w:p>
    <w:p w14:paraId="6B6008AA">
      <w:pPr>
        <w:pStyle w:val="12"/>
        <w:widowControl/>
        <w:ind w:left="0" w:leftChars="0" w:firstLine="480" w:firstLineChars="200"/>
        <w:rPr>
          <w:color w:val="auto"/>
          <w:u w:val="single"/>
        </w:rPr>
      </w:pPr>
      <w:r>
        <w:rPr>
          <w:color w:val="auto"/>
        </w:rPr>
        <w:t>本合同一式</w:t>
      </w:r>
      <w:r>
        <w:rPr>
          <w:color w:val="auto"/>
          <w:u w:val="single"/>
        </w:rPr>
        <w:t xml:space="preserve">    </w:t>
      </w:r>
      <w:r>
        <w:rPr>
          <w:color w:val="auto"/>
        </w:rPr>
        <w:t>份，甲方</w:t>
      </w:r>
      <w:r>
        <w:rPr>
          <w:color w:val="auto"/>
          <w:u w:val="single"/>
        </w:rPr>
        <w:t xml:space="preserve">    </w:t>
      </w:r>
      <w:r>
        <w:rPr>
          <w:color w:val="auto"/>
        </w:rPr>
        <w:t>份，乙方</w:t>
      </w:r>
      <w:r>
        <w:rPr>
          <w:color w:val="auto"/>
          <w:u w:val="single"/>
        </w:rPr>
        <w:t xml:space="preserve">   </w:t>
      </w:r>
      <w:r>
        <w:rPr>
          <w:color w:val="auto"/>
        </w:rPr>
        <w:t>份，招标代理机构</w:t>
      </w:r>
      <w:r>
        <w:rPr>
          <w:color w:val="auto"/>
          <w:u w:val="single"/>
        </w:rPr>
        <w:t xml:space="preserve">    </w:t>
      </w:r>
      <w:r>
        <w:rPr>
          <w:color w:val="auto"/>
        </w:rPr>
        <w:t>份 ，</w:t>
      </w:r>
      <w:r>
        <w:rPr>
          <w:color w:val="auto"/>
          <w:u w:val="single"/>
        </w:rPr>
        <w:t xml:space="preserve">  </w:t>
      </w:r>
    </w:p>
    <w:p w14:paraId="1BC1EA73">
      <w:pPr>
        <w:pStyle w:val="12"/>
        <w:widowControl/>
        <w:ind w:left="0" w:leftChars="0" w:firstLine="480" w:firstLineChars="200"/>
        <w:rPr>
          <w:color w:val="auto"/>
        </w:rPr>
      </w:pPr>
      <w:r>
        <w:rPr>
          <w:color w:val="auto"/>
          <w:u w:val="single"/>
        </w:rPr>
        <w:t xml:space="preserve">                </w:t>
      </w:r>
      <w:r>
        <w:rPr>
          <w:color w:val="auto"/>
        </w:rPr>
        <w:t>市（县、区）财政部门</w:t>
      </w:r>
      <w:r>
        <w:rPr>
          <w:color w:val="auto"/>
          <w:u w:val="single"/>
        </w:rPr>
        <w:t xml:space="preserve"> 1 </w:t>
      </w:r>
      <w:r>
        <w:rPr>
          <w:color w:val="auto"/>
        </w:rPr>
        <w:t>份。</w:t>
      </w:r>
    </w:p>
    <w:p w14:paraId="3824EAFD">
      <w:pPr>
        <w:pStyle w:val="2"/>
        <w:widowControl/>
        <w:numPr>
          <w:ilvl w:val="0"/>
          <w:numId w:val="51"/>
        </w:numPr>
        <w:tabs>
          <w:tab w:val="left" w:pos="961"/>
        </w:tabs>
        <w:topLinePunct w:val="0"/>
        <w:ind w:left="0" w:leftChars="0" w:firstLine="482" w:firstLineChars="200"/>
        <w:rPr>
          <w:b/>
        </w:rPr>
      </w:pPr>
      <w:r>
        <w:t xml:space="preserve">其他需要补充的内容：                       </w:t>
      </w:r>
    </w:p>
    <w:p w14:paraId="09C6F93D">
      <w:pPr>
        <w:spacing w:after="120" w:afterAutospacing="0"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 xml:space="preserve">甲方：                              </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乙方：</w:t>
      </w:r>
    </w:p>
    <w:p w14:paraId="31E0DA32">
      <w:pPr>
        <w:spacing w:after="120" w:afterAutospacing="0"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 xml:space="preserve">单位名称(公章)：                    </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单位名称(公章)：</w:t>
      </w:r>
    </w:p>
    <w:p w14:paraId="31B4E748">
      <w:pPr>
        <w:spacing w:after="120" w:afterAutospacing="0"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 xml:space="preserve">法定代表人或其授权代表（签字）：     </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法定代表人或其授权代表（签字）：</w:t>
      </w:r>
    </w:p>
    <w:p w14:paraId="3AFAA667">
      <w:pPr>
        <w:spacing w:after="120" w:afterAutospacing="0"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开户银行：</w:t>
      </w:r>
      <w:r>
        <w:rPr>
          <w:rFonts w:hint="eastAsia" w:ascii="Times New Roman" w:hAnsi="Times New Roman" w:eastAsia="宋体" w:cs="Times New Roman"/>
          <w:color w:val="auto"/>
          <w:sz w:val="24"/>
          <w:lang w:val="en-US" w:eastAsia="zh-CN"/>
        </w:rPr>
        <w:t xml:space="preserve">                             开户银行：</w:t>
      </w:r>
    </w:p>
    <w:p w14:paraId="65BAED2A">
      <w:pPr>
        <w:spacing w:after="120" w:afterAutospacing="0"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账号：</w:t>
      </w:r>
      <w:r>
        <w:rPr>
          <w:rFonts w:hint="eastAsia" w:ascii="Times New Roman" w:hAnsi="Times New Roman" w:eastAsia="宋体" w:cs="Times New Roman"/>
          <w:color w:val="auto"/>
          <w:sz w:val="24"/>
          <w:lang w:val="en-US" w:eastAsia="zh-CN"/>
        </w:rPr>
        <w:t xml:space="preserve">                                 账号：</w:t>
      </w:r>
    </w:p>
    <w:p w14:paraId="445CF10E">
      <w:pPr>
        <w:spacing w:after="120" w:afterAutospacing="0"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 xml:space="preserve">联系电话：                          </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联系电话：</w:t>
      </w:r>
    </w:p>
    <w:p w14:paraId="3DDEA11D">
      <w:pPr>
        <w:spacing w:after="120" w:afterAutospacing="0"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签订日期：</w:t>
      </w:r>
      <w:r>
        <w:rPr>
          <w:rFonts w:hint="eastAsia" w:ascii="Times New Roman" w:hAnsi="Times New Roman" w:eastAsia="宋体" w:cs="Times New Roman"/>
          <w:color w:val="auto"/>
          <w:sz w:val="24"/>
          <w:lang w:val="en-US" w:eastAsia="zh-CN"/>
        </w:rPr>
        <w:t xml:space="preserve">    年  月  日          </w:t>
      </w:r>
      <w:r>
        <w:rPr>
          <w:rFonts w:hint="eastAsia" w:ascii="Times New Roman" w:hAnsi="Times New Roman" w:eastAsia="宋体" w:cs="Times New Roman"/>
          <w:color w:val="auto"/>
          <w:sz w:val="24"/>
        </w:rPr>
        <w:t xml:space="preserve">  </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签订日期：</w:t>
      </w:r>
      <w:r>
        <w:rPr>
          <w:rFonts w:hint="eastAsia" w:ascii="Times New Roman" w:hAnsi="Times New Roman" w:eastAsia="宋体" w:cs="Times New Roman"/>
          <w:color w:val="auto"/>
          <w:sz w:val="24"/>
          <w:lang w:val="en-US" w:eastAsia="zh-CN"/>
        </w:rPr>
        <w:t xml:space="preserve">    年  月  日</w:t>
      </w:r>
    </w:p>
    <w:p w14:paraId="771B12D6">
      <w:pPr>
        <w:pStyle w:val="12"/>
        <w:widowControl/>
        <w:ind w:left="0" w:leftChars="0" w:firstLine="482" w:firstLineChars="200"/>
        <w:rPr>
          <w:color w:val="auto"/>
          <w:highlight w:val="none"/>
        </w:rPr>
      </w:pPr>
      <w:r>
        <w:rPr>
          <w:b/>
          <w:color w:val="auto"/>
          <w:highlight w:val="none"/>
        </w:rPr>
        <w:t>注：本合同样本仅供参考，具体内容由招标人和成交单位协商确定。</w:t>
      </w:r>
    </w:p>
    <w:p w14:paraId="044CD9BD">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bookmarkStart w:id="53" w:name="_Toc13128"/>
    </w:p>
    <w:p w14:paraId="1882A603">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787D2020">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708031FD">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215AD117">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57E950ED">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10DA2708">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05A6671B">
      <w:pPr>
        <w:keepNext w:val="0"/>
        <w:keepLines w:val="0"/>
        <w:pageBreakBefore w:val="0"/>
        <w:widowControl/>
        <w:kinsoku/>
        <w:wordWrap w:val="0"/>
        <w:overflowPunct/>
        <w:topLinePunct/>
        <w:autoSpaceDE/>
        <w:autoSpaceDN/>
        <w:bidi w:val="0"/>
        <w:adjustRightInd w:val="0"/>
        <w:snapToGrid w:val="0"/>
        <w:spacing w:before="101" w:line="224" w:lineRule="auto"/>
        <w:ind w:left="2464"/>
        <w:jc w:val="both"/>
        <w:textAlignment w:val="baseline"/>
        <w:outlineLvl w:val="9"/>
        <w:rPr>
          <w:rFonts w:hint="eastAsia" w:ascii="宋体" w:hAnsi="宋体" w:eastAsia="宋体" w:cs="宋体"/>
          <w:color w:val="auto"/>
          <w:spacing w:val="9"/>
          <w:sz w:val="31"/>
          <w:szCs w:val="31"/>
          <w14:textOutline w14:w="5793" w14:cap="sq" w14:cmpd="sng">
            <w14:solidFill>
              <w14:srgbClr w14:val="000000"/>
            </w14:solidFill>
            <w14:prstDash w14:val="solid"/>
            <w14:bevel/>
          </w14:textOutline>
        </w:rPr>
      </w:pPr>
    </w:p>
    <w:p w14:paraId="484CE6FE">
      <w:r>
        <w:br w:type="page"/>
      </w:r>
    </w:p>
    <w:p w14:paraId="5BE66042">
      <w:pPr>
        <w:pStyle w:val="50"/>
        <w:widowControl/>
        <w:ind w:left="0" w:leftChars="0" w:firstLine="640" w:firstLineChars="200"/>
        <w:outlineLvl w:val="0"/>
      </w:pPr>
      <w:r>
        <w:t>第五章响应文件构成及格式</w:t>
      </w:r>
      <w:bookmarkEnd w:id="53"/>
    </w:p>
    <w:tbl>
      <w:tblPr>
        <w:tblStyle w:val="28"/>
        <w:tblW w:w="8194" w:type="dxa"/>
        <w:tblInd w:w="31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194"/>
      </w:tblGrid>
      <w:tr w14:paraId="1075A0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20" w:hRule="atLeast"/>
        </w:trPr>
        <w:tc>
          <w:tcPr>
            <w:tcW w:w="8194" w:type="dxa"/>
            <w:vAlign w:val="top"/>
          </w:tcPr>
          <w:p w14:paraId="6448E008">
            <w:pPr>
              <w:keepNext w:val="0"/>
              <w:keepLines w:val="0"/>
              <w:pageBreakBefore w:val="0"/>
              <w:widowControl/>
              <w:kinsoku/>
              <w:wordWrap w:val="0"/>
              <w:overflowPunct/>
              <w:topLinePunct/>
              <w:autoSpaceDE/>
              <w:autoSpaceDN/>
              <w:bidi w:val="0"/>
              <w:adjustRightInd w:val="0"/>
              <w:snapToGrid w:val="0"/>
              <w:jc w:val="both"/>
              <w:textAlignment w:val="baseline"/>
              <w:rPr>
                <w:rFonts w:hint="eastAsia" w:ascii="宋体" w:hAnsi="宋体" w:eastAsia="宋体" w:cs="宋体"/>
                <w:color w:val="auto"/>
                <w:sz w:val="21"/>
              </w:rPr>
            </w:pPr>
          </w:p>
          <w:p w14:paraId="4DE98405">
            <w:pPr>
              <w:pStyle w:val="29"/>
              <w:keepNext w:val="0"/>
              <w:keepLines w:val="0"/>
              <w:pageBreakBefore w:val="0"/>
              <w:widowControl/>
              <w:kinsoku/>
              <w:wordWrap w:val="0"/>
              <w:overflowPunct/>
              <w:topLinePunct/>
              <w:autoSpaceDE/>
              <w:autoSpaceDN/>
              <w:bidi w:val="0"/>
              <w:adjustRightInd w:val="0"/>
              <w:snapToGrid w:val="0"/>
              <w:spacing w:before="78" w:line="219" w:lineRule="auto"/>
              <w:ind w:left="117"/>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rPr>
              <w:t>注释：</w:t>
            </w:r>
          </w:p>
          <w:p w14:paraId="0A321919">
            <w:pPr>
              <w:keepNext w:val="0"/>
              <w:keepLines w:val="0"/>
              <w:pageBreakBefore w:val="0"/>
              <w:widowControl/>
              <w:kinsoku/>
              <w:wordWrap w:val="0"/>
              <w:overflowPunct/>
              <w:topLinePunct/>
              <w:autoSpaceDE/>
              <w:autoSpaceDN/>
              <w:bidi w:val="0"/>
              <w:adjustRightInd w:val="0"/>
              <w:snapToGrid w:val="0"/>
              <w:spacing w:line="254" w:lineRule="auto"/>
              <w:jc w:val="both"/>
              <w:textAlignment w:val="baseline"/>
              <w:rPr>
                <w:rFonts w:hint="eastAsia" w:ascii="宋体" w:hAnsi="宋体" w:eastAsia="宋体" w:cs="宋体"/>
                <w:color w:val="auto"/>
                <w:sz w:val="21"/>
              </w:rPr>
            </w:pPr>
          </w:p>
          <w:p w14:paraId="21B54E1D">
            <w:pPr>
              <w:pStyle w:val="29"/>
              <w:keepNext w:val="0"/>
              <w:keepLines w:val="0"/>
              <w:pageBreakBefore w:val="0"/>
              <w:widowControl/>
              <w:kinsoku/>
              <w:wordWrap w:val="0"/>
              <w:overflowPunct/>
              <w:topLinePunct/>
              <w:autoSpaceDE/>
              <w:autoSpaceDN/>
              <w:bidi w:val="0"/>
              <w:adjustRightInd w:val="0"/>
              <w:snapToGrid w:val="0"/>
              <w:spacing w:before="78" w:line="502" w:lineRule="exact"/>
              <w:ind w:left="615"/>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3"/>
                <w:position w:val="20"/>
                <w:sz w:val="24"/>
                <w:szCs w:val="24"/>
              </w:rPr>
              <w:t>1、本章分为六部分，是为方便</w:t>
            </w:r>
            <w:r>
              <w:rPr>
                <w:rFonts w:hint="eastAsia" w:ascii="宋体" w:hAnsi="宋体" w:eastAsia="宋体" w:cs="宋体"/>
                <w:color w:val="auto"/>
                <w:spacing w:val="-3"/>
                <w:position w:val="20"/>
                <w:sz w:val="24"/>
                <w:szCs w:val="24"/>
                <w:lang w:eastAsia="zh-CN"/>
              </w:rPr>
              <w:t>投标人</w:t>
            </w:r>
            <w:r>
              <w:rPr>
                <w:rFonts w:hint="eastAsia" w:ascii="宋体" w:hAnsi="宋体" w:eastAsia="宋体" w:cs="宋体"/>
                <w:color w:val="auto"/>
                <w:spacing w:val="-3"/>
                <w:position w:val="20"/>
                <w:sz w:val="24"/>
                <w:szCs w:val="24"/>
              </w:rPr>
              <w:t>制作响应文件设计。第一至五部分</w:t>
            </w:r>
          </w:p>
          <w:p w14:paraId="3F08F0E8">
            <w:pPr>
              <w:pStyle w:val="29"/>
              <w:keepNext w:val="0"/>
              <w:keepLines w:val="0"/>
              <w:pageBreakBefore w:val="0"/>
              <w:widowControl/>
              <w:kinsoku/>
              <w:wordWrap w:val="0"/>
              <w:overflowPunct/>
              <w:topLinePunct/>
              <w:autoSpaceDE/>
              <w:autoSpaceDN/>
              <w:bidi w:val="0"/>
              <w:adjustRightInd w:val="0"/>
              <w:snapToGrid w:val="0"/>
              <w:spacing w:line="219" w:lineRule="auto"/>
              <w:ind w:left="117"/>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应按要求或给定格式填报。</w:t>
            </w:r>
          </w:p>
          <w:p w14:paraId="1709D24D">
            <w:pPr>
              <w:keepNext w:val="0"/>
              <w:keepLines w:val="0"/>
              <w:pageBreakBefore w:val="0"/>
              <w:widowControl/>
              <w:kinsoku/>
              <w:wordWrap w:val="0"/>
              <w:overflowPunct/>
              <w:topLinePunct/>
              <w:autoSpaceDE/>
              <w:autoSpaceDN/>
              <w:bidi w:val="0"/>
              <w:adjustRightInd w:val="0"/>
              <w:snapToGrid w:val="0"/>
              <w:spacing w:line="254" w:lineRule="auto"/>
              <w:jc w:val="both"/>
              <w:textAlignment w:val="baseline"/>
              <w:rPr>
                <w:rFonts w:hint="eastAsia" w:ascii="宋体" w:hAnsi="宋体" w:eastAsia="宋体" w:cs="宋体"/>
                <w:color w:val="auto"/>
                <w:sz w:val="21"/>
              </w:rPr>
            </w:pPr>
          </w:p>
          <w:p w14:paraId="0555CE09">
            <w:pPr>
              <w:pStyle w:val="29"/>
              <w:keepNext w:val="0"/>
              <w:keepLines w:val="0"/>
              <w:pageBreakBefore w:val="0"/>
              <w:widowControl/>
              <w:kinsoku/>
              <w:wordWrap w:val="0"/>
              <w:overflowPunct/>
              <w:topLinePunct/>
              <w:autoSpaceDE/>
              <w:autoSpaceDN/>
              <w:bidi w:val="0"/>
              <w:adjustRightInd w:val="0"/>
              <w:snapToGrid w:val="0"/>
              <w:spacing w:before="78" w:line="499" w:lineRule="exact"/>
              <w:ind w:left="6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2、第六部分</w:t>
            </w:r>
            <w:r>
              <w:rPr>
                <w:rFonts w:hint="eastAsia" w:ascii="宋体" w:hAnsi="宋体" w:eastAsia="宋体" w:cs="宋体"/>
                <w:color w:val="auto"/>
                <w:spacing w:val="-3"/>
                <w:position w:val="19"/>
                <w:sz w:val="24"/>
                <w:szCs w:val="24"/>
                <w:lang w:val="en-US" w:eastAsia="zh-CN"/>
              </w:rPr>
              <w:t>响应说明</w:t>
            </w:r>
            <w:r>
              <w:rPr>
                <w:rFonts w:hint="eastAsia" w:ascii="宋体" w:hAnsi="宋体" w:eastAsia="宋体" w:cs="宋体"/>
                <w:color w:val="auto"/>
                <w:spacing w:val="-3"/>
                <w:position w:val="19"/>
                <w:sz w:val="24"/>
                <w:szCs w:val="24"/>
              </w:rPr>
              <w:t>格式仅供参考，</w:t>
            </w:r>
            <w:r>
              <w:rPr>
                <w:rFonts w:hint="eastAsia" w:ascii="宋体" w:hAnsi="宋体" w:eastAsia="宋体" w:cs="宋体"/>
                <w:color w:val="auto"/>
                <w:spacing w:val="-3"/>
                <w:position w:val="19"/>
                <w:sz w:val="24"/>
                <w:szCs w:val="24"/>
                <w:lang w:eastAsia="zh-CN"/>
              </w:rPr>
              <w:t>投标人</w:t>
            </w:r>
            <w:r>
              <w:rPr>
                <w:rFonts w:hint="eastAsia" w:ascii="宋体" w:hAnsi="宋体" w:eastAsia="宋体" w:cs="宋体"/>
                <w:color w:val="auto"/>
                <w:spacing w:val="-3"/>
                <w:position w:val="19"/>
                <w:sz w:val="24"/>
                <w:szCs w:val="24"/>
              </w:rPr>
              <w:t>应根据项目特点，结合本次</w:t>
            </w:r>
          </w:p>
          <w:p w14:paraId="64428F96">
            <w:pPr>
              <w:pStyle w:val="29"/>
              <w:keepNext w:val="0"/>
              <w:keepLines w:val="0"/>
              <w:pageBreakBefore w:val="0"/>
              <w:widowControl/>
              <w:kinsoku/>
              <w:wordWrap w:val="0"/>
              <w:overflowPunct/>
              <w:topLinePunct/>
              <w:autoSpaceDE/>
              <w:autoSpaceDN/>
              <w:bidi w:val="0"/>
              <w:adjustRightInd w:val="0"/>
              <w:snapToGrid w:val="0"/>
              <w:spacing w:line="219" w:lineRule="auto"/>
              <w:ind w:left="118"/>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招标要求，对有关表格进行补充或修改，但不得对实质性文件的相关条款做出变动。</w:t>
            </w:r>
          </w:p>
        </w:tc>
      </w:tr>
    </w:tbl>
    <w:p w14:paraId="192778F0">
      <w:pPr>
        <w:keepNext w:val="0"/>
        <w:keepLines w:val="0"/>
        <w:pageBreakBefore w:val="0"/>
        <w:widowControl/>
        <w:kinsoku/>
        <w:wordWrap w:val="0"/>
        <w:overflowPunct/>
        <w:topLinePunct/>
        <w:autoSpaceDE/>
        <w:autoSpaceDN/>
        <w:bidi w:val="0"/>
        <w:adjustRightInd w:val="0"/>
        <w:snapToGrid w:val="0"/>
        <w:jc w:val="both"/>
        <w:textAlignment w:val="baseline"/>
        <w:rPr>
          <w:rFonts w:hint="eastAsia" w:ascii="宋体" w:hAnsi="宋体" w:eastAsia="宋体" w:cs="宋体"/>
          <w:color w:val="auto"/>
        </w:rPr>
        <w:sectPr>
          <w:footerReference r:id="rId7" w:type="default"/>
          <w:pgSz w:w="11906" w:h="16839"/>
          <w:pgMar w:top="1416" w:right="1216" w:bottom="1348" w:left="1412" w:header="0" w:footer="1186" w:gutter="0"/>
          <w:pgNumType w:fmt="decimal"/>
          <w:cols w:space="720" w:num="1"/>
        </w:sectPr>
      </w:pPr>
    </w:p>
    <w:p w14:paraId="4B1FD608">
      <w:pPr>
        <w:pStyle w:val="12"/>
        <w:widowControl/>
        <w:ind w:left="0" w:leftChars="0" w:firstLine="480" w:firstLineChars="200"/>
        <w:rPr>
          <w:color w:val="auto"/>
        </w:rPr>
      </w:pPr>
      <w:r>
        <w:rPr>
          <w:color w:val="auto"/>
        </w:rPr>
        <w:t>封面格式</w:t>
      </w:r>
    </w:p>
    <w:p w14:paraId="0BC2BE88">
      <w:pPr>
        <w:keepNext w:val="0"/>
        <w:keepLines w:val="0"/>
        <w:pageBreakBefore w:val="0"/>
        <w:widowControl/>
        <w:kinsoku/>
        <w:wordWrap w:val="0"/>
        <w:overflowPunct/>
        <w:topLinePunct/>
        <w:autoSpaceDE/>
        <w:autoSpaceDN/>
        <w:bidi w:val="0"/>
        <w:adjustRightInd w:val="0"/>
        <w:snapToGrid w:val="0"/>
        <w:spacing w:before="207" w:line="224" w:lineRule="auto"/>
        <w:jc w:val="right"/>
        <w:textAlignment w:val="baseline"/>
        <w:rPr>
          <w:rFonts w:hint="eastAsia" w:ascii="宋体" w:hAnsi="宋体" w:eastAsia="宋体" w:cs="宋体"/>
          <w:color w:val="auto"/>
          <w:sz w:val="35"/>
          <w:szCs w:val="35"/>
        </w:rPr>
      </w:pPr>
      <w:r>
        <w:rPr>
          <w:rFonts w:hint="eastAsia" w:ascii="宋体" w:hAnsi="宋体" w:eastAsia="宋体" w:cs="宋体"/>
          <w:color w:val="auto"/>
          <w:spacing w:val="-1"/>
          <w:sz w:val="35"/>
          <w:szCs w:val="35"/>
        </w:rPr>
        <w:t>（正/副本）</w:t>
      </w:r>
    </w:p>
    <w:p w14:paraId="35F5660C">
      <w:pPr>
        <w:pStyle w:val="12"/>
        <w:keepNext w:val="0"/>
        <w:keepLines w:val="0"/>
        <w:pageBreakBefore w:val="0"/>
        <w:widowControl/>
        <w:kinsoku/>
        <w:wordWrap w:val="0"/>
        <w:overflowPunct/>
        <w:topLinePunct/>
        <w:autoSpaceDE/>
        <w:autoSpaceDN/>
        <w:bidi w:val="0"/>
        <w:adjustRightInd w:val="0"/>
        <w:snapToGrid w:val="0"/>
        <w:spacing w:line="249" w:lineRule="auto"/>
        <w:jc w:val="both"/>
        <w:textAlignment w:val="baseline"/>
        <w:rPr>
          <w:rFonts w:hint="eastAsia" w:ascii="宋体" w:hAnsi="宋体" w:eastAsia="宋体" w:cs="宋体"/>
          <w:color w:val="auto"/>
        </w:rPr>
      </w:pPr>
    </w:p>
    <w:p w14:paraId="071F8076">
      <w:pPr>
        <w:pStyle w:val="12"/>
        <w:keepNext w:val="0"/>
        <w:keepLines w:val="0"/>
        <w:pageBreakBefore w:val="0"/>
        <w:widowControl/>
        <w:kinsoku/>
        <w:wordWrap w:val="0"/>
        <w:overflowPunct/>
        <w:topLinePunct/>
        <w:autoSpaceDE/>
        <w:autoSpaceDN/>
        <w:bidi w:val="0"/>
        <w:adjustRightInd w:val="0"/>
        <w:snapToGrid w:val="0"/>
        <w:spacing w:line="249" w:lineRule="auto"/>
        <w:jc w:val="both"/>
        <w:textAlignment w:val="baseline"/>
        <w:rPr>
          <w:rFonts w:hint="eastAsia" w:ascii="宋体" w:hAnsi="宋体" w:eastAsia="宋体" w:cs="宋体"/>
          <w:color w:val="auto"/>
        </w:rPr>
      </w:pPr>
    </w:p>
    <w:p w14:paraId="70830B5F">
      <w:pPr>
        <w:pStyle w:val="12"/>
        <w:keepNext w:val="0"/>
        <w:keepLines w:val="0"/>
        <w:pageBreakBefore w:val="0"/>
        <w:widowControl/>
        <w:kinsoku/>
        <w:wordWrap w:val="0"/>
        <w:overflowPunct/>
        <w:topLinePunct/>
        <w:autoSpaceDE/>
        <w:autoSpaceDN/>
        <w:bidi w:val="0"/>
        <w:adjustRightInd w:val="0"/>
        <w:snapToGrid w:val="0"/>
        <w:spacing w:line="249" w:lineRule="auto"/>
        <w:jc w:val="both"/>
        <w:textAlignment w:val="baseline"/>
        <w:rPr>
          <w:rFonts w:hint="eastAsia" w:ascii="宋体" w:hAnsi="宋体" w:eastAsia="宋体" w:cs="宋体"/>
          <w:color w:val="auto"/>
        </w:rPr>
      </w:pPr>
    </w:p>
    <w:p w14:paraId="226BD937">
      <w:pPr>
        <w:pStyle w:val="12"/>
        <w:keepNext w:val="0"/>
        <w:keepLines w:val="0"/>
        <w:pageBreakBefore w:val="0"/>
        <w:widowControl/>
        <w:kinsoku/>
        <w:wordWrap w:val="0"/>
        <w:overflowPunct/>
        <w:topLinePunct/>
        <w:autoSpaceDE/>
        <w:autoSpaceDN/>
        <w:bidi w:val="0"/>
        <w:adjustRightInd w:val="0"/>
        <w:snapToGrid w:val="0"/>
        <w:spacing w:line="249" w:lineRule="auto"/>
        <w:jc w:val="both"/>
        <w:textAlignment w:val="baseline"/>
        <w:rPr>
          <w:rFonts w:hint="eastAsia" w:ascii="宋体" w:hAnsi="宋体" w:eastAsia="宋体" w:cs="宋体"/>
          <w:color w:val="auto"/>
        </w:rPr>
      </w:pPr>
    </w:p>
    <w:p w14:paraId="590D0538">
      <w:pPr>
        <w:pStyle w:val="12"/>
        <w:keepNext w:val="0"/>
        <w:keepLines w:val="0"/>
        <w:pageBreakBefore w:val="0"/>
        <w:widowControl/>
        <w:kinsoku/>
        <w:wordWrap w:val="0"/>
        <w:overflowPunct/>
        <w:topLinePunct/>
        <w:autoSpaceDE/>
        <w:autoSpaceDN/>
        <w:bidi w:val="0"/>
        <w:adjustRightInd w:val="0"/>
        <w:snapToGrid w:val="0"/>
        <w:spacing w:line="249" w:lineRule="auto"/>
        <w:jc w:val="both"/>
        <w:textAlignment w:val="baseline"/>
        <w:rPr>
          <w:rFonts w:hint="eastAsia" w:ascii="宋体" w:hAnsi="宋体" w:eastAsia="宋体" w:cs="宋体"/>
          <w:color w:val="auto"/>
        </w:rPr>
      </w:pPr>
    </w:p>
    <w:p w14:paraId="1B29CFB6">
      <w:pPr>
        <w:pStyle w:val="12"/>
        <w:keepNext w:val="0"/>
        <w:keepLines w:val="0"/>
        <w:pageBreakBefore w:val="0"/>
        <w:widowControl/>
        <w:kinsoku/>
        <w:wordWrap w:val="0"/>
        <w:overflowPunct/>
        <w:topLinePunct/>
        <w:autoSpaceDE/>
        <w:autoSpaceDN/>
        <w:bidi w:val="0"/>
        <w:adjustRightInd w:val="0"/>
        <w:snapToGrid w:val="0"/>
        <w:spacing w:line="250" w:lineRule="auto"/>
        <w:jc w:val="both"/>
        <w:textAlignment w:val="baseline"/>
        <w:rPr>
          <w:rFonts w:hint="eastAsia" w:ascii="宋体" w:hAnsi="宋体" w:eastAsia="宋体" w:cs="宋体"/>
          <w:color w:val="auto"/>
        </w:rPr>
      </w:pPr>
    </w:p>
    <w:p w14:paraId="197E000B">
      <w:pPr>
        <w:pStyle w:val="12"/>
        <w:widowControl/>
        <w:ind w:left="482" w:leftChars="0" w:firstLine="1200" w:firstLineChars="200"/>
        <w:rPr>
          <w:color w:val="auto"/>
          <w:sz w:val="60"/>
          <w:szCs w:val="48"/>
        </w:rPr>
      </w:pPr>
      <w:bookmarkStart w:id="54" w:name="_Toc12759"/>
      <w:r>
        <w:rPr>
          <w:color w:val="auto"/>
          <w:sz w:val="60"/>
          <w:szCs w:val="48"/>
        </w:rPr>
        <w:t>响应文件</w:t>
      </w:r>
      <w:bookmarkEnd w:id="54"/>
    </w:p>
    <w:p w14:paraId="6AF2BE2D">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55A8B4C1">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6AC7D6C3">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618A9CDD">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1C78AF60">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09BDF0EA">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05B35888">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08A61C3F">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56140CC2">
      <w:pPr>
        <w:pStyle w:val="12"/>
        <w:keepNext w:val="0"/>
        <w:keepLines w:val="0"/>
        <w:pageBreakBefore w:val="0"/>
        <w:widowControl/>
        <w:kinsoku/>
        <w:wordWrap w:val="0"/>
        <w:overflowPunct/>
        <w:topLinePunct/>
        <w:autoSpaceDE/>
        <w:autoSpaceDN/>
        <w:bidi w:val="0"/>
        <w:adjustRightInd w:val="0"/>
        <w:snapToGrid w:val="0"/>
        <w:spacing w:line="246" w:lineRule="auto"/>
        <w:jc w:val="both"/>
        <w:textAlignment w:val="baseline"/>
        <w:rPr>
          <w:rFonts w:hint="eastAsia" w:ascii="宋体" w:hAnsi="宋体" w:eastAsia="宋体" w:cs="宋体"/>
          <w:color w:val="auto"/>
        </w:rPr>
      </w:pPr>
    </w:p>
    <w:p w14:paraId="7DA2B9AA">
      <w:pPr>
        <w:keepNext w:val="0"/>
        <w:keepLines w:val="0"/>
        <w:pageBreakBefore w:val="0"/>
        <w:widowControl/>
        <w:kinsoku/>
        <w:wordWrap w:val="0"/>
        <w:overflowPunct/>
        <w:topLinePunct/>
        <w:autoSpaceDE/>
        <w:autoSpaceDN/>
        <w:bidi w:val="0"/>
        <w:adjustRightInd w:val="0"/>
        <w:snapToGrid w:val="0"/>
        <w:spacing w:before="113" w:line="763" w:lineRule="exact"/>
        <w:ind w:left="1449"/>
        <w:jc w:val="both"/>
        <w:textAlignment w:val="baseline"/>
        <w:rPr>
          <w:rFonts w:hint="eastAsia" w:ascii="宋体" w:hAnsi="宋体" w:eastAsia="宋体" w:cs="宋体"/>
          <w:color w:val="auto"/>
          <w:sz w:val="35"/>
          <w:szCs w:val="35"/>
        </w:rPr>
      </w:pPr>
      <w:r>
        <w:rPr>
          <w:rFonts w:hint="eastAsia" w:ascii="宋体" w:hAnsi="宋体" w:eastAsia="宋体" w:cs="宋体"/>
          <w:color w:val="auto"/>
          <w:spacing w:val="4"/>
          <w:position w:val="30"/>
          <w:sz w:val="35"/>
          <w:szCs w:val="35"/>
        </w:rPr>
        <w:t>项目名称：</w:t>
      </w:r>
    </w:p>
    <w:p w14:paraId="3A83EC45">
      <w:pPr>
        <w:keepNext w:val="0"/>
        <w:keepLines w:val="0"/>
        <w:pageBreakBefore w:val="0"/>
        <w:widowControl/>
        <w:kinsoku/>
        <w:wordWrap w:val="0"/>
        <w:overflowPunct/>
        <w:topLinePunct/>
        <w:autoSpaceDE/>
        <w:autoSpaceDN/>
        <w:bidi w:val="0"/>
        <w:adjustRightInd w:val="0"/>
        <w:snapToGrid w:val="0"/>
        <w:spacing w:before="1" w:line="224" w:lineRule="auto"/>
        <w:ind w:left="1449"/>
        <w:jc w:val="both"/>
        <w:textAlignment w:val="baseline"/>
        <w:rPr>
          <w:rFonts w:hint="eastAsia" w:ascii="宋体" w:hAnsi="宋体" w:eastAsia="宋体" w:cs="宋体"/>
          <w:color w:val="auto"/>
          <w:sz w:val="35"/>
          <w:szCs w:val="35"/>
        </w:rPr>
      </w:pPr>
      <w:r>
        <w:rPr>
          <w:rFonts w:hint="eastAsia" w:ascii="宋体" w:hAnsi="宋体" w:eastAsia="宋体" w:cs="宋体"/>
          <w:color w:val="auto"/>
          <w:spacing w:val="4"/>
          <w:sz w:val="35"/>
          <w:szCs w:val="35"/>
        </w:rPr>
        <w:t>项目编号：</w:t>
      </w:r>
    </w:p>
    <w:p w14:paraId="1D5F8A98">
      <w:pPr>
        <w:keepNext w:val="0"/>
        <w:keepLines w:val="0"/>
        <w:pageBreakBefore w:val="0"/>
        <w:widowControl/>
        <w:kinsoku/>
        <w:wordWrap w:val="0"/>
        <w:overflowPunct/>
        <w:topLinePunct/>
        <w:autoSpaceDE/>
        <w:autoSpaceDN/>
        <w:bidi w:val="0"/>
        <w:adjustRightInd w:val="0"/>
        <w:snapToGrid w:val="0"/>
        <w:spacing w:before="335" w:line="224" w:lineRule="auto"/>
        <w:ind w:left="1444"/>
        <w:jc w:val="both"/>
        <w:textAlignment w:val="baseline"/>
        <w:rPr>
          <w:rFonts w:hint="eastAsia" w:ascii="宋体" w:hAnsi="宋体" w:eastAsia="宋体" w:cs="宋体"/>
          <w:color w:val="auto"/>
          <w:sz w:val="35"/>
          <w:szCs w:val="35"/>
        </w:rPr>
      </w:pPr>
      <w:r>
        <w:rPr>
          <w:rFonts w:hint="eastAsia" w:ascii="宋体" w:hAnsi="宋体" w:eastAsia="宋体" w:cs="宋体"/>
          <w:color w:val="auto"/>
          <w:spacing w:val="10"/>
          <w:sz w:val="35"/>
          <w:szCs w:val="35"/>
          <w:lang w:eastAsia="zh-CN"/>
        </w:rPr>
        <w:t>投标人</w:t>
      </w:r>
      <w:r>
        <w:rPr>
          <w:rFonts w:hint="eastAsia" w:ascii="宋体" w:hAnsi="宋体" w:eastAsia="宋体" w:cs="宋体"/>
          <w:color w:val="auto"/>
          <w:spacing w:val="-16"/>
          <w:sz w:val="35"/>
          <w:szCs w:val="35"/>
        </w:rPr>
        <w:t>：（</w:t>
      </w:r>
      <w:r>
        <w:rPr>
          <w:rFonts w:hint="eastAsia" w:ascii="宋体" w:hAnsi="宋体" w:eastAsia="宋体" w:cs="宋体"/>
          <w:color w:val="auto"/>
          <w:spacing w:val="10"/>
          <w:sz w:val="35"/>
          <w:szCs w:val="35"/>
        </w:rPr>
        <w:t>盖章）</w:t>
      </w:r>
    </w:p>
    <w:p w14:paraId="28FF2AF3">
      <w:pPr>
        <w:keepNext w:val="0"/>
        <w:keepLines w:val="0"/>
        <w:pageBreakBefore w:val="0"/>
        <w:widowControl/>
        <w:kinsoku/>
        <w:wordWrap w:val="0"/>
        <w:overflowPunct/>
        <w:topLinePunct/>
        <w:autoSpaceDE/>
        <w:autoSpaceDN/>
        <w:bidi w:val="0"/>
        <w:adjustRightInd w:val="0"/>
        <w:snapToGrid w:val="0"/>
        <w:spacing w:before="148" w:line="227" w:lineRule="auto"/>
        <w:ind w:firstLine="1570" w:firstLineChars="500"/>
        <w:jc w:val="both"/>
        <w:textAlignment w:val="baseline"/>
        <w:rPr>
          <w:rFonts w:hint="eastAsia" w:ascii="宋体" w:hAnsi="宋体" w:eastAsia="宋体" w:cs="宋体"/>
          <w:color w:val="auto"/>
          <w:sz w:val="35"/>
          <w:szCs w:val="35"/>
        </w:rPr>
      </w:pPr>
      <w:r>
        <w:rPr>
          <w:rFonts w:hint="eastAsia" w:ascii="宋体" w:hAnsi="宋体" w:eastAsia="宋体" w:cs="宋体"/>
          <w:color w:val="auto"/>
          <w:spacing w:val="-18"/>
          <w:sz w:val="35"/>
          <w:szCs w:val="35"/>
        </w:rPr>
        <w:t>时间：</w:t>
      </w:r>
    </w:p>
    <w:p w14:paraId="2F490128">
      <w:pPr>
        <w:keepNext w:val="0"/>
        <w:keepLines w:val="0"/>
        <w:pageBreakBefore w:val="0"/>
        <w:widowControl/>
        <w:kinsoku/>
        <w:wordWrap w:val="0"/>
        <w:overflowPunct/>
        <w:topLinePunct/>
        <w:autoSpaceDE/>
        <w:autoSpaceDN/>
        <w:bidi w:val="0"/>
        <w:adjustRightInd w:val="0"/>
        <w:snapToGrid w:val="0"/>
        <w:spacing w:line="227" w:lineRule="auto"/>
        <w:jc w:val="both"/>
        <w:textAlignment w:val="baseline"/>
        <w:rPr>
          <w:rFonts w:hint="eastAsia" w:ascii="宋体" w:hAnsi="宋体" w:eastAsia="宋体" w:cs="宋体"/>
          <w:color w:val="auto"/>
          <w:sz w:val="35"/>
          <w:szCs w:val="35"/>
        </w:rPr>
        <w:sectPr>
          <w:footerReference r:id="rId8" w:type="default"/>
          <w:pgSz w:w="11906" w:h="16839"/>
          <w:pgMar w:top="1431" w:right="1446" w:bottom="1348" w:left="1425" w:header="0" w:footer="1186" w:gutter="0"/>
          <w:pgNumType w:fmt="decimal"/>
          <w:cols w:space="720" w:num="1"/>
        </w:sectPr>
      </w:pPr>
    </w:p>
    <w:p w14:paraId="0AF5CC40">
      <w:pPr>
        <w:pStyle w:val="49"/>
        <w:widowControl/>
        <w:rPr>
          <w:highlight w:val="none"/>
        </w:rPr>
      </w:pPr>
      <w:bookmarkStart w:id="55" w:name="_Toc27100"/>
      <w:bookmarkStart w:id="56" w:name="_Toc3380"/>
      <w:bookmarkStart w:id="57" w:name="_Toc32362"/>
      <w:r>
        <w:rPr>
          <w:highlight w:val="none"/>
        </w:rPr>
        <w:t>目录</w:t>
      </w:r>
      <w:bookmarkEnd w:id="55"/>
      <w:bookmarkEnd w:id="56"/>
      <w:bookmarkEnd w:id="57"/>
    </w:p>
    <w:p w14:paraId="2AD89206">
      <w:pPr>
        <w:pageBreakBefore w:val="0"/>
        <w:widowControl/>
        <w:tabs>
          <w:tab w:val="right" w:leader="hyphen" w:pos="8504"/>
        </w:tabs>
        <w:kinsoku/>
        <w:wordWrap w:val="0"/>
        <w:overflowPunct/>
        <w:topLinePunct/>
        <w:autoSpaceDE/>
        <w:autoSpaceDN/>
        <w:bidi w:val="0"/>
        <w:ind w:left="2220" w:leftChars="200" w:right="630" w:rightChars="300" w:hanging="1800" w:hangingChars="500"/>
        <w:jc w:val="both"/>
        <w:outlineLvl w:val="9"/>
        <w:rPr>
          <w:rFonts w:hint="eastAsia" w:ascii="宋体" w:hAnsi="宋体" w:eastAsia="宋体" w:cs="宋体"/>
          <w:color w:val="auto"/>
          <w:sz w:val="36"/>
          <w:szCs w:val="28"/>
          <w:highlight w:val="none"/>
        </w:rPr>
      </w:pPr>
      <w:bookmarkStart w:id="58" w:name="_Toc313"/>
      <w:bookmarkStart w:id="59" w:name="_Toc17713"/>
      <w:bookmarkStart w:id="60" w:name="_Toc7734"/>
      <w:r>
        <w:rPr>
          <w:rFonts w:hint="eastAsia" w:ascii="宋体" w:hAnsi="宋体" w:eastAsia="宋体" w:cs="宋体"/>
          <w:color w:val="auto"/>
          <w:sz w:val="36"/>
          <w:szCs w:val="28"/>
          <w:highlight w:val="none"/>
        </w:rPr>
        <w:t>第一部分</w:t>
      </w:r>
      <w:r>
        <w:rPr>
          <w:rFonts w:hint="eastAsia" w:ascii="宋体" w:hAnsi="宋体" w:eastAsia="宋体" w:cs="宋体"/>
          <w:color w:val="auto"/>
          <w:sz w:val="36"/>
          <w:szCs w:val="28"/>
          <w:highlight w:val="none"/>
          <w:lang w:val="en-US" w:eastAsia="zh-CN"/>
        </w:rPr>
        <w:t xml:space="preserve"> </w:t>
      </w:r>
      <w:r>
        <w:rPr>
          <w:rFonts w:hint="eastAsia" w:ascii="宋体" w:hAnsi="宋体" w:eastAsia="宋体" w:cs="宋体"/>
          <w:color w:val="auto"/>
          <w:sz w:val="36"/>
          <w:szCs w:val="28"/>
          <w:highlight w:val="none"/>
        </w:rPr>
        <w:t>响应函</w:t>
      </w:r>
      <w:r>
        <w:rPr>
          <w:rFonts w:hint="eastAsia" w:ascii="宋体" w:hAnsi="宋体" w:eastAsia="宋体" w:cs="宋体"/>
          <w:color w:val="auto"/>
          <w:sz w:val="36"/>
          <w:szCs w:val="28"/>
          <w:highlight w:val="none"/>
        </w:rPr>
        <w:tab/>
      </w:r>
      <w:r>
        <w:rPr>
          <w:rFonts w:hint="eastAsia" w:ascii="宋体" w:hAnsi="宋体" w:eastAsia="宋体" w:cs="宋体"/>
          <w:color w:val="auto"/>
          <w:sz w:val="36"/>
          <w:szCs w:val="28"/>
          <w:highlight w:val="none"/>
        </w:rPr>
        <w:t>X</w:t>
      </w:r>
      <w:bookmarkEnd w:id="58"/>
      <w:bookmarkEnd w:id="59"/>
      <w:bookmarkEnd w:id="60"/>
    </w:p>
    <w:p w14:paraId="62E3F957">
      <w:pPr>
        <w:pageBreakBefore w:val="0"/>
        <w:widowControl/>
        <w:tabs>
          <w:tab w:val="right" w:leader="hyphen" w:pos="8504"/>
        </w:tabs>
        <w:kinsoku/>
        <w:wordWrap w:val="0"/>
        <w:overflowPunct/>
        <w:topLinePunct/>
        <w:autoSpaceDE/>
        <w:autoSpaceDN/>
        <w:bidi w:val="0"/>
        <w:ind w:left="2220" w:leftChars="200" w:right="630" w:rightChars="300" w:hanging="1800" w:hangingChars="500"/>
        <w:jc w:val="both"/>
        <w:outlineLvl w:val="9"/>
        <w:rPr>
          <w:rFonts w:hint="eastAsia" w:ascii="宋体" w:hAnsi="宋体" w:eastAsia="宋体" w:cs="宋体"/>
          <w:color w:val="auto"/>
          <w:sz w:val="36"/>
          <w:szCs w:val="28"/>
          <w:highlight w:val="none"/>
        </w:rPr>
      </w:pPr>
      <w:bookmarkStart w:id="61" w:name="_Toc4468"/>
      <w:bookmarkStart w:id="62" w:name="_Toc5304"/>
      <w:bookmarkStart w:id="63" w:name="_Toc22149"/>
      <w:r>
        <w:rPr>
          <w:rFonts w:hint="eastAsia" w:ascii="宋体" w:hAnsi="宋体" w:eastAsia="宋体" w:cs="宋体"/>
          <w:color w:val="auto"/>
          <w:sz w:val="36"/>
          <w:szCs w:val="28"/>
          <w:highlight w:val="none"/>
        </w:rPr>
        <w:t>第二部分</w:t>
      </w:r>
      <w:r>
        <w:rPr>
          <w:rFonts w:hint="eastAsia" w:ascii="宋体" w:hAnsi="宋体" w:eastAsia="宋体" w:cs="宋体"/>
          <w:color w:val="auto"/>
          <w:sz w:val="36"/>
          <w:szCs w:val="28"/>
          <w:highlight w:val="none"/>
          <w:lang w:val="en-US" w:eastAsia="zh-CN"/>
        </w:rPr>
        <w:t xml:space="preserve"> </w:t>
      </w:r>
      <w:r>
        <w:rPr>
          <w:rFonts w:hint="eastAsia" w:ascii="宋体" w:hAnsi="宋体" w:eastAsia="宋体" w:cs="宋体"/>
          <w:color w:val="auto"/>
          <w:sz w:val="36"/>
          <w:szCs w:val="28"/>
          <w:highlight w:val="none"/>
        </w:rPr>
        <w:t>第一次</w:t>
      </w:r>
      <w:r>
        <w:rPr>
          <w:rFonts w:hint="eastAsia" w:ascii="宋体" w:hAnsi="宋体" w:eastAsia="宋体" w:cs="宋体"/>
          <w:color w:val="auto"/>
          <w:sz w:val="36"/>
          <w:szCs w:val="28"/>
          <w:highlight w:val="none"/>
          <w:lang w:eastAsia="zh-CN"/>
        </w:rPr>
        <w:t>谈判</w:t>
      </w:r>
      <w:r>
        <w:rPr>
          <w:rFonts w:hint="eastAsia" w:ascii="宋体" w:hAnsi="宋体" w:eastAsia="宋体" w:cs="宋体"/>
          <w:color w:val="auto"/>
          <w:sz w:val="36"/>
          <w:szCs w:val="28"/>
          <w:highlight w:val="none"/>
        </w:rPr>
        <w:t>报价表</w:t>
      </w:r>
      <w:r>
        <w:rPr>
          <w:rFonts w:hint="eastAsia" w:ascii="宋体" w:hAnsi="宋体" w:eastAsia="宋体" w:cs="宋体"/>
          <w:color w:val="auto"/>
          <w:sz w:val="36"/>
          <w:szCs w:val="28"/>
          <w:highlight w:val="none"/>
        </w:rPr>
        <w:tab/>
      </w:r>
      <w:r>
        <w:rPr>
          <w:rFonts w:hint="eastAsia" w:ascii="宋体" w:hAnsi="宋体" w:eastAsia="宋体" w:cs="宋体"/>
          <w:color w:val="auto"/>
          <w:sz w:val="36"/>
          <w:szCs w:val="28"/>
          <w:highlight w:val="none"/>
        </w:rPr>
        <w:t>X</w:t>
      </w:r>
      <w:bookmarkEnd w:id="61"/>
      <w:bookmarkEnd w:id="62"/>
      <w:bookmarkEnd w:id="63"/>
    </w:p>
    <w:p w14:paraId="7FC8DAB3">
      <w:pPr>
        <w:pageBreakBefore w:val="0"/>
        <w:widowControl/>
        <w:tabs>
          <w:tab w:val="right" w:leader="hyphen" w:pos="8504"/>
        </w:tabs>
        <w:kinsoku/>
        <w:wordWrap w:val="0"/>
        <w:overflowPunct/>
        <w:topLinePunct/>
        <w:autoSpaceDE/>
        <w:autoSpaceDN/>
        <w:bidi w:val="0"/>
        <w:ind w:left="1470" w:leftChars="700" w:right="630" w:rightChars="300" w:firstLine="720" w:firstLineChars="200"/>
        <w:jc w:val="both"/>
        <w:rPr>
          <w:rFonts w:hint="eastAsia" w:ascii="宋体" w:hAnsi="宋体" w:eastAsia="宋体" w:cs="宋体"/>
          <w:color w:val="auto"/>
          <w:sz w:val="36"/>
          <w:szCs w:val="28"/>
          <w:highlight w:val="none"/>
        </w:rPr>
      </w:pPr>
      <w:r>
        <w:rPr>
          <w:rFonts w:hint="eastAsia" w:ascii="宋体" w:hAnsi="宋体" w:eastAsia="宋体" w:cs="宋体"/>
          <w:color w:val="auto"/>
          <w:sz w:val="36"/>
          <w:szCs w:val="28"/>
          <w:highlight w:val="none"/>
        </w:rPr>
        <w:t>费用明细表</w:t>
      </w:r>
      <w:r>
        <w:rPr>
          <w:rFonts w:hint="eastAsia" w:ascii="宋体" w:hAnsi="宋体" w:eastAsia="宋体" w:cs="宋体"/>
          <w:color w:val="auto"/>
          <w:sz w:val="36"/>
          <w:szCs w:val="28"/>
          <w:highlight w:val="none"/>
        </w:rPr>
        <w:tab/>
      </w:r>
      <w:r>
        <w:rPr>
          <w:rFonts w:hint="eastAsia" w:ascii="宋体" w:hAnsi="宋体" w:eastAsia="宋体" w:cs="宋体"/>
          <w:color w:val="auto"/>
          <w:sz w:val="36"/>
          <w:szCs w:val="28"/>
          <w:highlight w:val="none"/>
        </w:rPr>
        <w:t>X</w:t>
      </w:r>
    </w:p>
    <w:p w14:paraId="04E9ED1F">
      <w:pPr>
        <w:pageBreakBefore w:val="0"/>
        <w:widowControl/>
        <w:tabs>
          <w:tab w:val="right" w:leader="hyphen" w:pos="8504"/>
        </w:tabs>
        <w:kinsoku/>
        <w:wordWrap w:val="0"/>
        <w:overflowPunct/>
        <w:topLinePunct/>
        <w:autoSpaceDE/>
        <w:autoSpaceDN/>
        <w:bidi w:val="0"/>
        <w:ind w:left="2220" w:leftChars="200" w:right="630" w:rightChars="300" w:hanging="1800" w:hangingChars="500"/>
        <w:jc w:val="both"/>
        <w:outlineLvl w:val="9"/>
        <w:rPr>
          <w:rFonts w:hint="eastAsia" w:ascii="宋体" w:hAnsi="宋体" w:eastAsia="宋体" w:cs="宋体"/>
          <w:color w:val="auto"/>
          <w:sz w:val="36"/>
          <w:szCs w:val="28"/>
          <w:highlight w:val="none"/>
        </w:rPr>
      </w:pPr>
      <w:bookmarkStart w:id="64" w:name="_Toc4594"/>
      <w:bookmarkStart w:id="65" w:name="_Toc9575"/>
      <w:bookmarkStart w:id="66" w:name="_Toc6315"/>
      <w:r>
        <w:rPr>
          <w:rFonts w:hint="eastAsia" w:ascii="宋体" w:hAnsi="宋体" w:eastAsia="宋体" w:cs="宋体"/>
          <w:color w:val="auto"/>
          <w:sz w:val="36"/>
          <w:szCs w:val="28"/>
          <w:highlight w:val="none"/>
        </w:rPr>
        <w:t>第三部分</w:t>
      </w:r>
      <w:r>
        <w:rPr>
          <w:rFonts w:hint="eastAsia" w:ascii="宋体" w:hAnsi="宋体" w:eastAsia="宋体" w:cs="宋体"/>
          <w:color w:val="auto"/>
          <w:sz w:val="36"/>
          <w:szCs w:val="28"/>
          <w:highlight w:val="none"/>
          <w:lang w:val="en-US" w:eastAsia="zh-CN"/>
        </w:rPr>
        <w:t xml:space="preserve"> </w:t>
      </w:r>
      <w:r>
        <w:rPr>
          <w:rFonts w:hint="eastAsia" w:ascii="宋体" w:hAnsi="宋体" w:eastAsia="宋体" w:cs="宋体"/>
          <w:color w:val="auto"/>
          <w:sz w:val="36"/>
          <w:szCs w:val="28"/>
          <w:highlight w:val="none"/>
        </w:rPr>
        <w:t>资格证明文件</w:t>
      </w:r>
      <w:r>
        <w:rPr>
          <w:rFonts w:hint="eastAsia" w:ascii="宋体" w:hAnsi="宋体" w:eastAsia="宋体" w:cs="宋体"/>
          <w:color w:val="auto"/>
          <w:sz w:val="36"/>
          <w:szCs w:val="28"/>
          <w:highlight w:val="none"/>
        </w:rPr>
        <w:tab/>
      </w:r>
      <w:r>
        <w:rPr>
          <w:rFonts w:hint="eastAsia" w:ascii="宋体" w:hAnsi="宋体" w:eastAsia="宋体" w:cs="宋体"/>
          <w:color w:val="auto"/>
          <w:sz w:val="36"/>
          <w:szCs w:val="28"/>
          <w:highlight w:val="none"/>
        </w:rPr>
        <w:t>X</w:t>
      </w:r>
      <w:bookmarkEnd w:id="64"/>
      <w:bookmarkEnd w:id="65"/>
      <w:bookmarkEnd w:id="66"/>
    </w:p>
    <w:p w14:paraId="1ECDE372">
      <w:pPr>
        <w:pageBreakBefore w:val="0"/>
        <w:widowControl/>
        <w:tabs>
          <w:tab w:val="right" w:leader="hyphen" w:pos="8504"/>
        </w:tabs>
        <w:kinsoku/>
        <w:wordWrap w:val="0"/>
        <w:overflowPunct/>
        <w:topLinePunct/>
        <w:autoSpaceDE/>
        <w:autoSpaceDN/>
        <w:bidi w:val="0"/>
        <w:ind w:left="2220" w:leftChars="200" w:right="630" w:rightChars="300" w:hanging="1800" w:hangingChars="500"/>
        <w:jc w:val="both"/>
        <w:outlineLvl w:val="9"/>
        <w:rPr>
          <w:rFonts w:hint="eastAsia" w:ascii="宋体" w:hAnsi="宋体" w:eastAsia="宋体" w:cs="宋体"/>
          <w:color w:val="auto"/>
          <w:sz w:val="36"/>
          <w:szCs w:val="28"/>
          <w:highlight w:val="none"/>
        </w:rPr>
      </w:pPr>
      <w:bookmarkStart w:id="67" w:name="_Toc32520"/>
      <w:bookmarkStart w:id="68" w:name="_Toc10369"/>
      <w:bookmarkStart w:id="69" w:name="_Toc6835"/>
      <w:r>
        <w:rPr>
          <w:rFonts w:hint="eastAsia" w:ascii="宋体" w:hAnsi="宋体" w:eastAsia="宋体" w:cs="宋体"/>
          <w:color w:val="auto"/>
          <w:sz w:val="36"/>
          <w:szCs w:val="28"/>
          <w:highlight w:val="none"/>
        </w:rPr>
        <w:t>第</w:t>
      </w:r>
      <w:r>
        <w:rPr>
          <w:rFonts w:hint="eastAsia" w:ascii="宋体" w:hAnsi="宋体" w:eastAsia="宋体" w:cs="宋体"/>
          <w:color w:val="auto"/>
          <w:sz w:val="36"/>
          <w:szCs w:val="28"/>
          <w:highlight w:val="none"/>
          <w:lang w:val="en-US" w:eastAsia="zh-CN"/>
        </w:rPr>
        <w:t>四</w:t>
      </w:r>
      <w:r>
        <w:rPr>
          <w:rFonts w:hint="eastAsia" w:ascii="宋体" w:hAnsi="宋体" w:eastAsia="宋体" w:cs="宋体"/>
          <w:color w:val="auto"/>
          <w:sz w:val="36"/>
          <w:szCs w:val="28"/>
          <w:highlight w:val="none"/>
        </w:rPr>
        <w:t>部分</w:t>
      </w:r>
      <w:r>
        <w:rPr>
          <w:rFonts w:hint="eastAsia" w:ascii="宋体" w:hAnsi="宋体" w:eastAsia="宋体" w:cs="宋体"/>
          <w:color w:val="auto"/>
          <w:sz w:val="36"/>
          <w:szCs w:val="28"/>
          <w:highlight w:val="none"/>
          <w:lang w:val="en-US" w:eastAsia="zh-CN"/>
        </w:rPr>
        <w:t xml:space="preserve"> </w:t>
      </w:r>
      <w:r>
        <w:rPr>
          <w:rFonts w:hint="eastAsia" w:ascii="宋体" w:hAnsi="宋体" w:eastAsia="宋体" w:cs="宋体"/>
          <w:color w:val="auto"/>
          <w:sz w:val="36"/>
          <w:szCs w:val="28"/>
          <w:highlight w:val="none"/>
          <w:lang w:eastAsia="zh-CN"/>
        </w:rPr>
        <w:t>投标人</w:t>
      </w:r>
      <w:r>
        <w:rPr>
          <w:rFonts w:hint="eastAsia" w:ascii="宋体" w:hAnsi="宋体" w:eastAsia="宋体" w:cs="宋体"/>
          <w:color w:val="auto"/>
          <w:sz w:val="36"/>
          <w:szCs w:val="28"/>
          <w:highlight w:val="none"/>
        </w:rPr>
        <w:t>参加</w:t>
      </w:r>
      <w:r>
        <w:rPr>
          <w:rFonts w:hint="eastAsia" w:ascii="宋体" w:hAnsi="宋体" w:eastAsia="宋体" w:cs="宋体"/>
          <w:color w:val="auto"/>
          <w:sz w:val="36"/>
          <w:szCs w:val="28"/>
          <w:highlight w:val="none"/>
          <w:lang w:eastAsia="zh-CN"/>
        </w:rPr>
        <w:t>招标活动</w:t>
      </w:r>
      <w:r>
        <w:rPr>
          <w:rFonts w:hint="eastAsia" w:ascii="宋体" w:hAnsi="宋体" w:eastAsia="宋体" w:cs="宋体"/>
          <w:color w:val="auto"/>
          <w:sz w:val="36"/>
          <w:szCs w:val="28"/>
          <w:highlight w:val="none"/>
        </w:rPr>
        <w:t>承诺书</w:t>
      </w:r>
      <w:r>
        <w:rPr>
          <w:rFonts w:hint="eastAsia" w:ascii="宋体" w:hAnsi="宋体" w:eastAsia="宋体" w:cs="宋体"/>
          <w:color w:val="auto"/>
          <w:sz w:val="36"/>
          <w:szCs w:val="28"/>
          <w:highlight w:val="none"/>
        </w:rPr>
        <w:tab/>
      </w:r>
      <w:r>
        <w:rPr>
          <w:rFonts w:hint="eastAsia" w:ascii="宋体" w:hAnsi="宋体" w:eastAsia="宋体" w:cs="宋体"/>
          <w:color w:val="auto"/>
          <w:sz w:val="36"/>
          <w:szCs w:val="28"/>
          <w:highlight w:val="none"/>
        </w:rPr>
        <w:t>X</w:t>
      </w:r>
      <w:bookmarkEnd w:id="67"/>
      <w:bookmarkEnd w:id="68"/>
      <w:bookmarkEnd w:id="69"/>
    </w:p>
    <w:p w14:paraId="615E4B29">
      <w:pPr>
        <w:pageBreakBefore w:val="0"/>
        <w:widowControl/>
        <w:tabs>
          <w:tab w:val="right" w:leader="hyphen" w:pos="8504"/>
        </w:tabs>
        <w:kinsoku/>
        <w:wordWrap w:val="0"/>
        <w:overflowPunct/>
        <w:topLinePunct/>
        <w:autoSpaceDE/>
        <w:autoSpaceDN/>
        <w:bidi w:val="0"/>
        <w:ind w:left="2220" w:leftChars="200" w:right="630" w:rightChars="300" w:hanging="1800" w:hangingChars="500"/>
        <w:jc w:val="both"/>
        <w:outlineLvl w:val="9"/>
        <w:rPr>
          <w:rFonts w:hint="eastAsia" w:ascii="宋体" w:hAnsi="宋体" w:eastAsia="宋体" w:cs="宋体"/>
          <w:color w:val="auto"/>
          <w:sz w:val="36"/>
          <w:szCs w:val="28"/>
          <w:highlight w:val="none"/>
        </w:rPr>
      </w:pPr>
      <w:bookmarkStart w:id="70" w:name="_Toc20585"/>
      <w:bookmarkStart w:id="71" w:name="_Toc14868"/>
      <w:bookmarkStart w:id="72" w:name="_Toc5857"/>
      <w:r>
        <w:rPr>
          <w:rFonts w:hint="eastAsia" w:ascii="宋体" w:hAnsi="宋体" w:eastAsia="宋体" w:cs="宋体"/>
          <w:color w:val="auto"/>
          <w:sz w:val="36"/>
          <w:szCs w:val="28"/>
          <w:highlight w:val="none"/>
        </w:rPr>
        <w:t>第</w:t>
      </w:r>
      <w:r>
        <w:rPr>
          <w:rFonts w:hint="eastAsia" w:ascii="宋体" w:hAnsi="宋体" w:eastAsia="宋体" w:cs="宋体"/>
          <w:color w:val="auto"/>
          <w:sz w:val="36"/>
          <w:szCs w:val="28"/>
          <w:highlight w:val="none"/>
          <w:lang w:val="en-US" w:eastAsia="zh-CN"/>
        </w:rPr>
        <w:t>五</w:t>
      </w:r>
      <w:r>
        <w:rPr>
          <w:rFonts w:hint="eastAsia" w:ascii="宋体" w:hAnsi="宋体" w:eastAsia="宋体" w:cs="宋体"/>
          <w:color w:val="auto"/>
          <w:sz w:val="36"/>
          <w:szCs w:val="28"/>
          <w:highlight w:val="none"/>
        </w:rPr>
        <w:t>部分</w:t>
      </w:r>
      <w:r>
        <w:rPr>
          <w:rFonts w:hint="eastAsia" w:ascii="宋体" w:hAnsi="宋体" w:eastAsia="宋体" w:cs="宋体"/>
          <w:color w:val="auto"/>
          <w:sz w:val="36"/>
          <w:szCs w:val="28"/>
          <w:highlight w:val="none"/>
          <w:lang w:val="en-US" w:eastAsia="zh-CN"/>
        </w:rPr>
        <w:t xml:space="preserve"> 响应说明</w:t>
      </w:r>
      <w:r>
        <w:rPr>
          <w:rFonts w:hint="eastAsia" w:ascii="宋体" w:hAnsi="宋体" w:eastAsia="宋体" w:cs="宋体"/>
          <w:color w:val="auto"/>
          <w:sz w:val="36"/>
          <w:szCs w:val="28"/>
          <w:highlight w:val="none"/>
        </w:rPr>
        <w:tab/>
      </w:r>
      <w:r>
        <w:rPr>
          <w:rFonts w:hint="eastAsia" w:ascii="宋体" w:hAnsi="宋体" w:eastAsia="宋体" w:cs="宋体"/>
          <w:color w:val="auto"/>
          <w:sz w:val="36"/>
          <w:szCs w:val="28"/>
          <w:highlight w:val="none"/>
        </w:rPr>
        <w:t>X</w:t>
      </w:r>
      <w:bookmarkEnd w:id="70"/>
      <w:bookmarkEnd w:id="71"/>
      <w:bookmarkEnd w:id="72"/>
    </w:p>
    <w:p w14:paraId="6109A57C">
      <w:pPr>
        <w:pStyle w:val="50"/>
        <w:widowControl/>
        <w:tabs>
          <w:tab w:val="left" w:pos="0"/>
        </w:tabs>
        <w:ind w:left="0" w:leftChars="0" w:firstLine="0" w:firstLineChars="0"/>
        <w:outlineLvl w:val="0"/>
        <w:rPr>
          <w:highlight w:val="none"/>
        </w:rPr>
      </w:pPr>
      <w:r>
        <w:rPr>
          <w:highlight w:val="none"/>
        </w:rPr>
        <w:br w:type="page"/>
      </w:r>
      <w:bookmarkStart w:id="73" w:name="_Toc6709"/>
      <w:bookmarkStart w:id="74" w:name="_Toc12374"/>
      <w:bookmarkStart w:id="75" w:name="_Toc12970"/>
      <w:r>
        <w:rPr>
          <w:highlight w:val="none"/>
        </w:rPr>
        <w:t>第一部分 响应函</w:t>
      </w:r>
      <w:bookmarkEnd w:id="73"/>
      <w:bookmarkEnd w:id="74"/>
      <w:bookmarkEnd w:id="75"/>
    </w:p>
    <w:p w14:paraId="04BA35AE">
      <w:pPr>
        <w:pStyle w:val="12"/>
        <w:widowControl/>
        <w:ind w:left="0" w:leftChars="0" w:firstLine="0" w:firstLineChars="0"/>
        <w:rPr>
          <w:color w:val="auto"/>
          <w:highlight w:val="none"/>
          <w:u w:val="none"/>
        </w:rPr>
      </w:pPr>
      <w:r>
        <w:rPr>
          <w:color w:val="auto"/>
          <w:highlight w:val="none"/>
        </w:rPr>
        <w:t>（招标人）：</w:t>
      </w:r>
    </w:p>
    <w:p w14:paraId="6D2D1126">
      <w:pPr>
        <w:pStyle w:val="12"/>
        <w:widowControl/>
        <w:ind w:left="0" w:leftChars="0" w:firstLine="480" w:firstLineChars="200"/>
        <w:rPr>
          <w:color w:val="auto"/>
          <w:highlight w:val="none"/>
        </w:rPr>
      </w:pPr>
      <w:r>
        <w:rPr>
          <w:color w:val="auto"/>
          <w:highlight w:val="none"/>
        </w:rPr>
        <w:t>我方收到本项目发布的</w:t>
      </w:r>
      <w:r>
        <w:rPr>
          <w:color w:val="auto"/>
          <w:highlight w:val="none"/>
          <w:u w:val="none"/>
        </w:rPr>
        <w:t>（项目名称）</w:t>
      </w:r>
      <w:r>
        <w:rPr>
          <w:color w:val="auto"/>
          <w:highlight w:val="none"/>
          <w:u w:val="single"/>
        </w:rPr>
        <w:t xml:space="preserve">    </w:t>
      </w:r>
      <w:r>
        <w:rPr>
          <w:color w:val="auto"/>
          <w:highlight w:val="none"/>
          <w:u w:val="none"/>
        </w:rPr>
        <w:t>（项目编号）</w:t>
      </w:r>
      <w:r>
        <w:rPr>
          <w:color w:val="auto"/>
          <w:highlight w:val="none"/>
          <w:u w:val="single"/>
        </w:rPr>
        <w:t xml:space="preserve">     </w:t>
      </w:r>
      <w:r>
        <w:rPr>
          <w:color w:val="auto"/>
          <w:highlight w:val="none"/>
        </w:rPr>
        <w:t>谈判文件，经详细研究，我方决定参加该项目的谈判活动。为此，我方郑重声明以下诸点，并负法律责任。</w:t>
      </w:r>
    </w:p>
    <w:p w14:paraId="2F6E034F">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我方已详细阅读了谈判文件，完全理解并同意谈判文件的所有事项及内容。</w:t>
      </w:r>
    </w:p>
    <w:p w14:paraId="52D76A30">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我方已悉知并关注了本项目在信息发布媒体（详见第二章第三小节第（三）项中的“谈判文件的修改、澄清”）上发布的关于本项目的有关变更公告（包括但不限于对谈判文件做出的修改或澄清、答疑纪要，以及项目暂停、重启、延期、终止等）。</w:t>
      </w:r>
    </w:p>
    <w:p w14:paraId="22657D92">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我方同意向本项目提供与本次谈判有关的任何证明材料，并保证所提交的证明材料真实、合法、有效。我方理解最低价不是成交的唯一条件，并尊重谈判小组的评审结果。</w:t>
      </w:r>
    </w:p>
    <w:p w14:paraId="564552D7">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我方愿意按照谈判文件中的一切要求，完成本项目的合同责任和义务。</w:t>
      </w:r>
    </w:p>
    <w:p w14:paraId="045D1FF7">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若我方成交，我方将在领取成交通知书时提交纸质响应文件正本</w:t>
      </w:r>
      <w:r>
        <w:rPr>
          <w:color w:val="auto"/>
          <w:highlight w:val="none"/>
          <w:u w:val="single"/>
        </w:rPr>
        <w:t xml:space="preserve"> </w:t>
      </w:r>
      <w:r>
        <w:rPr>
          <w:color w:val="auto"/>
          <w:highlight w:val="none"/>
        </w:rPr>
        <w:t>套、副本</w:t>
      </w:r>
      <w:r>
        <w:rPr>
          <w:color w:val="auto"/>
          <w:highlight w:val="none"/>
          <w:u w:val="single"/>
        </w:rPr>
        <w:t xml:space="preserve"> </w:t>
      </w:r>
      <w:r>
        <w:rPr>
          <w:color w:val="auto"/>
          <w:highlight w:val="none"/>
        </w:rPr>
        <w:t>套。</w:t>
      </w:r>
    </w:p>
    <w:p w14:paraId="7BE1BCDE">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其他</w:t>
      </w:r>
      <w:r>
        <w:rPr>
          <w:color w:val="auto"/>
          <w:highlight w:val="none"/>
          <w:u w:val="single"/>
        </w:rPr>
        <w:t xml:space="preserve">                                  </w:t>
      </w:r>
      <w:r>
        <w:rPr>
          <w:color w:val="auto"/>
          <w:highlight w:val="none"/>
        </w:rPr>
        <w:t>。</w:t>
      </w:r>
    </w:p>
    <w:p w14:paraId="406C3612">
      <w:pPr>
        <w:pStyle w:val="12"/>
        <w:widowControl/>
        <w:numPr>
          <w:ilvl w:val="0"/>
          <w:numId w:val="59"/>
        </w:numPr>
        <w:tabs>
          <w:tab w:val="left" w:pos="960"/>
        </w:tabs>
        <w:topLinePunct w:val="0"/>
        <w:ind w:left="0" w:leftChars="0" w:firstLine="480" w:firstLineChars="200"/>
        <w:rPr>
          <w:rFonts w:hint="eastAsia" w:ascii="宋体" w:hAnsi="宋体" w:eastAsia="宋体" w:cs="宋体"/>
          <w:b w:val="0"/>
          <w:color w:val="auto"/>
          <w:highlight w:val="none"/>
        </w:rPr>
      </w:pPr>
      <w:r>
        <w:rPr>
          <w:color w:val="auto"/>
          <w:highlight w:val="none"/>
        </w:rPr>
        <w:t>所有关于此次谈判活动的函电，请按下列地址联系：</w:t>
      </w:r>
    </w:p>
    <w:p w14:paraId="4F97B017">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37BB914F">
      <w:pPr>
        <w:pageBreakBefore w:val="0"/>
        <w:widowControl/>
        <w:kinsoku/>
        <w:wordWrap w:val="0"/>
        <w:overflowPunct/>
        <w:topLinePunct/>
        <w:autoSpaceDE/>
        <w:autoSpaceDN/>
        <w:bidi w:val="0"/>
        <w:spacing w:after="120" w:afterAutospacing="0" w:line="360" w:lineRule="auto"/>
        <w:ind w:firstLine="567"/>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w:t>
      </w: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全称并加盖公章）</w:t>
      </w:r>
    </w:p>
    <w:p w14:paraId="3B43FCF6">
      <w:pPr>
        <w:pageBreakBefore w:val="0"/>
        <w:widowControl/>
        <w:kinsoku/>
        <w:wordWrap w:val="0"/>
        <w:overflowPunct/>
        <w:topLinePunct/>
        <w:autoSpaceDE/>
        <w:autoSpaceDN/>
        <w:bidi w:val="0"/>
        <w:spacing w:after="120" w:afterAutospacing="0" w:line="360" w:lineRule="auto"/>
        <w:ind w:firstLine="567"/>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联系地址：</w:t>
      </w:r>
    </w:p>
    <w:p w14:paraId="61AF7F70">
      <w:pPr>
        <w:pageBreakBefore w:val="0"/>
        <w:widowControl/>
        <w:kinsoku/>
        <w:wordWrap w:val="0"/>
        <w:overflowPunct/>
        <w:topLinePunct/>
        <w:autoSpaceDE/>
        <w:autoSpaceDN/>
        <w:bidi w:val="0"/>
        <w:spacing w:after="120" w:afterAutospacing="0" w:line="360" w:lineRule="auto"/>
        <w:ind w:firstLine="567"/>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联系电话：</w:t>
      </w:r>
    </w:p>
    <w:p w14:paraId="4D37EF38">
      <w:pPr>
        <w:pageBreakBefore w:val="0"/>
        <w:widowControl/>
        <w:kinsoku/>
        <w:wordWrap w:val="0"/>
        <w:overflowPunct/>
        <w:topLinePunct/>
        <w:autoSpaceDE/>
        <w:autoSpaceDN/>
        <w:bidi w:val="0"/>
        <w:spacing w:after="120" w:afterAutospacing="0" w:line="360" w:lineRule="auto"/>
        <w:ind w:firstLine="567"/>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日期：　　年　月　日</w:t>
      </w:r>
    </w:p>
    <w:p w14:paraId="102B8392">
      <w:pPr>
        <w:pageBreakBefore w:val="0"/>
        <w:widowControl/>
        <w:kinsoku/>
        <w:wordWrap w:val="0"/>
        <w:overflowPunct/>
        <w:topLinePunct/>
        <w:autoSpaceDE/>
        <w:autoSpaceDN/>
        <w:bidi w:val="0"/>
        <w:spacing w:line="400" w:lineRule="exact"/>
        <w:jc w:val="both"/>
        <w:rPr>
          <w:rFonts w:hint="eastAsia" w:ascii="宋体" w:hAnsi="宋体" w:eastAsia="宋体" w:cs="宋体"/>
          <w:color w:val="auto"/>
          <w:sz w:val="28"/>
          <w:szCs w:val="28"/>
          <w:highlight w:val="none"/>
        </w:rPr>
        <w:sectPr>
          <w:footerReference r:id="rId9" w:type="default"/>
          <w:pgSz w:w="11906" w:h="16838"/>
          <w:pgMar w:top="1417" w:right="1417" w:bottom="1417" w:left="1417" w:header="850" w:footer="992" w:gutter="0"/>
          <w:pgNumType w:fmt="decimal"/>
          <w:cols w:space="720" w:num="1"/>
          <w:docGrid w:type="lines" w:linePitch="381" w:charSpace="704"/>
        </w:sectPr>
      </w:pPr>
    </w:p>
    <w:p w14:paraId="1280131A">
      <w:pPr>
        <w:pStyle w:val="50"/>
        <w:widowControl/>
        <w:tabs>
          <w:tab w:val="left" w:pos="0"/>
        </w:tabs>
        <w:ind w:left="0" w:leftChars="0" w:firstLine="0" w:firstLineChars="0"/>
        <w:outlineLvl w:val="0"/>
        <w:rPr>
          <w:highlight w:val="none"/>
        </w:rPr>
      </w:pPr>
      <w:bookmarkStart w:id="76" w:name="_Toc15720"/>
      <w:bookmarkStart w:id="77" w:name="_Toc3470"/>
      <w:bookmarkStart w:id="78" w:name="_Toc16340"/>
      <w:r>
        <w:rPr>
          <w:highlight w:val="none"/>
        </w:rPr>
        <w:t>第二部分 第一次谈判报价表</w:t>
      </w:r>
      <w:bookmarkEnd w:id="76"/>
      <w:bookmarkEnd w:id="77"/>
      <w:bookmarkEnd w:id="78"/>
    </w:p>
    <w:p w14:paraId="27578201">
      <w:pPr>
        <w:pStyle w:val="12"/>
        <w:widowControl/>
        <w:ind w:left="0" w:leftChars="0" w:firstLine="480" w:firstLineChars="200"/>
        <w:rPr>
          <w:b/>
          <w:color w:val="auto"/>
          <w:highlight w:val="none"/>
        </w:rPr>
      </w:pPr>
      <w:r>
        <w:rPr>
          <w:color w:val="auto"/>
          <w:highlight w:val="none"/>
        </w:rPr>
        <w:t>单位：元，保留小数点后两位。</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7797"/>
      </w:tblGrid>
      <w:tr w14:paraId="7C1F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noWrap w:val="0"/>
            <w:vAlign w:val="center"/>
          </w:tcPr>
          <w:p w14:paraId="68F4BD6A">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项目名称</w:t>
            </w:r>
          </w:p>
        </w:tc>
        <w:tc>
          <w:tcPr>
            <w:tcW w:w="4198" w:type="pct"/>
            <w:noWrap w:val="0"/>
            <w:vAlign w:val="center"/>
          </w:tcPr>
          <w:p w14:paraId="2B5BC450">
            <w:pPr>
              <w:keepNext w:val="0"/>
              <w:keepLines w:val="0"/>
              <w:pageBreakBefore w:val="0"/>
              <w:suppressLineNumbers w:val="0"/>
              <w:kinsoku/>
              <w:wordWrap w:val="0"/>
              <w:overflowPunct/>
              <w:topLinePunct/>
              <w:autoSpaceDE/>
              <w:autoSpaceDN/>
              <w:bidi w:val="0"/>
              <w:spacing w:before="0" w:beforeAutospacing="0" w:after="0" w:afterAutospacing="0"/>
              <w:ind w:left="420" w:right="0" w:hanging="420"/>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采购项目</w:t>
            </w:r>
          </w:p>
        </w:tc>
      </w:tr>
      <w:tr w14:paraId="53EF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noWrap w:val="0"/>
            <w:vAlign w:val="center"/>
          </w:tcPr>
          <w:p w14:paraId="3417FF63">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项目编号</w:t>
            </w:r>
          </w:p>
        </w:tc>
        <w:tc>
          <w:tcPr>
            <w:tcW w:w="4198" w:type="pct"/>
            <w:noWrap w:val="0"/>
            <w:vAlign w:val="center"/>
          </w:tcPr>
          <w:p w14:paraId="76F67558">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color w:val="auto"/>
                <w:sz w:val="28"/>
                <w:szCs w:val="28"/>
                <w:highlight w:val="none"/>
                <w:u w:val="single"/>
              </w:rPr>
            </w:pPr>
          </w:p>
        </w:tc>
      </w:tr>
      <w:tr w14:paraId="2DB9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vMerge w:val="restart"/>
            <w:noWrap w:val="0"/>
            <w:vAlign w:val="center"/>
          </w:tcPr>
          <w:p w14:paraId="33EB54FC">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第一次谈判报价</w:t>
            </w:r>
          </w:p>
        </w:tc>
        <w:tc>
          <w:tcPr>
            <w:tcW w:w="4198" w:type="pct"/>
            <w:noWrap w:val="0"/>
            <w:vAlign w:val="center"/>
          </w:tcPr>
          <w:p w14:paraId="404BDF59">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大写：人民币元</w:t>
            </w:r>
          </w:p>
        </w:tc>
      </w:tr>
      <w:tr w14:paraId="53AD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vMerge w:val="continue"/>
            <w:noWrap w:val="0"/>
            <w:vAlign w:val="center"/>
          </w:tcPr>
          <w:p w14:paraId="3710A3CD">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bCs/>
                <w:color w:val="auto"/>
                <w:sz w:val="28"/>
                <w:szCs w:val="28"/>
                <w:highlight w:val="none"/>
              </w:rPr>
            </w:pPr>
          </w:p>
        </w:tc>
        <w:tc>
          <w:tcPr>
            <w:tcW w:w="4198" w:type="pct"/>
            <w:noWrap w:val="0"/>
            <w:vAlign w:val="center"/>
          </w:tcPr>
          <w:p w14:paraId="3886A519">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小写：¥元</w:t>
            </w:r>
          </w:p>
        </w:tc>
      </w:tr>
      <w:tr w14:paraId="42F7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1" w:type="pct"/>
            <w:noWrap w:val="0"/>
            <w:vAlign w:val="center"/>
          </w:tcPr>
          <w:p w14:paraId="10F7DECE">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服务期</w:t>
            </w:r>
          </w:p>
        </w:tc>
        <w:tc>
          <w:tcPr>
            <w:tcW w:w="4198" w:type="pct"/>
            <w:noWrap w:val="0"/>
            <w:vAlign w:val="center"/>
          </w:tcPr>
          <w:p w14:paraId="3DA7B1EB">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bCs/>
                <w:color w:val="auto"/>
                <w:sz w:val="28"/>
                <w:szCs w:val="28"/>
                <w:highlight w:val="none"/>
              </w:rPr>
            </w:pPr>
          </w:p>
        </w:tc>
      </w:tr>
    </w:tbl>
    <w:p w14:paraId="558A50DA">
      <w:pPr>
        <w:pageBreakBefore w:val="0"/>
        <w:widowControl/>
        <w:kinsoku/>
        <w:wordWrap w:val="0"/>
        <w:overflowPunct/>
        <w:topLinePunct/>
        <w:autoSpaceDE/>
        <w:autoSpaceDN/>
        <w:bidi w:val="0"/>
        <w:spacing w:before="190" w:beforeLines="50" w:after="120" w:afterAutospacing="0" w:line="360" w:lineRule="auto"/>
        <w:ind w:left="480" w:leftChars="0" w:firstLine="0" w:firstLineChars="0"/>
        <w:jc w:val="both"/>
        <w:outlineLvl w:val="9"/>
        <w:rPr>
          <w:rFonts w:hint="eastAsia" w:ascii="Times New Roman" w:hAnsi="Times New Roman" w:eastAsia="宋体" w:cs="Times New Roman"/>
          <w:color w:val="auto"/>
          <w:sz w:val="24"/>
          <w:szCs w:val="28"/>
          <w:highlight w:val="none"/>
        </w:rPr>
      </w:pPr>
      <w:bookmarkStart w:id="79" w:name="_Toc13086"/>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w:t>
      </w: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全称并加盖公章）</w:t>
      </w:r>
      <w:bookmarkEnd w:id="79"/>
    </w:p>
    <w:p w14:paraId="0121A90D">
      <w:pPr>
        <w:pageBreakBefore w:val="0"/>
        <w:widowControl/>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日期：　　年　月　日</w:t>
      </w:r>
    </w:p>
    <w:p w14:paraId="15CE621C">
      <w:pPr>
        <w:pageBreakBefore w:val="0"/>
        <w:widowControl/>
        <w:kinsoku/>
        <w:wordWrap w:val="0"/>
        <w:overflowPunct/>
        <w:topLinePunct/>
        <w:autoSpaceDE/>
        <w:autoSpaceDN/>
        <w:bidi w:val="0"/>
        <w:jc w:val="both"/>
        <w:rPr>
          <w:rFonts w:hint="eastAsia" w:ascii="宋体" w:hAnsi="宋体" w:eastAsia="宋体" w:cs="宋体"/>
          <w:b/>
          <w:color w:val="auto"/>
          <w:sz w:val="28"/>
          <w:szCs w:val="28"/>
          <w:highlight w:val="none"/>
        </w:rPr>
        <w:sectPr>
          <w:footerReference r:id="rId14" w:type="first"/>
          <w:headerReference r:id="rId10" w:type="default"/>
          <w:footerReference r:id="rId12" w:type="default"/>
          <w:headerReference r:id="rId11" w:type="even"/>
          <w:footerReference r:id="rId13" w:type="even"/>
          <w:pgSz w:w="11906" w:h="16838"/>
          <w:pgMar w:top="1418" w:right="1418" w:bottom="1418" w:left="1418" w:header="851" w:footer="992" w:gutter="0"/>
          <w:pgNumType w:fmt="decimal" w:chapStyle="1"/>
          <w:cols w:space="720" w:num="1"/>
          <w:docGrid w:type="lines" w:linePitch="381" w:charSpace="0"/>
        </w:sectPr>
      </w:pPr>
    </w:p>
    <w:p w14:paraId="0322B493">
      <w:pPr>
        <w:pStyle w:val="51"/>
        <w:widowControl/>
        <w:ind w:left="0" w:leftChars="0" w:firstLine="0" w:firstLineChars="0"/>
        <w:outlineLvl w:val="9"/>
        <w:rPr>
          <w:highlight w:val="none"/>
        </w:rPr>
      </w:pPr>
      <w:bookmarkStart w:id="80" w:name="_Toc21304"/>
      <w:r>
        <w:rPr>
          <w:highlight w:val="none"/>
        </w:rPr>
        <w:t>费用明细表</w:t>
      </w:r>
      <w:bookmarkEnd w:id="80"/>
      <w:r>
        <w:rPr>
          <w:highlight w:val="none"/>
        </w:rPr>
        <w:t>（样表）</w:t>
      </w:r>
    </w:p>
    <w:p w14:paraId="7E226218">
      <w:pPr>
        <w:pStyle w:val="12"/>
        <w:pageBreakBefore w:val="0"/>
        <w:kinsoku/>
        <w:wordWrap w:val="0"/>
        <w:overflowPunct/>
        <w:topLinePunct/>
        <w:autoSpaceDE/>
        <w:autoSpaceDN/>
        <w:bidi w:val="0"/>
        <w:ind w:right="55"/>
        <w:jc w:val="right"/>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单位：元</w:t>
      </w:r>
    </w:p>
    <w:p w14:paraId="1AD502DA">
      <w:pPr>
        <w:pageBreakBefore w:val="0"/>
        <w:widowControl/>
        <w:kinsoku/>
        <w:wordWrap w:val="0"/>
        <w:overflowPunct/>
        <w:topLinePunct/>
        <w:autoSpaceDE/>
        <w:autoSpaceDN/>
        <w:bidi w:val="0"/>
        <w:spacing w:line="400" w:lineRule="exact"/>
        <w:jc w:val="center"/>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格式自拟</w:t>
      </w:r>
    </w:p>
    <w:p w14:paraId="318D8E83">
      <w:pPr>
        <w:pStyle w:val="23"/>
        <w:rPr>
          <w:rFonts w:hint="eastAsia" w:ascii="宋体" w:hAnsi="宋体" w:eastAsia="宋体" w:cs="宋体"/>
          <w:color w:val="auto"/>
          <w:kern w:val="0"/>
          <w:sz w:val="28"/>
          <w:szCs w:val="28"/>
          <w:highlight w:val="none"/>
          <w:lang w:val="en-US" w:bidi="zh-CN"/>
        </w:rPr>
      </w:pPr>
    </w:p>
    <w:p w14:paraId="033533A4">
      <w:pPr>
        <w:rPr>
          <w:rFonts w:hint="eastAsia" w:ascii="宋体" w:hAnsi="宋体" w:eastAsia="宋体" w:cs="宋体"/>
          <w:color w:val="auto"/>
          <w:kern w:val="0"/>
          <w:sz w:val="28"/>
          <w:szCs w:val="28"/>
          <w:highlight w:val="none"/>
          <w:lang w:val="en-US" w:bidi="zh-CN"/>
        </w:rPr>
      </w:pPr>
    </w:p>
    <w:p w14:paraId="4FEB6070">
      <w:pPr>
        <w:pStyle w:val="22"/>
        <w:rPr>
          <w:rFonts w:hint="eastAsia" w:ascii="宋体" w:hAnsi="宋体" w:eastAsia="宋体" w:cs="宋体"/>
          <w:color w:val="auto"/>
          <w:kern w:val="0"/>
          <w:sz w:val="28"/>
          <w:szCs w:val="28"/>
          <w:highlight w:val="none"/>
          <w:lang w:val="en-US" w:bidi="zh-CN"/>
        </w:rPr>
      </w:pPr>
    </w:p>
    <w:p w14:paraId="44E9650C">
      <w:pPr>
        <w:pStyle w:val="23"/>
        <w:rPr>
          <w:rFonts w:hint="default"/>
          <w:lang w:val="en-US"/>
        </w:rPr>
      </w:pPr>
    </w:p>
    <w:p w14:paraId="36E4CDB9">
      <w:pPr>
        <w:pStyle w:val="12"/>
        <w:widowControl/>
        <w:tabs>
          <w:tab w:val="left" w:pos="420"/>
        </w:tabs>
        <w:ind w:left="900" w:leftChars="200" w:hanging="480" w:hangingChars="200"/>
        <w:rPr>
          <w:color w:val="auto"/>
          <w:highlight w:val="none"/>
        </w:rPr>
      </w:pPr>
      <w:r>
        <w:rPr>
          <w:color w:val="auto"/>
        </w:rPr>
        <w:t>注：</w:t>
      </w:r>
      <w:r>
        <w:rPr>
          <w:color w:val="auto"/>
          <w:highlight w:val="none"/>
        </w:rPr>
        <w:t>1.供应商须按照磋商文件“采购内容及要求”中涉及的采购清单进行报价。</w:t>
      </w:r>
    </w:p>
    <w:p w14:paraId="0AC14E37">
      <w:pPr>
        <w:pStyle w:val="12"/>
        <w:widowControl/>
        <w:tabs>
          <w:tab w:val="left" w:pos="480"/>
        </w:tabs>
        <w:ind w:left="0" w:leftChars="0" w:firstLine="480" w:firstLineChars="200"/>
        <w:rPr>
          <w:color w:val="auto"/>
          <w:highlight w:val="none"/>
        </w:rPr>
      </w:pPr>
      <w:r>
        <w:rPr>
          <w:color w:val="auto"/>
          <w:highlight w:val="none"/>
        </w:rPr>
        <w:t>2.如果按单价计算的结果与总价不一致，以单价为准修正总价。</w:t>
      </w:r>
    </w:p>
    <w:p w14:paraId="555946BA">
      <w:pPr>
        <w:pStyle w:val="12"/>
        <w:widowControl/>
        <w:tabs>
          <w:tab w:val="left" w:pos="482"/>
        </w:tabs>
        <w:ind w:left="799" w:leftChars="0" w:hanging="317" w:firstLineChars="0"/>
        <w:rPr>
          <w:color w:val="auto"/>
          <w:highlight w:val="none"/>
        </w:rPr>
      </w:pPr>
      <w:r>
        <w:rPr>
          <w:color w:val="auto"/>
          <w:highlight w:val="none"/>
        </w:rPr>
        <w:t>3.投标人在本表中必须详细注明所投产品的“品牌”和“规格型号”，自行承担填写错误被视为无效投标文件的风险。</w:t>
      </w:r>
    </w:p>
    <w:p w14:paraId="30681DCE">
      <w:pPr>
        <w:pStyle w:val="12"/>
        <w:widowControl/>
        <w:tabs>
          <w:tab w:val="left" w:pos="482"/>
        </w:tabs>
        <w:ind w:left="799" w:leftChars="0" w:hanging="317" w:firstLineChars="0"/>
        <w:rPr>
          <w:color w:val="auto"/>
          <w:highlight w:val="none"/>
        </w:rPr>
      </w:pPr>
      <w:r>
        <w:rPr>
          <w:color w:val="auto"/>
          <w:highlight w:val="none"/>
        </w:rPr>
        <w:t>4.上述投标总报价包含了供应商为此项目所支付的的一切费用。</w:t>
      </w:r>
    </w:p>
    <w:p w14:paraId="487CCB70">
      <w:pPr>
        <w:pStyle w:val="12"/>
        <w:widowControl/>
        <w:tabs>
          <w:tab w:val="left" w:pos="482"/>
        </w:tabs>
        <w:ind w:left="799" w:leftChars="0" w:hanging="317" w:firstLineChars="0"/>
        <w:rPr>
          <w:color w:val="auto"/>
          <w:highlight w:val="none"/>
        </w:rPr>
      </w:pPr>
    </w:p>
    <w:p w14:paraId="7DD5E35E">
      <w:pPr>
        <w:pageBreakBefore w:val="0"/>
        <w:widowControl/>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b/>
          <w:bCs/>
          <w:color w:val="auto"/>
          <w:kern w:val="0"/>
          <w:sz w:val="24"/>
          <w:szCs w:val="28"/>
          <w:highlight w:val="none"/>
          <w:lang w:val="zh-CN" w:bidi="zh-CN"/>
        </w:rPr>
      </w:pPr>
      <w:r>
        <w:rPr>
          <w:rFonts w:hint="eastAsia" w:ascii="Times New Roman" w:hAnsi="Times New Roman" w:eastAsia="宋体" w:cs="Times New Roman"/>
          <w:b/>
          <w:bCs/>
          <w:color w:val="auto"/>
          <w:kern w:val="0"/>
          <w:sz w:val="24"/>
          <w:szCs w:val="28"/>
          <w:highlight w:val="none"/>
          <w:lang w:val="zh-CN" w:eastAsia="zh-CN" w:bidi="zh-CN"/>
        </w:rPr>
        <w:t>投标人</w:t>
      </w:r>
      <w:r>
        <w:rPr>
          <w:rFonts w:hint="eastAsia" w:ascii="Times New Roman" w:hAnsi="Times New Roman" w:eastAsia="宋体" w:cs="Times New Roman"/>
          <w:b/>
          <w:bCs/>
          <w:color w:val="auto"/>
          <w:sz w:val="24"/>
          <w:szCs w:val="28"/>
          <w:highlight w:val="none"/>
        </w:rPr>
        <w:t>（</w:t>
      </w:r>
      <w:r>
        <w:rPr>
          <w:rFonts w:hint="eastAsia" w:ascii="Times New Roman" w:hAnsi="Times New Roman" w:eastAsia="宋体" w:cs="Times New Roman"/>
          <w:b/>
          <w:bCs/>
          <w:color w:val="auto"/>
          <w:sz w:val="24"/>
          <w:szCs w:val="28"/>
          <w:highlight w:val="none"/>
          <w:lang w:eastAsia="zh-CN"/>
        </w:rPr>
        <w:t>投标人</w:t>
      </w:r>
      <w:r>
        <w:rPr>
          <w:rFonts w:hint="eastAsia" w:ascii="Times New Roman" w:hAnsi="Times New Roman" w:eastAsia="宋体" w:cs="Times New Roman"/>
          <w:b/>
          <w:bCs/>
          <w:color w:val="auto"/>
          <w:sz w:val="24"/>
          <w:szCs w:val="28"/>
          <w:highlight w:val="none"/>
        </w:rPr>
        <w:t>全称并加盖公章）</w:t>
      </w:r>
      <w:r>
        <w:rPr>
          <w:rFonts w:hint="eastAsia" w:ascii="Times New Roman" w:hAnsi="Times New Roman" w:eastAsia="宋体" w:cs="Times New Roman"/>
          <w:b/>
          <w:bCs/>
          <w:color w:val="auto"/>
          <w:kern w:val="0"/>
          <w:sz w:val="24"/>
          <w:szCs w:val="28"/>
          <w:highlight w:val="none"/>
          <w:lang w:val="zh-CN" w:bidi="zh-CN"/>
        </w:rPr>
        <w:t>：</w:t>
      </w:r>
    </w:p>
    <w:p w14:paraId="738EBCE7">
      <w:pPr>
        <w:pageBreakBefore w:val="0"/>
        <w:widowControl/>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b/>
          <w:bCs/>
          <w:color w:val="auto"/>
          <w:kern w:val="0"/>
          <w:sz w:val="24"/>
          <w:szCs w:val="28"/>
          <w:highlight w:val="none"/>
          <w:lang w:val="zh-CN" w:bidi="zh-CN"/>
        </w:rPr>
      </w:pPr>
      <w:r>
        <w:rPr>
          <w:rFonts w:hint="eastAsia" w:ascii="Times New Roman" w:hAnsi="Times New Roman" w:eastAsia="宋体" w:cs="Times New Roman"/>
          <w:b/>
          <w:bCs/>
          <w:color w:val="auto"/>
          <w:kern w:val="0"/>
          <w:sz w:val="24"/>
          <w:szCs w:val="28"/>
          <w:highlight w:val="none"/>
          <w:lang w:val="zh-CN" w:bidi="zh-CN"/>
        </w:rPr>
        <w:t>法定代表人或被授权代表</w:t>
      </w:r>
      <w:r>
        <w:rPr>
          <w:rFonts w:hint="eastAsia" w:ascii="Times New Roman" w:hAnsi="Times New Roman" w:eastAsia="宋体" w:cs="Times New Roman"/>
          <w:b/>
          <w:bCs/>
          <w:color w:val="auto"/>
          <w:kern w:val="0"/>
          <w:sz w:val="24"/>
          <w:szCs w:val="28"/>
          <w:highlight w:val="none"/>
          <w:lang w:val="zh-CN" w:eastAsia="zh-CN" w:bidi="zh-CN"/>
        </w:rPr>
        <w:t>（</w:t>
      </w:r>
      <w:r>
        <w:rPr>
          <w:rFonts w:hint="eastAsia" w:ascii="Times New Roman" w:hAnsi="Times New Roman" w:eastAsia="宋体" w:cs="Times New Roman"/>
          <w:b/>
          <w:bCs/>
          <w:color w:val="auto"/>
          <w:kern w:val="0"/>
          <w:sz w:val="24"/>
          <w:szCs w:val="28"/>
          <w:highlight w:val="none"/>
          <w:lang w:val="zh-CN" w:bidi="zh-CN"/>
        </w:rPr>
        <w:t>盖章</w:t>
      </w:r>
      <w:r>
        <w:rPr>
          <w:rFonts w:hint="eastAsia" w:ascii="Times New Roman" w:hAnsi="Times New Roman" w:eastAsia="宋体" w:cs="Times New Roman"/>
          <w:b/>
          <w:bCs/>
          <w:color w:val="auto"/>
          <w:kern w:val="0"/>
          <w:sz w:val="24"/>
          <w:szCs w:val="28"/>
          <w:highlight w:val="none"/>
          <w:lang w:val="zh-CN" w:eastAsia="zh-CN" w:bidi="zh-CN"/>
        </w:rPr>
        <w:t>）</w:t>
      </w:r>
      <w:r>
        <w:rPr>
          <w:rFonts w:hint="eastAsia" w:ascii="Times New Roman" w:hAnsi="Times New Roman" w:eastAsia="宋体" w:cs="Times New Roman"/>
          <w:b/>
          <w:bCs/>
          <w:color w:val="auto"/>
          <w:kern w:val="0"/>
          <w:sz w:val="24"/>
          <w:szCs w:val="28"/>
          <w:highlight w:val="none"/>
          <w:lang w:val="zh-CN" w:bidi="zh-CN"/>
        </w:rPr>
        <w:t>：</w:t>
      </w:r>
    </w:p>
    <w:p w14:paraId="267EE3D5">
      <w:pPr>
        <w:pageBreakBefore w:val="0"/>
        <w:widowControl/>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b/>
          <w:bCs/>
          <w:color w:val="auto"/>
          <w:kern w:val="0"/>
          <w:sz w:val="24"/>
          <w:szCs w:val="28"/>
          <w:highlight w:val="none"/>
          <w:lang w:val="en-US" w:eastAsia="zh-CN" w:bidi="zh-CN"/>
        </w:rPr>
      </w:pPr>
      <w:r>
        <w:rPr>
          <w:rFonts w:hint="eastAsia" w:ascii="Times New Roman" w:hAnsi="Times New Roman" w:eastAsia="宋体" w:cs="Times New Roman"/>
          <w:b/>
          <w:bCs/>
          <w:color w:val="auto"/>
          <w:kern w:val="0"/>
          <w:sz w:val="24"/>
          <w:szCs w:val="28"/>
          <w:highlight w:val="none"/>
          <w:lang w:val="en-US" w:eastAsia="zh-CN" w:bidi="zh-CN"/>
        </w:rPr>
        <w:t>日期：</w:t>
      </w:r>
    </w:p>
    <w:p w14:paraId="3A9FE733">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35AC2369">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1D3BE63B">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15859A17">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2874649A">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5C55C718">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0185037B">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4AC77761">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49D3CD11">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5037E48D">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17DEBB28">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2ADA99E7">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34DB8522">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59AA5C6B">
      <w:pPr>
        <w:pageBreakBefore w:val="0"/>
        <w:widowControl/>
        <w:kinsoku/>
        <w:wordWrap w:val="0"/>
        <w:overflowPunct/>
        <w:topLinePunct/>
        <w:autoSpaceDE/>
        <w:autoSpaceDN/>
        <w:bidi w:val="0"/>
        <w:spacing w:line="400" w:lineRule="exact"/>
        <w:jc w:val="both"/>
        <w:rPr>
          <w:rFonts w:hint="eastAsia" w:ascii="宋体" w:hAnsi="宋体" w:eastAsia="宋体" w:cs="宋体"/>
          <w:color w:val="auto"/>
          <w:kern w:val="0"/>
          <w:sz w:val="28"/>
          <w:szCs w:val="28"/>
          <w:highlight w:val="none"/>
          <w:lang w:val="en-US" w:eastAsia="zh-CN" w:bidi="zh-CN"/>
        </w:rPr>
      </w:pPr>
    </w:p>
    <w:p w14:paraId="5CB00511">
      <w:pPr>
        <w:pStyle w:val="50"/>
        <w:widowControl/>
        <w:tabs>
          <w:tab w:val="left" w:pos="0"/>
        </w:tabs>
        <w:ind w:left="0" w:leftChars="0" w:firstLine="0" w:firstLineChars="0"/>
        <w:outlineLvl w:val="0"/>
        <w:rPr>
          <w:highlight w:val="none"/>
        </w:rPr>
      </w:pPr>
      <w:bookmarkStart w:id="81" w:name="_Toc10910"/>
      <w:bookmarkStart w:id="82" w:name="_Toc10044"/>
      <w:bookmarkStart w:id="83" w:name="_Toc14994"/>
      <w:r>
        <w:rPr>
          <w:highlight w:val="none"/>
        </w:rPr>
        <w:t>第三部分 资格证明文件</w:t>
      </w:r>
      <w:bookmarkEnd w:id="81"/>
      <w:bookmarkEnd w:id="82"/>
      <w:bookmarkEnd w:id="83"/>
    </w:p>
    <w:p w14:paraId="605DAE2B">
      <w:pPr>
        <w:pStyle w:val="12"/>
        <w:widowControl/>
        <w:ind w:left="0" w:leftChars="0" w:firstLine="480" w:firstLineChars="200"/>
        <w:rPr>
          <w:color w:val="auto"/>
          <w:highlight w:val="none"/>
        </w:rPr>
      </w:pPr>
      <w:bookmarkStart w:id="84" w:name="_Toc528596084"/>
      <w:bookmarkStart w:id="85" w:name="_Toc17411"/>
      <w:bookmarkStart w:id="86" w:name="_Toc726"/>
      <w:bookmarkStart w:id="87" w:name="_Toc9011"/>
      <w:bookmarkStart w:id="88" w:name="_Toc17677"/>
      <w:bookmarkStart w:id="89" w:name="_Toc22518"/>
      <w:r>
        <w:rPr>
          <w:color w:val="auto"/>
          <w:highlight w:val="none"/>
        </w:rPr>
        <w:t>投标人按以下要求逐一提供全部资料，缺少其中任何一项，其谈判响应文件将被视为无效文件。其中，《法定代表人授权委托书》、《基本资格条件承诺函》、应按下文给定格式填写，否则按无效处理。特别说明，法定代表人亲自参加投标的，可不提供法定代表人授权委托书，但须提供法定代表人证明书及其本人身份证（正反面）复印件。</w:t>
      </w:r>
    </w:p>
    <w:p w14:paraId="6A2A9503">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1F047EB0">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318A7BF9">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1A6AE58E">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73124A9D">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20B3DE87">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05EA13D3">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66614A5D">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7CAB2899">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4CCD24E1">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57F29439">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47FB6423">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5C66691F">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7EB25AA3">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0564B148">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40EA89BF">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0EECC512">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7AB0F7C3">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7FF6AE77">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06299A9C">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6CB8E688">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31B4D625">
      <w:pPr>
        <w:pStyle w:val="2"/>
        <w:pageBreakBefore w:val="0"/>
        <w:kinsoku/>
        <w:wordWrap w:val="0"/>
        <w:overflowPunct/>
        <w:topLinePunct/>
        <w:autoSpaceDE/>
        <w:autoSpaceDN/>
        <w:bidi w:val="0"/>
        <w:jc w:val="both"/>
        <w:outlineLvl w:val="9"/>
        <w:rPr>
          <w:rFonts w:hint="eastAsia" w:ascii="宋体" w:hAnsi="宋体" w:eastAsia="宋体" w:cs="宋体"/>
          <w:color w:val="auto"/>
        </w:rPr>
      </w:pPr>
    </w:p>
    <w:p w14:paraId="373EBA54">
      <w:pPr>
        <w:pStyle w:val="12"/>
        <w:pageBreakBefore w:val="0"/>
        <w:kinsoku/>
        <w:wordWrap w:val="0"/>
        <w:overflowPunct/>
        <w:topLinePunct/>
        <w:autoSpaceDE/>
        <w:autoSpaceDN/>
        <w:bidi w:val="0"/>
        <w:jc w:val="both"/>
        <w:rPr>
          <w:rFonts w:hint="eastAsia" w:ascii="宋体" w:hAnsi="宋体" w:eastAsia="宋体" w:cs="宋体"/>
          <w:color w:val="auto"/>
        </w:rPr>
      </w:pPr>
    </w:p>
    <w:p w14:paraId="62A243D6">
      <w:pPr>
        <w:pStyle w:val="12"/>
        <w:pageBreakBefore w:val="0"/>
        <w:kinsoku/>
        <w:wordWrap w:val="0"/>
        <w:overflowPunct/>
        <w:topLinePunct/>
        <w:autoSpaceDE/>
        <w:autoSpaceDN/>
        <w:bidi w:val="0"/>
        <w:jc w:val="both"/>
        <w:rPr>
          <w:rFonts w:hint="eastAsia" w:ascii="宋体" w:hAnsi="宋体" w:eastAsia="宋体" w:cs="宋体"/>
          <w:color w:val="auto"/>
        </w:rPr>
      </w:pPr>
    </w:p>
    <w:p w14:paraId="2D4F1E18">
      <w:pPr>
        <w:pStyle w:val="12"/>
        <w:pageBreakBefore w:val="0"/>
        <w:kinsoku/>
        <w:wordWrap w:val="0"/>
        <w:overflowPunct/>
        <w:topLinePunct/>
        <w:autoSpaceDE/>
        <w:autoSpaceDN/>
        <w:bidi w:val="0"/>
        <w:jc w:val="both"/>
        <w:rPr>
          <w:rFonts w:hint="eastAsia" w:ascii="宋体" w:hAnsi="宋体" w:eastAsia="宋体" w:cs="宋体"/>
          <w:color w:val="auto"/>
        </w:rPr>
      </w:pPr>
    </w:p>
    <w:p w14:paraId="33C44DBD">
      <w:pPr>
        <w:pStyle w:val="2"/>
        <w:widowControl/>
        <w:numPr>
          <w:ilvl w:val="0"/>
          <w:numId w:val="60"/>
        </w:numPr>
        <w:tabs>
          <w:tab w:val="left" w:pos="1043"/>
        </w:tabs>
        <w:topLinePunct w:val="0"/>
        <w:ind w:left="0" w:leftChars="0" w:firstLine="482" w:firstLineChars="200"/>
        <w:rPr>
          <w:b/>
          <w:highlight w:val="none"/>
        </w:rPr>
      </w:pPr>
      <w:r>
        <w:rPr>
          <w:highlight w:val="none"/>
        </w:rPr>
        <w:t>投标人营业执照</w:t>
      </w:r>
    </w:p>
    <w:p w14:paraId="467DB2F7">
      <w:pPr>
        <w:pStyle w:val="12"/>
        <w:widowControl/>
        <w:ind w:left="0" w:leftChars="0" w:firstLine="480" w:firstLineChars="200"/>
        <w:rPr>
          <w:color w:val="auto"/>
          <w:highlight w:val="none"/>
        </w:rPr>
      </w:pPr>
      <w:r>
        <w:rPr>
          <w:color w:val="auto"/>
          <w:highlight w:val="none"/>
        </w:rPr>
        <w:t>投标人应为在中华人民共和国境内依法注册的法人或其他组织，具备有效的营业执照(或事业法人登记证书)。</w:t>
      </w:r>
    </w:p>
    <w:p w14:paraId="48753D83">
      <w:pPr>
        <w:rPr>
          <w:highlight w:val="none"/>
        </w:rPr>
      </w:pPr>
      <w:r>
        <w:rPr>
          <w:highlight w:val="none"/>
        </w:rPr>
        <w:br w:type="page"/>
      </w:r>
    </w:p>
    <w:p w14:paraId="4D0E69F8">
      <w:pPr>
        <w:pStyle w:val="2"/>
        <w:widowControl/>
        <w:numPr>
          <w:ilvl w:val="0"/>
          <w:numId w:val="60"/>
        </w:numPr>
        <w:tabs>
          <w:tab w:val="left" w:pos="1043"/>
        </w:tabs>
        <w:topLinePunct w:val="0"/>
        <w:ind w:left="0" w:leftChars="0" w:firstLine="482" w:firstLineChars="200"/>
        <w:rPr>
          <w:b/>
          <w:highlight w:val="none"/>
        </w:rPr>
      </w:pPr>
      <w:r>
        <w:rPr>
          <w:highlight w:val="none"/>
        </w:rPr>
        <w:t>投标人履行能力承诺书</w:t>
      </w:r>
    </w:p>
    <w:p w14:paraId="34D6B955">
      <w:pPr>
        <w:pStyle w:val="51"/>
        <w:widowControl/>
        <w:ind w:left="0" w:leftChars="0" w:firstLine="0" w:firstLineChars="0"/>
        <w:outlineLvl w:val="9"/>
        <w:rPr>
          <w:highlight w:val="none"/>
        </w:rPr>
      </w:pPr>
      <w:r>
        <w:rPr>
          <w:highlight w:val="none"/>
        </w:rPr>
        <w:t>具有履行合同所必需的设备和专业技术能力的承诺函（参考格式）</w:t>
      </w:r>
    </w:p>
    <w:p w14:paraId="54DD1608">
      <w:pPr>
        <w:pStyle w:val="12"/>
        <w:widowControl/>
        <w:ind w:left="0" w:leftChars="0" w:firstLine="0" w:firstLineChars="0"/>
        <w:rPr>
          <w:color w:val="auto"/>
          <w:highlight w:val="none"/>
          <w:u w:val="single"/>
        </w:rPr>
      </w:pPr>
      <w:r>
        <w:rPr>
          <w:color w:val="auto"/>
          <w:highlight w:val="none"/>
          <w:u w:val="single"/>
        </w:rPr>
        <w:t>（招标人名称）：</w:t>
      </w:r>
    </w:p>
    <w:p w14:paraId="7E29358D">
      <w:pPr>
        <w:pStyle w:val="12"/>
        <w:widowControl/>
        <w:ind w:left="0" w:leftChars="0" w:firstLine="480" w:firstLineChars="200"/>
        <w:rPr>
          <w:color w:val="auto"/>
          <w:highlight w:val="none"/>
          <w:u w:val="single"/>
        </w:rPr>
      </w:pPr>
      <w:r>
        <w:rPr>
          <w:color w:val="auto"/>
          <w:highlight w:val="none"/>
        </w:rPr>
        <w:t>我方作为项目名称：  （项目编号：   ）的投标人，在此郑重承诺：</w:t>
      </w:r>
    </w:p>
    <w:p w14:paraId="1FA867F4">
      <w:pPr>
        <w:pStyle w:val="12"/>
        <w:widowControl/>
        <w:ind w:left="0" w:leftChars="0" w:firstLine="480" w:firstLineChars="200"/>
        <w:rPr>
          <w:color w:val="auto"/>
          <w:highlight w:val="none"/>
        </w:rPr>
      </w:pPr>
      <w:r>
        <w:rPr>
          <w:color w:val="auto"/>
          <w:highlight w:val="none"/>
          <w:u w:val="single"/>
        </w:rPr>
        <w:t>（投标人名称）</w:t>
      </w:r>
      <w:r>
        <w:rPr>
          <w:color w:val="auto"/>
          <w:highlight w:val="none"/>
        </w:rPr>
        <w:t>于  年  月  日在中华人民共和国境内</w:t>
      </w:r>
      <w:r>
        <w:rPr>
          <w:color w:val="auto"/>
          <w:highlight w:val="none"/>
          <w:u w:val="single"/>
        </w:rPr>
        <w:t>（详细注册地址）</w:t>
      </w:r>
      <w:r>
        <w:rPr>
          <w:color w:val="auto"/>
          <w:highlight w:val="none"/>
        </w:rPr>
        <w:t>合法注册并经营，公司主营业务为</w:t>
      </w:r>
      <w:r>
        <w:rPr>
          <w:color w:val="auto"/>
          <w:highlight w:val="none"/>
          <w:u w:val="single"/>
        </w:rPr>
        <w:t xml:space="preserve">    </w:t>
      </w:r>
      <w:r>
        <w:rPr>
          <w:color w:val="auto"/>
          <w:highlight w:val="none"/>
        </w:rPr>
        <w:t>，营业（生产经营）面积为</w:t>
      </w:r>
      <w:r>
        <w:rPr>
          <w:color w:val="auto"/>
          <w:highlight w:val="none"/>
          <w:u w:val="single"/>
        </w:rPr>
        <w:t xml:space="preserve">    </w:t>
      </w:r>
      <w:r>
        <w:rPr>
          <w:color w:val="auto"/>
          <w:highlight w:val="none"/>
        </w:rPr>
        <w:t>，现有员工数量为</w:t>
      </w:r>
      <w:r>
        <w:rPr>
          <w:color w:val="auto"/>
          <w:highlight w:val="none"/>
          <w:u w:val="single"/>
        </w:rPr>
        <w:t xml:space="preserve">    </w:t>
      </w:r>
      <w:r>
        <w:rPr>
          <w:color w:val="auto"/>
          <w:highlight w:val="none"/>
        </w:rPr>
        <w:t>，其中与履行本合同相关的专业技术人员有（</w:t>
      </w:r>
      <w:r>
        <w:rPr>
          <w:color w:val="auto"/>
          <w:highlight w:val="none"/>
          <w:u w:val="single"/>
        </w:rPr>
        <w:t xml:space="preserve">专业能力、数量）    </w:t>
      </w:r>
      <w:r>
        <w:rPr>
          <w:color w:val="auto"/>
          <w:highlight w:val="none"/>
        </w:rPr>
        <w:t>，本公司郑重承诺，具有履行本合同所必需的设备和专业技术能力。</w:t>
      </w:r>
    </w:p>
    <w:p w14:paraId="1FCFFD68">
      <w:pPr>
        <w:rPr>
          <w:rFonts w:hint="eastAsia" w:ascii="宋体" w:hAnsi="宋体" w:eastAsia="宋体" w:cs="宋体"/>
          <w:color w:val="auto"/>
          <w:sz w:val="28"/>
          <w:szCs w:val="28"/>
          <w:highlight w:val="none"/>
        </w:rPr>
      </w:pPr>
    </w:p>
    <w:p w14:paraId="79375B73">
      <w:pPr>
        <w:pageBreakBefore w:val="0"/>
        <w:kinsoku/>
        <w:wordWrap w:val="0"/>
        <w:overflowPunct/>
        <w:topLinePunct/>
        <w:autoSpaceDE/>
        <w:autoSpaceDN/>
        <w:bidi w:val="0"/>
        <w:adjustRightInd w:val="0"/>
        <w:spacing w:after="120" w:afterAutospacing="0" w:line="360" w:lineRule="auto"/>
        <w:ind w:firstLine="48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lang w:val="en-US"/>
        </w:rPr>
        <w:t>承诺单位</w:t>
      </w:r>
      <w:r>
        <w:rPr>
          <w:rFonts w:hint="eastAsia" w:ascii="Times New Roman" w:hAnsi="Times New Roman" w:eastAsia="宋体" w:cs="Times New Roman"/>
          <w:color w:val="auto"/>
          <w:sz w:val="24"/>
          <w:szCs w:val="28"/>
          <w:highlight w:val="none"/>
        </w:rPr>
        <w:t>名称：（</w:t>
      </w:r>
      <w:r>
        <w:rPr>
          <w:rFonts w:hint="eastAsia" w:ascii="Times New Roman" w:hAnsi="Times New Roman" w:eastAsia="宋体" w:cs="Times New Roman"/>
          <w:color w:val="auto"/>
          <w:sz w:val="24"/>
          <w:szCs w:val="28"/>
          <w:highlight w:val="none"/>
          <w:lang w:val="en-US"/>
        </w:rPr>
        <w:t>全称并加盖公章</w:t>
      </w:r>
      <w:r>
        <w:rPr>
          <w:rFonts w:hint="eastAsia" w:ascii="Times New Roman" w:hAnsi="Times New Roman" w:eastAsia="宋体" w:cs="Times New Roman"/>
          <w:color w:val="auto"/>
          <w:sz w:val="24"/>
          <w:szCs w:val="28"/>
          <w:highlight w:val="none"/>
        </w:rPr>
        <w:t>）</w:t>
      </w:r>
    </w:p>
    <w:p w14:paraId="3B117004">
      <w:pPr>
        <w:pageBreakBefore w:val="0"/>
        <w:kinsoku/>
        <w:wordWrap w:val="0"/>
        <w:overflowPunct/>
        <w:topLinePunct/>
        <w:autoSpaceDE/>
        <w:autoSpaceDN/>
        <w:bidi w:val="0"/>
        <w:adjustRightInd w:val="0"/>
        <w:spacing w:after="120" w:afterAutospacing="0" w:line="360" w:lineRule="auto"/>
        <w:ind w:firstLine="48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法定代表人或授权代表：（签字或盖章）</w:t>
      </w:r>
    </w:p>
    <w:p w14:paraId="355A26E4">
      <w:pPr>
        <w:pageBreakBefore w:val="0"/>
        <w:kinsoku/>
        <w:wordWrap w:val="0"/>
        <w:overflowPunct/>
        <w:topLinePunct/>
        <w:autoSpaceDE/>
        <w:autoSpaceDN/>
        <w:bidi w:val="0"/>
        <w:adjustRightInd w:val="0"/>
        <w:spacing w:after="120" w:afterAutospacing="0" w:line="360" w:lineRule="auto"/>
        <w:ind w:firstLine="48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日期：年月日</w:t>
      </w:r>
    </w:p>
    <w:p w14:paraId="65359BD9">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5923F911">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57CAB4A6">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591228CA">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5E952994">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3011BC44">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10965FEB">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115646F7">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14DB48C0">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5FB324CB">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35F72FB3">
      <w:pPr>
        <w:pStyle w:val="22"/>
        <w:rPr>
          <w:rFonts w:hint="eastAsia" w:ascii="宋体" w:hAnsi="宋体" w:eastAsia="宋体" w:cs="宋体"/>
          <w:b/>
          <w:bCs/>
          <w:snapToGrid w:val="0"/>
          <w:color w:val="auto"/>
          <w:kern w:val="0"/>
          <w:sz w:val="28"/>
          <w:szCs w:val="28"/>
          <w:highlight w:val="none"/>
          <w:lang w:val="en-US" w:eastAsia="zh-CN" w:bidi="ar-SA"/>
        </w:rPr>
      </w:pPr>
    </w:p>
    <w:p w14:paraId="6444CC8A">
      <w:pPr>
        <w:pStyle w:val="23"/>
        <w:rPr>
          <w:rFonts w:hint="eastAsia" w:ascii="宋体" w:hAnsi="宋体" w:eastAsia="宋体" w:cs="宋体"/>
          <w:b/>
          <w:bCs/>
          <w:snapToGrid w:val="0"/>
          <w:color w:val="auto"/>
          <w:kern w:val="0"/>
          <w:sz w:val="28"/>
          <w:szCs w:val="28"/>
          <w:highlight w:val="none"/>
          <w:lang w:val="en-US" w:eastAsia="zh-CN" w:bidi="ar-SA"/>
        </w:rPr>
      </w:pPr>
    </w:p>
    <w:p w14:paraId="37918B24">
      <w:pPr>
        <w:rPr>
          <w:rFonts w:hint="eastAsia" w:ascii="宋体" w:hAnsi="宋体" w:eastAsia="宋体" w:cs="宋体"/>
          <w:b/>
          <w:bCs/>
          <w:snapToGrid w:val="0"/>
          <w:color w:val="auto"/>
          <w:kern w:val="0"/>
          <w:sz w:val="28"/>
          <w:szCs w:val="28"/>
          <w:highlight w:val="none"/>
          <w:lang w:val="en-US" w:eastAsia="zh-CN" w:bidi="ar-SA"/>
        </w:rPr>
      </w:pPr>
    </w:p>
    <w:p w14:paraId="792DCD42">
      <w:pPr>
        <w:pStyle w:val="22"/>
        <w:rPr>
          <w:rFonts w:hint="eastAsia" w:ascii="宋体" w:hAnsi="宋体" w:eastAsia="宋体" w:cs="宋体"/>
          <w:b/>
          <w:bCs/>
          <w:snapToGrid w:val="0"/>
          <w:color w:val="auto"/>
          <w:kern w:val="0"/>
          <w:sz w:val="28"/>
          <w:szCs w:val="28"/>
          <w:highlight w:val="none"/>
          <w:lang w:val="en-US" w:eastAsia="zh-CN" w:bidi="ar-SA"/>
        </w:rPr>
      </w:pPr>
    </w:p>
    <w:p w14:paraId="766A0465">
      <w:pPr>
        <w:pStyle w:val="23"/>
        <w:rPr>
          <w:rFonts w:hint="eastAsia"/>
          <w:lang w:val="en-US" w:eastAsia="zh-CN"/>
        </w:rPr>
      </w:pPr>
    </w:p>
    <w:p w14:paraId="186108D7">
      <w:pPr>
        <w:pStyle w:val="12"/>
        <w:widowControl/>
        <w:ind w:left="0" w:leftChars="0" w:firstLine="482" w:firstLineChars="200"/>
        <w:rPr>
          <w:b/>
          <w:color w:val="auto"/>
          <w:highlight w:val="none"/>
        </w:rPr>
      </w:pPr>
      <w:r>
        <w:rPr>
          <w:b/>
          <w:color w:val="auto"/>
          <w:highlight w:val="none"/>
        </w:rPr>
        <w:t>企业业绩合同：</w:t>
      </w:r>
    </w:p>
    <w:p w14:paraId="4DC48416">
      <w:pPr>
        <w:pStyle w:val="12"/>
        <w:widowControl/>
        <w:ind w:left="0" w:leftChars="0" w:firstLine="480" w:firstLineChars="200"/>
        <w:rPr>
          <w:b/>
          <w:color w:val="auto"/>
          <w:highlight w:val="none"/>
        </w:rPr>
      </w:pPr>
      <w:r>
        <w:rPr>
          <w:color w:val="auto"/>
          <w:highlight w:val="none"/>
        </w:rPr>
        <w:t>提供1份2022年8月1日至投标截止时间前的类似项目服务业绩合同。</w:t>
      </w:r>
    </w:p>
    <w:p w14:paraId="1D09B21A">
      <w:pPr>
        <w:pageBreakBefore w:val="0"/>
        <w:numPr>
          <w:ilvl w:val="0"/>
          <w:numId w:val="0"/>
        </w:numPr>
        <w:kinsoku/>
        <w:wordWrap w:val="0"/>
        <w:overflowPunct/>
        <w:topLinePunct/>
        <w:autoSpaceDE/>
        <w:autoSpaceDN/>
        <w:bidi w:val="0"/>
        <w:spacing w:line="360" w:lineRule="auto"/>
        <w:jc w:val="both"/>
        <w:rPr>
          <w:rFonts w:hint="eastAsia" w:ascii="宋体" w:hAnsi="宋体" w:eastAsia="宋体" w:cs="宋体"/>
          <w:b/>
          <w:bCs/>
          <w:snapToGrid w:val="0"/>
          <w:color w:val="auto"/>
          <w:kern w:val="0"/>
          <w:sz w:val="28"/>
          <w:szCs w:val="28"/>
          <w:highlight w:val="none"/>
          <w:lang w:val="en-US" w:eastAsia="zh-CN" w:bidi="ar-SA"/>
        </w:rPr>
      </w:pPr>
    </w:p>
    <w:p w14:paraId="58149ECE">
      <w:pPr>
        <w:pStyle w:val="22"/>
        <w:rPr>
          <w:rFonts w:hint="eastAsia" w:ascii="宋体" w:hAnsi="宋体" w:eastAsia="宋体" w:cs="宋体"/>
          <w:b/>
          <w:bCs/>
          <w:snapToGrid w:val="0"/>
          <w:color w:val="auto"/>
          <w:kern w:val="0"/>
          <w:sz w:val="28"/>
          <w:szCs w:val="28"/>
          <w:highlight w:val="none"/>
          <w:lang w:val="en-US" w:eastAsia="zh-CN" w:bidi="ar-SA"/>
        </w:rPr>
      </w:pPr>
    </w:p>
    <w:p w14:paraId="04146536">
      <w:pPr>
        <w:pStyle w:val="23"/>
        <w:rPr>
          <w:rFonts w:hint="eastAsia" w:ascii="宋体" w:hAnsi="宋体" w:eastAsia="宋体" w:cs="宋体"/>
          <w:b/>
          <w:bCs/>
          <w:snapToGrid w:val="0"/>
          <w:color w:val="auto"/>
          <w:kern w:val="0"/>
          <w:sz w:val="28"/>
          <w:szCs w:val="28"/>
          <w:highlight w:val="none"/>
          <w:lang w:val="en-US" w:eastAsia="zh-CN" w:bidi="ar-SA"/>
        </w:rPr>
      </w:pPr>
    </w:p>
    <w:p w14:paraId="5C9A8C92">
      <w:pPr>
        <w:rPr>
          <w:rFonts w:hint="eastAsia" w:ascii="宋体" w:hAnsi="宋体" w:eastAsia="宋体" w:cs="宋体"/>
          <w:b/>
          <w:bCs/>
          <w:snapToGrid w:val="0"/>
          <w:color w:val="auto"/>
          <w:kern w:val="0"/>
          <w:sz w:val="28"/>
          <w:szCs w:val="28"/>
          <w:highlight w:val="none"/>
          <w:lang w:val="en-US" w:eastAsia="zh-CN" w:bidi="ar-SA"/>
        </w:rPr>
      </w:pPr>
    </w:p>
    <w:p w14:paraId="2C7D8D06">
      <w:pPr>
        <w:pStyle w:val="22"/>
        <w:rPr>
          <w:rFonts w:hint="eastAsia" w:ascii="宋体" w:hAnsi="宋体" w:eastAsia="宋体" w:cs="宋体"/>
          <w:b/>
          <w:bCs/>
          <w:snapToGrid w:val="0"/>
          <w:color w:val="auto"/>
          <w:kern w:val="0"/>
          <w:sz w:val="28"/>
          <w:szCs w:val="28"/>
          <w:highlight w:val="none"/>
          <w:lang w:val="en-US" w:eastAsia="zh-CN" w:bidi="ar-SA"/>
        </w:rPr>
      </w:pPr>
    </w:p>
    <w:p w14:paraId="25F5ACA7">
      <w:pPr>
        <w:pStyle w:val="23"/>
        <w:rPr>
          <w:rFonts w:hint="eastAsia" w:ascii="宋体" w:hAnsi="宋体" w:eastAsia="宋体" w:cs="宋体"/>
          <w:b/>
          <w:bCs/>
          <w:snapToGrid w:val="0"/>
          <w:color w:val="auto"/>
          <w:kern w:val="0"/>
          <w:sz w:val="28"/>
          <w:szCs w:val="28"/>
          <w:highlight w:val="none"/>
          <w:lang w:val="en-US" w:eastAsia="zh-CN" w:bidi="ar-SA"/>
        </w:rPr>
      </w:pPr>
    </w:p>
    <w:p w14:paraId="7A582E5E">
      <w:pPr>
        <w:rPr>
          <w:rFonts w:hint="eastAsia" w:ascii="宋体" w:hAnsi="宋体" w:eastAsia="宋体" w:cs="宋体"/>
          <w:b/>
          <w:bCs/>
          <w:snapToGrid w:val="0"/>
          <w:color w:val="auto"/>
          <w:kern w:val="0"/>
          <w:sz w:val="28"/>
          <w:szCs w:val="28"/>
          <w:highlight w:val="none"/>
          <w:lang w:val="en-US" w:eastAsia="zh-CN" w:bidi="ar-SA"/>
        </w:rPr>
      </w:pPr>
    </w:p>
    <w:p w14:paraId="7A984D56">
      <w:pPr>
        <w:pStyle w:val="22"/>
        <w:rPr>
          <w:rFonts w:hint="eastAsia" w:ascii="宋体" w:hAnsi="宋体" w:eastAsia="宋体" w:cs="宋体"/>
          <w:b/>
          <w:bCs/>
          <w:snapToGrid w:val="0"/>
          <w:color w:val="auto"/>
          <w:kern w:val="0"/>
          <w:sz w:val="28"/>
          <w:szCs w:val="28"/>
          <w:highlight w:val="none"/>
          <w:lang w:val="en-US" w:eastAsia="zh-CN" w:bidi="ar-SA"/>
        </w:rPr>
      </w:pPr>
    </w:p>
    <w:p w14:paraId="23A4031B">
      <w:pPr>
        <w:pStyle w:val="23"/>
        <w:rPr>
          <w:rFonts w:hint="eastAsia" w:ascii="宋体" w:hAnsi="宋体" w:eastAsia="宋体" w:cs="宋体"/>
          <w:b/>
          <w:bCs/>
          <w:snapToGrid w:val="0"/>
          <w:color w:val="auto"/>
          <w:kern w:val="0"/>
          <w:sz w:val="28"/>
          <w:szCs w:val="28"/>
          <w:highlight w:val="none"/>
          <w:lang w:val="en-US" w:eastAsia="zh-CN" w:bidi="ar-SA"/>
        </w:rPr>
      </w:pPr>
    </w:p>
    <w:p w14:paraId="6EF8AF1E">
      <w:pPr>
        <w:rPr>
          <w:rFonts w:hint="eastAsia" w:ascii="宋体" w:hAnsi="宋体" w:eastAsia="宋体" w:cs="宋体"/>
          <w:b/>
          <w:bCs/>
          <w:snapToGrid w:val="0"/>
          <w:color w:val="auto"/>
          <w:kern w:val="0"/>
          <w:sz w:val="28"/>
          <w:szCs w:val="28"/>
          <w:highlight w:val="none"/>
          <w:lang w:val="en-US" w:eastAsia="zh-CN" w:bidi="ar-SA"/>
        </w:rPr>
      </w:pPr>
    </w:p>
    <w:p w14:paraId="5DEDF0EE">
      <w:pPr>
        <w:pStyle w:val="22"/>
        <w:rPr>
          <w:rFonts w:hint="eastAsia" w:ascii="宋体" w:hAnsi="宋体" w:eastAsia="宋体" w:cs="宋体"/>
          <w:b/>
          <w:bCs/>
          <w:snapToGrid w:val="0"/>
          <w:color w:val="auto"/>
          <w:kern w:val="0"/>
          <w:sz w:val="28"/>
          <w:szCs w:val="28"/>
          <w:highlight w:val="none"/>
          <w:lang w:val="en-US" w:eastAsia="zh-CN" w:bidi="ar-SA"/>
        </w:rPr>
      </w:pPr>
    </w:p>
    <w:p w14:paraId="68B919D6">
      <w:pPr>
        <w:pStyle w:val="23"/>
        <w:rPr>
          <w:rFonts w:hint="eastAsia" w:ascii="宋体" w:hAnsi="宋体" w:eastAsia="宋体" w:cs="宋体"/>
          <w:b/>
          <w:bCs/>
          <w:snapToGrid w:val="0"/>
          <w:color w:val="auto"/>
          <w:kern w:val="0"/>
          <w:sz w:val="28"/>
          <w:szCs w:val="28"/>
          <w:highlight w:val="none"/>
          <w:lang w:val="en-US" w:eastAsia="zh-CN" w:bidi="ar-SA"/>
        </w:rPr>
      </w:pPr>
    </w:p>
    <w:p w14:paraId="099301B9">
      <w:pPr>
        <w:rPr>
          <w:rFonts w:hint="eastAsia" w:ascii="宋体" w:hAnsi="宋体" w:eastAsia="宋体" w:cs="宋体"/>
          <w:b/>
          <w:bCs/>
          <w:snapToGrid w:val="0"/>
          <w:color w:val="auto"/>
          <w:kern w:val="0"/>
          <w:sz w:val="28"/>
          <w:szCs w:val="28"/>
          <w:highlight w:val="none"/>
          <w:lang w:val="en-US" w:eastAsia="zh-CN" w:bidi="ar-SA"/>
        </w:rPr>
      </w:pPr>
    </w:p>
    <w:p w14:paraId="7D21ABA6">
      <w:pPr>
        <w:pStyle w:val="22"/>
        <w:rPr>
          <w:rFonts w:hint="eastAsia" w:ascii="宋体" w:hAnsi="宋体" w:eastAsia="宋体" w:cs="宋体"/>
          <w:b/>
          <w:bCs/>
          <w:snapToGrid w:val="0"/>
          <w:color w:val="auto"/>
          <w:kern w:val="0"/>
          <w:sz w:val="28"/>
          <w:szCs w:val="28"/>
          <w:highlight w:val="none"/>
          <w:lang w:val="en-US" w:eastAsia="zh-CN" w:bidi="ar-SA"/>
        </w:rPr>
      </w:pPr>
    </w:p>
    <w:p w14:paraId="77BF9E67">
      <w:pPr>
        <w:pStyle w:val="23"/>
        <w:rPr>
          <w:rFonts w:hint="eastAsia" w:ascii="宋体" w:hAnsi="宋体" w:eastAsia="宋体" w:cs="宋体"/>
          <w:b/>
          <w:bCs/>
          <w:snapToGrid w:val="0"/>
          <w:color w:val="auto"/>
          <w:kern w:val="0"/>
          <w:sz w:val="28"/>
          <w:szCs w:val="28"/>
          <w:highlight w:val="none"/>
          <w:lang w:val="en-US" w:eastAsia="zh-CN" w:bidi="ar-SA"/>
        </w:rPr>
      </w:pPr>
    </w:p>
    <w:p w14:paraId="7A490F99">
      <w:pPr>
        <w:rPr>
          <w:rFonts w:hint="eastAsia" w:ascii="宋体" w:hAnsi="宋体" w:eastAsia="宋体" w:cs="宋体"/>
          <w:b/>
          <w:bCs/>
          <w:snapToGrid w:val="0"/>
          <w:color w:val="auto"/>
          <w:kern w:val="0"/>
          <w:sz w:val="28"/>
          <w:szCs w:val="28"/>
          <w:highlight w:val="none"/>
          <w:lang w:val="en-US" w:eastAsia="zh-CN" w:bidi="ar-SA"/>
        </w:rPr>
      </w:pPr>
    </w:p>
    <w:p w14:paraId="41F1326D">
      <w:pPr>
        <w:pStyle w:val="22"/>
        <w:rPr>
          <w:rFonts w:hint="eastAsia" w:ascii="宋体" w:hAnsi="宋体" w:eastAsia="宋体" w:cs="宋体"/>
          <w:b/>
          <w:bCs/>
          <w:snapToGrid w:val="0"/>
          <w:color w:val="auto"/>
          <w:kern w:val="0"/>
          <w:sz w:val="28"/>
          <w:szCs w:val="28"/>
          <w:highlight w:val="none"/>
          <w:lang w:val="en-US" w:eastAsia="zh-CN" w:bidi="ar-SA"/>
        </w:rPr>
      </w:pPr>
    </w:p>
    <w:p w14:paraId="6AF5192E">
      <w:pPr>
        <w:pStyle w:val="23"/>
        <w:rPr>
          <w:rFonts w:hint="eastAsia" w:ascii="宋体" w:hAnsi="宋体" w:eastAsia="宋体" w:cs="宋体"/>
          <w:b/>
          <w:bCs/>
          <w:snapToGrid w:val="0"/>
          <w:color w:val="auto"/>
          <w:kern w:val="0"/>
          <w:sz w:val="28"/>
          <w:szCs w:val="28"/>
          <w:highlight w:val="none"/>
          <w:lang w:val="en-US" w:eastAsia="zh-CN" w:bidi="ar-SA"/>
        </w:rPr>
      </w:pPr>
    </w:p>
    <w:p w14:paraId="6EF5FF9A">
      <w:pPr>
        <w:rPr>
          <w:rFonts w:hint="eastAsia" w:ascii="宋体" w:hAnsi="宋体" w:eastAsia="宋体" w:cs="宋体"/>
          <w:b/>
          <w:bCs/>
          <w:snapToGrid w:val="0"/>
          <w:color w:val="auto"/>
          <w:kern w:val="0"/>
          <w:sz w:val="28"/>
          <w:szCs w:val="28"/>
          <w:highlight w:val="none"/>
          <w:lang w:val="en-US" w:eastAsia="zh-CN" w:bidi="ar-SA"/>
        </w:rPr>
      </w:pPr>
    </w:p>
    <w:p w14:paraId="02FC29C0">
      <w:pPr>
        <w:pStyle w:val="22"/>
        <w:rPr>
          <w:rFonts w:hint="eastAsia" w:ascii="宋体" w:hAnsi="宋体" w:eastAsia="宋体" w:cs="宋体"/>
          <w:b/>
          <w:bCs/>
          <w:snapToGrid w:val="0"/>
          <w:color w:val="auto"/>
          <w:kern w:val="0"/>
          <w:sz w:val="28"/>
          <w:szCs w:val="28"/>
          <w:highlight w:val="none"/>
          <w:lang w:val="en-US" w:eastAsia="zh-CN" w:bidi="ar-SA"/>
        </w:rPr>
      </w:pPr>
    </w:p>
    <w:p w14:paraId="2A941348">
      <w:pPr>
        <w:pStyle w:val="23"/>
        <w:rPr>
          <w:rFonts w:hint="eastAsia" w:ascii="宋体" w:hAnsi="宋体" w:eastAsia="宋体" w:cs="宋体"/>
          <w:b/>
          <w:bCs/>
          <w:snapToGrid w:val="0"/>
          <w:color w:val="auto"/>
          <w:kern w:val="0"/>
          <w:sz w:val="28"/>
          <w:szCs w:val="28"/>
          <w:highlight w:val="none"/>
          <w:lang w:val="en-US" w:eastAsia="zh-CN" w:bidi="ar-SA"/>
        </w:rPr>
      </w:pPr>
    </w:p>
    <w:p w14:paraId="779301DD">
      <w:pPr>
        <w:rPr>
          <w:rFonts w:hint="eastAsia" w:ascii="宋体" w:hAnsi="宋体" w:eastAsia="宋体" w:cs="宋体"/>
          <w:b/>
          <w:bCs/>
          <w:snapToGrid w:val="0"/>
          <w:color w:val="auto"/>
          <w:kern w:val="0"/>
          <w:sz w:val="28"/>
          <w:szCs w:val="28"/>
          <w:highlight w:val="none"/>
          <w:lang w:val="en-US" w:eastAsia="zh-CN" w:bidi="ar-SA"/>
        </w:rPr>
      </w:pPr>
    </w:p>
    <w:p w14:paraId="0CCCB817">
      <w:pPr>
        <w:pStyle w:val="22"/>
        <w:rPr>
          <w:rFonts w:hint="eastAsia" w:ascii="宋体" w:hAnsi="宋体" w:eastAsia="宋体" w:cs="宋体"/>
          <w:b/>
          <w:bCs/>
          <w:snapToGrid w:val="0"/>
          <w:color w:val="auto"/>
          <w:kern w:val="0"/>
          <w:sz w:val="28"/>
          <w:szCs w:val="28"/>
          <w:highlight w:val="none"/>
          <w:lang w:val="en-US" w:eastAsia="zh-CN" w:bidi="ar-SA"/>
        </w:rPr>
      </w:pPr>
    </w:p>
    <w:p w14:paraId="65064DB3">
      <w:pPr>
        <w:pStyle w:val="23"/>
        <w:rPr>
          <w:rFonts w:hint="eastAsia" w:ascii="宋体" w:hAnsi="宋体" w:eastAsia="宋体" w:cs="宋体"/>
          <w:b/>
          <w:bCs/>
          <w:snapToGrid w:val="0"/>
          <w:color w:val="auto"/>
          <w:kern w:val="0"/>
          <w:sz w:val="28"/>
          <w:szCs w:val="28"/>
          <w:highlight w:val="none"/>
          <w:lang w:val="en-US" w:eastAsia="zh-CN" w:bidi="ar-SA"/>
        </w:rPr>
      </w:pPr>
    </w:p>
    <w:p w14:paraId="200C89C1">
      <w:pPr>
        <w:rPr>
          <w:rFonts w:hint="eastAsia" w:ascii="宋体" w:hAnsi="宋体" w:eastAsia="宋体" w:cs="宋体"/>
          <w:b/>
          <w:bCs/>
          <w:snapToGrid w:val="0"/>
          <w:color w:val="auto"/>
          <w:kern w:val="0"/>
          <w:sz w:val="28"/>
          <w:szCs w:val="28"/>
          <w:highlight w:val="none"/>
          <w:lang w:val="en-US" w:eastAsia="zh-CN" w:bidi="ar-SA"/>
        </w:rPr>
      </w:pPr>
    </w:p>
    <w:p w14:paraId="6C1B8267">
      <w:pPr>
        <w:pStyle w:val="22"/>
        <w:rPr>
          <w:rFonts w:hint="eastAsia" w:ascii="宋体" w:hAnsi="宋体" w:eastAsia="宋体" w:cs="宋体"/>
          <w:b/>
          <w:bCs/>
          <w:snapToGrid w:val="0"/>
          <w:color w:val="auto"/>
          <w:kern w:val="0"/>
          <w:sz w:val="28"/>
          <w:szCs w:val="28"/>
          <w:highlight w:val="none"/>
          <w:lang w:val="en-US" w:eastAsia="zh-CN" w:bidi="ar-SA"/>
        </w:rPr>
      </w:pPr>
    </w:p>
    <w:p w14:paraId="60015D59">
      <w:pPr>
        <w:pStyle w:val="23"/>
        <w:rPr>
          <w:rFonts w:hint="eastAsia" w:ascii="宋体" w:hAnsi="宋体" w:eastAsia="宋体" w:cs="宋体"/>
          <w:b/>
          <w:bCs/>
          <w:snapToGrid w:val="0"/>
          <w:color w:val="auto"/>
          <w:kern w:val="0"/>
          <w:sz w:val="28"/>
          <w:szCs w:val="28"/>
          <w:highlight w:val="none"/>
          <w:lang w:val="en-US" w:eastAsia="zh-CN" w:bidi="ar-SA"/>
        </w:rPr>
      </w:pPr>
    </w:p>
    <w:p w14:paraId="06BCB7D2">
      <w:pPr>
        <w:rPr>
          <w:rFonts w:hint="eastAsia"/>
          <w:lang w:val="en-US" w:eastAsia="zh-CN"/>
        </w:rPr>
      </w:pPr>
    </w:p>
    <w:p w14:paraId="55DD634B">
      <w:pPr>
        <w:pStyle w:val="2"/>
        <w:widowControl/>
        <w:numPr>
          <w:ilvl w:val="0"/>
          <w:numId w:val="60"/>
        </w:numPr>
        <w:tabs>
          <w:tab w:val="left" w:pos="1043"/>
        </w:tabs>
        <w:topLinePunct w:val="0"/>
        <w:ind w:left="0" w:leftChars="0" w:firstLine="482" w:firstLineChars="200"/>
        <w:rPr>
          <w:b/>
          <w:highlight w:val="none"/>
        </w:rPr>
      </w:pPr>
      <w:r>
        <w:rPr>
          <w:highlight w:val="none"/>
        </w:rPr>
        <w:t>投标人承诺函</w:t>
      </w:r>
    </w:p>
    <w:p w14:paraId="12243DF4">
      <w:pPr>
        <w:pStyle w:val="51"/>
        <w:widowControl/>
        <w:ind w:left="0" w:leftChars="0" w:firstLine="0" w:firstLineChars="0"/>
        <w:outlineLvl w:val="9"/>
      </w:pPr>
      <w:bookmarkStart w:id="90" w:name="_Toc6697"/>
      <w:r>
        <w:rPr>
          <w:highlight w:val="none"/>
        </w:rPr>
        <w:t>基本资格条件承诺函</w:t>
      </w:r>
      <w:bookmarkEnd w:id="90"/>
    </w:p>
    <w:p w14:paraId="646936B6">
      <w:pPr>
        <w:pStyle w:val="12"/>
        <w:widowControl/>
        <w:ind w:left="0" w:leftChars="0" w:firstLine="0" w:firstLineChars="0"/>
        <w:rPr>
          <w:color w:val="auto"/>
          <w:highlight w:val="none"/>
        </w:rPr>
      </w:pPr>
      <w:r>
        <w:rPr>
          <w:color w:val="auto"/>
          <w:highlight w:val="none"/>
        </w:rPr>
        <w:t>（招标人名称）：</w:t>
      </w:r>
    </w:p>
    <w:p w14:paraId="7A1956F6">
      <w:pPr>
        <w:pStyle w:val="12"/>
        <w:widowControl/>
        <w:ind w:left="0" w:leftChars="0" w:firstLine="480" w:firstLineChars="200"/>
        <w:rPr>
          <w:color w:val="auto"/>
          <w:highlight w:val="none"/>
        </w:rPr>
      </w:pPr>
      <w:r>
        <w:rPr>
          <w:color w:val="auto"/>
          <w:highlight w:val="none"/>
        </w:rPr>
        <w:t>我方作为项目名称：  （项目编号：   ）的投标人，在此郑重承诺：</w:t>
      </w:r>
    </w:p>
    <w:p w14:paraId="1A0FEE92">
      <w:pPr>
        <w:pStyle w:val="12"/>
        <w:widowControl/>
        <w:numPr>
          <w:ilvl w:val="0"/>
          <w:numId w:val="61"/>
        </w:numPr>
        <w:tabs>
          <w:tab w:val="left" w:pos="840"/>
        </w:tabs>
        <w:topLinePunct w:val="0"/>
        <w:ind w:left="0" w:leftChars="0" w:firstLine="480" w:firstLineChars="200"/>
        <w:rPr>
          <w:rFonts w:hint="eastAsia" w:ascii="宋体" w:hAnsi="宋体" w:eastAsia="宋体" w:cs="宋体"/>
          <w:b w:val="0"/>
          <w:color w:val="auto"/>
          <w:highlight w:val="none"/>
        </w:rPr>
      </w:pPr>
      <w:r>
        <w:rPr>
          <w:color w:val="auto"/>
          <w:highlight w:val="none"/>
        </w:rPr>
        <w:t>投标人应具有良好的商业信誉和健全的财务会计制度，具有依法缴纳税收和社会保障金的良好记录，参加本项目采购活动前三年内无重大违法活动记录。</w:t>
      </w:r>
    </w:p>
    <w:p w14:paraId="1FF129E4">
      <w:pPr>
        <w:pStyle w:val="12"/>
        <w:widowControl/>
        <w:numPr>
          <w:ilvl w:val="0"/>
          <w:numId w:val="61"/>
        </w:numPr>
        <w:tabs>
          <w:tab w:val="left" w:pos="840"/>
        </w:tabs>
        <w:topLinePunct w:val="0"/>
        <w:ind w:left="0" w:leftChars="0" w:firstLine="480" w:firstLineChars="200"/>
        <w:rPr>
          <w:rFonts w:hint="eastAsia" w:ascii="宋体" w:hAnsi="宋体" w:eastAsia="宋体" w:cs="宋体"/>
          <w:b w:val="0"/>
          <w:color w:val="auto"/>
          <w:highlight w:val="none"/>
        </w:rPr>
      </w:pPr>
      <w:r>
        <w:rPr>
          <w:color w:val="auto"/>
          <w:highlight w:val="none"/>
        </w:rPr>
        <w:t>我方未列入列入国家企业信用信息公示系统经营异常名录、严重违法失信名单（黑名单），也未列入信用中国经营异常、严重失信主体名单，未被列入中国执行信息公开网失信被执行人名单。</w:t>
      </w:r>
    </w:p>
    <w:p w14:paraId="0385F454">
      <w:pPr>
        <w:pStyle w:val="12"/>
        <w:widowControl/>
        <w:numPr>
          <w:ilvl w:val="0"/>
          <w:numId w:val="61"/>
        </w:numPr>
        <w:tabs>
          <w:tab w:val="left" w:pos="840"/>
        </w:tabs>
        <w:topLinePunct w:val="0"/>
        <w:ind w:left="0" w:leftChars="0" w:firstLine="480" w:firstLineChars="200"/>
        <w:rPr>
          <w:rFonts w:hint="eastAsia" w:ascii="宋体" w:hAnsi="宋体" w:eastAsia="宋体" w:cs="宋体"/>
          <w:b w:val="0"/>
          <w:color w:val="auto"/>
          <w:highlight w:val="none"/>
        </w:rPr>
      </w:pPr>
      <w:r>
        <w:rPr>
          <w:color w:val="auto"/>
          <w:highlight w:val="none"/>
        </w:rPr>
        <w:t>我方在采购项目评审（评标）环节结束后，随时接受招标人、招标代理机构的检查验证，配合提供相关证明材料，如有不实，我方将无条件地退出本项目的采购活动。</w:t>
      </w:r>
    </w:p>
    <w:p w14:paraId="443311C8">
      <w:pPr>
        <w:pStyle w:val="12"/>
        <w:widowControl/>
        <w:ind w:left="0" w:leftChars="0" w:firstLine="480" w:firstLineChars="200"/>
        <w:rPr>
          <w:color w:val="auto"/>
          <w:highlight w:val="none"/>
        </w:rPr>
      </w:pPr>
      <w:r>
        <w:rPr>
          <w:color w:val="auto"/>
          <w:highlight w:val="none"/>
        </w:rPr>
        <w:t>我方对以上承诺负全部法律责任。特此承诺。</w:t>
      </w:r>
    </w:p>
    <w:p w14:paraId="2E6E8E58">
      <w:pPr>
        <w:pageBreakBefore w:val="0"/>
        <w:kinsoku/>
        <w:wordWrap w:val="0"/>
        <w:overflowPunct/>
        <w:topLinePunct/>
        <w:autoSpaceDE/>
        <w:autoSpaceDN/>
        <w:bidi w:val="0"/>
        <w:adjustRightInd w:val="0"/>
        <w:spacing w:after="120" w:afterAutospacing="0" w:line="360" w:lineRule="auto"/>
        <w:ind w:firstLine="48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lang w:val="en-US"/>
        </w:rPr>
        <w:t>承诺单位</w:t>
      </w:r>
      <w:r>
        <w:rPr>
          <w:rFonts w:hint="eastAsia" w:ascii="Times New Roman" w:hAnsi="Times New Roman" w:eastAsia="宋体" w:cs="Times New Roman"/>
          <w:color w:val="auto"/>
          <w:sz w:val="24"/>
          <w:szCs w:val="28"/>
          <w:highlight w:val="none"/>
        </w:rPr>
        <w:t>名称：（</w:t>
      </w:r>
      <w:r>
        <w:rPr>
          <w:rFonts w:hint="eastAsia" w:ascii="Times New Roman" w:hAnsi="Times New Roman" w:eastAsia="宋体" w:cs="Times New Roman"/>
          <w:color w:val="auto"/>
          <w:sz w:val="24"/>
          <w:szCs w:val="28"/>
          <w:highlight w:val="none"/>
          <w:lang w:val="en-US"/>
        </w:rPr>
        <w:t>全称并加盖公章</w:t>
      </w:r>
      <w:r>
        <w:rPr>
          <w:rFonts w:hint="eastAsia" w:ascii="Times New Roman" w:hAnsi="Times New Roman" w:eastAsia="宋体" w:cs="Times New Roman"/>
          <w:color w:val="auto"/>
          <w:sz w:val="24"/>
          <w:szCs w:val="28"/>
          <w:highlight w:val="none"/>
        </w:rPr>
        <w:t>）</w:t>
      </w:r>
    </w:p>
    <w:p w14:paraId="10C043D3">
      <w:pPr>
        <w:pageBreakBefore w:val="0"/>
        <w:kinsoku/>
        <w:wordWrap w:val="0"/>
        <w:overflowPunct/>
        <w:topLinePunct/>
        <w:autoSpaceDE/>
        <w:autoSpaceDN/>
        <w:bidi w:val="0"/>
        <w:adjustRightInd w:val="0"/>
        <w:spacing w:after="120" w:afterAutospacing="0" w:line="360" w:lineRule="auto"/>
        <w:ind w:firstLine="48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法定代表人或授权代表：（签字或盖章）</w:t>
      </w:r>
    </w:p>
    <w:p w14:paraId="63AA1B5D">
      <w:pPr>
        <w:pageBreakBefore w:val="0"/>
        <w:kinsoku/>
        <w:wordWrap w:val="0"/>
        <w:overflowPunct/>
        <w:topLinePunct/>
        <w:autoSpaceDE/>
        <w:autoSpaceDN/>
        <w:bidi w:val="0"/>
        <w:adjustRightInd w:val="0"/>
        <w:spacing w:after="120" w:afterAutospacing="0" w:line="360" w:lineRule="auto"/>
        <w:ind w:firstLine="48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日期：年月日</w:t>
      </w:r>
    </w:p>
    <w:bookmarkEnd w:id="84"/>
    <w:bookmarkEnd w:id="85"/>
    <w:bookmarkEnd w:id="86"/>
    <w:bookmarkEnd w:id="87"/>
    <w:bookmarkEnd w:id="88"/>
    <w:bookmarkEnd w:id="89"/>
    <w:p w14:paraId="69383AF6">
      <w:pPr>
        <w:rPr>
          <w:highlight w:val="none"/>
        </w:rPr>
      </w:pPr>
      <w:bookmarkStart w:id="91" w:name="_Toc6657"/>
      <w:bookmarkStart w:id="92" w:name="_Toc4261"/>
      <w:bookmarkStart w:id="93" w:name="_Toc5259"/>
      <w:r>
        <w:rPr>
          <w:highlight w:val="none"/>
        </w:rPr>
        <w:br w:type="page"/>
      </w:r>
    </w:p>
    <w:p w14:paraId="2DDF5586">
      <w:pPr>
        <w:pStyle w:val="2"/>
        <w:widowControl/>
        <w:numPr>
          <w:ilvl w:val="0"/>
          <w:numId w:val="60"/>
        </w:numPr>
        <w:tabs>
          <w:tab w:val="left" w:pos="1043"/>
        </w:tabs>
        <w:topLinePunct w:val="0"/>
        <w:ind w:left="0" w:leftChars="0" w:firstLine="482" w:firstLineChars="200"/>
        <w:rPr>
          <w:b/>
          <w:highlight w:val="none"/>
        </w:rPr>
      </w:pPr>
      <w:r>
        <w:rPr>
          <w:highlight w:val="none"/>
        </w:rPr>
        <w:t>投标人信用网页截图（如有）</w:t>
      </w:r>
    </w:p>
    <w:p w14:paraId="15C2A5A3">
      <w:pPr>
        <w:pStyle w:val="12"/>
        <w:widowControl/>
        <w:ind w:left="0" w:leftChars="0" w:firstLine="480" w:firstLineChars="200"/>
        <w:rPr>
          <w:color w:val="auto"/>
          <w:highlight w:val="none"/>
        </w:rPr>
      </w:pPr>
      <w:r>
        <w:rPr>
          <w:color w:val="auto"/>
          <w:highlight w:val="none"/>
        </w:rPr>
        <w:t>投标人不得列入国家企业信用信息公示系统经营异常名录、严重违法失信名单（黑名单），不得列入信用中国经营异常、严重失信主体名单，不得列入中国执行信息公开网失信被执行人名单。</w:t>
      </w:r>
    </w:p>
    <w:p w14:paraId="39BAA7CC">
      <w:pPr>
        <w:rPr>
          <w:highlight w:val="none"/>
        </w:rPr>
      </w:pPr>
      <w:r>
        <w:rPr>
          <w:highlight w:val="none"/>
        </w:rPr>
        <w:br w:type="page"/>
      </w:r>
    </w:p>
    <w:p w14:paraId="5D92FA2D">
      <w:pPr>
        <w:pStyle w:val="2"/>
        <w:widowControl/>
        <w:numPr>
          <w:ilvl w:val="0"/>
          <w:numId w:val="60"/>
        </w:numPr>
        <w:tabs>
          <w:tab w:val="left" w:pos="1043"/>
        </w:tabs>
        <w:topLinePunct w:val="0"/>
        <w:ind w:left="0" w:leftChars="0" w:firstLine="482" w:firstLineChars="200"/>
        <w:rPr>
          <w:b/>
          <w:highlight w:val="none"/>
        </w:rPr>
      </w:pPr>
      <w:r>
        <w:rPr>
          <w:highlight w:val="none"/>
        </w:rPr>
        <w:t>投标其他书面声明</w:t>
      </w:r>
    </w:p>
    <w:p w14:paraId="724BC20B">
      <w:pPr>
        <w:pStyle w:val="14"/>
        <w:rPr>
          <w:rFonts w:hint="eastAsia" w:ascii="宋体" w:hAnsi="宋体" w:eastAsia="宋体" w:cs="宋体"/>
          <w:color w:val="auto"/>
          <w:sz w:val="28"/>
          <w:szCs w:val="28"/>
          <w:highlight w:val="none"/>
        </w:rPr>
      </w:pPr>
    </w:p>
    <w:p w14:paraId="6142FB5A">
      <w:pPr>
        <w:pStyle w:val="3"/>
        <w:widowControl/>
        <w:numPr>
          <w:ilvl w:val="0"/>
          <w:numId w:val="62"/>
        </w:numPr>
        <w:tabs>
          <w:tab w:val="left" w:pos="1284"/>
        </w:tabs>
        <w:topLinePunct w:val="0"/>
        <w:ind w:left="0" w:leftChars="0" w:firstLine="482" w:firstLineChars="200"/>
        <w:rPr>
          <w:rFonts w:hint="eastAsia" w:ascii="宋体" w:hAnsi="宋体" w:eastAsia="宋体" w:cs="宋体"/>
          <w:b/>
          <w:highlight w:val="none"/>
        </w:rPr>
      </w:pPr>
      <w:r>
        <w:rPr>
          <w:highlight w:val="none"/>
        </w:rPr>
        <w:t>非联合体投标书面声明</w:t>
      </w:r>
    </w:p>
    <w:p w14:paraId="3CB92D4B">
      <w:pPr>
        <w:pStyle w:val="12"/>
        <w:widowControl/>
        <w:ind w:left="0" w:leftChars="0" w:firstLine="0" w:firstLineChars="0"/>
        <w:rPr>
          <w:color w:val="auto"/>
          <w:highlight w:val="none"/>
          <w:u w:val="single"/>
        </w:rPr>
      </w:pPr>
      <w:r>
        <w:rPr>
          <w:color w:val="auto"/>
          <w:highlight w:val="none"/>
        </w:rPr>
        <w:t>致：</w:t>
      </w:r>
      <w:r>
        <w:rPr>
          <w:color w:val="auto"/>
          <w:highlight w:val="none"/>
          <w:u w:val="single"/>
        </w:rPr>
        <w:t>（招标人名称）</w:t>
      </w:r>
    </w:p>
    <w:p w14:paraId="2BB26461">
      <w:pPr>
        <w:pStyle w:val="12"/>
        <w:widowControl/>
        <w:ind w:left="0" w:leftChars="0" w:firstLine="480" w:firstLineChars="200"/>
        <w:rPr>
          <w:color w:val="auto"/>
          <w:highlight w:val="none"/>
        </w:rPr>
      </w:pPr>
      <w:r>
        <w:rPr>
          <w:color w:val="auto"/>
          <w:highlight w:val="none"/>
        </w:rPr>
        <w:t>我公司为有独立承担民事责任的能力且具备向招标人提供相关服务的企业法人，我公司独立参加此次</w:t>
      </w:r>
      <w:r>
        <w:rPr>
          <w:color w:val="auto"/>
          <w:highlight w:val="none"/>
          <w:u w:val="single"/>
        </w:rPr>
        <w:t xml:space="preserve">(采购项目名称) </w:t>
      </w:r>
      <w:r>
        <w:rPr>
          <w:color w:val="auto"/>
          <w:highlight w:val="none"/>
        </w:rPr>
        <w:t>的投标，未与其他单位组成联合体。</w:t>
      </w:r>
    </w:p>
    <w:p w14:paraId="443F65EA">
      <w:pPr>
        <w:pStyle w:val="12"/>
        <w:widowControl/>
        <w:ind w:left="0" w:leftChars="0" w:firstLine="480" w:firstLineChars="200"/>
        <w:rPr>
          <w:color w:val="auto"/>
          <w:highlight w:val="none"/>
        </w:rPr>
      </w:pPr>
      <w:r>
        <w:rPr>
          <w:color w:val="auto"/>
          <w:highlight w:val="none"/>
        </w:rPr>
        <w:t>特此声明。</w:t>
      </w:r>
    </w:p>
    <w:p w14:paraId="0D37192B">
      <w:pPr>
        <w:adjustRightInd w:val="0"/>
        <w:snapToGrid w:val="0"/>
        <w:spacing w:line="360" w:lineRule="auto"/>
        <w:ind w:left="4788" w:leftChars="2280"/>
        <w:rPr>
          <w:rFonts w:hint="eastAsia" w:ascii="宋体" w:hAnsi="宋体" w:eastAsia="宋体" w:cs="宋体"/>
          <w:color w:val="auto"/>
          <w:sz w:val="28"/>
          <w:szCs w:val="28"/>
          <w:highlight w:val="none"/>
          <w:lang w:eastAsia="zh-CN"/>
        </w:rPr>
      </w:pPr>
    </w:p>
    <w:p w14:paraId="29D46B59">
      <w:pPr>
        <w:spacing w:line="280" w:lineRule="auto"/>
        <w:rPr>
          <w:rFonts w:hint="eastAsia" w:ascii="宋体" w:hAnsi="宋体" w:eastAsia="宋体" w:cs="宋体"/>
          <w:color w:val="auto"/>
          <w:sz w:val="28"/>
          <w:szCs w:val="28"/>
          <w:highlight w:val="none"/>
        </w:rPr>
      </w:pPr>
    </w:p>
    <w:p w14:paraId="30EBCC5D">
      <w:pPr>
        <w:spacing w:line="280" w:lineRule="auto"/>
        <w:rPr>
          <w:rFonts w:hint="eastAsia" w:ascii="宋体" w:hAnsi="宋体" w:eastAsia="宋体" w:cs="宋体"/>
          <w:color w:val="auto"/>
          <w:sz w:val="28"/>
          <w:szCs w:val="28"/>
          <w:highlight w:val="none"/>
        </w:rPr>
      </w:pPr>
    </w:p>
    <w:p w14:paraId="42FB884B">
      <w:pPr>
        <w:spacing w:line="280" w:lineRule="auto"/>
        <w:rPr>
          <w:rFonts w:hint="eastAsia" w:ascii="宋体" w:hAnsi="宋体" w:eastAsia="宋体" w:cs="宋体"/>
          <w:color w:val="auto"/>
          <w:sz w:val="28"/>
          <w:szCs w:val="28"/>
          <w:highlight w:val="none"/>
        </w:rPr>
      </w:pPr>
    </w:p>
    <w:p w14:paraId="23E09D23">
      <w:pPr>
        <w:spacing w:line="280" w:lineRule="auto"/>
        <w:rPr>
          <w:rFonts w:hint="eastAsia" w:ascii="宋体" w:hAnsi="宋体" w:eastAsia="宋体" w:cs="宋体"/>
          <w:color w:val="auto"/>
          <w:sz w:val="28"/>
          <w:szCs w:val="28"/>
          <w:highlight w:val="none"/>
        </w:rPr>
      </w:pPr>
    </w:p>
    <w:p w14:paraId="6BB00E79">
      <w:pPr>
        <w:adjustRightInd w:val="0"/>
        <w:snapToGrid w:val="0"/>
        <w:spacing w:after="120" w:afterAutospacing="0" w:line="360" w:lineRule="auto"/>
        <w:ind w:firstLine="480" w:firstLineChars="200"/>
        <w:jc w:val="left"/>
        <w:rPr>
          <w:rFonts w:hint="eastAsia"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lang w:eastAsia="zh-CN"/>
        </w:rPr>
        <w:t>投标人</w:t>
      </w:r>
      <w:r>
        <w:rPr>
          <w:rFonts w:hint="eastAsia" w:ascii="Times New Roman" w:hAnsi="Times New Roman" w:eastAsia="宋体" w:cs="Times New Roman"/>
          <w:color w:val="auto"/>
          <w:kern w:val="0"/>
          <w:sz w:val="24"/>
          <w:szCs w:val="28"/>
          <w:highlight w:val="none"/>
        </w:rPr>
        <w:t>：</w:t>
      </w:r>
      <w:r>
        <w:rPr>
          <w:rFonts w:hint="eastAsia" w:ascii="Times New Roman" w:hAnsi="Times New Roman" w:eastAsia="宋体" w:cs="Times New Roman"/>
          <w:color w:val="auto"/>
          <w:sz w:val="24"/>
          <w:szCs w:val="28"/>
          <w:highlight w:val="none"/>
        </w:rPr>
        <w:t>（全称并加盖公章）</w:t>
      </w:r>
    </w:p>
    <w:p w14:paraId="4823C444">
      <w:pPr>
        <w:adjustRightInd w:val="0"/>
        <w:snapToGrid w:val="0"/>
        <w:spacing w:after="120" w:afterAutospacing="0" w:line="360" w:lineRule="auto"/>
        <w:ind w:firstLine="480" w:firstLineChars="200"/>
        <w:jc w:val="left"/>
        <w:rPr>
          <w:rFonts w:hint="eastAsia"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rPr>
        <w:t>法定代表人或授权代表：（签字或盖章）</w:t>
      </w:r>
    </w:p>
    <w:p w14:paraId="38BE6695">
      <w:pPr>
        <w:adjustRightInd w:val="0"/>
        <w:snapToGrid w:val="0"/>
        <w:spacing w:after="120" w:afterAutospacing="0" w:line="360" w:lineRule="auto"/>
        <w:ind w:firstLine="480" w:firstLineChars="200"/>
        <w:jc w:val="left"/>
        <w:rPr>
          <w:rFonts w:hint="eastAsia"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rPr>
        <w:t>日期：　　年　月　日</w:t>
      </w:r>
    </w:p>
    <w:p w14:paraId="79EE4732">
      <w:pPr>
        <w:pStyle w:val="42"/>
        <w:ind w:firstLine="3640" w:firstLineChars="1300"/>
        <w:rPr>
          <w:rFonts w:hint="eastAsia" w:ascii="宋体" w:hAnsi="宋体" w:eastAsia="宋体" w:cs="宋体"/>
          <w:color w:val="auto"/>
          <w:sz w:val="28"/>
          <w:szCs w:val="28"/>
          <w:highlight w:val="none"/>
          <w:u w:val="single"/>
        </w:rPr>
      </w:pPr>
    </w:p>
    <w:p w14:paraId="34C44341">
      <w:pPr>
        <w:pStyle w:val="14"/>
        <w:rPr>
          <w:rFonts w:hint="eastAsia" w:ascii="宋体" w:hAnsi="宋体" w:eastAsia="宋体" w:cs="宋体"/>
          <w:color w:val="auto"/>
          <w:sz w:val="28"/>
          <w:szCs w:val="28"/>
          <w:highlight w:val="none"/>
        </w:rPr>
      </w:pPr>
    </w:p>
    <w:p w14:paraId="59778A56">
      <w:pPr>
        <w:pStyle w:val="14"/>
        <w:rPr>
          <w:rFonts w:hint="eastAsia" w:ascii="宋体" w:hAnsi="宋体" w:eastAsia="宋体" w:cs="宋体"/>
          <w:color w:val="auto"/>
          <w:sz w:val="28"/>
          <w:szCs w:val="28"/>
          <w:highlight w:val="none"/>
        </w:rPr>
      </w:pPr>
    </w:p>
    <w:p w14:paraId="6B818908">
      <w:pPr>
        <w:pStyle w:val="14"/>
        <w:rPr>
          <w:rFonts w:hint="eastAsia" w:ascii="宋体" w:hAnsi="宋体" w:eastAsia="宋体" w:cs="宋体"/>
          <w:color w:val="auto"/>
          <w:sz w:val="28"/>
          <w:szCs w:val="28"/>
          <w:highlight w:val="none"/>
        </w:rPr>
      </w:pPr>
    </w:p>
    <w:p w14:paraId="7258F8E4">
      <w:pPr>
        <w:pStyle w:val="14"/>
        <w:rPr>
          <w:rFonts w:hint="eastAsia" w:ascii="宋体" w:hAnsi="宋体" w:eastAsia="宋体" w:cs="宋体"/>
          <w:color w:val="auto"/>
          <w:sz w:val="28"/>
          <w:szCs w:val="28"/>
          <w:highlight w:val="none"/>
        </w:rPr>
      </w:pPr>
    </w:p>
    <w:p w14:paraId="5F5DD085">
      <w:pPr>
        <w:pStyle w:val="14"/>
        <w:rPr>
          <w:rFonts w:hint="eastAsia" w:ascii="宋体" w:hAnsi="宋体" w:eastAsia="宋体" w:cs="宋体"/>
          <w:color w:val="auto"/>
          <w:sz w:val="28"/>
          <w:szCs w:val="28"/>
          <w:highlight w:val="none"/>
        </w:rPr>
      </w:pPr>
    </w:p>
    <w:p w14:paraId="2CDBBFBA">
      <w:pPr>
        <w:pStyle w:val="14"/>
        <w:rPr>
          <w:rFonts w:hint="eastAsia" w:ascii="宋体" w:hAnsi="宋体" w:eastAsia="宋体" w:cs="宋体"/>
          <w:color w:val="auto"/>
          <w:sz w:val="28"/>
          <w:szCs w:val="28"/>
          <w:highlight w:val="none"/>
        </w:rPr>
      </w:pPr>
    </w:p>
    <w:p w14:paraId="0490FAB9">
      <w:pPr>
        <w:pStyle w:val="14"/>
        <w:rPr>
          <w:rFonts w:hint="eastAsia" w:ascii="宋体" w:hAnsi="宋体" w:eastAsia="宋体" w:cs="宋体"/>
          <w:color w:val="auto"/>
          <w:sz w:val="28"/>
          <w:szCs w:val="28"/>
          <w:highlight w:val="none"/>
        </w:rPr>
      </w:pPr>
    </w:p>
    <w:p w14:paraId="1AB0ED99">
      <w:pPr>
        <w:pStyle w:val="14"/>
        <w:rPr>
          <w:rFonts w:hint="eastAsia" w:ascii="宋体" w:hAnsi="宋体" w:eastAsia="宋体" w:cs="宋体"/>
          <w:color w:val="auto"/>
          <w:sz w:val="28"/>
          <w:szCs w:val="28"/>
          <w:highlight w:val="none"/>
        </w:rPr>
      </w:pPr>
    </w:p>
    <w:p w14:paraId="5335225E">
      <w:pPr>
        <w:pStyle w:val="14"/>
        <w:rPr>
          <w:rFonts w:hint="eastAsia" w:ascii="宋体" w:hAnsi="宋体" w:eastAsia="宋体" w:cs="宋体"/>
          <w:color w:val="auto"/>
          <w:sz w:val="28"/>
          <w:szCs w:val="28"/>
          <w:highlight w:val="none"/>
        </w:rPr>
      </w:pPr>
    </w:p>
    <w:p w14:paraId="276970BB">
      <w:pPr>
        <w:pStyle w:val="14"/>
        <w:rPr>
          <w:rFonts w:hint="eastAsia" w:ascii="宋体" w:hAnsi="宋体" w:eastAsia="宋体" w:cs="宋体"/>
          <w:color w:val="auto"/>
          <w:sz w:val="28"/>
          <w:szCs w:val="28"/>
          <w:highlight w:val="none"/>
        </w:rPr>
      </w:pPr>
    </w:p>
    <w:p w14:paraId="244E2A47">
      <w:pPr>
        <w:pStyle w:val="14"/>
        <w:rPr>
          <w:rFonts w:hint="eastAsia" w:ascii="宋体" w:hAnsi="宋体" w:eastAsia="宋体" w:cs="宋体"/>
          <w:color w:val="auto"/>
          <w:sz w:val="28"/>
          <w:szCs w:val="28"/>
          <w:highlight w:val="none"/>
        </w:rPr>
      </w:pPr>
    </w:p>
    <w:p w14:paraId="74DB8FA3">
      <w:pPr>
        <w:pStyle w:val="3"/>
        <w:widowControl/>
        <w:numPr>
          <w:ilvl w:val="0"/>
          <w:numId w:val="62"/>
        </w:numPr>
        <w:tabs>
          <w:tab w:val="left" w:pos="1284"/>
        </w:tabs>
        <w:topLinePunct w:val="0"/>
        <w:ind w:left="0" w:leftChars="0" w:firstLine="482" w:firstLineChars="200"/>
        <w:rPr>
          <w:rFonts w:hint="eastAsia" w:ascii="宋体" w:hAnsi="宋体" w:eastAsia="宋体" w:cs="宋体"/>
          <w:b/>
          <w:highlight w:val="none"/>
        </w:rPr>
      </w:pPr>
      <w:r>
        <w:rPr>
          <w:highlight w:val="none"/>
        </w:rPr>
        <w:t>投标人控股管理关系声明</w:t>
      </w:r>
    </w:p>
    <w:p w14:paraId="5D778E97">
      <w:pPr>
        <w:rPr>
          <w:rFonts w:hint="eastAsia" w:ascii="宋体" w:hAnsi="宋体" w:eastAsia="宋体" w:cs="宋体"/>
          <w:color w:val="auto"/>
          <w:sz w:val="24"/>
          <w:highlight w:val="none"/>
        </w:rPr>
      </w:pPr>
    </w:p>
    <w:p w14:paraId="719FFD6B">
      <w:pPr>
        <w:pStyle w:val="12"/>
        <w:widowControl/>
        <w:ind w:left="0" w:leftChars="0" w:firstLine="0" w:firstLineChars="0"/>
        <w:rPr>
          <w:color w:val="auto"/>
          <w:highlight w:val="none"/>
        </w:rPr>
      </w:pPr>
      <w:r>
        <w:rPr>
          <w:color w:val="auto"/>
          <w:highlight w:val="none"/>
        </w:rPr>
        <w:t>致：</w:t>
      </w:r>
      <w:r>
        <w:rPr>
          <w:color w:val="auto"/>
          <w:highlight w:val="none"/>
          <w:u w:val="single"/>
        </w:rPr>
        <w:t>（招标人名称）</w:t>
      </w:r>
    </w:p>
    <w:p w14:paraId="0F4B06C7">
      <w:pPr>
        <w:pStyle w:val="12"/>
        <w:widowControl/>
        <w:ind w:left="0" w:leftChars="0" w:firstLine="480" w:firstLineChars="200"/>
        <w:rPr>
          <w:color w:val="auto"/>
          <w:highlight w:val="none"/>
        </w:rPr>
      </w:pPr>
      <w:r>
        <w:rPr>
          <w:color w:val="auto"/>
          <w:highlight w:val="none"/>
        </w:rPr>
        <w:t>与我方的法定代表人（单位负责人）为同一人的企业如下：</w:t>
      </w:r>
    </w:p>
    <w:p w14:paraId="023E1D26">
      <w:pPr>
        <w:pStyle w:val="12"/>
        <w:widowControl/>
        <w:ind w:left="0" w:leftChars="0" w:firstLine="480" w:firstLineChars="200"/>
        <w:rPr>
          <w:color w:val="auto"/>
          <w:highlight w:val="none"/>
        </w:rPr>
      </w:pPr>
      <w:r>
        <w:rPr>
          <w:color w:val="auto"/>
          <w:highlight w:val="none"/>
        </w:rPr>
        <w:t>我方的控股股东如下：</w:t>
      </w:r>
    </w:p>
    <w:p w14:paraId="299C65A4">
      <w:pPr>
        <w:pStyle w:val="12"/>
        <w:widowControl/>
        <w:ind w:left="0" w:leftChars="0" w:firstLine="480" w:firstLineChars="200"/>
        <w:rPr>
          <w:color w:val="auto"/>
          <w:highlight w:val="none"/>
        </w:rPr>
      </w:pPr>
      <w:r>
        <w:rPr>
          <w:color w:val="auto"/>
          <w:highlight w:val="none"/>
        </w:rPr>
        <w:t>我方直接控股的企业如下：</w:t>
      </w:r>
    </w:p>
    <w:p w14:paraId="325C08DD">
      <w:pPr>
        <w:pStyle w:val="12"/>
        <w:widowControl/>
        <w:ind w:left="0" w:leftChars="0" w:firstLine="480" w:firstLineChars="200"/>
        <w:rPr>
          <w:color w:val="auto"/>
          <w:highlight w:val="none"/>
        </w:rPr>
      </w:pPr>
      <w:r>
        <w:rPr>
          <w:color w:val="auto"/>
          <w:highlight w:val="none"/>
        </w:rPr>
        <w:t>与我方存在管理、被管理关系的单位名称如下：</w:t>
      </w:r>
    </w:p>
    <w:p w14:paraId="6CB3297D">
      <w:pPr>
        <w:ind w:firstLine="426"/>
        <w:rPr>
          <w:rFonts w:hint="eastAsia" w:ascii="宋体" w:hAnsi="宋体" w:eastAsia="宋体" w:cs="宋体"/>
          <w:color w:val="auto"/>
          <w:sz w:val="28"/>
          <w:szCs w:val="28"/>
          <w:highlight w:val="none"/>
        </w:rPr>
      </w:pPr>
    </w:p>
    <w:p w14:paraId="0BA615EE">
      <w:pPr>
        <w:spacing w:before="120" w:after="120" w:afterAutospacing="0" w:line="360" w:lineRule="auto"/>
        <w:ind w:firstLine="480" w:firstLineChars="200"/>
        <w:rPr>
          <w:rFonts w:hint="eastAsia" w:ascii="Times New Roman" w:hAnsi="Times New Roman" w:eastAsia="宋体" w:cs="Times New Roman"/>
          <w:color w:val="auto"/>
          <w:sz w:val="24"/>
          <w:szCs w:val="28"/>
          <w:highlight w:val="none"/>
          <w:u w:val="single"/>
          <w:lang w:eastAsia="zh-CN"/>
        </w:rPr>
      </w:pP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w:t>
      </w:r>
      <w:r>
        <w:rPr>
          <w:rFonts w:hint="eastAsia" w:ascii="Times New Roman" w:hAnsi="Times New Roman" w:eastAsia="宋体" w:cs="Times New Roman"/>
          <w:color w:val="auto"/>
          <w:sz w:val="24"/>
          <w:szCs w:val="28"/>
          <w:highlight w:val="none"/>
          <w:lang w:val="en-US" w:eastAsia="zh-CN"/>
        </w:rPr>
        <w:t>盖</w:t>
      </w:r>
      <w:r>
        <w:rPr>
          <w:rFonts w:hint="eastAsia" w:ascii="Times New Roman" w:hAnsi="Times New Roman" w:eastAsia="宋体" w:cs="Times New Roman"/>
          <w:color w:val="auto"/>
          <w:sz w:val="24"/>
          <w:szCs w:val="28"/>
          <w:highlight w:val="none"/>
        </w:rPr>
        <w:t>公章）：</w:t>
      </w:r>
    </w:p>
    <w:p w14:paraId="191CD5B5">
      <w:pPr>
        <w:spacing w:before="120" w:after="120" w:afterAutospacing="0" w:line="360" w:lineRule="auto"/>
        <w:ind w:firstLine="480" w:firstLineChars="200"/>
        <w:rPr>
          <w:rFonts w:hint="eastAsia" w:ascii="Times New Roman" w:hAnsi="Times New Roman" w:eastAsia="宋体" w:cs="Times New Roman"/>
          <w:color w:val="auto"/>
          <w:sz w:val="24"/>
          <w:szCs w:val="28"/>
          <w:highlight w:val="none"/>
          <w:u w:val="single"/>
          <w:lang w:eastAsia="zh-CN"/>
        </w:rPr>
      </w:pPr>
      <w:r>
        <w:rPr>
          <w:rFonts w:hint="eastAsia" w:ascii="Times New Roman" w:hAnsi="Times New Roman" w:eastAsia="宋体" w:cs="Times New Roman"/>
          <w:color w:val="auto"/>
          <w:sz w:val="24"/>
          <w:szCs w:val="28"/>
          <w:highlight w:val="none"/>
        </w:rPr>
        <w:t>法定代表人或其授权代表（签字</w:t>
      </w:r>
      <w:r>
        <w:rPr>
          <w:rFonts w:hint="eastAsia" w:ascii="Times New Roman" w:hAnsi="Times New Roman" w:eastAsia="宋体" w:cs="Times New Roman"/>
          <w:color w:val="auto"/>
          <w:sz w:val="24"/>
          <w:szCs w:val="28"/>
          <w:highlight w:val="none"/>
          <w:lang w:val="en-US" w:eastAsia="zh-CN"/>
        </w:rPr>
        <w:t>或盖章</w:t>
      </w:r>
      <w:r>
        <w:rPr>
          <w:rFonts w:hint="eastAsia" w:ascii="Times New Roman" w:hAnsi="Times New Roman" w:eastAsia="宋体" w:cs="Times New Roman"/>
          <w:color w:val="auto"/>
          <w:sz w:val="24"/>
          <w:szCs w:val="28"/>
          <w:highlight w:val="none"/>
        </w:rPr>
        <w:t>）：</w:t>
      </w:r>
    </w:p>
    <w:p w14:paraId="23D1C680">
      <w:pPr>
        <w:spacing w:after="120" w:afterAutospacing="0" w:line="360" w:lineRule="auto"/>
        <w:ind w:firstLine="480" w:firstLineChars="200"/>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日期：年月日</w:t>
      </w:r>
    </w:p>
    <w:p w14:paraId="1C1868FB">
      <w:pPr>
        <w:rPr>
          <w:highlight w:val="none"/>
        </w:rPr>
      </w:pPr>
      <w:r>
        <w:rPr>
          <w:highlight w:val="none"/>
        </w:rPr>
        <w:br w:type="page"/>
      </w:r>
    </w:p>
    <w:p w14:paraId="0F4BE7BB">
      <w:pPr>
        <w:pStyle w:val="2"/>
        <w:widowControl/>
        <w:numPr>
          <w:ilvl w:val="0"/>
          <w:numId w:val="60"/>
        </w:numPr>
        <w:tabs>
          <w:tab w:val="left" w:pos="1043"/>
        </w:tabs>
        <w:topLinePunct w:val="0"/>
        <w:ind w:left="0" w:leftChars="0" w:firstLine="482" w:firstLineChars="200"/>
        <w:rPr>
          <w:b/>
          <w:highlight w:val="none"/>
        </w:rPr>
      </w:pPr>
      <w:r>
        <w:rPr>
          <w:highlight w:val="none"/>
        </w:rPr>
        <w:t>信用承诺书</w:t>
      </w:r>
      <w:bookmarkEnd w:id="91"/>
    </w:p>
    <w:p w14:paraId="30AE0DFF">
      <w:pPr>
        <w:pStyle w:val="51"/>
        <w:ind w:left="0" w:leftChars="0" w:firstLine="0" w:firstLineChars="0"/>
        <w:outlineLvl w:val="1"/>
      </w:pPr>
      <w:r>
        <w:t>榆林市政府采购货物类项目供应商信用承诺书</w:t>
      </w:r>
    </w:p>
    <w:p w14:paraId="507131DB">
      <w:pPr>
        <w:pStyle w:val="12"/>
        <w:ind w:left="0" w:leftChars="0" w:firstLine="480" w:firstLineChars="200"/>
      </w:pPr>
      <w:r>
        <w:t>市场主体名称：</w:t>
      </w:r>
    </w:p>
    <w:p w14:paraId="44AD6791">
      <w:pPr>
        <w:pStyle w:val="12"/>
        <w:ind w:left="0" w:leftChars="0" w:firstLine="480" w:firstLineChars="200"/>
      </w:pPr>
      <w:r>
        <w:t>证件类型：统一社会信用代码</w:t>
      </w:r>
    </w:p>
    <w:p w14:paraId="77CF005A">
      <w:pPr>
        <w:pStyle w:val="12"/>
        <w:ind w:left="0" w:leftChars="0" w:firstLine="480" w:firstLineChars="200"/>
      </w:pPr>
      <w:r>
        <w:t>证件号码：</w:t>
      </w:r>
    </w:p>
    <w:p w14:paraId="447300E2">
      <w:pPr>
        <w:pStyle w:val="12"/>
        <w:ind w:left="0" w:leftChars="0" w:firstLine="480" w:firstLineChars="200"/>
      </w:pPr>
      <w:r>
        <w:t>法人代表：</w:t>
      </w:r>
    </w:p>
    <w:p w14:paraId="29E60AAC">
      <w:pPr>
        <w:pStyle w:val="12"/>
        <w:ind w:left="0" w:leftChars="0" w:firstLine="480" w:firstLineChars="200"/>
      </w:pPr>
      <w:r>
        <w:t>承诺有效期限：    年    月    日—    年    月    日</w:t>
      </w:r>
    </w:p>
    <w:p w14:paraId="4252889C">
      <w:pPr>
        <w:pStyle w:val="12"/>
        <w:ind w:left="0" w:leftChars="0" w:firstLine="480" w:firstLineChars="200"/>
      </w:pPr>
      <w:r>
        <w:t>承诺内容：</w:t>
      </w:r>
    </w:p>
    <w:p w14:paraId="21EAE740">
      <w:pPr>
        <w:pStyle w:val="12"/>
        <w:ind w:left="0" w:leftChars="0" w:firstLine="480" w:firstLineChars="200"/>
      </w:pPr>
      <w:r>
        <w:t>为维护公开、公平、公正的政府采购市场秩序，树立诚实守信的政府采购供应商形象，本单位自愿做出以下承诺：</w:t>
      </w:r>
    </w:p>
    <w:p w14:paraId="7874F913">
      <w:pPr>
        <w:pStyle w:val="12"/>
        <w:numPr>
          <w:ilvl w:val="0"/>
          <w:numId w:val="63"/>
        </w:numPr>
        <w:tabs>
          <w:tab w:val="left" w:pos="960"/>
        </w:tabs>
        <w:topLinePunct w:val="0"/>
        <w:ind w:left="0" w:leftChars="0" w:firstLine="480" w:firstLineChars="200"/>
        <w:rPr>
          <w:rFonts w:hint="eastAsia" w:ascii="宋体" w:hAnsi="宋体" w:eastAsia="宋体" w:cs="宋体"/>
          <w:b w:val="0"/>
        </w:rPr>
      </w:pPr>
      <w:r>
        <w:t>承诺本单位严格遵守国家法律、法规和规章，全面履行应尽的责任和义务，全面做到履约守信，具备《政府采购法》第二十二条第一款规定的条件;</w:t>
      </w:r>
    </w:p>
    <w:p w14:paraId="5187CF26">
      <w:pPr>
        <w:pStyle w:val="12"/>
        <w:numPr>
          <w:ilvl w:val="0"/>
          <w:numId w:val="63"/>
        </w:numPr>
        <w:tabs>
          <w:tab w:val="left" w:pos="960"/>
        </w:tabs>
        <w:topLinePunct w:val="0"/>
        <w:ind w:left="0" w:leftChars="0" w:firstLine="480" w:firstLineChars="200"/>
        <w:rPr>
          <w:rFonts w:hint="eastAsia" w:ascii="宋体" w:hAnsi="宋体" w:eastAsia="宋体" w:cs="宋体"/>
          <w:b w:val="0"/>
        </w:rPr>
      </w:pPr>
      <w:r>
        <w:t>承诺本单位提供给注册登记部门、行业管理部门、司法部门、行业组织以及在政府采购活动中提交的所有资料均合法、真实、有效，无任何伪造、修改、虚假成份，并对所提供资料的真实性负责；</w:t>
      </w:r>
    </w:p>
    <w:p w14:paraId="2B6D195B">
      <w:pPr>
        <w:pStyle w:val="12"/>
        <w:numPr>
          <w:ilvl w:val="0"/>
          <w:numId w:val="63"/>
        </w:numPr>
        <w:tabs>
          <w:tab w:val="left" w:pos="960"/>
        </w:tabs>
        <w:topLinePunct w:val="0"/>
        <w:ind w:left="0" w:leftChars="0" w:firstLine="480" w:firstLineChars="200"/>
        <w:rPr>
          <w:rFonts w:hint="eastAsia" w:ascii="宋体" w:hAnsi="宋体" w:eastAsia="宋体" w:cs="宋体"/>
          <w:b w:val="0"/>
        </w:rPr>
      </w:pPr>
      <w:r>
        <w:t>承诺本单位严格依法开展生产经营活动，主动接受行业监管，自愿接受依法开展的日常检查；违法失信经营后将自愿接受约束和惩戒，并依法承担相应责任；</w:t>
      </w:r>
    </w:p>
    <w:p w14:paraId="2A818950">
      <w:pPr>
        <w:pStyle w:val="12"/>
        <w:numPr>
          <w:ilvl w:val="0"/>
          <w:numId w:val="63"/>
        </w:numPr>
        <w:tabs>
          <w:tab w:val="left" w:pos="960"/>
        </w:tabs>
        <w:topLinePunct w:val="0"/>
        <w:ind w:left="0" w:leftChars="0" w:firstLine="480" w:firstLineChars="200"/>
        <w:rPr>
          <w:rFonts w:hint="eastAsia" w:ascii="宋体" w:hAnsi="宋体" w:eastAsia="宋体" w:cs="宋体"/>
          <w:b w:val="0"/>
        </w:rPr>
      </w:pPr>
      <w:r>
        <w:t>承诺本单位自觉接受行政管理部门、行业组织、社会公众、新闻舆论的监督；</w:t>
      </w:r>
    </w:p>
    <w:p w14:paraId="39FD62FB">
      <w:pPr>
        <w:pStyle w:val="12"/>
        <w:numPr>
          <w:ilvl w:val="0"/>
          <w:numId w:val="63"/>
        </w:numPr>
        <w:tabs>
          <w:tab w:val="left" w:pos="960"/>
        </w:tabs>
        <w:topLinePunct w:val="0"/>
        <w:ind w:left="0" w:leftChars="0" w:firstLine="480" w:firstLineChars="200"/>
        <w:rPr>
          <w:rFonts w:hint="eastAsia" w:ascii="宋体" w:hAnsi="宋体" w:eastAsia="宋体" w:cs="宋体"/>
          <w:b w:val="0"/>
        </w:rPr>
      </w:pPr>
      <w:r>
        <w:t>承诺本单位自我约束、自我管理，重合同、守信用，不制假售假、商标侵权、虚假宣传、违约毁约、恶意逃债、偷税漏税、价格欺诈、垄断和不正当竞争，维护经营者、消费者的合法权益；</w:t>
      </w:r>
    </w:p>
    <w:p w14:paraId="524D665C">
      <w:pPr>
        <w:pStyle w:val="12"/>
        <w:numPr>
          <w:ilvl w:val="0"/>
          <w:numId w:val="63"/>
        </w:numPr>
        <w:tabs>
          <w:tab w:val="left" w:pos="960"/>
        </w:tabs>
        <w:topLinePunct w:val="0"/>
        <w:ind w:left="0" w:leftChars="0" w:firstLine="480" w:firstLineChars="200"/>
        <w:rPr>
          <w:rFonts w:hint="eastAsia" w:ascii="宋体" w:hAnsi="宋体" w:eastAsia="宋体" w:cs="宋体"/>
          <w:b w:val="0"/>
        </w:rPr>
      </w:pPr>
      <w:r>
        <w:t>承诺本单位提出政府采购质疑和投诉坚持依法依规、诚实信用原则，在全国范围12个月内没有三次以上查无实据的政府采购投诉；</w:t>
      </w:r>
    </w:p>
    <w:p w14:paraId="1339BC85">
      <w:pPr>
        <w:pStyle w:val="12"/>
        <w:numPr>
          <w:ilvl w:val="0"/>
          <w:numId w:val="63"/>
        </w:numPr>
        <w:tabs>
          <w:tab w:val="left" w:pos="960"/>
        </w:tabs>
        <w:topLinePunct w:val="0"/>
        <w:ind w:left="0" w:leftChars="0" w:firstLine="480" w:firstLineChars="200"/>
        <w:rPr>
          <w:rFonts w:hint="eastAsia" w:ascii="宋体" w:hAnsi="宋体" w:eastAsia="宋体" w:cs="宋体"/>
          <w:b w:val="0"/>
        </w:rPr>
      </w:pPr>
      <w:r>
        <w:t>根据政府采购相关法律法规的规定需要作出的其他诺：</w:t>
      </w:r>
      <w:r>
        <w:rPr>
          <w:u w:val="single"/>
        </w:rPr>
        <w:t>         </w:t>
      </w:r>
      <w:r>
        <w:t>。</w:t>
      </w:r>
    </w:p>
    <w:p w14:paraId="68AA5E1A">
      <w:pPr>
        <w:pStyle w:val="12"/>
        <w:numPr>
          <w:ilvl w:val="0"/>
          <w:numId w:val="63"/>
        </w:numPr>
        <w:tabs>
          <w:tab w:val="left" w:pos="960"/>
        </w:tabs>
        <w:topLinePunct w:val="0"/>
        <w:ind w:left="0" w:leftChars="0" w:firstLine="480" w:firstLineChars="200"/>
        <w:rPr>
          <w:rFonts w:hint="eastAsia" w:ascii="宋体" w:hAnsi="宋体" w:eastAsia="宋体" w:cs="宋体"/>
          <w:b w:val="0"/>
        </w:rPr>
      </w:pPr>
      <w: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41050AC1">
      <w:pPr>
        <w:keepNext w:val="0"/>
        <w:keepLines w:val="0"/>
        <w:pageBreakBefore w:val="0"/>
        <w:widowControl w:val="0"/>
        <w:kinsoku/>
        <w:wordWrap/>
        <w:overflowPunct w:val="0"/>
        <w:topLinePunct/>
        <w:autoSpaceDE/>
        <w:autoSpaceDN/>
        <w:bidi w:val="0"/>
        <w:adjustRightInd/>
        <w:snapToGrid/>
        <w:spacing w:after="120" w:afterAutospacing="0" w:line="360" w:lineRule="auto"/>
        <w:ind w:firstLine="480" w:firstLineChars="200"/>
        <w:jc w:val="lef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       承诺单位（盖章）：</w:t>
      </w:r>
    </w:p>
    <w:p w14:paraId="33FCA25B">
      <w:pPr>
        <w:keepNext w:val="0"/>
        <w:keepLines w:val="0"/>
        <w:pageBreakBefore w:val="0"/>
        <w:widowControl w:val="0"/>
        <w:kinsoku/>
        <w:wordWrap/>
        <w:overflowPunct w:val="0"/>
        <w:topLinePunct/>
        <w:autoSpaceDE/>
        <w:autoSpaceDN/>
        <w:bidi w:val="0"/>
        <w:adjustRightInd/>
        <w:snapToGrid/>
        <w:spacing w:after="120" w:afterAutospacing="0" w:line="360" w:lineRule="auto"/>
        <w:ind w:firstLine="480" w:firstLineChars="200"/>
        <w:jc w:val="lef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       法定代表人（负责人）：</w:t>
      </w:r>
    </w:p>
    <w:p w14:paraId="1DD91CC2">
      <w:pPr>
        <w:keepNext w:val="0"/>
        <w:keepLines w:val="0"/>
        <w:pageBreakBefore w:val="0"/>
        <w:widowControl w:val="0"/>
        <w:kinsoku/>
        <w:wordWrap/>
        <w:overflowPunct w:val="0"/>
        <w:topLinePunct/>
        <w:autoSpaceDE/>
        <w:autoSpaceDN/>
        <w:bidi w:val="0"/>
        <w:adjustRightInd/>
        <w:snapToGrid/>
        <w:spacing w:after="120" w:afterAutospacing="0" w:line="360" w:lineRule="auto"/>
        <w:ind w:firstLine="480" w:firstLineChars="200"/>
        <w:jc w:val="lef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法定代表人（负责人）身份证号：</w:t>
      </w:r>
    </w:p>
    <w:p w14:paraId="6E159D09">
      <w:pPr>
        <w:keepNext w:val="0"/>
        <w:keepLines w:val="0"/>
        <w:pageBreakBefore w:val="0"/>
        <w:widowControl w:val="0"/>
        <w:kinsoku/>
        <w:wordWrap/>
        <w:overflowPunct w:val="0"/>
        <w:topLinePunct/>
        <w:autoSpaceDE/>
        <w:autoSpaceDN/>
        <w:bidi w:val="0"/>
        <w:adjustRightInd/>
        <w:snapToGrid/>
        <w:spacing w:after="120" w:afterAutospacing="0" w:line="360" w:lineRule="auto"/>
        <w:ind w:firstLine="480" w:firstLineChars="200"/>
        <w:jc w:val="lef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       承诺日期：</w:t>
      </w:r>
    </w:p>
    <w:p w14:paraId="59F40682">
      <w:pPr>
        <w:pStyle w:val="3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Ansi="宋体" w:cs="宋体"/>
          <w:b/>
          <w:bCs/>
          <w:sz w:val="24"/>
          <w:szCs w:val="24"/>
        </w:rPr>
      </w:pPr>
    </w:p>
    <w:p w14:paraId="3A8B36BF">
      <w:pPr>
        <w:pStyle w:val="53"/>
        <w:ind w:left="0" w:leftChars="0" w:firstLine="0" w:firstLineChars="0"/>
        <w:outlineLvl w:val="0"/>
      </w:pPr>
      <w: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br w:type="page"/>
      </w:r>
      <w:r>
        <w:t>投标人信用承诺</w:t>
      </w:r>
    </w:p>
    <w:p w14:paraId="0F2C025E">
      <w:pPr>
        <w:pStyle w:val="12"/>
        <w:widowControl/>
        <w:ind w:left="0" w:leftChars="0" w:firstLine="480" w:firstLineChars="200"/>
        <w:rPr>
          <w:u w:val="single"/>
        </w:rPr>
      </w:pPr>
      <w:r>
        <w:t>投标人：</w:t>
      </w:r>
      <w:r>
        <w:rPr>
          <w:u w:val="single"/>
        </w:rPr>
        <w:t xml:space="preserve">                                                                   </w:t>
      </w:r>
    </w:p>
    <w:p w14:paraId="54767D2A">
      <w:pPr>
        <w:pStyle w:val="12"/>
        <w:widowControl/>
        <w:ind w:left="0" w:leftChars="0" w:firstLine="480" w:firstLineChars="200"/>
        <w:rPr>
          <w:u w:val="single"/>
        </w:rPr>
      </w:pPr>
      <w:r>
        <w:t>统一社会信用代码：</w:t>
      </w:r>
      <w:r>
        <w:rPr>
          <w:u w:val="single"/>
        </w:rPr>
        <w:t xml:space="preserve">                             </w:t>
      </w:r>
      <w:r>
        <w:t>法人代表：</w:t>
      </w:r>
      <w:r>
        <w:rPr>
          <w:u w:val="single"/>
        </w:rPr>
        <w:t xml:space="preserve">                  </w:t>
      </w:r>
    </w:p>
    <w:p w14:paraId="1DA09C08">
      <w:pPr>
        <w:pStyle w:val="12"/>
        <w:widowControl/>
        <w:ind w:left="0" w:leftChars="0" w:firstLine="480" w:firstLineChars="200"/>
        <w:rPr>
          <w:u w:val="single"/>
        </w:rPr>
      </w:pPr>
      <w:r>
        <w:t>承诺有效期限：</w:t>
      </w:r>
      <w:r>
        <w:rPr>
          <w:u w:val="single"/>
        </w:rPr>
        <w:t xml:space="preserve">       </w:t>
      </w:r>
      <w:r>
        <w:t>年</w:t>
      </w:r>
      <w:r>
        <w:rPr>
          <w:u w:val="single"/>
        </w:rPr>
        <w:t xml:space="preserve">      </w:t>
      </w:r>
      <w:r>
        <w:t>月</w:t>
      </w:r>
      <w:r>
        <w:rPr>
          <w:u w:val="single"/>
        </w:rPr>
        <w:t xml:space="preserve">      </w:t>
      </w:r>
      <w:r>
        <w:t>日—</w:t>
      </w:r>
      <w:r>
        <w:rPr>
          <w:u w:val="single"/>
        </w:rPr>
        <w:t xml:space="preserve">       </w:t>
      </w:r>
      <w:r>
        <w:t>年</w:t>
      </w:r>
      <w:r>
        <w:rPr>
          <w:u w:val="single"/>
        </w:rPr>
        <w:t xml:space="preserve">      </w:t>
      </w:r>
      <w:r>
        <w:t>月</w:t>
      </w:r>
      <w:r>
        <w:rPr>
          <w:u w:val="single"/>
        </w:rPr>
        <w:t xml:space="preserve">      </w:t>
      </w:r>
      <w:r>
        <w:t>日</w:t>
      </w:r>
    </w:p>
    <w:p w14:paraId="05D65830">
      <w:pPr>
        <w:pStyle w:val="12"/>
        <w:widowControl/>
        <w:ind w:left="0" w:leftChars="0" w:firstLine="480" w:firstLineChars="200"/>
      </w:pPr>
      <w:r>
        <w:t>在</w:t>
      </w:r>
      <w:r>
        <w:rPr>
          <w:u w:val="single"/>
        </w:rPr>
        <w:t xml:space="preserve">                   </w:t>
      </w:r>
      <w:r>
        <w:t>项目招投标活动中，我公司（单位）郑重作出以下信用承诺：</w:t>
      </w:r>
    </w:p>
    <w:p w14:paraId="16C49F48">
      <w:pPr>
        <w:pStyle w:val="12"/>
        <w:widowControl/>
        <w:numPr>
          <w:ilvl w:val="0"/>
          <w:numId w:val="64"/>
        </w:numPr>
        <w:tabs>
          <w:tab w:val="left" w:pos="1200"/>
        </w:tabs>
        <w:topLinePunct w:val="0"/>
        <w:ind w:left="0" w:leftChars="0" w:firstLine="480" w:firstLineChars="200"/>
        <w:rPr>
          <w:rFonts w:hint="eastAsia" w:ascii="宋体" w:hAnsi="宋体" w:eastAsia="宋体" w:cs="宋体"/>
          <w:b w:val="0"/>
        </w:rPr>
      </w:pPr>
      <w:r>
        <w:t>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F847BEE">
      <w:pPr>
        <w:pStyle w:val="12"/>
        <w:widowControl/>
        <w:numPr>
          <w:ilvl w:val="0"/>
          <w:numId w:val="64"/>
        </w:numPr>
        <w:tabs>
          <w:tab w:val="left" w:pos="1200"/>
        </w:tabs>
        <w:topLinePunct w:val="0"/>
        <w:ind w:left="0" w:leftChars="0" w:firstLine="480" w:firstLineChars="200"/>
        <w:rPr>
          <w:rFonts w:hint="eastAsia" w:ascii="宋体" w:hAnsi="宋体" w:eastAsia="宋体" w:cs="宋体"/>
          <w:b w:val="0"/>
        </w:rPr>
      </w:pPr>
      <w:r>
        <w:t>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谈判文件和投标文件与招标人签订合同；在签订合同时向招标人提出附加条件、或者改变投标文件的实质性内容；放弃中标；不按照谈判文件的规定提交履约保证金。5.招投标法规定的其它违法违规行为。</w:t>
      </w:r>
    </w:p>
    <w:p w14:paraId="499404DE">
      <w:pPr>
        <w:pStyle w:val="12"/>
        <w:widowControl/>
        <w:numPr>
          <w:ilvl w:val="0"/>
          <w:numId w:val="64"/>
        </w:numPr>
        <w:tabs>
          <w:tab w:val="left" w:pos="1200"/>
        </w:tabs>
        <w:topLinePunct w:val="0"/>
        <w:ind w:left="0" w:leftChars="0" w:firstLine="480" w:firstLineChars="200"/>
        <w:rPr>
          <w:rFonts w:hint="eastAsia" w:ascii="宋体" w:hAnsi="宋体" w:eastAsia="宋体" w:cs="宋体"/>
          <w:b w:val="0"/>
        </w:rPr>
      </w:pPr>
      <w:bookmarkStart w:id="94" w:name="_Toc14973"/>
      <w:r>
        <w:t>自愿接受招投标监督部门和有关行政监督部门的依法检查。</w:t>
      </w:r>
      <w:bookmarkEnd w:id="94"/>
    </w:p>
    <w:p w14:paraId="674ED6F0">
      <w:pPr>
        <w:pStyle w:val="12"/>
        <w:widowControl/>
        <w:numPr>
          <w:ilvl w:val="0"/>
          <w:numId w:val="64"/>
        </w:numPr>
        <w:tabs>
          <w:tab w:val="left" w:pos="1200"/>
        </w:tabs>
        <w:topLinePunct w:val="0"/>
        <w:ind w:left="0" w:leftChars="0" w:firstLine="480" w:firstLineChars="200"/>
        <w:rPr>
          <w:rFonts w:hint="eastAsia" w:ascii="宋体" w:hAnsi="宋体" w:eastAsia="宋体" w:cs="宋体"/>
          <w:b w:val="0"/>
        </w:rPr>
      </w:pPr>
      <w:r>
        <w:t>同意将此信用承诺纳入陕西省公共信用信息平台和榆林市公共信用信息共享平台，并上网公示，接受社会监督。</w:t>
      </w:r>
    </w:p>
    <w:p w14:paraId="688CE14D">
      <w:pPr>
        <w:pStyle w:val="12"/>
        <w:widowControl/>
        <w:numPr>
          <w:ilvl w:val="0"/>
          <w:numId w:val="64"/>
        </w:numPr>
        <w:tabs>
          <w:tab w:val="left" w:pos="1200"/>
        </w:tabs>
        <w:topLinePunct w:val="0"/>
        <w:ind w:left="0" w:leftChars="0" w:firstLine="480" w:firstLineChars="200"/>
        <w:rPr>
          <w:rFonts w:hint="eastAsia" w:ascii="宋体" w:hAnsi="宋体" w:eastAsia="宋体" w:cs="宋体"/>
          <w:b w:val="0"/>
        </w:rPr>
      </w:pPr>
      <w:r>
        <w:t>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009E6807">
      <w:pPr>
        <w:keepNext w:val="0"/>
        <w:keepLines w:val="0"/>
        <w:pageBreakBefore w:val="0"/>
        <w:widowControl/>
        <w:tabs>
          <w:tab w:val="left" w:pos="4395"/>
        </w:tabs>
        <w:kinsoku/>
        <w:wordWrap/>
        <w:overflowPunct/>
        <w:topLinePunct w:val="0"/>
        <w:autoSpaceDE/>
        <w:autoSpaceDN/>
        <w:bidi w:val="0"/>
        <w:adjustRightInd w:val="0"/>
        <w:snapToGrid w:val="0"/>
        <w:spacing w:after="120" w:afterAutospacing="0" w:line="360" w:lineRule="auto"/>
        <w:ind w:firstLine="480" w:firstLineChars="200"/>
        <w:jc w:val="lef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法定代表人（签章）：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投标人（盖章）：</w:t>
      </w:r>
    </w:p>
    <w:p w14:paraId="1F8ADB10">
      <w:pPr>
        <w:keepNext w:val="0"/>
        <w:keepLines w:val="0"/>
        <w:pageBreakBefore w:val="0"/>
        <w:kinsoku/>
        <w:wordWrap/>
        <w:overflowPunct/>
        <w:topLinePunct w:val="0"/>
        <w:autoSpaceDE/>
        <w:autoSpaceDN/>
        <w:bidi w:val="0"/>
        <w:adjustRightInd w:val="0"/>
        <w:snapToGrid w:val="0"/>
        <w:spacing w:after="120" w:afterAutospacing="0" w:line="360" w:lineRule="auto"/>
        <w:jc w:val="center"/>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承诺时间：</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日</w:t>
      </w:r>
    </w:p>
    <w:p w14:paraId="4B4304CE">
      <w:pPr>
        <w:pStyle w:val="53"/>
        <w:widowControl/>
        <w:ind w:left="0" w:leftChars="0" w:firstLine="0" w:firstLineChars="0"/>
        <w:outlineLvl w:val="0"/>
      </w:pPr>
      <w:r>
        <w:t>注：此承诺书除附在投标文件中外还须上传至“信用中国（陕西榆林）”网站投标人自主上报信用承诺书附件。（承诺有效期同投标有效期，承诺起始时间为提交投标文件截止之日，须后附截图。）</w:t>
      </w:r>
      <w:r>
        <w:br w:type="page"/>
      </w:r>
      <w:r>
        <w:t>投标信用承诺书</w:t>
      </w:r>
    </w:p>
    <w:p w14:paraId="66A2A0F0">
      <w:pPr>
        <w:pStyle w:val="12"/>
        <w:widowControl/>
        <w:ind w:left="0" w:leftChars="0" w:firstLine="480" w:firstLineChars="200"/>
        <w:rPr>
          <w:u w:val="single"/>
        </w:rPr>
      </w:pPr>
      <w:r>
        <w:t>项目标段：</w:t>
      </w:r>
      <w:r>
        <w:rPr>
          <w:u w:val="single"/>
        </w:rPr>
        <w:t xml:space="preserve">                                                                  </w:t>
      </w:r>
    </w:p>
    <w:p w14:paraId="41A8BB35">
      <w:pPr>
        <w:pStyle w:val="12"/>
        <w:widowControl/>
        <w:ind w:left="0" w:leftChars="0" w:firstLine="480" w:firstLineChars="200"/>
        <w:rPr>
          <w:u w:val="single"/>
        </w:rPr>
      </w:pPr>
      <w:r>
        <w:t>投标人：</w:t>
      </w:r>
      <w:r>
        <w:rPr>
          <w:u w:val="single"/>
        </w:rPr>
        <w:t xml:space="preserve">                                                                    </w:t>
      </w:r>
    </w:p>
    <w:p w14:paraId="32B477B6">
      <w:pPr>
        <w:pStyle w:val="12"/>
        <w:widowControl/>
        <w:ind w:left="0" w:leftChars="0" w:firstLine="480" w:firstLineChars="200"/>
        <w:rPr>
          <w:u w:val="single"/>
        </w:rPr>
      </w:pPr>
      <w:r>
        <w:t>统一社会信用代码：</w:t>
      </w:r>
      <w:r>
        <w:rPr>
          <w:u w:val="single"/>
        </w:rPr>
        <w:t xml:space="preserve">                               </w:t>
      </w:r>
      <w:r>
        <w:t>法人代表：</w:t>
      </w:r>
      <w:r>
        <w:rPr>
          <w:u w:val="single"/>
        </w:rPr>
        <w:t xml:space="preserve">                 </w:t>
      </w:r>
    </w:p>
    <w:p w14:paraId="3B1C7B19">
      <w:pPr>
        <w:pStyle w:val="12"/>
        <w:widowControl/>
        <w:ind w:left="0" w:leftChars="0" w:firstLine="480" w:firstLineChars="200"/>
      </w:pPr>
      <w:r>
        <w:t>在本项目标段招投标活动中，我公司（单位）自愿作出以下投标信用承诺：</w:t>
      </w:r>
    </w:p>
    <w:p w14:paraId="5FD33F37">
      <w:pPr>
        <w:pStyle w:val="12"/>
        <w:widowControl/>
        <w:numPr>
          <w:ilvl w:val="0"/>
          <w:numId w:val="65"/>
        </w:numPr>
        <w:tabs>
          <w:tab w:val="left" w:pos="1200"/>
        </w:tabs>
        <w:topLinePunct w:val="0"/>
        <w:ind w:left="0" w:leftChars="0" w:firstLine="480" w:firstLineChars="200"/>
        <w:rPr>
          <w:rFonts w:hint="eastAsia" w:ascii="宋体" w:hAnsi="宋体" w:eastAsia="宋体" w:cs="宋体"/>
          <w:b w:val="0"/>
        </w:rPr>
      </w:pPr>
      <w:r>
        <w:t>能严格遵守法律法规、职业道德和行业规范。</w:t>
      </w:r>
    </w:p>
    <w:p w14:paraId="763445F6">
      <w:pPr>
        <w:pStyle w:val="12"/>
        <w:widowControl/>
        <w:numPr>
          <w:ilvl w:val="0"/>
          <w:numId w:val="65"/>
        </w:numPr>
        <w:tabs>
          <w:tab w:val="left" w:pos="1200"/>
        </w:tabs>
        <w:topLinePunct w:val="0"/>
        <w:ind w:left="0" w:leftChars="0" w:firstLine="480" w:firstLineChars="200"/>
        <w:rPr>
          <w:rFonts w:hint="eastAsia" w:ascii="宋体" w:hAnsi="宋体" w:eastAsia="宋体" w:cs="宋体"/>
          <w:b w:val="0"/>
        </w:rPr>
      </w:pPr>
      <w:r>
        <w:t>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谈判文件和投标文件与招标人签订合同；在签订合同时向招标人提出附加条件、或者改变投标文件的实质性内容；放弃中标；不按照谈判文件的规定提交履约保证金。5.招投标法规定的其它违法违规行为。</w:t>
      </w:r>
    </w:p>
    <w:p w14:paraId="2624D0D3">
      <w:pPr>
        <w:pStyle w:val="12"/>
        <w:widowControl/>
        <w:numPr>
          <w:ilvl w:val="0"/>
          <w:numId w:val="65"/>
        </w:numPr>
        <w:tabs>
          <w:tab w:val="left" w:pos="1200"/>
        </w:tabs>
        <w:topLinePunct w:val="0"/>
        <w:ind w:left="0" w:leftChars="0" w:firstLine="480" w:firstLineChars="200"/>
        <w:rPr>
          <w:rFonts w:hint="eastAsia" w:ascii="宋体" w:hAnsi="宋体" w:eastAsia="宋体" w:cs="宋体"/>
          <w:b w:val="0"/>
        </w:rPr>
      </w:pPr>
      <w:r>
        <w:t>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DCC2FA1">
      <w:pPr>
        <w:keepNext w:val="0"/>
        <w:keepLines w:val="0"/>
        <w:pageBreakBefore w:val="0"/>
        <w:widowControl/>
        <w:tabs>
          <w:tab w:val="left" w:pos="4395"/>
        </w:tabs>
        <w:kinsoku/>
        <w:wordWrap/>
        <w:overflowPunct/>
        <w:topLinePunct w:val="0"/>
        <w:autoSpaceDE/>
        <w:autoSpaceDN/>
        <w:bidi w:val="0"/>
        <w:adjustRightInd w:val="0"/>
        <w:snapToGrid w:val="0"/>
        <w:spacing w:after="120" w:afterAutospacing="0" w:line="360" w:lineRule="auto"/>
        <w:ind w:firstLine="720" w:firstLineChars="300"/>
        <w:jc w:val="lef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法定代表人（签章）：</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投标人（盖章）：</w:t>
      </w:r>
    </w:p>
    <w:p w14:paraId="1C30A403">
      <w:pPr>
        <w:keepNext w:val="0"/>
        <w:keepLines w:val="0"/>
        <w:pageBreakBefore w:val="0"/>
        <w:kinsoku/>
        <w:wordWrap/>
        <w:overflowPunct/>
        <w:topLinePunct w:val="0"/>
        <w:autoSpaceDE/>
        <w:autoSpaceDN/>
        <w:bidi w:val="0"/>
        <w:adjustRightInd w:val="0"/>
        <w:snapToGrid w:val="0"/>
        <w:spacing w:after="120" w:afterAutospacing="0" w:line="360" w:lineRule="auto"/>
        <w:jc w:val="right"/>
        <w:textAlignment w:val="auto"/>
        <w:outlineLvl w:val="9"/>
        <w:rPr>
          <w:rFonts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年</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月</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日</w:t>
      </w:r>
    </w:p>
    <w:p w14:paraId="444E0F45">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b/>
          <w:sz w:val="24"/>
          <w:szCs w:val="24"/>
        </w:rPr>
      </w:pPr>
    </w:p>
    <w:p w14:paraId="4444FDB6">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b/>
          <w:sz w:val="24"/>
          <w:szCs w:val="24"/>
        </w:rPr>
      </w:pPr>
    </w:p>
    <w:p w14:paraId="5AB95FC3">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b/>
          <w:sz w:val="24"/>
          <w:szCs w:val="24"/>
        </w:rPr>
      </w:pPr>
    </w:p>
    <w:p w14:paraId="3D3C1F1E">
      <w:pPr>
        <w:pStyle w:val="12"/>
        <w:widowControl/>
        <w:ind w:left="0" w:leftChars="0" w:firstLine="482" w:firstLineChars="200"/>
      </w:pPr>
      <w:r>
        <w:rPr>
          <w:b/>
        </w:rPr>
        <w:t>说明：本承诺书效力和作用等同投标保证金，其有效期与投标有效期一致。</w:t>
      </w:r>
      <w:r>
        <w:t xml:space="preserve"> </w:t>
      </w:r>
    </w:p>
    <w:p w14:paraId="4E15D5DD">
      <w:pPr>
        <w:pStyle w:val="12"/>
        <w:widowControl/>
        <w:ind w:left="0" w:leftChars="0" w:firstLine="482" w:firstLineChars="200"/>
        <w:sectPr>
          <w:pgSz w:w="11906" w:h="16838"/>
          <w:pgMar w:top="1440" w:right="1287" w:bottom="1440" w:left="1440" w:header="850" w:footer="992" w:gutter="0"/>
          <w:pgNumType w:fmt="decimal"/>
          <w:cols w:space="720" w:num="1"/>
          <w:titlePg/>
          <w:docGrid w:linePitch="360" w:charSpace="0"/>
        </w:sectPr>
      </w:pPr>
      <w:r>
        <w:rPr>
          <w:b/>
        </w:rPr>
        <w:t>注：</w:t>
      </w:r>
      <w:r>
        <w:t>此承诺书除附在投标文件中外还须上传至“信用中国（陕西榆林）”网站投标人自主上报信用承诺书附件。（须后附截图）</w:t>
      </w:r>
    </w:p>
    <w:p w14:paraId="10CD45A5">
      <w:pPr>
        <w:pStyle w:val="53"/>
        <w:widowControl/>
        <w:ind w:left="0" w:leftChars="0" w:firstLine="0" w:firstLineChars="0"/>
        <w:outlineLvl w:val="0"/>
      </w:pPr>
      <w:r>
        <w:t>投标人委托代理人员信用承诺书</w:t>
      </w:r>
    </w:p>
    <w:p w14:paraId="2A09223C">
      <w:pPr>
        <w:pStyle w:val="12"/>
        <w:widowControl/>
        <w:ind w:left="0" w:leftChars="0" w:firstLine="480" w:firstLineChars="200"/>
      </w:pPr>
      <w:r>
        <w:t>在</w:t>
      </w:r>
      <w:r>
        <w:rPr>
          <w:u w:val="single"/>
        </w:rPr>
        <w:t xml:space="preserve">                     </w:t>
      </w:r>
      <w:r>
        <w:t>项目招投标活动中，我个人郑重作出以下信用承诺：</w:t>
      </w:r>
    </w:p>
    <w:p w14:paraId="0C39AE89">
      <w:pPr>
        <w:pStyle w:val="12"/>
        <w:widowControl/>
        <w:numPr>
          <w:ilvl w:val="0"/>
          <w:numId w:val="66"/>
        </w:numPr>
        <w:tabs>
          <w:tab w:val="left" w:pos="1200"/>
        </w:tabs>
        <w:topLinePunct w:val="0"/>
        <w:ind w:left="0" w:leftChars="0" w:firstLine="480" w:firstLineChars="200"/>
        <w:rPr>
          <w:rFonts w:hint="eastAsia" w:ascii="宋体" w:hAnsi="宋体" w:eastAsia="宋体" w:cs="宋体"/>
          <w:b w:val="0"/>
        </w:rPr>
      </w:pPr>
      <w:r>
        <w:t>能严格遵守法律法规、职业道德和行业规范，具有独立承担民事责任的能力；无法律法规规定禁止开展从业活动情形。我所递交的文件资料合法、真实、准确、完整、有效，无弄虚作假等情形。</w:t>
      </w:r>
    </w:p>
    <w:p w14:paraId="72FADC8F">
      <w:pPr>
        <w:pStyle w:val="12"/>
        <w:widowControl/>
        <w:numPr>
          <w:ilvl w:val="0"/>
          <w:numId w:val="66"/>
        </w:numPr>
        <w:tabs>
          <w:tab w:val="left" w:pos="1200"/>
        </w:tabs>
        <w:topLinePunct w:val="0"/>
        <w:ind w:left="0" w:leftChars="0" w:firstLine="480" w:firstLineChars="200"/>
        <w:rPr>
          <w:rFonts w:hint="eastAsia" w:ascii="宋体" w:hAnsi="宋体" w:eastAsia="宋体" w:cs="宋体"/>
          <w:b w:val="0"/>
        </w:rPr>
      </w:pPr>
      <w:r>
        <w:t>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谈判文件和投标文件与招标人签订合同；在签订合同时向招标人提出附加条件、或者改变投标文件的实质性内容；放弃中标；不按照谈判文件的规定提交履约保证金。5.招投标法规定的其它违法违规行为。</w:t>
      </w:r>
    </w:p>
    <w:p w14:paraId="7F7AEAF0">
      <w:pPr>
        <w:pStyle w:val="12"/>
        <w:widowControl/>
        <w:numPr>
          <w:ilvl w:val="0"/>
          <w:numId w:val="66"/>
        </w:numPr>
        <w:tabs>
          <w:tab w:val="left" w:pos="1200"/>
        </w:tabs>
        <w:topLinePunct w:val="0"/>
        <w:ind w:left="0" w:leftChars="0" w:firstLine="480" w:firstLineChars="200"/>
        <w:rPr>
          <w:rFonts w:hint="eastAsia" w:ascii="宋体" w:hAnsi="宋体" w:eastAsia="宋体" w:cs="宋体"/>
          <w:b w:val="0"/>
        </w:rPr>
      </w:pPr>
      <w:bookmarkStart w:id="95" w:name="_Toc14892"/>
      <w:r>
        <w:t>自愿接受招投标监督部门和有关行政监督部门的依法检查。</w:t>
      </w:r>
      <w:bookmarkEnd w:id="95"/>
    </w:p>
    <w:p w14:paraId="4C71D711">
      <w:pPr>
        <w:pStyle w:val="12"/>
        <w:widowControl/>
        <w:numPr>
          <w:ilvl w:val="0"/>
          <w:numId w:val="66"/>
        </w:numPr>
        <w:tabs>
          <w:tab w:val="left" w:pos="1200"/>
        </w:tabs>
        <w:topLinePunct w:val="0"/>
        <w:ind w:left="0" w:leftChars="0" w:firstLine="480" w:firstLineChars="200"/>
        <w:rPr>
          <w:rFonts w:hint="eastAsia" w:ascii="宋体" w:hAnsi="宋体" w:eastAsia="宋体" w:cs="宋体"/>
          <w:b w:val="0"/>
        </w:rPr>
      </w:pPr>
      <w:r>
        <w:t>同意将此信用承诺纳入陕西省公共信用信息平台和榆林市公共信用信息共享平台，并接受社会监督。</w:t>
      </w:r>
    </w:p>
    <w:p w14:paraId="58C4AF8A">
      <w:pPr>
        <w:pStyle w:val="12"/>
        <w:widowControl/>
        <w:numPr>
          <w:ilvl w:val="0"/>
          <w:numId w:val="66"/>
        </w:numPr>
        <w:tabs>
          <w:tab w:val="left" w:pos="1200"/>
        </w:tabs>
        <w:topLinePunct w:val="0"/>
        <w:ind w:left="0" w:leftChars="0" w:firstLine="480" w:firstLineChars="200"/>
        <w:rPr>
          <w:rFonts w:hint="eastAsia" w:ascii="宋体" w:hAnsi="宋体" w:eastAsia="宋体" w:cs="宋体"/>
          <w:b w:val="0"/>
        </w:rPr>
      </w:pPr>
      <w:r>
        <w:t>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2E16D31">
      <w:pPr>
        <w:keepNext w:val="0"/>
        <w:keepLines w:val="0"/>
        <w:pageBreakBefore w:val="0"/>
        <w:widowControl/>
        <w:kinsoku/>
        <w:wordWrap/>
        <w:overflowPunct/>
        <w:topLinePunct w:val="0"/>
        <w:autoSpaceDE/>
        <w:autoSpaceDN/>
        <w:bidi w:val="0"/>
        <w:snapToGrid/>
        <w:spacing w:after="120" w:afterAutospacing="0" w:line="360" w:lineRule="auto"/>
        <w:ind w:firstLine="482"/>
        <w:jc w:val="left"/>
        <w:outlineLvl w:val="9"/>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rPr>
        <w:t>承诺有效期限：</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日—</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日</w:t>
      </w:r>
    </w:p>
    <w:p w14:paraId="6B57C36C">
      <w:pPr>
        <w:keepNext w:val="0"/>
        <w:keepLines w:val="0"/>
        <w:pageBreakBefore w:val="0"/>
        <w:widowControl/>
        <w:kinsoku/>
        <w:wordWrap/>
        <w:overflowPunct/>
        <w:topLinePunct w:val="0"/>
        <w:autoSpaceDE/>
        <w:autoSpaceDN/>
        <w:bidi w:val="0"/>
        <w:snapToGrid/>
        <w:spacing w:after="120" w:afterAutospacing="0" w:line="360" w:lineRule="auto"/>
        <w:ind w:firstLine="482"/>
        <w:jc w:val="left"/>
        <w:outlineLvl w:val="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投标人：</w:t>
      </w:r>
      <w:r>
        <w:rPr>
          <w:rFonts w:hint="eastAsia" w:ascii="Times New Roman" w:hAnsi="Times New Roman" w:eastAsia="宋体" w:cs="Times New Roman"/>
          <w:sz w:val="24"/>
          <w:szCs w:val="24"/>
          <w:u w:val="single"/>
        </w:rPr>
        <w:t xml:space="preserve">                        </w:t>
      </w:r>
    </w:p>
    <w:p w14:paraId="307FCDC5">
      <w:pPr>
        <w:keepNext w:val="0"/>
        <w:keepLines w:val="0"/>
        <w:pageBreakBefore w:val="0"/>
        <w:widowControl/>
        <w:kinsoku/>
        <w:wordWrap/>
        <w:overflowPunct/>
        <w:topLinePunct w:val="0"/>
        <w:autoSpaceDE/>
        <w:autoSpaceDN/>
        <w:bidi w:val="0"/>
        <w:snapToGrid/>
        <w:spacing w:after="120" w:afterAutospacing="0" w:line="360" w:lineRule="auto"/>
        <w:ind w:firstLine="482"/>
        <w:jc w:val="left"/>
        <w:outlineLvl w:val="9"/>
        <w:rPr>
          <w:rFonts w:hint="eastAsia" w:ascii="Times New Roman" w:hAnsi="Times New Roman" w:eastAsia="宋体" w:cs="Times New Roman"/>
          <w:sz w:val="24"/>
          <w:szCs w:val="24"/>
          <w:u w:val="single"/>
        </w:rPr>
      </w:pPr>
      <w:r>
        <w:rPr>
          <w:rFonts w:hint="eastAsia" w:ascii="Times New Roman" w:hAnsi="Times New Roman" w:eastAsia="宋体" w:cs="Times New Roman"/>
          <w:sz w:val="24"/>
          <w:szCs w:val="24"/>
        </w:rPr>
        <w:t>承诺人（签字）：</w:t>
      </w:r>
      <w:r>
        <w:rPr>
          <w:rFonts w:hint="eastAsia" w:ascii="Times New Roman" w:hAnsi="Times New Roman" w:eastAsia="宋体" w:cs="Times New Roman"/>
          <w:sz w:val="24"/>
          <w:szCs w:val="24"/>
          <w:u w:val="single"/>
        </w:rPr>
        <w:t xml:space="preserve">                 </w:t>
      </w:r>
    </w:p>
    <w:p w14:paraId="6352760C">
      <w:pPr>
        <w:keepNext w:val="0"/>
        <w:keepLines w:val="0"/>
        <w:pageBreakBefore w:val="0"/>
        <w:widowControl/>
        <w:kinsoku/>
        <w:wordWrap/>
        <w:overflowPunct/>
        <w:topLinePunct w:val="0"/>
        <w:autoSpaceDE/>
        <w:autoSpaceDN/>
        <w:bidi w:val="0"/>
        <w:snapToGrid/>
        <w:spacing w:after="120" w:afterAutospacing="0" w:line="360" w:lineRule="auto"/>
        <w:ind w:firstLine="482"/>
        <w:jc w:val="left"/>
        <w:outlineLvl w:val="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rPr>
        <w:t>日</w:t>
      </w:r>
    </w:p>
    <w:p w14:paraId="0840C111">
      <w:pPr>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b/>
          <w:bCs/>
          <w:sz w:val="24"/>
          <w:szCs w:val="24"/>
        </w:rPr>
      </w:pPr>
    </w:p>
    <w:p w14:paraId="39FDA836">
      <w:pPr>
        <w:pStyle w:val="12"/>
        <w:ind w:left="0" w:leftChars="0" w:firstLine="482" w:firstLineChars="200"/>
        <w:sectPr>
          <w:pgSz w:w="11906" w:h="16838"/>
          <w:pgMar w:top="1440" w:right="1287" w:bottom="1440" w:left="1440" w:header="850" w:footer="992" w:gutter="0"/>
          <w:pgNumType w:fmt="decimal"/>
          <w:cols w:space="720" w:num="1"/>
          <w:titlePg/>
          <w:docGrid w:linePitch="360" w:charSpace="0"/>
        </w:sectPr>
      </w:pPr>
      <w:r>
        <w:rPr>
          <w:b/>
        </w:rPr>
        <w:t>注：</w:t>
      </w:r>
      <w: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6AEBD7C6">
      <w:pPr>
        <w:pStyle w:val="2"/>
        <w:widowControl/>
        <w:numPr>
          <w:ilvl w:val="0"/>
          <w:numId w:val="60"/>
        </w:numPr>
        <w:tabs>
          <w:tab w:val="left" w:pos="1043"/>
        </w:tabs>
        <w:topLinePunct w:val="0"/>
        <w:ind w:left="0" w:leftChars="0" w:firstLine="482" w:firstLineChars="200"/>
        <w:rPr>
          <w:highlight w:val="none"/>
        </w:rPr>
      </w:pPr>
      <w:r>
        <w:rPr>
          <w:highlight w:val="none"/>
        </w:rPr>
        <w:t>其他资格证明文件（如有）</w:t>
      </w:r>
    </w:p>
    <w:p w14:paraId="25C26AD4">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574CDBD3">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6FE0A46C">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2AB4DC72">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73F8A8A3">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1A4340E9">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31AC0280">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4D1802FD">
      <w:pPr>
        <w:pStyle w:val="22"/>
        <w:rPr>
          <w:rFonts w:hint="eastAsia" w:ascii="宋体" w:hAnsi="宋体" w:eastAsia="宋体" w:cs="宋体"/>
          <w:b/>
          <w:bCs/>
          <w:snapToGrid w:val="0"/>
          <w:color w:val="auto"/>
          <w:kern w:val="0"/>
          <w:sz w:val="28"/>
          <w:szCs w:val="28"/>
          <w:highlight w:val="none"/>
          <w:lang w:val="en-US" w:eastAsia="zh-CN" w:bidi="ar-SA"/>
        </w:rPr>
      </w:pPr>
    </w:p>
    <w:p w14:paraId="48E231DE">
      <w:pPr>
        <w:pStyle w:val="23"/>
        <w:rPr>
          <w:rFonts w:hint="eastAsia" w:ascii="宋体" w:hAnsi="宋体" w:eastAsia="宋体" w:cs="宋体"/>
          <w:b/>
          <w:bCs/>
          <w:snapToGrid w:val="0"/>
          <w:color w:val="auto"/>
          <w:kern w:val="0"/>
          <w:sz w:val="28"/>
          <w:szCs w:val="28"/>
          <w:highlight w:val="none"/>
          <w:lang w:val="en-US" w:eastAsia="zh-CN" w:bidi="ar-SA"/>
        </w:rPr>
      </w:pPr>
    </w:p>
    <w:p w14:paraId="15C4F886">
      <w:pPr>
        <w:rPr>
          <w:rFonts w:hint="eastAsia" w:ascii="宋体" w:hAnsi="宋体" w:eastAsia="宋体" w:cs="宋体"/>
          <w:b/>
          <w:bCs/>
          <w:snapToGrid w:val="0"/>
          <w:color w:val="auto"/>
          <w:kern w:val="0"/>
          <w:sz w:val="28"/>
          <w:szCs w:val="28"/>
          <w:highlight w:val="none"/>
          <w:lang w:val="en-US" w:eastAsia="zh-CN" w:bidi="ar-SA"/>
        </w:rPr>
      </w:pPr>
    </w:p>
    <w:p w14:paraId="7B95F060">
      <w:pPr>
        <w:pStyle w:val="22"/>
        <w:rPr>
          <w:rFonts w:hint="eastAsia"/>
          <w:lang w:val="en-US" w:eastAsia="zh-CN"/>
        </w:rPr>
      </w:pPr>
    </w:p>
    <w:p w14:paraId="28BBDDF5">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5B0B2F32">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67413B16">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7C6D2C98">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1575E7E8">
      <w:pPr>
        <w:keepNext/>
        <w:keepLines/>
        <w:pageBreakBefore w:val="0"/>
        <w:numPr>
          <w:ilvl w:val="0"/>
          <w:numId w:val="0"/>
        </w:numPr>
        <w:kinsoku/>
        <w:wordWrap w:val="0"/>
        <w:overflowPunct/>
        <w:topLinePunct/>
        <w:autoSpaceDE/>
        <w:autoSpaceDN/>
        <w:bidi w:val="0"/>
        <w:adjustRightInd w:val="0"/>
        <w:snapToGrid w:val="0"/>
        <w:spacing w:before="260" w:beforeLines="0" w:beforeAutospacing="0" w:after="260" w:afterLines="0" w:afterAutospacing="0" w:line="413" w:lineRule="auto"/>
        <w:jc w:val="both"/>
        <w:textAlignment w:val="baseline"/>
        <w:outlineLvl w:val="9"/>
        <w:rPr>
          <w:rFonts w:hint="eastAsia" w:ascii="宋体" w:hAnsi="宋体" w:eastAsia="宋体" w:cs="宋体"/>
          <w:b/>
          <w:bCs/>
          <w:snapToGrid w:val="0"/>
          <w:color w:val="auto"/>
          <w:kern w:val="0"/>
          <w:sz w:val="28"/>
          <w:szCs w:val="28"/>
          <w:highlight w:val="none"/>
          <w:lang w:val="en-US" w:eastAsia="zh-CN" w:bidi="ar-SA"/>
        </w:rPr>
      </w:pPr>
    </w:p>
    <w:p w14:paraId="6959BE89">
      <w:pPr>
        <w:rPr>
          <w:rFonts w:hint="eastAsia" w:ascii="宋体" w:hAnsi="宋体" w:eastAsia="宋体" w:cs="宋体"/>
          <w:b/>
          <w:bCs/>
          <w:color w:val="auto"/>
          <w:sz w:val="28"/>
          <w:szCs w:val="28"/>
          <w:highlight w:val="none"/>
          <w:lang w:val="en-US" w:eastAsia="zh-CN"/>
        </w:rPr>
      </w:pPr>
    </w:p>
    <w:p w14:paraId="1370E5AD">
      <w:pPr>
        <w:rPr>
          <w:rFonts w:hint="eastAsia" w:ascii="宋体" w:hAnsi="宋体" w:eastAsia="宋体" w:cs="宋体"/>
          <w:b/>
          <w:bCs/>
          <w:color w:val="auto"/>
          <w:sz w:val="28"/>
          <w:szCs w:val="28"/>
          <w:highlight w:val="none"/>
          <w:lang w:val="en-US" w:eastAsia="zh-CN"/>
        </w:rPr>
      </w:pPr>
    </w:p>
    <w:p w14:paraId="47C157A1">
      <w:pPr>
        <w:rPr>
          <w:rFonts w:hint="eastAsia" w:ascii="宋体" w:hAnsi="宋体" w:eastAsia="宋体" w:cs="宋体"/>
          <w:b/>
          <w:bCs/>
          <w:color w:val="auto"/>
          <w:sz w:val="28"/>
          <w:szCs w:val="28"/>
          <w:highlight w:val="none"/>
          <w:lang w:val="en-US" w:eastAsia="zh-CN"/>
        </w:rPr>
      </w:pPr>
    </w:p>
    <w:p w14:paraId="62981BD2">
      <w:pPr>
        <w:pStyle w:val="2"/>
        <w:widowControl/>
        <w:numPr>
          <w:ilvl w:val="0"/>
          <w:numId w:val="60"/>
        </w:numPr>
        <w:tabs>
          <w:tab w:val="left" w:pos="1043"/>
        </w:tabs>
        <w:topLinePunct w:val="0"/>
        <w:ind w:left="0" w:leftChars="0" w:firstLine="482" w:firstLineChars="200"/>
        <w:rPr>
          <w:b/>
          <w:highlight w:val="none"/>
        </w:rPr>
      </w:pPr>
      <w:r>
        <w:rPr>
          <w:highlight w:val="none"/>
        </w:rPr>
        <w:t>法定代表人证明书/法定代表人授权委托书</w:t>
      </w:r>
      <w:bookmarkEnd w:id="92"/>
    </w:p>
    <w:p w14:paraId="67B795D3">
      <w:pPr>
        <w:pStyle w:val="51"/>
        <w:widowControl/>
        <w:ind w:left="0" w:leftChars="0" w:firstLine="0" w:firstLineChars="0"/>
        <w:outlineLvl w:val="1"/>
        <w:rPr>
          <w:highlight w:val="none"/>
        </w:rPr>
      </w:pPr>
      <w:bookmarkStart w:id="96" w:name="_Toc9321"/>
      <w:bookmarkStart w:id="97" w:name="_Toc18338"/>
      <w:bookmarkStart w:id="98" w:name="_Toc16358"/>
      <w:bookmarkStart w:id="99" w:name="_Toc528596085"/>
      <w:bookmarkStart w:id="100" w:name="_Toc16287"/>
      <w:bookmarkStart w:id="101" w:name="_Toc18571"/>
      <w:r>
        <w:rPr>
          <w:highlight w:val="none"/>
        </w:rPr>
        <w:t>法定代表人证明书</w:t>
      </w:r>
    </w:p>
    <w:p w14:paraId="065A54CC">
      <w:pPr>
        <w:pStyle w:val="12"/>
        <w:ind w:left="0" w:leftChars="0" w:firstLine="480" w:firstLineChars="200"/>
        <w:rPr>
          <w:color w:val="auto"/>
        </w:rPr>
      </w:pPr>
      <w:r>
        <w:rPr>
          <w:color w:val="auto"/>
        </w:rPr>
        <w:t>投标人名称：_______________</w:t>
      </w:r>
    </w:p>
    <w:p w14:paraId="5E0FE37B">
      <w:pPr>
        <w:pStyle w:val="12"/>
        <w:ind w:left="0" w:leftChars="0" w:firstLine="480" w:firstLineChars="200"/>
        <w:rPr>
          <w:color w:val="auto"/>
        </w:rPr>
      </w:pPr>
      <w:r>
        <w:rPr>
          <w:color w:val="auto"/>
        </w:rPr>
        <w:t>单位性质：_________________</w:t>
      </w:r>
    </w:p>
    <w:p w14:paraId="518B6CFD">
      <w:pPr>
        <w:pStyle w:val="12"/>
        <w:ind w:left="0" w:leftChars="0" w:firstLine="480" w:firstLineChars="200"/>
        <w:rPr>
          <w:color w:val="auto"/>
        </w:rPr>
      </w:pPr>
      <w:r>
        <w:rPr>
          <w:color w:val="auto"/>
        </w:rPr>
        <w:t>地址：_____________________</w:t>
      </w:r>
    </w:p>
    <w:p w14:paraId="383D3987">
      <w:pPr>
        <w:pStyle w:val="12"/>
        <w:ind w:left="0" w:leftChars="0" w:firstLine="480" w:firstLineChars="200"/>
        <w:rPr>
          <w:color w:val="auto"/>
        </w:rPr>
      </w:pPr>
      <w:r>
        <w:rPr>
          <w:color w:val="auto"/>
        </w:rPr>
        <w:t>成立时间：_________________</w:t>
      </w:r>
    </w:p>
    <w:p w14:paraId="13D9EA55">
      <w:pPr>
        <w:pStyle w:val="12"/>
        <w:ind w:left="0" w:leftChars="0" w:firstLine="480" w:firstLineChars="200"/>
        <w:rPr>
          <w:color w:val="auto"/>
        </w:rPr>
      </w:pPr>
      <w:r>
        <w:rPr>
          <w:color w:val="auto"/>
        </w:rPr>
        <w:t>经营期限：_________________</w:t>
      </w:r>
    </w:p>
    <w:p w14:paraId="2B353CD8">
      <w:pPr>
        <w:pStyle w:val="12"/>
        <w:ind w:left="0" w:leftChars="0" w:firstLine="480" w:firstLineChars="200"/>
        <w:rPr>
          <w:color w:val="auto"/>
        </w:rPr>
      </w:pPr>
      <w:r>
        <w:rPr>
          <w:color w:val="auto"/>
        </w:rPr>
        <w:t>姓名：____性别：___年龄：____职务：_____</w:t>
      </w:r>
    </w:p>
    <w:p w14:paraId="33405DAB">
      <w:pPr>
        <w:pStyle w:val="12"/>
        <w:ind w:left="0" w:leftChars="0" w:firstLine="480" w:firstLineChars="200"/>
        <w:rPr>
          <w:color w:val="auto"/>
        </w:rPr>
      </w:pPr>
      <w:r>
        <w:rPr>
          <w:color w:val="auto"/>
        </w:rPr>
        <w:t>系_____________________________(投标人名称)的法定代表人</w:t>
      </w:r>
    </w:p>
    <w:p w14:paraId="1FF46C1C">
      <w:pPr>
        <w:pStyle w:val="12"/>
        <w:ind w:left="0" w:leftChars="0" w:firstLine="480" w:firstLineChars="200"/>
        <w:rPr>
          <w:color w:val="auto"/>
        </w:rPr>
      </w:pPr>
      <w:r>
        <w:rPr>
          <w:color w:val="auto"/>
        </w:rPr>
        <w:t>特此证明。</w:t>
      </w:r>
    </w:p>
    <w:p w14:paraId="6D77E0C2">
      <w:pPr>
        <w:pStyle w:val="39"/>
        <w:pageBreakBefore w:val="0"/>
        <w:kinsoku/>
        <w:wordWrap w:val="0"/>
        <w:overflowPunct/>
        <w:topLinePunct/>
        <w:autoSpaceDE/>
        <w:autoSpaceDN/>
        <w:bidi w:val="0"/>
        <w:spacing w:after="120" w:afterAutospacing="0" w:line="360" w:lineRule="auto"/>
        <w:ind w:left="480" w:leftChars="0" w:firstLine="0" w:firstLineChars="0"/>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投标人：__________________(盖单位章)</w:t>
      </w:r>
    </w:p>
    <w:p w14:paraId="72C1CEA8">
      <w:pPr>
        <w:pStyle w:val="39"/>
        <w:pageBreakBefore w:val="0"/>
        <w:kinsoku/>
        <w:wordWrap w:val="0"/>
        <w:overflowPunct/>
        <w:topLinePunct/>
        <w:autoSpaceDE/>
        <w:autoSpaceDN/>
        <w:bidi w:val="0"/>
        <w:spacing w:after="120" w:afterAutospacing="0" w:line="360" w:lineRule="auto"/>
        <w:ind w:left="480" w:leftChars="0" w:firstLine="0" w:firstLineChars="0"/>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日期：_____________________</w:t>
      </w:r>
    </w:p>
    <w:p w14:paraId="2853EC1E">
      <w:pPr>
        <w:pStyle w:val="39"/>
        <w:pageBreakBefore w:val="0"/>
        <w:kinsoku/>
        <w:wordWrap w:val="0"/>
        <w:overflowPunct/>
        <w:topLinePunct/>
        <w:autoSpaceDE/>
        <w:autoSpaceDN/>
        <w:bidi w:val="0"/>
        <w:rPr>
          <w:rFonts w:hint="eastAsia" w:ascii="宋体" w:hAnsi="宋体" w:eastAsia="宋体" w:cs="宋体"/>
          <w:color w:val="auto"/>
          <w:sz w:val="28"/>
          <w:szCs w:val="28"/>
        </w:rPr>
      </w:pPr>
    </w:p>
    <w:p w14:paraId="0FB778C5">
      <w:pPr>
        <w:pStyle w:val="39"/>
        <w:pageBreakBefore w:val="0"/>
        <w:kinsoku/>
        <w:wordWrap w:val="0"/>
        <w:overflowPunct/>
        <w:topLinePunct/>
        <w:autoSpaceDE/>
        <w:autoSpaceDN/>
        <w:bidi w:val="0"/>
        <w:rPr>
          <w:rFonts w:hint="eastAsia" w:ascii="宋体" w:hAnsi="宋体" w:eastAsia="宋体" w:cs="宋体"/>
          <w:color w:val="auto"/>
          <w:sz w:val="28"/>
          <w:szCs w:val="28"/>
        </w:rPr>
      </w:pPr>
    </w:p>
    <w:p w14:paraId="684F5B23">
      <w:pPr>
        <w:pStyle w:val="12"/>
        <w:ind w:left="0" w:leftChars="0" w:firstLine="480" w:firstLineChars="200"/>
        <w:rPr>
          <w:color w:val="auto"/>
        </w:rPr>
      </w:pPr>
      <w:r>
        <w:rPr>
          <w:color w:val="auto"/>
        </w:rPr>
        <w:t>法定代表人身份证附件：</w:t>
      </w:r>
    </w:p>
    <w:p w14:paraId="41601DCA">
      <w:pPr>
        <w:rPr>
          <w:highlight w:val="none"/>
        </w:rPr>
      </w:pPr>
      <w:bookmarkStart w:id="102" w:name="_Toc10965"/>
      <w:bookmarkStart w:id="103" w:name="_Toc2127"/>
      <w:bookmarkStart w:id="104" w:name="_Toc5337"/>
      <w:bookmarkStart w:id="105" w:name="_Toc22975"/>
      <w:r>
        <w:rPr>
          <w:highlight w:val="none"/>
        </w:rPr>
        <w:br w:type="page"/>
      </w:r>
    </w:p>
    <w:p w14:paraId="758FB742">
      <w:pPr>
        <w:pStyle w:val="51"/>
        <w:widowControl/>
        <w:ind w:left="0" w:leftChars="0" w:firstLine="0" w:firstLineChars="0"/>
        <w:outlineLvl w:val="1"/>
        <w:rPr>
          <w:highlight w:val="none"/>
        </w:rPr>
      </w:pPr>
      <w:r>
        <w:rPr>
          <w:highlight w:val="none"/>
        </w:rPr>
        <w:t>法定代表人授权委托书</w:t>
      </w:r>
      <w:bookmarkEnd w:id="96"/>
      <w:bookmarkEnd w:id="97"/>
      <w:bookmarkEnd w:id="98"/>
      <w:bookmarkEnd w:id="99"/>
      <w:bookmarkEnd w:id="100"/>
      <w:bookmarkEnd w:id="101"/>
      <w:bookmarkEnd w:id="102"/>
      <w:bookmarkEnd w:id="103"/>
      <w:bookmarkEnd w:id="104"/>
      <w:bookmarkEnd w:id="105"/>
    </w:p>
    <w:p w14:paraId="2ADB526E">
      <w:pPr>
        <w:pStyle w:val="12"/>
        <w:widowControl/>
        <w:ind w:left="0" w:leftChars="0" w:firstLine="480" w:firstLineChars="200"/>
        <w:rPr>
          <w:color w:val="auto"/>
          <w:highlight w:val="none"/>
        </w:rPr>
      </w:pPr>
      <w:r>
        <w:rPr>
          <w:color w:val="auto"/>
          <w:highlight w:val="none"/>
        </w:rPr>
        <w:t>本人</w:t>
      </w:r>
      <w:r>
        <w:rPr>
          <w:color w:val="auto"/>
          <w:highlight w:val="none"/>
          <w:u w:val="single"/>
        </w:rPr>
        <mc:AlternateContent>
          <mc:Choice Requires="wps">
            <w:drawing>
              <wp:anchor distT="0" distB="0" distL="114300" distR="114300" simplePos="0" relativeHeight="251662336" behindDoc="0" locked="0" layoutInCell="1" allowOverlap="1">
                <wp:simplePos x="0" y="0"/>
                <wp:positionH relativeFrom="margin">
                  <wp:posOffset>2882265</wp:posOffset>
                </wp:positionH>
                <wp:positionV relativeFrom="paragraph">
                  <wp:posOffset>304800</wp:posOffset>
                </wp:positionV>
                <wp:extent cx="114935" cy="15367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7945C8EC">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95pt;margin-top:24pt;height:12.1pt;width:9.05pt;mso-position-horizontal-relative:margin;mso-wrap-style:none;z-index:251662336;mso-width-relative:page;mso-height-relative:page;" filled="f" stroked="f" coordsize="21600,21600" o:gfxdata="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ybij1gAAAAkBAAAPAAAAAAAAAAEAIAAAACIAAABkcnMvZG93bnJldi54&#10;bWxQSwECFAAUAAAACACHTuJAjjcAfjUCAABjBAAADgAAAAAAAAABACAAAAAlAQAAZHJzL2Uyb0Rv&#10;Yy54bWxQSwUGAAAAAAYABgBZAQAAzAUAAAAA&#10;">
                <v:fill on="f" focussize="0,0"/>
                <v:stroke on="f" weight="0.5pt"/>
                <v:imagedata o:title=""/>
                <o:lock v:ext="edit" aspectratio="f"/>
                <v:textbox inset="0mm,0mm,0mm,0mm" style="mso-fit-shape-to-text:t;">
                  <w:txbxContent>
                    <w:p w14:paraId="7945C8EC">
                      <w:pPr>
                        <w:pStyle w:val="18"/>
                      </w:pPr>
                    </w:p>
                  </w:txbxContent>
                </v:textbox>
              </v:shape>
            </w:pict>
          </mc:Fallback>
        </mc:AlternateContent>
      </w:r>
      <w:r>
        <w:rPr>
          <w:color w:val="auto"/>
          <w:highlight w:val="none"/>
        </w:rPr>
        <w:t>（法定代表人姓名）系</w:t>
      </w:r>
      <w:r>
        <w:rPr>
          <w:color w:val="auto"/>
          <w:highlight w:val="none"/>
          <w:u w:val="single"/>
        </w:rPr>
        <mc:AlternateContent>
          <mc:Choice Requires="wps">
            <w:drawing>
              <wp:anchor distT="0" distB="0" distL="114300" distR="114300" simplePos="0" relativeHeight="251661312" behindDoc="0" locked="0" layoutInCell="1" allowOverlap="1">
                <wp:simplePos x="0" y="0"/>
                <wp:positionH relativeFrom="margin">
                  <wp:posOffset>2729865</wp:posOffset>
                </wp:positionH>
                <wp:positionV relativeFrom="paragraph">
                  <wp:posOffset>152400</wp:posOffset>
                </wp:positionV>
                <wp:extent cx="114935" cy="1536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00ADAF74">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4.95pt;margin-top:12pt;height:12.1pt;width:9.05pt;mso-position-horizontal-relative:margin;mso-wrap-style:none;z-index:251661312;mso-width-relative:page;mso-height-relative:page;" filled="f" stroked="f" coordsize="21600,21600" o:gfxdata="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qrsKdYAAAAJAQAADwAAAAAAAAABACAAAAAiAAAAZHJzL2Rvd25yZXYueG1s&#10;UEsBAhQAFAAAAAgAh07iQJdM2XszAgAAYwQAAA4AAAAAAAAAAQAgAAAAJQEAAGRycy9lMm9Eb2Mu&#10;eG1sUEsFBgAAAAAGAAYAWQEAAMoFAAAAAA==&#10;">
                <v:fill on="f" focussize="0,0"/>
                <v:stroke on="f" weight="0.5pt"/>
                <v:imagedata o:title=""/>
                <o:lock v:ext="edit" aspectratio="f"/>
                <v:textbox inset="0mm,0mm,0mm,0mm" style="mso-fit-shape-to-text:t;">
                  <w:txbxContent>
                    <w:p w14:paraId="00ADAF74">
                      <w:pPr>
                        <w:pStyle w:val="18"/>
                      </w:pPr>
                    </w:p>
                  </w:txbxContent>
                </v:textbox>
              </v:shape>
            </w:pict>
          </mc:Fallback>
        </mc:AlternateContent>
      </w:r>
      <w:r>
        <w:rPr>
          <w:color w:val="auto"/>
          <w:highlight w:val="none"/>
        </w:rPr>
        <w:t>（投标人名称）的法定代表人，现委派</w:t>
      </w:r>
      <w:r>
        <w:rPr>
          <w:color w:val="auto"/>
          <w:highlight w:val="none"/>
          <w:u w:val="none"/>
        </w:rPr>
        <w:t>（授权代表姓名）为本公司的代理人，代理人根据授权，以我方名义签署、澄清、说明、补正、递交、撤回、修改</w:t>
      </w:r>
      <w:bookmarkStart w:id="106" w:name="_top"/>
      <w:bookmarkEnd w:id="106"/>
      <w:r>
        <w:rPr>
          <w:color w:val="auto"/>
          <w:highlight w:val="none"/>
          <w:u w:val="single"/>
        </w:rPr>
        <mc:AlternateContent>
          <mc:Choice Requires="wps">
            <w:drawing>
              <wp:anchor distT="0" distB="0" distL="114300" distR="114300" simplePos="0" relativeHeight="251660288" behindDoc="0" locked="0" layoutInCell="1" allowOverlap="1">
                <wp:simplePos x="0" y="0"/>
                <wp:positionH relativeFrom="margin">
                  <wp:posOffset>2819400</wp:posOffset>
                </wp:positionH>
                <wp:positionV relativeFrom="paragraph">
                  <wp:posOffset>0</wp:posOffset>
                </wp:positionV>
                <wp:extent cx="114935" cy="1536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3CD03D4F">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2pt;margin-top:0pt;height:12.1pt;width:9.05pt;mso-position-horizontal-relative:margin;mso-wrap-style:none;z-index:251660288;mso-width-relative:page;mso-height-relative:page;" filled="f" stroked="f" coordsize="21600,21600" o:gfxdata="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PFQH9UAAAAHAQAADwAAAAAAAAABACAAAAAiAAAAZHJzL2Rvd25yZXYueG1s&#10;UEsBAhQAFAAAAAgAh07iQBCyEJA0AgAAYwQAAA4AAAAAAAAAAQAgAAAAJAEAAGRycy9lMm9Eb2Mu&#10;eG1sUEsFBgAAAAAGAAYAWQEAAMoFAAAAAA==&#10;">
                <v:fill on="f" focussize="0,0"/>
                <v:stroke on="f" weight="0.5pt"/>
                <v:imagedata o:title=""/>
                <o:lock v:ext="edit" aspectratio="f"/>
                <v:textbox inset="0mm,0mm,0mm,0mm" style="mso-fit-shape-to-text:t;">
                  <w:txbxContent>
                    <w:p w14:paraId="3CD03D4F">
                      <w:pPr>
                        <w:pStyle w:val="18"/>
                      </w:pPr>
                    </w:p>
                  </w:txbxContent>
                </v:textbox>
              </v:shape>
            </w:pict>
          </mc:Fallback>
        </mc:AlternateContent>
      </w:r>
      <w:r>
        <w:rPr>
          <w:color w:val="auto"/>
          <w:highlight w:val="none"/>
          <w:u w:val="none"/>
        </w:rPr>
        <w:t>（项目名称）的谈判响应文</w:t>
      </w:r>
      <w:r>
        <w:rPr>
          <w:color w:val="auto"/>
          <w:highlight w:val="none"/>
        </w:rPr>
        <w:t>件、签订合同、和处理有关事宜，其法律后果由我方承担。</w:t>
      </w:r>
    </w:p>
    <w:p w14:paraId="04DB8300">
      <w:pPr>
        <w:pStyle w:val="12"/>
        <w:widowControl/>
        <w:ind w:left="0" w:leftChars="0" w:firstLine="480" w:firstLineChars="200"/>
        <w:rPr>
          <w:color w:val="auto"/>
          <w:highlight w:val="none"/>
        </w:rPr>
      </w:pPr>
      <w:r>
        <w:rPr>
          <w:color w:val="auto"/>
          <w:highlight w:val="none"/>
        </w:rPr>
        <w:t>委托期限：</w:t>
      </w:r>
      <w:r>
        <w:rPr>
          <w:color w:val="auto"/>
          <w:highlight w:val="none"/>
          <w:u w:val="none"/>
        </w:rPr>
        <w:t>。</w:t>
      </w:r>
    </w:p>
    <w:tbl>
      <w:tblPr>
        <w:tblStyle w:val="2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3046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12D9438C">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firstLine="8" w:firstLineChars="3"/>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法定代表人身份证复印件</w:t>
            </w:r>
          </w:p>
          <w:p w14:paraId="657EFC38">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firstLine="8" w:firstLineChars="3"/>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153D6F98">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w:t>
            </w:r>
          </w:p>
          <w:p w14:paraId="4C71807E">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身份证复印件</w:t>
            </w:r>
          </w:p>
          <w:p w14:paraId="7AB1D10D">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（一面）</w:t>
            </w:r>
          </w:p>
        </w:tc>
      </w:tr>
      <w:tr w14:paraId="2D77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7AD01888">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法定代表人身份证复印件</w:t>
            </w:r>
          </w:p>
          <w:p w14:paraId="55D68AC2">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（另一面）</w:t>
            </w:r>
          </w:p>
        </w:tc>
        <w:tc>
          <w:tcPr>
            <w:tcW w:w="4098" w:type="dxa"/>
            <w:noWrap w:val="0"/>
            <w:vAlign w:val="center"/>
          </w:tcPr>
          <w:p w14:paraId="288A62F9">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w:t>
            </w:r>
          </w:p>
          <w:p w14:paraId="007F978F">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身份证复印件</w:t>
            </w:r>
          </w:p>
          <w:p w14:paraId="74748F30">
            <w:pPr>
              <w:keepNext w:val="0"/>
              <w:keepLines w:val="0"/>
              <w:pageBreakBefore w:val="0"/>
              <w:suppressLineNumbers w:val="0"/>
              <w:kinsoku/>
              <w:wordWrap w:val="0"/>
              <w:overflowPunct/>
              <w:topLinePunct/>
              <w:autoSpaceDE/>
              <w:autoSpaceDN/>
              <w:bidi w:val="0"/>
              <w:spacing w:before="0" w:beforeAutospacing="0" w:after="0" w:afterAutospacing="0" w:line="500" w:lineRule="exact"/>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（另一面）</w:t>
            </w:r>
          </w:p>
        </w:tc>
      </w:tr>
    </w:tbl>
    <w:p w14:paraId="73B524A9">
      <w:pPr>
        <w:pageBreakBefore w:val="0"/>
        <w:tabs>
          <w:tab w:val="right" w:pos="8931"/>
        </w:tabs>
        <w:kinsoku/>
        <w:wordWrap w:val="0"/>
        <w:overflowPunct/>
        <w:topLinePunct/>
        <w:autoSpaceDE/>
        <w:autoSpaceDN/>
        <w:bidi w:val="0"/>
        <w:spacing w:after="120" w:afterAutospacing="0" w:line="360" w:lineRule="auto"/>
        <w:ind w:firstLine="440" w:firstLineChars="20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pacing w:val="-10"/>
          <w:sz w:val="24"/>
          <w:szCs w:val="28"/>
          <w:highlight w:val="none"/>
          <w:u w:val="single"/>
          <w:lang w:eastAsia="zh-CN"/>
        </w:rPr>
        <w:t>投标人</w:t>
      </w:r>
      <w:r>
        <w:rPr>
          <w:rFonts w:hint="eastAsia" w:ascii="Times New Roman" w:hAnsi="Times New Roman" w:eastAsia="宋体" w:cs="Times New Roman"/>
          <w:color w:val="auto"/>
          <w:spacing w:val="-10"/>
          <w:sz w:val="24"/>
          <w:szCs w:val="28"/>
          <w:highlight w:val="none"/>
          <w:u w:val="single"/>
        </w:rPr>
        <w:t>全称</w:t>
      </w:r>
      <w:r>
        <w:rPr>
          <w:rFonts w:hint="eastAsia" w:ascii="Times New Roman" w:hAnsi="Times New Roman" w:eastAsia="宋体" w:cs="Times New Roman"/>
          <w:color w:val="auto"/>
          <w:sz w:val="24"/>
          <w:szCs w:val="28"/>
          <w:highlight w:val="none"/>
        </w:rPr>
        <w:t>（公章）法定代表人：（签字或盖章）</w:t>
      </w:r>
    </w:p>
    <w:p w14:paraId="56CD9E57">
      <w:pPr>
        <w:pageBreakBefore w:val="0"/>
        <w:kinsoku/>
        <w:wordWrap w:val="0"/>
        <w:overflowPunct/>
        <w:topLinePunct/>
        <w:autoSpaceDE/>
        <w:autoSpaceDN/>
        <w:bidi w:val="0"/>
        <w:spacing w:after="120" w:afterAutospacing="0" w:line="360" w:lineRule="auto"/>
        <w:ind w:firstLine="4910" w:firstLineChars="2046"/>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日期：　年　月　日</w:t>
      </w:r>
    </w:p>
    <w:p w14:paraId="6FDBE645">
      <w:pPr>
        <w:pStyle w:val="12"/>
        <w:widowControl/>
        <w:ind w:left="0" w:leftChars="0" w:firstLine="480" w:firstLineChars="200"/>
        <w:rPr>
          <w:color w:val="auto"/>
          <w:highlight w:val="none"/>
        </w:rPr>
      </w:pPr>
      <w:r>
        <w:rPr>
          <w:color w:val="auto"/>
          <w:highlight w:val="none"/>
        </w:rPr>
        <w:t>备注：1、法定代表人亲自参加投标的，无需提供该委托授权书，但须提供法定代表人本人身份证（正反面）复印件。</w:t>
      </w:r>
    </w:p>
    <w:p w14:paraId="793D0F1B">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163BEED7">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4306BE09">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3A64C705">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2B192F1B">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5300DADF">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1D61B02F">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051B18E9">
      <w:pPr>
        <w:pageBreakBefore w:val="0"/>
        <w:widowControl w:val="0"/>
        <w:numPr>
          <w:ilvl w:val="0"/>
          <w:numId w:val="0"/>
        </w:numPr>
        <w:kinsoku/>
        <w:wordWrap w:val="0"/>
        <w:overflowPunct/>
        <w:topLinePunct/>
        <w:autoSpaceDE/>
        <w:autoSpaceDN/>
        <w:bidi w:val="0"/>
        <w:jc w:val="both"/>
        <w:rPr>
          <w:rFonts w:hint="eastAsia" w:ascii="宋体" w:hAnsi="宋体" w:eastAsia="宋体" w:cs="宋体"/>
          <w:color w:val="auto"/>
          <w:kern w:val="2"/>
          <w:sz w:val="28"/>
          <w:szCs w:val="28"/>
          <w:highlight w:val="none"/>
          <w:lang w:val="en-US" w:eastAsia="zh-CN" w:bidi="ar"/>
        </w:rPr>
      </w:pPr>
    </w:p>
    <w:p w14:paraId="3C9F8EFA">
      <w:pPr>
        <w:pageBreakBefore w:val="0"/>
        <w:kinsoku/>
        <w:wordWrap w:val="0"/>
        <w:overflowPunct/>
        <w:topLinePunct/>
        <w:autoSpaceDE/>
        <w:autoSpaceDN/>
        <w:bidi w:val="0"/>
        <w:jc w:val="both"/>
        <w:rPr>
          <w:rFonts w:hint="eastAsia" w:ascii="宋体" w:hAnsi="宋体" w:eastAsia="宋体" w:cs="宋体"/>
          <w:b/>
          <w:bCs/>
          <w:color w:val="auto"/>
          <w:sz w:val="28"/>
          <w:szCs w:val="28"/>
          <w:highlight w:val="none"/>
          <w:lang w:val="en-US" w:eastAsia="zh-CN"/>
        </w:rPr>
      </w:pPr>
    </w:p>
    <w:bookmarkEnd w:id="93"/>
    <w:p w14:paraId="31BC0ACB">
      <w:pPr>
        <w:rPr>
          <w:highlight w:val="none"/>
        </w:rPr>
      </w:pPr>
      <w:bookmarkStart w:id="107" w:name="_Toc10827"/>
      <w:bookmarkStart w:id="108" w:name="_Toc12982"/>
      <w:bookmarkStart w:id="109" w:name="_Toc10245"/>
      <w:r>
        <w:rPr>
          <w:highlight w:val="none"/>
        </w:rPr>
        <w:br w:type="page"/>
      </w:r>
    </w:p>
    <w:p w14:paraId="251F724E">
      <w:pPr>
        <w:pStyle w:val="50"/>
        <w:widowControl/>
        <w:tabs>
          <w:tab w:val="left" w:pos="0"/>
        </w:tabs>
        <w:ind w:left="0" w:leftChars="0" w:firstLine="0" w:firstLineChars="0"/>
        <w:outlineLvl w:val="0"/>
        <w:rPr>
          <w:highlight w:val="none"/>
        </w:rPr>
      </w:pPr>
      <w:r>
        <w:rPr>
          <w:highlight w:val="none"/>
        </w:rPr>
        <w:t xml:space="preserve">第四部分 </w:t>
      </w:r>
      <w:bookmarkEnd w:id="107"/>
      <w:bookmarkEnd w:id="108"/>
      <w:bookmarkEnd w:id="109"/>
      <w:r>
        <w:rPr>
          <w:highlight w:val="none"/>
        </w:rPr>
        <w:t>拒绝采购领域商业贿赂承诺书</w:t>
      </w:r>
    </w:p>
    <w:p w14:paraId="368F1E3B">
      <w:pPr>
        <w:pStyle w:val="12"/>
        <w:widowControl/>
        <w:ind w:left="0" w:leftChars="0" w:firstLine="480" w:firstLineChars="200"/>
        <w:rPr>
          <w:color w:val="auto"/>
        </w:rPr>
      </w:pPr>
      <w:r>
        <w:rPr>
          <w:color w:val="auto"/>
        </w:rPr>
        <w:t>未签署下列承诺书的，其责任由投标人自行承担。</w:t>
      </w:r>
    </w:p>
    <w:p w14:paraId="755ADA3C">
      <w:pPr>
        <w:pStyle w:val="51"/>
        <w:widowControl/>
        <w:ind w:left="0" w:leftChars="0" w:firstLine="0" w:firstLineChars="0"/>
        <w:outlineLvl w:val="9"/>
      </w:pPr>
      <w:bookmarkStart w:id="110" w:name="_Toc14284"/>
      <w:r>
        <w:t>拒绝采购领域商业贿赂承诺书</w:t>
      </w:r>
      <w:bookmarkEnd w:id="110"/>
    </w:p>
    <w:p w14:paraId="7A1D5587">
      <w:pPr>
        <w:pStyle w:val="12"/>
        <w:widowControl/>
        <w:ind w:left="0" w:leftChars="0" w:firstLine="480" w:firstLineChars="200"/>
        <w:rPr>
          <w:color w:val="auto"/>
        </w:rPr>
      </w:pPr>
      <w:r>
        <w:rPr>
          <w:color w:val="auto"/>
        </w:rPr>
        <w:t>为响应党中央、国务院关于治理招标领域商业贿赂行为的号召，我公司在此庄严承诺：</w:t>
      </w:r>
    </w:p>
    <w:p w14:paraId="777BE5C9">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在参与采购活动中遵纪守法、诚信经营、公平竞标。</w:t>
      </w:r>
    </w:p>
    <w:p w14:paraId="0089AE3C">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不向招标人、招标代理机构和评审专家进行任何形式的商业贿赂以谋取交易机会。</w:t>
      </w:r>
    </w:p>
    <w:p w14:paraId="22FF82A2">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不向招标代理机构和招标人提供虚假资质文件或采用虚假应标方式参与采购市场竞争并谋取中标、成交。</w:t>
      </w:r>
    </w:p>
    <w:p w14:paraId="2ECA4FCC">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不采取“围标、陪标”等商业欺诈手段获得采购定单。</w:t>
      </w:r>
    </w:p>
    <w:p w14:paraId="3CB1C87A">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不采取不正当手段诋毁、排挤其他投标人。</w:t>
      </w:r>
    </w:p>
    <w:p w14:paraId="483D827F">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不在提供商品和服务时“偷梁换柱、以次充好”损害招标人的合法权益。</w:t>
      </w:r>
    </w:p>
    <w:p w14:paraId="15B02E94">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不与招标人、招标代理机构、评审专家或其它投标人恶意串通，进行质疑和投诉，维护招标市场秩序。</w:t>
      </w:r>
    </w:p>
    <w:p w14:paraId="3FCBC496">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尊重和接受采购监督管理部门的监督和招标代理机构招标采购要求，承担因违约行为给招标人造成的损失。</w:t>
      </w:r>
    </w:p>
    <w:p w14:paraId="2444A6AB">
      <w:pPr>
        <w:pStyle w:val="12"/>
        <w:widowControl/>
        <w:numPr>
          <w:ilvl w:val="0"/>
          <w:numId w:val="67"/>
        </w:numPr>
        <w:tabs>
          <w:tab w:val="left" w:pos="840"/>
        </w:tabs>
        <w:topLinePunct w:val="0"/>
        <w:ind w:left="0" w:leftChars="0" w:firstLine="480" w:firstLineChars="200"/>
        <w:rPr>
          <w:rFonts w:hint="eastAsia" w:ascii="宋体" w:hAnsi="宋体" w:eastAsia="宋体" w:cs="宋体"/>
          <w:b w:val="0"/>
          <w:color w:val="auto"/>
        </w:rPr>
      </w:pPr>
      <w:r>
        <w:rPr>
          <w:color w:val="auto"/>
        </w:rPr>
        <w:t>不发生其他有悖于招标公开、公平、公正和诚信原则的行为。</w:t>
      </w:r>
    </w:p>
    <w:p w14:paraId="034A203C">
      <w:pPr>
        <w:pageBreakBefore w:val="0"/>
        <w:kinsoku/>
        <w:wordWrap w:val="0"/>
        <w:overflowPunct/>
        <w:topLinePunct/>
        <w:autoSpaceDE/>
        <w:autoSpaceDN/>
        <w:bidi w:val="0"/>
        <w:spacing w:line="240" w:lineRule="auto"/>
        <w:jc w:val="both"/>
        <w:rPr>
          <w:rFonts w:hint="eastAsia" w:ascii="宋体" w:hAnsi="宋体" w:eastAsia="宋体" w:cs="宋体"/>
          <w:color w:val="auto"/>
          <w:sz w:val="28"/>
          <w:szCs w:val="28"/>
          <w:highlight w:val="none"/>
        </w:rPr>
      </w:pPr>
    </w:p>
    <w:p w14:paraId="34C8A132">
      <w:pPr>
        <w:pageBreakBefore w:val="0"/>
        <w:kinsoku/>
        <w:wordWrap w:val="0"/>
        <w:overflowPunct/>
        <w:topLinePunct/>
        <w:autoSpaceDE/>
        <w:autoSpaceDN/>
        <w:bidi w:val="0"/>
        <w:adjustRightInd w:val="0"/>
        <w:snapToGrid w:val="0"/>
        <w:spacing w:after="120" w:afterAutospacing="0" w:line="360" w:lineRule="auto"/>
        <w:ind w:firstLine="480" w:firstLineChars="200"/>
        <w:jc w:val="both"/>
        <w:rPr>
          <w:rFonts w:hint="eastAsia"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lang w:eastAsia="zh-CN"/>
        </w:rPr>
        <w:t>投标人</w:t>
      </w:r>
      <w:r>
        <w:rPr>
          <w:rFonts w:hint="eastAsia" w:ascii="Times New Roman" w:hAnsi="Times New Roman" w:eastAsia="宋体" w:cs="Times New Roman"/>
          <w:color w:val="auto"/>
          <w:kern w:val="0"/>
          <w:sz w:val="24"/>
          <w:szCs w:val="28"/>
          <w:highlight w:val="none"/>
        </w:rPr>
        <w:t>：名称（盖章）</w:t>
      </w:r>
    </w:p>
    <w:p w14:paraId="7AFDA003">
      <w:pPr>
        <w:pageBreakBefore w:val="0"/>
        <w:kinsoku/>
        <w:wordWrap w:val="0"/>
        <w:overflowPunct/>
        <w:topLinePunct/>
        <w:autoSpaceDE/>
        <w:autoSpaceDN/>
        <w:bidi w:val="0"/>
        <w:adjustRightInd w:val="0"/>
        <w:snapToGrid w:val="0"/>
        <w:spacing w:after="120" w:afterAutospacing="0" w:line="360" w:lineRule="auto"/>
        <w:ind w:firstLine="480" w:firstLineChars="200"/>
        <w:jc w:val="both"/>
        <w:rPr>
          <w:rFonts w:hint="eastAsia"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rPr>
        <w:t>法定代表人或授权代表：（签字或盖章）</w:t>
      </w:r>
    </w:p>
    <w:p w14:paraId="1870DBF1">
      <w:pPr>
        <w:pageBreakBefore w:val="0"/>
        <w:kinsoku/>
        <w:wordWrap w:val="0"/>
        <w:overflowPunct/>
        <w:topLinePunct/>
        <w:autoSpaceDE/>
        <w:autoSpaceDN/>
        <w:bidi w:val="0"/>
        <w:adjustRightInd w:val="0"/>
        <w:snapToGrid w:val="0"/>
        <w:spacing w:after="120" w:afterAutospacing="0" w:line="360" w:lineRule="auto"/>
        <w:ind w:firstLine="480" w:firstLineChars="200"/>
        <w:jc w:val="both"/>
        <w:rPr>
          <w:rFonts w:hint="eastAsia"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rPr>
        <w:t>日期：　　年　月　日</w:t>
      </w:r>
    </w:p>
    <w:p w14:paraId="3147AF27">
      <w:pPr>
        <w:pStyle w:val="16"/>
        <w:pageBreakBefore w:val="0"/>
        <w:kinsoku/>
        <w:wordWrap w:val="0"/>
        <w:overflowPunct/>
        <w:topLinePunct/>
        <w:autoSpaceDE/>
        <w:autoSpaceDN/>
        <w:bidi w:val="0"/>
        <w:spacing w:line="240" w:lineRule="auto"/>
        <w:jc w:val="both"/>
        <w:rPr>
          <w:rFonts w:hint="eastAsia" w:ascii="宋体" w:hAnsi="宋体" w:eastAsia="宋体" w:cs="宋体"/>
          <w:color w:val="auto"/>
          <w:sz w:val="28"/>
          <w:szCs w:val="28"/>
          <w:shd w:val="clear" w:color="auto" w:fill="FFFFFF"/>
          <w:lang w:val="en-US"/>
        </w:rPr>
      </w:pPr>
    </w:p>
    <w:p w14:paraId="6D3C2655">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right="0"/>
        <w:jc w:val="both"/>
        <w:rPr>
          <w:rFonts w:hint="eastAsia" w:ascii="宋体" w:hAnsi="宋体" w:eastAsia="宋体" w:cs="宋体"/>
          <w:b/>
          <w:bCs w:val="0"/>
          <w:color w:val="auto"/>
          <w:sz w:val="28"/>
          <w:szCs w:val="28"/>
          <w:lang w:val="en-US"/>
        </w:rPr>
      </w:pPr>
    </w:p>
    <w:p w14:paraId="39DF622A">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right="0"/>
        <w:jc w:val="both"/>
        <w:rPr>
          <w:rFonts w:hint="eastAsia" w:ascii="宋体" w:hAnsi="宋体" w:eastAsia="宋体" w:cs="宋体"/>
          <w:b/>
          <w:bCs w:val="0"/>
          <w:color w:val="auto"/>
          <w:sz w:val="28"/>
          <w:szCs w:val="28"/>
          <w:lang w:val="en-US"/>
        </w:rPr>
      </w:pPr>
    </w:p>
    <w:p w14:paraId="1F3223C0">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right="0"/>
        <w:jc w:val="both"/>
        <w:rPr>
          <w:rFonts w:hint="eastAsia" w:ascii="宋体" w:hAnsi="宋体" w:eastAsia="宋体" w:cs="宋体"/>
          <w:b/>
          <w:bCs w:val="0"/>
          <w:color w:val="auto"/>
          <w:sz w:val="28"/>
          <w:szCs w:val="28"/>
          <w:lang w:val="en-US"/>
        </w:rPr>
      </w:pPr>
    </w:p>
    <w:p w14:paraId="40F986D7">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right="0"/>
        <w:jc w:val="both"/>
        <w:rPr>
          <w:rFonts w:hint="eastAsia" w:ascii="宋体" w:hAnsi="宋体" w:eastAsia="宋体" w:cs="宋体"/>
          <w:b/>
          <w:bCs w:val="0"/>
          <w:color w:val="auto"/>
          <w:sz w:val="28"/>
          <w:szCs w:val="28"/>
          <w:lang w:val="en-US"/>
        </w:rPr>
      </w:pPr>
    </w:p>
    <w:p w14:paraId="15E6C758">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right="0"/>
        <w:jc w:val="both"/>
        <w:rPr>
          <w:rFonts w:hint="eastAsia" w:ascii="宋体" w:hAnsi="宋体" w:eastAsia="宋体" w:cs="宋体"/>
          <w:b/>
          <w:bCs w:val="0"/>
          <w:color w:val="auto"/>
          <w:sz w:val="28"/>
          <w:szCs w:val="28"/>
          <w:lang w:val="en-US"/>
        </w:rPr>
      </w:pPr>
    </w:p>
    <w:p w14:paraId="27559985">
      <w:pPr>
        <w:pStyle w:val="3"/>
        <w:numPr>
          <w:ilvl w:val="0"/>
          <w:numId w:val="0"/>
        </w:numPr>
        <w:shd w:val="clear" w:color="auto" w:fill="auto"/>
        <w:ind w:leftChars="0"/>
        <w:jc w:val="center"/>
        <w:rPr>
          <w:rFonts w:hint="eastAsia" w:ascii="黑体" w:hAnsi="黑体" w:eastAsia="黑体" w:cs="黑体"/>
          <w:b w:val="0"/>
          <w:color w:val="000000"/>
          <w:highlight w:val="none"/>
        </w:rPr>
      </w:pPr>
      <w:bookmarkStart w:id="111" w:name="_Toc6327"/>
      <w:bookmarkStart w:id="112" w:name="_Toc9476"/>
      <w:bookmarkStart w:id="113" w:name="_Toc7749"/>
      <w:r>
        <w:rPr>
          <w:highlight w:val="none"/>
        </w:rPr>
        <w:t xml:space="preserve">第五部分 </w:t>
      </w:r>
      <w:bookmarkEnd w:id="111"/>
      <w:bookmarkEnd w:id="112"/>
      <w:bookmarkEnd w:id="113"/>
      <w:r>
        <w:rPr>
          <w:highlight w:val="none"/>
        </w:rPr>
        <w:t>响应说明</w:t>
      </w:r>
    </w:p>
    <w:p w14:paraId="5A83537E">
      <w:pPr>
        <w:pStyle w:val="3"/>
        <w:numPr>
          <w:ilvl w:val="0"/>
          <w:numId w:val="0"/>
        </w:numPr>
        <w:shd w:val="clear" w:color="auto" w:fill="auto"/>
        <w:ind w:leftChars="0"/>
        <w:rPr>
          <w:rFonts w:hint="eastAsia" w:ascii="黑体" w:hAnsi="黑体" w:eastAsia="黑体" w:cs="黑体"/>
          <w:b w:val="0"/>
          <w:color w:val="000000"/>
          <w:highlight w:val="none"/>
        </w:rPr>
      </w:pPr>
      <w:r>
        <w:rPr>
          <w:rFonts w:hint="eastAsia"/>
          <w:color w:val="000000"/>
          <w:highlight w:val="none"/>
          <w:lang w:val="en-US" w:eastAsia="zh-CN"/>
        </w:rPr>
        <w:t>5.1</w:t>
      </w:r>
      <w:r>
        <w:rPr>
          <w:color w:val="000000"/>
          <w:highlight w:val="none"/>
        </w:rPr>
        <w:t>投标人的基本情况介绍和资格声明（格式）</w:t>
      </w:r>
    </w:p>
    <w:tbl>
      <w:tblPr>
        <w:tblStyle w:val="28"/>
        <w:tblW w:w="9183"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2"/>
        <w:gridCol w:w="665"/>
        <w:gridCol w:w="1529"/>
        <w:gridCol w:w="1413"/>
        <w:gridCol w:w="1556"/>
        <w:gridCol w:w="1408"/>
      </w:tblGrid>
      <w:tr w14:paraId="20FAC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183" w:type="dxa"/>
            <w:gridSpan w:val="6"/>
            <w:tcBorders>
              <w:top w:val="single" w:color="000000" w:sz="10" w:space="0"/>
              <w:left w:val="single" w:color="000000" w:sz="10" w:space="0"/>
              <w:right w:val="single" w:color="000000" w:sz="10" w:space="0"/>
            </w:tcBorders>
            <w:shd w:val="clear" w:color="auto" w:fill="F7CAAC"/>
            <w:noWrap w:val="0"/>
            <w:vAlign w:val="top"/>
          </w:tcPr>
          <w:p w14:paraId="45FD856B">
            <w:pPr>
              <w:pStyle w:val="29"/>
              <w:keepNext w:val="0"/>
              <w:keepLines w:val="0"/>
              <w:pageBreakBefore w:val="0"/>
              <w:widowControl/>
              <w:shd w:val="clear" w:color="auto" w:fill="auto"/>
              <w:kinsoku/>
              <w:wordWrap w:val="0"/>
              <w:overflowPunct/>
              <w:topLinePunct/>
              <w:autoSpaceDE/>
              <w:autoSpaceDN/>
              <w:bidi w:val="0"/>
              <w:adjustRightInd w:val="0"/>
              <w:snapToGrid w:val="0"/>
              <w:spacing w:before="87" w:line="240" w:lineRule="auto"/>
              <w:ind w:left="375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单位基本情况</w:t>
            </w:r>
          </w:p>
        </w:tc>
      </w:tr>
      <w:tr w14:paraId="44417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2612" w:type="dxa"/>
            <w:tcBorders>
              <w:left w:val="single" w:color="000000" w:sz="10" w:space="0"/>
            </w:tcBorders>
            <w:noWrap w:val="0"/>
            <w:vAlign w:val="top"/>
          </w:tcPr>
          <w:p w14:paraId="0A8C7B08">
            <w:pPr>
              <w:pStyle w:val="29"/>
              <w:keepNext w:val="0"/>
              <w:keepLines w:val="0"/>
              <w:pageBreakBefore w:val="0"/>
              <w:widowControl/>
              <w:shd w:val="clear" w:color="auto" w:fill="auto"/>
              <w:kinsoku/>
              <w:wordWrap w:val="0"/>
              <w:overflowPunct/>
              <w:topLinePunct/>
              <w:autoSpaceDE/>
              <w:autoSpaceDN/>
              <w:bidi w:val="0"/>
              <w:adjustRightInd w:val="0"/>
              <w:snapToGrid w:val="0"/>
              <w:spacing w:before="137" w:line="240" w:lineRule="auto"/>
              <w:ind w:left="602"/>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lang w:eastAsia="zh-CN"/>
              </w:rPr>
              <w:t>投标人</w:t>
            </w:r>
            <w:r>
              <w:rPr>
                <w:rFonts w:hint="eastAsia" w:ascii="宋体" w:hAnsi="宋体" w:eastAsia="宋体" w:cs="宋体"/>
                <w:color w:val="000000"/>
                <w:spacing w:val="-2"/>
                <w:sz w:val="24"/>
                <w:szCs w:val="24"/>
                <w:highlight w:val="none"/>
              </w:rPr>
              <w:t>全称</w:t>
            </w:r>
          </w:p>
        </w:tc>
        <w:tc>
          <w:tcPr>
            <w:tcW w:w="6571" w:type="dxa"/>
            <w:gridSpan w:val="5"/>
            <w:tcBorders>
              <w:right w:val="single" w:color="000000" w:sz="10" w:space="0"/>
            </w:tcBorders>
            <w:noWrap w:val="0"/>
            <w:vAlign w:val="top"/>
          </w:tcPr>
          <w:p w14:paraId="6A76F02F">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0DA94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2612" w:type="dxa"/>
            <w:tcBorders>
              <w:left w:val="single" w:color="000000" w:sz="10" w:space="0"/>
            </w:tcBorders>
            <w:noWrap w:val="0"/>
            <w:vAlign w:val="top"/>
          </w:tcPr>
          <w:p w14:paraId="4BAB2DA8">
            <w:pPr>
              <w:pStyle w:val="29"/>
              <w:keepNext w:val="0"/>
              <w:keepLines w:val="0"/>
              <w:pageBreakBefore w:val="0"/>
              <w:widowControl/>
              <w:shd w:val="clear" w:color="auto" w:fill="auto"/>
              <w:kinsoku/>
              <w:wordWrap w:val="0"/>
              <w:overflowPunct/>
              <w:topLinePunct/>
              <w:autoSpaceDE/>
              <w:autoSpaceDN/>
              <w:bidi w:val="0"/>
              <w:adjustRightInd w:val="0"/>
              <w:snapToGrid w:val="0"/>
              <w:spacing w:before="140" w:line="240" w:lineRule="auto"/>
              <w:ind w:left="742"/>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注册地址</w:t>
            </w:r>
          </w:p>
        </w:tc>
        <w:tc>
          <w:tcPr>
            <w:tcW w:w="2194" w:type="dxa"/>
            <w:gridSpan w:val="2"/>
            <w:noWrap w:val="0"/>
            <w:vAlign w:val="top"/>
          </w:tcPr>
          <w:p w14:paraId="76B83771">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413" w:type="dxa"/>
            <w:noWrap w:val="0"/>
            <w:vAlign w:val="top"/>
          </w:tcPr>
          <w:p w14:paraId="33397BC7">
            <w:pPr>
              <w:pStyle w:val="29"/>
              <w:keepNext w:val="0"/>
              <w:keepLines w:val="0"/>
              <w:pageBreakBefore w:val="0"/>
              <w:widowControl/>
              <w:shd w:val="clear" w:color="auto" w:fill="auto"/>
              <w:kinsoku/>
              <w:wordWrap w:val="0"/>
              <w:overflowPunct/>
              <w:topLinePunct/>
              <w:autoSpaceDE/>
              <w:autoSpaceDN/>
              <w:bidi w:val="0"/>
              <w:adjustRightInd w:val="0"/>
              <w:snapToGrid w:val="0"/>
              <w:spacing w:before="140" w:line="240" w:lineRule="auto"/>
              <w:ind w:left="15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成立时间</w:t>
            </w:r>
          </w:p>
        </w:tc>
        <w:tc>
          <w:tcPr>
            <w:tcW w:w="2964" w:type="dxa"/>
            <w:gridSpan w:val="2"/>
            <w:tcBorders>
              <w:right w:val="single" w:color="000000" w:sz="10" w:space="0"/>
            </w:tcBorders>
            <w:noWrap w:val="0"/>
            <w:vAlign w:val="top"/>
          </w:tcPr>
          <w:p w14:paraId="14773E32">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112C9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2612" w:type="dxa"/>
            <w:tcBorders>
              <w:left w:val="single" w:color="000000" w:sz="10" w:space="0"/>
            </w:tcBorders>
            <w:noWrap w:val="0"/>
            <w:vAlign w:val="top"/>
          </w:tcPr>
          <w:p w14:paraId="4E4F7C17">
            <w:pPr>
              <w:pStyle w:val="29"/>
              <w:keepNext w:val="0"/>
              <w:keepLines w:val="0"/>
              <w:pageBreakBefore w:val="0"/>
              <w:widowControl/>
              <w:shd w:val="clear" w:color="auto" w:fill="auto"/>
              <w:kinsoku/>
              <w:wordWrap w:val="0"/>
              <w:overflowPunct/>
              <w:topLinePunct/>
              <w:autoSpaceDE/>
              <w:autoSpaceDN/>
              <w:bidi w:val="0"/>
              <w:adjustRightInd w:val="0"/>
              <w:snapToGrid w:val="0"/>
              <w:spacing w:before="139" w:line="240" w:lineRule="auto"/>
              <w:ind w:left="74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登记证号</w:t>
            </w:r>
          </w:p>
        </w:tc>
        <w:tc>
          <w:tcPr>
            <w:tcW w:w="2194" w:type="dxa"/>
            <w:gridSpan w:val="2"/>
            <w:noWrap w:val="0"/>
            <w:vAlign w:val="top"/>
          </w:tcPr>
          <w:p w14:paraId="52B3946E">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413" w:type="dxa"/>
            <w:noWrap w:val="0"/>
            <w:vAlign w:val="top"/>
          </w:tcPr>
          <w:p w14:paraId="7893189E">
            <w:pPr>
              <w:pStyle w:val="29"/>
              <w:keepNext w:val="0"/>
              <w:keepLines w:val="0"/>
              <w:pageBreakBefore w:val="0"/>
              <w:widowControl/>
              <w:shd w:val="clear" w:color="auto" w:fill="auto"/>
              <w:kinsoku/>
              <w:wordWrap w:val="0"/>
              <w:overflowPunct/>
              <w:topLinePunct/>
              <w:autoSpaceDE/>
              <w:autoSpaceDN/>
              <w:bidi w:val="0"/>
              <w:adjustRightInd w:val="0"/>
              <w:snapToGrid w:val="0"/>
              <w:spacing w:before="138" w:line="240" w:lineRule="auto"/>
              <w:ind w:left="15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单位性质</w:t>
            </w:r>
          </w:p>
        </w:tc>
        <w:tc>
          <w:tcPr>
            <w:tcW w:w="2964" w:type="dxa"/>
            <w:gridSpan w:val="2"/>
            <w:tcBorders>
              <w:right w:val="single" w:color="000000" w:sz="10" w:space="0"/>
            </w:tcBorders>
            <w:noWrap w:val="0"/>
            <w:vAlign w:val="top"/>
          </w:tcPr>
          <w:p w14:paraId="489994A5">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14CA6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2612" w:type="dxa"/>
            <w:tcBorders>
              <w:left w:val="single" w:color="000000" w:sz="10" w:space="0"/>
            </w:tcBorders>
            <w:noWrap w:val="0"/>
            <w:vAlign w:val="top"/>
          </w:tcPr>
          <w:p w14:paraId="2E75CF43">
            <w:pPr>
              <w:pStyle w:val="29"/>
              <w:keepNext w:val="0"/>
              <w:keepLines w:val="0"/>
              <w:pageBreakBefore w:val="0"/>
              <w:widowControl/>
              <w:shd w:val="clear" w:color="auto" w:fill="auto"/>
              <w:kinsoku/>
              <w:wordWrap w:val="0"/>
              <w:overflowPunct/>
              <w:topLinePunct/>
              <w:autoSpaceDE/>
              <w:autoSpaceDN/>
              <w:bidi w:val="0"/>
              <w:adjustRightInd w:val="0"/>
              <w:snapToGrid w:val="0"/>
              <w:spacing w:before="17" w:line="240" w:lineRule="auto"/>
              <w:ind w:left="510" w:right="462" w:firstLine="93"/>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法定代表人</w:t>
            </w:r>
            <w:r>
              <w:rPr>
                <w:rFonts w:hint="eastAsia" w:ascii="宋体" w:hAnsi="宋体" w:eastAsia="宋体" w:cs="宋体"/>
                <w:color w:val="000000"/>
                <w:spacing w:val="-9"/>
                <w:sz w:val="24"/>
                <w:szCs w:val="24"/>
                <w:highlight w:val="none"/>
              </w:rPr>
              <w:t>(主要负责人)</w:t>
            </w:r>
          </w:p>
        </w:tc>
        <w:tc>
          <w:tcPr>
            <w:tcW w:w="2194" w:type="dxa"/>
            <w:gridSpan w:val="2"/>
            <w:noWrap w:val="0"/>
            <w:vAlign w:val="top"/>
          </w:tcPr>
          <w:p w14:paraId="2CE2C3F5">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413" w:type="dxa"/>
            <w:noWrap w:val="0"/>
            <w:vAlign w:val="top"/>
          </w:tcPr>
          <w:p w14:paraId="180E3BF6">
            <w:pPr>
              <w:pStyle w:val="29"/>
              <w:keepNext w:val="0"/>
              <w:keepLines w:val="0"/>
              <w:pageBreakBefore w:val="0"/>
              <w:widowControl/>
              <w:shd w:val="clear" w:color="auto" w:fill="auto"/>
              <w:kinsoku/>
              <w:wordWrap w:val="0"/>
              <w:overflowPunct/>
              <w:topLinePunct/>
              <w:autoSpaceDE/>
              <w:autoSpaceDN/>
              <w:bidi w:val="0"/>
              <w:adjustRightInd w:val="0"/>
              <w:snapToGrid w:val="0"/>
              <w:spacing w:before="176" w:line="240" w:lineRule="auto"/>
              <w:ind w:left="155"/>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所属行业</w:t>
            </w:r>
          </w:p>
        </w:tc>
        <w:tc>
          <w:tcPr>
            <w:tcW w:w="2964" w:type="dxa"/>
            <w:gridSpan w:val="2"/>
            <w:tcBorders>
              <w:right w:val="single" w:color="000000" w:sz="10" w:space="0"/>
            </w:tcBorders>
            <w:noWrap w:val="0"/>
            <w:vAlign w:val="top"/>
          </w:tcPr>
          <w:p w14:paraId="3D527FEA">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7D051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2612" w:type="dxa"/>
            <w:tcBorders>
              <w:left w:val="single" w:color="000000" w:sz="10" w:space="0"/>
            </w:tcBorders>
            <w:noWrap w:val="0"/>
            <w:vAlign w:val="top"/>
          </w:tcPr>
          <w:p w14:paraId="031ACCFD">
            <w:pPr>
              <w:pStyle w:val="29"/>
              <w:keepNext w:val="0"/>
              <w:keepLines w:val="0"/>
              <w:pageBreakBefore w:val="0"/>
              <w:widowControl/>
              <w:shd w:val="clear" w:color="auto" w:fill="auto"/>
              <w:kinsoku/>
              <w:wordWrap w:val="0"/>
              <w:overflowPunct/>
              <w:topLinePunct/>
              <w:autoSpaceDE/>
              <w:autoSpaceDN/>
              <w:bidi w:val="0"/>
              <w:adjustRightInd w:val="0"/>
              <w:snapToGrid w:val="0"/>
              <w:spacing w:before="18" w:line="240" w:lineRule="auto"/>
              <w:ind w:left="883"/>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上年度</w:t>
            </w:r>
          </w:p>
          <w:p w14:paraId="57CEFABE">
            <w:pPr>
              <w:pStyle w:val="29"/>
              <w:keepNext w:val="0"/>
              <w:keepLines w:val="0"/>
              <w:pageBreakBefore w:val="0"/>
              <w:widowControl/>
              <w:shd w:val="clear" w:color="auto" w:fill="auto"/>
              <w:kinsoku/>
              <w:wordWrap w:val="0"/>
              <w:overflowPunct/>
              <w:topLinePunct/>
              <w:autoSpaceDE/>
              <w:autoSpaceDN/>
              <w:bidi w:val="0"/>
              <w:adjustRightInd w:val="0"/>
              <w:snapToGrid w:val="0"/>
              <w:spacing w:before="1" w:line="240" w:lineRule="auto"/>
              <w:ind w:left="750"/>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5"/>
                <w:sz w:val="24"/>
                <w:szCs w:val="24"/>
                <w:highlight w:val="none"/>
              </w:rPr>
              <w:t>营业收入</w:t>
            </w:r>
          </w:p>
        </w:tc>
        <w:tc>
          <w:tcPr>
            <w:tcW w:w="2194" w:type="dxa"/>
            <w:gridSpan w:val="2"/>
            <w:noWrap w:val="0"/>
            <w:vAlign w:val="top"/>
          </w:tcPr>
          <w:p w14:paraId="5DDDCF7A">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413" w:type="dxa"/>
            <w:noWrap w:val="0"/>
            <w:vAlign w:val="top"/>
          </w:tcPr>
          <w:p w14:paraId="76F6EB8C">
            <w:pPr>
              <w:pStyle w:val="29"/>
              <w:keepNext w:val="0"/>
              <w:keepLines w:val="0"/>
              <w:pageBreakBefore w:val="0"/>
              <w:widowControl/>
              <w:shd w:val="clear" w:color="auto" w:fill="auto"/>
              <w:kinsoku/>
              <w:wordWrap w:val="0"/>
              <w:overflowPunct/>
              <w:topLinePunct/>
              <w:autoSpaceDE/>
              <w:autoSpaceDN/>
              <w:bidi w:val="0"/>
              <w:adjustRightInd w:val="0"/>
              <w:snapToGrid w:val="0"/>
              <w:spacing w:before="179" w:line="240" w:lineRule="auto"/>
              <w:ind w:left="16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6"/>
                <w:sz w:val="24"/>
                <w:szCs w:val="24"/>
                <w:highlight w:val="none"/>
              </w:rPr>
              <w:t>资产总额</w:t>
            </w:r>
          </w:p>
        </w:tc>
        <w:tc>
          <w:tcPr>
            <w:tcW w:w="2964" w:type="dxa"/>
            <w:gridSpan w:val="2"/>
            <w:tcBorders>
              <w:right w:val="single" w:color="000000" w:sz="10" w:space="0"/>
            </w:tcBorders>
            <w:noWrap w:val="0"/>
            <w:vAlign w:val="top"/>
          </w:tcPr>
          <w:p w14:paraId="12658B72">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4254B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2612" w:type="dxa"/>
            <w:tcBorders>
              <w:left w:val="single" w:color="000000" w:sz="10" w:space="0"/>
            </w:tcBorders>
            <w:noWrap w:val="0"/>
            <w:vAlign w:val="top"/>
          </w:tcPr>
          <w:p w14:paraId="1DE63195">
            <w:pPr>
              <w:pStyle w:val="29"/>
              <w:keepNext w:val="0"/>
              <w:keepLines w:val="0"/>
              <w:pageBreakBefore w:val="0"/>
              <w:widowControl/>
              <w:shd w:val="clear" w:color="auto" w:fill="auto"/>
              <w:kinsoku/>
              <w:wordWrap w:val="0"/>
              <w:overflowPunct/>
              <w:topLinePunct/>
              <w:autoSpaceDE/>
              <w:autoSpaceDN/>
              <w:bidi w:val="0"/>
              <w:adjustRightInd w:val="0"/>
              <w:snapToGrid w:val="0"/>
              <w:spacing w:before="21" w:line="240" w:lineRule="auto"/>
              <w:ind w:left="742" w:right="463" w:hanging="28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基本存款账户</w:t>
            </w:r>
            <w:r>
              <w:rPr>
                <w:rFonts w:hint="eastAsia" w:ascii="宋体" w:hAnsi="宋体" w:eastAsia="宋体" w:cs="宋体"/>
                <w:color w:val="000000"/>
                <w:spacing w:val="-3"/>
                <w:sz w:val="24"/>
                <w:szCs w:val="24"/>
                <w:highlight w:val="none"/>
              </w:rPr>
              <w:t>开户银行</w:t>
            </w:r>
          </w:p>
        </w:tc>
        <w:tc>
          <w:tcPr>
            <w:tcW w:w="2194" w:type="dxa"/>
            <w:gridSpan w:val="2"/>
            <w:noWrap w:val="0"/>
            <w:vAlign w:val="top"/>
          </w:tcPr>
          <w:p w14:paraId="165EEB7F">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413" w:type="dxa"/>
            <w:noWrap w:val="0"/>
            <w:vAlign w:val="top"/>
          </w:tcPr>
          <w:p w14:paraId="68F41E3C">
            <w:pPr>
              <w:pStyle w:val="29"/>
              <w:keepNext w:val="0"/>
              <w:keepLines w:val="0"/>
              <w:pageBreakBefore w:val="0"/>
              <w:widowControl/>
              <w:shd w:val="clear" w:color="auto" w:fill="auto"/>
              <w:kinsoku/>
              <w:wordWrap w:val="0"/>
              <w:overflowPunct/>
              <w:topLinePunct/>
              <w:autoSpaceDE/>
              <w:autoSpaceDN/>
              <w:bidi w:val="0"/>
              <w:adjustRightInd w:val="0"/>
              <w:snapToGrid w:val="0"/>
              <w:spacing w:before="21" w:line="240" w:lineRule="auto"/>
              <w:ind w:left="159" w:right="137" w:hanging="4"/>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基本存款</w:t>
            </w:r>
            <w:r>
              <w:rPr>
                <w:rFonts w:hint="eastAsia" w:ascii="宋体" w:hAnsi="宋体" w:eastAsia="宋体" w:cs="宋体"/>
                <w:color w:val="000000"/>
                <w:spacing w:val="-4"/>
                <w:sz w:val="24"/>
                <w:szCs w:val="24"/>
                <w:highlight w:val="none"/>
              </w:rPr>
              <w:t>账户账号</w:t>
            </w:r>
          </w:p>
        </w:tc>
        <w:tc>
          <w:tcPr>
            <w:tcW w:w="2964" w:type="dxa"/>
            <w:gridSpan w:val="2"/>
            <w:tcBorders>
              <w:right w:val="single" w:color="000000" w:sz="10" w:space="0"/>
            </w:tcBorders>
            <w:noWrap w:val="0"/>
            <w:vAlign w:val="top"/>
          </w:tcPr>
          <w:p w14:paraId="564C57F1">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2859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2612" w:type="dxa"/>
            <w:tcBorders>
              <w:left w:val="single" w:color="000000" w:sz="10" w:space="0"/>
            </w:tcBorders>
            <w:noWrap w:val="0"/>
            <w:vAlign w:val="top"/>
          </w:tcPr>
          <w:p w14:paraId="522D3987">
            <w:pPr>
              <w:pStyle w:val="29"/>
              <w:keepNext w:val="0"/>
              <w:keepLines w:val="0"/>
              <w:pageBreakBefore w:val="0"/>
              <w:widowControl/>
              <w:shd w:val="clear" w:color="auto" w:fill="auto"/>
              <w:kinsoku/>
              <w:wordWrap w:val="0"/>
              <w:overflowPunct/>
              <w:topLinePunct/>
              <w:autoSpaceDE/>
              <w:autoSpaceDN/>
              <w:bidi w:val="0"/>
              <w:adjustRightInd w:val="0"/>
              <w:snapToGrid w:val="0"/>
              <w:spacing w:before="22" w:line="240" w:lineRule="auto"/>
              <w:ind w:left="182"/>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所获得资质及等级</w:t>
            </w:r>
          </w:p>
          <w:p w14:paraId="01DD9610">
            <w:pPr>
              <w:pStyle w:val="29"/>
              <w:keepNext w:val="0"/>
              <w:keepLines w:val="0"/>
              <w:pageBreakBefore w:val="0"/>
              <w:widowControl/>
              <w:shd w:val="clear" w:color="auto" w:fill="auto"/>
              <w:kinsoku/>
              <w:wordWrap w:val="0"/>
              <w:overflowPunct/>
              <w:topLinePunct/>
              <w:autoSpaceDE/>
              <w:autoSpaceDN/>
              <w:bidi w:val="0"/>
              <w:adjustRightInd w:val="0"/>
              <w:snapToGrid w:val="0"/>
              <w:spacing w:line="240" w:lineRule="auto"/>
              <w:ind w:left="30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8"/>
                <w:sz w:val="24"/>
                <w:szCs w:val="24"/>
                <w:highlight w:val="none"/>
              </w:rPr>
              <w:t>(国家行政部门颁</w:t>
            </w:r>
          </w:p>
          <w:p w14:paraId="37814D4B">
            <w:pPr>
              <w:pStyle w:val="29"/>
              <w:keepNext w:val="0"/>
              <w:keepLines w:val="0"/>
              <w:pageBreakBefore w:val="0"/>
              <w:widowControl/>
              <w:shd w:val="clear" w:color="auto" w:fill="auto"/>
              <w:kinsoku/>
              <w:wordWrap w:val="0"/>
              <w:overflowPunct/>
              <w:topLinePunct/>
              <w:autoSpaceDE/>
              <w:autoSpaceDN/>
              <w:bidi w:val="0"/>
              <w:adjustRightInd w:val="0"/>
              <w:snapToGrid w:val="0"/>
              <w:spacing w:line="240" w:lineRule="auto"/>
              <w:ind w:left="109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8"/>
                <w:sz w:val="24"/>
                <w:szCs w:val="24"/>
                <w:highlight w:val="none"/>
              </w:rPr>
              <w:t>发)</w:t>
            </w:r>
          </w:p>
        </w:tc>
        <w:tc>
          <w:tcPr>
            <w:tcW w:w="6571" w:type="dxa"/>
            <w:gridSpan w:val="5"/>
            <w:tcBorders>
              <w:right w:val="single" w:color="000000" w:sz="10" w:space="0"/>
            </w:tcBorders>
            <w:noWrap w:val="0"/>
            <w:vAlign w:val="top"/>
          </w:tcPr>
          <w:p w14:paraId="6C1CA5EA">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17A79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2612" w:type="dxa"/>
            <w:tcBorders>
              <w:left w:val="single" w:color="000000" w:sz="10" w:space="0"/>
            </w:tcBorders>
            <w:noWrap w:val="0"/>
            <w:vAlign w:val="top"/>
          </w:tcPr>
          <w:p w14:paraId="54E20819">
            <w:pPr>
              <w:pStyle w:val="29"/>
              <w:keepNext w:val="0"/>
              <w:keepLines w:val="0"/>
              <w:pageBreakBefore w:val="0"/>
              <w:widowControl/>
              <w:shd w:val="clear" w:color="auto" w:fill="auto"/>
              <w:kinsoku/>
              <w:wordWrap w:val="0"/>
              <w:overflowPunct/>
              <w:topLinePunct/>
              <w:autoSpaceDE/>
              <w:autoSpaceDN/>
              <w:bidi w:val="0"/>
              <w:adjustRightInd w:val="0"/>
              <w:snapToGrid w:val="0"/>
              <w:spacing w:before="176" w:line="240" w:lineRule="auto"/>
              <w:ind w:left="744"/>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经营范围</w:t>
            </w:r>
          </w:p>
        </w:tc>
        <w:tc>
          <w:tcPr>
            <w:tcW w:w="6571" w:type="dxa"/>
            <w:gridSpan w:val="5"/>
            <w:tcBorders>
              <w:right w:val="single" w:color="000000" w:sz="10" w:space="0"/>
            </w:tcBorders>
            <w:noWrap w:val="0"/>
            <w:vAlign w:val="top"/>
          </w:tcPr>
          <w:p w14:paraId="7E36543E">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441DA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183" w:type="dxa"/>
            <w:gridSpan w:val="6"/>
            <w:tcBorders>
              <w:left w:val="single" w:color="000000" w:sz="10" w:space="0"/>
              <w:right w:val="single" w:color="000000" w:sz="10" w:space="0"/>
            </w:tcBorders>
            <w:shd w:val="clear" w:color="auto" w:fill="F7CAAC"/>
            <w:noWrap w:val="0"/>
            <w:vAlign w:val="top"/>
          </w:tcPr>
          <w:p w14:paraId="45A16021">
            <w:pPr>
              <w:pStyle w:val="29"/>
              <w:keepNext w:val="0"/>
              <w:keepLines w:val="0"/>
              <w:pageBreakBefore w:val="0"/>
              <w:widowControl/>
              <w:shd w:val="clear" w:color="auto" w:fill="auto"/>
              <w:kinsoku/>
              <w:wordWrap w:val="0"/>
              <w:overflowPunct/>
              <w:topLinePunct/>
              <w:autoSpaceDE/>
              <w:autoSpaceDN/>
              <w:bidi w:val="0"/>
              <w:adjustRightInd w:val="0"/>
              <w:snapToGrid w:val="0"/>
              <w:spacing w:before="93" w:line="240" w:lineRule="auto"/>
              <w:ind w:left="4032"/>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人员情况</w:t>
            </w:r>
          </w:p>
        </w:tc>
      </w:tr>
      <w:tr w14:paraId="4E2C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2612" w:type="dxa"/>
            <w:vMerge w:val="restart"/>
            <w:tcBorders>
              <w:left w:val="single" w:color="000000" w:sz="10" w:space="0"/>
              <w:bottom w:val="nil"/>
            </w:tcBorders>
            <w:noWrap w:val="0"/>
            <w:vAlign w:val="top"/>
          </w:tcPr>
          <w:p w14:paraId="389BC958">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p w14:paraId="0D4B59DB">
            <w:pPr>
              <w:pStyle w:val="29"/>
              <w:keepNext w:val="0"/>
              <w:keepLines w:val="0"/>
              <w:pageBreakBefore w:val="0"/>
              <w:widowControl/>
              <w:shd w:val="clear" w:color="auto" w:fill="auto"/>
              <w:kinsoku/>
              <w:wordWrap w:val="0"/>
              <w:overflowPunct/>
              <w:topLinePunct/>
              <w:autoSpaceDE/>
              <w:autoSpaceDN/>
              <w:bidi w:val="0"/>
              <w:adjustRightInd w:val="0"/>
              <w:snapToGrid w:val="0"/>
              <w:spacing w:before="91" w:line="240" w:lineRule="auto"/>
              <w:ind w:left="464"/>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从业人员总数</w:t>
            </w:r>
          </w:p>
        </w:tc>
        <w:tc>
          <w:tcPr>
            <w:tcW w:w="665" w:type="dxa"/>
            <w:vMerge w:val="restart"/>
            <w:tcBorders>
              <w:bottom w:val="nil"/>
            </w:tcBorders>
            <w:noWrap w:val="0"/>
            <w:vAlign w:val="top"/>
          </w:tcPr>
          <w:p w14:paraId="29C10A2E">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529" w:type="dxa"/>
            <w:noWrap w:val="0"/>
            <w:vAlign w:val="top"/>
          </w:tcPr>
          <w:p w14:paraId="7241B0B5">
            <w:pPr>
              <w:pStyle w:val="29"/>
              <w:keepNext w:val="0"/>
              <w:keepLines w:val="0"/>
              <w:pageBreakBefore w:val="0"/>
              <w:widowControl/>
              <w:shd w:val="clear" w:color="auto" w:fill="auto"/>
              <w:kinsoku/>
              <w:wordWrap w:val="0"/>
              <w:overflowPunct/>
              <w:topLinePunct/>
              <w:autoSpaceDE/>
              <w:autoSpaceDN/>
              <w:bidi w:val="0"/>
              <w:adjustRightInd w:val="0"/>
              <w:snapToGrid w:val="0"/>
              <w:spacing w:before="27" w:line="240" w:lineRule="auto"/>
              <w:ind w:left="491" w:right="200" w:hanging="276"/>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5"/>
                <w:sz w:val="24"/>
                <w:szCs w:val="24"/>
                <w:highlight w:val="none"/>
              </w:rPr>
              <w:t>管理人员</w:t>
            </w:r>
            <w:r>
              <w:rPr>
                <w:rFonts w:hint="eastAsia" w:ascii="宋体" w:hAnsi="宋体" w:eastAsia="宋体" w:cs="宋体"/>
                <w:color w:val="000000"/>
                <w:spacing w:val="-6"/>
                <w:sz w:val="24"/>
                <w:szCs w:val="24"/>
                <w:highlight w:val="none"/>
              </w:rPr>
              <w:t>数量</w:t>
            </w:r>
          </w:p>
        </w:tc>
        <w:tc>
          <w:tcPr>
            <w:tcW w:w="1413" w:type="dxa"/>
            <w:noWrap w:val="0"/>
            <w:vAlign w:val="top"/>
          </w:tcPr>
          <w:p w14:paraId="208668D4">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556" w:type="dxa"/>
            <w:noWrap w:val="0"/>
            <w:vAlign w:val="top"/>
          </w:tcPr>
          <w:p w14:paraId="2817D723">
            <w:pPr>
              <w:pStyle w:val="29"/>
              <w:keepNext w:val="0"/>
              <w:keepLines w:val="0"/>
              <w:pageBreakBefore w:val="0"/>
              <w:widowControl/>
              <w:shd w:val="clear" w:color="auto" w:fill="auto"/>
              <w:kinsoku/>
              <w:wordWrap w:val="0"/>
              <w:overflowPunct/>
              <w:topLinePunct/>
              <w:autoSpaceDE/>
              <w:autoSpaceDN/>
              <w:bidi w:val="0"/>
              <w:adjustRightInd w:val="0"/>
              <w:snapToGrid w:val="0"/>
              <w:spacing w:before="27" w:line="240" w:lineRule="auto"/>
              <w:ind w:left="232" w:right="205" w:hanging="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专业技术</w:t>
            </w:r>
            <w:r>
              <w:rPr>
                <w:rFonts w:hint="eastAsia" w:ascii="宋体" w:hAnsi="宋体" w:eastAsia="宋体" w:cs="宋体"/>
                <w:color w:val="000000"/>
                <w:spacing w:val="-4"/>
                <w:sz w:val="24"/>
                <w:szCs w:val="24"/>
                <w:highlight w:val="none"/>
              </w:rPr>
              <w:t>人员数量</w:t>
            </w:r>
          </w:p>
        </w:tc>
        <w:tc>
          <w:tcPr>
            <w:tcW w:w="1408" w:type="dxa"/>
            <w:tcBorders>
              <w:right w:val="single" w:color="000000" w:sz="10" w:space="0"/>
            </w:tcBorders>
            <w:noWrap w:val="0"/>
            <w:vAlign w:val="top"/>
          </w:tcPr>
          <w:p w14:paraId="1A8C1E74">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5EDE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2612" w:type="dxa"/>
            <w:vMerge w:val="continue"/>
            <w:tcBorders>
              <w:top w:val="nil"/>
              <w:left w:val="single" w:color="000000" w:sz="10" w:space="0"/>
            </w:tcBorders>
            <w:noWrap w:val="0"/>
            <w:vAlign w:val="top"/>
          </w:tcPr>
          <w:p w14:paraId="6DF44B45">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665" w:type="dxa"/>
            <w:vMerge w:val="continue"/>
            <w:tcBorders>
              <w:top w:val="nil"/>
            </w:tcBorders>
            <w:noWrap w:val="0"/>
            <w:vAlign w:val="top"/>
          </w:tcPr>
          <w:p w14:paraId="651EC55A">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529" w:type="dxa"/>
            <w:noWrap w:val="0"/>
            <w:vAlign w:val="top"/>
          </w:tcPr>
          <w:p w14:paraId="61E9B3DE">
            <w:pPr>
              <w:pStyle w:val="29"/>
              <w:keepNext w:val="0"/>
              <w:keepLines w:val="0"/>
              <w:pageBreakBefore w:val="0"/>
              <w:widowControl/>
              <w:shd w:val="clear" w:color="auto" w:fill="auto"/>
              <w:kinsoku/>
              <w:wordWrap w:val="0"/>
              <w:overflowPunct/>
              <w:topLinePunct/>
              <w:autoSpaceDE/>
              <w:autoSpaceDN/>
              <w:bidi w:val="0"/>
              <w:adjustRightInd w:val="0"/>
              <w:snapToGrid w:val="0"/>
              <w:spacing w:before="27" w:line="240" w:lineRule="auto"/>
              <w:ind w:left="630" w:right="200" w:hanging="422"/>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残疾人人</w:t>
            </w:r>
            <w:r>
              <w:rPr>
                <w:rFonts w:hint="eastAsia" w:ascii="宋体" w:hAnsi="宋体" w:eastAsia="宋体" w:cs="宋体"/>
                <w:color w:val="000000"/>
                <w:sz w:val="24"/>
                <w:szCs w:val="24"/>
                <w:highlight w:val="none"/>
              </w:rPr>
              <w:t>数</w:t>
            </w:r>
          </w:p>
        </w:tc>
        <w:tc>
          <w:tcPr>
            <w:tcW w:w="1413" w:type="dxa"/>
            <w:noWrap w:val="0"/>
            <w:vAlign w:val="top"/>
          </w:tcPr>
          <w:p w14:paraId="47C4EBF4">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1556" w:type="dxa"/>
            <w:noWrap w:val="0"/>
            <w:vAlign w:val="top"/>
          </w:tcPr>
          <w:p w14:paraId="5826DFC9">
            <w:pPr>
              <w:pStyle w:val="29"/>
              <w:keepNext w:val="0"/>
              <w:keepLines w:val="0"/>
              <w:pageBreakBefore w:val="0"/>
              <w:widowControl/>
              <w:shd w:val="clear" w:color="auto" w:fill="auto"/>
              <w:kinsoku/>
              <w:wordWrap w:val="0"/>
              <w:overflowPunct/>
              <w:topLinePunct/>
              <w:autoSpaceDE/>
              <w:autoSpaceDN/>
              <w:bidi w:val="0"/>
              <w:adjustRightInd w:val="0"/>
              <w:snapToGrid w:val="0"/>
              <w:spacing w:before="27" w:line="240" w:lineRule="auto"/>
              <w:ind w:left="512" w:right="205" w:hanging="28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少数民族</w:t>
            </w:r>
            <w:r>
              <w:rPr>
                <w:rFonts w:hint="eastAsia" w:ascii="宋体" w:hAnsi="宋体" w:eastAsia="宋体" w:cs="宋体"/>
                <w:color w:val="000000"/>
                <w:spacing w:val="-6"/>
                <w:sz w:val="24"/>
                <w:szCs w:val="24"/>
                <w:highlight w:val="none"/>
              </w:rPr>
              <w:t>人数</w:t>
            </w:r>
          </w:p>
        </w:tc>
        <w:tc>
          <w:tcPr>
            <w:tcW w:w="1408" w:type="dxa"/>
            <w:tcBorders>
              <w:right w:val="single" w:color="000000" w:sz="10" w:space="0"/>
            </w:tcBorders>
            <w:noWrap w:val="0"/>
            <w:vAlign w:val="top"/>
          </w:tcPr>
          <w:p w14:paraId="7E9123CA">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5E312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183" w:type="dxa"/>
            <w:gridSpan w:val="6"/>
            <w:tcBorders>
              <w:left w:val="single" w:color="000000" w:sz="10" w:space="0"/>
              <w:right w:val="single" w:color="000000" w:sz="10" w:space="0"/>
            </w:tcBorders>
            <w:shd w:val="clear" w:color="auto" w:fill="F7CAAC"/>
            <w:noWrap w:val="0"/>
            <w:vAlign w:val="top"/>
          </w:tcPr>
          <w:p w14:paraId="5B1F1C01">
            <w:pPr>
              <w:pStyle w:val="29"/>
              <w:keepNext w:val="0"/>
              <w:keepLines w:val="0"/>
              <w:pageBreakBefore w:val="0"/>
              <w:widowControl/>
              <w:shd w:val="clear" w:color="auto" w:fill="auto"/>
              <w:kinsoku/>
              <w:wordWrap w:val="0"/>
              <w:overflowPunct/>
              <w:topLinePunct/>
              <w:autoSpaceDE/>
              <w:autoSpaceDN/>
              <w:bidi w:val="0"/>
              <w:adjustRightInd w:val="0"/>
              <w:snapToGrid w:val="0"/>
              <w:spacing w:before="96" w:line="240" w:lineRule="auto"/>
              <w:ind w:left="2209"/>
              <w:jc w:val="both"/>
              <w:textAlignment w:val="baseline"/>
              <w:rPr>
                <w:rFonts w:hint="eastAsia" w:ascii="宋体" w:hAnsi="宋体" w:eastAsia="宋体" w:cs="宋体"/>
                <w:color w:val="000000"/>
                <w:sz w:val="24"/>
                <w:szCs w:val="24"/>
                <w:highlight w:val="none"/>
                <w:lang w:eastAsia="zh-CN"/>
              </w:rPr>
            </w:pPr>
            <w:r>
              <w:rPr>
                <w:rFonts w:hint="eastAsia" w:ascii="宋体" w:hAnsi="宋体" w:eastAsia="宋体" w:cs="宋体"/>
                <w:color w:val="000000"/>
                <w:spacing w:val="-1"/>
                <w:sz w:val="24"/>
                <w:szCs w:val="24"/>
                <w:highlight w:val="none"/>
              </w:rPr>
              <w:t>存在直接控股、管理关系的相关</w:t>
            </w:r>
            <w:r>
              <w:rPr>
                <w:rFonts w:hint="eastAsia" w:ascii="宋体" w:hAnsi="宋体" w:eastAsia="宋体" w:cs="宋体"/>
                <w:color w:val="000000"/>
                <w:spacing w:val="-1"/>
                <w:sz w:val="24"/>
                <w:szCs w:val="24"/>
                <w:highlight w:val="none"/>
                <w:lang w:eastAsia="zh-CN"/>
              </w:rPr>
              <w:t>投标人</w:t>
            </w:r>
          </w:p>
        </w:tc>
      </w:tr>
      <w:tr w14:paraId="24AED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2612" w:type="dxa"/>
            <w:tcBorders>
              <w:left w:val="single" w:color="000000" w:sz="10" w:space="0"/>
            </w:tcBorders>
            <w:noWrap w:val="0"/>
            <w:vAlign w:val="top"/>
          </w:tcPr>
          <w:p w14:paraId="5B18731A">
            <w:pPr>
              <w:pStyle w:val="29"/>
              <w:keepNext w:val="0"/>
              <w:keepLines w:val="0"/>
              <w:pageBreakBefore w:val="0"/>
              <w:widowControl/>
              <w:shd w:val="clear" w:color="auto" w:fill="auto"/>
              <w:kinsoku/>
              <w:wordWrap w:val="0"/>
              <w:overflowPunct/>
              <w:topLinePunct/>
              <w:autoSpaceDE/>
              <w:autoSpaceDN/>
              <w:bidi w:val="0"/>
              <w:adjustRightInd w:val="0"/>
              <w:snapToGrid w:val="0"/>
              <w:spacing w:before="95" w:line="240" w:lineRule="auto"/>
              <w:ind w:left="102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7"/>
                <w:sz w:val="24"/>
                <w:szCs w:val="24"/>
                <w:highlight w:val="none"/>
              </w:rPr>
              <w:t>关系</w:t>
            </w:r>
          </w:p>
        </w:tc>
        <w:tc>
          <w:tcPr>
            <w:tcW w:w="6571" w:type="dxa"/>
            <w:gridSpan w:val="5"/>
            <w:tcBorders>
              <w:right w:val="single" w:color="000000" w:sz="10" w:space="0"/>
            </w:tcBorders>
            <w:noWrap w:val="0"/>
            <w:vAlign w:val="top"/>
          </w:tcPr>
          <w:p w14:paraId="6E43F6B3">
            <w:pPr>
              <w:pStyle w:val="29"/>
              <w:keepNext w:val="0"/>
              <w:keepLines w:val="0"/>
              <w:pageBreakBefore w:val="0"/>
              <w:widowControl/>
              <w:shd w:val="clear" w:color="auto" w:fill="auto"/>
              <w:kinsoku/>
              <w:wordWrap w:val="0"/>
              <w:overflowPunct/>
              <w:topLinePunct/>
              <w:autoSpaceDE/>
              <w:autoSpaceDN/>
              <w:bidi w:val="0"/>
              <w:adjustRightInd w:val="0"/>
              <w:snapToGrid w:val="0"/>
              <w:spacing w:before="96" w:line="240" w:lineRule="auto"/>
              <w:ind w:left="2587"/>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lang w:eastAsia="zh-CN"/>
              </w:rPr>
              <w:t>投标人</w:t>
            </w:r>
            <w:r>
              <w:rPr>
                <w:rFonts w:hint="eastAsia" w:ascii="宋体" w:hAnsi="宋体" w:eastAsia="宋体" w:cs="宋体"/>
                <w:color w:val="000000"/>
                <w:spacing w:val="-2"/>
                <w:sz w:val="24"/>
                <w:szCs w:val="24"/>
                <w:highlight w:val="none"/>
              </w:rPr>
              <w:t>名称</w:t>
            </w:r>
          </w:p>
        </w:tc>
      </w:tr>
      <w:tr w14:paraId="2C88B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2612" w:type="dxa"/>
            <w:tcBorders>
              <w:left w:val="single" w:color="000000" w:sz="10" w:space="0"/>
            </w:tcBorders>
            <w:noWrap w:val="0"/>
            <w:vAlign w:val="top"/>
          </w:tcPr>
          <w:p w14:paraId="67474873">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c>
          <w:tcPr>
            <w:tcW w:w="6571" w:type="dxa"/>
            <w:gridSpan w:val="5"/>
            <w:tcBorders>
              <w:right w:val="single" w:color="000000" w:sz="10" w:space="0"/>
            </w:tcBorders>
            <w:noWrap w:val="0"/>
            <w:vAlign w:val="top"/>
          </w:tcPr>
          <w:p w14:paraId="56B65EF3">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tc>
      </w:tr>
      <w:tr w14:paraId="48415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trPr>
        <w:tc>
          <w:tcPr>
            <w:tcW w:w="2612" w:type="dxa"/>
            <w:tcBorders>
              <w:left w:val="single" w:color="000000" w:sz="10" w:space="0"/>
              <w:bottom w:val="single" w:color="000000" w:sz="10" w:space="0"/>
            </w:tcBorders>
            <w:noWrap w:val="0"/>
            <w:vAlign w:val="top"/>
          </w:tcPr>
          <w:p w14:paraId="54DF60C4">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p w14:paraId="47655E7B">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p w14:paraId="2C9ACCEC">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p w14:paraId="6D918B59">
            <w:pPr>
              <w:keepNext w:val="0"/>
              <w:keepLines w:val="0"/>
              <w:pageBreakBefore w:val="0"/>
              <w:widowControl/>
              <w:shd w:val="clear" w:color="auto" w:fill="auto"/>
              <w:kinsoku/>
              <w:wordWrap w:val="0"/>
              <w:overflowPunct/>
              <w:topLinePunct/>
              <w:autoSpaceDE/>
              <w:autoSpaceDN/>
              <w:bidi w:val="0"/>
              <w:adjustRightInd w:val="0"/>
              <w:snapToGrid w:val="0"/>
              <w:spacing w:line="240" w:lineRule="auto"/>
              <w:jc w:val="both"/>
              <w:textAlignment w:val="baseline"/>
              <w:rPr>
                <w:rFonts w:hint="eastAsia" w:ascii="宋体" w:hAnsi="宋体" w:eastAsia="宋体" w:cs="宋体"/>
                <w:color w:val="000000"/>
                <w:sz w:val="24"/>
                <w:szCs w:val="24"/>
                <w:highlight w:val="none"/>
              </w:rPr>
            </w:pPr>
          </w:p>
          <w:p w14:paraId="7A1D3A53">
            <w:pPr>
              <w:pStyle w:val="29"/>
              <w:keepNext w:val="0"/>
              <w:keepLines w:val="0"/>
              <w:pageBreakBefore w:val="0"/>
              <w:widowControl/>
              <w:shd w:val="clear" w:color="auto" w:fill="auto"/>
              <w:kinsoku/>
              <w:wordWrap w:val="0"/>
              <w:overflowPunct/>
              <w:topLinePunct/>
              <w:autoSpaceDE/>
              <w:autoSpaceDN/>
              <w:bidi w:val="0"/>
              <w:adjustRightInd w:val="0"/>
              <w:snapToGrid w:val="0"/>
              <w:spacing w:before="91" w:line="240" w:lineRule="auto"/>
              <w:ind w:left="1026"/>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7"/>
                <w:sz w:val="24"/>
                <w:szCs w:val="24"/>
                <w:highlight w:val="none"/>
              </w:rPr>
              <w:t>说明</w:t>
            </w:r>
          </w:p>
        </w:tc>
        <w:tc>
          <w:tcPr>
            <w:tcW w:w="6571" w:type="dxa"/>
            <w:gridSpan w:val="5"/>
            <w:tcBorders>
              <w:bottom w:val="single" w:color="000000" w:sz="10" w:space="0"/>
              <w:right w:val="single" w:color="000000" w:sz="10" w:space="0"/>
            </w:tcBorders>
            <w:noWrap w:val="0"/>
            <w:vAlign w:val="top"/>
          </w:tcPr>
          <w:p w14:paraId="75002953">
            <w:pPr>
              <w:pStyle w:val="29"/>
              <w:keepNext w:val="0"/>
              <w:keepLines w:val="0"/>
              <w:pageBreakBefore w:val="0"/>
              <w:widowControl/>
              <w:shd w:val="clear" w:color="auto" w:fill="auto"/>
              <w:kinsoku/>
              <w:wordWrap w:val="0"/>
              <w:overflowPunct/>
              <w:topLinePunct/>
              <w:autoSpaceDE/>
              <w:autoSpaceDN/>
              <w:bidi w:val="0"/>
              <w:adjustRightInd w:val="0"/>
              <w:snapToGrid w:val="0"/>
              <w:spacing w:before="32" w:line="240" w:lineRule="auto"/>
              <w:ind w:left="467" w:right="93" w:hanging="339"/>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1"/>
                <w:sz w:val="24"/>
                <w:szCs w:val="24"/>
                <w:highlight w:val="none"/>
              </w:rPr>
              <w:t>1、登记证号指营业执照/事业单位法人证书/非企业</w:t>
            </w:r>
            <w:r>
              <w:rPr>
                <w:rFonts w:hint="eastAsia" w:ascii="宋体" w:hAnsi="宋体" w:eastAsia="宋体" w:cs="宋体"/>
                <w:color w:val="000000"/>
                <w:spacing w:val="12"/>
                <w:sz w:val="24"/>
                <w:szCs w:val="24"/>
                <w:highlight w:val="none"/>
              </w:rPr>
              <w:t>专业服务机构执业许可证/民办非企业单位</w:t>
            </w:r>
            <w:r>
              <w:rPr>
                <w:rFonts w:hint="eastAsia" w:ascii="宋体" w:hAnsi="宋体" w:eastAsia="宋体" w:cs="宋体"/>
                <w:color w:val="000000"/>
                <w:spacing w:val="11"/>
                <w:sz w:val="24"/>
                <w:szCs w:val="24"/>
                <w:highlight w:val="none"/>
              </w:rPr>
              <w:t>登记</w:t>
            </w:r>
            <w:r>
              <w:rPr>
                <w:rFonts w:hint="eastAsia" w:ascii="宋体" w:hAnsi="宋体" w:eastAsia="宋体" w:cs="宋体"/>
                <w:color w:val="000000"/>
                <w:spacing w:val="3"/>
                <w:sz w:val="24"/>
                <w:szCs w:val="24"/>
                <w:highlight w:val="none"/>
              </w:rPr>
              <w:t>证书中的登记号，或“三证合一”改革后的统一</w:t>
            </w:r>
            <w:r>
              <w:rPr>
                <w:rFonts w:hint="eastAsia" w:ascii="宋体" w:hAnsi="宋体" w:eastAsia="宋体" w:cs="宋体"/>
                <w:color w:val="000000"/>
                <w:spacing w:val="5"/>
                <w:sz w:val="24"/>
                <w:szCs w:val="24"/>
                <w:highlight w:val="none"/>
              </w:rPr>
              <w:t>社会信用代码。与</w:t>
            </w:r>
            <w:r>
              <w:rPr>
                <w:rFonts w:hint="eastAsia" w:ascii="宋体" w:hAnsi="宋体" w:eastAsia="宋体" w:cs="宋体"/>
                <w:color w:val="000000"/>
                <w:spacing w:val="5"/>
                <w:sz w:val="24"/>
                <w:szCs w:val="24"/>
                <w:highlight w:val="none"/>
                <w:lang w:eastAsia="zh-CN"/>
              </w:rPr>
              <w:t>投标人</w:t>
            </w:r>
            <w:r>
              <w:rPr>
                <w:rFonts w:hint="eastAsia" w:ascii="宋体" w:hAnsi="宋体" w:eastAsia="宋体" w:cs="宋体"/>
                <w:color w:val="000000"/>
                <w:spacing w:val="5"/>
                <w:sz w:val="24"/>
                <w:szCs w:val="24"/>
                <w:highlight w:val="none"/>
              </w:rPr>
              <w:t>在资格证明文件中提供</w:t>
            </w:r>
          </w:p>
          <w:p w14:paraId="18BBB037">
            <w:pPr>
              <w:pStyle w:val="29"/>
              <w:keepNext w:val="0"/>
              <w:keepLines w:val="0"/>
              <w:pageBreakBefore w:val="0"/>
              <w:widowControl/>
              <w:shd w:val="clear" w:color="auto" w:fill="auto"/>
              <w:kinsoku/>
              <w:wordWrap w:val="0"/>
              <w:overflowPunct/>
              <w:topLinePunct/>
              <w:autoSpaceDE/>
              <w:autoSpaceDN/>
              <w:bidi w:val="0"/>
              <w:adjustRightInd w:val="0"/>
              <w:snapToGrid w:val="0"/>
              <w:spacing w:line="240" w:lineRule="auto"/>
              <w:ind w:left="49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4"/>
                <w:sz w:val="24"/>
                <w:szCs w:val="24"/>
                <w:highlight w:val="none"/>
              </w:rPr>
              <w:t>的登记证号码一致。</w:t>
            </w:r>
          </w:p>
          <w:p w14:paraId="10B3E1B4">
            <w:pPr>
              <w:pStyle w:val="29"/>
              <w:keepNext w:val="0"/>
              <w:keepLines w:val="0"/>
              <w:pageBreakBefore w:val="0"/>
              <w:widowControl/>
              <w:shd w:val="clear" w:color="auto" w:fill="auto"/>
              <w:kinsoku/>
              <w:wordWrap w:val="0"/>
              <w:overflowPunct/>
              <w:topLinePunct/>
              <w:autoSpaceDE/>
              <w:autoSpaceDN/>
              <w:bidi w:val="0"/>
              <w:adjustRightInd w:val="0"/>
              <w:snapToGrid w:val="0"/>
              <w:spacing w:line="240" w:lineRule="auto"/>
              <w:ind w:left="11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2、成立时间至提交首次响应文件截止时间不足一年</w:t>
            </w:r>
          </w:p>
          <w:p w14:paraId="2F054B31">
            <w:pPr>
              <w:pStyle w:val="29"/>
              <w:keepNext w:val="0"/>
              <w:keepLines w:val="0"/>
              <w:pageBreakBefore w:val="0"/>
              <w:widowControl/>
              <w:shd w:val="clear" w:color="auto" w:fill="auto"/>
              <w:kinsoku/>
              <w:wordWrap w:val="0"/>
              <w:overflowPunct/>
              <w:topLinePunct/>
              <w:autoSpaceDE/>
              <w:autoSpaceDN/>
              <w:bidi w:val="0"/>
              <w:adjustRightInd w:val="0"/>
              <w:snapToGrid w:val="0"/>
              <w:spacing w:line="240" w:lineRule="auto"/>
              <w:ind w:left="491"/>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的可不提供“上年度营业收入”。</w:t>
            </w:r>
          </w:p>
          <w:p w14:paraId="3D2D05AB">
            <w:pPr>
              <w:pStyle w:val="29"/>
              <w:keepNext w:val="0"/>
              <w:keepLines w:val="0"/>
              <w:pageBreakBefore w:val="0"/>
              <w:widowControl/>
              <w:shd w:val="clear" w:color="auto" w:fill="auto"/>
              <w:kinsoku/>
              <w:wordWrap w:val="0"/>
              <w:overflowPunct/>
              <w:topLinePunct/>
              <w:autoSpaceDE/>
              <w:autoSpaceDN/>
              <w:bidi w:val="0"/>
              <w:adjustRightInd w:val="0"/>
              <w:snapToGrid w:val="0"/>
              <w:spacing w:before="1" w:line="240" w:lineRule="auto"/>
              <w:ind w:left="113"/>
              <w:jc w:val="both"/>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3、</w:t>
            </w:r>
            <w:r>
              <w:rPr>
                <w:rFonts w:hint="eastAsia" w:ascii="宋体" w:hAnsi="宋体" w:eastAsia="宋体" w:cs="宋体"/>
                <w:color w:val="000000"/>
                <w:spacing w:val="-2"/>
                <w:sz w:val="24"/>
                <w:szCs w:val="24"/>
                <w:highlight w:val="none"/>
                <w:lang w:eastAsia="zh-CN"/>
              </w:rPr>
              <w:t>投标人</w:t>
            </w:r>
            <w:r>
              <w:rPr>
                <w:rFonts w:hint="eastAsia" w:ascii="宋体" w:hAnsi="宋体" w:eastAsia="宋体" w:cs="宋体"/>
                <w:color w:val="000000"/>
                <w:spacing w:val="-2"/>
                <w:sz w:val="24"/>
                <w:szCs w:val="24"/>
                <w:highlight w:val="none"/>
              </w:rPr>
              <w:t>应如实填写上述信息。</w:t>
            </w:r>
          </w:p>
        </w:tc>
      </w:tr>
    </w:tbl>
    <w:p w14:paraId="5E821876">
      <w:pPr>
        <w:pageBreakBefore w:val="0"/>
        <w:shd w:val="clear" w:color="auto" w:fill="auto"/>
        <w:kinsoku/>
        <w:wordWrap w:val="0"/>
        <w:overflowPunct/>
        <w:topLinePunct/>
        <w:autoSpaceDE/>
        <w:autoSpaceDN/>
        <w:bidi w:val="0"/>
        <w:adjustRightInd w:val="0"/>
        <w:snapToGrid w:val="0"/>
        <w:spacing w:line="360" w:lineRule="auto"/>
        <w:jc w:val="both"/>
        <w:textAlignment w:val="auto"/>
        <w:rPr>
          <w:rFonts w:hint="eastAsia" w:ascii="宋体" w:hAnsi="宋体" w:eastAsia="宋体" w:cs="宋体"/>
          <w:color w:val="000000"/>
          <w:sz w:val="24"/>
          <w:highlight w:val="none"/>
        </w:rPr>
      </w:pPr>
    </w:p>
    <w:p w14:paraId="1C25FBA0">
      <w:pPr>
        <w:pageBreakBefore w:val="0"/>
        <w:shd w:val="clear" w:color="auto" w:fill="auto"/>
        <w:kinsoku/>
        <w:wordWrap w:val="0"/>
        <w:overflowPunct/>
        <w:topLinePunct/>
        <w:autoSpaceDE/>
        <w:autoSpaceDN/>
        <w:bidi w:val="0"/>
        <w:adjustRightInd w:val="0"/>
        <w:snapToGrid w:val="0"/>
        <w:spacing w:line="360" w:lineRule="auto"/>
        <w:jc w:val="both"/>
        <w:textAlignment w:val="auto"/>
        <w:rPr>
          <w:rFonts w:hint="eastAsia" w:ascii="宋体" w:hAnsi="宋体" w:eastAsia="宋体" w:cs="宋体"/>
          <w:color w:val="000000"/>
          <w:sz w:val="24"/>
          <w:highlight w:val="none"/>
        </w:rPr>
      </w:pPr>
    </w:p>
    <w:p w14:paraId="050376A6">
      <w:pPr>
        <w:pageBreakBefore w:val="0"/>
        <w:shd w:val="clear" w:color="auto" w:fill="auto"/>
        <w:kinsoku/>
        <w:wordWrap w:val="0"/>
        <w:overflowPunct/>
        <w:topLinePunct/>
        <w:autoSpaceDE/>
        <w:autoSpaceDN/>
        <w:bidi w:val="0"/>
        <w:adjustRightInd w:val="0"/>
        <w:snapToGrid w:val="0"/>
        <w:spacing w:line="360" w:lineRule="auto"/>
        <w:jc w:val="both"/>
        <w:textAlignment w:val="auto"/>
        <w:rPr>
          <w:rFonts w:hint="eastAsia" w:ascii="宋体" w:hAnsi="宋体" w:eastAsia="宋体" w:cs="宋体"/>
          <w:color w:val="000000"/>
          <w:sz w:val="24"/>
          <w:highlight w:val="none"/>
        </w:rPr>
      </w:pPr>
    </w:p>
    <w:p w14:paraId="1DB4B3FF">
      <w:pPr>
        <w:pageBreakBefore w:val="0"/>
        <w:shd w:val="clear" w:color="auto" w:fill="auto"/>
        <w:kinsoku/>
        <w:wordWrap w:val="0"/>
        <w:overflowPunct/>
        <w:topLinePunct/>
        <w:autoSpaceDE/>
        <w:autoSpaceDN/>
        <w:bidi w:val="0"/>
        <w:adjustRightInd w:val="0"/>
        <w:snapToGrid w:val="0"/>
        <w:spacing w:line="360" w:lineRule="auto"/>
        <w:jc w:val="both"/>
        <w:textAlignment w:val="auto"/>
        <w:rPr>
          <w:rFonts w:hint="eastAsia" w:ascii="宋体" w:hAnsi="宋体" w:eastAsia="宋体" w:cs="宋体"/>
          <w:color w:val="000000"/>
          <w:sz w:val="24"/>
          <w:highlight w:val="none"/>
        </w:rPr>
      </w:pPr>
    </w:p>
    <w:p w14:paraId="32542C76">
      <w:pPr>
        <w:pStyle w:val="3"/>
        <w:numPr>
          <w:ilvl w:val="0"/>
          <w:numId w:val="0"/>
        </w:numPr>
        <w:shd w:val="clear" w:color="auto" w:fill="auto"/>
        <w:ind w:leftChars="0"/>
        <w:rPr>
          <w:rFonts w:hint="eastAsia" w:ascii="黑体" w:hAnsi="黑体" w:eastAsia="黑体" w:cs="黑体"/>
          <w:b w:val="0"/>
          <w:color w:val="000000"/>
          <w:highlight w:val="none"/>
        </w:rPr>
      </w:pPr>
      <w:r>
        <w:rPr>
          <w:rFonts w:hint="eastAsia"/>
          <w:color w:val="000000"/>
          <w:highlight w:val="none"/>
          <w:lang w:val="en-US" w:eastAsia="zh-CN"/>
        </w:rPr>
        <w:t>5.2</w:t>
      </w:r>
      <w:r>
        <w:rPr>
          <w:color w:val="000000"/>
          <w:highlight w:val="none"/>
        </w:rPr>
        <w:t>投标人性质</w:t>
      </w:r>
    </w:p>
    <w:p w14:paraId="2D0547F7">
      <w:pPr>
        <w:pStyle w:val="12"/>
        <w:widowControl/>
        <w:numPr>
          <w:ilvl w:val="0"/>
          <w:numId w:val="68"/>
        </w:numPr>
        <w:shd w:val="clear" w:color="auto" w:fill="auto"/>
        <w:topLinePunct w:val="0"/>
        <w:ind w:left="0" w:leftChars="0" w:firstLine="480" w:firstLineChars="0"/>
        <w:rPr>
          <w:rFonts w:hint="eastAsia" w:ascii="宋体" w:hAnsi="宋体" w:eastAsia="宋体" w:cs="宋体"/>
          <w:b w:val="0"/>
          <w:color w:val="000000"/>
          <w:highlight w:val="none"/>
        </w:rPr>
      </w:pPr>
      <w:r>
        <w:rPr>
          <w:color w:val="000000"/>
          <w:highlight w:val="none"/>
        </w:rPr>
        <w:t>投标人为中小企业或残疾人福利性单位的，应按下文给定格式填写声明函。未提供或未按给定格式提供声明函的，将不能享受谈判文件规定的价格优惠政策，但不影响响应文件的有效性。</w:t>
      </w:r>
    </w:p>
    <w:p w14:paraId="7C5104BF">
      <w:pPr>
        <w:pStyle w:val="12"/>
        <w:widowControl/>
        <w:numPr>
          <w:ilvl w:val="0"/>
          <w:numId w:val="68"/>
        </w:numPr>
        <w:shd w:val="clear" w:color="auto" w:fill="auto"/>
        <w:topLinePunct w:val="0"/>
        <w:ind w:left="0" w:leftChars="0" w:firstLine="480" w:firstLineChars="0"/>
        <w:rPr>
          <w:rFonts w:hint="eastAsia" w:ascii="宋体" w:hAnsi="宋体" w:eastAsia="宋体" w:cs="宋体"/>
          <w:b w:val="0"/>
          <w:color w:val="000000"/>
          <w:highlight w:val="none"/>
        </w:rPr>
      </w:pPr>
      <w:r>
        <w:rPr>
          <w:color w:val="000000"/>
          <w:highlight w:val="none"/>
        </w:rPr>
        <w:t>投标人为监狱企业的，应当提供由省级以上监狱管理局、戒毒管理局（含新疆生产建设兵团）出具的属于监狱企业的证明函（格式不限定）。未提供证明函的，将不能享受谈判文件规定的价格优惠政策，但不影响响应文件的有效性。</w:t>
      </w:r>
    </w:p>
    <w:p w14:paraId="177C6DB6">
      <w:pPr>
        <w:pageBreakBefore w:val="0"/>
        <w:widowControl/>
        <w:shd w:val="clear" w:color="auto" w:fill="auto"/>
        <w:kinsoku/>
        <w:wordWrap w:val="0"/>
        <w:overflowPunct/>
        <w:topLinePunct/>
        <w:autoSpaceDE/>
        <w:autoSpaceDN/>
        <w:bidi w:val="0"/>
        <w:spacing w:line="400" w:lineRule="exact"/>
        <w:ind w:firstLine="480" w:firstLineChars="200"/>
        <w:jc w:val="both"/>
        <w:textAlignment w:val="auto"/>
        <w:rPr>
          <w:rFonts w:hint="eastAsia" w:ascii="宋体" w:hAnsi="宋体" w:eastAsia="宋体" w:cs="宋体"/>
          <w:color w:val="000000"/>
          <w:sz w:val="24"/>
          <w:highlight w:val="none"/>
        </w:rPr>
      </w:pPr>
    </w:p>
    <w:p w14:paraId="1678B669">
      <w:pPr>
        <w:pStyle w:val="12"/>
        <w:widowControl/>
        <w:shd w:val="clear" w:color="auto" w:fill="auto"/>
        <w:rPr>
          <w:b/>
          <w:color w:val="000000"/>
          <w:highlight w:val="none"/>
        </w:rPr>
      </w:pPr>
      <w:r>
        <w:rPr>
          <w:color w:val="000000"/>
          <w:highlight w:val="none"/>
        </w:rPr>
        <w:t>特别提醒：仅当服务商属于中小微企业、或残疾人福利性单位、或监狱企业时才需填写相应的声明函/证明函，否则应当将其留空或直接删除。投标人性质将随成交公告一同公布，接受社会监督。</w:t>
      </w:r>
    </w:p>
    <w:p w14:paraId="78999DA8">
      <w:pPr>
        <w:pStyle w:val="22"/>
        <w:pageBreakBefore w:val="0"/>
        <w:shd w:val="clear" w:color="auto" w:fill="auto"/>
        <w:kinsoku/>
        <w:wordWrap w:val="0"/>
        <w:overflowPunct/>
        <w:topLinePunct/>
        <w:autoSpaceDE/>
        <w:autoSpaceDN/>
        <w:bidi w:val="0"/>
        <w:ind w:firstLine="640"/>
        <w:jc w:val="both"/>
        <w:textAlignment w:val="auto"/>
        <w:rPr>
          <w:rFonts w:hint="eastAsia" w:ascii="宋体" w:hAnsi="宋体" w:eastAsia="宋体" w:cs="宋体"/>
          <w:color w:val="000000"/>
          <w:sz w:val="32"/>
          <w:szCs w:val="32"/>
          <w:highlight w:val="none"/>
        </w:rPr>
      </w:pPr>
    </w:p>
    <w:p w14:paraId="6CC9FC0E">
      <w:pPr>
        <w:pageBreakBefore w:val="0"/>
        <w:shd w:val="clear" w:color="auto" w:fill="auto"/>
        <w:kinsoku/>
        <w:wordWrap w:val="0"/>
        <w:overflowPunct/>
        <w:topLinePunct/>
        <w:autoSpaceDE/>
        <w:autoSpaceDN/>
        <w:bidi w:val="0"/>
        <w:spacing w:before="159" w:beforeLines="50" w:after="319" w:afterLines="100"/>
        <w:jc w:val="both"/>
        <w:textAlignment w:val="auto"/>
        <w:rPr>
          <w:rFonts w:hint="eastAsia" w:ascii="宋体" w:hAnsi="宋体" w:eastAsia="宋体" w:cs="宋体"/>
          <w:b/>
          <w:color w:val="000000"/>
          <w:sz w:val="30"/>
          <w:szCs w:val="30"/>
          <w:highlight w:val="none"/>
          <w:lang w:eastAsia="zh-CN"/>
        </w:rPr>
      </w:pPr>
    </w:p>
    <w:p w14:paraId="4EBD3DA8">
      <w:pPr>
        <w:pStyle w:val="16"/>
        <w:pageBreakBefore w:val="0"/>
        <w:shd w:val="clear" w:color="auto" w:fill="auto"/>
        <w:kinsoku/>
        <w:wordWrap w:val="0"/>
        <w:overflowPunct/>
        <w:topLinePunct/>
        <w:autoSpaceDE/>
        <w:autoSpaceDN/>
        <w:bidi w:val="0"/>
        <w:jc w:val="center"/>
        <w:textAlignment w:val="auto"/>
        <w:rPr>
          <w:rFonts w:hint="eastAsia" w:ascii="宋体" w:hAnsi="宋体" w:eastAsia="宋体" w:cs="宋体"/>
          <w:b/>
          <w:color w:val="000000"/>
          <w:sz w:val="24"/>
          <w:highlight w:val="none"/>
        </w:rPr>
      </w:pPr>
      <w:r>
        <w:rPr>
          <w:rFonts w:hint="eastAsia" w:ascii="宋体" w:hAnsi="宋体" w:eastAsia="宋体" w:cs="宋体"/>
          <w:color w:val="000000"/>
          <w:sz w:val="30"/>
          <w:szCs w:val="30"/>
          <w:highlight w:val="none"/>
        </w:rPr>
        <w:br w:type="page"/>
      </w:r>
      <w:r>
        <w:rPr>
          <w:rFonts w:hint="eastAsia" w:ascii="宋体" w:hAnsi="宋体" w:eastAsia="宋体" w:cs="宋体"/>
          <w:b/>
          <w:color w:val="000000"/>
          <w:sz w:val="32"/>
          <w:szCs w:val="32"/>
          <w:highlight w:val="none"/>
          <w:lang w:eastAsia="zh-CN"/>
        </w:rPr>
        <w:t>中小</w:t>
      </w:r>
      <w:r>
        <w:rPr>
          <w:rFonts w:hint="eastAsia" w:ascii="宋体" w:hAnsi="宋体" w:eastAsia="宋体" w:cs="宋体"/>
          <w:b/>
          <w:color w:val="000000"/>
          <w:sz w:val="32"/>
          <w:szCs w:val="32"/>
          <w:highlight w:val="none"/>
        </w:rPr>
        <w:t>企业声明函</w:t>
      </w:r>
      <w:r>
        <w:rPr>
          <w:rFonts w:hint="eastAsia" w:ascii="宋体" w:hAnsi="宋体" w:eastAsia="宋体" w:cs="宋体"/>
          <w:b/>
          <w:color w:val="000000"/>
          <w:sz w:val="32"/>
          <w:szCs w:val="32"/>
          <w:highlight w:val="none"/>
          <w:lang w:eastAsia="zh-CN"/>
        </w:rPr>
        <w:t>（</w:t>
      </w:r>
      <w:r>
        <w:rPr>
          <w:rFonts w:hint="eastAsia" w:ascii="宋体" w:hAnsi="宋体" w:eastAsia="宋体" w:cs="宋体"/>
          <w:b/>
          <w:color w:val="000000"/>
          <w:sz w:val="32"/>
          <w:szCs w:val="32"/>
          <w:highlight w:val="none"/>
          <w:lang w:val="en-US" w:eastAsia="zh-CN"/>
        </w:rPr>
        <w:t>服务</w:t>
      </w:r>
      <w:r>
        <w:rPr>
          <w:rFonts w:hint="eastAsia" w:ascii="宋体" w:hAnsi="宋体" w:eastAsia="宋体" w:cs="宋体"/>
          <w:b/>
          <w:color w:val="000000"/>
          <w:sz w:val="32"/>
          <w:szCs w:val="32"/>
          <w:highlight w:val="none"/>
          <w:lang w:eastAsia="zh-CN"/>
        </w:rPr>
        <w:t>）</w:t>
      </w:r>
    </w:p>
    <w:p w14:paraId="4BBED4BD">
      <w:pPr>
        <w:pStyle w:val="31"/>
        <w:shd w:val="clear" w:color="auto" w:fill="auto"/>
        <w:ind w:firstLine="560" w:firstLineChars="200"/>
        <w:rPr>
          <w:rFonts w:hint="eastAsia" w:ascii="宋体" w:hAnsi="宋体" w:eastAsia="宋体" w:cs="宋体"/>
          <w:color w:val="000000"/>
          <w:highlight w:val="none"/>
        </w:rPr>
      </w:pPr>
    </w:p>
    <w:p w14:paraId="3162E429">
      <w:pPr>
        <w:pStyle w:val="12"/>
        <w:widowControl/>
        <w:shd w:val="clear" w:color="auto" w:fill="auto"/>
        <w:rPr>
          <w:color w:val="000000"/>
          <w:highlight w:val="none"/>
        </w:rPr>
      </w:pPr>
      <w:r>
        <w:rPr>
          <w:color w:val="000000"/>
          <w:highlight w:val="none"/>
        </w:rPr>
        <w:t>本公司（联合体）郑重声明，根据《政府采购促进中小企业发展管理办法》（财库〔2020〕46号）的规定，本公司（联合体）参加项目采购活动，货物服务全部由符合政策要求的中小企业承接。相关企业（含联合体中的中小企业、签订分包意向协议的中小企业）的具体情况如下：</w:t>
      </w:r>
    </w:p>
    <w:p w14:paraId="09F8C383">
      <w:pPr>
        <w:pStyle w:val="12"/>
        <w:widowControl/>
        <w:numPr>
          <w:ilvl w:val="0"/>
          <w:numId w:val="69"/>
        </w:numPr>
        <w:shd w:val="clear" w:color="auto" w:fill="auto"/>
        <w:topLinePunct w:val="0"/>
        <w:ind w:left="0" w:leftChars="0" w:firstLine="480" w:firstLineChars="0"/>
        <w:rPr>
          <w:rFonts w:hint="eastAsia" w:ascii="宋体" w:hAnsi="宋体" w:eastAsia="宋体" w:cs="宋体"/>
          <w:b w:val="0"/>
          <w:color w:val="000000"/>
          <w:highlight w:val="none"/>
        </w:rPr>
      </w:pPr>
      <w:r>
        <w:rPr>
          <w:color w:val="000000"/>
          <w:highlight w:val="none"/>
          <w:u w:val="single" w:color="000000"/>
        </w:rPr>
        <w:t>〈标的名称〉</w:t>
      </w:r>
      <w:r>
        <w:rPr>
          <w:color w:val="000000"/>
          <w:highlight w:val="none"/>
        </w:rPr>
        <w:t>，属于</w:t>
      </w:r>
      <w:r>
        <w:rPr>
          <w:color w:val="000000"/>
          <w:highlight w:val="none"/>
          <w:u w:val="single" w:color="000000"/>
        </w:rPr>
        <w:t>〈采购文件中明确的所属行业〉</w:t>
      </w:r>
      <w:r>
        <w:rPr>
          <w:color w:val="000000"/>
          <w:highlight w:val="none"/>
        </w:rPr>
        <w:t>；承接企业为</w:t>
      </w:r>
      <w:r>
        <w:rPr>
          <w:color w:val="000000"/>
          <w:highlight w:val="none"/>
          <w:u w:val="single" w:color="000000"/>
        </w:rPr>
        <w:t>〈企业名称〉</w:t>
      </w:r>
      <w:r>
        <w:rPr>
          <w:color w:val="000000"/>
          <w:highlight w:val="none"/>
        </w:rPr>
        <w:t>，从业人员</w:t>
      </w:r>
      <w:r>
        <w:rPr>
          <w:color w:val="000000"/>
          <w:highlight w:val="none"/>
          <w:u w:val="single" w:color="000000"/>
        </w:rPr>
        <w:t>      </w:t>
      </w:r>
      <w:r>
        <w:rPr>
          <w:color w:val="000000"/>
          <w:highlight w:val="none"/>
        </w:rPr>
        <w:t>人，营业收入为</w:t>
      </w:r>
      <w:r>
        <w:rPr>
          <w:color w:val="000000"/>
          <w:highlight w:val="none"/>
          <w:u w:val="single" w:color="000000"/>
        </w:rPr>
        <w:t>      </w:t>
      </w:r>
      <w:r>
        <w:rPr>
          <w:color w:val="000000"/>
          <w:highlight w:val="none"/>
        </w:rPr>
        <w:t>万元，资产总额为</w:t>
      </w:r>
      <w:r>
        <w:rPr>
          <w:color w:val="000000"/>
          <w:highlight w:val="none"/>
          <w:u w:val="single" w:color="000000"/>
        </w:rPr>
        <w:t>      </w:t>
      </w:r>
      <w:r>
        <w:rPr>
          <w:color w:val="000000"/>
          <w:highlight w:val="none"/>
        </w:rPr>
        <w:t>万元，属于</w:t>
      </w:r>
      <w:r>
        <w:rPr>
          <w:color w:val="000000"/>
          <w:highlight w:val="none"/>
          <w:u w:val="single" w:color="000000"/>
        </w:rPr>
        <w:t>      企业</w:t>
      </w:r>
      <w:r>
        <w:rPr>
          <w:color w:val="000000"/>
          <w:highlight w:val="none"/>
        </w:rPr>
        <w:t>（选填中型企业、小型企业、微型企业）；</w:t>
      </w:r>
    </w:p>
    <w:p w14:paraId="241FDDAB">
      <w:pPr>
        <w:pStyle w:val="12"/>
        <w:widowControl/>
        <w:numPr>
          <w:ilvl w:val="0"/>
          <w:numId w:val="69"/>
        </w:numPr>
        <w:shd w:val="clear" w:color="auto" w:fill="auto"/>
        <w:topLinePunct w:val="0"/>
        <w:ind w:left="0" w:leftChars="0" w:firstLine="480" w:firstLineChars="0"/>
        <w:rPr>
          <w:rFonts w:hint="eastAsia" w:ascii="宋体" w:hAnsi="宋体" w:eastAsia="宋体" w:cs="宋体"/>
          <w:b w:val="0"/>
          <w:color w:val="000000"/>
          <w:highlight w:val="none"/>
        </w:rPr>
      </w:pPr>
      <w:r>
        <w:rPr>
          <w:color w:val="000000"/>
          <w:highlight w:val="none"/>
          <w:u w:val="single" w:color="000000"/>
        </w:rPr>
        <w:t>〈标的名称〉</w:t>
      </w:r>
      <w:r>
        <w:rPr>
          <w:color w:val="000000"/>
          <w:highlight w:val="none"/>
        </w:rPr>
        <w:t>，属于</w:t>
      </w:r>
      <w:r>
        <w:rPr>
          <w:color w:val="000000"/>
          <w:highlight w:val="none"/>
          <w:u w:val="single" w:color="000000"/>
        </w:rPr>
        <w:t>〈采购文件中明确的所属行业〉</w:t>
      </w:r>
      <w:r>
        <w:rPr>
          <w:color w:val="000000"/>
          <w:highlight w:val="none"/>
        </w:rPr>
        <w:t>；承接企业为</w:t>
      </w:r>
      <w:r>
        <w:rPr>
          <w:color w:val="000000"/>
          <w:highlight w:val="none"/>
          <w:u w:val="single" w:color="000000"/>
        </w:rPr>
        <w:t>〈企业名称〉</w:t>
      </w:r>
      <w:r>
        <w:rPr>
          <w:color w:val="000000"/>
          <w:highlight w:val="none"/>
        </w:rPr>
        <w:t>，从业人员</w:t>
      </w:r>
      <w:r>
        <w:rPr>
          <w:color w:val="000000"/>
          <w:highlight w:val="none"/>
          <w:u w:val="single" w:color="000000"/>
        </w:rPr>
        <w:t>      </w:t>
      </w:r>
      <w:r>
        <w:rPr>
          <w:color w:val="000000"/>
          <w:highlight w:val="none"/>
        </w:rPr>
        <w:t>人，营业收入为</w:t>
      </w:r>
      <w:r>
        <w:rPr>
          <w:color w:val="000000"/>
          <w:highlight w:val="none"/>
          <w:u w:val="single" w:color="000000"/>
        </w:rPr>
        <w:t>      </w:t>
      </w:r>
      <w:r>
        <w:rPr>
          <w:color w:val="000000"/>
          <w:highlight w:val="none"/>
        </w:rPr>
        <w:t>万元，资产总额为</w:t>
      </w:r>
      <w:r>
        <w:rPr>
          <w:color w:val="000000"/>
          <w:highlight w:val="none"/>
          <w:u w:val="single" w:color="000000"/>
        </w:rPr>
        <w:t>      </w:t>
      </w:r>
      <w:r>
        <w:rPr>
          <w:color w:val="000000"/>
          <w:highlight w:val="none"/>
        </w:rPr>
        <w:t>万元，属于</w:t>
      </w:r>
      <w:r>
        <w:rPr>
          <w:color w:val="000000"/>
          <w:highlight w:val="none"/>
          <w:u w:val="single" w:color="000000"/>
        </w:rPr>
        <w:t>      企业</w:t>
      </w:r>
      <w:r>
        <w:rPr>
          <w:color w:val="000000"/>
          <w:highlight w:val="none"/>
        </w:rPr>
        <w:t>（选填中型企业、小型企业、微型企业）；</w:t>
      </w:r>
    </w:p>
    <w:p w14:paraId="4A01429E">
      <w:pPr>
        <w:pStyle w:val="12"/>
        <w:widowControl/>
        <w:shd w:val="clear" w:color="auto" w:fill="auto"/>
        <w:rPr>
          <w:color w:val="000000"/>
          <w:highlight w:val="none"/>
        </w:rPr>
      </w:pPr>
      <w:r>
        <w:rPr>
          <w:color w:val="000000"/>
          <w:highlight w:val="none"/>
        </w:rPr>
        <w:t>……</w:t>
      </w:r>
    </w:p>
    <w:p w14:paraId="72D7FD87">
      <w:pPr>
        <w:pStyle w:val="12"/>
        <w:widowControl/>
        <w:shd w:val="clear" w:color="auto" w:fill="auto"/>
        <w:rPr>
          <w:color w:val="000000"/>
          <w:highlight w:val="none"/>
        </w:rPr>
      </w:pPr>
      <w:r>
        <w:rPr>
          <w:color w:val="000000"/>
          <w:highlight w:val="none"/>
        </w:rPr>
        <w:t>以上企业，不属于大企业的分支机构，不存在控股股东为大企业的情形，也不存在与大企业的负责人为同一人的情形。</w:t>
      </w:r>
    </w:p>
    <w:p w14:paraId="3378AF62">
      <w:pPr>
        <w:pStyle w:val="12"/>
        <w:widowControl/>
        <w:shd w:val="clear" w:color="auto" w:fill="auto"/>
        <w:rPr>
          <w:color w:val="000000"/>
          <w:highlight w:val="none"/>
        </w:rPr>
      </w:pPr>
      <w:r>
        <w:rPr>
          <w:color w:val="000000"/>
          <w:highlight w:val="none"/>
        </w:rPr>
        <w:t>本企业对上述声明内容的真实性负责。如有虚假，将依法承担相应责任。</w:t>
      </w:r>
    </w:p>
    <w:p w14:paraId="4D1A84DE">
      <w:pPr>
        <w:widowControl/>
        <w:shd w:val="clear" w:color="auto" w:fill="auto"/>
        <w:tabs>
          <w:tab w:val="left" w:pos="5670"/>
        </w:tabs>
        <w:spacing w:line="400" w:lineRule="exact"/>
        <w:ind w:firstLine="480" w:firstLineChars="200"/>
        <w:jc w:val="left"/>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单位名称：（盖章）</w:t>
      </w:r>
    </w:p>
    <w:p w14:paraId="2E0B8145">
      <w:pPr>
        <w:widowControl/>
        <w:shd w:val="clear" w:color="auto" w:fill="auto"/>
        <w:tabs>
          <w:tab w:val="left" w:pos="5670"/>
        </w:tabs>
        <w:spacing w:line="400" w:lineRule="exact"/>
        <w:ind w:firstLine="480" w:firstLineChars="200"/>
        <w:jc w:val="left"/>
        <w:rPr>
          <w:rFonts w:hint="eastAsia" w:ascii="Times New Roman" w:hAnsi="Times New Roman" w:eastAsia="宋体" w:cs="Times New Roman"/>
          <w:color w:val="000000"/>
          <w:spacing w:val="-7"/>
          <w:sz w:val="24"/>
          <w:szCs w:val="24"/>
          <w:highlight w:val="none"/>
        </w:rPr>
      </w:pPr>
      <w:r>
        <w:rPr>
          <w:rFonts w:hint="eastAsia" w:ascii="Times New Roman" w:hAnsi="Times New Roman" w:eastAsia="宋体" w:cs="Times New Roman"/>
          <w:color w:val="000000"/>
          <w:sz w:val="24"/>
          <w:szCs w:val="24"/>
          <w:highlight w:val="none"/>
        </w:rPr>
        <w:t>日　期：　　年　月　日</w:t>
      </w:r>
    </w:p>
    <w:p w14:paraId="3A9EE864">
      <w:pPr>
        <w:pStyle w:val="12"/>
        <w:widowControl/>
        <w:numPr>
          <w:ilvl w:val="0"/>
          <w:numId w:val="68"/>
        </w:numPr>
        <w:shd w:val="clear" w:color="auto" w:fill="auto"/>
        <w:topLinePunct w:val="0"/>
        <w:ind w:left="0" w:leftChars="0" w:firstLine="480" w:firstLineChars="0"/>
        <w:rPr>
          <w:rFonts w:ascii="Times New Roman" w:hAnsi="Times New Roman" w:cs="Times New Roman"/>
          <w:color w:val="000000"/>
          <w:highlight w:val="none"/>
        </w:rPr>
      </w:pPr>
      <w:r>
        <w:rPr>
          <w:rFonts w:ascii="Times New Roman" w:hAnsi="Times New Roman" w:cs="Times New Roman"/>
          <w:color w:val="000000"/>
          <w:highlight w:val="none"/>
        </w:rPr>
        <w:t>说明：1、投标人在填报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符合条件的投标人未按上述要求提供、填写的，评审时不予认可。</w:t>
      </w:r>
    </w:p>
    <w:p w14:paraId="3170843F">
      <w:pPr>
        <w:pStyle w:val="12"/>
        <w:widowControl/>
        <w:numPr>
          <w:ilvl w:val="0"/>
          <w:numId w:val="68"/>
        </w:numPr>
        <w:shd w:val="clear" w:color="auto" w:fill="auto"/>
        <w:topLinePunct w:val="0"/>
        <w:ind w:left="0" w:leftChars="0" w:firstLine="480" w:firstLineChars="0"/>
        <w:rPr>
          <w:rFonts w:ascii="Times New Roman" w:hAnsi="Times New Roman" w:cs="Times New Roman"/>
          <w:color w:val="000000"/>
          <w:highlight w:val="none"/>
        </w:rPr>
      </w:pPr>
      <w:r>
        <w:rPr>
          <w:rFonts w:ascii="Times New Roman" w:hAnsi="Times New Roman" w:cs="Times New Roman"/>
          <w:color w:val="000000"/>
          <w:highlight w:val="none"/>
        </w:rPr>
        <w:t>2、从业人员、营业收入、资产总额填报上一年度数据，无上一年度数据的或新成立企业可不填报。</w:t>
      </w:r>
    </w:p>
    <w:p w14:paraId="5CA7A249">
      <w:pPr>
        <w:pStyle w:val="12"/>
        <w:widowControl/>
        <w:numPr>
          <w:ilvl w:val="0"/>
          <w:numId w:val="68"/>
        </w:numPr>
        <w:shd w:val="clear" w:color="auto" w:fill="auto"/>
        <w:topLinePunct w:val="0"/>
        <w:ind w:left="0" w:leftChars="0" w:firstLine="480" w:firstLineChars="0"/>
        <w:rPr>
          <w:rFonts w:ascii="Times New Roman" w:hAnsi="Times New Roman" w:cs="Times New Roman"/>
          <w:color w:val="000000"/>
          <w:highlight w:val="none"/>
        </w:rPr>
      </w:pPr>
      <w:r>
        <w:rPr>
          <w:rFonts w:ascii="Times New Roman" w:hAnsi="Times New Roman" w:cs="Times New Roman"/>
          <w:color w:val="000000"/>
          <w:highlight w:val="none"/>
        </w:rPr>
        <w:t>3、本项目所属行业：</w:t>
      </w:r>
      <w:r>
        <w:rPr>
          <w:rFonts w:hint="eastAsia" w:ascii="Times New Roman" w:hAnsi="Times New Roman" w:cs="Times New Roman"/>
          <w:color w:val="000000"/>
          <w:highlight w:val="none"/>
          <w:lang w:val="en-US" w:eastAsia="zh-CN"/>
        </w:rPr>
        <w:t>其他未列明行业</w:t>
      </w:r>
      <w:r>
        <w:rPr>
          <w:rFonts w:ascii="Times New Roman" w:hAnsi="Times New Roman" w:cs="Times New Roman"/>
          <w:color w:val="000000"/>
          <w:highlight w:val="none"/>
        </w:rPr>
        <w:t>。</w:t>
      </w:r>
    </w:p>
    <w:p w14:paraId="4984555B">
      <w:pPr>
        <w:pStyle w:val="12"/>
        <w:widowControl/>
        <w:numPr>
          <w:ilvl w:val="0"/>
          <w:numId w:val="68"/>
        </w:numPr>
        <w:shd w:val="clear" w:color="auto" w:fill="auto"/>
        <w:topLinePunct w:val="0"/>
        <w:ind w:left="0" w:leftChars="0" w:firstLine="480" w:firstLineChars="0"/>
        <w:rPr>
          <w:rFonts w:hint="eastAsia" w:ascii="Times New Roman" w:hAnsi="Times New Roman" w:cs="Times New Roman"/>
          <w:color w:val="000000"/>
          <w:highlight w:val="none"/>
          <w:lang w:val="en-US" w:eastAsia="zh-CN"/>
        </w:rPr>
      </w:pPr>
      <w:r>
        <w:rPr>
          <w:rFonts w:ascii="Times New Roman" w:hAnsi="Times New Roman" w:cs="Times New Roman"/>
          <w:color w:val="000000"/>
          <w:highlight w:val="none"/>
        </w:rPr>
        <w:t>4、</w:t>
      </w:r>
      <w:r>
        <w:rPr>
          <w:rFonts w:hint="eastAsia" w:ascii="Times New Roman" w:hAnsi="Times New Roman" w:cs="Times New Roman"/>
          <w:color w:val="000000"/>
          <w:highlight w:val="none"/>
          <w:lang w:val="en-US" w:eastAsia="zh-CN"/>
        </w:rPr>
        <w:t>其他未列明行业</w:t>
      </w:r>
      <w:r>
        <w:rPr>
          <w:rFonts w:ascii="Times New Roman" w:hAnsi="Times New Roman" w:cs="Times New Roman"/>
          <w:color w:val="000000"/>
          <w:highlight w:val="none"/>
        </w:rPr>
        <w:t>。</w:t>
      </w:r>
      <w:r>
        <w:rPr>
          <w:rFonts w:hint="eastAsia" w:ascii="Times New Roman" w:hAnsi="Times New Roman" w:cs="Times New Roman"/>
          <w:color w:val="000000"/>
          <w:highlight w:val="none"/>
          <w:lang w:val="en-US" w:eastAsia="zh-CN"/>
        </w:rPr>
        <w:t>从业人员300人以下的为中小微型企业。其中，从业人员100人及以上的为中型企业;从业人员10人及以上的为小型企业；从业人员10人以下的为微型企业。</w:t>
      </w:r>
    </w:p>
    <w:p w14:paraId="665A77DE">
      <w:pPr>
        <w:pStyle w:val="12"/>
        <w:widowControl/>
        <w:shd w:val="clear" w:color="auto" w:fill="auto"/>
        <w:rPr>
          <w:color w:val="000000"/>
          <w:highlight w:val="none"/>
        </w:rPr>
      </w:pPr>
      <w:r>
        <w:rPr>
          <w:color w:val="000000"/>
          <w:highlight w:val="none"/>
        </w:rPr>
        <w:t>　</w:t>
      </w:r>
    </w:p>
    <w:p w14:paraId="1593D413">
      <w:pPr>
        <w:pageBreakBefore w:val="0"/>
        <w:shd w:val="clear" w:color="auto" w:fill="auto"/>
        <w:kinsoku/>
        <w:wordWrap w:val="0"/>
        <w:overflowPunct/>
        <w:topLinePunct/>
        <w:autoSpaceDE/>
        <w:autoSpaceDN/>
        <w:bidi w:val="0"/>
        <w:jc w:val="both"/>
        <w:textAlignment w:val="auto"/>
        <w:rPr>
          <w:rFonts w:hint="eastAsia" w:ascii="宋体" w:hAnsi="宋体" w:eastAsia="宋体" w:cs="宋体"/>
          <w:b/>
          <w:color w:val="000000"/>
          <w:sz w:val="28"/>
          <w:szCs w:val="28"/>
          <w:highlight w:val="none"/>
        </w:rPr>
      </w:pPr>
    </w:p>
    <w:p w14:paraId="786AB4AE">
      <w:pPr>
        <w:pageBreakBefore w:val="0"/>
        <w:shd w:val="clear" w:color="auto" w:fill="auto"/>
        <w:kinsoku/>
        <w:wordWrap w:val="0"/>
        <w:overflowPunct/>
        <w:topLinePunct/>
        <w:autoSpaceDE/>
        <w:autoSpaceDN/>
        <w:bidi w:val="0"/>
        <w:jc w:val="center"/>
        <w:textAlignment w:val="auto"/>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残疾人福利性单位声明函（非残疾人福利企业不填写）</w:t>
      </w:r>
    </w:p>
    <w:p w14:paraId="513881AF">
      <w:pPr>
        <w:pageBreakBefore w:val="0"/>
        <w:shd w:val="clear" w:color="auto" w:fill="auto"/>
        <w:kinsoku/>
        <w:wordWrap w:val="0"/>
        <w:overflowPunct/>
        <w:topLinePunct/>
        <w:autoSpaceDE/>
        <w:autoSpaceDN/>
        <w:bidi w:val="0"/>
        <w:spacing w:line="360" w:lineRule="auto"/>
        <w:jc w:val="both"/>
        <w:textAlignment w:val="auto"/>
        <w:rPr>
          <w:rFonts w:hint="eastAsia" w:ascii="宋体" w:hAnsi="宋体" w:eastAsia="宋体" w:cs="宋体"/>
          <w:b/>
          <w:color w:val="000000"/>
          <w:spacing w:val="6"/>
          <w:sz w:val="32"/>
          <w:szCs w:val="32"/>
          <w:highlight w:val="none"/>
          <w:shd w:val="pct10" w:color="auto" w:fill="FFFFFF"/>
        </w:rPr>
      </w:pPr>
    </w:p>
    <w:p w14:paraId="5F23E202">
      <w:pPr>
        <w:pStyle w:val="12"/>
        <w:shd w:val="clear" w:color="auto" w:fill="auto"/>
        <w:rPr>
          <w:color w:val="000000"/>
          <w:highlight w:val="none"/>
        </w:rPr>
      </w:pPr>
      <w:r>
        <w:rPr>
          <w:color w:val="000000"/>
          <w:highlight w:val="none"/>
        </w:rPr>
        <w:t>本单位郑重声明，根据《财政部民政部中国残疾人联合会关于促进残疾人就业政府采购政策的通知》（财库〔2017〕141号）的规定，本单位为符合条件的残疾人福利性单位，且本单位参加的项目采购活动提供本单位制造的货物（由本单位承担工程/提供服务），或者提供其他残疾人福利性单位制造的货物（不包括使用非残疾人福利性单位注册商标的货物）。</w:t>
      </w:r>
    </w:p>
    <w:p w14:paraId="3AB3BA33">
      <w:pPr>
        <w:pStyle w:val="12"/>
        <w:shd w:val="clear" w:color="auto" w:fill="auto"/>
        <w:rPr>
          <w:color w:val="000000"/>
          <w:highlight w:val="none"/>
        </w:rPr>
      </w:pPr>
      <w:r>
        <w:rPr>
          <w:color w:val="000000"/>
          <w:highlight w:val="none"/>
        </w:rPr>
        <w:t>本单位对上述声明的真实性负责。如有虚假，将依法承担相应责任。</w:t>
      </w:r>
    </w:p>
    <w:p w14:paraId="4A4D6038">
      <w:pPr>
        <w:pageBreakBefore w:val="0"/>
        <w:shd w:val="clear" w:color="auto" w:fill="auto"/>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000000"/>
          <w:sz w:val="24"/>
          <w:highlight w:val="none"/>
        </w:rPr>
      </w:pPr>
    </w:p>
    <w:p w14:paraId="3038B8B4">
      <w:pPr>
        <w:pageBreakBefore w:val="0"/>
        <w:shd w:val="clear" w:color="auto" w:fill="auto"/>
        <w:kinsoku/>
        <w:wordWrap w:val="0"/>
        <w:overflowPunct/>
        <w:topLinePunct/>
        <w:autoSpaceDE/>
        <w:autoSpaceDN/>
        <w:bidi w:val="0"/>
        <w:spacing w:line="360" w:lineRule="auto"/>
        <w:ind w:firstLine="480" w:firstLineChars="200"/>
        <w:jc w:val="both"/>
        <w:textAlignment w:val="auto"/>
        <w:rPr>
          <w:rFonts w:hint="eastAsia" w:ascii="宋体" w:hAnsi="宋体" w:eastAsia="宋体" w:cs="宋体"/>
          <w:color w:val="000000"/>
          <w:sz w:val="24"/>
          <w:highlight w:val="none"/>
        </w:rPr>
      </w:pPr>
    </w:p>
    <w:p w14:paraId="3E9BC0CE">
      <w:pPr>
        <w:pageBreakBefore w:val="0"/>
        <w:shd w:val="clear" w:color="auto" w:fill="auto"/>
        <w:tabs>
          <w:tab w:val="left" w:pos="4860"/>
          <w:tab w:val="left" w:pos="8040"/>
          <w:tab w:val="left" w:pos="8160"/>
        </w:tabs>
        <w:kinsoku/>
        <w:wordWrap w:val="0"/>
        <w:overflowPunct/>
        <w:topLinePunct/>
        <w:autoSpaceDE/>
        <w:autoSpaceDN/>
        <w:bidi w:val="0"/>
        <w:spacing w:line="360" w:lineRule="auto"/>
        <w:ind w:right="862" w:firstLine="480" w:firstLineChars="200"/>
        <w:jc w:val="both"/>
        <w:textAlignment w:val="auto"/>
        <w:rPr>
          <w:rFonts w:hint="eastAsia" w:ascii="Times New Roman" w:hAnsi="Times New Roman" w:eastAsia="宋体" w:cs="Times New Roman"/>
          <w:color w:val="000000"/>
          <w:sz w:val="24"/>
          <w:szCs w:val="24"/>
          <w:highlight w:val="none"/>
          <w:u w:val="single"/>
          <w:lang w:eastAsia="zh-CN"/>
        </w:rPr>
      </w:pPr>
      <w:r>
        <w:rPr>
          <w:rFonts w:hint="eastAsia" w:ascii="Times New Roman" w:hAnsi="Times New Roman" w:eastAsia="宋体" w:cs="Times New Roman"/>
          <w:color w:val="000000"/>
          <w:sz w:val="24"/>
          <w:szCs w:val="24"/>
          <w:highlight w:val="none"/>
        </w:rPr>
        <w:t>单位名称（盖章）：</w:t>
      </w:r>
    </w:p>
    <w:p w14:paraId="71155D35">
      <w:pPr>
        <w:pageBreakBefore w:val="0"/>
        <w:shd w:val="clear" w:color="auto" w:fill="auto"/>
        <w:tabs>
          <w:tab w:val="left" w:pos="4860"/>
        </w:tabs>
        <w:kinsoku/>
        <w:wordWrap w:val="0"/>
        <w:overflowPunct/>
        <w:topLinePunct/>
        <w:autoSpaceDE/>
        <w:autoSpaceDN/>
        <w:bidi w:val="0"/>
        <w:spacing w:line="360" w:lineRule="auto"/>
        <w:ind w:right="1560" w:firstLine="480" w:firstLineChars="200"/>
        <w:jc w:val="both"/>
        <w:textAlignment w:val="auto"/>
        <w:rPr>
          <w:rFonts w:hint="eastAsia" w:ascii="宋体" w:hAnsi="宋体" w:eastAsia="宋体" w:cs="宋体"/>
          <w:color w:val="000000"/>
          <w:sz w:val="24"/>
          <w:highlight w:val="none"/>
          <w:lang w:eastAsia="zh-CN"/>
        </w:rPr>
      </w:pPr>
    </w:p>
    <w:p w14:paraId="2C3338A3">
      <w:pPr>
        <w:pageBreakBefore w:val="0"/>
        <w:shd w:val="clear" w:color="auto" w:fill="auto"/>
        <w:tabs>
          <w:tab w:val="left" w:pos="4860"/>
        </w:tabs>
        <w:kinsoku/>
        <w:wordWrap w:val="0"/>
        <w:overflowPunct/>
        <w:topLinePunct/>
        <w:autoSpaceDE/>
        <w:autoSpaceDN/>
        <w:bidi w:val="0"/>
        <w:spacing w:line="360" w:lineRule="auto"/>
        <w:ind w:right="1560" w:firstLine="480" w:firstLineChars="200"/>
        <w:jc w:val="both"/>
        <w:textAlignment w:val="auto"/>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日期：年月日</w:t>
      </w:r>
    </w:p>
    <w:p w14:paraId="3031AFFF">
      <w:pPr>
        <w:pageBreakBefore w:val="0"/>
        <w:shd w:val="clear" w:color="auto" w:fill="auto"/>
        <w:kinsoku/>
        <w:wordWrap w:val="0"/>
        <w:overflowPunct/>
        <w:topLinePunct/>
        <w:autoSpaceDE/>
        <w:autoSpaceDN/>
        <w:bidi w:val="0"/>
        <w:spacing w:line="360" w:lineRule="auto"/>
        <w:ind w:firstLine="506" w:firstLineChars="200"/>
        <w:jc w:val="both"/>
        <w:textAlignment w:val="auto"/>
        <w:rPr>
          <w:rFonts w:hint="eastAsia" w:ascii="宋体" w:hAnsi="宋体" w:eastAsia="宋体" w:cs="宋体"/>
          <w:b/>
          <w:color w:val="000000"/>
          <w:spacing w:val="6"/>
          <w:sz w:val="24"/>
          <w:highlight w:val="none"/>
          <w:shd w:val="pct10" w:color="auto" w:fill="FFFFFF"/>
        </w:rPr>
      </w:pPr>
    </w:p>
    <w:p w14:paraId="750FE302">
      <w:pPr>
        <w:pageBreakBefore w:val="0"/>
        <w:shd w:val="clear" w:color="auto" w:fill="auto"/>
        <w:kinsoku/>
        <w:wordWrap w:val="0"/>
        <w:overflowPunct/>
        <w:topLinePunct/>
        <w:autoSpaceDE/>
        <w:autoSpaceDN/>
        <w:bidi w:val="0"/>
        <w:spacing w:line="360" w:lineRule="auto"/>
        <w:ind w:firstLine="506" w:firstLineChars="200"/>
        <w:jc w:val="both"/>
        <w:textAlignment w:val="auto"/>
        <w:rPr>
          <w:rFonts w:hint="eastAsia" w:ascii="宋体" w:hAnsi="宋体" w:eastAsia="宋体" w:cs="宋体"/>
          <w:b/>
          <w:color w:val="000000"/>
          <w:spacing w:val="6"/>
          <w:sz w:val="24"/>
          <w:highlight w:val="none"/>
          <w:shd w:val="pct10" w:color="auto" w:fill="FFFFFF"/>
        </w:rPr>
      </w:pPr>
    </w:p>
    <w:p w14:paraId="3032ECE0">
      <w:pPr>
        <w:pStyle w:val="12"/>
        <w:shd w:val="clear" w:color="auto" w:fill="auto"/>
        <w:rPr>
          <w:color w:val="000000"/>
          <w:highlight w:val="none"/>
        </w:rPr>
      </w:pPr>
      <w:r>
        <w:rPr>
          <w:color w:val="000000"/>
          <w:highlight w:val="none"/>
        </w:rPr>
        <w:t>备注：投标人提供的《残疾人福利性单位声明函》必须真实有效，如果被举报经查实出具虚假声明函的，将被取消投标资格，并按有关规定予以处理。</w:t>
      </w:r>
    </w:p>
    <w:p w14:paraId="5E8812E1">
      <w:pPr>
        <w:pStyle w:val="16"/>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lang w:val="zh-CN"/>
        </w:rPr>
      </w:pPr>
    </w:p>
    <w:p w14:paraId="44C015B6">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215B5BAF">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64C19739">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4F27F93E">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1D8BB648">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3218F619">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59F9F577">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09C0AFC0">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rPr>
      </w:pPr>
    </w:p>
    <w:p w14:paraId="4D9459DD">
      <w:pPr>
        <w:pageBreakBefore w:val="0"/>
        <w:widowControl/>
        <w:shd w:val="clear" w:color="auto" w:fill="auto"/>
        <w:kinsoku/>
        <w:wordWrap w:val="0"/>
        <w:overflowPunct/>
        <w:topLinePunct/>
        <w:autoSpaceDE/>
        <w:autoSpaceDN/>
        <w:bidi w:val="0"/>
        <w:jc w:val="center"/>
        <w:textAlignment w:val="auto"/>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br w:type="page"/>
      </w:r>
      <w:r>
        <w:rPr>
          <w:rFonts w:hint="eastAsia" w:ascii="宋体" w:hAnsi="宋体" w:eastAsia="宋体" w:cs="宋体"/>
          <w:b/>
          <w:color w:val="000000"/>
          <w:sz w:val="28"/>
          <w:szCs w:val="28"/>
          <w:highlight w:val="none"/>
        </w:rPr>
        <w:t>监狱企业证明函</w:t>
      </w:r>
      <w:r>
        <w:rPr>
          <w:rFonts w:hint="eastAsia" w:ascii="宋体" w:hAnsi="宋体" w:eastAsia="宋体" w:cs="宋体"/>
          <w:b/>
          <w:color w:val="000000"/>
          <w:sz w:val="28"/>
          <w:szCs w:val="28"/>
          <w:highlight w:val="none"/>
          <w:lang w:val="zh-CN"/>
        </w:rPr>
        <w:t>（</w:t>
      </w:r>
      <w:r>
        <w:rPr>
          <w:rFonts w:hint="eastAsia" w:ascii="宋体" w:hAnsi="宋体" w:eastAsia="宋体" w:cs="宋体"/>
          <w:b/>
          <w:color w:val="000000"/>
          <w:sz w:val="28"/>
          <w:szCs w:val="28"/>
          <w:highlight w:val="none"/>
        </w:rPr>
        <w:t>如用，不用可删除</w:t>
      </w:r>
      <w:r>
        <w:rPr>
          <w:rFonts w:hint="eastAsia" w:ascii="宋体" w:hAnsi="宋体" w:eastAsia="宋体" w:cs="宋体"/>
          <w:b/>
          <w:color w:val="000000"/>
          <w:kern w:val="0"/>
          <w:sz w:val="28"/>
          <w:szCs w:val="28"/>
          <w:highlight w:val="none"/>
          <w:lang w:val="zh-CN"/>
        </w:rPr>
        <w:t>）</w:t>
      </w:r>
    </w:p>
    <w:p w14:paraId="15470BC0">
      <w:pPr>
        <w:pStyle w:val="12"/>
        <w:widowControl/>
        <w:shd w:val="clear" w:color="auto" w:fill="auto"/>
        <w:rPr>
          <w:color w:val="000000"/>
          <w:highlight w:val="none"/>
        </w:rPr>
      </w:pPr>
      <w:r>
        <w:rPr>
          <w:color w:val="000000"/>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8EF0E10">
      <w:pPr>
        <w:pStyle w:val="12"/>
        <w:widowControl/>
        <w:shd w:val="clear" w:color="auto" w:fill="auto"/>
        <w:rPr>
          <w:color w:val="000000"/>
          <w:highlight w:val="none"/>
        </w:rPr>
      </w:pPr>
      <w:r>
        <w:rPr>
          <w:color w:val="000000"/>
          <w:highlight w:val="none"/>
        </w:rPr>
        <w:t>监狱企业参加政府采购活动时，应当提供由省级以上监狱管理局、戒毒管理局（含新疆生产建设兵团）出具的属于监狱企业的证明文件。</w:t>
      </w:r>
    </w:p>
    <w:p w14:paraId="51251215">
      <w:pPr>
        <w:pageBreakBefore w:val="0"/>
        <w:shd w:val="clear" w:color="auto" w:fill="auto"/>
        <w:kinsoku/>
        <w:wordWrap w:val="0"/>
        <w:overflowPunct/>
        <w:topLinePunct/>
        <w:autoSpaceDE/>
        <w:autoSpaceDN/>
        <w:bidi w:val="0"/>
        <w:jc w:val="both"/>
        <w:textAlignment w:val="auto"/>
        <w:rPr>
          <w:rFonts w:hint="eastAsia" w:ascii="宋体" w:hAnsi="宋体" w:eastAsia="宋体" w:cs="宋体"/>
          <w:color w:val="000000"/>
          <w:highlight w:val="none"/>
          <w:lang w:eastAsia="zh-CN"/>
        </w:rPr>
      </w:pPr>
    </w:p>
    <w:p w14:paraId="3E3121BF">
      <w:pPr>
        <w:pStyle w:val="50"/>
        <w:widowControl/>
        <w:tabs>
          <w:tab w:val="left" w:pos="0"/>
        </w:tabs>
        <w:ind w:left="0" w:leftChars="0" w:firstLine="0" w:firstLineChars="0"/>
        <w:outlineLvl w:val="0"/>
        <w:rPr>
          <w:highlight w:val="none"/>
        </w:rPr>
      </w:pPr>
    </w:p>
    <w:p w14:paraId="4D3AD920">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4056277C">
      <w:pPr>
        <w:pStyle w:val="12"/>
        <w:widowControl/>
        <w:ind w:left="0" w:leftChars="0" w:firstLine="480" w:firstLineChars="200"/>
        <w:rPr>
          <w:color w:val="auto"/>
          <w:highlight w:val="none"/>
        </w:rPr>
      </w:pPr>
      <w:r>
        <w:rPr>
          <w:color w:val="auto"/>
        </w:rPr>
        <w:t>投标人可结合第三章《采购内容及要求》相关要求等自行编制响应说明，格式自定。</w:t>
      </w:r>
    </w:p>
    <w:p w14:paraId="6BEF4433">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0BF4A06F">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7A5866CC">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74F3611A">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228368FF">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41D8DF4D">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05051672">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065E79C2">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3411B3C9">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3DF3FA5A">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5DC9A757">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183A38F0">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442CCE5A">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2803E018">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10F0D4B2">
      <w:pPr>
        <w:pageBreakBefore w:val="0"/>
        <w:widowControl/>
        <w:tabs>
          <w:tab w:val="left" w:pos="3336"/>
        </w:tabs>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b/>
      </w:r>
    </w:p>
    <w:p w14:paraId="50B84A76">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677791EB">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5204A95E">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4BD0912E">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7617DF78">
      <w:pPr>
        <w:pageBreakBefore w:val="0"/>
        <w:widowControl/>
        <w:kinsoku/>
        <w:wordWrap w:val="0"/>
        <w:overflowPunct/>
        <w:topLinePunct/>
        <w:autoSpaceDE/>
        <w:autoSpaceDN/>
        <w:bidi w:val="0"/>
        <w:spacing w:line="400" w:lineRule="exact"/>
        <w:ind w:firstLine="567"/>
        <w:jc w:val="both"/>
        <w:rPr>
          <w:rFonts w:hint="eastAsia" w:ascii="宋体" w:hAnsi="宋体" w:eastAsia="宋体" w:cs="宋体"/>
          <w:color w:val="auto"/>
          <w:sz w:val="28"/>
          <w:szCs w:val="28"/>
          <w:highlight w:val="none"/>
        </w:rPr>
      </w:pPr>
    </w:p>
    <w:p w14:paraId="4D4B70B5">
      <w:pPr>
        <w:pStyle w:val="2"/>
        <w:widowControl/>
        <w:numPr>
          <w:ilvl w:val="0"/>
          <w:numId w:val="70"/>
        </w:numPr>
        <w:tabs>
          <w:tab w:val="left" w:pos="1043"/>
        </w:tabs>
        <w:topLinePunct w:val="0"/>
        <w:ind w:left="0" w:leftChars="0" w:firstLine="482" w:firstLineChars="200"/>
        <w:rPr>
          <w:b/>
          <w:highlight w:val="none"/>
        </w:rPr>
      </w:pPr>
      <w:bookmarkStart w:id="114" w:name="_Toc29957"/>
      <w:r>
        <w:rPr>
          <w:highlight w:val="none"/>
        </w:rPr>
        <w:t>商务条款响应说明</w:t>
      </w:r>
      <w:bookmarkEnd w:id="114"/>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3420"/>
        <w:gridCol w:w="2988"/>
        <w:gridCol w:w="1863"/>
      </w:tblGrid>
      <w:tr w14:paraId="3D63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562646D1">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firstLine="140" w:firstLineChars="5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1843" w:type="pct"/>
            <w:noWrap w:val="0"/>
            <w:vAlign w:val="center"/>
          </w:tcPr>
          <w:p w14:paraId="5B445FFB">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谈判文件</w:t>
            </w:r>
            <w:r>
              <w:rPr>
                <w:rFonts w:hint="eastAsia" w:ascii="宋体" w:hAnsi="宋体" w:eastAsia="宋体" w:cs="宋体"/>
                <w:color w:val="auto"/>
                <w:sz w:val="28"/>
                <w:szCs w:val="28"/>
                <w:highlight w:val="none"/>
              </w:rPr>
              <w:t>要求</w:t>
            </w:r>
          </w:p>
        </w:tc>
        <w:tc>
          <w:tcPr>
            <w:tcW w:w="1610" w:type="pct"/>
            <w:noWrap w:val="0"/>
            <w:vAlign w:val="center"/>
          </w:tcPr>
          <w:p w14:paraId="3967122C">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firstLine="420" w:firstLineChars="150"/>
              <w:jc w:val="both"/>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谈判响应</w:t>
            </w:r>
          </w:p>
        </w:tc>
        <w:tc>
          <w:tcPr>
            <w:tcW w:w="1004" w:type="pct"/>
            <w:noWrap w:val="0"/>
            <w:vAlign w:val="center"/>
          </w:tcPr>
          <w:p w14:paraId="259A2441">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firstLine="420" w:firstLineChars="15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响应说明</w:t>
            </w:r>
          </w:p>
        </w:tc>
      </w:tr>
      <w:tr w14:paraId="15CC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454E81C4">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417F51CA">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597B23CB">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4BF3D8D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5062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47148FE3">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114EE0F7">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6B186FCA">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30DED8C4">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4614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3FF5CE16">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3AEDF35D">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74FA0940">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67A6ADE3">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2B60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75FA1B2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02017383">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57B73244">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4A0ADF40">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22E6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49E8728A">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6449D7CD">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433A4545">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7E7EB17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3DE0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33F50A5A">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4698E3E1">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18BF1144">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5A613191">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6FF0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62F684C7">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3F8E7BF7">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2BB2172C">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28E7DDDD">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7ADD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2BD395F3">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5A803A1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14BB2E26">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1C3B7FA7">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3B41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3E74CC63">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13F7C40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18A34202">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78FA1954">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02B8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71D67782">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60111F9A">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7051F435">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202DCC67">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4156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218B3D8F">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6DF1117C">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483ED446">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317CDD61">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361C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4A1DDC7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659D26FA">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610" w:type="pct"/>
            <w:noWrap w:val="0"/>
            <w:vAlign w:val="center"/>
          </w:tcPr>
          <w:p w14:paraId="61CFCB12">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02D048D9">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r w14:paraId="1E4A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59E2B6DC">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843" w:type="pct"/>
            <w:noWrap w:val="0"/>
            <w:vAlign w:val="center"/>
          </w:tcPr>
          <w:p w14:paraId="3991E95C">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w:t>
            </w:r>
          </w:p>
        </w:tc>
        <w:tc>
          <w:tcPr>
            <w:tcW w:w="1610" w:type="pct"/>
            <w:noWrap w:val="0"/>
            <w:vAlign w:val="center"/>
          </w:tcPr>
          <w:p w14:paraId="02755928">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c>
          <w:tcPr>
            <w:tcW w:w="1004" w:type="pct"/>
            <w:noWrap w:val="0"/>
            <w:vAlign w:val="center"/>
          </w:tcPr>
          <w:p w14:paraId="30C49F1D">
            <w:pPr>
              <w:keepNext w:val="0"/>
              <w:keepLines w:val="0"/>
              <w:pageBreakBefore w:val="0"/>
              <w:suppressLineNumbers w:val="0"/>
              <w:kinsoku/>
              <w:wordWrap w:val="0"/>
              <w:overflowPunct/>
              <w:topLinePunct/>
              <w:autoSpaceDE/>
              <w:autoSpaceDN/>
              <w:bidi w:val="0"/>
              <w:spacing w:before="0" w:beforeAutospacing="0" w:after="0" w:afterAutospacing="0" w:line="560" w:lineRule="exact"/>
              <w:ind w:left="0" w:right="-168" w:rightChars="-80"/>
              <w:jc w:val="both"/>
              <w:rPr>
                <w:rFonts w:hint="eastAsia" w:ascii="宋体" w:hAnsi="宋体" w:eastAsia="宋体" w:cs="宋体"/>
                <w:color w:val="auto"/>
                <w:sz w:val="28"/>
                <w:szCs w:val="28"/>
                <w:highlight w:val="none"/>
              </w:rPr>
            </w:pPr>
          </w:p>
        </w:tc>
      </w:tr>
    </w:tbl>
    <w:p w14:paraId="6C1C772C">
      <w:pPr>
        <w:pStyle w:val="12"/>
        <w:widowControl/>
        <w:ind w:left="0" w:leftChars="0" w:firstLine="480" w:firstLineChars="200"/>
        <w:rPr>
          <w:color w:val="auto"/>
          <w:highlight w:val="none"/>
        </w:rPr>
      </w:pPr>
      <w:r>
        <w:rPr>
          <w:color w:val="auto"/>
          <w:highlight w:val="none"/>
        </w:rPr>
        <w:t>说明：</w:t>
      </w:r>
    </w:p>
    <w:p w14:paraId="2FF0FD08">
      <w:pPr>
        <w:pStyle w:val="12"/>
        <w:widowControl/>
        <w:numPr>
          <w:ilvl w:val="0"/>
          <w:numId w:val="71"/>
        </w:numPr>
        <w:tabs>
          <w:tab w:val="left" w:pos="840"/>
        </w:tabs>
        <w:topLinePunct w:val="0"/>
        <w:ind w:left="0" w:leftChars="0" w:firstLine="480" w:firstLineChars="200"/>
        <w:rPr>
          <w:rFonts w:hint="eastAsia" w:ascii="宋体" w:hAnsi="宋体" w:eastAsia="宋体" w:cs="宋体"/>
          <w:b w:val="0"/>
          <w:color w:val="000000"/>
        </w:rPr>
      </w:pPr>
      <w:r>
        <w:t>投标文件根据竞争性谈判文件商务要求须逐条如实填写。</w:t>
      </w:r>
    </w:p>
    <w:p w14:paraId="3CAA4807">
      <w:pPr>
        <w:pStyle w:val="12"/>
        <w:widowControl/>
        <w:numPr>
          <w:ilvl w:val="0"/>
          <w:numId w:val="71"/>
        </w:numPr>
        <w:tabs>
          <w:tab w:val="left" w:pos="840"/>
        </w:tabs>
        <w:topLinePunct w:val="0"/>
        <w:ind w:left="0" w:leftChars="0" w:firstLine="480" w:firstLineChars="200"/>
        <w:rPr>
          <w:rFonts w:hint="eastAsia" w:ascii="宋体" w:hAnsi="宋体" w:eastAsia="宋体" w:cs="宋体"/>
          <w:b w:val="0"/>
        </w:rPr>
      </w:pPr>
      <w:r>
        <w:t>偏离情况填写：正偏离、无偏离、负偏离。响应说明填写：对偏离情况做出详细说明。</w:t>
      </w:r>
    </w:p>
    <w:p w14:paraId="398ED97B">
      <w:pPr>
        <w:pageBreakBefore w:val="0"/>
        <w:widowControl/>
        <w:tabs>
          <w:tab w:val="right" w:pos="9070"/>
        </w:tabs>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bCs/>
          <w:color w:val="auto"/>
          <w:sz w:val="24"/>
          <w:szCs w:val="28"/>
          <w:highlight w:val="none"/>
        </w:rPr>
      </w:pP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w:t>
      </w: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全称并加盖公章）</w:t>
      </w:r>
    </w:p>
    <w:p w14:paraId="63484549">
      <w:pPr>
        <w:pageBreakBefore w:val="0"/>
        <w:widowControl/>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　期：　　年　月　日</w:t>
      </w:r>
    </w:p>
    <w:p w14:paraId="25893996">
      <w:pPr>
        <w:pStyle w:val="12"/>
        <w:pageBreakBefore w:val="0"/>
        <w:kinsoku/>
        <w:wordWrap w:val="0"/>
        <w:overflowPunct/>
        <w:topLinePunct/>
        <w:autoSpaceDE/>
        <w:autoSpaceDN/>
        <w:bidi w:val="0"/>
        <w:jc w:val="both"/>
        <w:rPr>
          <w:rFonts w:hint="eastAsia" w:ascii="宋体" w:hAnsi="宋体" w:eastAsia="宋体" w:cs="宋体"/>
          <w:b/>
          <w:color w:val="auto"/>
          <w:sz w:val="28"/>
          <w:szCs w:val="28"/>
          <w:highlight w:val="none"/>
        </w:rPr>
      </w:pPr>
    </w:p>
    <w:p w14:paraId="2AD92054">
      <w:pPr>
        <w:pStyle w:val="12"/>
        <w:pageBreakBefore w:val="0"/>
        <w:kinsoku/>
        <w:wordWrap w:val="0"/>
        <w:overflowPunct/>
        <w:topLinePunct/>
        <w:autoSpaceDE/>
        <w:autoSpaceDN/>
        <w:bidi w:val="0"/>
        <w:jc w:val="both"/>
        <w:rPr>
          <w:rFonts w:hint="eastAsia" w:ascii="宋体" w:hAnsi="宋体" w:eastAsia="宋体" w:cs="宋体"/>
          <w:b/>
          <w:color w:val="auto"/>
          <w:sz w:val="28"/>
          <w:szCs w:val="28"/>
          <w:highlight w:val="none"/>
        </w:rPr>
      </w:pPr>
    </w:p>
    <w:p w14:paraId="28FADAC0">
      <w:pPr>
        <w:pStyle w:val="12"/>
        <w:pageBreakBefore w:val="0"/>
        <w:kinsoku/>
        <w:wordWrap w:val="0"/>
        <w:overflowPunct/>
        <w:topLinePunct/>
        <w:autoSpaceDE/>
        <w:autoSpaceDN/>
        <w:bidi w:val="0"/>
        <w:jc w:val="both"/>
        <w:rPr>
          <w:rFonts w:hint="eastAsia" w:ascii="宋体" w:hAnsi="宋体" w:eastAsia="宋体" w:cs="宋体"/>
          <w:b/>
          <w:color w:val="auto"/>
          <w:sz w:val="28"/>
          <w:szCs w:val="28"/>
          <w:highlight w:val="none"/>
        </w:rPr>
      </w:pPr>
    </w:p>
    <w:p w14:paraId="7196A482">
      <w:pPr>
        <w:rPr>
          <w:rFonts w:hint="eastAsia" w:ascii="宋体" w:hAnsi="宋体" w:eastAsia="宋体" w:cs="宋体"/>
          <w:b/>
          <w:color w:val="auto"/>
          <w:sz w:val="28"/>
          <w:szCs w:val="28"/>
          <w:highlight w:val="none"/>
        </w:rPr>
      </w:pPr>
    </w:p>
    <w:p w14:paraId="0954ABA3">
      <w:pPr>
        <w:rPr>
          <w:highlight w:val="none"/>
        </w:rPr>
      </w:pPr>
      <w:bookmarkStart w:id="115" w:name="_Toc13580"/>
      <w:r>
        <w:rPr>
          <w:highlight w:val="none"/>
        </w:rPr>
        <w:br w:type="page"/>
      </w:r>
    </w:p>
    <w:p w14:paraId="5722A81C">
      <w:pPr>
        <w:pStyle w:val="2"/>
        <w:widowControl/>
        <w:numPr>
          <w:ilvl w:val="0"/>
          <w:numId w:val="70"/>
        </w:numPr>
        <w:tabs>
          <w:tab w:val="left" w:pos="1043"/>
        </w:tabs>
        <w:topLinePunct w:val="0"/>
        <w:ind w:left="0" w:leftChars="0" w:firstLine="482" w:firstLineChars="200"/>
        <w:rPr>
          <w:b/>
          <w:highlight w:val="none"/>
        </w:rPr>
      </w:pPr>
      <w:r>
        <w:rPr>
          <w:highlight w:val="none"/>
        </w:rPr>
        <w:t>技术/服务偏差表</w:t>
      </w:r>
      <w:bookmarkEnd w:id="115"/>
    </w:p>
    <w:tbl>
      <w:tblPr>
        <w:tblStyle w:val="24"/>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576"/>
        <w:gridCol w:w="3282"/>
        <w:gridCol w:w="2450"/>
      </w:tblGrid>
      <w:tr w14:paraId="001F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07" w:type="dxa"/>
            <w:noWrap w:val="0"/>
            <w:vAlign w:val="center"/>
          </w:tcPr>
          <w:p w14:paraId="21CE22C3">
            <w:pPr>
              <w:pStyle w:val="14"/>
              <w:pageBreakBefore w:val="0"/>
              <w:kinsoku/>
              <w:wordWrap w:val="0"/>
              <w:overflowPunct/>
              <w:topLinePunct/>
              <w:autoSpaceDE/>
              <w:autoSpaceDN/>
              <w:bidi w:val="0"/>
              <w:spacing w:line="400" w:lineRule="exact"/>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2576" w:type="dxa"/>
            <w:noWrap w:val="0"/>
            <w:vAlign w:val="center"/>
          </w:tcPr>
          <w:p w14:paraId="10369F15">
            <w:pPr>
              <w:pStyle w:val="14"/>
              <w:pageBreakBefore w:val="0"/>
              <w:kinsoku/>
              <w:wordWrap w:val="0"/>
              <w:overflowPunct/>
              <w:topLinePunct/>
              <w:autoSpaceDE/>
              <w:autoSpaceDN/>
              <w:bidi w:val="0"/>
              <w:spacing w:line="400" w:lineRule="exact"/>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采购</w:t>
            </w:r>
            <w:r>
              <w:rPr>
                <w:rFonts w:hint="eastAsia" w:ascii="宋体" w:hAnsi="宋体" w:eastAsia="宋体" w:cs="宋体"/>
                <w:color w:val="auto"/>
                <w:sz w:val="28"/>
                <w:szCs w:val="28"/>
                <w:highlight w:val="none"/>
              </w:rPr>
              <w:t>要求</w:t>
            </w:r>
          </w:p>
        </w:tc>
        <w:tc>
          <w:tcPr>
            <w:tcW w:w="3282" w:type="dxa"/>
            <w:noWrap w:val="0"/>
            <w:vAlign w:val="center"/>
          </w:tcPr>
          <w:p w14:paraId="6202B8E4">
            <w:pPr>
              <w:pStyle w:val="14"/>
              <w:pageBreakBefore w:val="0"/>
              <w:kinsoku/>
              <w:wordWrap w:val="0"/>
              <w:overflowPunct/>
              <w:topLinePunct/>
              <w:autoSpaceDE/>
              <w:autoSpaceDN/>
              <w:bidi w:val="0"/>
              <w:spacing w:line="400" w:lineRule="exact"/>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谈判</w:t>
            </w:r>
            <w:r>
              <w:rPr>
                <w:rFonts w:hint="eastAsia" w:ascii="宋体" w:hAnsi="宋体" w:eastAsia="宋体" w:cs="宋体"/>
                <w:color w:val="auto"/>
                <w:sz w:val="28"/>
                <w:szCs w:val="28"/>
                <w:highlight w:val="none"/>
              </w:rPr>
              <w:t>响应</w:t>
            </w:r>
          </w:p>
        </w:tc>
        <w:tc>
          <w:tcPr>
            <w:tcW w:w="2450" w:type="dxa"/>
            <w:noWrap w:val="0"/>
            <w:vAlign w:val="center"/>
          </w:tcPr>
          <w:p w14:paraId="788CA754">
            <w:pPr>
              <w:pStyle w:val="14"/>
              <w:pageBreakBefore w:val="0"/>
              <w:kinsoku/>
              <w:wordWrap w:val="0"/>
              <w:overflowPunct/>
              <w:topLinePunct/>
              <w:autoSpaceDE/>
              <w:autoSpaceDN/>
              <w:bidi w:val="0"/>
              <w:spacing w:line="400" w:lineRule="exact"/>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偏离情况</w:t>
            </w:r>
          </w:p>
        </w:tc>
      </w:tr>
      <w:tr w14:paraId="5FD2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noWrap w:val="0"/>
            <w:vAlign w:val="top"/>
          </w:tcPr>
          <w:p w14:paraId="60B317DD">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center"/>
          </w:tcPr>
          <w:p w14:paraId="16F67B5E">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center"/>
          </w:tcPr>
          <w:p w14:paraId="64BA3E61">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center"/>
          </w:tcPr>
          <w:p w14:paraId="68D4244F">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2F23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noWrap w:val="0"/>
            <w:vAlign w:val="top"/>
          </w:tcPr>
          <w:p w14:paraId="1EB21DCA">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40496383">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22F3791F">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241AD023">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68A4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noWrap w:val="0"/>
            <w:vAlign w:val="top"/>
          </w:tcPr>
          <w:p w14:paraId="1A57C47D">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6BEFA293">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3B1CAAC9">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018E46A6">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400D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noWrap w:val="0"/>
            <w:vAlign w:val="top"/>
          </w:tcPr>
          <w:p w14:paraId="32A290CE">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72AE3F3D">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14EC1F81">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728E24E6">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2B96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noWrap w:val="0"/>
            <w:vAlign w:val="top"/>
          </w:tcPr>
          <w:p w14:paraId="3AA3676B">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79E2FE04">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67545C6F">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50B1208B">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1488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noWrap w:val="0"/>
            <w:vAlign w:val="top"/>
          </w:tcPr>
          <w:p w14:paraId="72D511AD">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65CC88B7">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14D23F1B">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6ADBCDEF">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592E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noWrap w:val="0"/>
            <w:vAlign w:val="top"/>
          </w:tcPr>
          <w:p w14:paraId="1F243CBC">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51CA4A2E">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3DAABF18">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71A63144">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487E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noWrap w:val="0"/>
            <w:vAlign w:val="top"/>
          </w:tcPr>
          <w:p w14:paraId="38A28E9B">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303D6EE6">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3282" w:type="dxa"/>
            <w:noWrap w:val="0"/>
            <w:vAlign w:val="top"/>
          </w:tcPr>
          <w:p w14:paraId="012C214D">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28EB7BC7">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r w14:paraId="06AD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noWrap w:val="0"/>
            <w:vAlign w:val="top"/>
          </w:tcPr>
          <w:p w14:paraId="70A5D079">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576" w:type="dxa"/>
            <w:noWrap w:val="0"/>
            <w:vAlign w:val="top"/>
          </w:tcPr>
          <w:p w14:paraId="728154C4">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p>
        </w:tc>
        <w:tc>
          <w:tcPr>
            <w:tcW w:w="3282" w:type="dxa"/>
            <w:noWrap w:val="0"/>
            <w:vAlign w:val="top"/>
          </w:tcPr>
          <w:p w14:paraId="0A2FB8A2">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c>
          <w:tcPr>
            <w:tcW w:w="2450" w:type="dxa"/>
            <w:noWrap w:val="0"/>
            <w:vAlign w:val="top"/>
          </w:tcPr>
          <w:p w14:paraId="28EB9F26">
            <w:pPr>
              <w:pStyle w:val="14"/>
              <w:pageBreakBefore w:val="0"/>
              <w:kinsoku/>
              <w:wordWrap w:val="0"/>
              <w:overflowPunct/>
              <w:topLinePunct/>
              <w:autoSpaceDE/>
              <w:autoSpaceDN/>
              <w:bidi w:val="0"/>
              <w:spacing w:line="600" w:lineRule="exact"/>
              <w:jc w:val="both"/>
              <w:rPr>
                <w:rFonts w:hint="eastAsia" w:ascii="宋体" w:hAnsi="宋体" w:eastAsia="宋体" w:cs="宋体"/>
                <w:color w:val="auto"/>
                <w:sz w:val="28"/>
                <w:szCs w:val="28"/>
                <w:highlight w:val="none"/>
              </w:rPr>
            </w:pPr>
          </w:p>
        </w:tc>
      </w:tr>
    </w:tbl>
    <w:p w14:paraId="6E51111B">
      <w:pPr>
        <w:pStyle w:val="12"/>
        <w:widowControl/>
        <w:ind w:left="0" w:leftChars="0" w:firstLine="480" w:firstLineChars="200"/>
        <w:rPr>
          <w:color w:val="auto"/>
          <w:highlight w:val="none"/>
        </w:rPr>
      </w:pPr>
      <w:r>
        <w:rPr>
          <w:color w:val="auto"/>
          <w:highlight w:val="none"/>
        </w:rPr>
        <w:t>说明：</w:t>
      </w:r>
    </w:p>
    <w:p w14:paraId="69F91A9D">
      <w:pPr>
        <w:pStyle w:val="12"/>
        <w:widowControl/>
        <w:ind w:left="0" w:leftChars="0" w:firstLine="480" w:firstLineChars="200"/>
        <w:rPr>
          <w:color w:val="auto"/>
          <w:highlight w:val="none"/>
        </w:rPr>
      </w:pPr>
      <w:r>
        <w:rPr>
          <w:color w:val="auto"/>
          <w:highlight w:val="none"/>
        </w:rPr>
        <w:t>请按项目实际情况，对应谈判文件第三章“采购内容及要求”，认真逐条填写本表。偏离情况填写：优于或等于或低于。</w:t>
      </w:r>
    </w:p>
    <w:p w14:paraId="257DD369">
      <w:pPr>
        <w:pStyle w:val="14"/>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33B603E9">
      <w:pPr>
        <w:pageBreakBefore w:val="0"/>
        <w:widowControl/>
        <w:tabs>
          <w:tab w:val="right" w:pos="9070"/>
        </w:tabs>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bCs/>
          <w:color w:val="auto"/>
          <w:sz w:val="24"/>
          <w:szCs w:val="28"/>
          <w:highlight w:val="none"/>
        </w:rPr>
      </w:pP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w:t>
      </w:r>
      <w:r>
        <w:rPr>
          <w:rFonts w:hint="eastAsia" w:ascii="Times New Roman" w:hAnsi="Times New Roman" w:eastAsia="宋体" w:cs="Times New Roman"/>
          <w:color w:val="auto"/>
          <w:sz w:val="24"/>
          <w:szCs w:val="28"/>
          <w:highlight w:val="none"/>
          <w:lang w:eastAsia="zh-CN"/>
        </w:rPr>
        <w:t>投标人</w:t>
      </w:r>
      <w:r>
        <w:rPr>
          <w:rFonts w:hint="eastAsia" w:ascii="Times New Roman" w:hAnsi="Times New Roman" w:eastAsia="宋体" w:cs="Times New Roman"/>
          <w:color w:val="auto"/>
          <w:sz w:val="24"/>
          <w:szCs w:val="28"/>
          <w:highlight w:val="none"/>
        </w:rPr>
        <w:t>全称并加盖公章）</w:t>
      </w:r>
    </w:p>
    <w:p w14:paraId="69FB8E70">
      <w:pPr>
        <w:pageBreakBefore w:val="0"/>
        <w:widowControl/>
        <w:kinsoku/>
        <w:wordWrap w:val="0"/>
        <w:overflowPunct/>
        <w:topLinePunct/>
        <w:autoSpaceDE/>
        <w:autoSpaceDN/>
        <w:bidi w:val="0"/>
        <w:spacing w:after="120" w:afterAutospacing="0" w:line="360" w:lineRule="auto"/>
        <w:ind w:left="480" w:leftChars="0" w:firstLine="0" w:firstLineChars="0"/>
        <w:jc w:val="both"/>
        <w:rPr>
          <w:rFonts w:hint="eastAsia"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日　期：　年　月　日</w:t>
      </w:r>
    </w:p>
    <w:p w14:paraId="5874AC10">
      <w:pPr>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06AA9E5E">
      <w:pPr>
        <w:pStyle w:val="12"/>
        <w:pageBreakBefore w:val="0"/>
        <w:kinsoku/>
        <w:wordWrap w:val="0"/>
        <w:overflowPunct/>
        <w:topLinePunct/>
        <w:autoSpaceDE/>
        <w:autoSpaceDN/>
        <w:bidi w:val="0"/>
        <w:jc w:val="both"/>
        <w:rPr>
          <w:rFonts w:hint="eastAsia" w:ascii="宋体" w:hAnsi="宋体" w:eastAsia="宋体" w:cs="宋体"/>
          <w:color w:val="auto"/>
          <w:sz w:val="28"/>
          <w:szCs w:val="28"/>
          <w:highlight w:val="none"/>
        </w:rPr>
      </w:pPr>
    </w:p>
    <w:p w14:paraId="04307FD3">
      <w:pPr>
        <w:pageBreakBefore w:val="0"/>
        <w:kinsoku/>
        <w:wordWrap w:val="0"/>
        <w:overflowPunct/>
        <w:topLinePunct/>
        <w:autoSpaceDE/>
        <w:autoSpaceDN/>
        <w:bidi w:val="0"/>
        <w:jc w:val="both"/>
        <w:rPr>
          <w:rFonts w:hint="eastAsia" w:ascii="宋体" w:hAnsi="宋体" w:eastAsia="宋体" w:cs="宋体"/>
          <w:color w:val="auto"/>
          <w:highlight w:val="none"/>
        </w:rPr>
      </w:pPr>
    </w:p>
    <w:p w14:paraId="3109DCC8">
      <w:pPr>
        <w:keepNext w:val="0"/>
        <w:keepLines w:val="0"/>
        <w:pageBreakBefore w:val="0"/>
        <w:widowControl/>
        <w:kinsoku/>
        <w:wordWrap w:val="0"/>
        <w:overflowPunct/>
        <w:topLinePunct/>
        <w:autoSpaceDE/>
        <w:autoSpaceDN/>
        <w:bidi w:val="0"/>
        <w:adjustRightInd w:val="0"/>
        <w:snapToGrid w:val="0"/>
        <w:spacing w:before="91" w:line="219" w:lineRule="auto"/>
        <w:ind w:left="21"/>
        <w:jc w:val="both"/>
        <w:textAlignment w:val="baseline"/>
        <w:rPr>
          <w:rFonts w:hint="eastAsia" w:ascii="宋体" w:hAnsi="宋体" w:eastAsia="宋体" w:cs="宋体"/>
          <w:color w:val="auto"/>
          <w:spacing w:val="-9"/>
          <w:sz w:val="28"/>
          <w:szCs w:val="28"/>
          <w14:textOutline w14:w="5103" w14:cap="sq" w14:cmpd="sng">
            <w14:solidFill>
              <w14:srgbClr w14:val="000000"/>
            </w14:solidFill>
            <w14:prstDash w14:val="solid"/>
            <w14:bevel/>
          </w14:textOutline>
        </w:rPr>
      </w:pPr>
    </w:p>
    <w:p w14:paraId="4A08ACD1">
      <w:pPr>
        <w:keepNext w:val="0"/>
        <w:keepLines w:val="0"/>
        <w:pageBreakBefore w:val="0"/>
        <w:widowControl/>
        <w:kinsoku/>
        <w:wordWrap w:val="0"/>
        <w:overflowPunct/>
        <w:topLinePunct/>
        <w:autoSpaceDE/>
        <w:autoSpaceDN/>
        <w:bidi w:val="0"/>
        <w:adjustRightInd w:val="0"/>
        <w:snapToGrid w:val="0"/>
        <w:spacing w:before="91" w:line="219" w:lineRule="auto"/>
        <w:ind w:left="21"/>
        <w:jc w:val="both"/>
        <w:textAlignment w:val="baseline"/>
        <w:rPr>
          <w:rFonts w:hint="eastAsia" w:ascii="宋体" w:hAnsi="宋体" w:eastAsia="宋体" w:cs="宋体"/>
          <w:color w:val="auto"/>
          <w:spacing w:val="-9"/>
          <w:sz w:val="28"/>
          <w:szCs w:val="28"/>
          <w14:textOutline w14:w="5103" w14:cap="sq" w14:cmpd="sng">
            <w14:solidFill>
              <w14:srgbClr w14:val="000000"/>
            </w14:solidFill>
            <w14:prstDash w14:val="solid"/>
            <w14:bevel/>
          </w14:textOutline>
        </w:rPr>
      </w:pPr>
    </w:p>
    <w:p w14:paraId="13F03556">
      <w:pPr>
        <w:keepNext w:val="0"/>
        <w:keepLines w:val="0"/>
        <w:pageBreakBefore w:val="0"/>
        <w:widowControl/>
        <w:kinsoku/>
        <w:wordWrap w:val="0"/>
        <w:overflowPunct/>
        <w:topLinePunct/>
        <w:autoSpaceDE/>
        <w:autoSpaceDN/>
        <w:bidi w:val="0"/>
        <w:adjustRightInd w:val="0"/>
        <w:snapToGrid w:val="0"/>
        <w:spacing w:before="91" w:line="219" w:lineRule="auto"/>
        <w:ind w:left="21"/>
        <w:jc w:val="both"/>
        <w:textAlignment w:val="baseline"/>
        <w:rPr>
          <w:rFonts w:hint="eastAsia" w:ascii="宋体" w:hAnsi="宋体" w:eastAsia="宋体" w:cs="宋体"/>
          <w:color w:val="auto"/>
          <w:spacing w:val="-9"/>
          <w:sz w:val="28"/>
          <w:szCs w:val="28"/>
          <w14:textOutline w14:w="5103" w14:cap="sq" w14:cmpd="sng">
            <w14:solidFill>
              <w14:srgbClr w14:val="000000"/>
            </w14:solidFill>
            <w14:prstDash w14:val="solid"/>
            <w14:bevel/>
          </w14:textOutline>
        </w:rPr>
      </w:pPr>
    </w:p>
    <w:p w14:paraId="64EAFE03">
      <w:pPr>
        <w:keepNext w:val="0"/>
        <w:keepLines w:val="0"/>
        <w:pageBreakBefore w:val="0"/>
        <w:widowControl/>
        <w:kinsoku/>
        <w:wordWrap w:val="0"/>
        <w:overflowPunct/>
        <w:topLinePunct/>
        <w:autoSpaceDE/>
        <w:autoSpaceDN/>
        <w:bidi w:val="0"/>
        <w:adjustRightInd w:val="0"/>
        <w:snapToGrid w:val="0"/>
        <w:spacing w:before="91" w:line="219" w:lineRule="auto"/>
        <w:ind w:left="21"/>
        <w:jc w:val="both"/>
        <w:textAlignment w:val="baseline"/>
        <w:rPr>
          <w:rFonts w:hint="eastAsia" w:ascii="宋体" w:hAnsi="宋体" w:eastAsia="宋体" w:cs="宋体"/>
          <w:color w:val="auto"/>
          <w:spacing w:val="-9"/>
          <w:sz w:val="28"/>
          <w:szCs w:val="28"/>
          <w14:textOutline w14:w="5103" w14:cap="sq" w14:cmpd="sng">
            <w14:solidFill>
              <w14:srgbClr w14:val="000000"/>
            </w14:solidFill>
            <w14:prstDash w14:val="solid"/>
            <w14:bevel/>
          </w14:textOutline>
        </w:rPr>
      </w:pPr>
    </w:p>
    <w:p w14:paraId="182232CC">
      <w:pPr>
        <w:keepNext w:val="0"/>
        <w:keepLines w:val="0"/>
        <w:pageBreakBefore w:val="0"/>
        <w:widowControl/>
        <w:kinsoku/>
        <w:wordWrap w:val="0"/>
        <w:overflowPunct/>
        <w:topLinePunct/>
        <w:autoSpaceDE/>
        <w:autoSpaceDN/>
        <w:bidi w:val="0"/>
        <w:adjustRightInd w:val="0"/>
        <w:snapToGrid w:val="0"/>
        <w:spacing w:before="91" w:line="219" w:lineRule="auto"/>
        <w:ind w:left="21"/>
        <w:jc w:val="both"/>
        <w:textAlignment w:val="baseline"/>
        <w:rPr>
          <w:rFonts w:hint="eastAsia" w:ascii="宋体" w:hAnsi="宋体" w:eastAsia="宋体" w:cs="宋体"/>
          <w:color w:val="auto"/>
          <w:spacing w:val="-9"/>
          <w:sz w:val="28"/>
          <w:szCs w:val="28"/>
          <w14:textOutline w14:w="5103" w14:cap="sq" w14:cmpd="sng">
            <w14:solidFill>
              <w14:srgbClr w14:val="000000"/>
            </w14:solidFill>
            <w14:prstDash w14:val="solid"/>
            <w14:bevel/>
          </w14:textOutline>
        </w:rPr>
      </w:pPr>
    </w:p>
    <w:p w14:paraId="74B72D21">
      <w:pPr>
        <w:keepNext w:val="0"/>
        <w:keepLines w:val="0"/>
        <w:pageBreakBefore w:val="0"/>
        <w:widowControl/>
        <w:kinsoku/>
        <w:wordWrap w:val="0"/>
        <w:overflowPunct/>
        <w:topLinePunct/>
        <w:autoSpaceDE/>
        <w:autoSpaceDN/>
        <w:bidi w:val="0"/>
        <w:adjustRightInd w:val="0"/>
        <w:snapToGrid w:val="0"/>
        <w:spacing w:before="91" w:line="219" w:lineRule="auto"/>
        <w:ind w:left="21"/>
        <w:jc w:val="both"/>
        <w:textAlignment w:val="baseline"/>
        <w:rPr>
          <w:rFonts w:hint="eastAsia" w:ascii="宋体" w:hAnsi="宋体" w:eastAsia="宋体" w:cs="宋体"/>
          <w:color w:val="auto"/>
          <w:spacing w:val="-9"/>
          <w:sz w:val="28"/>
          <w:szCs w:val="28"/>
          <w14:textOutline w14:w="5103" w14:cap="sq" w14:cmpd="sng">
            <w14:solidFill>
              <w14:srgbClr w14:val="000000"/>
            </w14:solidFill>
            <w14:prstDash w14:val="solid"/>
            <w14:bevel/>
          </w14:textOutline>
        </w:rPr>
      </w:pPr>
    </w:p>
    <w:p w14:paraId="3679DCC2">
      <w:r>
        <w:br w:type="page"/>
      </w:r>
    </w:p>
    <w:p w14:paraId="16391DC8">
      <w:pPr>
        <w:pStyle w:val="48"/>
        <w:widowControl/>
        <w:outlineLvl w:val="0"/>
      </w:pPr>
      <w:r>
        <w:t>附件：</w:t>
      </w:r>
    </w:p>
    <w:p w14:paraId="53F77E2C">
      <w:pPr>
        <w:pStyle w:val="53"/>
        <w:widowControl/>
      </w:pPr>
      <w:r>
        <w:t>二次报价表</w:t>
      </w:r>
    </w:p>
    <w:p w14:paraId="1716DABA">
      <w:pPr>
        <w:pStyle w:val="12"/>
        <w:widowControl/>
        <w:rPr>
          <w:color w:val="auto"/>
        </w:rPr>
      </w:pPr>
      <w:r>
        <w:rPr>
          <w:color w:val="auto"/>
        </w:rPr>
        <w:t>单位：元</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7788"/>
      </w:tblGrid>
      <w:tr w14:paraId="1C43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noWrap w:val="0"/>
            <w:vAlign w:val="center"/>
          </w:tcPr>
          <w:p w14:paraId="2A1B5FD6">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项目名称</w:t>
            </w:r>
          </w:p>
        </w:tc>
        <w:tc>
          <w:tcPr>
            <w:tcW w:w="4198" w:type="pct"/>
            <w:noWrap w:val="0"/>
            <w:vAlign w:val="center"/>
          </w:tcPr>
          <w:p w14:paraId="11552CF3">
            <w:pPr>
              <w:keepNext w:val="0"/>
              <w:keepLines w:val="0"/>
              <w:pageBreakBefore w:val="0"/>
              <w:suppressLineNumbers w:val="0"/>
              <w:kinsoku/>
              <w:wordWrap w:val="0"/>
              <w:overflowPunct/>
              <w:topLinePunct/>
              <w:autoSpaceDE/>
              <w:autoSpaceDN/>
              <w:bidi w:val="0"/>
              <w:spacing w:before="0" w:beforeAutospacing="0" w:after="0" w:afterAutospacing="0"/>
              <w:ind w:left="420" w:right="0" w:hanging="420"/>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采购项目</w:t>
            </w:r>
          </w:p>
        </w:tc>
      </w:tr>
      <w:tr w14:paraId="7DCD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noWrap w:val="0"/>
            <w:vAlign w:val="center"/>
          </w:tcPr>
          <w:p w14:paraId="728720AA">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项目编号</w:t>
            </w:r>
          </w:p>
        </w:tc>
        <w:tc>
          <w:tcPr>
            <w:tcW w:w="4198" w:type="pct"/>
            <w:noWrap w:val="0"/>
            <w:vAlign w:val="center"/>
          </w:tcPr>
          <w:p w14:paraId="180CAB0B">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u w:val="single"/>
              </w:rPr>
            </w:pPr>
          </w:p>
        </w:tc>
      </w:tr>
      <w:tr w14:paraId="4337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vMerge w:val="restart"/>
            <w:noWrap w:val="0"/>
            <w:vAlign w:val="center"/>
          </w:tcPr>
          <w:p w14:paraId="32D177B6">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二次</w:t>
            </w:r>
            <w:r>
              <w:rPr>
                <w:rFonts w:hint="eastAsia" w:ascii="宋体" w:hAnsi="宋体" w:eastAsia="宋体" w:cs="宋体"/>
                <w:b w:val="0"/>
                <w:bCs w:val="0"/>
                <w:color w:val="auto"/>
                <w:sz w:val="28"/>
                <w:szCs w:val="28"/>
                <w:highlight w:val="none"/>
              </w:rPr>
              <w:t>报价</w:t>
            </w:r>
          </w:p>
        </w:tc>
        <w:tc>
          <w:tcPr>
            <w:tcW w:w="4198" w:type="pct"/>
            <w:noWrap w:val="0"/>
            <w:vAlign w:val="center"/>
          </w:tcPr>
          <w:p w14:paraId="12B99610">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大写：人民币元</w:t>
            </w:r>
          </w:p>
        </w:tc>
      </w:tr>
      <w:tr w14:paraId="2F25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01" w:type="pct"/>
            <w:vMerge w:val="continue"/>
            <w:noWrap w:val="0"/>
            <w:vAlign w:val="center"/>
          </w:tcPr>
          <w:p w14:paraId="1C3B2C85">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p>
        </w:tc>
        <w:tc>
          <w:tcPr>
            <w:tcW w:w="4198" w:type="pct"/>
            <w:noWrap w:val="0"/>
            <w:vAlign w:val="center"/>
          </w:tcPr>
          <w:p w14:paraId="3C2256C3">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小写：¥元</w:t>
            </w:r>
          </w:p>
        </w:tc>
      </w:tr>
      <w:tr w14:paraId="206F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01" w:type="pct"/>
            <w:noWrap w:val="0"/>
            <w:vAlign w:val="center"/>
          </w:tcPr>
          <w:p w14:paraId="56554D2D">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val="en-US" w:eastAsia="zh-CN"/>
              </w:rPr>
              <w:t>服务</w:t>
            </w:r>
            <w:r>
              <w:rPr>
                <w:rFonts w:hint="eastAsia" w:ascii="宋体" w:hAnsi="宋体" w:eastAsia="宋体" w:cs="宋体"/>
                <w:b w:val="0"/>
                <w:bCs w:val="0"/>
                <w:color w:val="auto"/>
                <w:sz w:val="28"/>
                <w:szCs w:val="28"/>
                <w:highlight w:val="none"/>
                <w:lang w:eastAsia="zh-CN"/>
              </w:rPr>
              <w:t>期</w:t>
            </w:r>
          </w:p>
        </w:tc>
        <w:tc>
          <w:tcPr>
            <w:tcW w:w="4198" w:type="pct"/>
            <w:noWrap w:val="0"/>
            <w:vAlign w:val="center"/>
          </w:tcPr>
          <w:p w14:paraId="408FFDA4">
            <w:pPr>
              <w:keepNext w:val="0"/>
              <w:keepLines w:val="0"/>
              <w:pageBreakBefore w:val="0"/>
              <w:suppressLineNumbers w:val="0"/>
              <w:kinsoku/>
              <w:wordWrap w:val="0"/>
              <w:overflowPunct/>
              <w:topLinePunct/>
              <w:autoSpaceDE/>
              <w:autoSpaceDN/>
              <w:bidi w:val="0"/>
              <w:spacing w:before="0" w:beforeAutospacing="0" w:after="0" w:afterAutospacing="0"/>
              <w:ind w:left="0" w:right="0"/>
              <w:jc w:val="both"/>
              <w:rPr>
                <w:rFonts w:hint="eastAsia" w:ascii="宋体" w:hAnsi="宋体" w:eastAsia="宋体" w:cs="宋体"/>
                <w:b w:val="0"/>
                <w:bCs w:val="0"/>
                <w:color w:val="auto"/>
                <w:sz w:val="28"/>
                <w:szCs w:val="28"/>
                <w:highlight w:val="none"/>
              </w:rPr>
            </w:pPr>
          </w:p>
        </w:tc>
      </w:tr>
    </w:tbl>
    <w:p w14:paraId="026357E8">
      <w:pPr>
        <w:keepNext w:val="0"/>
        <w:keepLines w:val="0"/>
        <w:pageBreakBefore w:val="0"/>
        <w:widowControl/>
        <w:kinsoku/>
        <w:wordWrap w:val="0"/>
        <w:overflowPunct/>
        <w:topLinePunct/>
        <w:autoSpaceDE/>
        <w:autoSpaceDN/>
        <w:bidi w:val="0"/>
        <w:adjustRightInd w:val="0"/>
        <w:snapToGrid w:val="0"/>
        <w:spacing w:before="126" w:after="120" w:afterAutospacing="0" w:line="360" w:lineRule="auto"/>
        <w:ind w:left="504" w:leftChars="0" w:firstLine="0" w:firstLineChars="0"/>
        <w:jc w:val="both"/>
        <w:textAlignment w:val="baseline"/>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pacing w:val="6"/>
          <w:sz w:val="24"/>
          <w:szCs w:val="28"/>
          <w:lang w:eastAsia="zh-CN"/>
        </w:rPr>
        <w:t>投标人</w:t>
      </w:r>
      <w:r>
        <w:rPr>
          <w:rFonts w:hint="eastAsia" w:ascii="Times New Roman" w:hAnsi="Times New Roman" w:eastAsia="宋体" w:cs="Times New Roman"/>
          <w:color w:val="auto"/>
          <w:spacing w:val="6"/>
          <w:sz w:val="24"/>
          <w:szCs w:val="28"/>
        </w:rPr>
        <w:t>名称</w:t>
      </w:r>
      <w:r>
        <w:rPr>
          <w:rFonts w:hint="eastAsia" w:ascii="Times New Roman" w:hAnsi="Times New Roman" w:eastAsia="宋体" w:cs="Times New Roman"/>
          <w:color w:val="auto"/>
          <w:spacing w:val="-17"/>
          <w:sz w:val="24"/>
          <w:szCs w:val="28"/>
        </w:rPr>
        <w:t>：（</w:t>
      </w:r>
      <w:r>
        <w:rPr>
          <w:rFonts w:hint="eastAsia" w:ascii="Times New Roman" w:hAnsi="Times New Roman" w:eastAsia="宋体" w:cs="Times New Roman"/>
          <w:color w:val="auto"/>
          <w:spacing w:val="6"/>
          <w:sz w:val="24"/>
          <w:szCs w:val="28"/>
        </w:rPr>
        <w:t>公章）</w:t>
      </w:r>
    </w:p>
    <w:p w14:paraId="32983422">
      <w:pPr>
        <w:keepNext w:val="0"/>
        <w:keepLines w:val="0"/>
        <w:pageBreakBefore w:val="0"/>
        <w:widowControl/>
        <w:kinsoku/>
        <w:wordWrap w:val="0"/>
        <w:overflowPunct/>
        <w:topLinePunct/>
        <w:autoSpaceDE/>
        <w:autoSpaceDN/>
        <w:bidi w:val="0"/>
        <w:adjustRightInd w:val="0"/>
        <w:snapToGrid w:val="0"/>
        <w:spacing w:before="203" w:after="120" w:afterAutospacing="0" w:line="360" w:lineRule="auto"/>
        <w:ind w:left="1"/>
        <w:jc w:val="both"/>
        <w:textAlignment w:val="baseline"/>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pacing w:val="5"/>
          <w:sz w:val="24"/>
          <w:szCs w:val="28"/>
        </w:rPr>
        <w:t>法定代表人或被授权人</w:t>
      </w:r>
      <w:r>
        <w:rPr>
          <w:rFonts w:hint="eastAsia" w:ascii="Times New Roman" w:hAnsi="Times New Roman" w:eastAsia="宋体" w:cs="Times New Roman"/>
          <w:color w:val="auto"/>
          <w:spacing w:val="-9"/>
          <w:sz w:val="24"/>
          <w:szCs w:val="28"/>
        </w:rPr>
        <w:t>：（</w:t>
      </w:r>
      <w:r>
        <w:rPr>
          <w:rFonts w:hint="eastAsia" w:ascii="Times New Roman" w:hAnsi="Times New Roman" w:eastAsia="宋体" w:cs="Times New Roman"/>
          <w:color w:val="auto"/>
          <w:spacing w:val="5"/>
          <w:sz w:val="24"/>
          <w:szCs w:val="28"/>
        </w:rPr>
        <w:t>签字或盖章</w:t>
      </w:r>
      <w:r>
        <w:rPr>
          <w:rFonts w:hint="eastAsia" w:ascii="Times New Roman" w:hAnsi="Times New Roman" w:eastAsia="宋体" w:cs="Times New Roman"/>
          <w:color w:val="auto"/>
          <w:spacing w:val="-9"/>
          <w:sz w:val="24"/>
          <w:szCs w:val="28"/>
        </w:rPr>
        <w:t>）：</w:t>
      </w:r>
    </w:p>
    <w:p w14:paraId="3D2D2CCF">
      <w:pPr>
        <w:keepNext w:val="0"/>
        <w:keepLines w:val="0"/>
        <w:pageBreakBefore w:val="0"/>
        <w:widowControl/>
        <w:kinsoku/>
        <w:wordWrap w:val="0"/>
        <w:overflowPunct/>
        <w:topLinePunct/>
        <w:autoSpaceDE/>
        <w:autoSpaceDN/>
        <w:bidi w:val="0"/>
        <w:adjustRightInd w:val="0"/>
        <w:snapToGrid w:val="0"/>
        <w:spacing w:before="232" w:after="120" w:afterAutospacing="0" w:line="360" w:lineRule="auto"/>
        <w:ind w:left="5962"/>
        <w:jc w:val="both"/>
        <w:textAlignment w:val="baseline"/>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pacing w:val="-10"/>
          <w:sz w:val="24"/>
          <w:szCs w:val="28"/>
        </w:rPr>
        <w:t>年</w:t>
      </w:r>
      <w:r>
        <w:rPr>
          <w:rFonts w:hint="eastAsia" w:ascii="Times New Roman" w:hAnsi="Times New Roman" w:eastAsia="宋体" w:cs="Times New Roman"/>
          <w:color w:val="auto"/>
          <w:spacing w:val="-10"/>
          <w:sz w:val="24"/>
          <w:szCs w:val="28"/>
          <w:lang w:val="en-US" w:eastAsia="zh-CN"/>
        </w:rPr>
        <w:t xml:space="preserve"> </w:t>
      </w:r>
      <w:r>
        <w:rPr>
          <w:rFonts w:hint="eastAsia" w:ascii="Times New Roman" w:hAnsi="Times New Roman" w:eastAsia="宋体" w:cs="Times New Roman"/>
          <w:color w:val="auto"/>
          <w:spacing w:val="-10"/>
          <w:sz w:val="24"/>
          <w:szCs w:val="28"/>
        </w:rPr>
        <w:t>月</w:t>
      </w:r>
      <w:r>
        <w:rPr>
          <w:rFonts w:hint="eastAsia" w:ascii="Times New Roman" w:hAnsi="Times New Roman" w:eastAsia="宋体" w:cs="Times New Roman"/>
          <w:color w:val="auto"/>
          <w:spacing w:val="-10"/>
          <w:sz w:val="24"/>
          <w:szCs w:val="28"/>
          <w:lang w:val="en-US" w:eastAsia="zh-CN"/>
        </w:rPr>
        <w:t xml:space="preserve"> </w:t>
      </w:r>
      <w:r>
        <w:rPr>
          <w:rFonts w:hint="eastAsia" w:ascii="Times New Roman" w:hAnsi="Times New Roman" w:eastAsia="宋体" w:cs="Times New Roman"/>
          <w:color w:val="auto"/>
          <w:spacing w:val="-10"/>
          <w:sz w:val="24"/>
          <w:szCs w:val="28"/>
        </w:rPr>
        <w:t>日</w:t>
      </w:r>
    </w:p>
    <w:p w14:paraId="740CCD87">
      <w:pPr>
        <w:pStyle w:val="12"/>
        <w:widowControl/>
        <w:rPr>
          <w:color w:val="auto"/>
        </w:rPr>
      </w:pPr>
      <w:r>
        <w:rPr>
          <w:color w:val="auto"/>
        </w:rPr>
        <w:t>注：1、表内报价以总价报价。</w:t>
      </w:r>
    </w:p>
    <w:p w14:paraId="1FE5D4F1">
      <w:pPr>
        <w:pStyle w:val="12"/>
        <w:widowControl/>
        <w:rPr>
          <w:color w:val="auto"/>
        </w:rPr>
      </w:pPr>
      <w:r>
        <w:rPr>
          <w:color w:val="auto"/>
        </w:rPr>
        <w:t>2、本表用于投标人进行最后报价，不在响应文件中装订。</w:t>
      </w:r>
    </w:p>
    <w:p w14:paraId="3692065B">
      <w:pPr>
        <w:pStyle w:val="12"/>
        <w:widowControl/>
        <w:rPr>
          <w:color w:val="auto"/>
        </w:rPr>
      </w:pPr>
      <w:r>
        <w:rPr>
          <w:color w:val="auto"/>
        </w:rPr>
        <w:t>3、投标人应在提交响应文件时，单独备好由其法定代表人或授权代表签字并加盖公章的《二次报价表》，用于最后一轮报价。</w:t>
      </w:r>
    </w:p>
    <w:p w14:paraId="7EC58C1E">
      <w:pPr>
        <w:pStyle w:val="12"/>
        <w:widowControl/>
        <w:rPr>
          <w:color w:val="auto"/>
        </w:rPr>
      </w:pPr>
      <w:r>
        <w:rPr>
          <w:color w:val="auto"/>
        </w:rPr>
        <w:t>4、此表为投标人手持，否则视为其自动放弃最后一轮报价。</w:t>
      </w:r>
    </w:p>
    <w:sectPr>
      <w:headerReference r:id="rId15" w:type="default"/>
      <w:footerReference r:id="rId16" w:type="default"/>
      <w:pgSz w:w="11906" w:h="16839"/>
      <w:pgMar w:top="1201" w:right="1417" w:bottom="957" w:left="1429" w:header="1017" w:footer="79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Calibri Light">
    <w:altName w:val="Segoe Print"/>
    <w:panose1 w:val="020F0302020204030204"/>
    <w:charset w:val="00"/>
    <w:family w:val="swiss"/>
    <w:pitch w:val="default"/>
    <w:sig w:usb0="00000000" w:usb1="00000000" w:usb2="00000009" w:usb3="00000000" w:csb0="200001FF"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7C826">
    <w:pPr>
      <w:tabs>
        <w:tab w:val="left" w:pos="4305"/>
      </w:tabs>
      <w:spacing w:line="176" w:lineRule="auto"/>
      <w:ind w:left="4502"/>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1BC3B">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941BC3B">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r>
      <w:rPr>
        <w:rFonts w:hint="eastAsia" w:ascii="Times New Roman" w:hAnsi="Times New Roman" w:eastAsia="宋体" w:cs="Times New Roman"/>
        <w:sz w:val="18"/>
        <w:szCs w:val="18"/>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3E173">
    <w:pPr>
      <w:spacing w:line="176" w:lineRule="auto"/>
      <w:ind w:left="44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4B6F9">
                          <w:pPr>
                            <w:pStyle w:val="1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5B4B6F9">
                    <w:pPr>
                      <w:pStyle w:val="1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5304">
    <w:pPr>
      <w:spacing w:line="176" w:lineRule="auto"/>
      <w:ind w:left="44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1E103">
                          <w:pPr>
                            <w:pStyle w:val="16"/>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531E103">
                    <w:pPr>
                      <w:pStyle w:val="16"/>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57AB7">
    <w:pPr>
      <w:spacing w:line="176" w:lineRule="auto"/>
      <w:ind w:left="44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984AD">
                          <w:pPr>
                            <w:pStyle w:val="16"/>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76B984AD">
                    <w:pPr>
                      <w:pStyle w:val="16"/>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F9FE9">
    <w:pPr>
      <w:pStyle w:val="34"/>
      <w:tabs>
        <w:tab w:val="center" w:pos="4536"/>
        <w:tab w:val="right" w:pos="9072"/>
        <w:tab w:val="clear" w:pos="4153"/>
        <w:tab w:val="clear" w:pos="8306"/>
      </w:tabs>
      <w:rPr>
        <w:rFonts w:hint="eastAsia" w:ascii="宋体" w:hAnsi="宋体" w:eastAsia="宋体"/>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E0817">
                          <w:pPr>
                            <w:pStyle w:val="16"/>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731E0817">
                    <w:pPr>
                      <w:pStyle w:val="16"/>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6DDC7">
    <w:pPr>
      <w:pStyle w:val="34"/>
      <w:tabs>
        <w:tab w:val="center" w:pos="4535"/>
        <w:tab w:val="right" w:pos="9070"/>
        <w:tab w:val="clear" w:pos="4153"/>
        <w:tab w:val="clear" w:pos="8306"/>
      </w:tabs>
      <w:ind w:right="-2"/>
      <w:rPr>
        <w:rFonts w:hint="eastAsia" w:ascii="宋体" w:hAnsi="宋体" w:eastAsia="宋体"/>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5B9B0">
                          <w:pPr>
                            <w:pStyle w:val="16"/>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1D05B9B0">
                    <w:pPr>
                      <w:pStyle w:val="16"/>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4289">
    <w:pPr>
      <w:pStyle w:val="34"/>
      <w:tabs>
        <w:tab w:val="center" w:pos="4535"/>
        <w:tab w:val="right" w:pos="9070"/>
        <w:tab w:val="clear" w:pos="4153"/>
        <w:tab w:val="clear" w:pos="8306"/>
      </w:tabs>
      <w:rPr>
        <w:rFonts w:ascii="宋体" w:hAnsi="宋体" w:eastAsia="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230E53">
                          <w:pPr>
                            <w:pStyle w:val="1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7230E53">
                    <w:pPr>
                      <w:pStyle w:val="1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5F42B">
    <w:pPr>
      <w:pStyle w:val="34"/>
      <w:tabs>
        <w:tab w:val="center" w:pos="7088"/>
        <w:tab w:val="right" w:pos="14002"/>
        <w:tab w:val="clear" w:pos="4153"/>
        <w:tab w:val="clear" w:pos="8306"/>
      </w:tabs>
      <w:rPr>
        <w:rFonts w:ascii="宋体" w:hAnsi="宋体" w:eastAsia="宋体"/>
      </w:rPr>
    </w:pPr>
    <w:r>
      <w:rPr>
        <w:rFonts w:ascii="宋体" w:hAnsi="宋体" w:eastAsia="宋体"/>
      </w:rPr>
      <w:tab/>
    </w:r>
    <w:r>
      <w:rPr>
        <w:rFonts w:ascii="宋体" w:hAnsi="宋体" w:eastAsia="宋体"/>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B95DE">
    <w:pPr>
      <w:spacing w:line="176" w:lineRule="auto"/>
      <w:ind w:left="44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10760">
                          <w:pPr>
                            <w:pStyle w:val="1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0FA10760">
                    <w:pPr>
                      <w:pStyle w:val="1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9DB2">
    <w:pPr>
      <w:pStyle w:val="35"/>
      <w:pBdr>
        <w:bottom w:val="none" w:color="auto" w:sz="0" w:space="1"/>
      </w:pBdr>
      <w:tabs>
        <w:tab w:val="clear" w:pos="4153"/>
        <w:tab w:val="clear" w:pos="8306"/>
      </w:tabs>
      <w:jc w:val="right"/>
      <w:rPr>
        <w:rFonts w:hint="eastAsia" w:ascii="宋体" w:hAnsi="宋体"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1CD32">
    <w:pPr>
      <w:pStyle w:val="35"/>
      <w:tabs>
        <w:tab w:val="clear" w:pos="4153"/>
        <w:tab w:val="clear" w:pos="8306"/>
      </w:tabs>
      <w:jc w:val="left"/>
      <w:rPr>
        <w:rFonts w:hint="eastAsia" w:ascii="宋体" w:hAnsi="宋体" w:eastAsia="宋体"/>
        <w:lang w:eastAsia="zh-CN"/>
      </w:rPr>
    </w:pPr>
    <w:r>
      <w:rPr>
        <w:rFonts w:hint="eastAsia" w:ascii="宋体" w:hAnsi="宋体" w:eastAsia="宋体"/>
        <w:lang w:eastAsia="zh-CN"/>
      </w:rPr>
      <w:t>神木市交通运输局神木市李家阴湾至花石崖公路改建工程（工可研）</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4ADA0">
    <w:pPr>
      <w:spacing w:line="178" w:lineRule="auto"/>
      <w:rPr>
        <w:rFonts w:hint="eastAsia" w:ascii="仿宋" w:hAnsi="仿宋" w:eastAsia="仿宋" w:cs="仿宋"/>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74B89"/>
    <w:multiLevelType w:val="singleLevel"/>
    <w:tmpl w:val="81274B89"/>
    <w:lvl w:ilvl="0" w:tentative="0">
      <w:start w:val="1"/>
      <w:numFmt w:val="decimal"/>
      <w:suff w:val="nothing"/>
      <w:lvlText w:val="（%1）"/>
      <w:lvlJc w:val="left"/>
      <w:pPr>
        <w:ind w:left="0" w:firstLine="480"/>
      </w:pPr>
      <w:rPr>
        <w:rFonts w:hint="default"/>
      </w:rPr>
    </w:lvl>
  </w:abstractNum>
  <w:abstractNum w:abstractNumId="1">
    <w:nsid w:val="897A29F0"/>
    <w:multiLevelType w:val="singleLevel"/>
    <w:tmpl w:val="897A29F0"/>
    <w:lvl w:ilvl="0" w:tentative="0">
      <w:start w:val="1"/>
      <w:numFmt w:val="decimal"/>
      <w:suff w:val="nothing"/>
      <w:lvlText w:val="%1、"/>
      <w:lvlJc w:val="left"/>
      <w:pPr>
        <w:ind w:left="0" w:firstLine="480"/>
      </w:pPr>
      <w:rPr>
        <w:rFonts w:hint="default"/>
      </w:rPr>
    </w:lvl>
  </w:abstractNum>
  <w:abstractNum w:abstractNumId="2">
    <w:nsid w:val="8D0C2CA7"/>
    <w:multiLevelType w:val="singleLevel"/>
    <w:tmpl w:val="8D0C2CA7"/>
    <w:lvl w:ilvl="0" w:tentative="0">
      <w:start w:val="1"/>
      <w:numFmt w:val="decimal"/>
      <w:suff w:val="nothing"/>
      <w:lvlText w:val="%1、"/>
      <w:lvlJc w:val="left"/>
      <w:pPr>
        <w:ind w:left="0" w:firstLine="480"/>
      </w:pPr>
      <w:rPr>
        <w:rFonts w:hint="default"/>
      </w:rPr>
    </w:lvl>
  </w:abstractNum>
  <w:abstractNum w:abstractNumId="3">
    <w:nsid w:val="964F241F"/>
    <w:multiLevelType w:val="singleLevel"/>
    <w:tmpl w:val="964F241F"/>
    <w:lvl w:ilvl="0" w:tentative="0">
      <w:start w:val="1"/>
      <w:numFmt w:val="chineseCounting"/>
      <w:suff w:val="nothing"/>
      <w:lvlText w:val="%1、"/>
      <w:lvlJc w:val="left"/>
      <w:pPr>
        <w:ind w:firstLine="0"/>
      </w:pPr>
      <w:rPr>
        <w:rFonts w:hint="eastAsia"/>
      </w:rPr>
    </w:lvl>
  </w:abstractNum>
  <w:abstractNum w:abstractNumId="4">
    <w:nsid w:val="9A75E0E9"/>
    <w:multiLevelType w:val="singleLevel"/>
    <w:tmpl w:val="9A75E0E9"/>
    <w:lvl w:ilvl="0" w:tentative="0">
      <w:start w:val="1"/>
      <w:numFmt w:val="decimal"/>
      <w:suff w:val="nothing"/>
      <w:lvlText w:val="%1、"/>
      <w:lvlJc w:val="left"/>
      <w:pPr>
        <w:ind w:firstLine="1169"/>
      </w:pPr>
    </w:lvl>
  </w:abstractNum>
  <w:abstractNum w:abstractNumId="5">
    <w:nsid w:val="9AF3D62B"/>
    <w:multiLevelType w:val="singleLevel"/>
    <w:tmpl w:val="9AF3D62B"/>
    <w:lvl w:ilvl="0" w:tentative="0">
      <w:start w:val="1"/>
      <w:numFmt w:val="decimal"/>
      <w:suff w:val="nothing"/>
      <w:lvlText w:val="%1、"/>
      <w:lvlJc w:val="left"/>
      <w:pPr>
        <w:ind w:left="0" w:firstLine="480"/>
      </w:pPr>
      <w:rPr>
        <w:rFonts w:hint="default"/>
      </w:rPr>
    </w:lvl>
  </w:abstractNum>
  <w:abstractNum w:abstractNumId="6">
    <w:nsid w:val="9D55C321"/>
    <w:multiLevelType w:val="singleLevel"/>
    <w:tmpl w:val="9D55C321"/>
    <w:lvl w:ilvl="0" w:tentative="0">
      <w:start w:val="1"/>
      <w:numFmt w:val="decimal"/>
      <w:suff w:val="nothing"/>
      <w:lvlText w:val="%1、"/>
      <w:lvlJc w:val="left"/>
      <w:pPr>
        <w:ind w:left="0" w:firstLine="480"/>
      </w:pPr>
      <w:rPr>
        <w:rFonts w:hint="default"/>
      </w:rPr>
    </w:lvl>
  </w:abstractNum>
  <w:abstractNum w:abstractNumId="7">
    <w:nsid w:val="ADFAC0C4"/>
    <w:multiLevelType w:val="singleLevel"/>
    <w:tmpl w:val="ADFAC0C4"/>
    <w:lvl w:ilvl="0" w:tentative="0">
      <w:start w:val="1"/>
      <w:numFmt w:val="decimal"/>
      <w:suff w:val="nothing"/>
      <w:lvlText w:val="（%1）"/>
      <w:lvlJc w:val="left"/>
      <w:pPr>
        <w:ind w:left="0" w:firstLine="480"/>
      </w:pPr>
      <w:rPr>
        <w:rFonts w:hint="default"/>
      </w:rPr>
    </w:lvl>
  </w:abstractNum>
  <w:abstractNum w:abstractNumId="8">
    <w:nsid w:val="B1F8A4D5"/>
    <w:multiLevelType w:val="singleLevel"/>
    <w:tmpl w:val="B1F8A4D5"/>
    <w:lvl w:ilvl="0" w:tentative="0">
      <w:start w:val="1"/>
      <w:numFmt w:val="chineseCounting"/>
      <w:suff w:val="nothing"/>
      <w:lvlText w:val="（%1）"/>
      <w:lvlJc w:val="left"/>
      <w:pPr>
        <w:ind w:left="0" w:firstLine="0"/>
      </w:pPr>
      <w:rPr>
        <w:rFonts w:hint="eastAsia"/>
      </w:rPr>
    </w:lvl>
  </w:abstractNum>
  <w:abstractNum w:abstractNumId="9">
    <w:nsid w:val="B66335E9"/>
    <w:multiLevelType w:val="singleLevel"/>
    <w:tmpl w:val="B66335E9"/>
    <w:lvl w:ilvl="0" w:tentative="0">
      <w:start w:val="1"/>
      <w:numFmt w:val="chineseCounting"/>
      <w:suff w:val="nothing"/>
      <w:lvlText w:val="（%1）"/>
      <w:lvlJc w:val="left"/>
      <w:pPr>
        <w:ind w:left="0" w:firstLine="0"/>
      </w:pPr>
      <w:rPr>
        <w:rFonts w:hint="eastAsia"/>
      </w:rPr>
    </w:lvl>
  </w:abstractNum>
  <w:abstractNum w:abstractNumId="10">
    <w:nsid w:val="BF6DB117"/>
    <w:multiLevelType w:val="singleLevel"/>
    <w:tmpl w:val="BF6DB117"/>
    <w:lvl w:ilvl="0" w:tentative="0">
      <w:start w:val="1"/>
      <w:numFmt w:val="decimal"/>
      <w:lvlText w:val="6.%1"/>
      <w:lvlJc w:val="left"/>
      <w:pPr>
        <w:tabs>
          <w:tab w:val="left" w:pos="210"/>
        </w:tabs>
        <w:ind w:left="0" w:firstLine="480"/>
      </w:pPr>
      <w:rPr>
        <w:rFonts w:hint="default"/>
      </w:rPr>
    </w:lvl>
  </w:abstractNum>
  <w:abstractNum w:abstractNumId="11">
    <w:nsid w:val="C726B76C"/>
    <w:multiLevelType w:val="singleLevel"/>
    <w:tmpl w:val="C726B76C"/>
    <w:lvl w:ilvl="0" w:tentative="0">
      <w:start w:val="1"/>
      <w:numFmt w:val="decimal"/>
      <w:suff w:val="nothing"/>
      <w:lvlText w:val="%1、"/>
      <w:lvlJc w:val="left"/>
      <w:pPr>
        <w:ind w:left="0" w:firstLine="480"/>
      </w:pPr>
      <w:rPr>
        <w:rFonts w:hint="default"/>
      </w:rPr>
    </w:lvl>
  </w:abstractNum>
  <w:abstractNum w:abstractNumId="12">
    <w:nsid w:val="C8DD9899"/>
    <w:multiLevelType w:val="singleLevel"/>
    <w:tmpl w:val="C8DD9899"/>
    <w:lvl w:ilvl="0" w:tentative="0">
      <w:start w:val="1"/>
      <w:numFmt w:val="chineseCounting"/>
      <w:suff w:val="nothing"/>
      <w:lvlText w:val="（%1）"/>
      <w:lvlJc w:val="left"/>
      <w:pPr>
        <w:ind w:left="0" w:firstLine="480"/>
      </w:pPr>
      <w:rPr>
        <w:rFonts w:hint="eastAsia"/>
      </w:rPr>
    </w:lvl>
  </w:abstractNum>
  <w:abstractNum w:abstractNumId="13">
    <w:nsid w:val="CD09E6EB"/>
    <w:multiLevelType w:val="singleLevel"/>
    <w:tmpl w:val="CD09E6EB"/>
    <w:lvl w:ilvl="0" w:tentative="0">
      <w:start w:val="1"/>
      <w:numFmt w:val="decimal"/>
      <w:suff w:val="nothing"/>
      <w:lvlText w:val="（%1）"/>
      <w:lvlJc w:val="left"/>
      <w:pPr>
        <w:ind w:left="0" w:firstLine="480"/>
      </w:pPr>
      <w:rPr>
        <w:rFonts w:hint="default"/>
      </w:rPr>
    </w:lvl>
  </w:abstractNum>
  <w:abstractNum w:abstractNumId="14">
    <w:nsid w:val="CF4C928E"/>
    <w:multiLevelType w:val="singleLevel"/>
    <w:tmpl w:val="CF4C928E"/>
    <w:lvl w:ilvl="0" w:tentative="0">
      <w:start w:val="1"/>
      <w:numFmt w:val="decimal"/>
      <w:lvlText w:val="8.%1"/>
      <w:lvlJc w:val="left"/>
      <w:pPr>
        <w:tabs>
          <w:tab w:val="left" w:pos="210"/>
        </w:tabs>
        <w:ind w:left="0" w:firstLine="480"/>
      </w:pPr>
      <w:rPr>
        <w:rFonts w:hint="default"/>
      </w:rPr>
    </w:lvl>
  </w:abstractNum>
  <w:abstractNum w:abstractNumId="15">
    <w:nsid w:val="D0228794"/>
    <w:multiLevelType w:val="singleLevel"/>
    <w:tmpl w:val="D0228794"/>
    <w:lvl w:ilvl="0" w:tentative="0">
      <w:start w:val="1"/>
      <w:numFmt w:val="decimal"/>
      <w:suff w:val="nothing"/>
      <w:lvlText w:val="（%1）"/>
      <w:lvlJc w:val="left"/>
      <w:pPr>
        <w:ind w:left="0" w:firstLine="480"/>
      </w:pPr>
      <w:rPr>
        <w:rFonts w:hint="default"/>
      </w:rPr>
    </w:lvl>
  </w:abstractNum>
  <w:abstractNum w:abstractNumId="16">
    <w:nsid w:val="D1FB8E32"/>
    <w:multiLevelType w:val="singleLevel"/>
    <w:tmpl w:val="D1FB8E32"/>
    <w:lvl w:ilvl="0" w:tentative="0">
      <w:start w:val="1"/>
      <w:numFmt w:val="decimal"/>
      <w:lvlText w:val="%1."/>
      <w:lvlJc w:val="left"/>
      <w:pPr>
        <w:tabs>
          <w:tab w:val="left" w:pos="210"/>
        </w:tabs>
        <w:ind w:left="0" w:firstLine="480"/>
      </w:pPr>
      <w:rPr>
        <w:rFonts w:hint="default"/>
      </w:rPr>
    </w:lvl>
  </w:abstractNum>
  <w:abstractNum w:abstractNumId="17">
    <w:nsid w:val="D3C0D1C8"/>
    <w:multiLevelType w:val="singleLevel"/>
    <w:tmpl w:val="D3C0D1C8"/>
    <w:lvl w:ilvl="0" w:tentative="0">
      <w:start w:val="1"/>
      <w:numFmt w:val="decimal"/>
      <w:suff w:val="nothing"/>
      <w:lvlText w:val="%1、"/>
      <w:lvlJc w:val="left"/>
      <w:pPr>
        <w:ind w:left="0" w:firstLine="480"/>
      </w:pPr>
      <w:rPr>
        <w:rFonts w:hint="default"/>
      </w:rPr>
    </w:lvl>
  </w:abstractNum>
  <w:abstractNum w:abstractNumId="18">
    <w:nsid w:val="D675BD77"/>
    <w:multiLevelType w:val="singleLevel"/>
    <w:tmpl w:val="D675BD77"/>
    <w:lvl w:ilvl="0" w:tentative="0">
      <w:start w:val="1"/>
      <w:numFmt w:val="decimal"/>
      <w:suff w:val="nothing"/>
      <w:lvlText w:val="%1、"/>
      <w:lvlJc w:val="left"/>
      <w:pPr>
        <w:ind w:left="0" w:firstLine="480"/>
      </w:pPr>
      <w:rPr>
        <w:rFonts w:hint="default"/>
      </w:rPr>
    </w:lvl>
  </w:abstractNum>
  <w:abstractNum w:abstractNumId="19">
    <w:nsid w:val="D6B40181"/>
    <w:multiLevelType w:val="singleLevel"/>
    <w:tmpl w:val="D6B40181"/>
    <w:lvl w:ilvl="0" w:tentative="0">
      <w:start w:val="1"/>
      <w:numFmt w:val="decimal"/>
      <w:suff w:val="nothing"/>
      <w:lvlText w:val="%1、"/>
      <w:lvlJc w:val="left"/>
      <w:pPr>
        <w:ind w:left="0" w:firstLine="480"/>
      </w:pPr>
      <w:rPr>
        <w:rFonts w:hint="default"/>
      </w:rPr>
    </w:lvl>
  </w:abstractNum>
  <w:abstractNum w:abstractNumId="20">
    <w:nsid w:val="D9AE0EC1"/>
    <w:multiLevelType w:val="singleLevel"/>
    <w:tmpl w:val="D9AE0EC1"/>
    <w:lvl w:ilvl="0" w:tentative="0">
      <w:start w:val="1"/>
      <w:numFmt w:val="decimal"/>
      <w:lvlText w:val="4.%1"/>
      <w:lvlJc w:val="left"/>
      <w:pPr>
        <w:tabs>
          <w:tab w:val="left" w:pos="210"/>
        </w:tabs>
        <w:ind w:left="0" w:firstLine="480"/>
      </w:pPr>
      <w:rPr>
        <w:rFonts w:hint="default"/>
      </w:rPr>
    </w:lvl>
  </w:abstractNum>
  <w:abstractNum w:abstractNumId="21">
    <w:nsid w:val="DB5EB586"/>
    <w:multiLevelType w:val="singleLevel"/>
    <w:tmpl w:val="DB5EB586"/>
    <w:lvl w:ilvl="0" w:tentative="0">
      <w:start w:val="1"/>
      <w:numFmt w:val="upperLetter"/>
      <w:suff w:val="nothing"/>
      <w:lvlText w:val="%1、"/>
      <w:lvlJc w:val="left"/>
      <w:pPr>
        <w:ind w:left="0" w:firstLine="480"/>
      </w:pPr>
      <w:rPr>
        <w:rFonts w:hint="default"/>
      </w:rPr>
    </w:lvl>
  </w:abstractNum>
  <w:abstractNum w:abstractNumId="22">
    <w:nsid w:val="DD63F9E2"/>
    <w:multiLevelType w:val="singleLevel"/>
    <w:tmpl w:val="DD63F9E2"/>
    <w:lvl w:ilvl="0" w:tentative="0">
      <w:start w:val="1"/>
      <w:numFmt w:val="decimal"/>
      <w:suff w:val="nothing"/>
      <w:lvlText w:val="%1、"/>
      <w:lvlJc w:val="left"/>
      <w:pPr>
        <w:ind w:left="0" w:firstLine="480"/>
      </w:pPr>
      <w:rPr>
        <w:rFonts w:hint="default"/>
      </w:rPr>
    </w:lvl>
  </w:abstractNum>
  <w:abstractNum w:abstractNumId="23">
    <w:nsid w:val="E357E9F2"/>
    <w:multiLevelType w:val="singleLevel"/>
    <w:tmpl w:val="E357E9F2"/>
    <w:lvl w:ilvl="0" w:tentative="0">
      <w:start w:val="1"/>
      <w:numFmt w:val="chineseCounting"/>
      <w:suff w:val="nothing"/>
      <w:lvlText w:val="（%1）"/>
      <w:lvlJc w:val="left"/>
      <w:pPr>
        <w:ind w:left="0" w:firstLine="480"/>
      </w:pPr>
      <w:rPr>
        <w:rFonts w:hint="eastAsia"/>
      </w:rPr>
    </w:lvl>
  </w:abstractNum>
  <w:abstractNum w:abstractNumId="24">
    <w:nsid w:val="E4FC7577"/>
    <w:multiLevelType w:val="singleLevel"/>
    <w:tmpl w:val="E4FC7577"/>
    <w:lvl w:ilvl="0" w:tentative="0">
      <w:start w:val="1"/>
      <w:numFmt w:val="decimal"/>
      <w:suff w:val="nothing"/>
      <w:lvlText w:val="%1、"/>
      <w:lvlJc w:val="left"/>
      <w:pPr>
        <w:ind w:left="0" w:firstLine="480"/>
      </w:pPr>
      <w:rPr>
        <w:rFonts w:hint="default"/>
      </w:rPr>
    </w:lvl>
  </w:abstractNum>
  <w:abstractNum w:abstractNumId="25">
    <w:nsid w:val="E7FA27D5"/>
    <w:multiLevelType w:val="singleLevel"/>
    <w:tmpl w:val="E7FA27D5"/>
    <w:lvl w:ilvl="0" w:tentative="0">
      <w:start w:val="2"/>
      <w:numFmt w:val="chineseCounting"/>
      <w:suff w:val="nothing"/>
      <w:lvlText w:val="%1、"/>
      <w:lvlJc w:val="left"/>
      <w:pPr>
        <w:ind w:left="0" w:firstLine="0"/>
      </w:pPr>
      <w:rPr>
        <w:rFonts w:hint="eastAsia"/>
      </w:rPr>
    </w:lvl>
  </w:abstractNum>
  <w:abstractNum w:abstractNumId="26">
    <w:nsid w:val="EC070300"/>
    <w:multiLevelType w:val="singleLevel"/>
    <w:tmpl w:val="EC070300"/>
    <w:lvl w:ilvl="0" w:tentative="0">
      <w:start w:val="1"/>
      <w:numFmt w:val="decimal"/>
      <w:suff w:val="nothing"/>
      <w:lvlText w:val="%1、"/>
      <w:lvlJc w:val="left"/>
      <w:pPr>
        <w:ind w:left="0" w:firstLine="480"/>
      </w:pPr>
      <w:rPr>
        <w:rFonts w:hint="default"/>
      </w:rPr>
    </w:lvl>
  </w:abstractNum>
  <w:abstractNum w:abstractNumId="27">
    <w:nsid w:val="ED41ACC2"/>
    <w:multiLevelType w:val="singleLevel"/>
    <w:tmpl w:val="ED41ACC2"/>
    <w:lvl w:ilvl="0" w:tentative="0">
      <w:start w:val="1"/>
      <w:numFmt w:val="decimal"/>
      <w:suff w:val="nothing"/>
      <w:lvlText w:val="%1、"/>
      <w:lvlJc w:val="left"/>
      <w:pPr>
        <w:ind w:left="0" w:firstLine="480"/>
      </w:pPr>
      <w:rPr>
        <w:rFonts w:hint="default"/>
      </w:rPr>
    </w:lvl>
  </w:abstractNum>
  <w:abstractNum w:abstractNumId="28">
    <w:nsid w:val="F09B2728"/>
    <w:multiLevelType w:val="singleLevel"/>
    <w:tmpl w:val="F09B2728"/>
    <w:lvl w:ilvl="0" w:tentative="0">
      <w:start w:val="1"/>
      <w:numFmt w:val="chineseCounting"/>
      <w:suff w:val="nothing"/>
      <w:lvlText w:val="（%1）"/>
      <w:lvlJc w:val="left"/>
      <w:pPr>
        <w:ind w:left="0" w:firstLine="0"/>
      </w:pPr>
      <w:rPr>
        <w:rFonts w:hint="eastAsia"/>
      </w:rPr>
    </w:lvl>
  </w:abstractNum>
  <w:abstractNum w:abstractNumId="29">
    <w:nsid w:val="F4527181"/>
    <w:multiLevelType w:val="singleLevel"/>
    <w:tmpl w:val="F4527181"/>
    <w:lvl w:ilvl="0" w:tentative="0">
      <w:start w:val="1"/>
      <w:numFmt w:val="decimal"/>
      <w:lvlText w:val="9.%1"/>
      <w:lvlJc w:val="left"/>
      <w:pPr>
        <w:tabs>
          <w:tab w:val="left" w:pos="210"/>
        </w:tabs>
        <w:ind w:left="0" w:firstLine="480"/>
      </w:pPr>
      <w:rPr>
        <w:rFonts w:hint="default"/>
      </w:rPr>
    </w:lvl>
  </w:abstractNum>
  <w:abstractNum w:abstractNumId="30">
    <w:nsid w:val="F99A0BE6"/>
    <w:multiLevelType w:val="singleLevel"/>
    <w:tmpl w:val="F99A0BE6"/>
    <w:lvl w:ilvl="0" w:tentative="0">
      <w:start w:val="1"/>
      <w:numFmt w:val="chineseCounting"/>
      <w:suff w:val="nothing"/>
      <w:lvlText w:val="%1、"/>
      <w:lvlJc w:val="left"/>
      <w:pPr>
        <w:ind w:firstLine="482"/>
      </w:pPr>
      <w:rPr>
        <w:rFonts w:hint="eastAsia"/>
      </w:rPr>
    </w:lvl>
  </w:abstractNum>
  <w:abstractNum w:abstractNumId="31">
    <w:nsid w:val="F9F661CB"/>
    <w:multiLevelType w:val="singleLevel"/>
    <w:tmpl w:val="F9F661CB"/>
    <w:lvl w:ilvl="0" w:tentative="0">
      <w:start w:val="1"/>
      <w:numFmt w:val="chineseCounting"/>
      <w:suff w:val="nothing"/>
      <w:lvlText w:val="（%1）"/>
      <w:lvlJc w:val="left"/>
      <w:pPr>
        <w:ind w:left="0" w:firstLine="480"/>
      </w:pPr>
      <w:rPr>
        <w:rFonts w:hint="eastAsia"/>
      </w:rPr>
    </w:lvl>
  </w:abstractNum>
  <w:abstractNum w:abstractNumId="32">
    <w:nsid w:val="FCA321B8"/>
    <w:multiLevelType w:val="singleLevel"/>
    <w:tmpl w:val="FCA321B8"/>
    <w:lvl w:ilvl="0" w:tentative="0">
      <w:start w:val="1"/>
      <w:numFmt w:val="decimal"/>
      <w:suff w:val="nothing"/>
      <w:lvlText w:val="%1、"/>
      <w:lvlJc w:val="left"/>
      <w:pPr>
        <w:ind w:left="0" w:firstLine="480"/>
      </w:pPr>
      <w:rPr>
        <w:rFonts w:hint="default"/>
      </w:rPr>
    </w:lvl>
  </w:abstractNum>
  <w:abstractNum w:abstractNumId="33">
    <w:nsid w:val="FD2F22DD"/>
    <w:multiLevelType w:val="singleLevel"/>
    <w:tmpl w:val="FD2F22DD"/>
    <w:lvl w:ilvl="0" w:tentative="0">
      <w:start w:val="1"/>
      <w:numFmt w:val="decimal"/>
      <w:suff w:val="nothing"/>
      <w:lvlText w:val="%1、"/>
      <w:lvlJc w:val="left"/>
      <w:pPr>
        <w:ind w:left="0" w:firstLine="480"/>
      </w:pPr>
      <w:rPr>
        <w:rFonts w:hint="default"/>
      </w:rPr>
    </w:lvl>
  </w:abstractNum>
  <w:abstractNum w:abstractNumId="34">
    <w:nsid w:val="0C704594"/>
    <w:multiLevelType w:val="singleLevel"/>
    <w:tmpl w:val="0C704594"/>
    <w:lvl w:ilvl="0" w:tentative="0">
      <w:start w:val="1"/>
      <w:numFmt w:val="decimal"/>
      <w:suff w:val="nothing"/>
      <w:lvlText w:val="%1、"/>
      <w:lvlJc w:val="left"/>
      <w:pPr>
        <w:ind w:left="0" w:firstLine="480"/>
      </w:pPr>
      <w:rPr>
        <w:rFonts w:hint="default"/>
      </w:rPr>
    </w:lvl>
  </w:abstractNum>
  <w:abstractNum w:abstractNumId="35">
    <w:nsid w:val="11057576"/>
    <w:multiLevelType w:val="singleLevel"/>
    <w:tmpl w:val="11057576"/>
    <w:lvl w:ilvl="0" w:tentative="0">
      <w:start w:val="1"/>
      <w:numFmt w:val="decimal"/>
      <w:suff w:val="nothing"/>
      <w:lvlText w:val="（%1）"/>
      <w:lvlJc w:val="left"/>
      <w:pPr>
        <w:ind w:left="0" w:firstLine="480"/>
      </w:pPr>
      <w:rPr>
        <w:rFonts w:hint="default"/>
      </w:rPr>
    </w:lvl>
  </w:abstractNum>
  <w:abstractNum w:abstractNumId="36">
    <w:nsid w:val="1326BF5D"/>
    <w:multiLevelType w:val="singleLevel"/>
    <w:tmpl w:val="1326BF5D"/>
    <w:lvl w:ilvl="0" w:tentative="0">
      <w:start w:val="1"/>
      <w:numFmt w:val="decimal"/>
      <w:suff w:val="nothing"/>
      <w:lvlText w:val="%1、"/>
      <w:lvlJc w:val="left"/>
      <w:pPr>
        <w:ind w:left="0" w:firstLine="480"/>
      </w:pPr>
      <w:rPr>
        <w:rFonts w:hint="default"/>
      </w:rPr>
    </w:lvl>
  </w:abstractNum>
  <w:abstractNum w:abstractNumId="37">
    <w:nsid w:val="1C76B8CF"/>
    <w:multiLevelType w:val="singleLevel"/>
    <w:tmpl w:val="1C76B8CF"/>
    <w:lvl w:ilvl="0" w:tentative="0">
      <w:start w:val="1"/>
      <w:numFmt w:val="decimal"/>
      <w:suff w:val="nothing"/>
      <w:lvlText w:val="%1、"/>
      <w:lvlJc w:val="left"/>
      <w:pPr>
        <w:ind w:left="0" w:firstLine="480"/>
      </w:pPr>
      <w:rPr>
        <w:rFonts w:hint="default"/>
      </w:rPr>
    </w:lvl>
  </w:abstractNum>
  <w:abstractNum w:abstractNumId="38">
    <w:nsid w:val="1C8DDD57"/>
    <w:multiLevelType w:val="singleLevel"/>
    <w:tmpl w:val="1C8DDD57"/>
    <w:lvl w:ilvl="0" w:tentative="0">
      <w:start w:val="1"/>
      <w:numFmt w:val="decimal"/>
      <w:suff w:val="nothing"/>
      <w:lvlText w:val="%1、"/>
      <w:lvlJc w:val="left"/>
      <w:pPr>
        <w:ind w:left="0" w:firstLine="480"/>
      </w:pPr>
      <w:rPr>
        <w:rFonts w:hint="default"/>
      </w:rPr>
    </w:lvl>
  </w:abstractNum>
  <w:abstractNum w:abstractNumId="39">
    <w:nsid w:val="1E2A0F05"/>
    <w:multiLevelType w:val="singleLevel"/>
    <w:tmpl w:val="1E2A0F05"/>
    <w:lvl w:ilvl="0" w:tentative="0">
      <w:start w:val="1"/>
      <w:numFmt w:val="decimal"/>
      <w:suff w:val="nothing"/>
      <w:lvlText w:val="%1、"/>
      <w:lvlJc w:val="left"/>
      <w:pPr>
        <w:ind w:left="0" w:firstLine="480"/>
      </w:pPr>
      <w:rPr>
        <w:rFonts w:hint="default"/>
      </w:rPr>
    </w:lvl>
  </w:abstractNum>
  <w:abstractNum w:abstractNumId="40">
    <w:nsid w:val="2623B1F3"/>
    <w:multiLevelType w:val="singleLevel"/>
    <w:tmpl w:val="2623B1F3"/>
    <w:lvl w:ilvl="0" w:tentative="0">
      <w:start w:val="1"/>
      <w:numFmt w:val="decimal"/>
      <w:suff w:val="nothing"/>
      <w:lvlText w:val="（%1）"/>
      <w:lvlJc w:val="left"/>
      <w:pPr>
        <w:ind w:left="0" w:firstLine="480"/>
      </w:pPr>
      <w:rPr>
        <w:rFonts w:hint="default"/>
      </w:rPr>
    </w:lvl>
  </w:abstractNum>
  <w:abstractNum w:abstractNumId="41">
    <w:nsid w:val="270E47C2"/>
    <w:multiLevelType w:val="singleLevel"/>
    <w:tmpl w:val="270E47C2"/>
    <w:lvl w:ilvl="0" w:tentative="0">
      <w:start w:val="1"/>
      <w:numFmt w:val="decimal"/>
      <w:suff w:val="nothing"/>
      <w:lvlText w:val="%1、"/>
      <w:lvlJc w:val="left"/>
      <w:pPr>
        <w:ind w:left="0" w:firstLine="480"/>
      </w:pPr>
      <w:rPr>
        <w:rFonts w:hint="default"/>
      </w:rPr>
    </w:lvl>
  </w:abstractNum>
  <w:abstractNum w:abstractNumId="42">
    <w:nsid w:val="27E6AF11"/>
    <w:multiLevelType w:val="singleLevel"/>
    <w:tmpl w:val="27E6AF11"/>
    <w:lvl w:ilvl="0" w:tentative="0">
      <w:start w:val="1"/>
      <w:numFmt w:val="decimal"/>
      <w:suff w:val="nothing"/>
      <w:lvlText w:val="（%1）"/>
      <w:lvlJc w:val="left"/>
      <w:pPr>
        <w:ind w:left="0" w:firstLine="480"/>
      </w:pPr>
      <w:rPr>
        <w:rFonts w:hint="default"/>
      </w:rPr>
    </w:lvl>
  </w:abstractNum>
  <w:abstractNum w:abstractNumId="43">
    <w:nsid w:val="2878270F"/>
    <w:multiLevelType w:val="singleLevel"/>
    <w:tmpl w:val="2878270F"/>
    <w:lvl w:ilvl="0" w:tentative="0">
      <w:start w:val="2"/>
      <w:numFmt w:val="decimal"/>
      <w:lvlText w:val="(%1)"/>
      <w:lvlJc w:val="left"/>
      <w:pPr>
        <w:tabs>
          <w:tab w:val="left" w:pos="210"/>
        </w:tabs>
        <w:ind w:left="0" w:firstLine="480"/>
      </w:pPr>
      <w:rPr>
        <w:rFonts w:hint="default"/>
      </w:rPr>
    </w:lvl>
  </w:abstractNum>
  <w:abstractNum w:abstractNumId="44">
    <w:nsid w:val="2C8A9C75"/>
    <w:multiLevelType w:val="singleLevel"/>
    <w:tmpl w:val="2C8A9C75"/>
    <w:lvl w:ilvl="0" w:tentative="0">
      <w:start w:val="1"/>
      <w:numFmt w:val="decimal"/>
      <w:suff w:val="nothing"/>
      <w:lvlText w:val="（%1）"/>
      <w:lvlJc w:val="left"/>
      <w:pPr>
        <w:ind w:left="0" w:firstLine="480"/>
      </w:pPr>
      <w:rPr>
        <w:rFonts w:hint="default"/>
      </w:rPr>
    </w:lvl>
  </w:abstractNum>
  <w:abstractNum w:abstractNumId="45">
    <w:nsid w:val="2E5BCEC0"/>
    <w:multiLevelType w:val="singleLevel"/>
    <w:tmpl w:val="2E5BCEC0"/>
    <w:lvl w:ilvl="0" w:tentative="0">
      <w:start w:val="1"/>
      <w:numFmt w:val="decimal"/>
      <w:suff w:val="nothing"/>
      <w:lvlText w:val="（%1）"/>
      <w:lvlJc w:val="left"/>
      <w:pPr>
        <w:ind w:left="0" w:firstLine="480"/>
      </w:pPr>
      <w:rPr>
        <w:rFonts w:hint="default"/>
      </w:rPr>
    </w:lvl>
  </w:abstractNum>
  <w:abstractNum w:abstractNumId="46">
    <w:nsid w:val="2FDAFB68"/>
    <w:multiLevelType w:val="singleLevel"/>
    <w:tmpl w:val="2FDAFB68"/>
    <w:lvl w:ilvl="0" w:tentative="0">
      <w:start w:val="1"/>
      <w:numFmt w:val="decimal"/>
      <w:suff w:val="nothing"/>
      <w:lvlText w:val="%1、"/>
      <w:lvlJc w:val="left"/>
      <w:pPr>
        <w:ind w:left="0" w:firstLine="480"/>
      </w:pPr>
      <w:rPr>
        <w:rFonts w:hint="default"/>
      </w:rPr>
    </w:lvl>
  </w:abstractNum>
  <w:abstractNum w:abstractNumId="47">
    <w:nsid w:val="339F91B4"/>
    <w:multiLevelType w:val="singleLevel"/>
    <w:tmpl w:val="339F91B4"/>
    <w:lvl w:ilvl="0" w:tentative="0">
      <w:start w:val="1"/>
      <w:numFmt w:val="chineseCounting"/>
      <w:suff w:val="nothing"/>
      <w:lvlText w:val="（%1）"/>
      <w:lvlJc w:val="left"/>
      <w:pPr>
        <w:ind w:left="0" w:firstLine="0"/>
      </w:pPr>
      <w:rPr>
        <w:rFonts w:hint="eastAsia"/>
      </w:rPr>
    </w:lvl>
  </w:abstractNum>
  <w:abstractNum w:abstractNumId="48">
    <w:nsid w:val="41CE3934"/>
    <w:multiLevelType w:val="singleLevel"/>
    <w:tmpl w:val="41CE3934"/>
    <w:lvl w:ilvl="0" w:tentative="0">
      <w:start w:val="1"/>
      <w:numFmt w:val="decimal"/>
      <w:suff w:val="nothing"/>
      <w:lvlText w:val="%1、"/>
      <w:lvlJc w:val="left"/>
      <w:pPr>
        <w:ind w:left="0" w:firstLine="0"/>
      </w:pPr>
      <w:rPr>
        <w:rFonts w:hint="default"/>
      </w:rPr>
    </w:lvl>
  </w:abstractNum>
  <w:abstractNum w:abstractNumId="49">
    <w:nsid w:val="43B74901"/>
    <w:multiLevelType w:val="singleLevel"/>
    <w:tmpl w:val="43B74901"/>
    <w:lvl w:ilvl="0" w:tentative="0">
      <w:start w:val="1"/>
      <w:numFmt w:val="chineseCounting"/>
      <w:suff w:val="nothing"/>
      <w:lvlText w:val="（%1）"/>
      <w:lvlJc w:val="left"/>
      <w:pPr>
        <w:ind w:left="0" w:firstLine="480"/>
      </w:pPr>
      <w:rPr>
        <w:rFonts w:hint="eastAsia"/>
      </w:rPr>
    </w:lvl>
  </w:abstractNum>
  <w:abstractNum w:abstractNumId="50">
    <w:nsid w:val="4BB6C562"/>
    <w:multiLevelType w:val="singleLevel"/>
    <w:tmpl w:val="4BB6C562"/>
    <w:lvl w:ilvl="0" w:tentative="0">
      <w:start w:val="1"/>
      <w:numFmt w:val="decimal"/>
      <w:suff w:val="nothing"/>
      <w:lvlText w:val="%1、"/>
      <w:lvlJc w:val="left"/>
      <w:pPr>
        <w:ind w:left="0" w:firstLine="480"/>
      </w:pPr>
      <w:rPr>
        <w:rFonts w:hint="default"/>
      </w:rPr>
    </w:lvl>
  </w:abstractNum>
  <w:abstractNum w:abstractNumId="51">
    <w:nsid w:val="4C01E63A"/>
    <w:multiLevelType w:val="singleLevel"/>
    <w:tmpl w:val="4C01E63A"/>
    <w:lvl w:ilvl="0" w:tentative="0">
      <w:start w:val="1"/>
      <w:numFmt w:val="decimal"/>
      <w:suff w:val="nothing"/>
      <w:lvlText w:val="（%1）"/>
      <w:lvlJc w:val="left"/>
      <w:pPr>
        <w:ind w:left="0" w:firstLine="480"/>
      </w:pPr>
      <w:rPr>
        <w:rFonts w:hint="default"/>
      </w:rPr>
    </w:lvl>
  </w:abstractNum>
  <w:abstractNum w:abstractNumId="52">
    <w:nsid w:val="4E33CDD3"/>
    <w:multiLevelType w:val="singleLevel"/>
    <w:tmpl w:val="4E33CDD3"/>
    <w:lvl w:ilvl="0" w:tentative="0">
      <w:start w:val="1"/>
      <w:numFmt w:val="decimal"/>
      <w:suff w:val="nothing"/>
      <w:lvlText w:val="（%1）"/>
      <w:lvlJc w:val="left"/>
      <w:pPr>
        <w:ind w:left="0" w:firstLine="480"/>
      </w:pPr>
      <w:rPr>
        <w:rFonts w:hint="default"/>
      </w:rPr>
    </w:lvl>
  </w:abstractNum>
  <w:abstractNum w:abstractNumId="53">
    <w:nsid w:val="5618856F"/>
    <w:multiLevelType w:val="singleLevel"/>
    <w:tmpl w:val="5618856F"/>
    <w:lvl w:ilvl="0" w:tentative="0">
      <w:start w:val="1"/>
      <w:numFmt w:val="chineseCounting"/>
      <w:suff w:val="nothing"/>
      <w:lvlText w:val="%1、"/>
      <w:lvlJc w:val="left"/>
      <w:pPr>
        <w:ind w:left="0" w:firstLine="0"/>
      </w:pPr>
      <w:rPr>
        <w:rFonts w:hint="eastAsia"/>
      </w:rPr>
    </w:lvl>
  </w:abstractNum>
  <w:abstractNum w:abstractNumId="54">
    <w:nsid w:val="594F7678"/>
    <w:multiLevelType w:val="singleLevel"/>
    <w:tmpl w:val="594F7678"/>
    <w:lvl w:ilvl="0" w:tentative="0">
      <w:start w:val="1"/>
      <w:numFmt w:val="decimal"/>
      <w:suff w:val="nothing"/>
      <w:lvlText w:val="%1、"/>
      <w:lvlJc w:val="left"/>
      <w:pPr>
        <w:ind w:left="0" w:firstLine="480"/>
      </w:pPr>
      <w:rPr>
        <w:rFonts w:hint="default"/>
      </w:rPr>
    </w:lvl>
  </w:abstractNum>
  <w:abstractNum w:abstractNumId="55">
    <w:nsid w:val="5FB22304"/>
    <w:multiLevelType w:val="singleLevel"/>
    <w:tmpl w:val="5FB22304"/>
    <w:lvl w:ilvl="0" w:tentative="0">
      <w:start w:val="1"/>
      <w:numFmt w:val="decimal"/>
      <w:suff w:val="nothing"/>
      <w:lvlText w:val="%1、"/>
      <w:lvlJc w:val="left"/>
      <w:pPr>
        <w:ind w:left="0" w:firstLine="480"/>
      </w:pPr>
      <w:rPr>
        <w:rFonts w:hint="default"/>
      </w:rPr>
    </w:lvl>
  </w:abstractNum>
  <w:abstractNum w:abstractNumId="56">
    <w:nsid w:val="6145F57D"/>
    <w:multiLevelType w:val="singleLevel"/>
    <w:tmpl w:val="6145F57D"/>
    <w:lvl w:ilvl="0" w:tentative="0">
      <w:start w:val="1"/>
      <w:numFmt w:val="chineseCounting"/>
      <w:suff w:val="nothing"/>
      <w:lvlText w:val="（%1）"/>
      <w:lvlJc w:val="left"/>
      <w:pPr>
        <w:ind w:left="0" w:firstLine="0"/>
      </w:pPr>
      <w:rPr>
        <w:rFonts w:hint="eastAsia"/>
      </w:rPr>
    </w:lvl>
  </w:abstractNum>
  <w:abstractNum w:abstractNumId="57">
    <w:nsid w:val="630BBC40"/>
    <w:multiLevelType w:val="singleLevel"/>
    <w:tmpl w:val="630BBC40"/>
    <w:lvl w:ilvl="0" w:tentative="0">
      <w:start w:val="1"/>
      <w:numFmt w:val="chineseCounting"/>
      <w:suff w:val="nothing"/>
      <w:lvlText w:val="%1、"/>
      <w:lvlJc w:val="left"/>
      <w:pPr>
        <w:ind w:left="0" w:firstLine="480"/>
      </w:pPr>
      <w:rPr>
        <w:rFonts w:hint="eastAsia"/>
      </w:rPr>
    </w:lvl>
  </w:abstractNum>
  <w:abstractNum w:abstractNumId="58">
    <w:nsid w:val="637FDECD"/>
    <w:multiLevelType w:val="singleLevel"/>
    <w:tmpl w:val="637FDECD"/>
    <w:lvl w:ilvl="0" w:tentative="0">
      <w:start w:val="1"/>
      <w:numFmt w:val="decimal"/>
      <w:suff w:val="nothing"/>
      <w:lvlText w:val="%1、"/>
      <w:lvlJc w:val="left"/>
      <w:pPr>
        <w:ind w:left="0" w:firstLine="480"/>
      </w:pPr>
      <w:rPr>
        <w:rFonts w:hint="default"/>
      </w:rPr>
    </w:lvl>
  </w:abstractNum>
  <w:abstractNum w:abstractNumId="59">
    <w:nsid w:val="63AE2B98"/>
    <w:multiLevelType w:val="singleLevel"/>
    <w:tmpl w:val="63AE2B98"/>
    <w:lvl w:ilvl="0" w:tentative="0">
      <w:start w:val="1"/>
      <w:numFmt w:val="decimal"/>
      <w:suff w:val="nothing"/>
      <w:lvlText w:val="%1、"/>
      <w:lvlJc w:val="left"/>
      <w:pPr>
        <w:ind w:left="0" w:firstLine="480"/>
      </w:pPr>
      <w:rPr>
        <w:rFonts w:hint="default"/>
      </w:rPr>
    </w:lvl>
  </w:abstractNum>
  <w:abstractNum w:abstractNumId="60">
    <w:nsid w:val="684BA29C"/>
    <w:multiLevelType w:val="singleLevel"/>
    <w:tmpl w:val="684BA29C"/>
    <w:lvl w:ilvl="0" w:tentative="0">
      <w:start w:val="1"/>
      <w:numFmt w:val="decimal"/>
      <w:suff w:val="nothing"/>
      <w:lvlText w:val="%1、"/>
      <w:lvlJc w:val="left"/>
      <w:pPr>
        <w:ind w:left="0" w:firstLine="480"/>
      </w:pPr>
      <w:rPr>
        <w:rFonts w:hint="default"/>
      </w:rPr>
    </w:lvl>
  </w:abstractNum>
  <w:abstractNum w:abstractNumId="61">
    <w:nsid w:val="6D0C1B52"/>
    <w:multiLevelType w:val="singleLevel"/>
    <w:tmpl w:val="6D0C1B52"/>
    <w:lvl w:ilvl="0" w:tentative="0">
      <w:start w:val="1"/>
      <w:numFmt w:val="chineseCounting"/>
      <w:suff w:val="nothing"/>
      <w:lvlText w:val="（%1）"/>
      <w:lvlJc w:val="left"/>
      <w:pPr>
        <w:ind w:left="0" w:firstLine="480"/>
      </w:pPr>
      <w:rPr>
        <w:rFonts w:hint="eastAsia"/>
      </w:rPr>
    </w:lvl>
  </w:abstractNum>
  <w:abstractNum w:abstractNumId="62">
    <w:nsid w:val="6D5685DC"/>
    <w:multiLevelType w:val="singleLevel"/>
    <w:tmpl w:val="6D5685DC"/>
    <w:lvl w:ilvl="0" w:tentative="0">
      <w:start w:val="1"/>
      <w:numFmt w:val="decimal"/>
      <w:suff w:val="nothing"/>
      <w:lvlText w:val="%1、"/>
      <w:lvlJc w:val="left"/>
      <w:pPr>
        <w:ind w:left="0" w:firstLine="480"/>
      </w:pPr>
      <w:rPr>
        <w:rFonts w:hint="default"/>
      </w:rPr>
    </w:lvl>
  </w:abstractNum>
  <w:abstractNum w:abstractNumId="63">
    <w:nsid w:val="6DAFD76F"/>
    <w:multiLevelType w:val="singleLevel"/>
    <w:tmpl w:val="6DAFD76F"/>
    <w:lvl w:ilvl="0" w:tentative="0">
      <w:start w:val="1"/>
      <w:numFmt w:val="chineseCounting"/>
      <w:suff w:val="nothing"/>
      <w:lvlText w:val="（%1）"/>
      <w:lvlJc w:val="left"/>
      <w:pPr>
        <w:ind w:firstLine="609"/>
      </w:pPr>
      <w:rPr>
        <w:rFonts w:hint="eastAsia"/>
      </w:rPr>
    </w:lvl>
  </w:abstractNum>
  <w:abstractNum w:abstractNumId="64">
    <w:nsid w:val="70CF62E1"/>
    <w:multiLevelType w:val="singleLevel"/>
    <w:tmpl w:val="70CF62E1"/>
    <w:lvl w:ilvl="0" w:tentative="0">
      <w:start w:val="1"/>
      <w:numFmt w:val="chineseCounting"/>
      <w:suff w:val="nothing"/>
      <w:lvlText w:val="%1、"/>
      <w:lvlJc w:val="left"/>
      <w:pPr>
        <w:ind w:firstLine="0"/>
      </w:pPr>
      <w:rPr>
        <w:rFonts w:hint="eastAsia"/>
      </w:rPr>
    </w:lvl>
  </w:abstractNum>
  <w:abstractNum w:abstractNumId="65">
    <w:nsid w:val="77955268"/>
    <w:multiLevelType w:val="singleLevel"/>
    <w:tmpl w:val="77955268"/>
    <w:lvl w:ilvl="0" w:tentative="0">
      <w:start w:val="1"/>
      <w:numFmt w:val="chineseCounting"/>
      <w:suff w:val="nothing"/>
      <w:lvlText w:val="（%1）"/>
      <w:lvlJc w:val="left"/>
      <w:pPr>
        <w:ind w:left="0" w:firstLine="480"/>
      </w:pPr>
      <w:rPr>
        <w:rFonts w:hint="eastAsia"/>
      </w:rPr>
    </w:lvl>
  </w:abstractNum>
  <w:abstractNum w:abstractNumId="66">
    <w:nsid w:val="7A76D9B1"/>
    <w:multiLevelType w:val="singleLevel"/>
    <w:tmpl w:val="7A76D9B1"/>
    <w:lvl w:ilvl="0" w:tentative="0">
      <w:start w:val="1"/>
      <w:numFmt w:val="chineseCounting"/>
      <w:suff w:val="nothing"/>
      <w:lvlText w:val="%1、"/>
      <w:lvlJc w:val="left"/>
      <w:pPr>
        <w:ind w:left="0" w:firstLine="480"/>
      </w:pPr>
      <w:rPr>
        <w:rFonts w:hint="eastAsia"/>
      </w:rPr>
    </w:lvl>
  </w:abstractNum>
  <w:abstractNum w:abstractNumId="67">
    <w:nsid w:val="7B3ED489"/>
    <w:multiLevelType w:val="singleLevel"/>
    <w:tmpl w:val="7B3ED489"/>
    <w:lvl w:ilvl="0" w:tentative="0">
      <w:start w:val="1"/>
      <w:numFmt w:val="chineseCounting"/>
      <w:suff w:val="nothing"/>
      <w:lvlText w:val="（%1）"/>
      <w:lvlJc w:val="left"/>
      <w:pPr>
        <w:ind w:left="0" w:firstLine="0"/>
      </w:pPr>
      <w:rPr>
        <w:rFonts w:hint="eastAsia"/>
      </w:rPr>
    </w:lvl>
  </w:abstractNum>
  <w:abstractNum w:abstractNumId="68">
    <w:nsid w:val="7D137B6E"/>
    <w:multiLevelType w:val="singleLevel"/>
    <w:tmpl w:val="7D137B6E"/>
    <w:lvl w:ilvl="0" w:tentative="0">
      <w:start w:val="1"/>
      <w:numFmt w:val="decimal"/>
      <w:suff w:val="nothing"/>
      <w:lvlText w:val="%1、"/>
      <w:lvlJc w:val="left"/>
      <w:pPr>
        <w:ind w:left="0" w:firstLine="480"/>
      </w:pPr>
      <w:rPr>
        <w:rFonts w:hint="default"/>
      </w:rPr>
    </w:lvl>
  </w:abstractNum>
  <w:abstractNum w:abstractNumId="69">
    <w:nsid w:val="7E1E2249"/>
    <w:multiLevelType w:val="singleLevel"/>
    <w:tmpl w:val="7E1E2249"/>
    <w:lvl w:ilvl="0" w:tentative="0">
      <w:start w:val="1"/>
      <w:numFmt w:val="chineseCounting"/>
      <w:suff w:val="nothing"/>
      <w:lvlText w:val="（%1）"/>
      <w:lvlJc w:val="left"/>
      <w:pPr>
        <w:ind w:left="0" w:firstLine="480"/>
      </w:pPr>
      <w:rPr>
        <w:rFonts w:hint="eastAsia"/>
      </w:rPr>
    </w:lvl>
  </w:abstractNum>
  <w:abstractNum w:abstractNumId="70">
    <w:nsid w:val="7F76ACE2"/>
    <w:multiLevelType w:val="singleLevel"/>
    <w:tmpl w:val="7F76ACE2"/>
    <w:lvl w:ilvl="0" w:tentative="0">
      <w:start w:val="1"/>
      <w:numFmt w:val="chineseCounting"/>
      <w:suff w:val="nothing"/>
      <w:lvlText w:val="（%1）"/>
      <w:lvlJc w:val="left"/>
      <w:pPr>
        <w:ind w:left="0" w:firstLine="480"/>
      </w:pPr>
      <w:rPr>
        <w:rFonts w:hint="eastAsia"/>
      </w:rPr>
    </w:lvl>
  </w:abstractNum>
  <w:num w:numId="1">
    <w:abstractNumId w:val="53"/>
  </w:num>
  <w:num w:numId="2">
    <w:abstractNumId w:val="19"/>
  </w:num>
  <w:num w:numId="3">
    <w:abstractNumId w:val="47"/>
  </w:num>
  <w:num w:numId="4">
    <w:abstractNumId w:val="38"/>
  </w:num>
  <w:num w:numId="5">
    <w:abstractNumId w:val="42"/>
  </w:num>
  <w:num w:numId="6">
    <w:abstractNumId w:val="45"/>
  </w:num>
  <w:num w:numId="7">
    <w:abstractNumId w:val="17"/>
  </w:num>
  <w:num w:numId="8">
    <w:abstractNumId w:val="11"/>
  </w:num>
  <w:num w:numId="9">
    <w:abstractNumId w:val="56"/>
  </w:num>
  <w:num w:numId="10">
    <w:abstractNumId w:val="6"/>
  </w:num>
  <w:num w:numId="11">
    <w:abstractNumId w:val="60"/>
  </w:num>
  <w:num w:numId="12">
    <w:abstractNumId w:val="31"/>
  </w:num>
  <w:num w:numId="13">
    <w:abstractNumId w:val="1"/>
  </w:num>
  <w:num w:numId="14">
    <w:abstractNumId w:val="36"/>
  </w:num>
  <w:num w:numId="15">
    <w:abstractNumId w:val="15"/>
  </w:num>
  <w:num w:numId="16">
    <w:abstractNumId w:val="41"/>
  </w:num>
  <w:num w:numId="17">
    <w:abstractNumId w:val="54"/>
  </w:num>
  <w:num w:numId="18">
    <w:abstractNumId w:val="48"/>
  </w:num>
  <w:num w:numId="19">
    <w:abstractNumId w:val="13"/>
  </w:num>
  <w:num w:numId="20">
    <w:abstractNumId w:val="35"/>
  </w:num>
  <w:num w:numId="21">
    <w:abstractNumId w:val="0"/>
  </w:num>
  <w:num w:numId="22">
    <w:abstractNumId w:val="51"/>
  </w:num>
  <w:num w:numId="23">
    <w:abstractNumId w:val="49"/>
  </w:num>
  <w:num w:numId="24">
    <w:abstractNumId w:val="43"/>
  </w:num>
  <w:num w:numId="25">
    <w:abstractNumId w:val="62"/>
  </w:num>
  <w:num w:numId="26">
    <w:abstractNumId w:val="8"/>
  </w:num>
  <w:num w:numId="27">
    <w:abstractNumId w:val="46"/>
  </w:num>
  <w:num w:numId="28">
    <w:abstractNumId w:val="4"/>
  </w:num>
  <w:num w:numId="29">
    <w:abstractNumId w:val="24"/>
  </w:num>
  <w:num w:numId="30">
    <w:abstractNumId w:val="40"/>
  </w:num>
  <w:num w:numId="31">
    <w:abstractNumId w:val="52"/>
  </w:num>
  <w:num w:numId="32">
    <w:abstractNumId w:val="44"/>
  </w:num>
  <w:num w:numId="33">
    <w:abstractNumId w:val="21"/>
  </w:num>
  <w:num w:numId="34">
    <w:abstractNumId w:val="7"/>
  </w:num>
  <w:num w:numId="35">
    <w:abstractNumId w:val="28"/>
  </w:num>
  <w:num w:numId="36">
    <w:abstractNumId w:val="50"/>
  </w:num>
  <w:num w:numId="37">
    <w:abstractNumId w:val="68"/>
  </w:num>
  <w:num w:numId="38">
    <w:abstractNumId w:val="63"/>
  </w:num>
  <w:num w:numId="39">
    <w:abstractNumId w:val="70"/>
  </w:num>
  <w:num w:numId="40">
    <w:abstractNumId w:val="65"/>
  </w:num>
  <w:num w:numId="41">
    <w:abstractNumId w:val="34"/>
  </w:num>
  <w:num w:numId="42">
    <w:abstractNumId w:val="22"/>
  </w:num>
  <w:num w:numId="43">
    <w:abstractNumId w:val="67"/>
  </w:num>
  <w:num w:numId="44">
    <w:abstractNumId w:val="55"/>
  </w:num>
  <w:num w:numId="45">
    <w:abstractNumId w:val="30"/>
  </w:num>
  <w:num w:numId="46">
    <w:abstractNumId w:val="20"/>
  </w:num>
  <w:num w:numId="47">
    <w:abstractNumId w:val="10"/>
  </w:num>
  <w:num w:numId="48">
    <w:abstractNumId w:val="14"/>
  </w:num>
  <w:num w:numId="49">
    <w:abstractNumId w:val="29"/>
  </w:num>
  <w:num w:numId="50">
    <w:abstractNumId w:val="16"/>
  </w:num>
  <w:num w:numId="51">
    <w:abstractNumId w:val="64"/>
  </w:num>
  <w:num w:numId="52">
    <w:abstractNumId w:val="69"/>
  </w:num>
  <w:num w:numId="53">
    <w:abstractNumId w:val="59"/>
  </w:num>
  <w:num w:numId="54">
    <w:abstractNumId w:val="26"/>
  </w:num>
  <w:num w:numId="55">
    <w:abstractNumId w:val="18"/>
  </w:num>
  <w:num w:numId="56">
    <w:abstractNumId w:val="39"/>
  </w:num>
  <w:num w:numId="57">
    <w:abstractNumId w:val="37"/>
  </w:num>
  <w:num w:numId="58">
    <w:abstractNumId w:val="27"/>
  </w:num>
  <w:num w:numId="59">
    <w:abstractNumId w:val="57"/>
  </w:num>
  <w:num w:numId="60">
    <w:abstractNumId w:val="3"/>
  </w:num>
  <w:num w:numId="61">
    <w:abstractNumId w:val="58"/>
  </w:num>
  <w:num w:numId="62">
    <w:abstractNumId w:val="9"/>
  </w:num>
  <w:num w:numId="63">
    <w:abstractNumId w:val="66"/>
  </w:num>
  <w:num w:numId="64">
    <w:abstractNumId w:val="61"/>
  </w:num>
  <w:num w:numId="65">
    <w:abstractNumId w:val="23"/>
  </w:num>
  <w:num w:numId="66">
    <w:abstractNumId w:val="12"/>
  </w:num>
  <w:num w:numId="67">
    <w:abstractNumId w:val="5"/>
  </w:num>
  <w:num w:numId="68">
    <w:abstractNumId w:val="32"/>
  </w:num>
  <w:num w:numId="69">
    <w:abstractNumId w:val="2"/>
  </w:num>
  <w:num w:numId="70">
    <w:abstractNumId w:val="25"/>
  </w:num>
  <w:num w:numId="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MmIzMzhjMDJkOTgyZjRkOGE5MmRjZmMyYTQxNTY0NzIifQ=="/>
  </w:docVars>
  <w:rsids>
    <w:rsidRoot w:val="00000000"/>
    <w:rsid w:val="001C66E0"/>
    <w:rsid w:val="00401A0B"/>
    <w:rsid w:val="00572FF5"/>
    <w:rsid w:val="00573A59"/>
    <w:rsid w:val="0065400C"/>
    <w:rsid w:val="00703C65"/>
    <w:rsid w:val="00F01FF9"/>
    <w:rsid w:val="00F05477"/>
    <w:rsid w:val="00F1191B"/>
    <w:rsid w:val="011B0745"/>
    <w:rsid w:val="02596CE3"/>
    <w:rsid w:val="029167E5"/>
    <w:rsid w:val="0374238F"/>
    <w:rsid w:val="038461EC"/>
    <w:rsid w:val="039E2483"/>
    <w:rsid w:val="03DE2F8A"/>
    <w:rsid w:val="0463746B"/>
    <w:rsid w:val="04D339B1"/>
    <w:rsid w:val="068428E9"/>
    <w:rsid w:val="06B950FA"/>
    <w:rsid w:val="07193522"/>
    <w:rsid w:val="07FD4E87"/>
    <w:rsid w:val="086F1377"/>
    <w:rsid w:val="087B5F6E"/>
    <w:rsid w:val="092A0A20"/>
    <w:rsid w:val="09370B41"/>
    <w:rsid w:val="0AF94DC7"/>
    <w:rsid w:val="0B211C67"/>
    <w:rsid w:val="0B3D42FF"/>
    <w:rsid w:val="0C1D4127"/>
    <w:rsid w:val="0C917B0E"/>
    <w:rsid w:val="0CFF3509"/>
    <w:rsid w:val="0D613984"/>
    <w:rsid w:val="0EDE42DF"/>
    <w:rsid w:val="0F3E1159"/>
    <w:rsid w:val="0F4F5A5E"/>
    <w:rsid w:val="0F713C26"/>
    <w:rsid w:val="10044A9B"/>
    <w:rsid w:val="10C71080"/>
    <w:rsid w:val="1112500D"/>
    <w:rsid w:val="123F57C0"/>
    <w:rsid w:val="12C64289"/>
    <w:rsid w:val="13703BAD"/>
    <w:rsid w:val="13A740BB"/>
    <w:rsid w:val="13C22CA3"/>
    <w:rsid w:val="153C0D30"/>
    <w:rsid w:val="15A85EC8"/>
    <w:rsid w:val="166C2A9F"/>
    <w:rsid w:val="182E4DAB"/>
    <w:rsid w:val="18E27FCF"/>
    <w:rsid w:val="19F811CC"/>
    <w:rsid w:val="1A16406A"/>
    <w:rsid w:val="1B0B13D3"/>
    <w:rsid w:val="1B1027AD"/>
    <w:rsid w:val="1B461E1E"/>
    <w:rsid w:val="1C4B45C7"/>
    <w:rsid w:val="1CB6536F"/>
    <w:rsid w:val="1DCE54F4"/>
    <w:rsid w:val="1DEE1106"/>
    <w:rsid w:val="1F122D30"/>
    <w:rsid w:val="1F6966C8"/>
    <w:rsid w:val="203171E6"/>
    <w:rsid w:val="21A33BAD"/>
    <w:rsid w:val="21BA145D"/>
    <w:rsid w:val="222C4671"/>
    <w:rsid w:val="22874217"/>
    <w:rsid w:val="23F07DB6"/>
    <w:rsid w:val="242441E4"/>
    <w:rsid w:val="243F274F"/>
    <w:rsid w:val="24C22B02"/>
    <w:rsid w:val="25DA1357"/>
    <w:rsid w:val="274D0F47"/>
    <w:rsid w:val="28792ED5"/>
    <w:rsid w:val="296C5733"/>
    <w:rsid w:val="2A1A7C10"/>
    <w:rsid w:val="2AC41E55"/>
    <w:rsid w:val="2C5F49C7"/>
    <w:rsid w:val="2CDC672B"/>
    <w:rsid w:val="2CF9552F"/>
    <w:rsid w:val="2D12039F"/>
    <w:rsid w:val="2DB33518"/>
    <w:rsid w:val="2DD253FD"/>
    <w:rsid w:val="2E1B14D5"/>
    <w:rsid w:val="2F685D65"/>
    <w:rsid w:val="2FDE0A0C"/>
    <w:rsid w:val="303C0030"/>
    <w:rsid w:val="30E81B43"/>
    <w:rsid w:val="30ED53AB"/>
    <w:rsid w:val="30ED7345"/>
    <w:rsid w:val="3162106C"/>
    <w:rsid w:val="3162252D"/>
    <w:rsid w:val="32DB57F3"/>
    <w:rsid w:val="33AE06F6"/>
    <w:rsid w:val="33DB773D"/>
    <w:rsid w:val="34184207"/>
    <w:rsid w:val="3442156A"/>
    <w:rsid w:val="34D80120"/>
    <w:rsid w:val="34F605A6"/>
    <w:rsid w:val="3548236B"/>
    <w:rsid w:val="35A43A11"/>
    <w:rsid w:val="35D10F79"/>
    <w:rsid w:val="36661B45"/>
    <w:rsid w:val="37971BCD"/>
    <w:rsid w:val="394A4669"/>
    <w:rsid w:val="39564A6D"/>
    <w:rsid w:val="3A03179B"/>
    <w:rsid w:val="3A145757"/>
    <w:rsid w:val="3A2A4F7A"/>
    <w:rsid w:val="3A593FFC"/>
    <w:rsid w:val="3ADB0022"/>
    <w:rsid w:val="3BE14F8D"/>
    <w:rsid w:val="3C133B43"/>
    <w:rsid w:val="3C414DAD"/>
    <w:rsid w:val="3C4340D1"/>
    <w:rsid w:val="3D760AE1"/>
    <w:rsid w:val="3E6F7809"/>
    <w:rsid w:val="3E7A48AD"/>
    <w:rsid w:val="3F1104B7"/>
    <w:rsid w:val="3F6A5E19"/>
    <w:rsid w:val="3F890995"/>
    <w:rsid w:val="3FBE4B9F"/>
    <w:rsid w:val="40035530"/>
    <w:rsid w:val="424566C9"/>
    <w:rsid w:val="4258529E"/>
    <w:rsid w:val="430158A5"/>
    <w:rsid w:val="43355D1A"/>
    <w:rsid w:val="43937CDA"/>
    <w:rsid w:val="43CD01E0"/>
    <w:rsid w:val="4492209A"/>
    <w:rsid w:val="454964D0"/>
    <w:rsid w:val="45667082"/>
    <w:rsid w:val="45D97854"/>
    <w:rsid w:val="4740402F"/>
    <w:rsid w:val="475565EB"/>
    <w:rsid w:val="47A9156B"/>
    <w:rsid w:val="47D3233B"/>
    <w:rsid w:val="485D29BF"/>
    <w:rsid w:val="490263FE"/>
    <w:rsid w:val="49BE123B"/>
    <w:rsid w:val="4B7A73E4"/>
    <w:rsid w:val="4C8F5111"/>
    <w:rsid w:val="4D7F6F33"/>
    <w:rsid w:val="4E5C54C6"/>
    <w:rsid w:val="4EEF1E97"/>
    <w:rsid w:val="4F4F2935"/>
    <w:rsid w:val="4F5516E1"/>
    <w:rsid w:val="4FC93504"/>
    <w:rsid w:val="504C784F"/>
    <w:rsid w:val="50A632CD"/>
    <w:rsid w:val="517A4BDE"/>
    <w:rsid w:val="53A67679"/>
    <w:rsid w:val="53AF3411"/>
    <w:rsid w:val="53BC2C8F"/>
    <w:rsid w:val="5596306C"/>
    <w:rsid w:val="56C1236A"/>
    <w:rsid w:val="56D06A51"/>
    <w:rsid w:val="56E62477"/>
    <w:rsid w:val="56EE1C3B"/>
    <w:rsid w:val="56F049FE"/>
    <w:rsid w:val="57B974E6"/>
    <w:rsid w:val="58A0338D"/>
    <w:rsid w:val="58B55011"/>
    <w:rsid w:val="58B7446F"/>
    <w:rsid w:val="58E16CF4"/>
    <w:rsid w:val="591C41D0"/>
    <w:rsid w:val="595A3341"/>
    <w:rsid w:val="59BE0DE3"/>
    <w:rsid w:val="59EA3F3F"/>
    <w:rsid w:val="5A37591E"/>
    <w:rsid w:val="5A8E2EAB"/>
    <w:rsid w:val="5AEC41CD"/>
    <w:rsid w:val="5AFF798C"/>
    <w:rsid w:val="5CE51C26"/>
    <w:rsid w:val="5D1551BE"/>
    <w:rsid w:val="5D1C0080"/>
    <w:rsid w:val="5D325D70"/>
    <w:rsid w:val="5E31427A"/>
    <w:rsid w:val="5E8720EC"/>
    <w:rsid w:val="5E8D0136"/>
    <w:rsid w:val="5F9525E6"/>
    <w:rsid w:val="5FAF36A8"/>
    <w:rsid w:val="616F2A8D"/>
    <w:rsid w:val="624B188D"/>
    <w:rsid w:val="639938B1"/>
    <w:rsid w:val="63F975E8"/>
    <w:rsid w:val="641E4126"/>
    <w:rsid w:val="64DF4A2F"/>
    <w:rsid w:val="64FD3107"/>
    <w:rsid w:val="64FD6C64"/>
    <w:rsid w:val="65263040"/>
    <w:rsid w:val="66B42EBC"/>
    <w:rsid w:val="677551D7"/>
    <w:rsid w:val="69407A67"/>
    <w:rsid w:val="698A0CE2"/>
    <w:rsid w:val="6A391EE8"/>
    <w:rsid w:val="6AB778B5"/>
    <w:rsid w:val="6B1573EE"/>
    <w:rsid w:val="6B482C03"/>
    <w:rsid w:val="6B543355"/>
    <w:rsid w:val="6CA81DA0"/>
    <w:rsid w:val="6EE67EE2"/>
    <w:rsid w:val="713F23B2"/>
    <w:rsid w:val="716B13F9"/>
    <w:rsid w:val="722A54F7"/>
    <w:rsid w:val="72964253"/>
    <w:rsid w:val="745D771F"/>
    <w:rsid w:val="751607C9"/>
    <w:rsid w:val="75355FA6"/>
    <w:rsid w:val="77B962B7"/>
    <w:rsid w:val="784D7AAA"/>
    <w:rsid w:val="78784217"/>
    <w:rsid w:val="7A3E5F93"/>
    <w:rsid w:val="7A8D23E0"/>
    <w:rsid w:val="7AE069B4"/>
    <w:rsid w:val="7B114DBF"/>
    <w:rsid w:val="7B631ED8"/>
    <w:rsid w:val="7C1E59E5"/>
    <w:rsid w:val="7C9C5FDD"/>
    <w:rsid w:val="7CF229CE"/>
    <w:rsid w:val="7D272678"/>
    <w:rsid w:val="7E1846B6"/>
    <w:rsid w:val="7E5C37D1"/>
    <w:rsid w:val="7E911859"/>
    <w:rsid w:val="7EAF6DC9"/>
    <w:rsid w:val="7EDC7492"/>
    <w:rsid w:val="7F9055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next w:val="1"/>
    <w:autoRedefine/>
    <w:qFormat/>
    <w:uiPriority w:val="0"/>
    <w:pPr>
      <w:keepNext w:val="0"/>
      <w:keepLines w:val="0"/>
      <w:widowControl w:val="0"/>
      <w:spacing w:before="240" w:beforeLines="0" w:after="120" w:line="360" w:lineRule="auto"/>
      <w:jc w:val="left"/>
      <w:outlineLvl w:val="0"/>
    </w:pPr>
    <w:rPr>
      <w:rFonts w:ascii="宋体" w:hAnsi="宋体" w:eastAsia="宋体" w:cs="宋体"/>
      <w:b/>
      <w:bCs/>
      <w:kern w:val="44"/>
      <w:sz w:val="24"/>
      <w:szCs w:val="30"/>
    </w:rPr>
  </w:style>
  <w:style w:type="paragraph" w:styleId="3">
    <w:name w:val="heading 2"/>
    <w:next w:val="1"/>
    <w:autoRedefine/>
    <w:unhideWhenUsed/>
    <w:qFormat/>
    <w:uiPriority w:val="0"/>
    <w:pPr>
      <w:keepNext w:val="0"/>
      <w:keepLines w:val="0"/>
      <w:widowControl w:val="0"/>
      <w:spacing w:beforeAutospacing="0" w:after="120" w:afterAutospacing="0" w:line="360" w:lineRule="auto"/>
      <w:jc w:val="left"/>
      <w:outlineLvl w:val="1"/>
    </w:pPr>
    <w:rPr>
      <w:rFonts w:ascii="Times New Roman" w:hAnsi="Times New Roman" w:eastAsia="宋体" w:cs="Times New Roman"/>
      <w:b/>
      <w:sz w:val="24"/>
    </w:rPr>
  </w:style>
  <w:style w:type="paragraph" w:styleId="4">
    <w:name w:val="heading 3"/>
    <w:next w:val="1"/>
    <w:unhideWhenUsed/>
    <w:qFormat/>
    <w:uiPriority w:val="0"/>
    <w:pPr>
      <w:keepNext w:val="0"/>
      <w:keepLines w:val="0"/>
      <w:widowControl w:val="0"/>
      <w:spacing w:beforeAutospacing="0" w:after="120" w:afterAutospacing="0" w:line="360" w:lineRule="auto"/>
      <w:jc w:val="left"/>
      <w:outlineLvl w:val="2"/>
    </w:pPr>
    <w:rPr>
      <w:rFonts w:ascii="Times New Roman" w:hAnsi="Times New Roman" w:eastAsia="宋体" w:cs="Times New Roman"/>
      <w:b/>
      <w:sz w:val="24"/>
    </w:rPr>
  </w:style>
  <w:style w:type="paragraph" w:styleId="5">
    <w:name w:val="heading 4"/>
    <w:next w:val="1"/>
    <w:semiHidden/>
    <w:unhideWhenUsed/>
    <w:qFormat/>
    <w:uiPriority w:val="0"/>
    <w:pPr>
      <w:keepNext w:val="0"/>
      <w:keepLines w:val="0"/>
      <w:widowControl w:val="0"/>
      <w:spacing w:beforeAutospacing="0" w:after="120" w:afterAutospacing="0" w:line="360" w:lineRule="auto"/>
      <w:outlineLvl w:val="3"/>
    </w:pPr>
    <w:rPr>
      <w:rFonts w:ascii="Times New Roman" w:hAnsi="Times New Roman" w:eastAsia="宋体" w:cs="Times New Roman"/>
      <w:sz w:val="24"/>
    </w:rPr>
  </w:style>
  <w:style w:type="paragraph" w:styleId="6">
    <w:name w:val="heading 5"/>
    <w:next w:val="1"/>
    <w:semiHidden/>
    <w:unhideWhenUsed/>
    <w:qFormat/>
    <w:uiPriority w:val="0"/>
    <w:pPr>
      <w:keepNext w:val="0"/>
      <w:keepLines w:val="0"/>
      <w:widowControl w:val="0"/>
      <w:spacing w:beforeLines="0" w:beforeAutospacing="0" w:after="120" w:afterLines="0" w:afterAutospacing="0" w:line="440" w:lineRule="exact"/>
      <w:jc w:val="left"/>
      <w:outlineLvl w:val="4"/>
    </w:pPr>
    <w:rPr>
      <w:rFonts w:ascii="Times New Roman" w:hAnsi="Times New Roman" w:eastAsia="宋体" w:cs="Times New Roman"/>
      <w:sz w:val="24"/>
    </w:rPr>
  </w:style>
  <w:style w:type="paragraph" w:styleId="7">
    <w:name w:val="heading 6"/>
    <w:next w:val="1"/>
    <w:semiHidden/>
    <w:unhideWhenUsed/>
    <w:qFormat/>
    <w:uiPriority w:val="0"/>
    <w:pPr>
      <w:keepNext w:val="0"/>
      <w:keepLines w:val="0"/>
      <w:widowControl w:val="0"/>
      <w:spacing w:beforeLines="0" w:beforeAutospacing="0" w:after="120" w:afterLines="0" w:afterAutospacing="0" w:line="360" w:lineRule="auto"/>
      <w:jc w:val="left"/>
      <w:outlineLvl w:val="5"/>
    </w:pPr>
    <w:rPr>
      <w:rFonts w:ascii="Times New Roman" w:hAnsi="Times New Roman" w:eastAsia="宋体" w:cs="Times New Roman"/>
      <w:sz w:val="24"/>
    </w:rPr>
  </w:style>
  <w:style w:type="paragraph" w:styleId="8">
    <w:name w:val="heading 7"/>
    <w:next w:val="1"/>
    <w:semiHidden/>
    <w:unhideWhenUsed/>
    <w:qFormat/>
    <w:uiPriority w:val="0"/>
    <w:pPr>
      <w:keepNext w:val="0"/>
      <w:keepLines w:val="0"/>
      <w:widowControl w:val="0"/>
      <w:spacing w:beforeLines="0" w:beforeAutospacing="0" w:after="120" w:afterLines="0" w:afterAutospacing="0" w:line="360" w:lineRule="auto"/>
      <w:jc w:val="left"/>
      <w:outlineLvl w:val="6"/>
    </w:pPr>
    <w:rPr>
      <w:rFonts w:ascii="Times New Roman" w:hAnsi="Times New Roman" w:eastAsia="宋体" w:cs="Times New Roman"/>
      <w:sz w:val="24"/>
    </w:rPr>
  </w:style>
  <w:style w:type="paragraph" w:styleId="9">
    <w:name w:val="heading 8"/>
    <w:next w:val="1"/>
    <w:semiHidden/>
    <w:unhideWhenUsed/>
    <w:qFormat/>
    <w:uiPriority w:val="0"/>
    <w:pPr>
      <w:keepNext w:val="0"/>
      <w:keepLines w:val="0"/>
      <w:widowControl w:val="0"/>
      <w:spacing w:beforeLines="0" w:beforeAutospacing="0" w:after="120" w:afterLines="0" w:afterAutospacing="0" w:line="360" w:lineRule="auto"/>
      <w:jc w:val="left"/>
      <w:outlineLvl w:val="7"/>
    </w:pPr>
    <w:rPr>
      <w:rFonts w:ascii="Times New Roman" w:hAnsi="Times New Roman" w:eastAsia="宋体" w:cs="Times New Roman"/>
      <w:sz w:val="24"/>
    </w:rPr>
  </w:style>
  <w:style w:type="paragraph" w:styleId="10">
    <w:name w:val="heading 9"/>
    <w:next w:val="1"/>
    <w:semiHidden/>
    <w:unhideWhenUsed/>
    <w:qFormat/>
    <w:uiPriority w:val="0"/>
    <w:pPr>
      <w:keepNext w:val="0"/>
      <w:keepLines w:val="0"/>
      <w:widowControl w:val="0"/>
      <w:spacing w:beforeLines="0" w:beforeAutospacing="0" w:after="120" w:afterLines="0" w:afterAutospacing="0" w:line="360" w:lineRule="auto"/>
      <w:jc w:val="left"/>
      <w:outlineLvl w:val="8"/>
    </w:pPr>
    <w:rPr>
      <w:rFonts w:ascii="Times New Roman" w:hAnsi="Times New Roman" w:eastAsia="宋体" w:cs="Times New Roman"/>
      <w:sz w:val="24"/>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11">
    <w:name w:val="Normal Indent"/>
    <w:basedOn w:val="1"/>
    <w:qFormat/>
    <w:uiPriority w:val="0"/>
    <w:pPr>
      <w:keepNext w:val="0"/>
      <w:keepLines w:val="0"/>
      <w:widowControl/>
      <w:suppressLineNumbers w:val="0"/>
      <w:spacing w:before="0" w:beforeAutospacing="0" w:after="0" w:afterAutospacing="0" w:line="400" w:lineRule="exact"/>
      <w:ind w:left="0" w:right="0" w:firstLine="420"/>
      <w:jc w:val="both"/>
    </w:pPr>
    <w:rPr>
      <w:rFonts w:hint="default" w:ascii="Calibri Light" w:hAnsi="Calibri Light" w:eastAsia="华文仿宋" w:cs="Calibri Light"/>
      <w:kern w:val="2"/>
      <w:sz w:val="28"/>
      <w:szCs w:val="28"/>
      <w:lang w:val="en-US" w:eastAsia="zh-CN" w:bidi="ar"/>
    </w:rPr>
  </w:style>
  <w:style w:type="paragraph" w:styleId="12">
    <w:name w:val="Body Text"/>
    <w:basedOn w:val="1"/>
    <w:autoRedefine/>
    <w:semiHidden/>
    <w:qFormat/>
    <w:uiPriority w:val="0"/>
    <w:pPr>
      <w:widowControl w:val="0"/>
      <w:spacing w:after="120" w:afterAutospacing="0" w:line="360" w:lineRule="auto"/>
      <w:ind w:firstLine="420" w:firstLineChars="200"/>
    </w:pPr>
    <w:rPr>
      <w:rFonts w:ascii="Times New Roman" w:hAnsi="Times New Roman" w:eastAsia="宋体" w:cs="Times New Roman"/>
      <w:sz w:val="24"/>
    </w:rPr>
  </w:style>
  <w:style w:type="paragraph" w:styleId="13">
    <w:name w:val="Body Text Indent"/>
    <w:basedOn w:val="1"/>
    <w:next w:val="12"/>
    <w:autoRedefine/>
    <w:qFormat/>
    <w:uiPriority w:val="0"/>
    <w:pPr>
      <w:spacing w:after="120" w:afterLines="0" w:afterAutospacing="0"/>
      <w:ind w:left="420" w:leftChars="200"/>
    </w:pPr>
  </w:style>
  <w:style w:type="paragraph" w:styleId="14">
    <w:name w:val="Plain Text"/>
    <w:basedOn w:val="1"/>
    <w:autoRedefine/>
    <w:qFormat/>
    <w:uiPriority w:val="0"/>
    <w:pPr>
      <w:keepNext w:val="0"/>
      <w:keepLines w:val="0"/>
      <w:widowControl/>
      <w:suppressLineNumbers w:val="0"/>
      <w:spacing w:before="0" w:beforeAutospacing="0" w:after="0" w:afterAutospacing="0" w:line="324" w:lineRule="auto"/>
      <w:ind w:left="0" w:right="0"/>
      <w:jc w:val="both"/>
    </w:pPr>
    <w:rPr>
      <w:rFonts w:hint="eastAsia" w:ascii="宋体" w:hAnsi="Courier New" w:eastAsia="华文仿宋" w:cs="Times New Roman"/>
      <w:kern w:val="2"/>
      <w:sz w:val="28"/>
      <w:szCs w:val="21"/>
      <w:lang w:val="en-US" w:eastAsia="zh-CN" w:bidi="ar"/>
    </w:rPr>
  </w:style>
  <w:style w:type="paragraph" w:styleId="15">
    <w:name w:val="Date"/>
    <w:basedOn w:val="1"/>
    <w:next w:val="1"/>
    <w:qFormat/>
    <w:uiPriority w:val="0"/>
    <w:pPr>
      <w:spacing w:line="560" w:lineRule="exact"/>
      <w:ind w:left="0" w:leftChars="0"/>
      <w:jc w:val="left"/>
    </w:p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envelope return"/>
    <w:basedOn w:val="1"/>
    <w:qFormat/>
    <w:uiPriority w:val="0"/>
    <w:pPr>
      <w:snapToGrid w:val="0"/>
    </w:pPr>
    <w:rPr>
      <w:rFonts w:ascii="Arial" w:hAnsi="Arial"/>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Subtitle"/>
    <w:qFormat/>
    <w:uiPriority w:val="0"/>
    <w:pPr>
      <w:widowControl w:val="0"/>
      <w:spacing w:beforeLines="0" w:beforeAutospacing="0" w:after="240" w:afterLines="0" w:afterAutospacing="0" w:line="240" w:lineRule="auto"/>
      <w:jc w:val="center"/>
      <w:outlineLvl w:val="9"/>
    </w:pPr>
    <w:rPr>
      <w:rFonts w:ascii="Times New Roman" w:hAnsi="Times New Roman" w:eastAsia="宋体" w:cs="Times New Roman"/>
      <w:kern w:val="28"/>
      <w:sz w:val="21"/>
    </w:rPr>
  </w:style>
  <w:style w:type="paragraph" w:styleId="20">
    <w:name w:val="Normal (Web)"/>
    <w:basedOn w:val="1"/>
    <w:qFormat/>
    <w:uiPriority w:val="0"/>
    <w:pPr>
      <w:keepNext w:val="0"/>
      <w:keepLines w:val="0"/>
      <w:widowControl/>
      <w:suppressLineNumbers w:val="0"/>
      <w:spacing w:before="0" w:beforeAutospacing="1" w:after="0" w:afterAutospacing="1" w:line="400" w:lineRule="exact"/>
      <w:ind w:left="0" w:right="0"/>
      <w:jc w:val="left"/>
    </w:pPr>
    <w:rPr>
      <w:rFonts w:hint="default" w:ascii="Calibri Light" w:hAnsi="Calibri Light" w:eastAsia="华文仿宋" w:cs="Times New Roman"/>
      <w:kern w:val="0"/>
      <w:sz w:val="24"/>
      <w:szCs w:val="28"/>
      <w:lang w:val="en-US" w:eastAsia="zh-CN" w:bidi="ar"/>
    </w:rPr>
  </w:style>
  <w:style w:type="paragraph" w:styleId="21">
    <w:name w:val="Title"/>
    <w:qFormat/>
    <w:uiPriority w:val="0"/>
    <w:pPr>
      <w:spacing w:before="240" w:beforeAutospacing="0" w:after="240" w:afterAutospacing="0" w:line="240" w:lineRule="auto"/>
      <w:jc w:val="center"/>
      <w:outlineLvl w:val="9"/>
    </w:pPr>
    <w:rPr>
      <w:rFonts w:ascii="Times New Roman" w:hAnsi="Times New Roman" w:eastAsia="宋体" w:cs="Times New Roman"/>
      <w:b/>
      <w:sz w:val="32"/>
    </w:rPr>
  </w:style>
  <w:style w:type="paragraph" w:styleId="22">
    <w:name w:val="Body Text First Indent"/>
    <w:basedOn w:val="12"/>
    <w:next w:val="1"/>
    <w:qFormat/>
    <w:uiPriority w:val="0"/>
    <w:pPr>
      <w:keepNext w:val="0"/>
      <w:keepLines w:val="0"/>
      <w:widowControl/>
      <w:suppressLineNumbers w:val="0"/>
      <w:spacing w:before="0" w:beforeAutospacing="0" w:after="0" w:afterAutospacing="0" w:line="240" w:lineRule="auto"/>
      <w:ind w:left="0" w:right="0" w:firstLine="420" w:firstLineChars="100"/>
      <w:jc w:val="both"/>
    </w:pPr>
    <w:rPr>
      <w:rFonts w:hint="default" w:ascii="Times New Roman" w:hAnsi="Times New Roman" w:eastAsia="华文仿宋" w:cs="Calibri Light"/>
      <w:kern w:val="2"/>
      <w:sz w:val="18"/>
      <w:szCs w:val="18"/>
      <w:lang w:val="en-US" w:eastAsia="zh-CN" w:bidi="ar"/>
    </w:rPr>
  </w:style>
  <w:style w:type="paragraph" w:styleId="23">
    <w:name w:val="Body Text First Indent 2"/>
    <w:basedOn w:val="13"/>
    <w:next w:val="1"/>
    <w:autoRedefine/>
    <w:qFormat/>
    <w:uiPriority w:val="0"/>
    <w:pPr>
      <w:keepNext w:val="0"/>
      <w:keepLines w:val="0"/>
      <w:widowControl/>
      <w:suppressLineNumbers w:val="0"/>
      <w:spacing w:before="0" w:beforeAutospacing="0" w:after="0" w:afterAutospacing="0" w:line="360" w:lineRule="auto"/>
      <w:ind w:left="0" w:right="0" w:firstLine="420" w:firstLineChars="200"/>
      <w:jc w:val="both"/>
    </w:pPr>
    <w:rPr>
      <w:rFonts w:hint="eastAsia" w:ascii="仿宋_GB2312" w:hAnsi="Calibri" w:eastAsia="宋体" w:cs="Times New Roman"/>
      <w:kern w:val="2"/>
      <w:sz w:val="24"/>
      <w:szCs w:val="28"/>
      <w:lang w:val="en-US" w:eastAsia="zh-CN" w:bidi="ar"/>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Table Text"/>
    <w:basedOn w:val="1"/>
    <w:autoRedefine/>
    <w:semiHidden/>
    <w:qFormat/>
    <w:uiPriority w:val="0"/>
    <w:rPr>
      <w:rFonts w:ascii="宋体" w:hAnsi="宋体" w:eastAsia="宋体" w:cs="宋体"/>
      <w:sz w:val="28"/>
      <w:szCs w:val="28"/>
      <w:lang w:val="en-US" w:eastAsia="en-US" w:bidi="ar-SA"/>
    </w:rPr>
  </w:style>
  <w:style w:type="paragraph" w:customStyle="1" w:styleId="30">
    <w:name w:val="正文（缩进 2 字符）"/>
    <w:basedOn w:val="1"/>
    <w:autoRedefine/>
    <w:qFormat/>
    <w:uiPriority w:val="0"/>
    <w:pPr>
      <w:keepNext w:val="0"/>
      <w:keepLines w:val="0"/>
      <w:widowControl/>
      <w:suppressLineNumbers w:val="0"/>
      <w:spacing w:before="0" w:beforeAutospacing="0" w:after="0" w:afterAutospacing="0" w:line="400" w:lineRule="exact"/>
      <w:ind w:left="0" w:right="0" w:firstLine="200" w:firstLineChars="200"/>
      <w:jc w:val="both"/>
    </w:pPr>
    <w:rPr>
      <w:rFonts w:hint="default" w:ascii="Calibri Light" w:hAnsi="Calibri Light" w:eastAsia="华文仿宋" w:cs="Calibri Light"/>
      <w:kern w:val="2"/>
      <w:sz w:val="28"/>
      <w:szCs w:val="28"/>
      <w:lang w:val="en-US" w:eastAsia="zh-CN" w:bidi="ar"/>
    </w:rPr>
  </w:style>
  <w:style w:type="paragraph" w:customStyle="1" w:styleId="31">
    <w:name w:val="※正文"/>
    <w:basedOn w:val="1"/>
    <w:next w:val="1"/>
    <w:autoRedefine/>
    <w:qFormat/>
    <w:uiPriority w:val="0"/>
    <w:pPr>
      <w:widowControl/>
      <w:wordWrap w:val="0"/>
      <w:spacing w:line="400" w:lineRule="exact"/>
    </w:pPr>
    <w:rPr>
      <w:rFonts w:ascii="Calibri Light" w:hAnsi="Calibri Light" w:eastAsia="华文仿宋"/>
      <w:sz w:val="28"/>
      <w:szCs w:val="28"/>
    </w:rPr>
  </w:style>
  <w:style w:type="paragraph" w:customStyle="1" w:styleId="32">
    <w:name w:val="正文缩进1"/>
    <w:basedOn w:val="1"/>
    <w:autoRedefine/>
    <w:qFormat/>
    <w:uiPriority w:val="0"/>
    <w:pPr>
      <w:ind w:firstLine="420" w:firstLineChars="200"/>
    </w:pPr>
  </w:style>
  <w:style w:type="paragraph" w:customStyle="1" w:styleId="33">
    <w:name w:val="首行缩进"/>
    <w:basedOn w:val="1"/>
    <w:autoRedefine/>
    <w:qFormat/>
    <w:uiPriority w:val="0"/>
    <w:pPr>
      <w:spacing w:line="360" w:lineRule="auto"/>
      <w:ind w:firstLine="480" w:firstLineChars="200"/>
    </w:pPr>
    <w:rPr>
      <w:sz w:val="24"/>
      <w:szCs w:val="22"/>
      <w:lang w:val="zh-CN"/>
    </w:rPr>
  </w:style>
  <w:style w:type="paragraph" w:customStyle="1" w:styleId="34">
    <w:name w:val="页脚1"/>
    <w:basedOn w:val="1"/>
    <w:autoRedefine/>
    <w:qFormat/>
    <w:uiPriority w:val="0"/>
    <w:pPr>
      <w:tabs>
        <w:tab w:val="center" w:pos="4153"/>
        <w:tab w:val="right" w:pos="8306"/>
      </w:tabs>
      <w:snapToGrid w:val="0"/>
      <w:jc w:val="left"/>
    </w:pPr>
    <w:rPr>
      <w:rFonts w:ascii="Calibri Light" w:hAnsi="Calibri Light" w:eastAsia="华文仿宋"/>
      <w:sz w:val="18"/>
      <w:szCs w:val="28"/>
    </w:rPr>
  </w:style>
  <w:style w:type="paragraph" w:customStyle="1" w:styleId="35">
    <w:name w:val="页眉1"/>
    <w:basedOn w:val="1"/>
    <w:next w:val="18"/>
    <w:autoRedefine/>
    <w:qFormat/>
    <w:uiPriority w:val="0"/>
    <w:pPr>
      <w:pBdr>
        <w:bottom w:val="single" w:color="auto" w:sz="6" w:space="1"/>
      </w:pBdr>
      <w:tabs>
        <w:tab w:val="center" w:pos="4153"/>
        <w:tab w:val="right" w:pos="8306"/>
      </w:tabs>
      <w:snapToGrid w:val="0"/>
      <w:jc w:val="center"/>
    </w:pPr>
    <w:rPr>
      <w:rFonts w:ascii="Calibri Light" w:hAnsi="Calibri Light" w:eastAsia="华文仿宋"/>
      <w:sz w:val="18"/>
      <w:szCs w:val="28"/>
    </w:rPr>
  </w:style>
  <w:style w:type="paragraph" w:customStyle="1" w:styleId="36">
    <w:name w:val="WPSOffice手动目录 1"/>
    <w:autoRedefine/>
    <w:qFormat/>
    <w:uiPriority w:val="0"/>
    <w:pPr>
      <w:ind w:leftChars="0"/>
    </w:pPr>
    <w:rPr>
      <w:rFonts w:ascii="Arial" w:hAnsi="Arial" w:eastAsia="Arial" w:cs="Arial"/>
      <w:sz w:val="20"/>
      <w:szCs w:val="20"/>
    </w:rPr>
  </w:style>
  <w:style w:type="paragraph" w:customStyle="1" w:styleId="37">
    <w:name w:val="WPSOffice手动目录 2"/>
    <w:autoRedefine/>
    <w:qFormat/>
    <w:uiPriority w:val="0"/>
    <w:pPr>
      <w:ind w:leftChars="200"/>
    </w:pPr>
    <w:rPr>
      <w:rFonts w:ascii="Arial" w:hAnsi="Arial" w:eastAsia="Arial" w:cs="Arial"/>
      <w:sz w:val="20"/>
      <w:szCs w:val="20"/>
    </w:rPr>
  </w:style>
  <w:style w:type="paragraph" w:customStyle="1" w:styleId="38">
    <w:name w:val="WPSOffice手动目录 3"/>
    <w:autoRedefine/>
    <w:qFormat/>
    <w:uiPriority w:val="0"/>
    <w:pPr>
      <w:ind w:leftChars="400"/>
    </w:pPr>
    <w:rPr>
      <w:rFonts w:ascii="Arial" w:hAnsi="Arial" w:eastAsia="Arial" w:cs="Arial"/>
      <w:sz w:val="20"/>
      <w:szCs w:val="20"/>
    </w:rPr>
  </w:style>
  <w:style w:type="paragraph" w:customStyle="1" w:styleId="39">
    <w:name w:val="正文_2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font41"/>
    <w:basedOn w:val="26"/>
    <w:qFormat/>
    <w:uiPriority w:val="0"/>
    <w:rPr>
      <w:rFonts w:hint="eastAsia" w:ascii="宋体" w:hAnsi="宋体" w:eastAsia="宋体" w:cs="宋体"/>
      <w:color w:val="000000"/>
      <w:sz w:val="32"/>
      <w:szCs w:val="32"/>
      <w:u w:val="none"/>
    </w:rPr>
  </w:style>
  <w:style w:type="character" w:customStyle="1" w:styleId="41">
    <w:name w:val="font51"/>
    <w:basedOn w:val="26"/>
    <w:qFormat/>
    <w:uiPriority w:val="0"/>
    <w:rPr>
      <w:rFonts w:hint="eastAsia" w:ascii="楷体" w:hAnsi="楷体" w:eastAsia="楷体" w:cs="楷体"/>
      <w:color w:val="000000"/>
      <w:sz w:val="32"/>
      <w:szCs w:val="32"/>
      <w:u w:val="none"/>
    </w:rPr>
  </w:style>
  <w:style w:type="paragraph" w:customStyle="1" w:styleId="42">
    <w:name w:val="正文文本首行缩进"/>
    <w:basedOn w:val="12"/>
    <w:qFormat/>
    <w:uiPriority w:val="0"/>
    <w:pPr>
      <w:adjustRightInd w:val="0"/>
      <w:ind w:firstLine="420"/>
      <w:jc w:val="left"/>
      <w:textAlignment w:val="baseline"/>
    </w:pPr>
    <w:rPr>
      <w:kern w:val="0"/>
      <w:sz w:val="21"/>
    </w:rPr>
  </w:style>
  <w:style w:type="character" w:customStyle="1" w:styleId="43">
    <w:name w:val="font111"/>
    <w:basedOn w:val="26"/>
    <w:qFormat/>
    <w:uiPriority w:val="0"/>
    <w:rPr>
      <w:rFonts w:ascii="微软雅黑" w:hAnsi="微软雅黑" w:eastAsia="微软雅黑" w:cs="微软雅黑"/>
      <w:color w:val="030303"/>
      <w:sz w:val="24"/>
      <w:szCs w:val="24"/>
      <w:u w:val="none"/>
    </w:rPr>
  </w:style>
  <w:style w:type="character" w:customStyle="1" w:styleId="44">
    <w:name w:val="font61"/>
    <w:basedOn w:val="26"/>
    <w:qFormat/>
    <w:uiPriority w:val="0"/>
    <w:rPr>
      <w:rFonts w:hint="eastAsia" w:ascii="微软雅黑" w:hAnsi="微软雅黑" w:eastAsia="微软雅黑" w:cs="微软雅黑"/>
      <w:color w:val="333333"/>
      <w:sz w:val="18"/>
      <w:szCs w:val="18"/>
      <w:u w:val="none"/>
    </w:rPr>
  </w:style>
  <w:style w:type="character" w:customStyle="1" w:styleId="45">
    <w:name w:val="font71"/>
    <w:basedOn w:val="26"/>
    <w:qFormat/>
    <w:uiPriority w:val="0"/>
    <w:rPr>
      <w:rFonts w:hint="eastAsia" w:ascii="微软雅黑" w:hAnsi="微软雅黑" w:eastAsia="微软雅黑" w:cs="微软雅黑"/>
      <w:color w:val="000000"/>
      <w:sz w:val="18"/>
      <w:szCs w:val="18"/>
      <w:u w:val="none"/>
    </w:rPr>
  </w:style>
  <w:style w:type="character" w:customStyle="1" w:styleId="46">
    <w:name w:val="font122"/>
    <w:basedOn w:val="26"/>
    <w:qFormat/>
    <w:uiPriority w:val="0"/>
    <w:rPr>
      <w:rFonts w:hint="eastAsia" w:ascii="微软雅黑" w:hAnsi="微软雅黑" w:eastAsia="微软雅黑" w:cs="微软雅黑"/>
      <w:color w:val="000000"/>
      <w:sz w:val="18"/>
      <w:szCs w:val="18"/>
      <w:u w:val="none"/>
    </w:rPr>
  </w:style>
  <w:style w:type="character" w:customStyle="1" w:styleId="47">
    <w:name w:val="font131"/>
    <w:basedOn w:val="26"/>
    <w:qFormat/>
    <w:uiPriority w:val="0"/>
    <w:rPr>
      <w:rFonts w:hint="eastAsia" w:ascii="微软雅黑" w:hAnsi="微软雅黑" w:eastAsia="微软雅黑" w:cs="微软雅黑"/>
      <w:color w:val="030303"/>
      <w:sz w:val="16"/>
      <w:szCs w:val="16"/>
      <w:u w:val="none"/>
    </w:rPr>
  </w:style>
  <w:style w:type="paragraph" w:customStyle="1" w:styleId="48">
    <w:name w:val="附录标题"/>
    <w:next w:val="1"/>
    <w:uiPriority w:val="0"/>
    <w:pPr>
      <w:keepNext w:val="0"/>
      <w:keepLines w:val="0"/>
      <w:widowControl w:val="0"/>
      <w:spacing w:after="240" w:line="240" w:lineRule="auto"/>
      <w:jc w:val="left"/>
      <w:outlineLvl w:val="0"/>
    </w:pPr>
    <w:rPr>
      <w:rFonts w:ascii="Times New Roman" w:hAnsi="Times New Roman" w:eastAsia="宋体" w:cs="Times New Roman"/>
      <w:b/>
      <w:sz w:val="24"/>
    </w:rPr>
  </w:style>
  <w:style w:type="paragraph" w:customStyle="1" w:styleId="49">
    <w:name w:val="章前标题"/>
    <w:next w:val="1"/>
    <w:uiPriority w:val="0"/>
    <w:pPr>
      <w:keepNext w:val="0"/>
      <w:keepLines w:val="0"/>
      <w:pageBreakBefore w:val="0"/>
      <w:widowControl w:val="0"/>
      <w:kinsoku/>
      <w:wordWrap/>
      <w:overflowPunct/>
      <w:topLinePunct w:val="0"/>
      <w:autoSpaceDE/>
      <w:autoSpaceDN/>
      <w:bidi w:val="0"/>
      <w:adjustRightInd/>
      <w:spacing w:before="240" w:after="240" w:line="240" w:lineRule="auto"/>
      <w:jc w:val="center"/>
      <w:textAlignment w:val="auto"/>
      <w:outlineLvl w:val="9"/>
    </w:pPr>
    <w:rPr>
      <w:rFonts w:ascii="黑体" w:hAnsi="黑体" w:eastAsia="黑体" w:cs="黑体"/>
      <w:kern w:val="44"/>
      <w:sz w:val="32"/>
      <w:szCs w:val="36"/>
    </w:rPr>
  </w:style>
  <w:style w:type="paragraph" w:customStyle="1" w:styleId="50">
    <w:name w:val="章节标题"/>
    <w:next w:val="1"/>
    <w:qFormat/>
    <w:uiPriority w:val="0"/>
    <w:pPr>
      <w:pageBreakBefore w:val="0"/>
      <w:widowControl w:val="0"/>
      <w:spacing w:before="240" w:beforeLines="0" w:after="240" w:line="240" w:lineRule="auto"/>
      <w:jc w:val="center"/>
      <w:outlineLvl w:val="0"/>
    </w:pPr>
    <w:rPr>
      <w:rFonts w:ascii="Times New Roman" w:hAnsi="Times New Roman" w:eastAsia="黑体" w:cs="Times New Roman"/>
      <w:kern w:val="44"/>
      <w:sz w:val="32"/>
      <w:szCs w:val="36"/>
    </w:rPr>
  </w:style>
  <w:style w:type="paragraph" w:customStyle="1" w:styleId="51">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52">
    <w:name w:val="表格标题"/>
    <w:next w:val="1"/>
    <w:uiPriority w:val="0"/>
    <w:pPr>
      <w:widowControl w:val="0"/>
      <w:spacing w:before="240" w:after="240" w:line="240" w:lineRule="auto"/>
      <w:jc w:val="center"/>
    </w:pPr>
    <w:rPr>
      <w:rFonts w:ascii="宋体" w:hAnsi="宋体" w:eastAsia="宋体" w:cs="宋体"/>
      <w:b/>
      <w:sz w:val="24"/>
      <w:szCs w:val="22"/>
    </w:rPr>
  </w:style>
  <w:style w:type="paragraph" w:customStyle="1" w:styleId="53">
    <w:name w:val="内嵌文档标题2"/>
    <w:next w:val="1"/>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78</Pages>
  <Words>11016</Words>
  <Characters>11445</Characters>
  <TotalTime>7</TotalTime>
  <ScaleCrop>false</ScaleCrop>
  <LinksUpToDate>false</LinksUpToDate>
  <CharactersWithSpaces>11502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2024-04-15T17:43:00Z</dcterms:created>
  <dc:creator>商振华</dc:creator>
  <cp:lastModifiedBy>标书制作</cp:lastModifiedBy>
  <cp:lastPrinted>2025-03-20T10:16:00Z</cp:lastPrinted>
  <dcterms:modified xsi:type="dcterms:W3CDTF">2025-08-26T06:35:34Z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2024-04-17T10:34:58Z</vt:filetime>
  </property>
  <property fmtid="{D5CDD505-2E9C-101B-9397-08002B2CF9AE}" pid="4" name="KSOProductBuildVer">
    <vt:lpwstr>2052-12.1.0.22529</vt:lpwstr>
  </property>
  <property fmtid="{D5CDD505-2E9C-101B-9397-08002B2CF9AE}" pid="5" name="ICV">
    <vt:lpwstr>E639007B956E456F80763A7AE8A764C2_12</vt:lpwstr>
  </property>
  <property fmtid="{D5CDD505-2E9C-101B-9397-08002B2CF9AE}" pid="6" name="KSOTemplateDocerSaveRecord">
    <vt:lpwstr>eyJoZGlkIjoiMmIzMzhjMDJkOTgyZjRkOGE5MmRjZmMyYTQxNTY0NzIiLCJ1c2VySWQiOiIxMjgyOTIxNjU0In0=</vt:lpwstr>
  </property>
</Properties>
</file>