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7B27">
      <w:pPr>
        <w:pStyle w:val="4"/>
        <w:ind w:left="480"/>
        <w:jc w:val="both"/>
      </w:pPr>
      <w:r>
        <w:rPr>
          <w:rFonts w:ascii="仿宋_GB2312" w:hAnsi="仿宋_GB2312" w:eastAsia="仿宋_GB2312" w:cs="仿宋_GB2312"/>
          <w:b/>
          <w:sz w:val="24"/>
        </w:rPr>
        <w:t>一、项目概况</w:t>
      </w:r>
    </w:p>
    <w:p w14:paraId="317C45F9">
      <w:pPr>
        <w:pStyle w:val="4"/>
        <w:ind w:left="420" w:firstLine="420"/>
        <w:jc w:val="both"/>
      </w:pPr>
      <w:r>
        <w:rPr>
          <w:rFonts w:ascii="仿宋_GB2312" w:hAnsi="仿宋_GB2312" w:eastAsia="仿宋_GB2312" w:cs="仿宋_GB2312"/>
          <w:sz w:val="24"/>
        </w:rPr>
        <w:t>为贯彻、落实国家健康体检工作的相关规定，对采购人辅警进行健康体检，全面掌握全体辅警健康状况。</w:t>
      </w:r>
    </w:p>
    <w:p w14:paraId="77CBB46D">
      <w:pPr>
        <w:pStyle w:val="4"/>
        <w:ind w:firstLine="723" w:firstLineChars="300"/>
        <w:jc w:val="both"/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sz w:val="24"/>
        </w:rPr>
        <w:t>、服务要求</w:t>
      </w:r>
    </w:p>
    <w:p w14:paraId="76067D2F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sz w:val="24"/>
        </w:rPr>
        <w:t>1、技术指标及要求</w:t>
      </w:r>
    </w:p>
    <w:p w14:paraId="1553F3DD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sz w:val="24"/>
        </w:rPr>
        <w:t>（1）可为采购人辅警开通“绿色通道”，包括急诊优先接诊、挂号缴费优先、检查治疗优先、住院床位优先等相关服务；</w:t>
      </w:r>
    </w:p>
    <w:p w14:paraId="168A7FA7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sz w:val="24"/>
        </w:rPr>
        <w:t>（2）建立健康档案联动机制，体检完成后向采购人反馈辅警体检异常情况，日后就医过程中有重大、传染类、精神类疾病隐患及时通报采购人，便于提前介入干预；</w:t>
      </w:r>
    </w:p>
    <w:p w14:paraId="37DD1DEE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sz w:val="24"/>
        </w:rPr>
        <w:t>（3）供应商加入可拓展服务内容，安排精神心理科专家在年度内向采购人安排1-2次免费心理健康讲座，开通心理健康咨询专线等。</w:t>
      </w:r>
    </w:p>
    <w:p w14:paraId="36DEA338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sz w:val="24"/>
        </w:rPr>
        <w:t>（4）按照采购人要求，对全体辅警开展常规体检，按照约定开展特检、女职工特殊检查。</w:t>
      </w:r>
    </w:p>
    <w:p w14:paraId="0FA324B7"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（5）供应商须按人出具体检报告，并于正式报告形成后20日内送至采购人指定地点。</w:t>
      </w:r>
    </w:p>
    <w:p w14:paraId="1C16BCE7">
      <w:pPr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具体采购内容详见采购文件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41322"/>
    <w:rsid w:val="057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2025-08-29T08:57:00Z</dcterms:created>
  <dc:creator>Administrator</dc:creator>
  <cp:lastModifiedBy>Administrator</cp:lastModifiedBy>
  <dcterms:modified xsi:type="dcterms:W3CDTF">2025-08-29T08:58:22Z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96FBFE423E6E4726A9CF2855E6EBE89D_11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