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04"/>
        <w:gridCol w:w="2019"/>
        <w:gridCol w:w="1327"/>
        <w:gridCol w:w="853"/>
        <w:gridCol w:w="493"/>
        <w:gridCol w:w="1356"/>
      </w:tblGrid>
      <w:tr w14:paraId="5455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现有仪器品牌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现有仪器机型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</w:tr>
      <w:tr w14:paraId="3FED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2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DIL-A稀释液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20L/箱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B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81B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LYA-1溶血剂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7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3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19B2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LYA-2溶血剂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C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6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165E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LYA-3溶血剂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7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42AC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9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F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CRP试剂盒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4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2F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69A8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4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7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284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C1F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质控品DM-5D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高值3ml*1/支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C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48C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3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校准品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3ml/支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C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0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1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清洁液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CLE-P50ml/瓶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帝迈D7-CRP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4C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0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促甲状腺素测定试剂盒（磁微粒化学发光法）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新产业发光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 w14:paraId="2749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F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葡萄糖检测试剂盒（氧化酶法）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240mL（试剂1:4×40mL+试剂2:4×20mL）;校准品:1×1mL/盒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F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美康MS-480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F23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6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淋球菌抗原检测试剂盒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F6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C7A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多项生化质控品-水平2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6*5.0ml/盒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 w14:paraId="30BF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多项生化质控品-水平2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A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6*5.0ml/盒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F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 w14:paraId="254D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C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沙眼衣原体抗原检测试剂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E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7460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抗A抗B血型定型试剂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2支/盒(10ml/支)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7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2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 w14:paraId="42AD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卡式血型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中山生科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医学检验多功能离心机TD-2Y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1F3C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一次性使用生化样品杯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500只/包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5701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B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促凝管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100支/板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701D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EDTA-K2抗凝管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100支/板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768B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一次性使用静脉血样采集针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100支/袋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9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C97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玻片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713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一次性使用离心管（子弹头）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500个/袋（1.5ml/个）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357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枪头（小）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500支/包(6*52)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9F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尿杯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500只/包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E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FF6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一次性使用试管15×100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7D9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显微镜擦镜纸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50张/本（10*15cm）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F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1本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629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乙肝五项检测卡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137.5</w:t>
            </w:r>
          </w:p>
        </w:tc>
      </w:tr>
      <w:tr w14:paraId="1469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梅毒纸条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140D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宫内病毒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20T/盒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0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0B11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H系列尿液分析仪清洗液（浓缩型）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436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D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H11-800尿液分析试纸条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100T/筒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3F0C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香柏油（显微镜用）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3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AD8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尿液干化学分析质控物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4*8ml/盒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长春迪瑞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H-800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</w:tbl>
    <w:p w14:paraId="72590ECC">
      <w:pPr>
        <w:pStyle w:val="4"/>
        <w:rPr>
          <w:rFonts w:hint="default"/>
          <w:color w:val="auto"/>
          <w:lang w:eastAsia="zh-CN"/>
        </w:rPr>
      </w:pPr>
      <w:r>
        <w:rPr>
          <w:color w:val="auto"/>
          <w:lang w:eastAsia="zh-CN"/>
        </w:rPr>
        <w:t>注：</w:t>
      </w:r>
    </w:p>
    <w:p w14:paraId="1A705FA3">
      <w:pPr>
        <w:pStyle w:val="4"/>
        <w:numPr>
          <w:ilvl w:val="0"/>
          <w:numId w:val="1"/>
        </w:numPr>
        <w:rPr>
          <w:rFonts w:hint="default"/>
          <w:color w:val="auto"/>
          <w:lang w:eastAsia="zh-CN"/>
        </w:rPr>
      </w:pPr>
      <w:r>
        <w:rPr>
          <w:color w:val="auto"/>
          <w:lang w:eastAsia="zh-CN"/>
        </w:rPr>
        <w:t>本项目谈判响应总报价为</w:t>
      </w:r>
      <w:r>
        <w:rPr>
          <w:rFonts w:hint="eastAsia"/>
          <w:color w:val="auto"/>
          <w:lang w:val="en-US" w:eastAsia="zh-CN"/>
        </w:rPr>
        <w:t>35</w:t>
      </w:r>
      <w:r>
        <w:rPr>
          <w:color w:val="auto"/>
          <w:lang w:eastAsia="zh-CN"/>
        </w:rPr>
        <w:t>项产品单价之和，即综合单价；</w:t>
      </w:r>
    </w:p>
    <w:p w14:paraId="07C8EFDE">
      <w:pPr>
        <w:pStyle w:val="4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color w:val="auto"/>
          <w:lang w:eastAsia="zh-CN"/>
        </w:rPr>
        <w:t>、各产品单项报价不得超过单价最高限价，否则按废标处理。</w:t>
      </w:r>
    </w:p>
    <w:p w14:paraId="725950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50A0C"/>
    <w:multiLevelType w:val="multilevel"/>
    <w:tmpl w:val="1A450A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2025-08-29T10:10:17Z</dcterms:created>
  <dc:creator>Administrator</dc:creator>
  <cp:lastModifiedBy>高蕊玲</cp:lastModifiedBy>
  <dcterms:modified xsi:type="dcterms:W3CDTF">2025-08-29T10:10:34Z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703A1D8E48394F50A3763C26374902E4_12</vt:lpwstr>
  </property>
</Properties>
</file>