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7BC75">
      <w:pPr>
        <w:ind w:firstLine="3520" w:firstLineChars="11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采购需求</w:t>
      </w:r>
    </w:p>
    <w:p w14:paraId="45C3C7CE">
      <w:pPr>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6C2A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E671859">
            <w:pPr>
              <w:pStyle w:val="4"/>
            </w:pPr>
            <w:r>
              <w:rPr>
                <w:rFonts w:ascii="仿宋_GB2312" w:hAnsi="仿宋_GB2312" w:eastAsia="仿宋_GB2312" w:cs="仿宋_GB2312"/>
              </w:rPr>
              <w:t xml:space="preserve"> 序号</w:t>
            </w:r>
          </w:p>
        </w:tc>
        <w:tc>
          <w:tcPr>
            <w:tcW w:w="2769" w:type="dxa"/>
          </w:tcPr>
          <w:p w14:paraId="162967A5">
            <w:pPr>
              <w:pStyle w:val="4"/>
            </w:pPr>
            <w:r>
              <w:rPr>
                <w:rFonts w:ascii="仿宋_GB2312" w:hAnsi="仿宋_GB2312" w:eastAsia="仿宋_GB2312" w:cs="仿宋_GB2312"/>
              </w:rPr>
              <w:t xml:space="preserve"> 参数性质</w:t>
            </w:r>
          </w:p>
        </w:tc>
        <w:tc>
          <w:tcPr>
            <w:tcW w:w="2769" w:type="dxa"/>
          </w:tcPr>
          <w:p w14:paraId="03B89D79">
            <w:pPr>
              <w:pStyle w:val="4"/>
            </w:pPr>
            <w:r>
              <w:rPr>
                <w:rFonts w:ascii="仿宋_GB2312" w:hAnsi="仿宋_GB2312" w:eastAsia="仿宋_GB2312" w:cs="仿宋_GB2312"/>
              </w:rPr>
              <w:t xml:space="preserve"> 技术参数与性能指标</w:t>
            </w:r>
          </w:p>
        </w:tc>
      </w:tr>
      <w:tr w14:paraId="1516C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C48AA0">
            <w:pPr>
              <w:pStyle w:val="4"/>
            </w:pPr>
            <w:r>
              <w:rPr>
                <w:rFonts w:ascii="仿宋_GB2312" w:hAnsi="仿宋_GB2312" w:eastAsia="仿宋_GB2312" w:cs="仿宋_GB2312"/>
              </w:rPr>
              <w:t>1</w:t>
            </w:r>
          </w:p>
        </w:tc>
        <w:tc>
          <w:tcPr>
            <w:tcW w:w="2769" w:type="dxa"/>
          </w:tcPr>
          <w:p w14:paraId="3F3F29C4"/>
        </w:tc>
        <w:tc>
          <w:tcPr>
            <w:tcW w:w="2769" w:type="dxa"/>
          </w:tcPr>
          <w:p w14:paraId="04928CB8">
            <w:pPr>
              <w:pStyle w:val="4"/>
            </w:pPr>
            <w:r>
              <w:rPr>
                <w:rFonts w:ascii="仿宋_GB2312" w:hAnsi="仿宋_GB2312" w:eastAsia="仿宋_GB2312" w:cs="仿宋_GB2312"/>
              </w:rPr>
              <w:t xml:space="preserve"> </w:t>
            </w:r>
          </w:p>
          <w:p w14:paraId="7308493A">
            <w:pPr>
              <w:pStyle w:val="4"/>
              <w:jc w:val="both"/>
            </w:pPr>
            <w:r>
              <w:rPr>
                <w:rFonts w:ascii="仿宋_GB2312" w:hAnsi="仿宋_GB2312" w:eastAsia="仿宋_GB2312" w:cs="仿宋_GB2312"/>
                <w:b/>
                <w:sz w:val="21"/>
                <w:shd w:val="clear" w:fill="FFFFFF"/>
              </w:rPr>
              <w:t>1.项目背景</w:t>
            </w:r>
          </w:p>
          <w:p w14:paraId="2204C60B">
            <w:pPr>
              <w:pStyle w:val="4"/>
              <w:jc w:val="both"/>
            </w:pPr>
            <w:r>
              <w:rPr>
                <w:rFonts w:ascii="仿宋_GB2312" w:hAnsi="仿宋_GB2312" w:eastAsia="仿宋_GB2312" w:cs="仿宋_GB2312"/>
                <w:color w:val="000000"/>
                <w:sz w:val="21"/>
              </w:rPr>
              <w:t>为贯彻落实国家信息安全等级保护制度的相关规定，根据信息系统安全等级保护基本要求等技术标准和规范，提高信息系统安全防护水平，落实信息安全等级保护工作，加强信息系统的信息安全管</w:t>
            </w:r>
            <w:r>
              <w:rPr>
                <w:rFonts w:ascii="仿宋_GB2312" w:hAnsi="仿宋_GB2312" w:eastAsia="仿宋_GB2312" w:cs="仿宋_GB2312"/>
                <w:sz w:val="21"/>
              </w:rPr>
              <w:t>理，防范黑客及恶意代码等对信息系统的攻击及侵害，保障信息系统的安全稳定运行，陕西省市场监督管理局组织开展信息系统等级保护测评项目工作。</w:t>
            </w:r>
          </w:p>
          <w:p w14:paraId="1DF9764B">
            <w:pPr>
              <w:pStyle w:val="4"/>
              <w:jc w:val="both"/>
            </w:pPr>
            <w:r>
              <w:rPr>
                <w:rFonts w:ascii="仿宋_GB2312" w:hAnsi="仿宋_GB2312" w:eastAsia="仿宋_GB2312" w:cs="仿宋_GB2312"/>
                <w:b/>
                <w:sz w:val="21"/>
                <w:shd w:val="clear" w:fill="FFFFFF"/>
              </w:rPr>
              <w:t>2.项目内容</w:t>
            </w:r>
          </w:p>
          <w:p w14:paraId="02D9AD63">
            <w:pPr>
              <w:pStyle w:val="4"/>
              <w:jc w:val="both"/>
            </w:pPr>
            <w:r>
              <w:rPr>
                <w:rFonts w:ascii="仿宋_GB2312" w:hAnsi="仿宋_GB2312" w:eastAsia="仿宋_GB2312" w:cs="仿宋_GB2312"/>
                <w:sz w:val="21"/>
                <w:shd w:val="clear" w:fill="FFFFFF"/>
              </w:rPr>
              <w:t>为保障陕西省市场监督管理局的重要网络安全运行，落实《中华人民共和国网络安全法》《信息安全等级保护管理办法》等国家法律法规要求，结合采购人的实际情况，对如下系统开展等级保护测评服务工作。</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0"/>
              <w:gridCol w:w="1313"/>
              <w:gridCol w:w="695"/>
            </w:tblGrid>
            <w:tr w14:paraId="48FC1A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FCF8E77">
                  <w:pPr>
                    <w:pStyle w:val="4"/>
                    <w:jc w:val="center"/>
                  </w:pPr>
                  <w:r>
                    <w:rPr>
                      <w:rFonts w:ascii="仿宋_GB2312" w:hAnsi="仿宋_GB2312" w:eastAsia="仿宋_GB2312" w:cs="仿宋_GB2312"/>
                      <w:sz w:val="21"/>
                    </w:rPr>
                    <w:t>序号</w:t>
                  </w:r>
                </w:p>
              </w:tc>
              <w:tc>
                <w:tcPr>
                  <w:tcW w:w="16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F93281E">
                  <w:pPr>
                    <w:pStyle w:val="4"/>
                    <w:jc w:val="center"/>
                  </w:pPr>
                  <w:r>
                    <w:rPr>
                      <w:rFonts w:ascii="仿宋_GB2312" w:hAnsi="仿宋_GB2312" w:eastAsia="仿宋_GB2312" w:cs="仿宋_GB2312"/>
                      <w:sz w:val="21"/>
                    </w:rPr>
                    <w:t>测评系统名称</w:t>
                  </w:r>
                </w:p>
              </w:tc>
              <w:tc>
                <w:tcPr>
                  <w:tcW w:w="7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7E5FE88">
                  <w:pPr>
                    <w:pStyle w:val="4"/>
                    <w:jc w:val="center"/>
                  </w:pPr>
                  <w:r>
                    <w:rPr>
                      <w:rFonts w:ascii="仿宋_GB2312" w:hAnsi="仿宋_GB2312" w:eastAsia="仿宋_GB2312" w:cs="仿宋_GB2312"/>
                      <w:sz w:val="21"/>
                    </w:rPr>
                    <w:t>定级情况</w:t>
                  </w:r>
                </w:p>
                <w:p w14:paraId="2FF5D5DD">
                  <w:pPr>
                    <w:pStyle w:val="4"/>
                    <w:jc w:val="center"/>
                  </w:pPr>
                  <w:r>
                    <w:rPr>
                      <w:rFonts w:ascii="仿宋_GB2312" w:hAnsi="仿宋_GB2312" w:eastAsia="仿宋_GB2312" w:cs="仿宋_GB2312"/>
                      <w:sz w:val="21"/>
                    </w:rPr>
                    <w:t>（暂定）</w:t>
                  </w:r>
                </w:p>
              </w:tc>
            </w:tr>
            <w:tr w14:paraId="5002D1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EDE51D">
                  <w:pPr>
                    <w:pStyle w:val="4"/>
                    <w:jc w:val="center"/>
                  </w:pPr>
                  <w:r>
                    <w:rPr>
                      <w:rFonts w:ascii="仿宋_GB2312" w:hAnsi="仿宋_GB2312" w:eastAsia="仿宋_GB2312" w:cs="仿宋_GB2312"/>
                      <w:sz w:val="21"/>
                    </w:rPr>
                    <w:t>01</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9CAD56">
                  <w:pPr>
                    <w:pStyle w:val="4"/>
                    <w:jc w:val="center"/>
                  </w:pPr>
                  <w:r>
                    <w:rPr>
                      <w:rFonts w:ascii="仿宋_GB2312" w:hAnsi="仿宋_GB2312" w:eastAsia="仿宋_GB2312" w:cs="仿宋_GB2312"/>
                      <w:sz w:val="21"/>
                    </w:rPr>
                    <w:t>陕西省特种设备智慧监管平台</w:t>
                  </w:r>
                </w:p>
              </w:tc>
              <w:tc>
                <w:tcPr>
                  <w:tcW w:w="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8B7CCC">
                  <w:pPr>
                    <w:pStyle w:val="4"/>
                    <w:jc w:val="center"/>
                  </w:pPr>
                  <w:r>
                    <w:rPr>
                      <w:rFonts w:ascii="仿宋_GB2312" w:hAnsi="仿宋_GB2312" w:eastAsia="仿宋_GB2312" w:cs="仿宋_GB2312"/>
                      <w:sz w:val="21"/>
                    </w:rPr>
                    <w:t>三级</w:t>
                  </w:r>
                </w:p>
              </w:tc>
            </w:tr>
            <w:tr w14:paraId="480A06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042789">
                  <w:pPr>
                    <w:pStyle w:val="4"/>
                    <w:jc w:val="center"/>
                  </w:pPr>
                  <w:r>
                    <w:rPr>
                      <w:rFonts w:ascii="仿宋_GB2312" w:hAnsi="仿宋_GB2312" w:eastAsia="仿宋_GB2312" w:cs="仿宋_GB2312"/>
                      <w:sz w:val="21"/>
                    </w:rPr>
                    <w:t>02</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33A334">
                  <w:pPr>
                    <w:pStyle w:val="4"/>
                    <w:jc w:val="center"/>
                  </w:pPr>
                  <w:r>
                    <w:rPr>
                      <w:rFonts w:ascii="仿宋_GB2312" w:hAnsi="仿宋_GB2312" w:eastAsia="仿宋_GB2312" w:cs="仿宋_GB2312"/>
                      <w:sz w:val="21"/>
                    </w:rPr>
                    <w:t>数智市监大数据支撑体系建设项目</w:t>
                  </w:r>
                </w:p>
              </w:tc>
              <w:tc>
                <w:tcPr>
                  <w:tcW w:w="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4EE7F0">
                  <w:pPr>
                    <w:pStyle w:val="4"/>
                    <w:jc w:val="center"/>
                  </w:pPr>
                  <w:r>
                    <w:rPr>
                      <w:rFonts w:ascii="仿宋_GB2312" w:hAnsi="仿宋_GB2312" w:eastAsia="仿宋_GB2312" w:cs="仿宋_GB2312"/>
                      <w:sz w:val="21"/>
                    </w:rPr>
                    <w:t>三级</w:t>
                  </w:r>
                </w:p>
              </w:tc>
            </w:tr>
            <w:tr w14:paraId="40484F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1EED2B">
                  <w:pPr>
                    <w:pStyle w:val="4"/>
                    <w:jc w:val="center"/>
                  </w:pPr>
                  <w:r>
                    <w:rPr>
                      <w:rFonts w:ascii="仿宋_GB2312" w:hAnsi="仿宋_GB2312" w:eastAsia="仿宋_GB2312" w:cs="仿宋_GB2312"/>
                      <w:sz w:val="21"/>
                    </w:rPr>
                    <w:t>03</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7DC34B">
                  <w:pPr>
                    <w:pStyle w:val="4"/>
                    <w:jc w:val="center"/>
                  </w:pPr>
                  <w:r>
                    <w:rPr>
                      <w:rFonts w:ascii="仿宋_GB2312" w:hAnsi="仿宋_GB2312" w:eastAsia="仿宋_GB2312" w:cs="仿宋_GB2312"/>
                      <w:sz w:val="21"/>
                    </w:rPr>
                    <w:t>计量业务综合管理信息平台</w:t>
                  </w:r>
                </w:p>
              </w:tc>
              <w:tc>
                <w:tcPr>
                  <w:tcW w:w="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49737E">
                  <w:pPr>
                    <w:pStyle w:val="4"/>
                    <w:jc w:val="center"/>
                  </w:pPr>
                  <w:r>
                    <w:rPr>
                      <w:rFonts w:ascii="仿宋_GB2312" w:hAnsi="仿宋_GB2312" w:eastAsia="仿宋_GB2312" w:cs="仿宋_GB2312"/>
                      <w:sz w:val="21"/>
                    </w:rPr>
                    <w:t>三级</w:t>
                  </w:r>
                </w:p>
              </w:tc>
            </w:tr>
            <w:tr w14:paraId="2EF391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9E218C">
                  <w:pPr>
                    <w:pStyle w:val="4"/>
                    <w:jc w:val="center"/>
                  </w:pPr>
                  <w:r>
                    <w:rPr>
                      <w:rFonts w:ascii="仿宋_GB2312" w:hAnsi="仿宋_GB2312" w:eastAsia="仿宋_GB2312" w:cs="仿宋_GB2312"/>
                      <w:sz w:val="21"/>
                    </w:rPr>
                    <w:t>04</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5B62D6">
                  <w:pPr>
                    <w:pStyle w:val="4"/>
                    <w:jc w:val="center"/>
                  </w:pPr>
                  <w:r>
                    <w:rPr>
                      <w:rFonts w:ascii="仿宋_GB2312" w:hAnsi="仿宋_GB2312" w:eastAsia="仿宋_GB2312" w:cs="仿宋_GB2312"/>
                      <w:sz w:val="21"/>
                    </w:rPr>
                    <w:t>陕西省小个专党建综合服务管理平台</w:t>
                  </w:r>
                </w:p>
              </w:tc>
              <w:tc>
                <w:tcPr>
                  <w:tcW w:w="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E4A8A6">
                  <w:pPr>
                    <w:pStyle w:val="4"/>
                    <w:jc w:val="center"/>
                  </w:pPr>
                  <w:r>
                    <w:rPr>
                      <w:rFonts w:ascii="仿宋_GB2312" w:hAnsi="仿宋_GB2312" w:eastAsia="仿宋_GB2312" w:cs="仿宋_GB2312"/>
                      <w:sz w:val="21"/>
                    </w:rPr>
                    <w:t>三级</w:t>
                  </w:r>
                </w:p>
              </w:tc>
            </w:tr>
            <w:tr w14:paraId="0C7720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D29196">
                  <w:pPr>
                    <w:pStyle w:val="4"/>
                    <w:jc w:val="center"/>
                  </w:pPr>
                  <w:r>
                    <w:rPr>
                      <w:rFonts w:ascii="仿宋_GB2312" w:hAnsi="仿宋_GB2312" w:eastAsia="仿宋_GB2312" w:cs="仿宋_GB2312"/>
                      <w:sz w:val="21"/>
                    </w:rPr>
                    <w:t>05</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BBAA09">
                  <w:pPr>
                    <w:pStyle w:val="4"/>
                    <w:jc w:val="center"/>
                  </w:pPr>
                  <w:r>
                    <w:rPr>
                      <w:rFonts w:ascii="仿宋_GB2312" w:hAnsi="仿宋_GB2312" w:eastAsia="仿宋_GB2312" w:cs="仿宋_GB2312"/>
                      <w:sz w:val="21"/>
                    </w:rPr>
                    <w:t>陕西省市场监督管理局智慧云中心（统一门户）</w:t>
                  </w:r>
                </w:p>
              </w:tc>
              <w:tc>
                <w:tcPr>
                  <w:tcW w:w="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BFFA30">
                  <w:pPr>
                    <w:pStyle w:val="4"/>
                    <w:jc w:val="center"/>
                  </w:pPr>
                  <w:r>
                    <w:rPr>
                      <w:rFonts w:ascii="仿宋_GB2312" w:hAnsi="仿宋_GB2312" w:eastAsia="仿宋_GB2312" w:cs="仿宋_GB2312"/>
                      <w:sz w:val="21"/>
                    </w:rPr>
                    <w:t>三级</w:t>
                  </w:r>
                </w:p>
              </w:tc>
            </w:tr>
            <w:tr w14:paraId="2E0791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FB5423">
                  <w:pPr>
                    <w:pStyle w:val="4"/>
                    <w:jc w:val="center"/>
                  </w:pPr>
                  <w:r>
                    <w:rPr>
                      <w:rFonts w:ascii="仿宋_GB2312" w:hAnsi="仿宋_GB2312" w:eastAsia="仿宋_GB2312" w:cs="仿宋_GB2312"/>
                      <w:sz w:val="21"/>
                    </w:rPr>
                    <w:t>06</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0275FB">
                  <w:pPr>
                    <w:pStyle w:val="4"/>
                    <w:jc w:val="center"/>
                  </w:pPr>
                  <w:r>
                    <w:rPr>
                      <w:rFonts w:ascii="仿宋_GB2312" w:hAnsi="仿宋_GB2312" w:eastAsia="仿宋_GB2312" w:cs="仿宋_GB2312"/>
                      <w:sz w:val="21"/>
                    </w:rPr>
                    <w:t>食品安全抽样检验数据统计分析系统陕西二级站</w:t>
                  </w:r>
                </w:p>
              </w:tc>
              <w:tc>
                <w:tcPr>
                  <w:tcW w:w="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2912B2">
                  <w:pPr>
                    <w:pStyle w:val="4"/>
                    <w:jc w:val="center"/>
                  </w:pPr>
                  <w:r>
                    <w:rPr>
                      <w:rFonts w:ascii="仿宋_GB2312" w:hAnsi="仿宋_GB2312" w:eastAsia="仿宋_GB2312" w:cs="仿宋_GB2312"/>
                      <w:sz w:val="21"/>
                    </w:rPr>
                    <w:t>二级</w:t>
                  </w:r>
                </w:p>
              </w:tc>
            </w:tr>
            <w:tr w14:paraId="789DA7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4A8DEB">
                  <w:pPr>
                    <w:pStyle w:val="4"/>
                    <w:jc w:val="center"/>
                  </w:pPr>
                  <w:r>
                    <w:rPr>
                      <w:rFonts w:ascii="仿宋_GB2312" w:hAnsi="仿宋_GB2312" w:eastAsia="仿宋_GB2312" w:cs="仿宋_GB2312"/>
                      <w:sz w:val="21"/>
                    </w:rPr>
                    <w:t>07</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967522">
                  <w:pPr>
                    <w:pStyle w:val="4"/>
                    <w:jc w:val="center"/>
                  </w:pPr>
                  <w:r>
                    <w:rPr>
                      <w:rFonts w:ascii="仿宋_GB2312" w:hAnsi="仿宋_GB2312" w:eastAsia="仿宋_GB2312" w:cs="仿宋_GB2312"/>
                      <w:sz w:val="21"/>
                    </w:rPr>
                    <w:t>全国12315平台（陕西受理端）</w:t>
                  </w:r>
                </w:p>
              </w:tc>
              <w:tc>
                <w:tcPr>
                  <w:tcW w:w="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DCFA2C">
                  <w:pPr>
                    <w:pStyle w:val="4"/>
                    <w:jc w:val="center"/>
                  </w:pPr>
                  <w:r>
                    <w:rPr>
                      <w:rFonts w:ascii="仿宋_GB2312" w:hAnsi="仿宋_GB2312" w:eastAsia="仿宋_GB2312" w:cs="仿宋_GB2312"/>
                      <w:sz w:val="21"/>
                    </w:rPr>
                    <w:t>二级</w:t>
                  </w:r>
                </w:p>
              </w:tc>
            </w:tr>
            <w:tr w14:paraId="60BFCB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88C5D1">
                  <w:pPr>
                    <w:pStyle w:val="4"/>
                    <w:jc w:val="center"/>
                  </w:pPr>
                  <w:r>
                    <w:rPr>
                      <w:rFonts w:ascii="仿宋_GB2312" w:hAnsi="仿宋_GB2312" w:eastAsia="仿宋_GB2312" w:cs="仿宋_GB2312"/>
                      <w:sz w:val="21"/>
                    </w:rPr>
                    <w:t>08</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2B42D3">
                  <w:pPr>
                    <w:pStyle w:val="4"/>
                    <w:jc w:val="center"/>
                  </w:pPr>
                  <w:r>
                    <w:rPr>
                      <w:rFonts w:ascii="仿宋_GB2312" w:hAnsi="仿宋_GB2312" w:eastAsia="仿宋_GB2312" w:cs="仿宋_GB2312"/>
                      <w:sz w:val="21"/>
                    </w:rPr>
                    <w:t>市场监管行政执法办案系统</w:t>
                  </w:r>
                </w:p>
              </w:tc>
              <w:tc>
                <w:tcPr>
                  <w:tcW w:w="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720A45">
                  <w:pPr>
                    <w:pStyle w:val="4"/>
                    <w:jc w:val="center"/>
                  </w:pPr>
                  <w:r>
                    <w:rPr>
                      <w:rFonts w:ascii="仿宋_GB2312" w:hAnsi="仿宋_GB2312" w:eastAsia="仿宋_GB2312" w:cs="仿宋_GB2312"/>
                      <w:sz w:val="21"/>
                    </w:rPr>
                    <w:t>二级</w:t>
                  </w:r>
                </w:p>
              </w:tc>
            </w:tr>
            <w:tr w14:paraId="5B8A27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D49DAF">
                  <w:pPr>
                    <w:pStyle w:val="4"/>
                    <w:jc w:val="both"/>
                  </w:pPr>
                  <w:r>
                    <w:rPr>
                      <w:rFonts w:ascii="仿宋_GB2312" w:hAnsi="仿宋_GB2312" w:eastAsia="仿宋_GB2312" w:cs="仿宋_GB2312"/>
                      <w:sz w:val="21"/>
                    </w:rPr>
                    <w:t>备注：定级情况以公安部门最终备案为准</w:t>
                  </w:r>
                </w:p>
              </w:tc>
            </w:tr>
          </w:tbl>
          <w:p w14:paraId="6C52DEF4">
            <w:pPr>
              <w:pStyle w:val="4"/>
              <w:jc w:val="both"/>
            </w:pPr>
            <w:r>
              <w:rPr>
                <w:rFonts w:ascii="仿宋_GB2312" w:hAnsi="仿宋_GB2312" w:eastAsia="仿宋_GB2312" w:cs="仿宋_GB2312"/>
                <w:b/>
                <w:sz w:val="21"/>
                <w:shd w:val="clear" w:fill="FFFFFF"/>
              </w:rPr>
              <w:t>3.服务依据及要求</w:t>
            </w:r>
          </w:p>
          <w:p w14:paraId="2F3710E0">
            <w:pPr>
              <w:pStyle w:val="4"/>
              <w:jc w:val="left"/>
            </w:pPr>
            <w:r>
              <w:rPr>
                <w:rFonts w:ascii="仿宋_GB2312" w:hAnsi="仿宋_GB2312" w:eastAsia="仿宋_GB2312" w:cs="仿宋_GB2312"/>
                <w:b/>
                <w:sz w:val="21"/>
              </w:rPr>
              <w:t>3.1测评依据</w:t>
            </w:r>
          </w:p>
          <w:p w14:paraId="170D3870">
            <w:pPr>
              <w:pStyle w:val="4"/>
              <w:jc w:val="left"/>
            </w:pPr>
            <w:r>
              <w:rPr>
                <w:rFonts w:ascii="仿宋_GB2312" w:hAnsi="仿宋_GB2312" w:eastAsia="仿宋_GB2312" w:cs="仿宋_GB2312"/>
                <w:b/>
                <w:sz w:val="21"/>
              </w:rPr>
              <w:t xml:space="preserve">（1）政策法规文件： </w:t>
            </w:r>
          </w:p>
          <w:p w14:paraId="58E6F4EE">
            <w:pPr>
              <w:pStyle w:val="4"/>
              <w:jc w:val="both"/>
            </w:pPr>
            <w:r>
              <w:rPr>
                <w:rFonts w:ascii="仿宋_GB2312" w:hAnsi="仿宋_GB2312" w:eastAsia="仿宋_GB2312" w:cs="仿宋_GB2312"/>
                <w:sz w:val="21"/>
              </w:rPr>
              <w:t>《中华人民共和国计算机信息系统安全保护条例》（国务院147号令）；</w:t>
            </w:r>
          </w:p>
          <w:p w14:paraId="54EF9FAD">
            <w:pPr>
              <w:pStyle w:val="4"/>
              <w:jc w:val="both"/>
            </w:pPr>
            <w:r>
              <w:rPr>
                <w:rFonts w:ascii="仿宋_GB2312" w:hAnsi="仿宋_GB2312" w:eastAsia="仿宋_GB2312" w:cs="仿宋_GB2312"/>
                <w:sz w:val="21"/>
              </w:rPr>
              <w:t xml:space="preserve">《中华人民共和国网络安全法》； </w:t>
            </w:r>
          </w:p>
          <w:p w14:paraId="0917EC1A">
            <w:pPr>
              <w:pStyle w:val="4"/>
              <w:jc w:val="both"/>
            </w:pPr>
            <w:r>
              <w:rPr>
                <w:rFonts w:ascii="仿宋_GB2312" w:hAnsi="仿宋_GB2312" w:eastAsia="仿宋_GB2312" w:cs="仿宋_GB2312"/>
                <w:sz w:val="21"/>
              </w:rPr>
              <w:t xml:space="preserve">《关于信息安全等级保护工作的实施意见》（公通字【2004】66号）； </w:t>
            </w:r>
          </w:p>
          <w:p w14:paraId="5BECB5AE">
            <w:pPr>
              <w:pStyle w:val="4"/>
              <w:jc w:val="both"/>
            </w:pPr>
            <w:r>
              <w:rPr>
                <w:rFonts w:ascii="仿宋_GB2312" w:hAnsi="仿宋_GB2312" w:eastAsia="仿宋_GB2312" w:cs="仿宋_GB2312"/>
                <w:sz w:val="21"/>
              </w:rPr>
              <w:t xml:space="preserve">《信息安全等级保护管理办法》（公通字【2007】43号）； </w:t>
            </w:r>
          </w:p>
          <w:p w14:paraId="2565D5A1">
            <w:pPr>
              <w:pStyle w:val="4"/>
              <w:jc w:val="both"/>
            </w:pPr>
            <w:r>
              <w:rPr>
                <w:rFonts w:ascii="仿宋_GB2312" w:hAnsi="仿宋_GB2312" w:eastAsia="仿宋_GB2312" w:cs="仿宋_GB2312"/>
                <w:sz w:val="21"/>
              </w:rPr>
              <w:t xml:space="preserve">《关于开展信息安全等级保护安全建设整改工作的指导意见》（公信安【2009】1429号）； </w:t>
            </w:r>
          </w:p>
          <w:p w14:paraId="55A77E41">
            <w:pPr>
              <w:pStyle w:val="4"/>
              <w:jc w:val="both"/>
            </w:pPr>
            <w:r>
              <w:rPr>
                <w:rFonts w:ascii="仿宋_GB2312" w:hAnsi="仿宋_GB2312" w:eastAsia="仿宋_GB2312" w:cs="仿宋_GB2312"/>
                <w:sz w:val="21"/>
              </w:rPr>
              <w:t xml:space="preserve">《关于推动信息安全等级保护测评体系建设和开展等级测评工作的通知》（公信安【2010】303号）； </w:t>
            </w:r>
          </w:p>
          <w:p w14:paraId="7D603615">
            <w:pPr>
              <w:pStyle w:val="4"/>
              <w:jc w:val="both"/>
            </w:pPr>
            <w:r>
              <w:rPr>
                <w:rFonts w:ascii="仿宋_GB2312" w:hAnsi="仿宋_GB2312" w:eastAsia="仿宋_GB2312" w:cs="仿宋_GB2312"/>
                <w:sz w:val="21"/>
              </w:rPr>
              <w:t xml:space="preserve">《关于印发&lt;陕西省信息安全等级保护安全建设整改工作指导意见&gt;的通知》 （陕等保办【2011】2号）； </w:t>
            </w:r>
          </w:p>
          <w:p w14:paraId="23226711">
            <w:pPr>
              <w:pStyle w:val="4"/>
              <w:jc w:val="both"/>
            </w:pPr>
            <w:r>
              <w:rPr>
                <w:rFonts w:ascii="仿宋_GB2312" w:hAnsi="仿宋_GB2312" w:eastAsia="仿宋_GB2312" w:cs="仿宋_GB2312"/>
                <w:sz w:val="21"/>
              </w:rPr>
              <w:t xml:space="preserve">《陕西省公安厅重要信息系统和重点网站安全执法检查反馈意见》（陕公网字检字【2015】713号）； </w:t>
            </w:r>
          </w:p>
          <w:p w14:paraId="4F65BF55">
            <w:pPr>
              <w:pStyle w:val="4"/>
              <w:jc w:val="left"/>
            </w:pPr>
            <w:r>
              <w:rPr>
                <w:rFonts w:ascii="仿宋_GB2312" w:hAnsi="仿宋_GB2312" w:eastAsia="仿宋_GB2312" w:cs="仿宋_GB2312"/>
                <w:b/>
                <w:sz w:val="21"/>
              </w:rPr>
              <w:t>（2）标准规范文件：</w:t>
            </w:r>
          </w:p>
          <w:p w14:paraId="0AEA7928">
            <w:pPr>
              <w:pStyle w:val="4"/>
              <w:jc w:val="both"/>
            </w:pPr>
            <w:r>
              <w:rPr>
                <w:rFonts w:ascii="仿宋_GB2312" w:hAnsi="仿宋_GB2312" w:eastAsia="仿宋_GB2312" w:cs="仿宋_GB2312"/>
                <w:sz w:val="21"/>
              </w:rPr>
              <w:t xml:space="preserve">《计算机信息系统安全保护等级划分准则》（GB 17859-1999）； </w:t>
            </w:r>
          </w:p>
          <w:p w14:paraId="5F8FCDB8">
            <w:pPr>
              <w:pStyle w:val="4"/>
              <w:jc w:val="both"/>
            </w:pPr>
            <w:r>
              <w:rPr>
                <w:rFonts w:ascii="仿宋_GB2312" w:hAnsi="仿宋_GB2312" w:eastAsia="仿宋_GB2312" w:cs="仿宋_GB2312"/>
                <w:sz w:val="21"/>
              </w:rPr>
              <w:t>《信息安全技术网络安全等级保护定级指南》（GB/T 22240-2020）；</w:t>
            </w:r>
          </w:p>
          <w:p w14:paraId="3A52649E">
            <w:pPr>
              <w:pStyle w:val="4"/>
              <w:jc w:val="both"/>
            </w:pPr>
            <w:r>
              <w:rPr>
                <w:rFonts w:ascii="仿宋_GB2312" w:hAnsi="仿宋_GB2312" w:eastAsia="仿宋_GB2312" w:cs="仿宋_GB2312"/>
                <w:sz w:val="21"/>
              </w:rPr>
              <w:t xml:space="preserve">《信息安全技术网络安全等级保护基本要求》（GB/T 22239-2019）； </w:t>
            </w:r>
          </w:p>
          <w:p w14:paraId="22143671">
            <w:pPr>
              <w:pStyle w:val="4"/>
              <w:jc w:val="both"/>
            </w:pPr>
            <w:r>
              <w:rPr>
                <w:rFonts w:ascii="仿宋_GB2312" w:hAnsi="仿宋_GB2312" w:eastAsia="仿宋_GB2312" w:cs="仿宋_GB2312"/>
                <w:sz w:val="21"/>
              </w:rPr>
              <w:t xml:space="preserve">《信息安全技术网络安全等级保护测评要求》（GB/T 28448-2019）； </w:t>
            </w:r>
          </w:p>
          <w:p w14:paraId="0C509D89">
            <w:pPr>
              <w:pStyle w:val="4"/>
              <w:jc w:val="both"/>
            </w:pPr>
            <w:r>
              <w:rPr>
                <w:rFonts w:ascii="仿宋_GB2312" w:hAnsi="仿宋_GB2312" w:eastAsia="仿宋_GB2312" w:cs="仿宋_GB2312"/>
                <w:sz w:val="21"/>
              </w:rPr>
              <w:t xml:space="preserve">《信息安全技术网络安全等级保护测评过程指南》（GB/T 28449-2018）； </w:t>
            </w:r>
          </w:p>
          <w:p w14:paraId="7DA508BA">
            <w:pPr>
              <w:pStyle w:val="4"/>
              <w:jc w:val="both"/>
            </w:pPr>
            <w:r>
              <w:rPr>
                <w:rFonts w:ascii="仿宋_GB2312" w:hAnsi="仿宋_GB2312" w:eastAsia="仿宋_GB2312" w:cs="仿宋_GB2312"/>
                <w:sz w:val="21"/>
              </w:rPr>
              <w:t xml:space="preserve">《信息安全技术网络安全等级保护测试评估技术指南》（GB/T 36627-2018）； </w:t>
            </w:r>
          </w:p>
          <w:p w14:paraId="573F7435">
            <w:pPr>
              <w:pStyle w:val="4"/>
              <w:jc w:val="both"/>
            </w:pPr>
            <w:r>
              <w:rPr>
                <w:rFonts w:ascii="仿宋_GB2312" w:hAnsi="仿宋_GB2312" w:eastAsia="仿宋_GB2312" w:cs="仿宋_GB2312"/>
                <w:sz w:val="21"/>
              </w:rPr>
              <w:t xml:space="preserve">《信息安全技术网络安全等级保护安全管理中心技术要求》（GB/T 36958- 2018）； </w:t>
            </w:r>
          </w:p>
          <w:p w14:paraId="30FA938C">
            <w:pPr>
              <w:pStyle w:val="4"/>
              <w:jc w:val="both"/>
            </w:pPr>
            <w:r>
              <w:rPr>
                <w:rFonts w:ascii="仿宋_GB2312" w:hAnsi="仿宋_GB2312" w:eastAsia="仿宋_GB2312" w:cs="仿宋_GB2312"/>
                <w:sz w:val="21"/>
              </w:rPr>
              <w:t>《信息安全技术信息安全风险评估规范》（GB/T 20984-2007）。</w:t>
            </w:r>
          </w:p>
          <w:p w14:paraId="11AD779B">
            <w:pPr>
              <w:pStyle w:val="4"/>
              <w:jc w:val="both"/>
            </w:pPr>
            <w:r>
              <w:rPr>
                <w:rFonts w:ascii="仿宋_GB2312" w:hAnsi="仿宋_GB2312" w:eastAsia="仿宋_GB2312" w:cs="仿宋_GB2312"/>
                <w:b/>
                <w:sz w:val="21"/>
              </w:rPr>
              <w:t>3.2服务总体要求</w:t>
            </w:r>
          </w:p>
          <w:p w14:paraId="16A73D50">
            <w:pPr>
              <w:pStyle w:val="4"/>
              <w:jc w:val="both"/>
            </w:pPr>
            <w:r>
              <w:rPr>
                <w:rFonts w:ascii="仿宋_GB2312" w:hAnsi="仿宋_GB2312" w:eastAsia="仿宋_GB2312" w:cs="仿宋_GB2312"/>
                <w:b/>
                <w:sz w:val="21"/>
              </w:rPr>
              <w:t>3.2.1测评服务要求：</w:t>
            </w:r>
          </w:p>
          <w:p w14:paraId="1440FE28">
            <w:pPr>
              <w:pStyle w:val="4"/>
              <w:jc w:val="both"/>
            </w:pPr>
            <w:r>
              <w:rPr>
                <w:rFonts w:ascii="仿宋_GB2312" w:hAnsi="仿宋_GB2312" w:eastAsia="仿宋_GB2312" w:cs="仿宋_GB2312"/>
                <w:sz w:val="21"/>
              </w:rPr>
              <w:t>依据《基本要求》（GB/T 22239-2019）、《测评要求》（GB/T 28448-2019）和《测评过程指南》（GB/T 28449-2018）等国家关于网络安全等级保护2.0的相关标准和规范要求，通过静态分析、渗透测试、综合评估等程序对采购人信息系统的安全保护状况进行测评，找出其与《网络安全等级保护基本要求》对应级别的差距，及时发现系统存在的安全问题，针对等保测评中发现的各种安全风险，提出适宜的安全整改建议，提供整改技术支持。</w:t>
            </w:r>
          </w:p>
          <w:p w14:paraId="6CC8DB8E">
            <w:pPr>
              <w:pStyle w:val="4"/>
              <w:jc w:val="both"/>
            </w:pPr>
            <w:r>
              <w:rPr>
                <w:rFonts w:ascii="仿宋_GB2312" w:hAnsi="仿宋_GB2312" w:eastAsia="仿宋_GB2312" w:cs="仿宋_GB2312"/>
                <w:sz w:val="21"/>
              </w:rPr>
              <w:t>等级测评分安全技术及安全管理两大方面共十个层面的单元测评，以及在此基础上进行的系统整体测评和后续的风险分析。</w:t>
            </w:r>
          </w:p>
          <w:p w14:paraId="4D41C129">
            <w:pPr>
              <w:pStyle w:val="4"/>
              <w:jc w:val="both"/>
            </w:pPr>
            <w:r>
              <w:rPr>
                <w:rFonts w:ascii="仿宋_GB2312" w:hAnsi="仿宋_GB2312" w:eastAsia="仿宋_GB2312" w:cs="仿宋_GB2312"/>
                <w:b/>
                <w:sz w:val="21"/>
              </w:rPr>
              <w:t>（1）单元测评：</w:t>
            </w:r>
          </w:p>
          <w:p w14:paraId="3A2B32EE">
            <w:pPr>
              <w:pStyle w:val="4"/>
              <w:jc w:val="both"/>
            </w:pPr>
            <w:r>
              <w:rPr>
                <w:rFonts w:ascii="仿宋_GB2312" w:hAnsi="仿宋_GB2312" w:eastAsia="仿宋_GB2312" w:cs="仿宋_GB2312"/>
                <w:sz w:val="21"/>
              </w:rPr>
              <w:t xml:space="preserve">1）物理环境测评：包括位置、访问控制、防盗窃防破坏、防雷击、防火、防水和防潮、防静电、温湿度控制、电磁防护等内容。 </w:t>
            </w:r>
          </w:p>
          <w:p w14:paraId="005819D2">
            <w:pPr>
              <w:pStyle w:val="4"/>
              <w:jc w:val="both"/>
            </w:pPr>
            <w:r>
              <w:rPr>
                <w:rFonts w:ascii="仿宋_GB2312" w:hAnsi="仿宋_GB2312" w:eastAsia="仿宋_GB2312" w:cs="仿宋_GB2312"/>
                <w:sz w:val="21"/>
              </w:rPr>
              <w:t>2）网络系统测评：包括网络架构、网络访问控制、网络安全审计、边界完整性检查、网络入侵防范、网络恶意代码防范、网络设备防护等内容。</w:t>
            </w:r>
          </w:p>
          <w:p w14:paraId="0AC41E1F">
            <w:pPr>
              <w:pStyle w:val="4"/>
              <w:jc w:val="both"/>
            </w:pPr>
            <w:r>
              <w:rPr>
                <w:rFonts w:ascii="仿宋_GB2312" w:hAnsi="仿宋_GB2312" w:eastAsia="仿宋_GB2312" w:cs="仿宋_GB2312"/>
                <w:sz w:val="21"/>
              </w:rPr>
              <w:t>3）主机与数据库测评：包括主机与数据库身份鉴别、主机与数据库访问控制、主机与数据库安全审计、主机与数据库入侵防范、主机恶意代码防范、信息资源安全、资源控制等内容。</w:t>
            </w:r>
          </w:p>
          <w:p w14:paraId="62A9F1FA">
            <w:pPr>
              <w:pStyle w:val="4"/>
              <w:jc w:val="both"/>
            </w:pPr>
            <w:r>
              <w:rPr>
                <w:rFonts w:ascii="仿宋_GB2312" w:hAnsi="仿宋_GB2312" w:eastAsia="仿宋_GB2312" w:cs="仿宋_GB2312"/>
                <w:sz w:val="21"/>
              </w:rPr>
              <w:t xml:space="preserve">4）应用系统测评：包括应用系统身份鉴别、应用系统访问控制、应用系统安全审计、剩余信息保护、通信完整性、通信保密性、抗抵赖、软件容错、资源控制等内容。 </w:t>
            </w:r>
          </w:p>
          <w:p w14:paraId="59E49E66">
            <w:pPr>
              <w:pStyle w:val="4"/>
              <w:jc w:val="both"/>
            </w:pPr>
            <w:r>
              <w:rPr>
                <w:rFonts w:ascii="仿宋_GB2312" w:hAnsi="仿宋_GB2312" w:eastAsia="仿宋_GB2312" w:cs="仿宋_GB2312"/>
                <w:sz w:val="21"/>
              </w:rPr>
              <w:t xml:space="preserve">5）数据及备份恢复测评：包括数据完整性、数据保密性、备份和恢复等内容。 </w:t>
            </w:r>
          </w:p>
          <w:p w14:paraId="6B37DC03">
            <w:pPr>
              <w:pStyle w:val="4"/>
              <w:jc w:val="both"/>
            </w:pPr>
            <w:r>
              <w:rPr>
                <w:rFonts w:ascii="仿宋_GB2312" w:hAnsi="仿宋_GB2312" w:eastAsia="仿宋_GB2312" w:cs="仿宋_GB2312"/>
                <w:sz w:val="21"/>
              </w:rPr>
              <w:t>6）安全管理制度测评：包括管理制度、制定和发布、评审和修订等内容。</w:t>
            </w:r>
          </w:p>
          <w:p w14:paraId="389A6CB9">
            <w:pPr>
              <w:pStyle w:val="4"/>
              <w:jc w:val="both"/>
            </w:pPr>
            <w:r>
              <w:rPr>
                <w:rFonts w:ascii="仿宋_GB2312" w:hAnsi="仿宋_GB2312" w:eastAsia="仿宋_GB2312" w:cs="仿宋_GB2312"/>
                <w:sz w:val="21"/>
              </w:rPr>
              <w:t>7）安全管理机构测评：包括岗位设置、人员配备、授权和审批、沟通和合作、审核和检查、资金保障等内容。</w:t>
            </w:r>
          </w:p>
          <w:p w14:paraId="39452150">
            <w:pPr>
              <w:pStyle w:val="4"/>
              <w:jc w:val="both"/>
            </w:pPr>
            <w:r>
              <w:rPr>
                <w:rFonts w:ascii="仿宋_GB2312" w:hAnsi="仿宋_GB2312" w:eastAsia="仿宋_GB2312" w:cs="仿宋_GB2312"/>
                <w:sz w:val="21"/>
              </w:rPr>
              <w:t>8）人员安全管理测评：包括人员录用、人员离岗、人员考核、安全意识教育和培训、外部人员访问管理等内容。</w:t>
            </w:r>
          </w:p>
          <w:p w14:paraId="7EC76053">
            <w:pPr>
              <w:pStyle w:val="4"/>
              <w:jc w:val="both"/>
            </w:pPr>
            <w:r>
              <w:rPr>
                <w:rFonts w:ascii="仿宋_GB2312" w:hAnsi="仿宋_GB2312" w:eastAsia="仿宋_GB2312" w:cs="仿宋_GB2312"/>
                <w:sz w:val="21"/>
              </w:rPr>
              <w:t>9）系统建设管理测评：包括系统定级、安全方案设计、产品采购、自行软件开发、外包软件开发、工程实施、测试验收、系统交付、系统备案、等级测评、供应商选择等内容。</w:t>
            </w:r>
          </w:p>
          <w:p w14:paraId="07CBE767">
            <w:pPr>
              <w:pStyle w:val="4"/>
              <w:jc w:val="both"/>
            </w:pPr>
            <w:r>
              <w:rPr>
                <w:rFonts w:ascii="仿宋_GB2312" w:hAnsi="仿宋_GB2312" w:eastAsia="仿宋_GB2312" w:cs="仿宋_GB2312"/>
                <w:sz w:val="21"/>
              </w:rPr>
              <w:t>10）系统运维管理测评：包括环境管理、资产管理、介质管理、设备管理、监控管理和安全管理中心、网络安全管理、系统安全管理、恶意代码防范管理、密码管理、变更管理、备份与恢复管理、安全事件处置、应急预案管理等内容。</w:t>
            </w:r>
          </w:p>
          <w:p w14:paraId="4FDD57BB">
            <w:pPr>
              <w:pStyle w:val="4"/>
              <w:jc w:val="both"/>
            </w:pPr>
            <w:r>
              <w:rPr>
                <w:rFonts w:ascii="仿宋_GB2312" w:hAnsi="仿宋_GB2312" w:eastAsia="仿宋_GB2312" w:cs="仿宋_GB2312"/>
                <w:b/>
                <w:sz w:val="21"/>
              </w:rPr>
              <w:t>（2）整体测评：</w:t>
            </w:r>
          </w:p>
          <w:p w14:paraId="4AE01E74">
            <w:pPr>
              <w:pStyle w:val="4"/>
              <w:jc w:val="both"/>
            </w:pPr>
            <w:r>
              <w:rPr>
                <w:rFonts w:ascii="仿宋_GB2312" w:hAnsi="仿宋_GB2312" w:eastAsia="仿宋_GB2312" w:cs="仿宋_GB2312"/>
                <w:sz w:val="21"/>
              </w:rPr>
              <w:t>整体测评是对单元测评中发现的问题进行系统整体测评分析，包括从安全控制点间、层面间、区域间和系统结构等方面进行安全测评。</w:t>
            </w:r>
          </w:p>
          <w:p w14:paraId="7943ECB8">
            <w:pPr>
              <w:pStyle w:val="4"/>
              <w:jc w:val="both"/>
            </w:pPr>
            <w:r>
              <w:rPr>
                <w:rFonts w:ascii="仿宋_GB2312" w:hAnsi="仿宋_GB2312" w:eastAsia="仿宋_GB2312" w:cs="仿宋_GB2312"/>
                <w:b/>
                <w:sz w:val="21"/>
              </w:rPr>
              <w:t>3.2.2渗透测试服务要求：</w:t>
            </w:r>
          </w:p>
          <w:p w14:paraId="65DC0FC4">
            <w:pPr>
              <w:pStyle w:val="4"/>
              <w:jc w:val="left"/>
            </w:pPr>
            <w:r>
              <w:rPr>
                <w:rFonts w:ascii="仿宋_GB2312" w:hAnsi="仿宋_GB2312" w:eastAsia="仿宋_GB2312" w:cs="仿宋_GB2312"/>
                <w:sz w:val="21"/>
              </w:rPr>
              <w:t>渗透性测试是通过模拟恶意黑客的攻击方法，来对计算机网络的安全性进行检测评估的过程。对系统和网络进行非破坏性质的攻击性测试，尝试侵入系统，获取系统控制权并将入侵的过程和细节产生报告给采购人，由此证实采购人所存在的安全威胁和风险，及时提示开发人员修复安全漏洞，提醒安全管理员完善安全策略，提升系统安全防护能力。</w:t>
            </w:r>
          </w:p>
          <w:p w14:paraId="0619B5B3">
            <w:pPr>
              <w:pStyle w:val="4"/>
              <w:jc w:val="both"/>
            </w:pPr>
            <w:r>
              <w:rPr>
                <w:rFonts w:ascii="仿宋_GB2312" w:hAnsi="仿宋_GB2312" w:eastAsia="仿宋_GB2312" w:cs="仿宋_GB2312"/>
                <w:b/>
                <w:sz w:val="21"/>
              </w:rPr>
              <w:t>3.2.3售后服务要求</w:t>
            </w:r>
          </w:p>
          <w:p w14:paraId="76401FF9">
            <w:pPr>
              <w:pStyle w:val="4"/>
              <w:jc w:val="both"/>
            </w:pPr>
            <w:r>
              <w:rPr>
                <w:rFonts w:ascii="仿宋_GB2312" w:hAnsi="仿宋_GB2312" w:eastAsia="仿宋_GB2312" w:cs="仿宋_GB2312"/>
                <w:sz w:val="21"/>
              </w:rPr>
              <w:t>（1）应急响应及应急处理要求：供应商在测评项目结束后，要提供至少一年的信息安全应急处理保障。一旦被测系统出现紧急重大安全事件，收到采购人的服务请求，测评单位工程师在3 小时内到达采购人现场，提供服务。</w:t>
            </w:r>
          </w:p>
          <w:p w14:paraId="43388777">
            <w:pPr>
              <w:pStyle w:val="4"/>
              <w:jc w:val="both"/>
            </w:pPr>
            <w:r>
              <w:rPr>
                <w:rFonts w:ascii="仿宋_GB2312" w:hAnsi="仿宋_GB2312" w:eastAsia="仿宋_GB2312" w:cs="仿宋_GB2312"/>
                <w:sz w:val="21"/>
              </w:rPr>
              <w:t>（2）安全咨询服务：供应商在测评项目结束后，要提供至少一年的安全咨询服务，包括但不限于安全技术咨询、安全整改建设咨询、管理制度及国家法规等，供应商需提供咨询建议和方案建议。</w:t>
            </w:r>
          </w:p>
          <w:p w14:paraId="3AA80D39">
            <w:pPr>
              <w:pStyle w:val="4"/>
              <w:jc w:val="both"/>
            </w:pPr>
            <w:r>
              <w:rPr>
                <w:rFonts w:ascii="仿宋_GB2312" w:hAnsi="仿宋_GB2312" w:eastAsia="仿宋_GB2312" w:cs="仿宋_GB2312"/>
                <w:sz w:val="21"/>
              </w:rPr>
              <w:t>（3）网络与信息安全信息通报服务要求：供应商需要在测评结束后，提供至少的一年网络信息安全通报服务，要与采购人建立完善的通报和沟通机制，及时按照国家标准提供对应服务。</w:t>
            </w:r>
          </w:p>
          <w:p w14:paraId="2C996ADB">
            <w:pPr>
              <w:pStyle w:val="4"/>
              <w:jc w:val="both"/>
            </w:pPr>
            <w:r>
              <w:rPr>
                <w:rFonts w:ascii="仿宋_GB2312" w:hAnsi="仿宋_GB2312" w:eastAsia="仿宋_GB2312" w:cs="仿宋_GB2312"/>
                <w:sz w:val="21"/>
              </w:rPr>
              <w:t>（4）电话支持服务：每天24小时不间断的电话支持服务，解答采购人在系统运行过程中遇到的安全问题，及时提出解决问题的建议和操作方法。电话响应时间不超过10分钟，到达现场时间不超过3小时，解决问题不超过24小时。</w:t>
            </w:r>
          </w:p>
          <w:p w14:paraId="4E0AE29F">
            <w:pPr>
              <w:pStyle w:val="4"/>
              <w:jc w:val="both"/>
            </w:pPr>
            <w:r>
              <w:rPr>
                <w:rFonts w:ascii="仿宋_GB2312" w:hAnsi="仿宋_GB2312" w:eastAsia="仿宋_GB2312" w:cs="仿宋_GB2312"/>
                <w:b/>
                <w:sz w:val="21"/>
              </w:rPr>
              <w:t>3.2.4 其他要求</w:t>
            </w:r>
          </w:p>
          <w:p w14:paraId="6EFAD189">
            <w:pPr>
              <w:pStyle w:val="4"/>
              <w:jc w:val="both"/>
            </w:pPr>
            <w:r>
              <w:rPr>
                <w:rFonts w:ascii="仿宋_GB2312" w:hAnsi="仿宋_GB2312" w:eastAsia="仿宋_GB2312" w:cs="仿宋_GB2312"/>
                <w:sz w:val="21"/>
              </w:rPr>
              <w:t>（1）供应商须与采购人签订项目合同、保密协议和现场评测授权书、风险预判告知书，核实驻场测评师资质与投标时对本项目配备的测评师是否一致。确因工作调配需更换测评师，需提前10 个工作日向采购人信息部门负责人员书面报备，并供更换测评师资质证明。</w:t>
            </w:r>
          </w:p>
          <w:p w14:paraId="422B4C09">
            <w:pPr>
              <w:pStyle w:val="4"/>
              <w:jc w:val="both"/>
            </w:pPr>
            <w:r>
              <w:rPr>
                <w:rFonts w:ascii="仿宋_GB2312" w:hAnsi="仿宋_GB2312" w:eastAsia="仿宋_GB2312" w:cs="仿宋_GB2312"/>
                <w:sz w:val="21"/>
              </w:rPr>
              <w:t>（2）供应商需在中标后，协助采购人开展备案资料梳理工作，并协助采购人取得公安部门办理的等级保护备案证。</w:t>
            </w:r>
          </w:p>
          <w:p w14:paraId="6D5ED573">
            <w:pPr>
              <w:pStyle w:val="4"/>
              <w:jc w:val="both"/>
            </w:pPr>
            <w:r>
              <w:rPr>
                <w:rFonts w:ascii="仿宋_GB2312" w:hAnsi="仿宋_GB2312" w:eastAsia="仿宋_GB2312" w:cs="仿宋_GB2312"/>
                <w:sz w:val="21"/>
              </w:rPr>
              <w:t>（3）供应商须提供完善的测评实施方案和计划、测评方案，经采购人审核通过后实施，完成采购人对安全管理制度的补充完善和整理工作，配合对采购人信息系统进行整改测评服务。</w:t>
            </w:r>
          </w:p>
          <w:p w14:paraId="366318CE">
            <w:pPr>
              <w:pStyle w:val="4"/>
              <w:jc w:val="both"/>
            </w:pPr>
            <w:r>
              <w:rPr>
                <w:rFonts w:ascii="仿宋_GB2312" w:hAnsi="仿宋_GB2312" w:eastAsia="仿宋_GB2312" w:cs="仿宋_GB2312"/>
                <w:sz w:val="21"/>
              </w:rPr>
              <w:t>（4）供应商须服从采购人业务信息系统的统一协调，且必须在项目实施期间由供应商派驻有丰富实施经验的测评师为项目实施团队，全程参与项目实施，现场检测工时必须符合国家相关标准。</w:t>
            </w:r>
          </w:p>
          <w:p w14:paraId="0BD5226D">
            <w:pPr>
              <w:pStyle w:val="4"/>
              <w:jc w:val="left"/>
            </w:pPr>
            <w:r>
              <w:rPr>
                <w:rFonts w:ascii="仿宋_GB2312" w:hAnsi="仿宋_GB2312" w:eastAsia="仿宋_GB2312" w:cs="仿宋_GB2312"/>
                <w:b/>
                <w:sz w:val="21"/>
              </w:rPr>
              <w:t>3.3测评指标</w:t>
            </w:r>
          </w:p>
          <w:p w14:paraId="13917A70">
            <w:pPr>
              <w:pStyle w:val="4"/>
              <w:jc w:val="left"/>
            </w:pPr>
            <w:r>
              <w:rPr>
                <w:rFonts w:ascii="仿宋_GB2312" w:hAnsi="仿宋_GB2312" w:eastAsia="仿宋_GB2312" w:cs="仿宋_GB2312"/>
                <w:b/>
                <w:sz w:val="21"/>
              </w:rPr>
              <w:t>3.3.1二级要求指标</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1"/>
              <w:gridCol w:w="421"/>
              <w:gridCol w:w="1586"/>
            </w:tblGrid>
            <w:tr w14:paraId="0141F4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68625BB">
                  <w:pPr>
                    <w:pStyle w:val="4"/>
                    <w:jc w:val="center"/>
                  </w:pPr>
                  <w:r>
                    <w:rPr>
                      <w:rFonts w:ascii="仿宋_GB2312" w:hAnsi="仿宋_GB2312" w:eastAsia="仿宋_GB2312" w:cs="仿宋_GB2312"/>
                      <w:b/>
                      <w:sz w:val="21"/>
                    </w:rPr>
                    <w:t>安全层面</w:t>
                  </w:r>
                </w:p>
              </w:tc>
              <w:tc>
                <w:tcPr>
                  <w:tcW w:w="39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6E2F2E6">
                  <w:pPr>
                    <w:pStyle w:val="4"/>
                    <w:jc w:val="center"/>
                  </w:pPr>
                  <w:r>
                    <w:rPr>
                      <w:rFonts w:ascii="仿宋_GB2312" w:hAnsi="仿宋_GB2312" w:eastAsia="仿宋_GB2312" w:cs="仿宋_GB2312"/>
                      <w:b/>
                      <w:sz w:val="21"/>
                    </w:rPr>
                    <w:t>安全控制点</w:t>
                  </w:r>
                </w:p>
              </w:tc>
              <w:tc>
                <w:tcPr>
                  <w:tcW w:w="18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86EEC44">
                  <w:pPr>
                    <w:pStyle w:val="4"/>
                    <w:jc w:val="center"/>
                  </w:pPr>
                  <w:r>
                    <w:rPr>
                      <w:rFonts w:ascii="仿宋_GB2312" w:hAnsi="仿宋_GB2312" w:eastAsia="仿宋_GB2312" w:cs="仿宋_GB2312"/>
                      <w:b/>
                      <w:sz w:val="21"/>
                    </w:rPr>
                    <w:t>测评指标（2.0）</w:t>
                  </w:r>
                </w:p>
              </w:tc>
            </w:tr>
            <w:tr w14:paraId="3FD43E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149F34">
                  <w:pPr>
                    <w:pStyle w:val="4"/>
                    <w:jc w:val="center"/>
                  </w:pPr>
                  <w:r>
                    <w:rPr>
                      <w:rFonts w:ascii="仿宋_GB2312" w:hAnsi="仿宋_GB2312" w:eastAsia="仿宋_GB2312" w:cs="仿宋_GB2312"/>
                      <w:sz w:val="21"/>
                    </w:rPr>
                    <w:t>安全物理环境</w:t>
                  </w:r>
                </w:p>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3AF693C">
                  <w:pPr>
                    <w:pStyle w:val="4"/>
                    <w:jc w:val="center"/>
                  </w:pPr>
                  <w:r>
                    <w:rPr>
                      <w:rFonts w:ascii="仿宋_GB2312" w:hAnsi="仿宋_GB2312" w:eastAsia="仿宋_GB2312" w:cs="仿宋_GB2312"/>
                      <w:sz w:val="21"/>
                    </w:rPr>
                    <w:t>物理位置选择</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E825C5">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机房场地应选择在具有防震、防风和防雨等能力的建筑内；</w:t>
                  </w:r>
                </w:p>
              </w:tc>
            </w:tr>
            <w:tr w14:paraId="13FE7E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79862250"/>
              </w:tc>
              <w:tc>
                <w:tcPr>
                  <w:tcW w:w="391" w:type="dxa"/>
                  <w:vMerge w:val="continue"/>
                  <w:tcBorders>
                    <w:top w:val="nil"/>
                    <w:left w:val="nil"/>
                    <w:bottom w:val="single" w:color="000000" w:sz="4" w:space="0"/>
                    <w:right w:val="single" w:color="000000" w:sz="4" w:space="0"/>
                  </w:tcBorders>
                </w:tcPr>
                <w:p w14:paraId="11101D6E"/>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F1386C">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机房场地应避免设在建筑物的顶层或地下室，否则应加强防水和防潮措施。</w:t>
                  </w:r>
                </w:p>
              </w:tc>
            </w:tr>
            <w:tr w14:paraId="1CB39D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6107F3B4"/>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7A1ED3">
                  <w:pPr>
                    <w:pStyle w:val="4"/>
                    <w:jc w:val="center"/>
                  </w:pPr>
                  <w:r>
                    <w:rPr>
                      <w:rFonts w:ascii="仿宋_GB2312" w:hAnsi="仿宋_GB2312" w:eastAsia="仿宋_GB2312" w:cs="仿宋_GB2312"/>
                      <w:sz w:val="21"/>
                    </w:rPr>
                    <w:t>物理访问控制</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5009DB">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机房出入口应安排专人值守或配置电子门禁系统，控制、鉴别和记录进入的人员。</w:t>
                  </w:r>
                </w:p>
              </w:tc>
            </w:tr>
            <w:tr w14:paraId="08CDE8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2A4110B2"/>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DDD5D51">
                  <w:pPr>
                    <w:pStyle w:val="4"/>
                    <w:jc w:val="center"/>
                  </w:pPr>
                  <w:r>
                    <w:rPr>
                      <w:rFonts w:ascii="仿宋_GB2312" w:hAnsi="仿宋_GB2312" w:eastAsia="仿宋_GB2312" w:cs="仿宋_GB2312"/>
                      <w:sz w:val="21"/>
                    </w:rPr>
                    <w:t>防盗窃和防破坏</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80496E">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应将设备或主要部件进行固定，并设置明显的不易除去的标记；</w:t>
                  </w:r>
                </w:p>
              </w:tc>
            </w:tr>
            <w:tr w14:paraId="1F4C72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51E981CB"/>
              </w:tc>
              <w:tc>
                <w:tcPr>
                  <w:tcW w:w="391" w:type="dxa"/>
                  <w:vMerge w:val="continue"/>
                  <w:tcBorders>
                    <w:top w:val="nil"/>
                    <w:left w:val="nil"/>
                    <w:bottom w:val="single" w:color="000000" w:sz="4" w:space="0"/>
                    <w:right w:val="single" w:color="000000" w:sz="4" w:space="0"/>
                  </w:tcBorders>
                </w:tcPr>
                <w:p w14:paraId="4AF6FC19"/>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CF9C0A">
                  <w:pPr>
                    <w:pStyle w:val="4"/>
                    <w:jc w:val="left"/>
                  </w:pPr>
                  <w:r>
                    <w:rPr>
                      <w:rFonts w:ascii="仿宋_GB2312" w:hAnsi="仿宋_GB2312" w:eastAsia="仿宋_GB2312" w:cs="仿宋_GB2312"/>
                      <w:sz w:val="21"/>
                    </w:rPr>
                    <w:t>b)应将通信线缆铺设在隐蔽处。</w:t>
                  </w:r>
                </w:p>
              </w:tc>
            </w:tr>
            <w:tr w14:paraId="301F39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68C16826"/>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68DDF8">
                  <w:pPr>
                    <w:pStyle w:val="4"/>
                    <w:jc w:val="center"/>
                  </w:pPr>
                  <w:r>
                    <w:rPr>
                      <w:rFonts w:ascii="仿宋_GB2312" w:hAnsi="仿宋_GB2312" w:eastAsia="仿宋_GB2312" w:cs="仿宋_GB2312"/>
                      <w:sz w:val="21"/>
                    </w:rPr>
                    <w:t>防雷击</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51312D">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应将各类机柜、设施和设备等通过接地系统安全接地。</w:t>
                  </w:r>
                </w:p>
              </w:tc>
            </w:tr>
            <w:tr w14:paraId="3270C6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4253ABAE"/>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B49E3C3">
                  <w:pPr>
                    <w:pStyle w:val="4"/>
                    <w:jc w:val="center"/>
                  </w:pPr>
                  <w:r>
                    <w:rPr>
                      <w:rFonts w:ascii="仿宋_GB2312" w:hAnsi="仿宋_GB2312" w:eastAsia="仿宋_GB2312" w:cs="仿宋_GB2312"/>
                      <w:sz w:val="21"/>
                    </w:rPr>
                    <w:t>防火</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B991E5">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机房应设置火灾自动消防系统，能够自动检测火情、自动报警，并自动灭火；</w:t>
                  </w:r>
                </w:p>
              </w:tc>
            </w:tr>
            <w:tr w14:paraId="0851BD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654E6DC9"/>
              </w:tc>
              <w:tc>
                <w:tcPr>
                  <w:tcW w:w="391" w:type="dxa"/>
                  <w:vMerge w:val="continue"/>
                  <w:tcBorders>
                    <w:top w:val="nil"/>
                    <w:left w:val="nil"/>
                    <w:bottom w:val="single" w:color="000000" w:sz="4" w:space="0"/>
                    <w:right w:val="single" w:color="000000" w:sz="4" w:space="0"/>
                  </w:tcBorders>
                </w:tcPr>
                <w:p w14:paraId="7F850408"/>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E3FBB9">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机房及相关的工作房间和辅助房应采用具有耐火等级的建筑材料。</w:t>
                  </w:r>
                </w:p>
              </w:tc>
            </w:tr>
            <w:tr w14:paraId="4ABF2D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0752E3B8"/>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5BF20AE">
                  <w:pPr>
                    <w:pStyle w:val="4"/>
                    <w:jc w:val="center"/>
                  </w:pPr>
                  <w:r>
                    <w:rPr>
                      <w:rFonts w:ascii="仿宋_GB2312" w:hAnsi="仿宋_GB2312" w:eastAsia="仿宋_GB2312" w:cs="仿宋_GB2312"/>
                      <w:sz w:val="21"/>
                    </w:rPr>
                    <w:t>防水防潮</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490F71">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应采取措施防止雨水通过机房窗口、屋顶和墙壁渗透；</w:t>
                  </w:r>
                </w:p>
              </w:tc>
            </w:tr>
            <w:tr w14:paraId="662E24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5F5EC1C6"/>
              </w:tc>
              <w:tc>
                <w:tcPr>
                  <w:tcW w:w="391" w:type="dxa"/>
                  <w:vMerge w:val="continue"/>
                  <w:tcBorders>
                    <w:top w:val="nil"/>
                    <w:left w:val="nil"/>
                    <w:bottom w:val="single" w:color="000000" w:sz="4" w:space="0"/>
                    <w:right w:val="single" w:color="000000" w:sz="4" w:space="0"/>
                  </w:tcBorders>
                </w:tcPr>
                <w:p w14:paraId="6E8B5C7E"/>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6FEF5C">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应采取措施防止机房内水蒸气结露和地下积水的转移与渗透。</w:t>
                  </w:r>
                </w:p>
              </w:tc>
            </w:tr>
            <w:tr w14:paraId="7D313A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5EA2F9EE"/>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E713B9">
                  <w:pPr>
                    <w:pStyle w:val="4"/>
                    <w:jc w:val="center"/>
                  </w:pPr>
                  <w:r>
                    <w:rPr>
                      <w:rFonts w:ascii="仿宋_GB2312" w:hAnsi="仿宋_GB2312" w:eastAsia="仿宋_GB2312" w:cs="仿宋_GB2312"/>
                      <w:sz w:val="21"/>
                    </w:rPr>
                    <w:t>防静电</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D1EF3E">
                  <w:pPr>
                    <w:pStyle w:val="4"/>
                    <w:jc w:val="left"/>
                  </w:pPr>
                  <w:r>
                    <w:rPr>
                      <w:rFonts w:ascii="仿宋_GB2312" w:hAnsi="仿宋_GB2312" w:eastAsia="仿宋_GB2312" w:cs="仿宋_GB2312"/>
                      <w:sz w:val="21"/>
                    </w:rPr>
                    <w:t>a)应采用防静电地板并采用必要的接地防静电措施。</w:t>
                  </w:r>
                </w:p>
              </w:tc>
            </w:tr>
            <w:tr w14:paraId="283776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0D47E05A"/>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7859CB">
                  <w:pPr>
                    <w:pStyle w:val="4"/>
                    <w:jc w:val="center"/>
                  </w:pPr>
                  <w:r>
                    <w:rPr>
                      <w:rFonts w:ascii="仿宋_GB2312" w:hAnsi="仿宋_GB2312" w:eastAsia="仿宋_GB2312" w:cs="仿宋_GB2312"/>
                      <w:sz w:val="21"/>
                    </w:rPr>
                    <w:t>温湿度控制</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446500">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应设置温湿度自动调节设施，使机房温湿度的变化在设备运行所允许的范围之内。</w:t>
                  </w:r>
                </w:p>
              </w:tc>
            </w:tr>
            <w:tr w14:paraId="17369B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1C114C3A"/>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F95C604">
                  <w:pPr>
                    <w:pStyle w:val="4"/>
                    <w:jc w:val="center"/>
                  </w:pPr>
                  <w:r>
                    <w:rPr>
                      <w:rFonts w:ascii="仿宋_GB2312" w:hAnsi="仿宋_GB2312" w:eastAsia="仿宋_GB2312" w:cs="仿宋_GB2312"/>
                      <w:sz w:val="21"/>
                    </w:rPr>
                    <w:t>电力供应</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13FC7D">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应在机房供电线路上配置稳压器和过电压防护设备；</w:t>
                  </w:r>
                </w:p>
              </w:tc>
            </w:tr>
            <w:tr w14:paraId="68D6F2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3ADF7DD1"/>
              </w:tc>
              <w:tc>
                <w:tcPr>
                  <w:tcW w:w="391" w:type="dxa"/>
                  <w:vMerge w:val="continue"/>
                  <w:tcBorders>
                    <w:top w:val="nil"/>
                    <w:left w:val="nil"/>
                    <w:bottom w:val="single" w:color="000000" w:sz="4" w:space="0"/>
                    <w:right w:val="single" w:color="000000" w:sz="4" w:space="0"/>
                  </w:tcBorders>
                </w:tcPr>
                <w:p w14:paraId="1E397300"/>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61421A">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应提供短期的备用电力供应，至少满足设备在断电情况下的正常运行要求。</w:t>
                  </w:r>
                </w:p>
              </w:tc>
            </w:tr>
            <w:tr w14:paraId="043D5A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05B934AC"/>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E17E11">
                  <w:pPr>
                    <w:pStyle w:val="4"/>
                    <w:jc w:val="center"/>
                  </w:pPr>
                  <w:r>
                    <w:rPr>
                      <w:rFonts w:ascii="仿宋_GB2312" w:hAnsi="仿宋_GB2312" w:eastAsia="仿宋_GB2312" w:cs="仿宋_GB2312"/>
                      <w:sz w:val="21"/>
                    </w:rPr>
                    <w:t>电磁防护</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CF354D">
                  <w:pPr>
                    <w:pStyle w:val="4"/>
                    <w:jc w:val="left"/>
                  </w:pPr>
                  <w:r>
                    <w:rPr>
                      <w:rFonts w:ascii="仿宋_GB2312" w:hAnsi="仿宋_GB2312" w:eastAsia="仿宋_GB2312" w:cs="仿宋_GB2312"/>
                      <w:sz w:val="21"/>
                    </w:rPr>
                    <w:t>a)电源线和通信线缆应隔离铺设，避免互相干扰。</w:t>
                  </w:r>
                </w:p>
              </w:tc>
            </w:tr>
            <w:tr w14:paraId="372037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242DC0">
                  <w:pPr>
                    <w:pStyle w:val="4"/>
                    <w:jc w:val="center"/>
                  </w:pPr>
                  <w:r>
                    <w:rPr>
                      <w:rFonts w:ascii="仿宋_GB2312" w:hAnsi="仿宋_GB2312" w:eastAsia="仿宋_GB2312" w:cs="仿宋_GB2312"/>
                      <w:sz w:val="21"/>
                    </w:rPr>
                    <w:t>安全通信网</w:t>
                  </w:r>
                </w:p>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6131DE5">
                  <w:pPr>
                    <w:pStyle w:val="4"/>
                    <w:jc w:val="center"/>
                  </w:pPr>
                  <w:r>
                    <w:rPr>
                      <w:rFonts w:ascii="仿宋_GB2312" w:hAnsi="仿宋_GB2312" w:eastAsia="仿宋_GB2312" w:cs="仿宋_GB2312"/>
                      <w:sz w:val="21"/>
                    </w:rPr>
                    <w:t>网络架构</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0A45BD">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应划分不同的网络区域，并按照方便管理和控制的原则为各个网络区域分配地址；</w:t>
                  </w:r>
                </w:p>
              </w:tc>
            </w:tr>
            <w:tr w14:paraId="6535BB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43F9E2E0"/>
              </w:tc>
              <w:tc>
                <w:tcPr>
                  <w:tcW w:w="391" w:type="dxa"/>
                  <w:vMerge w:val="continue"/>
                  <w:tcBorders>
                    <w:top w:val="nil"/>
                    <w:left w:val="nil"/>
                    <w:bottom w:val="single" w:color="000000" w:sz="4" w:space="0"/>
                    <w:right w:val="single" w:color="000000" w:sz="4" w:space="0"/>
                  </w:tcBorders>
                </w:tcPr>
                <w:p w14:paraId="6FAE8D77"/>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500DD1">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应避免将重要网络区域部署在边界处，重要网络区域与其他网络区域之间应采取可靠的技术隔离手段。</w:t>
                  </w:r>
                </w:p>
              </w:tc>
            </w:tr>
            <w:tr w14:paraId="2078AA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40E5C831"/>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68468B">
                  <w:pPr>
                    <w:pStyle w:val="4"/>
                    <w:jc w:val="center"/>
                  </w:pPr>
                  <w:r>
                    <w:rPr>
                      <w:rFonts w:ascii="仿宋_GB2312" w:hAnsi="仿宋_GB2312" w:eastAsia="仿宋_GB2312" w:cs="仿宋_GB2312"/>
                      <w:sz w:val="21"/>
                    </w:rPr>
                    <w:t>通信传输</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E14E9E">
                  <w:pPr>
                    <w:pStyle w:val="4"/>
                    <w:jc w:val="left"/>
                  </w:pPr>
                  <w:r>
                    <w:rPr>
                      <w:rFonts w:ascii="仿宋_GB2312" w:hAnsi="仿宋_GB2312" w:eastAsia="仿宋_GB2312" w:cs="仿宋_GB2312"/>
                      <w:sz w:val="21"/>
                    </w:rPr>
                    <w:t>a)应采用校验技术保证通信过程中数据的完整性。</w:t>
                  </w:r>
                </w:p>
              </w:tc>
            </w:tr>
            <w:tr w14:paraId="711D02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27A70C06"/>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D51168">
                  <w:pPr>
                    <w:pStyle w:val="4"/>
                    <w:jc w:val="center"/>
                  </w:pPr>
                  <w:r>
                    <w:rPr>
                      <w:rFonts w:ascii="仿宋_GB2312" w:hAnsi="仿宋_GB2312" w:eastAsia="仿宋_GB2312" w:cs="仿宋_GB2312"/>
                      <w:sz w:val="21"/>
                    </w:rPr>
                    <w:t>可信验证</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18255E">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可基于可信根对通信设备的系统引导程序、系统程序、重要配置参数和通信应用程序等进行可信验证，并在检测到其可信性受到破坏后进行报警，并将验证结果形成审计记录送至安全管理中心。</w:t>
                  </w:r>
                </w:p>
              </w:tc>
            </w:tr>
            <w:tr w14:paraId="578D53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278D86">
                  <w:pPr>
                    <w:pStyle w:val="4"/>
                    <w:jc w:val="center"/>
                  </w:pPr>
                  <w:r>
                    <w:rPr>
                      <w:rFonts w:ascii="仿宋_GB2312" w:hAnsi="仿宋_GB2312" w:eastAsia="仿宋_GB2312" w:cs="仿宋_GB2312"/>
                      <w:sz w:val="21"/>
                    </w:rPr>
                    <w:t>安全区域边界</w:t>
                  </w:r>
                </w:p>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DFB5C3">
                  <w:pPr>
                    <w:pStyle w:val="4"/>
                    <w:jc w:val="center"/>
                  </w:pPr>
                  <w:r>
                    <w:rPr>
                      <w:rFonts w:ascii="仿宋_GB2312" w:hAnsi="仿宋_GB2312" w:eastAsia="仿宋_GB2312" w:cs="仿宋_GB2312"/>
                      <w:sz w:val="21"/>
                    </w:rPr>
                    <w:t>边界防护</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30F717">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应保证跨越边界的访问和数据流通过边界设备提供的受控接口进行通信。</w:t>
                  </w:r>
                </w:p>
              </w:tc>
            </w:tr>
            <w:tr w14:paraId="79DA08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164A29E4"/>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5C782A6">
                  <w:pPr>
                    <w:pStyle w:val="4"/>
                    <w:jc w:val="center"/>
                  </w:pPr>
                  <w:r>
                    <w:rPr>
                      <w:rFonts w:ascii="仿宋_GB2312" w:hAnsi="仿宋_GB2312" w:eastAsia="仿宋_GB2312" w:cs="仿宋_GB2312"/>
                      <w:sz w:val="21"/>
                    </w:rPr>
                    <w:t>访问控制</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BBCFDF">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应在网络边界或区域之间访问控制策略设置访问控制规则，默认情况下除允许通信外受控接口拒绝所有通信；</w:t>
                  </w:r>
                </w:p>
              </w:tc>
            </w:tr>
            <w:tr w14:paraId="1FABF5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4578EF64"/>
              </w:tc>
              <w:tc>
                <w:tcPr>
                  <w:tcW w:w="391" w:type="dxa"/>
                  <w:vMerge w:val="continue"/>
                  <w:tcBorders>
                    <w:top w:val="nil"/>
                    <w:left w:val="nil"/>
                    <w:bottom w:val="single" w:color="000000" w:sz="4" w:space="0"/>
                    <w:right w:val="single" w:color="000000" w:sz="4" w:space="0"/>
                  </w:tcBorders>
                </w:tcPr>
                <w:p w14:paraId="31C8DCE6"/>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975E74">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应删除多余或无效的访问控制规则，优化访问控制列表，并保证访问控制规则数量最小化；</w:t>
                  </w:r>
                </w:p>
              </w:tc>
            </w:tr>
            <w:tr w14:paraId="6878D7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03AC2AB1"/>
              </w:tc>
              <w:tc>
                <w:tcPr>
                  <w:tcW w:w="391" w:type="dxa"/>
                  <w:vMerge w:val="continue"/>
                  <w:tcBorders>
                    <w:top w:val="nil"/>
                    <w:left w:val="nil"/>
                    <w:bottom w:val="single" w:color="000000" w:sz="4" w:space="0"/>
                    <w:right w:val="single" w:color="000000" w:sz="4" w:space="0"/>
                  </w:tcBorders>
                </w:tcPr>
                <w:p w14:paraId="4E2268D8"/>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0DCC78">
                  <w:pPr>
                    <w:pStyle w:val="4"/>
                    <w:jc w:val="left"/>
                  </w:pPr>
                  <w:r>
                    <w:rPr>
                      <w:rFonts w:ascii="仿宋_GB2312" w:hAnsi="仿宋_GB2312" w:eastAsia="仿宋_GB2312" w:cs="仿宋_GB2312"/>
                      <w:sz w:val="21"/>
                    </w:rPr>
                    <w:t>c</w:t>
                  </w:r>
                  <w:r>
                    <w:rPr>
                      <w:rFonts w:ascii="仿宋_GB2312" w:hAnsi="仿宋_GB2312" w:eastAsia="仿宋_GB2312" w:cs="仿宋_GB2312"/>
                      <w:color w:val="000000"/>
                      <w:sz w:val="21"/>
                    </w:rPr>
                    <w:t>）应对源地址、目标地址、源端口、目的端口和协议等进行检查，</w:t>
                  </w:r>
                  <w:r>
                    <w:rPr>
                      <w:rFonts w:ascii="仿宋_GB2312" w:hAnsi="仿宋_GB2312" w:eastAsia="仿宋_GB2312" w:cs="仿宋_GB2312"/>
                      <w:sz w:val="21"/>
                    </w:rPr>
                    <w:t xml:space="preserve"> </w:t>
                  </w:r>
                  <w:r>
                    <w:rPr>
                      <w:rFonts w:ascii="仿宋_GB2312" w:hAnsi="仿宋_GB2312" w:eastAsia="仿宋_GB2312" w:cs="仿宋_GB2312"/>
                      <w:color w:val="000000"/>
                      <w:sz w:val="21"/>
                    </w:rPr>
                    <w:t>以允许</w:t>
                  </w:r>
                  <w:r>
                    <w:rPr>
                      <w:rFonts w:ascii="仿宋_GB2312" w:hAnsi="仿宋_GB2312" w:eastAsia="仿宋_GB2312" w:cs="仿宋_GB2312"/>
                      <w:sz w:val="21"/>
                    </w:rPr>
                    <w:t>/</w:t>
                  </w:r>
                  <w:r>
                    <w:rPr>
                      <w:rFonts w:ascii="仿宋_GB2312" w:hAnsi="仿宋_GB2312" w:eastAsia="仿宋_GB2312" w:cs="仿宋_GB2312"/>
                      <w:color w:val="000000"/>
                      <w:sz w:val="21"/>
                    </w:rPr>
                    <w:t>拒绝数据包进出；</w:t>
                  </w:r>
                </w:p>
              </w:tc>
            </w:tr>
            <w:tr w14:paraId="753241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3569272D"/>
              </w:tc>
              <w:tc>
                <w:tcPr>
                  <w:tcW w:w="391" w:type="dxa"/>
                  <w:vMerge w:val="continue"/>
                  <w:tcBorders>
                    <w:top w:val="nil"/>
                    <w:left w:val="nil"/>
                    <w:bottom w:val="single" w:color="000000" w:sz="4" w:space="0"/>
                    <w:right w:val="single" w:color="000000" w:sz="4" w:space="0"/>
                  </w:tcBorders>
                </w:tcPr>
                <w:p w14:paraId="3385F06B"/>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3FA9B2">
                  <w:pPr>
                    <w:pStyle w:val="4"/>
                    <w:jc w:val="left"/>
                  </w:pPr>
                  <w:r>
                    <w:rPr>
                      <w:rFonts w:ascii="仿宋_GB2312" w:hAnsi="仿宋_GB2312" w:eastAsia="仿宋_GB2312" w:cs="仿宋_GB2312"/>
                      <w:sz w:val="21"/>
                    </w:rPr>
                    <w:t>d)</w:t>
                  </w:r>
                  <w:r>
                    <w:rPr>
                      <w:rFonts w:ascii="仿宋_GB2312" w:hAnsi="仿宋_GB2312" w:eastAsia="仿宋_GB2312" w:cs="仿宋_GB2312"/>
                      <w:color w:val="000000"/>
                      <w:sz w:val="21"/>
                    </w:rPr>
                    <w:t>应能根据会话状态信息为进出数据流提供明确的允许</w:t>
                  </w:r>
                  <w:r>
                    <w:rPr>
                      <w:rFonts w:ascii="仿宋_GB2312" w:hAnsi="仿宋_GB2312" w:eastAsia="仿宋_GB2312" w:cs="仿宋_GB2312"/>
                      <w:sz w:val="21"/>
                    </w:rPr>
                    <w:t>/</w:t>
                  </w:r>
                  <w:r>
                    <w:rPr>
                      <w:rFonts w:ascii="仿宋_GB2312" w:hAnsi="仿宋_GB2312" w:eastAsia="仿宋_GB2312" w:cs="仿宋_GB2312"/>
                      <w:color w:val="000000"/>
                      <w:sz w:val="21"/>
                    </w:rPr>
                    <w:t>拒绝访问的能力。</w:t>
                  </w:r>
                </w:p>
              </w:tc>
            </w:tr>
            <w:tr w14:paraId="085673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210BDFCB"/>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86AE0F">
                  <w:pPr>
                    <w:pStyle w:val="4"/>
                    <w:jc w:val="center"/>
                  </w:pPr>
                  <w:r>
                    <w:rPr>
                      <w:rFonts w:ascii="仿宋_GB2312" w:hAnsi="仿宋_GB2312" w:eastAsia="仿宋_GB2312" w:cs="仿宋_GB2312"/>
                      <w:sz w:val="21"/>
                    </w:rPr>
                    <w:t>入侵防范</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979D76">
                  <w:pPr>
                    <w:pStyle w:val="4"/>
                    <w:jc w:val="left"/>
                  </w:pPr>
                  <w:r>
                    <w:rPr>
                      <w:rFonts w:ascii="仿宋_GB2312" w:hAnsi="仿宋_GB2312" w:eastAsia="仿宋_GB2312" w:cs="仿宋_GB2312"/>
                      <w:sz w:val="21"/>
                    </w:rPr>
                    <w:t>a）应在关键网络节点处监视网络攻击行为。</w:t>
                  </w:r>
                </w:p>
              </w:tc>
            </w:tr>
            <w:tr w14:paraId="50440D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584B0CB9"/>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AF5F3E">
                  <w:pPr>
                    <w:pStyle w:val="4"/>
                    <w:jc w:val="center"/>
                  </w:pPr>
                  <w:r>
                    <w:rPr>
                      <w:rFonts w:ascii="仿宋_GB2312" w:hAnsi="仿宋_GB2312" w:eastAsia="仿宋_GB2312" w:cs="仿宋_GB2312"/>
                      <w:sz w:val="21"/>
                    </w:rPr>
                    <w:t>恶意代码防范</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B9038B">
                  <w:pPr>
                    <w:pStyle w:val="4"/>
                    <w:jc w:val="left"/>
                  </w:pPr>
                  <w:r>
                    <w:rPr>
                      <w:rFonts w:ascii="仿宋_GB2312" w:hAnsi="仿宋_GB2312" w:eastAsia="仿宋_GB2312" w:cs="仿宋_GB2312"/>
                      <w:sz w:val="21"/>
                    </w:rPr>
                    <w:t xml:space="preserve">a) </w:t>
                  </w:r>
                  <w:r>
                    <w:rPr>
                      <w:rFonts w:ascii="仿宋_GB2312" w:hAnsi="仿宋_GB2312" w:eastAsia="仿宋_GB2312" w:cs="仿宋_GB2312"/>
                      <w:color w:val="000000"/>
                      <w:sz w:val="21"/>
                    </w:rPr>
                    <w:t>应在关键网络节点处对恶意代码进行检测和清除，并维护恶意代码防护机制的升级和更新。</w:t>
                  </w:r>
                </w:p>
              </w:tc>
            </w:tr>
            <w:tr w14:paraId="25AB24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7EC0F58F"/>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77B32C2">
                  <w:pPr>
                    <w:pStyle w:val="4"/>
                    <w:jc w:val="center"/>
                  </w:pPr>
                  <w:r>
                    <w:rPr>
                      <w:rFonts w:ascii="仿宋_GB2312" w:hAnsi="仿宋_GB2312" w:eastAsia="仿宋_GB2312" w:cs="仿宋_GB2312"/>
                      <w:sz w:val="21"/>
                    </w:rPr>
                    <w:t>安全审计</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1335E3">
                  <w:pPr>
                    <w:pStyle w:val="4"/>
                    <w:jc w:val="left"/>
                  </w:pPr>
                  <w:r>
                    <w:rPr>
                      <w:rFonts w:ascii="仿宋_GB2312" w:hAnsi="仿宋_GB2312" w:eastAsia="仿宋_GB2312" w:cs="仿宋_GB2312"/>
                      <w:sz w:val="21"/>
                    </w:rPr>
                    <w:t xml:space="preserve">a) </w:t>
                  </w:r>
                  <w:r>
                    <w:rPr>
                      <w:rFonts w:ascii="仿宋_GB2312" w:hAnsi="仿宋_GB2312" w:eastAsia="仿宋_GB2312" w:cs="仿宋_GB2312"/>
                      <w:color w:val="000000"/>
                      <w:sz w:val="21"/>
                    </w:rPr>
                    <w:t>应在网络边界，重要网络节点进行安全审计，审计覆盖到每个用户，对重要的用户行为和重要安全事件进行审计；</w:t>
                  </w:r>
                </w:p>
              </w:tc>
            </w:tr>
            <w:tr w14:paraId="5DF7EE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485577F8"/>
              </w:tc>
              <w:tc>
                <w:tcPr>
                  <w:tcW w:w="391" w:type="dxa"/>
                  <w:vMerge w:val="continue"/>
                  <w:tcBorders>
                    <w:top w:val="nil"/>
                    <w:left w:val="nil"/>
                    <w:bottom w:val="single" w:color="000000" w:sz="4" w:space="0"/>
                    <w:right w:val="single" w:color="000000" w:sz="4" w:space="0"/>
                  </w:tcBorders>
                </w:tcPr>
                <w:p w14:paraId="42365040"/>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4D5BAA">
                  <w:pPr>
                    <w:pStyle w:val="4"/>
                    <w:jc w:val="left"/>
                  </w:pPr>
                  <w:r>
                    <w:rPr>
                      <w:rFonts w:ascii="仿宋_GB2312" w:hAnsi="仿宋_GB2312" w:eastAsia="仿宋_GB2312" w:cs="仿宋_GB2312"/>
                      <w:sz w:val="21"/>
                    </w:rPr>
                    <w:t xml:space="preserve">b) </w:t>
                  </w:r>
                  <w:r>
                    <w:rPr>
                      <w:rFonts w:ascii="仿宋_GB2312" w:hAnsi="仿宋_GB2312" w:eastAsia="仿宋_GB2312" w:cs="仿宋_GB2312"/>
                      <w:color w:val="000000"/>
                      <w:sz w:val="21"/>
                    </w:rPr>
                    <w:t>审计记录应包括事件的日期和时间、用户、事件类型、事件是否成功及其他与审计相关的信息；</w:t>
                  </w:r>
                </w:p>
              </w:tc>
            </w:tr>
            <w:tr w14:paraId="2C34EF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349B4949"/>
              </w:tc>
              <w:tc>
                <w:tcPr>
                  <w:tcW w:w="391" w:type="dxa"/>
                  <w:vMerge w:val="continue"/>
                  <w:tcBorders>
                    <w:top w:val="nil"/>
                    <w:left w:val="nil"/>
                    <w:bottom w:val="single" w:color="000000" w:sz="4" w:space="0"/>
                    <w:right w:val="single" w:color="000000" w:sz="4" w:space="0"/>
                  </w:tcBorders>
                </w:tcPr>
                <w:p w14:paraId="6736B3CA"/>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7F5127">
                  <w:pPr>
                    <w:pStyle w:val="4"/>
                    <w:jc w:val="left"/>
                  </w:pPr>
                  <w:r>
                    <w:rPr>
                      <w:rFonts w:ascii="仿宋_GB2312" w:hAnsi="仿宋_GB2312" w:eastAsia="仿宋_GB2312" w:cs="仿宋_GB2312"/>
                      <w:sz w:val="21"/>
                    </w:rPr>
                    <w:t>c</w:t>
                  </w:r>
                  <w:r>
                    <w:rPr>
                      <w:rFonts w:ascii="仿宋_GB2312" w:hAnsi="仿宋_GB2312" w:eastAsia="仿宋_GB2312" w:cs="仿宋_GB2312"/>
                      <w:color w:val="000000"/>
                      <w:sz w:val="21"/>
                    </w:rPr>
                    <w:t>）应对审计记录进行保护，定期备份，避免受到未预期的删除、修改或覆盖等。</w:t>
                  </w:r>
                </w:p>
              </w:tc>
            </w:tr>
            <w:tr w14:paraId="34BDF6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63462D61"/>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59DC77">
                  <w:pPr>
                    <w:pStyle w:val="4"/>
                    <w:jc w:val="center"/>
                  </w:pPr>
                  <w:r>
                    <w:rPr>
                      <w:rFonts w:ascii="仿宋_GB2312" w:hAnsi="仿宋_GB2312" w:eastAsia="仿宋_GB2312" w:cs="仿宋_GB2312"/>
                      <w:sz w:val="21"/>
                    </w:rPr>
                    <w:t>可信验证</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3DE6F3">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可基于可信根对边界设备的系统引导程序、系统程序、重要配置参数和通信应用程序等进行可信验证，并在检测到其可信性受到破坏后进行报警，并将验证结果形成审计记录送至安全管理中心。</w:t>
                  </w:r>
                </w:p>
              </w:tc>
            </w:tr>
            <w:tr w14:paraId="356BF1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6DFB1F">
                  <w:pPr>
                    <w:pStyle w:val="4"/>
                    <w:jc w:val="center"/>
                  </w:pPr>
                  <w:r>
                    <w:rPr>
                      <w:rFonts w:ascii="仿宋_GB2312" w:hAnsi="仿宋_GB2312" w:eastAsia="仿宋_GB2312" w:cs="仿宋_GB2312"/>
                      <w:sz w:val="21"/>
                    </w:rPr>
                    <w:t>安全计算环境</w:t>
                  </w:r>
                </w:p>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F64EE69">
                  <w:pPr>
                    <w:pStyle w:val="4"/>
                    <w:jc w:val="center"/>
                  </w:pPr>
                  <w:r>
                    <w:rPr>
                      <w:rFonts w:ascii="仿宋_GB2312" w:hAnsi="仿宋_GB2312" w:eastAsia="仿宋_GB2312" w:cs="仿宋_GB2312"/>
                      <w:sz w:val="21"/>
                    </w:rPr>
                    <w:t>身份鉴别</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E7D583">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应对登录的用户进行身份标识和鉴别，身份标识具有唯一性，身份鉴别信息具有复杂度要求并定期更换；</w:t>
                  </w:r>
                </w:p>
              </w:tc>
            </w:tr>
            <w:tr w14:paraId="25316C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08DCCFA1"/>
              </w:tc>
              <w:tc>
                <w:tcPr>
                  <w:tcW w:w="391" w:type="dxa"/>
                  <w:vMerge w:val="continue"/>
                  <w:tcBorders>
                    <w:top w:val="nil"/>
                    <w:left w:val="nil"/>
                    <w:bottom w:val="single" w:color="000000" w:sz="4" w:space="0"/>
                    <w:right w:val="single" w:color="000000" w:sz="4" w:space="0"/>
                  </w:tcBorders>
                </w:tcPr>
                <w:p w14:paraId="206FA2E2"/>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F2E985">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应具有登录失败处理功能，应配置并启用结束会话、限制非法登陆次数和当登录连接超时自动退出等相关措施；</w:t>
                  </w:r>
                </w:p>
              </w:tc>
            </w:tr>
            <w:tr w14:paraId="0EE5B2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14E829F5"/>
              </w:tc>
              <w:tc>
                <w:tcPr>
                  <w:tcW w:w="391" w:type="dxa"/>
                  <w:vMerge w:val="continue"/>
                  <w:tcBorders>
                    <w:top w:val="nil"/>
                    <w:left w:val="nil"/>
                    <w:bottom w:val="single" w:color="000000" w:sz="4" w:space="0"/>
                    <w:right w:val="single" w:color="000000" w:sz="4" w:space="0"/>
                  </w:tcBorders>
                </w:tcPr>
                <w:p w14:paraId="23BCCA5E"/>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B36697">
                  <w:pPr>
                    <w:pStyle w:val="4"/>
                    <w:jc w:val="left"/>
                  </w:pPr>
                  <w:r>
                    <w:rPr>
                      <w:rFonts w:ascii="仿宋_GB2312" w:hAnsi="仿宋_GB2312" w:eastAsia="仿宋_GB2312" w:cs="仿宋_GB2312"/>
                      <w:sz w:val="21"/>
                    </w:rPr>
                    <w:t>c)</w:t>
                  </w:r>
                  <w:r>
                    <w:rPr>
                      <w:rFonts w:ascii="仿宋_GB2312" w:hAnsi="仿宋_GB2312" w:eastAsia="仿宋_GB2312" w:cs="仿宋_GB2312"/>
                      <w:color w:val="000000"/>
                      <w:sz w:val="21"/>
                    </w:rPr>
                    <w:t>当进行远程管理时，应采取必要的措施防止鉴别信息在网络传输过程中被窃听。</w:t>
                  </w:r>
                </w:p>
              </w:tc>
            </w:tr>
            <w:tr w14:paraId="6551A1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13B7CE18"/>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A7DA19E">
                  <w:pPr>
                    <w:pStyle w:val="4"/>
                    <w:jc w:val="center"/>
                  </w:pPr>
                  <w:r>
                    <w:rPr>
                      <w:rFonts w:ascii="仿宋_GB2312" w:hAnsi="仿宋_GB2312" w:eastAsia="仿宋_GB2312" w:cs="仿宋_GB2312"/>
                      <w:sz w:val="21"/>
                    </w:rPr>
                    <w:t>访问控制</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36F16F">
                  <w:pPr>
                    <w:pStyle w:val="4"/>
                    <w:jc w:val="left"/>
                  </w:pPr>
                  <w:r>
                    <w:rPr>
                      <w:rFonts w:ascii="仿宋_GB2312" w:hAnsi="仿宋_GB2312" w:eastAsia="仿宋_GB2312" w:cs="仿宋_GB2312"/>
                      <w:sz w:val="21"/>
                    </w:rPr>
                    <w:t>a)应对登录的用户分配账户和权限；</w:t>
                  </w:r>
                </w:p>
              </w:tc>
            </w:tr>
            <w:tr w14:paraId="0C7117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0EB1BAA5"/>
              </w:tc>
              <w:tc>
                <w:tcPr>
                  <w:tcW w:w="391" w:type="dxa"/>
                  <w:vMerge w:val="continue"/>
                  <w:tcBorders>
                    <w:top w:val="nil"/>
                    <w:left w:val="nil"/>
                    <w:bottom w:val="single" w:color="000000" w:sz="4" w:space="0"/>
                    <w:right w:val="single" w:color="000000" w:sz="4" w:space="0"/>
                  </w:tcBorders>
                </w:tcPr>
                <w:p w14:paraId="7E8F7950"/>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CF004D">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应重命名或删除默认账户，修改默认账户的默认口令；</w:t>
                  </w:r>
                </w:p>
              </w:tc>
            </w:tr>
            <w:tr w14:paraId="73B7F3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25EE5912"/>
              </w:tc>
              <w:tc>
                <w:tcPr>
                  <w:tcW w:w="391" w:type="dxa"/>
                  <w:vMerge w:val="continue"/>
                  <w:tcBorders>
                    <w:top w:val="nil"/>
                    <w:left w:val="nil"/>
                    <w:bottom w:val="single" w:color="000000" w:sz="4" w:space="0"/>
                    <w:right w:val="single" w:color="000000" w:sz="4" w:space="0"/>
                  </w:tcBorders>
                </w:tcPr>
                <w:p w14:paraId="73A4F278"/>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F4D94B">
                  <w:pPr>
                    <w:pStyle w:val="4"/>
                    <w:jc w:val="left"/>
                  </w:pPr>
                  <w:r>
                    <w:rPr>
                      <w:rFonts w:ascii="仿宋_GB2312" w:hAnsi="仿宋_GB2312" w:eastAsia="仿宋_GB2312" w:cs="仿宋_GB2312"/>
                      <w:sz w:val="21"/>
                    </w:rPr>
                    <w:t>c)</w:t>
                  </w:r>
                  <w:r>
                    <w:rPr>
                      <w:rFonts w:ascii="仿宋_GB2312" w:hAnsi="仿宋_GB2312" w:eastAsia="仿宋_GB2312" w:cs="仿宋_GB2312"/>
                      <w:color w:val="000000"/>
                      <w:sz w:val="21"/>
                    </w:rPr>
                    <w:t>应及时删除或停用多余的、过期的账户，避免共享账户的存在；</w:t>
                  </w:r>
                </w:p>
              </w:tc>
            </w:tr>
            <w:tr w14:paraId="3B910E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41E0BF69"/>
              </w:tc>
              <w:tc>
                <w:tcPr>
                  <w:tcW w:w="391" w:type="dxa"/>
                  <w:vMerge w:val="continue"/>
                  <w:tcBorders>
                    <w:top w:val="nil"/>
                    <w:left w:val="nil"/>
                    <w:bottom w:val="single" w:color="000000" w:sz="4" w:space="0"/>
                    <w:right w:val="single" w:color="000000" w:sz="4" w:space="0"/>
                  </w:tcBorders>
                </w:tcPr>
                <w:p w14:paraId="781A5320"/>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2D52F5">
                  <w:pPr>
                    <w:pStyle w:val="4"/>
                    <w:jc w:val="left"/>
                  </w:pPr>
                  <w:r>
                    <w:rPr>
                      <w:rFonts w:ascii="仿宋_GB2312" w:hAnsi="仿宋_GB2312" w:eastAsia="仿宋_GB2312" w:cs="仿宋_GB2312"/>
                      <w:sz w:val="21"/>
                    </w:rPr>
                    <w:t>d)</w:t>
                  </w:r>
                  <w:r>
                    <w:rPr>
                      <w:rFonts w:ascii="仿宋_GB2312" w:hAnsi="仿宋_GB2312" w:eastAsia="仿宋_GB2312" w:cs="仿宋_GB2312"/>
                      <w:color w:val="000000"/>
                      <w:sz w:val="21"/>
                    </w:rPr>
                    <w:t>应授予管理用户所需的最小权限，实现管理用户的权限分离。</w:t>
                  </w:r>
                </w:p>
              </w:tc>
            </w:tr>
            <w:tr w14:paraId="68D7F4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1C21DB21"/>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A0A33B1">
                  <w:pPr>
                    <w:pStyle w:val="4"/>
                    <w:jc w:val="center"/>
                  </w:pPr>
                  <w:r>
                    <w:rPr>
                      <w:rFonts w:ascii="仿宋_GB2312" w:hAnsi="仿宋_GB2312" w:eastAsia="仿宋_GB2312" w:cs="仿宋_GB2312"/>
                      <w:sz w:val="21"/>
                    </w:rPr>
                    <w:t>安全审计</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CA5212">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应提供安全审计功能，审计覆盖到每个用户，对重要的用户行为和重要安全事件进行审计；</w:t>
                  </w:r>
                </w:p>
              </w:tc>
            </w:tr>
            <w:tr w14:paraId="4B7586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5267E263"/>
              </w:tc>
              <w:tc>
                <w:tcPr>
                  <w:tcW w:w="391" w:type="dxa"/>
                  <w:vMerge w:val="continue"/>
                  <w:tcBorders>
                    <w:top w:val="nil"/>
                    <w:left w:val="nil"/>
                    <w:bottom w:val="single" w:color="000000" w:sz="4" w:space="0"/>
                    <w:right w:val="single" w:color="000000" w:sz="4" w:space="0"/>
                  </w:tcBorders>
                </w:tcPr>
                <w:p w14:paraId="3E53F1F8"/>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829F95">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审计记录应包括事件的日期和时间、用户、事件类型、事件是否成功及其他与审计相关的信息；</w:t>
                  </w:r>
                </w:p>
              </w:tc>
            </w:tr>
            <w:tr w14:paraId="6813C8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2D63A953"/>
              </w:tc>
              <w:tc>
                <w:tcPr>
                  <w:tcW w:w="391" w:type="dxa"/>
                  <w:vMerge w:val="continue"/>
                  <w:tcBorders>
                    <w:top w:val="nil"/>
                    <w:left w:val="nil"/>
                    <w:bottom w:val="single" w:color="000000" w:sz="4" w:space="0"/>
                    <w:right w:val="single" w:color="000000" w:sz="4" w:space="0"/>
                  </w:tcBorders>
                </w:tcPr>
                <w:p w14:paraId="35CCB982"/>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800D30">
                  <w:pPr>
                    <w:pStyle w:val="4"/>
                    <w:jc w:val="left"/>
                  </w:pPr>
                  <w:r>
                    <w:rPr>
                      <w:rFonts w:ascii="仿宋_GB2312" w:hAnsi="仿宋_GB2312" w:eastAsia="仿宋_GB2312" w:cs="仿宋_GB2312"/>
                      <w:sz w:val="21"/>
                    </w:rPr>
                    <w:t>c)</w:t>
                  </w:r>
                  <w:r>
                    <w:rPr>
                      <w:rFonts w:ascii="仿宋_GB2312" w:hAnsi="仿宋_GB2312" w:eastAsia="仿宋_GB2312" w:cs="仿宋_GB2312"/>
                      <w:color w:val="000000"/>
                      <w:sz w:val="21"/>
                    </w:rPr>
                    <w:t>应对审计记录进行保护，定期备份，避免受到未预期的删除、修改或覆盖等。</w:t>
                  </w:r>
                </w:p>
              </w:tc>
            </w:tr>
            <w:tr w14:paraId="756806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1C2D29BD"/>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F1FB419">
                  <w:pPr>
                    <w:pStyle w:val="4"/>
                    <w:jc w:val="center"/>
                  </w:pPr>
                  <w:r>
                    <w:rPr>
                      <w:rFonts w:ascii="仿宋_GB2312" w:hAnsi="仿宋_GB2312" w:eastAsia="仿宋_GB2312" w:cs="仿宋_GB2312"/>
                      <w:sz w:val="21"/>
                    </w:rPr>
                    <w:t>入侵防范</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369FDB">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应遵循最小安装的原则，仅安装需要的组件和应用程序；</w:t>
                  </w:r>
                </w:p>
              </w:tc>
            </w:tr>
            <w:tr w14:paraId="251A72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388EAFB1"/>
              </w:tc>
              <w:tc>
                <w:tcPr>
                  <w:tcW w:w="391" w:type="dxa"/>
                  <w:vMerge w:val="continue"/>
                  <w:tcBorders>
                    <w:top w:val="nil"/>
                    <w:left w:val="nil"/>
                    <w:bottom w:val="single" w:color="000000" w:sz="4" w:space="0"/>
                    <w:right w:val="single" w:color="000000" w:sz="4" w:space="0"/>
                  </w:tcBorders>
                </w:tcPr>
                <w:p w14:paraId="308CC503"/>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02EC65">
                  <w:pPr>
                    <w:pStyle w:val="4"/>
                    <w:jc w:val="left"/>
                  </w:pPr>
                  <w:r>
                    <w:rPr>
                      <w:rFonts w:ascii="仿宋_GB2312" w:hAnsi="仿宋_GB2312" w:eastAsia="仿宋_GB2312" w:cs="仿宋_GB2312"/>
                      <w:sz w:val="21"/>
                    </w:rPr>
                    <w:t>b)应关闭不需要的系统服务、默认共享和高危端口；</w:t>
                  </w:r>
                </w:p>
              </w:tc>
            </w:tr>
            <w:tr w14:paraId="3FD23C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4F3F31AD"/>
              </w:tc>
              <w:tc>
                <w:tcPr>
                  <w:tcW w:w="391" w:type="dxa"/>
                  <w:vMerge w:val="continue"/>
                  <w:tcBorders>
                    <w:top w:val="nil"/>
                    <w:left w:val="nil"/>
                    <w:bottom w:val="single" w:color="000000" w:sz="4" w:space="0"/>
                    <w:right w:val="single" w:color="000000" w:sz="4" w:space="0"/>
                  </w:tcBorders>
                </w:tcPr>
                <w:p w14:paraId="70207A50"/>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75E358">
                  <w:pPr>
                    <w:pStyle w:val="4"/>
                    <w:jc w:val="left"/>
                  </w:pPr>
                  <w:r>
                    <w:rPr>
                      <w:rFonts w:ascii="仿宋_GB2312" w:hAnsi="仿宋_GB2312" w:eastAsia="仿宋_GB2312" w:cs="仿宋_GB2312"/>
                      <w:sz w:val="21"/>
                    </w:rPr>
                    <w:t>c)</w:t>
                  </w:r>
                  <w:r>
                    <w:rPr>
                      <w:rFonts w:ascii="仿宋_GB2312" w:hAnsi="仿宋_GB2312" w:eastAsia="仿宋_GB2312" w:cs="仿宋_GB2312"/>
                      <w:color w:val="000000"/>
                      <w:sz w:val="21"/>
                    </w:rPr>
                    <w:t>应通过设定终端接入方式或网络地址范围对通过网络进行管理的管理终端进行限制；</w:t>
                  </w:r>
                </w:p>
              </w:tc>
            </w:tr>
            <w:tr w14:paraId="5AD6F1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41E0AB3F"/>
              </w:tc>
              <w:tc>
                <w:tcPr>
                  <w:tcW w:w="391" w:type="dxa"/>
                  <w:vMerge w:val="continue"/>
                  <w:tcBorders>
                    <w:top w:val="nil"/>
                    <w:left w:val="nil"/>
                    <w:bottom w:val="single" w:color="000000" w:sz="4" w:space="0"/>
                    <w:right w:val="single" w:color="000000" w:sz="4" w:space="0"/>
                  </w:tcBorders>
                </w:tcPr>
                <w:p w14:paraId="33ABE7EB"/>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4F2C9C">
                  <w:pPr>
                    <w:pStyle w:val="4"/>
                    <w:jc w:val="left"/>
                  </w:pPr>
                  <w:r>
                    <w:rPr>
                      <w:rFonts w:ascii="仿宋_GB2312" w:hAnsi="仿宋_GB2312" w:eastAsia="仿宋_GB2312" w:cs="仿宋_GB2312"/>
                      <w:sz w:val="21"/>
                    </w:rPr>
                    <w:t>d)</w:t>
                  </w:r>
                  <w:r>
                    <w:rPr>
                      <w:rFonts w:ascii="仿宋_GB2312" w:hAnsi="仿宋_GB2312" w:eastAsia="仿宋_GB2312" w:cs="仿宋_GB2312"/>
                      <w:color w:val="000000"/>
                      <w:sz w:val="21"/>
                    </w:rPr>
                    <w:t>应提供数据有效性检验功能，保证通过人机接口输入或通过通信接口输入的内容符合系统设定要求。</w:t>
                  </w:r>
                </w:p>
              </w:tc>
            </w:tr>
            <w:tr w14:paraId="211131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4030A3E6"/>
              </w:tc>
              <w:tc>
                <w:tcPr>
                  <w:tcW w:w="391" w:type="dxa"/>
                  <w:vMerge w:val="continue"/>
                  <w:tcBorders>
                    <w:top w:val="nil"/>
                    <w:left w:val="nil"/>
                    <w:bottom w:val="single" w:color="000000" w:sz="4" w:space="0"/>
                    <w:right w:val="single" w:color="000000" w:sz="4" w:space="0"/>
                  </w:tcBorders>
                </w:tcPr>
                <w:p w14:paraId="26C611E1"/>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F0CC7F">
                  <w:pPr>
                    <w:pStyle w:val="4"/>
                    <w:jc w:val="left"/>
                  </w:pPr>
                  <w:r>
                    <w:rPr>
                      <w:rFonts w:ascii="仿宋_GB2312" w:hAnsi="仿宋_GB2312" w:eastAsia="仿宋_GB2312" w:cs="仿宋_GB2312"/>
                      <w:sz w:val="21"/>
                    </w:rPr>
                    <w:t>e)</w:t>
                  </w:r>
                  <w:r>
                    <w:rPr>
                      <w:rFonts w:ascii="仿宋_GB2312" w:hAnsi="仿宋_GB2312" w:eastAsia="仿宋_GB2312" w:cs="仿宋_GB2312"/>
                      <w:color w:val="000000"/>
                      <w:sz w:val="21"/>
                    </w:rPr>
                    <w:t>应能发现可能存在的已知漏洞，并在经过充分测试评估后，及时修补漏洞。</w:t>
                  </w:r>
                </w:p>
              </w:tc>
            </w:tr>
            <w:tr w14:paraId="5FE811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1D4E49CA"/>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31AAB7">
                  <w:pPr>
                    <w:pStyle w:val="4"/>
                    <w:jc w:val="center"/>
                  </w:pPr>
                  <w:r>
                    <w:rPr>
                      <w:rFonts w:ascii="仿宋_GB2312" w:hAnsi="仿宋_GB2312" w:eastAsia="仿宋_GB2312" w:cs="仿宋_GB2312"/>
                      <w:sz w:val="21"/>
                    </w:rPr>
                    <w:t>恶意代码防范</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DB62B4">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应安装方恶意代码软件或配置具有相应功能的软件，并及时更新防恶意代码软件版本和恶意代码库。</w:t>
                  </w:r>
                </w:p>
              </w:tc>
            </w:tr>
            <w:tr w14:paraId="5C08EF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3F139618"/>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2CE453">
                  <w:pPr>
                    <w:pStyle w:val="4"/>
                    <w:jc w:val="center"/>
                  </w:pPr>
                  <w:r>
                    <w:rPr>
                      <w:rFonts w:ascii="仿宋_GB2312" w:hAnsi="仿宋_GB2312" w:eastAsia="仿宋_GB2312" w:cs="仿宋_GB2312"/>
                      <w:sz w:val="21"/>
                    </w:rPr>
                    <w:t>可信验证</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F2B2D3">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可基于可信根对计算设备的系统引导程序、系统程</w:t>
                  </w:r>
                  <w:r>
                    <w:rPr>
                      <w:rFonts w:ascii="仿宋_GB2312" w:hAnsi="仿宋_GB2312" w:eastAsia="仿宋_GB2312" w:cs="仿宋_GB2312"/>
                      <w:sz w:val="21"/>
                    </w:rPr>
                    <w:t xml:space="preserve"> </w:t>
                  </w:r>
                  <w:r>
                    <w:rPr>
                      <w:rFonts w:ascii="仿宋_GB2312" w:hAnsi="仿宋_GB2312" w:eastAsia="仿宋_GB2312" w:cs="仿宋_GB2312"/>
                      <w:color w:val="000000"/>
                      <w:sz w:val="21"/>
                    </w:rPr>
                    <w:t>序、重要配置参数和通信应用程序等进行可信验证，</w:t>
                  </w:r>
                  <w:r>
                    <w:rPr>
                      <w:rFonts w:ascii="仿宋_GB2312" w:hAnsi="仿宋_GB2312" w:eastAsia="仿宋_GB2312" w:cs="仿宋_GB2312"/>
                      <w:sz w:val="21"/>
                    </w:rPr>
                    <w:t xml:space="preserve"> </w:t>
                  </w:r>
                  <w:r>
                    <w:rPr>
                      <w:rFonts w:ascii="仿宋_GB2312" w:hAnsi="仿宋_GB2312" w:eastAsia="仿宋_GB2312" w:cs="仿宋_GB2312"/>
                      <w:color w:val="000000"/>
                      <w:sz w:val="21"/>
                    </w:rPr>
                    <w:t>并在检测到其可信性受到破坏后进行报警，并将验证结果形成审计记录送至安全管理中心。</w:t>
                  </w:r>
                </w:p>
              </w:tc>
            </w:tr>
            <w:tr w14:paraId="56EDC5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7A7D8E74"/>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615FB8">
                  <w:pPr>
                    <w:pStyle w:val="4"/>
                    <w:jc w:val="center"/>
                  </w:pPr>
                  <w:r>
                    <w:rPr>
                      <w:rFonts w:ascii="仿宋_GB2312" w:hAnsi="仿宋_GB2312" w:eastAsia="仿宋_GB2312" w:cs="仿宋_GB2312"/>
                      <w:sz w:val="21"/>
                    </w:rPr>
                    <w:t>数据完整性</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DE3414">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应采用校验技术保证重要数据在传输过程中的完整性。</w:t>
                  </w:r>
                </w:p>
              </w:tc>
            </w:tr>
            <w:tr w14:paraId="2B9121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5037DC39"/>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459F422">
                  <w:pPr>
                    <w:pStyle w:val="4"/>
                    <w:jc w:val="center"/>
                  </w:pPr>
                  <w:r>
                    <w:rPr>
                      <w:rFonts w:ascii="仿宋_GB2312" w:hAnsi="仿宋_GB2312" w:eastAsia="仿宋_GB2312" w:cs="仿宋_GB2312"/>
                      <w:sz w:val="21"/>
                    </w:rPr>
                    <w:t>数据备份和恢复</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658008">
                  <w:pPr>
                    <w:pStyle w:val="4"/>
                    <w:jc w:val="left"/>
                  </w:pPr>
                  <w:r>
                    <w:rPr>
                      <w:rFonts w:ascii="仿宋_GB2312" w:hAnsi="仿宋_GB2312" w:eastAsia="仿宋_GB2312" w:cs="仿宋_GB2312"/>
                      <w:sz w:val="21"/>
                    </w:rPr>
                    <w:t>a)应提供重要数据的本地数据备份与恢复功能；</w:t>
                  </w:r>
                </w:p>
              </w:tc>
            </w:tr>
            <w:tr w14:paraId="539CA9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4E2FA7BB"/>
              </w:tc>
              <w:tc>
                <w:tcPr>
                  <w:tcW w:w="391" w:type="dxa"/>
                  <w:vMerge w:val="continue"/>
                  <w:tcBorders>
                    <w:top w:val="nil"/>
                    <w:left w:val="nil"/>
                    <w:bottom w:val="single" w:color="000000" w:sz="4" w:space="0"/>
                    <w:right w:val="single" w:color="000000" w:sz="4" w:space="0"/>
                  </w:tcBorders>
                </w:tcPr>
                <w:p w14:paraId="6DF7D7B0"/>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334CC2">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应提供异地数据备份功能，利用通信网络将重要数据定时批量传送至备用场地。</w:t>
                  </w:r>
                </w:p>
              </w:tc>
            </w:tr>
            <w:tr w14:paraId="75CFB4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554BBFEF"/>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EE2B3F">
                  <w:pPr>
                    <w:pStyle w:val="4"/>
                    <w:jc w:val="center"/>
                  </w:pPr>
                  <w:r>
                    <w:rPr>
                      <w:rFonts w:ascii="仿宋_GB2312" w:hAnsi="仿宋_GB2312" w:eastAsia="仿宋_GB2312" w:cs="仿宋_GB2312"/>
                      <w:sz w:val="21"/>
                    </w:rPr>
                    <w:t>剩余信息保护</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E3ED3E">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应保证鉴别信息所在的存储空间被释放或重新分配前得到完全清除。</w:t>
                  </w:r>
                </w:p>
              </w:tc>
            </w:tr>
            <w:tr w14:paraId="758711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3E508716"/>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5D59B56">
                  <w:pPr>
                    <w:pStyle w:val="4"/>
                    <w:jc w:val="center"/>
                  </w:pPr>
                  <w:r>
                    <w:rPr>
                      <w:rFonts w:ascii="仿宋_GB2312" w:hAnsi="仿宋_GB2312" w:eastAsia="仿宋_GB2312" w:cs="仿宋_GB2312"/>
                      <w:sz w:val="21"/>
                    </w:rPr>
                    <w:t>个人信息保护</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4051C9">
                  <w:pPr>
                    <w:pStyle w:val="4"/>
                    <w:jc w:val="left"/>
                  </w:pPr>
                  <w:r>
                    <w:rPr>
                      <w:rFonts w:ascii="仿宋_GB2312" w:hAnsi="仿宋_GB2312" w:eastAsia="仿宋_GB2312" w:cs="仿宋_GB2312"/>
                      <w:sz w:val="21"/>
                    </w:rPr>
                    <w:t>a)应仅采集和保存业务必需的用户个人信息；</w:t>
                  </w:r>
                </w:p>
              </w:tc>
            </w:tr>
            <w:tr w14:paraId="615AA1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02D84639"/>
              </w:tc>
              <w:tc>
                <w:tcPr>
                  <w:tcW w:w="391" w:type="dxa"/>
                  <w:vMerge w:val="continue"/>
                  <w:tcBorders>
                    <w:top w:val="nil"/>
                    <w:left w:val="nil"/>
                    <w:bottom w:val="single" w:color="000000" w:sz="4" w:space="0"/>
                    <w:right w:val="single" w:color="000000" w:sz="4" w:space="0"/>
                  </w:tcBorders>
                </w:tcPr>
                <w:p w14:paraId="4BE380EC"/>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EA78BB">
                  <w:pPr>
                    <w:pStyle w:val="4"/>
                    <w:jc w:val="left"/>
                  </w:pPr>
                  <w:r>
                    <w:rPr>
                      <w:rFonts w:ascii="仿宋_GB2312" w:hAnsi="仿宋_GB2312" w:eastAsia="仿宋_GB2312" w:cs="仿宋_GB2312"/>
                      <w:sz w:val="21"/>
                    </w:rPr>
                    <w:t>b)应禁止未授权访问和非法使用用户个人信息。</w:t>
                  </w:r>
                </w:p>
              </w:tc>
            </w:tr>
            <w:tr w14:paraId="407E6C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015D79">
                  <w:pPr>
                    <w:pStyle w:val="4"/>
                    <w:jc w:val="center"/>
                  </w:pPr>
                  <w:r>
                    <w:rPr>
                      <w:rFonts w:ascii="仿宋_GB2312" w:hAnsi="仿宋_GB2312" w:eastAsia="仿宋_GB2312" w:cs="仿宋_GB2312"/>
                      <w:sz w:val="21"/>
                    </w:rPr>
                    <w:t>安全管理中心</w:t>
                  </w:r>
                </w:p>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7C60F79">
                  <w:pPr>
                    <w:pStyle w:val="4"/>
                    <w:jc w:val="center"/>
                  </w:pPr>
                  <w:r>
                    <w:rPr>
                      <w:rFonts w:ascii="仿宋_GB2312" w:hAnsi="仿宋_GB2312" w:eastAsia="仿宋_GB2312" w:cs="仿宋_GB2312"/>
                      <w:sz w:val="21"/>
                    </w:rPr>
                    <w:t>系统管理</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CCEC06">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应对系统管理员进行身份鉴别，只允许其通过特定</w:t>
                  </w:r>
                  <w:r>
                    <w:rPr>
                      <w:rFonts w:ascii="仿宋_GB2312" w:hAnsi="仿宋_GB2312" w:eastAsia="仿宋_GB2312" w:cs="仿宋_GB2312"/>
                      <w:sz w:val="21"/>
                    </w:rPr>
                    <w:t xml:space="preserve"> </w:t>
                  </w:r>
                  <w:r>
                    <w:rPr>
                      <w:rFonts w:ascii="仿宋_GB2312" w:hAnsi="仿宋_GB2312" w:eastAsia="仿宋_GB2312" w:cs="仿宋_GB2312"/>
                      <w:color w:val="000000"/>
                      <w:sz w:val="21"/>
                    </w:rPr>
                    <w:t>的命令或操作界面进行系统管理操作，并对这些操作进行审计；</w:t>
                  </w:r>
                </w:p>
              </w:tc>
            </w:tr>
            <w:tr w14:paraId="05BDDA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7393BA50"/>
              </w:tc>
              <w:tc>
                <w:tcPr>
                  <w:tcW w:w="391" w:type="dxa"/>
                  <w:vMerge w:val="continue"/>
                  <w:tcBorders>
                    <w:top w:val="nil"/>
                    <w:left w:val="nil"/>
                    <w:bottom w:val="single" w:color="000000" w:sz="4" w:space="0"/>
                    <w:right w:val="single" w:color="000000" w:sz="4" w:space="0"/>
                  </w:tcBorders>
                </w:tcPr>
                <w:p w14:paraId="06DDF796"/>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DECCAE">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）应通过系统管理员对系统的资源和运行进行配置、控制和管理，包括用户身份、资源配置、系统加</w:t>
                  </w:r>
                  <w:r>
                    <w:rPr>
                      <w:rFonts w:ascii="仿宋_GB2312" w:hAnsi="仿宋_GB2312" w:eastAsia="仿宋_GB2312" w:cs="仿宋_GB2312"/>
                      <w:sz w:val="21"/>
                    </w:rPr>
                    <w:t xml:space="preserve"> </w:t>
                  </w:r>
                  <w:r>
                    <w:rPr>
                      <w:rFonts w:ascii="仿宋_GB2312" w:hAnsi="仿宋_GB2312" w:eastAsia="仿宋_GB2312" w:cs="仿宋_GB2312"/>
                      <w:color w:val="000000"/>
                      <w:sz w:val="21"/>
                    </w:rPr>
                    <w:t>载和启动、系统运行的异常处理、数据和设备的备份与恢复等。</w:t>
                  </w:r>
                </w:p>
              </w:tc>
            </w:tr>
            <w:tr w14:paraId="09A949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3AC00941"/>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94212C7">
                  <w:pPr>
                    <w:pStyle w:val="4"/>
                    <w:jc w:val="center"/>
                  </w:pPr>
                  <w:r>
                    <w:rPr>
                      <w:rFonts w:ascii="仿宋_GB2312" w:hAnsi="仿宋_GB2312" w:eastAsia="仿宋_GB2312" w:cs="仿宋_GB2312"/>
                      <w:sz w:val="21"/>
                    </w:rPr>
                    <w:t>审计管理</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D3D2F4">
                  <w:pPr>
                    <w:pStyle w:val="4"/>
                    <w:jc w:val="left"/>
                  </w:pPr>
                  <w:r>
                    <w:rPr>
                      <w:rFonts w:ascii="仿宋_GB2312" w:hAnsi="仿宋_GB2312" w:eastAsia="仿宋_GB2312" w:cs="仿宋_GB2312"/>
                      <w:sz w:val="21"/>
                    </w:rPr>
                    <w:t xml:space="preserve">a) </w:t>
                  </w:r>
                  <w:r>
                    <w:rPr>
                      <w:rFonts w:ascii="仿宋_GB2312" w:hAnsi="仿宋_GB2312" w:eastAsia="仿宋_GB2312" w:cs="仿宋_GB2312"/>
                      <w:color w:val="000000"/>
                      <w:sz w:val="21"/>
                    </w:rPr>
                    <w:t>应对安全审计员进行身份鉴别，只允许通过特定的命令或操作界面进行安全审计操作，并对这些操作进行审计；</w:t>
                  </w:r>
                </w:p>
              </w:tc>
            </w:tr>
            <w:tr w14:paraId="030540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542FFE59"/>
              </w:tc>
              <w:tc>
                <w:tcPr>
                  <w:tcW w:w="391" w:type="dxa"/>
                  <w:vMerge w:val="continue"/>
                  <w:tcBorders>
                    <w:top w:val="nil"/>
                    <w:left w:val="nil"/>
                    <w:bottom w:val="single" w:color="000000" w:sz="4" w:space="0"/>
                    <w:right w:val="single" w:color="000000" w:sz="4" w:space="0"/>
                  </w:tcBorders>
                </w:tcPr>
                <w:p w14:paraId="7F8C6ECE"/>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6F064C">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应通过安全审计员对审计记录进行分析，并根据分析结果进行处理，包括根据安全审计策略对审计记录进行存储、管理和查询。</w:t>
                  </w:r>
                </w:p>
              </w:tc>
            </w:tr>
            <w:tr w14:paraId="7857B0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64E220">
                  <w:pPr>
                    <w:pStyle w:val="4"/>
                    <w:jc w:val="center"/>
                  </w:pPr>
                  <w:r>
                    <w:rPr>
                      <w:rFonts w:ascii="仿宋_GB2312" w:hAnsi="仿宋_GB2312" w:eastAsia="仿宋_GB2312" w:cs="仿宋_GB2312"/>
                      <w:sz w:val="21"/>
                    </w:rPr>
                    <w:t>安全管理制度</w:t>
                  </w:r>
                </w:p>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D60748">
                  <w:pPr>
                    <w:pStyle w:val="4"/>
                    <w:jc w:val="center"/>
                  </w:pPr>
                  <w:r>
                    <w:rPr>
                      <w:rFonts w:ascii="仿宋_GB2312" w:hAnsi="仿宋_GB2312" w:eastAsia="仿宋_GB2312" w:cs="仿宋_GB2312"/>
                      <w:sz w:val="21"/>
                    </w:rPr>
                    <w:t>安全策略</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B9C97F">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）应制定网络安全工作的总体方针和安全策略，阐明机构安全工作的总体目标、范围、原则和安全框架等。</w:t>
                  </w:r>
                </w:p>
              </w:tc>
            </w:tr>
            <w:tr w14:paraId="3C4F8A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0D00570B"/>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E198C3A">
                  <w:pPr>
                    <w:pStyle w:val="4"/>
                    <w:jc w:val="center"/>
                  </w:pPr>
                  <w:r>
                    <w:rPr>
                      <w:rFonts w:ascii="仿宋_GB2312" w:hAnsi="仿宋_GB2312" w:eastAsia="仿宋_GB2312" w:cs="仿宋_GB2312"/>
                      <w:sz w:val="21"/>
                    </w:rPr>
                    <w:t>管理制度</w:t>
                  </w:r>
                </w:p>
              </w:tc>
              <w:tc>
                <w:tcPr>
                  <w:tcW w:w="188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CF65CA9">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）应对安全管理活动中的主要管理内容建立安全管理制度；</w:t>
                  </w:r>
                </w:p>
              </w:tc>
            </w:tr>
            <w:tr w14:paraId="2FCFFE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0C9BEF1D"/>
              </w:tc>
              <w:tc>
                <w:tcPr>
                  <w:tcW w:w="391" w:type="dxa"/>
                  <w:vMerge w:val="continue"/>
                  <w:tcBorders>
                    <w:top w:val="nil"/>
                    <w:left w:val="nil"/>
                    <w:bottom w:val="single" w:color="000000" w:sz="4" w:space="0"/>
                    <w:right w:val="single" w:color="000000" w:sz="4" w:space="0"/>
                  </w:tcBorders>
                </w:tcPr>
                <w:p w14:paraId="38980FE4"/>
              </w:tc>
              <w:tc>
                <w:tcPr>
                  <w:tcW w:w="1889" w:type="dxa"/>
                  <w:vMerge w:val="continue"/>
                  <w:tcBorders>
                    <w:top w:val="nil"/>
                    <w:left w:val="nil"/>
                    <w:bottom w:val="single" w:color="000000" w:sz="4" w:space="0"/>
                    <w:right w:val="single" w:color="000000" w:sz="4" w:space="0"/>
                  </w:tcBorders>
                </w:tcPr>
                <w:p w14:paraId="33BD4CE5"/>
              </w:tc>
            </w:tr>
            <w:tr w14:paraId="24A30B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18136002"/>
              </w:tc>
              <w:tc>
                <w:tcPr>
                  <w:tcW w:w="391" w:type="dxa"/>
                  <w:vMerge w:val="continue"/>
                  <w:tcBorders>
                    <w:top w:val="nil"/>
                    <w:left w:val="nil"/>
                    <w:bottom w:val="single" w:color="000000" w:sz="4" w:space="0"/>
                    <w:right w:val="single" w:color="000000" w:sz="4" w:space="0"/>
                  </w:tcBorders>
                </w:tcPr>
                <w:p w14:paraId="22DF0236"/>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0E9654">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）应对管理人员或操作人员执行的日常管理操作建立操作规程。</w:t>
                  </w:r>
                </w:p>
              </w:tc>
            </w:tr>
            <w:tr w14:paraId="1CDD31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0701F79F"/>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0D95B3F">
                  <w:pPr>
                    <w:pStyle w:val="4"/>
                    <w:jc w:val="center"/>
                  </w:pPr>
                  <w:r>
                    <w:rPr>
                      <w:rFonts w:ascii="仿宋_GB2312" w:hAnsi="仿宋_GB2312" w:eastAsia="仿宋_GB2312" w:cs="仿宋_GB2312"/>
                      <w:sz w:val="21"/>
                    </w:rPr>
                    <w:t>制定和发布</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DC0584">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）应指定或授权专门的部门或人员负责安全管理制度的制定；</w:t>
                  </w:r>
                </w:p>
              </w:tc>
            </w:tr>
            <w:tr w14:paraId="0967DF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738EE8BD"/>
              </w:tc>
              <w:tc>
                <w:tcPr>
                  <w:tcW w:w="391" w:type="dxa"/>
                  <w:vMerge w:val="continue"/>
                  <w:tcBorders>
                    <w:top w:val="nil"/>
                    <w:left w:val="nil"/>
                    <w:bottom w:val="single" w:color="000000" w:sz="4" w:space="0"/>
                    <w:right w:val="single" w:color="000000" w:sz="4" w:space="0"/>
                  </w:tcBorders>
                </w:tcPr>
                <w:p w14:paraId="1833018B"/>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BED96E">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）安全管理制度应通过正式、有效的方式发布，并进行版本控制。</w:t>
                  </w:r>
                </w:p>
              </w:tc>
            </w:tr>
            <w:tr w14:paraId="466ECA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7B3ED318"/>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B2C6E2">
                  <w:pPr>
                    <w:pStyle w:val="4"/>
                    <w:jc w:val="center"/>
                  </w:pPr>
                  <w:r>
                    <w:rPr>
                      <w:rFonts w:ascii="仿宋_GB2312" w:hAnsi="仿宋_GB2312" w:eastAsia="仿宋_GB2312" w:cs="仿宋_GB2312"/>
                      <w:sz w:val="21"/>
                    </w:rPr>
                    <w:t>评审和修订</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2CA73D">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）应定期对安全管理制度的合理性和适用性进行论证和审定，对存在不足需要改进的安全管理制度进行修订。</w:t>
                  </w:r>
                </w:p>
              </w:tc>
            </w:tr>
            <w:tr w14:paraId="0CFBF1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375753">
                  <w:pPr>
                    <w:pStyle w:val="4"/>
                    <w:jc w:val="center"/>
                  </w:pPr>
                  <w:r>
                    <w:rPr>
                      <w:rFonts w:ascii="仿宋_GB2312" w:hAnsi="仿宋_GB2312" w:eastAsia="仿宋_GB2312" w:cs="仿宋_GB2312"/>
                      <w:sz w:val="21"/>
                    </w:rPr>
                    <w:t>安全管理机构</w:t>
                  </w:r>
                </w:p>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8E0539F">
                  <w:pPr>
                    <w:pStyle w:val="4"/>
                    <w:jc w:val="center"/>
                  </w:pPr>
                  <w:r>
                    <w:rPr>
                      <w:rFonts w:ascii="仿宋_GB2312" w:hAnsi="仿宋_GB2312" w:eastAsia="仿宋_GB2312" w:cs="仿宋_GB2312"/>
                      <w:sz w:val="21"/>
                    </w:rPr>
                    <w:t>岗位设置</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7049F9">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）应设立网络安全管理工作的职能部门，设立安全主管、安全管理各个方面的负责人岗位，并定义各负责人的职责；</w:t>
                  </w:r>
                </w:p>
              </w:tc>
            </w:tr>
            <w:tr w14:paraId="37031D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28796545"/>
              </w:tc>
              <w:tc>
                <w:tcPr>
                  <w:tcW w:w="391" w:type="dxa"/>
                  <w:vMerge w:val="continue"/>
                  <w:tcBorders>
                    <w:top w:val="nil"/>
                    <w:left w:val="nil"/>
                    <w:bottom w:val="single" w:color="000000" w:sz="4" w:space="0"/>
                    <w:right w:val="single" w:color="000000" w:sz="4" w:space="0"/>
                  </w:tcBorders>
                </w:tcPr>
                <w:p w14:paraId="4B7A8FB1"/>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61BF50">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）应设立系统管理员、审计管理员和安全管理员等岗位，并定义部门及各个工作岗位的职责。</w:t>
                  </w:r>
                </w:p>
              </w:tc>
            </w:tr>
            <w:tr w14:paraId="102719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767AF037"/>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C24D70">
                  <w:pPr>
                    <w:pStyle w:val="4"/>
                    <w:jc w:val="center"/>
                  </w:pPr>
                  <w:r>
                    <w:rPr>
                      <w:rFonts w:ascii="仿宋_GB2312" w:hAnsi="仿宋_GB2312" w:eastAsia="仿宋_GB2312" w:cs="仿宋_GB2312"/>
                      <w:sz w:val="21"/>
                    </w:rPr>
                    <w:t>人员配备</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BC4714">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）应配备一定数量的系统管理员、审计管理员、安全管理员等。</w:t>
                  </w:r>
                </w:p>
              </w:tc>
            </w:tr>
            <w:tr w14:paraId="2824CE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39AA9F73"/>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05ED147">
                  <w:pPr>
                    <w:pStyle w:val="4"/>
                    <w:jc w:val="center"/>
                  </w:pPr>
                  <w:r>
                    <w:rPr>
                      <w:rFonts w:ascii="仿宋_GB2312" w:hAnsi="仿宋_GB2312" w:eastAsia="仿宋_GB2312" w:cs="仿宋_GB2312"/>
                      <w:sz w:val="21"/>
                    </w:rPr>
                    <w:t>授权和审批</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92A302">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）应根据各个部门和岗位的职责明确授权审批事项、审批部门和批准人等；</w:t>
                  </w:r>
                </w:p>
              </w:tc>
            </w:tr>
            <w:tr w14:paraId="778952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503609D8"/>
              </w:tc>
              <w:tc>
                <w:tcPr>
                  <w:tcW w:w="391" w:type="dxa"/>
                  <w:vMerge w:val="continue"/>
                  <w:tcBorders>
                    <w:top w:val="nil"/>
                    <w:left w:val="nil"/>
                    <w:bottom w:val="single" w:color="000000" w:sz="4" w:space="0"/>
                    <w:right w:val="single" w:color="000000" w:sz="4" w:space="0"/>
                  </w:tcBorders>
                </w:tcPr>
                <w:p w14:paraId="22914BF0"/>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667E93">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）应针对系统变更、重要操作、物理访问和系统接入等事项执行审批过程。</w:t>
                  </w:r>
                </w:p>
              </w:tc>
            </w:tr>
            <w:tr w14:paraId="798E12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4376B5FB"/>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B13DA92">
                  <w:pPr>
                    <w:pStyle w:val="4"/>
                    <w:jc w:val="center"/>
                  </w:pPr>
                  <w:r>
                    <w:rPr>
                      <w:rFonts w:ascii="仿宋_GB2312" w:hAnsi="仿宋_GB2312" w:eastAsia="仿宋_GB2312" w:cs="仿宋_GB2312"/>
                      <w:sz w:val="21"/>
                    </w:rPr>
                    <w:t>沟通和合作</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28D2F5">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）应加强各类管理人员、组织内部机构和网络安全管理部门之间的合作与沟通，定期召开协调会议，共同协作处理信息安全问题；</w:t>
                  </w:r>
                </w:p>
              </w:tc>
            </w:tr>
            <w:tr w14:paraId="1B734D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1681E8B1"/>
              </w:tc>
              <w:tc>
                <w:tcPr>
                  <w:tcW w:w="391" w:type="dxa"/>
                  <w:vMerge w:val="continue"/>
                  <w:tcBorders>
                    <w:top w:val="nil"/>
                    <w:left w:val="nil"/>
                    <w:bottom w:val="single" w:color="000000" w:sz="4" w:space="0"/>
                    <w:right w:val="single" w:color="000000" w:sz="4" w:space="0"/>
                  </w:tcBorders>
                </w:tcPr>
                <w:p w14:paraId="19857E39"/>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463701">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）应加强与网络安全职能部门、各类供应商、业界专家及安全组织的合作与沟通；</w:t>
                  </w:r>
                </w:p>
              </w:tc>
            </w:tr>
            <w:tr w14:paraId="102E4E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663904D9"/>
              </w:tc>
              <w:tc>
                <w:tcPr>
                  <w:tcW w:w="391" w:type="dxa"/>
                  <w:vMerge w:val="continue"/>
                  <w:tcBorders>
                    <w:top w:val="nil"/>
                    <w:left w:val="nil"/>
                    <w:bottom w:val="single" w:color="000000" w:sz="4" w:space="0"/>
                    <w:right w:val="single" w:color="000000" w:sz="4" w:space="0"/>
                  </w:tcBorders>
                </w:tcPr>
                <w:p w14:paraId="20993EFF"/>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21CE47">
                  <w:pPr>
                    <w:pStyle w:val="4"/>
                    <w:jc w:val="left"/>
                  </w:pPr>
                  <w:r>
                    <w:rPr>
                      <w:rFonts w:ascii="仿宋_GB2312" w:hAnsi="仿宋_GB2312" w:eastAsia="仿宋_GB2312" w:cs="仿宋_GB2312"/>
                      <w:sz w:val="21"/>
                    </w:rPr>
                    <w:t>c</w:t>
                  </w:r>
                  <w:r>
                    <w:rPr>
                      <w:rFonts w:ascii="仿宋_GB2312" w:hAnsi="仿宋_GB2312" w:eastAsia="仿宋_GB2312" w:cs="仿宋_GB2312"/>
                      <w:color w:val="000000"/>
                      <w:sz w:val="21"/>
                    </w:rPr>
                    <w:t>）应建立外联单位联系列表，包括外联单位名称、合作内容、联系人和联系方式等信息。</w:t>
                  </w:r>
                </w:p>
              </w:tc>
            </w:tr>
            <w:tr w14:paraId="702ED2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3387A146"/>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0962A9">
                  <w:pPr>
                    <w:pStyle w:val="4"/>
                    <w:jc w:val="center"/>
                  </w:pPr>
                  <w:r>
                    <w:rPr>
                      <w:rFonts w:ascii="仿宋_GB2312" w:hAnsi="仿宋_GB2312" w:eastAsia="仿宋_GB2312" w:cs="仿宋_GB2312"/>
                      <w:sz w:val="21"/>
                    </w:rPr>
                    <w:t>审核和检查</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59C81C">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）应定期进行常规安全检查，检查内容包括系统日常运行、系统漏洞和数据备份等情况。</w:t>
                  </w:r>
                </w:p>
              </w:tc>
            </w:tr>
            <w:tr w14:paraId="70ED46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3783A7">
                  <w:pPr>
                    <w:pStyle w:val="4"/>
                    <w:jc w:val="center"/>
                  </w:pPr>
                  <w:r>
                    <w:rPr>
                      <w:rFonts w:ascii="仿宋_GB2312" w:hAnsi="仿宋_GB2312" w:eastAsia="仿宋_GB2312" w:cs="仿宋_GB2312"/>
                      <w:sz w:val="21"/>
                    </w:rPr>
                    <w:t>安全管理人员</w:t>
                  </w:r>
                </w:p>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3FC820B">
                  <w:pPr>
                    <w:pStyle w:val="4"/>
                    <w:jc w:val="center"/>
                  </w:pPr>
                  <w:r>
                    <w:rPr>
                      <w:rFonts w:ascii="仿宋_GB2312" w:hAnsi="仿宋_GB2312" w:eastAsia="仿宋_GB2312" w:cs="仿宋_GB2312"/>
                      <w:sz w:val="21"/>
                    </w:rPr>
                    <w:t>人员录用</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FAA8FF">
                  <w:pPr>
                    <w:pStyle w:val="4"/>
                    <w:jc w:val="left"/>
                  </w:pPr>
                  <w:r>
                    <w:rPr>
                      <w:rFonts w:ascii="仿宋_GB2312" w:hAnsi="仿宋_GB2312" w:eastAsia="仿宋_GB2312" w:cs="仿宋_GB2312"/>
                      <w:sz w:val="21"/>
                    </w:rPr>
                    <w:t>a）应指定或授权专门的部门或人员负责人员录用；</w:t>
                  </w:r>
                </w:p>
              </w:tc>
            </w:tr>
            <w:tr w14:paraId="4DE4F0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0AC5AC8C"/>
              </w:tc>
              <w:tc>
                <w:tcPr>
                  <w:tcW w:w="391" w:type="dxa"/>
                  <w:vMerge w:val="continue"/>
                  <w:tcBorders>
                    <w:top w:val="nil"/>
                    <w:left w:val="nil"/>
                    <w:bottom w:val="single" w:color="000000" w:sz="4" w:space="0"/>
                    <w:right w:val="single" w:color="000000" w:sz="4" w:space="0"/>
                  </w:tcBorders>
                </w:tcPr>
                <w:p w14:paraId="68E7684F"/>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47EC8C">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）应对被录用人的身份、安全背景、专业资格或资质等进行审查。</w:t>
                  </w:r>
                </w:p>
              </w:tc>
            </w:tr>
            <w:tr w14:paraId="638760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38930D4D"/>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0EF001">
                  <w:pPr>
                    <w:pStyle w:val="4"/>
                    <w:jc w:val="center"/>
                  </w:pPr>
                  <w:r>
                    <w:rPr>
                      <w:rFonts w:ascii="仿宋_GB2312" w:hAnsi="仿宋_GB2312" w:eastAsia="仿宋_GB2312" w:cs="仿宋_GB2312"/>
                      <w:sz w:val="21"/>
                    </w:rPr>
                    <w:t>人员离岗</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C6A275">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）应及时终止离岗人员的所有访问权限，取回各种</w:t>
                  </w:r>
                  <w:r>
                    <w:rPr>
                      <w:rFonts w:ascii="仿宋_GB2312" w:hAnsi="仿宋_GB2312" w:eastAsia="仿宋_GB2312" w:cs="仿宋_GB2312"/>
                      <w:sz w:val="21"/>
                    </w:rPr>
                    <w:t xml:space="preserve"> </w:t>
                  </w:r>
                  <w:r>
                    <w:rPr>
                      <w:rFonts w:ascii="仿宋_GB2312" w:hAnsi="仿宋_GB2312" w:eastAsia="仿宋_GB2312" w:cs="仿宋_GB2312"/>
                      <w:color w:val="000000"/>
                      <w:sz w:val="21"/>
                    </w:rPr>
                    <w:t>身份证件、钥匙、徽章等以及机构提供的软硬件设备。</w:t>
                  </w:r>
                </w:p>
              </w:tc>
            </w:tr>
            <w:tr w14:paraId="7132B1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256C28CD"/>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38A200">
                  <w:pPr>
                    <w:pStyle w:val="4"/>
                    <w:jc w:val="center"/>
                  </w:pPr>
                  <w:r>
                    <w:rPr>
                      <w:rFonts w:ascii="仿宋_GB2312" w:hAnsi="仿宋_GB2312" w:eastAsia="仿宋_GB2312" w:cs="仿宋_GB2312"/>
                      <w:sz w:val="21"/>
                    </w:rPr>
                    <w:t>安全意识教育和培训</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70D1A9">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）应对各类人员进行安全意识教育和岗位技能培训，并告知相关的安全责任和惩戒措施。</w:t>
                  </w:r>
                </w:p>
              </w:tc>
            </w:tr>
            <w:tr w14:paraId="68F75B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08AABF02"/>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C7E6652">
                  <w:pPr>
                    <w:pStyle w:val="4"/>
                    <w:jc w:val="center"/>
                  </w:pPr>
                  <w:r>
                    <w:rPr>
                      <w:rFonts w:ascii="仿宋_GB2312" w:hAnsi="仿宋_GB2312" w:eastAsia="仿宋_GB2312" w:cs="仿宋_GB2312"/>
                      <w:sz w:val="21"/>
                    </w:rPr>
                    <w:t>外部人员访问管理</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E3659B">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）应在外部人员物理访问受控区域前先提出书面申请，批准后由专人全程陪同，并登记备案；</w:t>
                  </w:r>
                </w:p>
              </w:tc>
            </w:tr>
            <w:tr w14:paraId="1C7B00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0B030D54"/>
              </w:tc>
              <w:tc>
                <w:tcPr>
                  <w:tcW w:w="391" w:type="dxa"/>
                  <w:vMerge w:val="continue"/>
                  <w:tcBorders>
                    <w:top w:val="nil"/>
                    <w:left w:val="nil"/>
                    <w:bottom w:val="single" w:color="000000" w:sz="4" w:space="0"/>
                    <w:right w:val="single" w:color="000000" w:sz="4" w:space="0"/>
                  </w:tcBorders>
                </w:tcPr>
                <w:p w14:paraId="22C46C67"/>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B80C2B">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）应在外部人员接入受控网络访问系统前先提出书面申请，批准后由专人开设账户，分配权限，并登记备案；</w:t>
                  </w:r>
                </w:p>
              </w:tc>
            </w:tr>
            <w:tr w14:paraId="757737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2B4315EC"/>
              </w:tc>
              <w:tc>
                <w:tcPr>
                  <w:tcW w:w="391" w:type="dxa"/>
                  <w:vMerge w:val="continue"/>
                  <w:tcBorders>
                    <w:top w:val="nil"/>
                    <w:left w:val="nil"/>
                    <w:bottom w:val="single" w:color="000000" w:sz="4" w:space="0"/>
                    <w:right w:val="single" w:color="000000" w:sz="4" w:space="0"/>
                  </w:tcBorders>
                </w:tcPr>
                <w:p w14:paraId="202A0EE2"/>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692DEB">
                  <w:pPr>
                    <w:pStyle w:val="4"/>
                    <w:jc w:val="left"/>
                  </w:pPr>
                  <w:r>
                    <w:rPr>
                      <w:rFonts w:ascii="仿宋_GB2312" w:hAnsi="仿宋_GB2312" w:eastAsia="仿宋_GB2312" w:cs="仿宋_GB2312"/>
                      <w:sz w:val="21"/>
                    </w:rPr>
                    <w:t>c）外部人员离场后应及时清除其所有的访问权限。</w:t>
                  </w:r>
                </w:p>
              </w:tc>
            </w:tr>
            <w:tr w14:paraId="45CDE3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CACDFA">
                  <w:pPr>
                    <w:pStyle w:val="4"/>
                    <w:jc w:val="center"/>
                  </w:pPr>
                  <w:r>
                    <w:rPr>
                      <w:rFonts w:ascii="仿宋_GB2312" w:hAnsi="仿宋_GB2312" w:eastAsia="仿宋_GB2312" w:cs="仿宋_GB2312"/>
                      <w:sz w:val="21"/>
                    </w:rPr>
                    <w:t>安全建设管理</w:t>
                  </w:r>
                </w:p>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219379F">
                  <w:pPr>
                    <w:pStyle w:val="4"/>
                    <w:jc w:val="center"/>
                  </w:pPr>
                  <w:r>
                    <w:rPr>
                      <w:rFonts w:ascii="仿宋_GB2312" w:hAnsi="仿宋_GB2312" w:eastAsia="仿宋_GB2312" w:cs="仿宋_GB2312"/>
                      <w:sz w:val="21"/>
                    </w:rPr>
                    <w:t>定级和备案</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799011">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）应以书面的形式说明保护对象的安全保护等级及确定安全保护等级的方法和理由；</w:t>
                  </w:r>
                </w:p>
              </w:tc>
            </w:tr>
            <w:tr w14:paraId="058CA7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3F6AF0EC"/>
              </w:tc>
              <w:tc>
                <w:tcPr>
                  <w:tcW w:w="391" w:type="dxa"/>
                  <w:vMerge w:val="continue"/>
                  <w:tcBorders>
                    <w:top w:val="nil"/>
                    <w:left w:val="nil"/>
                    <w:bottom w:val="single" w:color="000000" w:sz="4" w:space="0"/>
                    <w:right w:val="single" w:color="000000" w:sz="4" w:space="0"/>
                  </w:tcBorders>
                </w:tcPr>
                <w:p w14:paraId="5E7A4015"/>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7A53BD">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）应组织相关部门和有关安全技术专家对信息系统定级结果的合理性和正确性进行论证和审定；</w:t>
                  </w:r>
                </w:p>
              </w:tc>
            </w:tr>
            <w:tr w14:paraId="47AD52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5BB27104"/>
              </w:tc>
              <w:tc>
                <w:tcPr>
                  <w:tcW w:w="391" w:type="dxa"/>
                  <w:vMerge w:val="continue"/>
                  <w:tcBorders>
                    <w:top w:val="nil"/>
                    <w:left w:val="nil"/>
                    <w:bottom w:val="single" w:color="000000" w:sz="4" w:space="0"/>
                    <w:right w:val="single" w:color="000000" w:sz="4" w:space="0"/>
                  </w:tcBorders>
                </w:tcPr>
                <w:p w14:paraId="53F58789"/>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BFFAC5">
                  <w:pPr>
                    <w:pStyle w:val="4"/>
                    <w:jc w:val="left"/>
                  </w:pPr>
                  <w:r>
                    <w:rPr>
                      <w:rFonts w:ascii="仿宋_GB2312" w:hAnsi="仿宋_GB2312" w:eastAsia="仿宋_GB2312" w:cs="仿宋_GB2312"/>
                      <w:sz w:val="21"/>
                    </w:rPr>
                    <w:t>c）应保证定级结果经过相关部门的批准；</w:t>
                  </w:r>
                </w:p>
              </w:tc>
            </w:tr>
            <w:tr w14:paraId="43CD6D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60BB93F2"/>
              </w:tc>
              <w:tc>
                <w:tcPr>
                  <w:tcW w:w="391" w:type="dxa"/>
                  <w:vMerge w:val="continue"/>
                  <w:tcBorders>
                    <w:top w:val="nil"/>
                    <w:left w:val="nil"/>
                    <w:bottom w:val="single" w:color="000000" w:sz="4" w:space="0"/>
                    <w:right w:val="single" w:color="000000" w:sz="4" w:space="0"/>
                  </w:tcBorders>
                </w:tcPr>
                <w:p w14:paraId="4A3A7020"/>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A12429">
                  <w:pPr>
                    <w:pStyle w:val="4"/>
                    <w:jc w:val="left"/>
                  </w:pPr>
                  <w:r>
                    <w:rPr>
                      <w:rFonts w:ascii="仿宋_GB2312" w:hAnsi="仿宋_GB2312" w:eastAsia="仿宋_GB2312" w:cs="仿宋_GB2312"/>
                      <w:sz w:val="21"/>
                    </w:rPr>
                    <w:t>d)应将备案材料报主管部门和公安机关备案。</w:t>
                  </w:r>
                </w:p>
              </w:tc>
            </w:tr>
            <w:tr w14:paraId="29906F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12D8B111"/>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0207705">
                  <w:pPr>
                    <w:pStyle w:val="4"/>
                    <w:jc w:val="center"/>
                  </w:pPr>
                  <w:r>
                    <w:rPr>
                      <w:rFonts w:ascii="仿宋_GB2312" w:hAnsi="仿宋_GB2312" w:eastAsia="仿宋_GB2312" w:cs="仿宋_GB2312"/>
                      <w:sz w:val="21"/>
                    </w:rPr>
                    <w:t>安全方案设计</w:t>
                  </w:r>
                </w:p>
              </w:tc>
              <w:tc>
                <w:tcPr>
                  <w:tcW w:w="188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B9D2B57">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）应根据安全保护等级选择基本安全措施，依据风险分析的结果补充和调整安全措施；</w:t>
                  </w:r>
                </w:p>
              </w:tc>
            </w:tr>
            <w:tr w14:paraId="6B4716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7E69BCF3"/>
              </w:tc>
              <w:tc>
                <w:tcPr>
                  <w:tcW w:w="391" w:type="dxa"/>
                  <w:vMerge w:val="continue"/>
                  <w:tcBorders>
                    <w:top w:val="nil"/>
                    <w:left w:val="nil"/>
                    <w:bottom w:val="single" w:color="000000" w:sz="4" w:space="0"/>
                    <w:right w:val="single" w:color="000000" w:sz="4" w:space="0"/>
                  </w:tcBorders>
                </w:tcPr>
                <w:p w14:paraId="37790DF1"/>
              </w:tc>
              <w:tc>
                <w:tcPr>
                  <w:tcW w:w="1889" w:type="dxa"/>
                  <w:vMerge w:val="continue"/>
                  <w:tcBorders>
                    <w:top w:val="nil"/>
                    <w:left w:val="nil"/>
                    <w:bottom w:val="single" w:color="000000" w:sz="4" w:space="0"/>
                    <w:right w:val="single" w:color="000000" w:sz="4" w:space="0"/>
                  </w:tcBorders>
                </w:tcPr>
                <w:p w14:paraId="4E1CEC51"/>
              </w:tc>
            </w:tr>
            <w:tr w14:paraId="4D6E79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0E76676D"/>
              </w:tc>
              <w:tc>
                <w:tcPr>
                  <w:tcW w:w="391" w:type="dxa"/>
                  <w:vMerge w:val="continue"/>
                  <w:tcBorders>
                    <w:top w:val="nil"/>
                    <w:left w:val="nil"/>
                    <w:bottom w:val="single" w:color="000000" w:sz="4" w:space="0"/>
                    <w:right w:val="single" w:color="000000" w:sz="4" w:space="0"/>
                  </w:tcBorders>
                </w:tcPr>
                <w:p w14:paraId="28229FCB"/>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EC408D">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）应根据保护对象的安全保护等级进行安全方案设计；</w:t>
                  </w:r>
                </w:p>
              </w:tc>
            </w:tr>
            <w:tr w14:paraId="7FE435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3C7E1AE0"/>
              </w:tc>
              <w:tc>
                <w:tcPr>
                  <w:tcW w:w="391" w:type="dxa"/>
                  <w:vMerge w:val="continue"/>
                  <w:tcBorders>
                    <w:top w:val="nil"/>
                    <w:left w:val="nil"/>
                    <w:bottom w:val="single" w:color="000000" w:sz="4" w:space="0"/>
                    <w:right w:val="single" w:color="000000" w:sz="4" w:space="0"/>
                  </w:tcBorders>
                </w:tcPr>
                <w:p w14:paraId="51697ECC"/>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877E82">
                  <w:pPr>
                    <w:pStyle w:val="4"/>
                    <w:jc w:val="left"/>
                  </w:pPr>
                  <w:r>
                    <w:rPr>
                      <w:rFonts w:ascii="仿宋_GB2312" w:hAnsi="仿宋_GB2312" w:eastAsia="仿宋_GB2312" w:cs="仿宋_GB2312"/>
                      <w:sz w:val="21"/>
                    </w:rPr>
                    <w:t>c</w:t>
                  </w:r>
                  <w:r>
                    <w:rPr>
                      <w:rFonts w:ascii="仿宋_GB2312" w:hAnsi="仿宋_GB2312" w:eastAsia="仿宋_GB2312" w:cs="仿宋_GB2312"/>
                      <w:color w:val="000000"/>
                      <w:sz w:val="21"/>
                    </w:rPr>
                    <w:t>）应组织相关部门和有关安全专家对安全方案的合理性和正确性进行论证和审定，经过批准后才能正式实施。</w:t>
                  </w:r>
                </w:p>
              </w:tc>
            </w:tr>
            <w:tr w14:paraId="2F8CC7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54BB1086"/>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620FA77">
                  <w:pPr>
                    <w:pStyle w:val="4"/>
                    <w:jc w:val="center"/>
                  </w:pPr>
                  <w:r>
                    <w:rPr>
                      <w:rFonts w:ascii="仿宋_GB2312" w:hAnsi="仿宋_GB2312" w:eastAsia="仿宋_GB2312" w:cs="仿宋_GB2312"/>
                      <w:sz w:val="21"/>
                    </w:rPr>
                    <w:t>产品采购和使用</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71AA9B">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）应确保网络安全产品的采购和使用符合国家的有关规定；</w:t>
                  </w:r>
                </w:p>
              </w:tc>
            </w:tr>
            <w:tr w14:paraId="2066D3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3CECC977"/>
              </w:tc>
              <w:tc>
                <w:tcPr>
                  <w:tcW w:w="391" w:type="dxa"/>
                  <w:vMerge w:val="continue"/>
                  <w:tcBorders>
                    <w:top w:val="nil"/>
                    <w:left w:val="nil"/>
                    <w:bottom w:val="single" w:color="000000" w:sz="4" w:space="0"/>
                    <w:right w:val="single" w:color="000000" w:sz="4" w:space="0"/>
                  </w:tcBorders>
                </w:tcPr>
                <w:p w14:paraId="0C46FE96"/>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8742BF">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）应确保密码产品与服务的采购和使用符合国家密码主管部门的要求。</w:t>
                  </w:r>
                </w:p>
              </w:tc>
            </w:tr>
            <w:tr w14:paraId="739B2F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61A45824"/>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15A773F">
                  <w:pPr>
                    <w:pStyle w:val="4"/>
                    <w:jc w:val="center"/>
                  </w:pPr>
                  <w:r>
                    <w:rPr>
                      <w:rFonts w:ascii="仿宋_GB2312" w:hAnsi="仿宋_GB2312" w:eastAsia="仿宋_GB2312" w:cs="仿宋_GB2312"/>
                      <w:sz w:val="21"/>
                    </w:rPr>
                    <w:t>自行软件开发</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83B80D">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）应将开发环境与实际运行环境物理分开，测试数据和测试结果受到控制；</w:t>
                  </w:r>
                </w:p>
              </w:tc>
            </w:tr>
            <w:tr w14:paraId="2A1E99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5A307870"/>
              </w:tc>
              <w:tc>
                <w:tcPr>
                  <w:tcW w:w="391" w:type="dxa"/>
                  <w:vMerge w:val="continue"/>
                  <w:tcBorders>
                    <w:top w:val="nil"/>
                    <w:left w:val="nil"/>
                    <w:bottom w:val="single" w:color="000000" w:sz="4" w:space="0"/>
                    <w:right w:val="single" w:color="000000" w:sz="4" w:space="0"/>
                  </w:tcBorders>
                </w:tcPr>
                <w:p w14:paraId="54B41F55"/>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889409">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）应在软件开发过程中对安全性进行测试，在软件安装前对可能存在的恶意代码进行检测。</w:t>
                  </w:r>
                </w:p>
              </w:tc>
            </w:tr>
            <w:tr w14:paraId="7172E3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3B200B48"/>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CBB63F2">
                  <w:pPr>
                    <w:pStyle w:val="4"/>
                    <w:jc w:val="center"/>
                  </w:pPr>
                  <w:r>
                    <w:rPr>
                      <w:rFonts w:ascii="仿宋_GB2312" w:hAnsi="仿宋_GB2312" w:eastAsia="仿宋_GB2312" w:cs="仿宋_GB2312"/>
                      <w:sz w:val="21"/>
                    </w:rPr>
                    <w:t>外包软件开发</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4198FD">
                  <w:pPr>
                    <w:pStyle w:val="4"/>
                    <w:jc w:val="left"/>
                  </w:pPr>
                  <w:r>
                    <w:rPr>
                      <w:rFonts w:ascii="仿宋_GB2312" w:hAnsi="仿宋_GB2312" w:eastAsia="仿宋_GB2312" w:cs="仿宋_GB2312"/>
                      <w:sz w:val="21"/>
                    </w:rPr>
                    <w:t>a）应在软件交付前检测其中可能存在的恶意代码；</w:t>
                  </w:r>
                </w:p>
              </w:tc>
            </w:tr>
            <w:tr w14:paraId="20C0EF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60A44524"/>
              </w:tc>
              <w:tc>
                <w:tcPr>
                  <w:tcW w:w="391" w:type="dxa"/>
                  <w:vMerge w:val="continue"/>
                  <w:tcBorders>
                    <w:top w:val="nil"/>
                    <w:left w:val="nil"/>
                    <w:bottom w:val="single" w:color="000000" w:sz="4" w:space="0"/>
                    <w:right w:val="single" w:color="000000" w:sz="4" w:space="0"/>
                  </w:tcBorders>
                </w:tcPr>
                <w:p w14:paraId="5C0F4BE1"/>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70545B">
                  <w:pPr>
                    <w:pStyle w:val="4"/>
                    <w:jc w:val="left"/>
                  </w:pPr>
                  <w:r>
                    <w:rPr>
                      <w:rFonts w:ascii="仿宋_GB2312" w:hAnsi="仿宋_GB2312" w:eastAsia="仿宋_GB2312" w:cs="仿宋_GB2312"/>
                      <w:sz w:val="21"/>
                    </w:rPr>
                    <w:t>b）应保证开发单位提供软件设计文档和使用指南。</w:t>
                  </w:r>
                </w:p>
              </w:tc>
            </w:tr>
            <w:tr w14:paraId="16F644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5DFC2B87"/>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3BC2715">
                  <w:pPr>
                    <w:pStyle w:val="4"/>
                    <w:jc w:val="center"/>
                  </w:pPr>
                  <w:r>
                    <w:rPr>
                      <w:rFonts w:ascii="仿宋_GB2312" w:hAnsi="仿宋_GB2312" w:eastAsia="仿宋_GB2312" w:cs="仿宋_GB2312"/>
                      <w:sz w:val="21"/>
                    </w:rPr>
                    <w:t>工程实施</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AD12E2">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）应指定或授权专门的部门或人员负责工程实施过程的管理；</w:t>
                  </w:r>
                </w:p>
              </w:tc>
            </w:tr>
            <w:tr w14:paraId="550673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554458D5"/>
              </w:tc>
              <w:tc>
                <w:tcPr>
                  <w:tcW w:w="391" w:type="dxa"/>
                  <w:vMerge w:val="continue"/>
                  <w:tcBorders>
                    <w:top w:val="nil"/>
                    <w:left w:val="nil"/>
                    <w:bottom w:val="single" w:color="000000" w:sz="4" w:space="0"/>
                    <w:right w:val="single" w:color="000000" w:sz="4" w:space="0"/>
                  </w:tcBorders>
                </w:tcPr>
                <w:p w14:paraId="0E6C76C7"/>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25BD94">
                  <w:pPr>
                    <w:pStyle w:val="4"/>
                    <w:jc w:val="left"/>
                  </w:pPr>
                  <w:r>
                    <w:rPr>
                      <w:rFonts w:ascii="仿宋_GB2312" w:hAnsi="仿宋_GB2312" w:eastAsia="仿宋_GB2312" w:cs="仿宋_GB2312"/>
                      <w:sz w:val="21"/>
                    </w:rPr>
                    <w:t>b）应制定安全工程实施方案控制工程实施过程。</w:t>
                  </w:r>
                </w:p>
              </w:tc>
            </w:tr>
            <w:tr w14:paraId="278A1A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15DA443E"/>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BEC6A33">
                  <w:pPr>
                    <w:pStyle w:val="4"/>
                    <w:jc w:val="center"/>
                  </w:pPr>
                  <w:r>
                    <w:rPr>
                      <w:rFonts w:ascii="仿宋_GB2312" w:hAnsi="仿宋_GB2312" w:eastAsia="仿宋_GB2312" w:cs="仿宋_GB2312"/>
                      <w:sz w:val="21"/>
                    </w:rPr>
                    <w:t>测试验收</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95BCC7">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）应制订测试验收方案，并依据测试验收方案实施测试验收，形成测试验收报告；</w:t>
                  </w:r>
                </w:p>
              </w:tc>
            </w:tr>
            <w:tr w14:paraId="5EFDA8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1E886F45"/>
              </w:tc>
              <w:tc>
                <w:tcPr>
                  <w:tcW w:w="391" w:type="dxa"/>
                  <w:vMerge w:val="continue"/>
                  <w:tcBorders>
                    <w:top w:val="nil"/>
                    <w:left w:val="nil"/>
                    <w:bottom w:val="single" w:color="000000" w:sz="4" w:space="0"/>
                    <w:right w:val="single" w:color="000000" w:sz="4" w:space="0"/>
                  </w:tcBorders>
                </w:tcPr>
                <w:p w14:paraId="58E97052"/>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C82835">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）应进行上线前的安全性测试，并出具安全测试报告。</w:t>
                  </w:r>
                </w:p>
              </w:tc>
            </w:tr>
            <w:tr w14:paraId="6B04B1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5C79ADB7"/>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79CC200">
                  <w:pPr>
                    <w:pStyle w:val="4"/>
                    <w:jc w:val="center"/>
                  </w:pPr>
                  <w:r>
                    <w:rPr>
                      <w:rFonts w:ascii="仿宋_GB2312" w:hAnsi="仿宋_GB2312" w:eastAsia="仿宋_GB2312" w:cs="仿宋_GB2312"/>
                      <w:sz w:val="21"/>
                    </w:rPr>
                    <w:t>系统交付</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B64976">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）应制定交付清单，并根据交付清单对所交接的设备、软件和文档等进行清点；</w:t>
                  </w:r>
                </w:p>
              </w:tc>
            </w:tr>
            <w:tr w14:paraId="76610B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63B601D6"/>
              </w:tc>
              <w:tc>
                <w:tcPr>
                  <w:tcW w:w="391" w:type="dxa"/>
                  <w:vMerge w:val="continue"/>
                  <w:tcBorders>
                    <w:top w:val="nil"/>
                    <w:left w:val="nil"/>
                    <w:bottom w:val="single" w:color="000000" w:sz="4" w:space="0"/>
                    <w:right w:val="single" w:color="000000" w:sz="4" w:space="0"/>
                  </w:tcBorders>
                </w:tcPr>
                <w:p w14:paraId="091E194D"/>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4643BA">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）应对负责系统运行维护的技术人员进行相应的技能培训；</w:t>
                  </w:r>
                </w:p>
              </w:tc>
            </w:tr>
            <w:tr w14:paraId="217610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323F1908"/>
              </w:tc>
              <w:tc>
                <w:tcPr>
                  <w:tcW w:w="391" w:type="dxa"/>
                  <w:vMerge w:val="continue"/>
                  <w:tcBorders>
                    <w:top w:val="nil"/>
                    <w:left w:val="nil"/>
                    <w:bottom w:val="single" w:color="000000" w:sz="4" w:space="0"/>
                    <w:right w:val="single" w:color="000000" w:sz="4" w:space="0"/>
                  </w:tcBorders>
                </w:tcPr>
                <w:p w14:paraId="637E31FD"/>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003712">
                  <w:pPr>
                    <w:pStyle w:val="4"/>
                    <w:jc w:val="left"/>
                  </w:pPr>
                  <w:r>
                    <w:rPr>
                      <w:rFonts w:ascii="仿宋_GB2312" w:hAnsi="仿宋_GB2312" w:eastAsia="仿宋_GB2312" w:cs="仿宋_GB2312"/>
                      <w:sz w:val="21"/>
                    </w:rPr>
                    <w:t>c）应提供系统建设过程文档和运行维护文档。</w:t>
                  </w:r>
                </w:p>
              </w:tc>
            </w:tr>
            <w:tr w14:paraId="1C5B3B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1F164409"/>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CB6615A">
                  <w:pPr>
                    <w:pStyle w:val="4"/>
                    <w:jc w:val="center"/>
                  </w:pPr>
                  <w:r>
                    <w:rPr>
                      <w:rFonts w:ascii="仿宋_GB2312" w:hAnsi="仿宋_GB2312" w:eastAsia="仿宋_GB2312" w:cs="仿宋_GB2312"/>
                      <w:sz w:val="21"/>
                    </w:rPr>
                    <w:t>等级测评</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D0EE4A">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）应定期进行等级测评，发现不符合相应等级保护标准要求的及时整改；</w:t>
                  </w:r>
                </w:p>
              </w:tc>
            </w:tr>
            <w:tr w14:paraId="2D6B89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5305AA71"/>
              </w:tc>
              <w:tc>
                <w:tcPr>
                  <w:tcW w:w="391" w:type="dxa"/>
                  <w:vMerge w:val="continue"/>
                  <w:tcBorders>
                    <w:top w:val="nil"/>
                    <w:left w:val="nil"/>
                    <w:bottom w:val="single" w:color="000000" w:sz="4" w:space="0"/>
                    <w:right w:val="single" w:color="000000" w:sz="4" w:space="0"/>
                  </w:tcBorders>
                </w:tcPr>
                <w:p w14:paraId="7B0D7FF4"/>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ADE9D1">
                  <w:pPr>
                    <w:pStyle w:val="4"/>
                    <w:jc w:val="left"/>
                  </w:pPr>
                  <w:r>
                    <w:rPr>
                      <w:rFonts w:ascii="仿宋_GB2312" w:hAnsi="仿宋_GB2312" w:eastAsia="仿宋_GB2312" w:cs="仿宋_GB2312"/>
                      <w:sz w:val="21"/>
                    </w:rPr>
                    <w:t>b）在发生重大变更或级别发生时进行等级测评；</w:t>
                  </w:r>
                </w:p>
              </w:tc>
            </w:tr>
            <w:tr w14:paraId="16413D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79F345CB"/>
              </w:tc>
              <w:tc>
                <w:tcPr>
                  <w:tcW w:w="391" w:type="dxa"/>
                  <w:vMerge w:val="continue"/>
                  <w:tcBorders>
                    <w:top w:val="nil"/>
                    <w:left w:val="nil"/>
                    <w:bottom w:val="single" w:color="000000" w:sz="4" w:space="0"/>
                    <w:right w:val="single" w:color="000000" w:sz="4" w:space="0"/>
                  </w:tcBorders>
                </w:tcPr>
                <w:p w14:paraId="186C9A26"/>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3BC732">
                  <w:pPr>
                    <w:pStyle w:val="4"/>
                    <w:jc w:val="left"/>
                  </w:pPr>
                  <w:r>
                    <w:rPr>
                      <w:rFonts w:ascii="仿宋_GB2312" w:hAnsi="仿宋_GB2312" w:eastAsia="仿宋_GB2312" w:cs="仿宋_GB2312"/>
                      <w:sz w:val="21"/>
                    </w:rPr>
                    <w:t>c）应确保测评机构的选择符合国家相关规定。</w:t>
                  </w:r>
                </w:p>
              </w:tc>
            </w:tr>
            <w:tr w14:paraId="788C62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4FFFF38A"/>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CB5832C">
                  <w:pPr>
                    <w:pStyle w:val="4"/>
                    <w:jc w:val="center"/>
                  </w:pPr>
                  <w:r>
                    <w:rPr>
                      <w:rFonts w:ascii="仿宋_GB2312" w:hAnsi="仿宋_GB2312" w:eastAsia="仿宋_GB2312" w:cs="仿宋_GB2312"/>
                      <w:sz w:val="21"/>
                    </w:rPr>
                    <w:t>服务供应商管理</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A0C021">
                  <w:pPr>
                    <w:pStyle w:val="4"/>
                    <w:jc w:val="left"/>
                  </w:pPr>
                  <w:r>
                    <w:rPr>
                      <w:rFonts w:ascii="仿宋_GB2312" w:hAnsi="仿宋_GB2312" w:eastAsia="仿宋_GB2312" w:cs="仿宋_GB2312"/>
                      <w:sz w:val="21"/>
                    </w:rPr>
                    <w:t>a）应确保服务供应商的选择符合国家的有关标准；</w:t>
                  </w:r>
                </w:p>
              </w:tc>
            </w:tr>
            <w:tr w14:paraId="1A4B2C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75E2ACA3"/>
              </w:tc>
              <w:tc>
                <w:tcPr>
                  <w:tcW w:w="391" w:type="dxa"/>
                  <w:vMerge w:val="continue"/>
                  <w:tcBorders>
                    <w:top w:val="nil"/>
                    <w:left w:val="nil"/>
                    <w:bottom w:val="single" w:color="000000" w:sz="4" w:space="0"/>
                    <w:right w:val="single" w:color="000000" w:sz="4" w:space="0"/>
                  </w:tcBorders>
                </w:tcPr>
                <w:p w14:paraId="2E8C3A12"/>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596530">
                  <w:pPr>
                    <w:pStyle w:val="4"/>
                    <w:jc w:val="left"/>
                  </w:pPr>
                  <w:r>
                    <w:rPr>
                      <w:rFonts w:ascii="仿宋_GB2312" w:hAnsi="仿宋_GB2312" w:eastAsia="仿宋_GB2312" w:cs="仿宋_GB2312"/>
                      <w:sz w:val="21"/>
                    </w:rPr>
                    <w:t>b）应与选定的服务供应商签订相关协议，明确整个服务供应链各方需履行的网络安全相关义务。</w:t>
                  </w:r>
                </w:p>
              </w:tc>
            </w:tr>
            <w:tr w14:paraId="531CAE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D7E5E9">
                  <w:pPr>
                    <w:pStyle w:val="4"/>
                    <w:jc w:val="center"/>
                  </w:pPr>
                  <w:r>
                    <w:rPr>
                      <w:rFonts w:ascii="仿宋_GB2312" w:hAnsi="仿宋_GB2312" w:eastAsia="仿宋_GB2312" w:cs="仿宋_GB2312"/>
                      <w:sz w:val="21"/>
                    </w:rPr>
                    <w:t>安全运维管理</w:t>
                  </w:r>
                </w:p>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30F89C9">
                  <w:pPr>
                    <w:pStyle w:val="4"/>
                    <w:jc w:val="center"/>
                  </w:pPr>
                  <w:r>
                    <w:rPr>
                      <w:rFonts w:ascii="仿宋_GB2312" w:hAnsi="仿宋_GB2312" w:eastAsia="仿宋_GB2312" w:cs="仿宋_GB2312"/>
                      <w:sz w:val="21"/>
                    </w:rPr>
                    <w:t>环境管理</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65F0D6">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）应指定专门的部门或人员负责机房安全，对机房出入进行管理，</w:t>
                  </w:r>
                  <w:r>
                    <w:rPr>
                      <w:rFonts w:ascii="仿宋_GB2312" w:hAnsi="仿宋_GB2312" w:eastAsia="仿宋_GB2312" w:cs="仿宋_GB2312"/>
                      <w:sz w:val="21"/>
                    </w:rPr>
                    <w:t xml:space="preserve"> </w:t>
                  </w:r>
                  <w:r>
                    <w:rPr>
                      <w:rFonts w:ascii="仿宋_GB2312" w:hAnsi="仿宋_GB2312" w:eastAsia="仿宋_GB2312" w:cs="仿宋_GB2312"/>
                      <w:color w:val="000000"/>
                      <w:sz w:val="21"/>
                    </w:rPr>
                    <w:t>定期对机房供配电、空调、温湿度控制、消防等设施进行维护管理；</w:t>
                  </w:r>
                </w:p>
              </w:tc>
            </w:tr>
            <w:tr w14:paraId="25EABF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5CD76AAC"/>
              </w:tc>
              <w:tc>
                <w:tcPr>
                  <w:tcW w:w="391" w:type="dxa"/>
                  <w:vMerge w:val="continue"/>
                  <w:tcBorders>
                    <w:top w:val="nil"/>
                    <w:left w:val="nil"/>
                    <w:bottom w:val="single" w:color="000000" w:sz="4" w:space="0"/>
                    <w:right w:val="single" w:color="000000" w:sz="4" w:space="0"/>
                  </w:tcBorders>
                </w:tcPr>
                <w:p w14:paraId="5DD14611"/>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BAEF1B">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）应对机房的安全管理作出规定，包括物理访问，物品进出和环境安全等；</w:t>
                  </w:r>
                </w:p>
              </w:tc>
            </w:tr>
            <w:tr w14:paraId="4F3010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30A6E278"/>
              </w:tc>
              <w:tc>
                <w:tcPr>
                  <w:tcW w:w="391" w:type="dxa"/>
                  <w:vMerge w:val="continue"/>
                  <w:tcBorders>
                    <w:top w:val="nil"/>
                    <w:left w:val="nil"/>
                    <w:bottom w:val="single" w:color="000000" w:sz="4" w:space="0"/>
                    <w:right w:val="single" w:color="000000" w:sz="4" w:space="0"/>
                  </w:tcBorders>
                </w:tcPr>
                <w:p w14:paraId="094ECFEF"/>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59CD85">
                  <w:pPr>
                    <w:pStyle w:val="4"/>
                    <w:jc w:val="left"/>
                  </w:pPr>
                  <w:r>
                    <w:rPr>
                      <w:rFonts w:ascii="仿宋_GB2312" w:hAnsi="仿宋_GB2312" w:eastAsia="仿宋_GB2312" w:cs="仿宋_GB2312"/>
                      <w:sz w:val="21"/>
                    </w:rPr>
                    <w:t>c</w:t>
                  </w:r>
                  <w:r>
                    <w:rPr>
                      <w:rFonts w:ascii="仿宋_GB2312" w:hAnsi="仿宋_GB2312" w:eastAsia="仿宋_GB2312" w:cs="仿宋_GB2312"/>
                      <w:color w:val="000000"/>
                      <w:sz w:val="21"/>
                    </w:rPr>
                    <w:t>）应不在重要区域接待来访人员，不随意放置包含敏感信息的纸质文件和移动介质等。</w:t>
                  </w:r>
                </w:p>
              </w:tc>
            </w:tr>
            <w:tr w14:paraId="06F4FA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2767810D"/>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B0193A">
                  <w:pPr>
                    <w:pStyle w:val="4"/>
                    <w:jc w:val="center"/>
                  </w:pPr>
                  <w:r>
                    <w:rPr>
                      <w:rFonts w:ascii="仿宋_GB2312" w:hAnsi="仿宋_GB2312" w:eastAsia="仿宋_GB2312" w:cs="仿宋_GB2312"/>
                      <w:sz w:val="21"/>
                    </w:rPr>
                    <w:t>资产管理</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CE032E">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）应编制并保存与保护对象相关的资产清单，包括资产责任部门、重要程度和所处位置等内容。</w:t>
                  </w:r>
                </w:p>
              </w:tc>
            </w:tr>
            <w:tr w14:paraId="080981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74EF7659"/>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3EED8E0">
                  <w:pPr>
                    <w:pStyle w:val="4"/>
                    <w:jc w:val="center"/>
                  </w:pPr>
                  <w:r>
                    <w:rPr>
                      <w:rFonts w:ascii="仿宋_GB2312" w:hAnsi="仿宋_GB2312" w:eastAsia="仿宋_GB2312" w:cs="仿宋_GB2312"/>
                      <w:sz w:val="21"/>
                    </w:rPr>
                    <w:t>介质管理</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668DF4">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）应确保介质存放在安全的环境中，对各类介质进行控制和保护，</w:t>
                  </w:r>
                  <w:r>
                    <w:rPr>
                      <w:rFonts w:ascii="仿宋_GB2312" w:hAnsi="仿宋_GB2312" w:eastAsia="仿宋_GB2312" w:cs="仿宋_GB2312"/>
                      <w:sz w:val="21"/>
                    </w:rPr>
                    <w:t xml:space="preserve"> </w:t>
                  </w:r>
                  <w:r>
                    <w:rPr>
                      <w:rFonts w:ascii="仿宋_GB2312" w:hAnsi="仿宋_GB2312" w:eastAsia="仿宋_GB2312" w:cs="仿宋_GB2312"/>
                      <w:color w:val="000000"/>
                      <w:sz w:val="21"/>
                    </w:rPr>
                    <w:t>实行存储环境专人管理并根据存档介质的目录清单定期盘点；</w:t>
                  </w:r>
                </w:p>
              </w:tc>
            </w:tr>
            <w:tr w14:paraId="76B322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6CE1AD5C"/>
              </w:tc>
              <w:tc>
                <w:tcPr>
                  <w:tcW w:w="391" w:type="dxa"/>
                  <w:vMerge w:val="continue"/>
                  <w:tcBorders>
                    <w:top w:val="nil"/>
                    <w:left w:val="nil"/>
                    <w:bottom w:val="single" w:color="000000" w:sz="4" w:space="0"/>
                    <w:right w:val="single" w:color="000000" w:sz="4" w:space="0"/>
                  </w:tcBorders>
                </w:tcPr>
                <w:p w14:paraId="54919A0B"/>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B8A981">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）应对介质在物理传输过程中的人员选择、打包、交付等情况进行控制，对介质归档和查询等进行登记记录。</w:t>
                  </w:r>
                </w:p>
              </w:tc>
            </w:tr>
            <w:tr w14:paraId="7B6864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4DBC63CA"/>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79DF48D">
                  <w:pPr>
                    <w:pStyle w:val="4"/>
                    <w:jc w:val="center"/>
                  </w:pPr>
                  <w:r>
                    <w:rPr>
                      <w:rFonts w:ascii="仿宋_GB2312" w:hAnsi="仿宋_GB2312" w:eastAsia="仿宋_GB2312" w:cs="仿宋_GB2312"/>
                      <w:sz w:val="21"/>
                    </w:rPr>
                    <w:t>设备维护管理</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7700A6">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）应对各种设备（包括备份和冗余设备）、线路等指定专门的部门或人员定期进行维护管理；</w:t>
                  </w:r>
                </w:p>
              </w:tc>
            </w:tr>
            <w:tr w14:paraId="25B120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6162BC58"/>
              </w:tc>
              <w:tc>
                <w:tcPr>
                  <w:tcW w:w="391" w:type="dxa"/>
                  <w:vMerge w:val="continue"/>
                  <w:tcBorders>
                    <w:top w:val="nil"/>
                    <w:left w:val="nil"/>
                    <w:bottom w:val="single" w:color="000000" w:sz="4" w:space="0"/>
                    <w:right w:val="single" w:color="000000" w:sz="4" w:space="0"/>
                  </w:tcBorders>
                </w:tcPr>
                <w:p w14:paraId="3807A6C1"/>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6393D6">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）应对配套设施、软硬件维护管理作出规定，包括明确维护人员的责任、维修和服务的审批、维修过程的监督控制等。</w:t>
                  </w:r>
                </w:p>
              </w:tc>
            </w:tr>
            <w:tr w14:paraId="4B0B30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2D76EE0D"/>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F521FB">
                  <w:pPr>
                    <w:pStyle w:val="4"/>
                    <w:jc w:val="center"/>
                  </w:pPr>
                  <w:r>
                    <w:rPr>
                      <w:rFonts w:ascii="仿宋_GB2312" w:hAnsi="仿宋_GB2312" w:eastAsia="仿宋_GB2312" w:cs="仿宋_GB2312"/>
                      <w:sz w:val="21"/>
                    </w:rPr>
                    <w:t>漏洞和风险管理</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EB36B2">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）应采取必要的措施识别安全漏洞和隐患，对发现的安全漏洞和隐患及时进行修补或评估可能的影响后进行修补。</w:t>
                  </w:r>
                </w:p>
              </w:tc>
            </w:tr>
            <w:tr w14:paraId="286DD5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35CB6CFA"/>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5504168">
                  <w:pPr>
                    <w:pStyle w:val="4"/>
                    <w:jc w:val="center"/>
                  </w:pPr>
                  <w:r>
                    <w:rPr>
                      <w:rFonts w:ascii="仿宋_GB2312" w:hAnsi="仿宋_GB2312" w:eastAsia="仿宋_GB2312" w:cs="仿宋_GB2312"/>
                      <w:sz w:val="21"/>
                    </w:rPr>
                    <w:t>网络和系统安全管理</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F050A5">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）应划分不同的管理员角色进行网络和系统的运维管理，明确各个角色的责任和权限；</w:t>
                  </w:r>
                </w:p>
              </w:tc>
            </w:tr>
            <w:tr w14:paraId="098AFB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53E8FF70"/>
              </w:tc>
              <w:tc>
                <w:tcPr>
                  <w:tcW w:w="391" w:type="dxa"/>
                  <w:vMerge w:val="continue"/>
                  <w:tcBorders>
                    <w:top w:val="nil"/>
                    <w:left w:val="nil"/>
                    <w:bottom w:val="single" w:color="000000" w:sz="4" w:space="0"/>
                    <w:right w:val="single" w:color="000000" w:sz="4" w:space="0"/>
                  </w:tcBorders>
                </w:tcPr>
                <w:p w14:paraId="64FD745A"/>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A4BF68">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）应指定专门的部门或人员进行账户管理，对账户申请，建立账户、删除账户等进行控制；</w:t>
                  </w:r>
                </w:p>
              </w:tc>
            </w:tr>
            <w:tr w14:paraId="0A1624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3470466F"/>
              </w:tc>
              <w:tc>
                <w:tcPr>
                  <w:tcW w:w="391" w:type="dxa"/>
                  <w:vMerge w:val="continue"/>
                  <w:tcBorders>
                    <w:top w:val="nil"/>
                    <w:left w:val="nil"/>
                    <w:bottom w:val="single" w:color="000000" w:sz="4" w:space="0"/>
                    <w:right w:val="single" w:color="000000" w:sz="4" w:space="0"/>
                  </w:tcBorders>
                </w:tcPr>
                <w:p w14:paraId="6AFAF108"/>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652156">
                  <w:pPr>
                    <w:pStyle w:val="4"/>
                    <w:jc w:val="left"/>
                  </w:pPr>
                  <w:r>
                    <w:rPr>
                      <w:rFonts w:ascii="仿宋_GB2312" w:hAnsi="仿宋_GB2312" w:eastAsia="仿宋_GB2312" w:cs="仿宋_GB2312"/>
                      <w:sz w:val="21"/>
                    </w:rPr>
                    <w:t>c</w:t>
                  </w:r>
                  <w:r>
                    <w:rPr>
                      <w:rFonts w:ascii="仿宋_GB2312" w:hAnsi="仿宋_GB2312" w:eastAsia="仿宋_GB2312" w:cs="仿宋_GB2312"/>
                      <w:color w:val="000000"/>
                      <w:sz w:val="21"/>
                    </w:rPr>
                    <w:t>）应建立网络和系统安全管理制度，对安全策略、账户管理、配置管理、日志管理、日常操作、升级与打补丁、口令更新周期等方面作出规定；</w:t>
                  </w:r>
                </w:p>
              </w:tc>
            </w:tr>
            <w:tr w14:paraId="7EAF75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6F104EF8"/>
              </w:tc>
              <w:tc>
                <w:tcPr>
                  <w:tcW w:w="391" w:type="dxa"/>
                  <w:vMerge w:val="continue"/>
                  <w:tcBorders>
                    <w:top w:val="nil"/>
                    <w:left w:val="nil"/>
                    <w:bottom w:val="single" w:color="000000" w:sz="4" w:space="0"/>
                    <w:right w:val="single" w:color="000000" w:sz="4" w:space="0"/>
                  </w:tcBorders>
                </w:tcPr>
                <w:p w14:paraId="40E74826"/>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E1D078">
                  <w:pPr>
                    <w:pStyle w:val="4"/>
                    <w:jc w:val="left"/>
                  </w:pPr>
                  <w:r>
                    <w:rPr>
                      <w:rFonts w:ascii="仿宋_GB2312" w:hAnsi="仿宋_GB2312" w:eastAsia="仿宋_GB2312" w:cs="仿宋_GB2312"/>
                      <w:sz w:val="21"/>
                    </w:rPr>
                    <w:t>d</w:t>
                  </w:r>
                  <w:r>
                    <w:rPr>
                      <w:rFonts w:ascii="仿宋_GB2312" w:hAnsi="仿宋_GB2312" w:eastAsia="仿宋_GB2312" w:cs="仿宋_GB2312"/>
                      <w:color w:val="000000"/>
                      <w:sz w:val="21"/>
                    </w:rPr>
                    <w:t>）应制定重要设备的配置和操作手册，依据操作手册对设备进行安全配置和优化配置等；</w:t>
                  </w:r>
                </w:p>
              </w:tc>
            </w:tr>
            <w:tr w14:paraId="0A469B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0EA621E9"/>
              </w:tc>
              <w:tc>
                <w:tcPr>
                  <w:tcW w:w="391" w:type="dxa"/>
                  <w:vMerge w:val="continue"/>
                  <w:tcBorders>
                    <w:top w:val="nil"/>
                    <w:left w:val="nil"/>
                    <w:bottom w:val="single" w:color="000000" w:sz="4" w:space="0"/>
                    <w:right w:val="single" w:color="000000" w:sz="4" w:space="0"/>
                  </w:tcBorders>
                </w:tcPr>
                <w:p w14:paraId="46B93EFB"/>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C921D1">
                  <w:pPr>
                    <w:pStyle w:val="4"/>
                    <w:jc w:val="left"/>
                  </w:pPr>
                  <w:r>
                    <w:rPr>
                      <w:rFonts w:ascii="仿宋_GB2312" w:hAnsi="仿宋_GB2312" w:eastAsia="仿宋_GB2312" w:cs="仿宋_GB2312"/>
                      <w:sz w:val="21"/>
                    </w:rPr>
                    <w:t>e</w:t>
                  </w:r>
                  <w:r>
                    <w:rPr>
                      <w:rFonts w:ascii="仿宋_GB2312" w:hAnsi="仿宋_GB2312" w:eastAsia="仿宋_GB2312" w:cs="仿宋_GB2312"/>
                      <w:color w:val="000000"/>
                      <w:sz w:val="21"/>
                    </w:rPr>
                    <w:t>）应详细记录运维操作日志，包括日常巡检工作，运行维护记录、参数的设置和修改的内容。</w:t>
                  </w:r>
                </w:p>
              </w:tc>
            </w:tr>
            <w:tr w14:paraId="18F267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734CC273"/>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81EA62F">
                  <w:pPr>
                    <w:pStyle w:val="4"/>
                    <w:jc w:val="center"/>
                  </w:pPr>
                  <w:r>
                    <w:rPr>
                      <w:rFonts w:ascii="仿宋_GB2312" w:hAnsi="仿宋_GB2312" w:eastAsia="仿宋_GB2312" w:cs="仿宋_GB2312"/>
                      <w:sz w:val="21"/>
                    </w:rPr>
                    <w:t>恶意代码防范管理</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BF0490">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）应提高所有用户的防恶意代码意识，对外来计算机或存储设备接入系统前进行恶意代码检查等；</w:t>
                  </w:r>
                </w:p>
              </w:tc>
            </w:tr>
            <w:tr w14:paraId="47400A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070A20B5"/>
              </w:tc>
              <w:tc>
                <w:tcPr>
                  <w:tcW w:w="391" w:type="dxa"/>
                  <w:vMerge w:val="continue"/>
                  <w:tcBorders>
                    <w:top w:val="nil"/>
                    <w:left w:val="nil"/>
                    <w:bottom w:val="single" w:color="000000" w:sz="4" w:space="0"/>
                    <w:right w:val="single" w:color="000000" w:sz="4" w:space="0"/>
                  </w:tcBorders>
                </w:tcPr>
                <w:p w14:paraId="321F2E53"/>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17A295">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）应对防恶意代码防范要求作出规定，包括防恶意代码软件的授权使用、恶意代码库升级、恶意代码的定期查杀等；</w:t>
                  </w:r>
                </w:p>
              </w:tc>
            </w:tr>
            <w:tr w14:paraId="7B9844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288594B5"/>
              </w:tc>
              <w:tc>
                <w:tcPr>
                  <w:tcW w:w="391" w:type="dxa"/>
                  <w:vMerge w:val="continue"/>
                  <w:tcBorders>
                    <w:top w:val="nil"/>
                    <w:left w:val="nil"/>
                    <w:bottom w:val="single" w:color="000000" w:sz="4" w:space="0"/>
                    <w:right w:val="single" w:color="000000" w:sz="4" w:space="0"/>
                  </w:tcBorders>
                </w:tcPr>
                <w:p w14:paraId="31F28117"/>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0CB418">
                  <w:pPr>
                    <w:pStyle w:val="4"/>
                    <w:jc w:val="left"/>
                  </w:pPr>
                  <w:r>
                    <w:rPr>
                      <w:rFonts w:ascii="仿宋_GB2312" w:hAnsi="仿宋_GB2312" w:eastAsia="仿宋_GB2312" w:cs="仿宋_GB2312"/>
                      <w:sz w:val="21"/>
                    </w:rPr>
                    <w:t>c</w:t>
                  </w:r>
                  <w:r>
                    <w:rPr>
                      <w:rFonts w:ascii="仿宋_GB2312" w:hAnsi="仿宋_GB2312" w:eastAsia="仿宋_GB2312" w:cs="仿宋_GB2312"/>
                      <w:color w:val="000000"/>
                      <w:sz w:val="21"/>
                    </w:rPr>
                    <w:t>）应定期检查恶意代码库的升级情况，对截获的恶意代码进行及时分析处理。</w:t>
                  </w:r>
                </w:p>
              </w:tc>
            </w:tr>
            <w:tr w14:paraId="1B1DFF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3EC39DCD"/>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5594A7">
                  <w:pPr>
                    <w:pStyle w:val="4"/>
                    <w:jc w:val="center"/>
                  </w:pPr>
                  <w:r>
                    <w:rPr>
                      <w:rFonts w:ascii="仿宋_GB2312" w:hAnsi="仿宋_GB2312" w:eastAsia="仿宋_GB2312" w:cs="仿宋_GB2312"/>
                      <w:sz w:val="21"/>
                    </w:rPr>
                    <w:t>配置管理</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3E4D03">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）应记录和保存基本配置信息，包括网络拓扑结构、各个设备安装的软件组件、软件组件的版本和补丁信息、各个设备或软件组件的配置参数等。</w:t>
                  </w:r>
                </w:p>
              </w:tc>
            </w:tr>
            <w:tr w14:paraId="1F39CA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23EECA63"/>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99BCF70">
                  <w:pPr>
                    <w:pStyle w:val="4"/>
                    <w:jc w:val="center"/>
                  </w:pPr>
                  <w:r>
                    <w:rPr>
                      <w:rFonts w:ascii="仿宋_GB2312" w:hAnsi="仿宋_GB2312" w:eastAsia="仿宋_GB2312" w:cs="仿宋_GB2312"/>
                      <w:sz w:val="21"/>
                    </w:rPr>
                    <w:t>密码管理</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2E5192">
                  <w:pPr>
                    <w:pStyle w:val="4"/>
                    <w:jc w:val="left"/>
                  </w:pPr>
                  <w:r>
                    <w:rPr>
                      <w:rFonts w:ascii="仿宋_GB2312" w:hAnsi="仿宋_GB2312" w:eastAsia="仿宋_GB2312" w:cs="仿宋_GB2312"/>
                      <w:sz w:val="21"/>
                    </w:rPr>
                    <w:t>a）应遵循密码相关的国家标准和行业标准；</w:t>
                  </w:r>
                </w:p>
              </w:tc>
            </w:tr>
            <w:tr w14:paraId="1859D0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4F2997B5"/>
              </w:tc>
              <w:tc>
                <w:tcPr>
                  <w:tcW w:w="391" w:type="dxa"/>
                  <w:vMerge w:val="continue"/>
                  <w:tcBorders>
                    <w:top w:val="nil"/>
                    <w:left w:val="nil"/>
                    <w:bottom w:val="single" w:color="000000" w:sz="4" w:space="0"/>
                    <w:right w:val="single" w:color="000000" w:sz="4" w:space="0"/>
                  </w:tcBorders>
                </w:tcPr>
                <w:p w14:paraId="2E74378C"/>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8A1EE0">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）应使用国家密码管理局认证核准的密码技术和产品。</w:t>
                  </w:r>
                </w:p>
              </w:tc>
            </w:tr>
            <w:tr w14:paraId="762758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73E26306"/>
              </w:tc>
              <w:tc>
                <w:tcPr>
                  <w:tcW w:w="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D4D71C">
                  <w:pPr>
                    <w:pStyle w:val="4"/>
                    <w:jc w:val="center"/>
                  </w:pPr>
                  <w:r>
                    <w:rPr>
                      <w:rFonts w:ascii="仿宋_GB2312" w:hAnsi="仿宋_GB2312" w:eastAsia="仿宋_GB2312" w:cs="仿宋_GB2312"/>
                      <w:sz w:val="21"/>
                    </w:rPr>
                    <w:t>变更管理</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AF7329">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）应明确认变更需求，变更前根据变更需求制定变更方案、变更方案经过评审、审批后方可实施。</w:t>
                  </w:r>
                </w:p>
              </w:tc>
            </w:tr>
            <w:tr w14:paraId="6BF8EA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1130C70A"/>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B89AA74">
                  <w:pPr>
                    <w:pStyle w:val="4"/>
                    <w:jc w:val="center"/>
                  </w:pPr>
                  <w:r>
                    <w:rPr>
                      <w:rFonts w:ascii="仿宋_GB2312" w:hAnsi="仿宋_GB2312" w:eastAsia="仿宋_GB2312" w:cs="仿宋_GB2312"/>
                      <w:sz w:val="21"/>
                    </w:rPr>
                    <w:t>备份与恢复管理</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3F2383">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）应识别需要定期备份的重要业务信息、系统数据及软件系统等；</w:t>
                  </w:r>
                </w:p>
              </w:tc>
            </w:tr>
            <w:tr w14:paraId="2FFBA5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3991D8A8"/>
              </w:tc>
              <w:tc>
                <w:tcPr>
                  <w:tcW w:w="391" w:type="dxa"/>
                  <w:vMerge w:val="continue"/>
                  <w:tcBorders>
                    <w:top w:val="nil"/>
                    <w:left w:val="nil"/>
                    <w:bottom w:val="single" w:color="000000" w:sz="4" w:space="0"/>
                    <w:right w:val="single" w:color="000000" w:sz="4" w:space="0"/>
                  </w:tcBorders>
                </w:tcPr>
                <w:p w14:paraId="74CAE55B"/>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28F475">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）应规定备份信息的备份方式、备份频度、存储介质和保存期等；</w:t>
                  </w:r>
                </w:p>
              </w:tc>
            </w:tr>
            <w:tr w14:paraId="127037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181C19A5"/>
              </w:tc>
              <w:tc>
                <w:tcPr>
                  <w:tcW w:w="391" w:type="dxa"/>
                  <w:vMerge w:val="continue"/>
                  <w:tcBorders>
                    <w:top w:val="nil"/>
                    <w:left w:val="nil"/>
                    <w:bottom w:val="single" w:color="000000" w:sz="4" w:space="0"/>
                    <w:right w:val="single" w:color="000000" w:sz="4" w:space="0"/>
                  </w:tcBorders>
                </w:tcPr>
                <w:p w14:paraId="2BD7C060"/>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78B507">
                  <w:pPr>
                    <w:pStyle w:val="4"/>
                    <w:jc w:val="left"/>
                  </w:pPr>
                  <w:r>
                    <w:rPr>
                      <w:rFonts w:ascii="仿宋_GB2312" w:hAnsi="仿宋_GB2312" w:eastAsia="仿宋_GB2312" w:cs="仿宋_GB2312"/>
                      <w:sz w:val="21"/>
                    </w:rPr>
                    <w:t>c</w:t>
                  </w:r>
                  <w:r>
                    <w:rPr>
                      <w:rFonts w:ascii="仿宋_GB2312" w:hAnsi="仿宋_GB2312" w:eastAsia="仿宋_GB2312" w:cs="仿宋_GB2312"/>
                      <w:color w:val="000000"/>
                      <w:sz w:val="21"/>
                    </w:rPr>
                    <w:t>）应根据数据的重要性和数据对系统运行的影响，制定数据的备份策略和恢复策略，备份程序和恢复程序。</w:t>
                  </w:r>
                </w:p>
              </w:tc>
            </w:tr>
            <w:tr w14:paraId="5F52A9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30CBA78D"/>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D7FB90E">
                  <w:pPr>
                    <w:pStyle w:val="4"/>
                    <w:jc w:val="center"/>
                  </w:pPr>
                  <w:r>
                    <w:rPr>
                      <w:rFonts w:ascii="仿宋_GB2312" w:hAnsi="仿宋_GB2312" w:eastAsia="仿宋_GB2312" w:cs="仿宋_GB2312"/>
                      <w:sz w:val="21"/>
                    </w:rPr>
                    <w:t>安全事件处置</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B29C3B">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）应及时向安全管理部门报告所发现的安全弱点和可疑事件；</w:t>
                  </w:r>
                </w:p>
              </w:tc>
            </w:tr>
            <w:tr w14:paraId="0E39EF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5150DD5E"/>
              </w:tc>
              <w:tc>
                <w:tcPr>
                  <w:tcW w:w="391" w:type="dxa"/>
                  <w:vMerge w:val="continue"/>
                  <w:tcBorders>
                    <w:top w:val="nil"/>
                    <w:left w:val="nil"/>
                    <w:bottom w:val="single" w:color="000000" w:sz="4" w:space="0"/>
                    <w:right w:val="single" w:color="000000" w:sz="4" w:space="0"/>
                  </w:tcBorders>
                </w:tcPr>
                <w:p w14:paraId="05105346"/>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580E55">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）应制定安全事件报告和处置管理制度，明确不同安全事件的报告、处置和响应流程，规定安全事件的现场处理、事件报告和后期恢复的管理职责等；</w:t>
                  </w:r>
                </w:p>
              </w:tc>
            </w:tr>
            <w:tr w14:paraId="57B5F5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3DF1785F"/>
              </w:tc>
              <w:tc>
                <w:tcPr>
                  <w:tcW w:w="391" w:type="dxa"/>
                  <w:vMerge w:val="continue"/>
                  <w:tcBorders>
                    <w:top w:val="nil"/>
                    <w:left w:val="nil"/>
                    <w:bottom w:val="single" w:color="000000" w:sz="4" w:space="0"/>
                    <w:right w:val="single" w:color="000000" w:sz="4" w:space="0"/>
                  </w:tcBorders>
                </w:tcPr>
                <w:p w14:paraId="2F8E0844"/>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93948D">
                  <w:pPr>
                    <w:pStyle w:val="4"/>
                    <w:jc w:val="left"/>
                  </w:pPr>
                  <w:r>
                    <w:rPr>
                      <w:rFonts w:ascii="仿宋_GB2312" w:hAnsi="仿宋_GB2312" w:eastAsia="仿宋_GB2312" w:cs="仿宋_GB2312"/>
                      <w:sz w:val="21"/>
                    </w:rPr>
                    <w:t>c</w:t>
                  </w:r>
                  <w:r>
                    <w:rPr>
                      <w:rFonts w:ascii="仿宋_GB2312" w:hAnsi="仿宋_GB2312" w:eastAsia="仿宋_GB2312" w:cs="仿宋_GB2312"/>
                      <w:color w:val="000000"/>
                      <w:sz w:val="21"/>
                    </w:rPr>
                    <w:t>）应在安全事件和响应处理过程中，分析和鉴定事件产生的原因，</w:t>
                  </w:r>
                  <w:r>
                    <w:rPr>
                      <w:rFonts w:ascii="仿宋_GB2312" w:hAnsi="仿宋_GB2312" w:eastAsia="仿宋_GB2312" w:cs="仿宋_GB2312"/>
                      <w:sz w:val="21"/>
                    </w:rPr>
                    <w:t xml:space="preserve"> </w:t>
                  </w:r>
                  <w:r>
                    <w:rPr>
                      <w:rFonts w:ascii="仿宋_GB2312" w:hAnsi="仿宋_GB2312" w:eastAsia="仿宋_GB2312" w:cs="仿宋_GB2312"/>
                      <w:color w:val="000000"/>
                      <w:sz w:val="21"/>
                    </w:rPr>
                    <w:t>收集证据，记录处理过程，总结经验教训。</w:t>
                  </w:r>
                </w:p>
              </w:tc>
            </w:tr>
            <w:tr w14:paraId="1A2313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288AA9D2"/>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4B35F88">
                  <w:pPr>
                    <w:pStyle w:val="4"/>
                    <w:jc w:val="center"/>
                  </w:pPr>
                  <w:r>
                    <w:rPr>
                      <w:rFonts w:ascii="仿宋_GB2312" w:hAnsi="仿宋_GB2312" w:eastAsia="仿宋_GB2312" w:cs="仿宋_GB2312"/>
                      <w:sz w:val="21"/>
                    </w:rPr>
                    <w:t>应急预案管理</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39CC62">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）应制定重要事件的应急预案，包括应急处理流程、系统恢复流程等内容；</w:t>
                  </w:r>
                </w:p>
              </w:tc>
            </w:tr>
            <w:tr w14:paraId="3F41F4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5A7F6EFF"/>
              </w:tc>
              <w:tc>
                <w:tcPr>
                  <w:tcW w:w="391" w:type="dxa"/>
                  <w:vMerge w:val="continue"/>
                  <w:tcBorders>
                    <w:top w:val="nil"/>
                    <w:left w:val="nil"/>
                    <w:bottom w:val="single" w:color="000000" w:sz="4" w:space="0"/>
                    <w:right w:val="single" w:color="000000" w:sz="4" w:space="0"/>
                  </w:tcBorders>
                </w:tcPr>
                <w:p w14:paraId="6699C84D"/>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733366">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）应定期对系统相关的人员进行应急预案培训，并进行应急预案的演练。</w:t>
                  </w:r>
                </w:p>
              </w:tc>
            </w:tr>
            <w:tr w14:paraId="741E6C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6627B735"/>
              </w:tc>
              <w:tc>
                <w:tcPr>
                  <w:tcW w:w="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DC64DDD">
                  <w:pPr>
                    <w:pStyle w:val="4"/>
                    <w:jc w:val="center"/>
                  </w:pPr>
                  <w:r>
                    <w:rPr>
                      <w:rFonts w:ascii="仿宋_GB2312" w:hAnsi="仿宋_GB2312" w:eastAsia="仿宋_GB2312" w:cs="仿宋_GB2312"/>
                      <w:sz w:val="21"/>
                    </w:rPr>
                    <w:t>外包运维管理</w:t>
                  </w:r>
                </w:p>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BDC803">
                  <w:pPr>
                    <w:pStyle w:val="4"/>
                    <w:jc w:val="left"/>
                  </w:pPr>
                  <w:r>
                    <w:rPr>
                      <w:rFonts w:ascii="仿宋_GB2312" w:hAnsi="仿宋_GB2312" w:eastAsia="仿宋_GB2312" w:cs="仿宋_GB2312"/>
                      <w:sz w:val="21"/>
                    </w:rPr>
                    <w:t>a</w:t>
                  </w:r>
                  <w:r>
                    <w:rPr>
                      <w:rFonts w:ascii="仿宋_GB2312" w:hAnsi="仿宋_GB2312" w:eastAsia="仿宋_GB2312" w:cs="仿宋_GB2312"/>
                      <w:color w:val="000000"/>
                      <w:sz w:val="21"/>
                    </w:rPr>
                    <w:t>）应确保外包运维供应商的选择符合国家有关规定；</w:t>
                  </w:r>
                </w:p>
              </w:tc>
            </w:tr>
            <w:tr w14:paraId="46EBBE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4" w:type="dxa"/>
                  <w:vMerge w:val="continue"/>
                  <w:tcBorders>
                    <w:top w:val="nil"/>
                    <w:left w:val="single" w:color="000000" w:sz="4" w:space="0"/>
                    <w:bottom w:val="single" w:color="000000" w:sz="4" w:space="0"/>
                    <w:right w:val="single" w:color="000000" w:sz="4" w:space="0"/>
                  </w:tcBorders>
                </w:tcPr>
                <w:p w14:paraId="45869343"/>
              </w:tc>
              <w:tc>
                <w:tcPr>
                  <w:tcW w:w="391" w:type="dxa"/>
                  <w:vMerge w:val="continue"/>
                  <w:tcBorders>
                    <w:top w:val="nil"/>
                    <w:left w:val="nil"/>
                    <w:bottom w:val="single" w:color="000000" w:sz="4" w:space="0"/>
                    <w:right w:val="single" w:color="000000" w:sz="4" w:space="0"/>
                  </w:tcBorders>
                </w:tcPr>
                <w:p w14:paraId="47BBD026"/>
              </w:tc>
              <w:tc>
                <w:tcPr>
                  <w:tcW w:w="1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EE22D8">
                  <w:pPr>
                    <w:pStyle w:val="4"/>
                    <w:jc w:val="left"/>
                  </w:pPr>
                  <w:r>
                    <w:rPr>
                      <w:rFonts w:ascii="仿宋_GB2312" w:hAnsi="仿宋_GB2312" w:eastAsia="仿宋_GB2312" w:cs="仿宋_GB2312"/>
                      <w:sz w:val="21"/>
                    </w:rPr>
                    <w:t>b</w:t>
                  </w:r>
                  <w:r>
                    <w:rPr>
                      <w:rFonts w:ascii="仿宋_GB2312" w:hAnsi="仿宋_GB2312" w:eastAsia="仿宋_GB2312" w:cs="仿宋_GB2312"/>
                      <w:color w:val="000000"/>
                      <w:sz w:val="21"/>
                    </w:rPr>
                    <w:t>）应与选定的外包运维供应商签订相关的协议，明确约定外包运维的范围、工作内容。</w:t>
                  </w:r>
                </w:p>
              </w:tc>
            </w:tr>
          </w:tbl>
          <w:p w14:paraId="47A22EAF">
            <w:pPr>
              <w:pStyle w:val="4"/>
              <w:jc w:val="left"/>
            </w:pPr>
            <w:r>
              <w:rPr>
                <w:rFonts w:ascii="仿宋_GB2312" w:hAnsi="仿宋_GB2312" w:eastAsia="仿宋_GB2312" w:cs="仿宋_GB2312"/>
                <w:b/>
                <w:sz w:val="21"/>
              </w:rPr>
              <w:t>3.3.2三级要求指标</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1"/>
              <w:gridCol w:w="421"/>
              <w:gridCol w:w="1586"/>
            </w:tblGrid>
            <w:tr w14:paraId="79AB2E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3FD226C">
                  <w:pPr>
                    <w:pStyle w:val="4"/>
                    <w:jc w:val="center"/>
                  </w:pPr>
                  <w:r>
                    <w:rPr>
                      <w:rFonts w:ascii="仿宋_GB2312" w:hAnsi="仿宋_GB2312" w:eastAsia="仿宋_GB2312" w:cs="仿宋_GB2312"/>
                      <w:b/>
                      <w:sz w:val="21"/>
                    </w:rPr>
                    <w:t>安全层面</w:t>
                  </w:r>
                </w:p>
              </w:tc>
              <w:tc>
                <w:tcPr>
                  <w:tcW w:w="3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880E7A3">
                  <w:pPr>
                    <w:pStyle w:val="4"/>
                    <w:jc w:val="center"/>
                  </w:pPr>
                  <w:r>
                    <w:rPr>
                      <w:rFonts w:ascii="仿宋_GB2312" w:hAnsi="仿宋_GB2312" w:eastAsia="仿宋_GB2312" w:cs="仿宋_GB2312"/>
                      <w:b/>
                      <w:sz w:val="21"/>
                    </w:rPr>
                    <w:t>安全控制点</w:t>
                  </w:r>
                </w:p>
              </w:tc>
              <w:tc>
                <w:tcPr>
                  <w:tcW w:w="19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4DCD479">
                  <w:pPr>
                    <w:pStyle w:val="4"/>
                    <w:jc w:val="center"/>
                  </w:pPr>
                  <w:r>
                    <w:rPr>
                      <w:rFonts w:ascii="仿宋_GB2312" w:hAnsi="仿宋_GB2312" w:eastAsia="仿宋_GB2312" w:cs="仿宋_GB2312"/>
                      <w:b/>
                      <w:sz w:val="21"/>
                    </w:rPr>
                    <w:t>测评指标（2.0）</w:t>
                  </w:r>
                </w:p>
              </w:tc>
            </w:tr>
            <w:tr w14:paraId="2A8077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A42878">
                  <w:pPr>
                    <w:pStyle w:val="4"/>
                    <w:jc w:val="center"/>
                  </w:pPr>
                  <w:r>
                    <w:rPr>
                      <w:rFonts w:ascii="仿宋_GB2312" w:hAnsi="仿宋_GB2312" w:eastAsia="仿宋_GB2312" w:cs="仿宋_GB2312"/>
                      <w:sz w:val="21"/>
                    </w:rPr>
                    <w:t>安全物理环境</w:t>
                  </w:r>
                </w:p>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721FE36">
                  <w:pPr>
                    <w:pStyle w:val="4"/>
                    <w:jc w:val="center"/>
                  </w:pPr>
                  <w:r>
                    <w:rPr>
                      <w:rFonts w:ascii="仿宋_GB2312" w:hAnsi="仿宋_GB2312" w:eastAsia="仿宋_GB2312" w:cs="仿宋_GB2312"/>
                      <w:sz w:val="21"/>
                    </w:rPr>
                    <w:t>物理位置选择</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B7980F">
                  <w:pPr>
                    <w:pStyle w:val="4"/>
                    <w:jc w:val="left"/>
                  </w:pPr>
                  <w:r>
                    <w:rPr>
                      <w:rFonts w:ascii="仿宋_GB2312" w:hAnsi="仿宋_GB2312" w:eastAsia="仿宋_GB2312" w:cs="仿宋_GB2312"/>
                      <w:sz w:val="21"/>
                    </w:rPr>
                    <w:t>a)机房和办公场地应选择在具有防震、防风和防雨等能力的建筑内；</w:t>
                  </w:r>
                </w:p>
              </w:tc>
            </w:tr>
            <w:tr w14:paraId="619BD5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967EEA1"/>
              </w:tc>
              <w:tc>
                <w:tcPr>
                  <w:tcW w:w="375" w:type="dxa"/>
                  <w:vMerge w:val="continue"/>
                  <w:tcBorders>
                    <w:top w:val="nil"/>
                    <w:left w:val="nil"/>
                    <w:bottom w:val="single" w:color="000000" w:sz="4" w:space="0"/>
                    <w:right w:val="single" w:color="000000" w:sz="4" w:space="0"/>
                  </w:tcBorders>
                </w:tcPr>
                <w:p w14:paraId="48C3661E"/>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7CDDC3">
                  <w:pPr>
                    <w:pStyle w:val="4"/>
                    <w:jc w:val="left"/>
                  </w:pPr>
                  <w:r>
                    <w:rPr>
                      <w:rFonts w:ascii="仿宋_GB2312" w:hAnsi="仿宋_GB2312" w:eastAsia="仿宋_GB2312" w:cs="仿宋_GB2312"/>
                      <w:sz w:val="21"/>
                    </w:rPr>
                    <w:t>b)机房场地应避免设在建筑物的高层或地下室，否则应加强防水和防潮措施。</w:t>
                  </w:r>
                </w:p>
              </w:tc>
            </w:tr>
            <w:tr w14:paraId="010F03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7B25EF3"/>
              </w:tc>
              <w:tc>
                <w:tcPr>
                  <w:tcW w:w="3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CC8B62">
                  <w:pPr>
                    <w:pStyle w:val="4"/>
                    <w:jc w:val="center"/>
                  </w:pPr>
                  <w:r>
                    <w:rPr>
                      <w:rFonts w:ascii="仿宋_GB2312" w:hAnsi="仿宋_GB2312" w:eastAsia="仿宋_GB2312" w:cs="仿宋_GB2312"/>
                      <w:sz w:val="21"/>
                    </w:rPr>
                    <w:t>物理访问控制</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1E2B4C">
                  <w:pPr>
                    <w:pStyle w:val="4"/>
                    <w:jc w:val="left"/>
                  </w:pPr>
                  <w:r>
                    <w:rPr>
                      <w:rFonts w:ascii="仿宋_GB2312" w:hAnsi="仿宋_GB2312" w:eastAsia="仿宋_GB2312" w:cs="仿宋_GB2312"/>
                      <w:sz w:val="21"/>
                    </w:rPr>
                    <w:t>a)机房出入口应配置电子门禁系统，控制、鉴别和记录进入的人员。</w:t>
                  </w:r>
                </w:p>
              </w:tc>
            </w:tr>
            <w:tr w14:paraId="47F2BF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0CF6A0A"/>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20490AB">
                  <w:pPr>
                    <w:pStyle w:val="4"/>
                    <w:jc w:val="center"/>
                  </w:pPr>
                  <w:r>
                    <w:rPr>
                      <w:rFonts w:ascii="仿宋_GB2312" w:hAnsi="仿宋_GB2312" w:eastAsia="仿宋_GB2312" w:cs="仿宋_GB2312"/>
                      <w:sz w:val="21"/>
                    </w:rPr>
                    <w:t>防盗窃和防破坏</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010B85">
                  <w:pPr>
                    <w:pStyle w:val="4"/>
                    <w:jc w:val="left"/>
                  </w:pPr>
                  <w:r>
                    <w:rPr>
                      <w:rFonts w:ascii="仿宋_GB2312" w:hAnsi="仿宋_GB2312" w:eastAsia="仿宋_GB2312" w:cs="仿宋_GB2312"/>
                      <w:sz w:val="21"/>
                    </w:rPr>
                    <w:t>a)应将设备或主要部件进行固定，并设置明显的不易除去的标识；</w:t>
                  </w:r>
                </w:p>
              </w:tc>
            </w:tr>
            <w:tr w14:paraId="7F9A8C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A7E36F9"/>
              </w:tc>
              <w:tc>
                <w:tcPr>
                  <w:tcW w:w="375" w:type="dxa"/>
                  <w:vMerge w:val="continue"/>
                  <w:tcBorders>
                    <w:top w:val="nil"/>
                    <w:left w:val="nil"/>
                    <w:bottom w:val="single" w:color="000000" w:sz="4" w:space="0"/>
                    <w:right w:val="single" w:color="000000" w:sz="4" w:space="0"/>
                  </w:tcBorders>
                </w:tcPr>
                <w:p w14:paraId="03E1A4B6"/>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BE5DBF">
                  <w:pPr>
                    <w:pStyle w:val="4"/>
                    <w:jc w:val="left"/>
                  </w:pPr>
                  <w:r>
                    <w:rPr>
                      <w:rFonts w:ascii="仿宋_GB2312" w:hAnsi="仿宋_GB2312" w:eastAsia="仿宋_GB2312" w:cs="仿宋_GB2312"/>
                      <w:sz w:val="21"/>
                    </w:rPr>
                    <w:t>b)应将通信线缆铺设在隐蔽安全处；</w:t>
                  </w:r>
                </w:p>
              </w:tc>
            </w:tr>
            <w:tr w14:paraId="472E8D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C9D1382"/>
              </w:tc>
              <w:tc>
                <w:tcPr>
                  <w:tcW w:w="375" w:type="dxa"/>
                  <w:vMerge w:val="continue"/>
                  <w:tcBorders>
                    <w:top w:val="nil"/>
                    <w:left w:val="nil"/>
                    <w:bottom w:val="single" w:color="000000" w:sz="4" w:space="0"/>
                    <w:right w:val="single" w:color="000000" w:sz="4" w:space="0"/>
                  </w:tcBorders>
                </w:tcPr>
                <w:p w14:paraId="61B149C9"/>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A29E6E">
                  <w:pPr>
                    <w:pStyle w:val="4"/>
                    <w:jc w:val="left"/>
                  </w:pPr>
                  <w:r>
                    <w:rPr>
                      <w:rFonts w:ascii="仿宋_GB2312" w:hAnsi="仿宋_GB2312" w:eastAsia="仿宋_GB2312" w:cs="仿宋_GB2312"/>
                      <w:sz w:val="21"/>
                    </w:rPr>
                    <w:t>c)应设置机房防盗报警系统或设置有专人值守的视频监测控制系统。</w:t>
                  </w:r>
                </w:p>
              </w:tc>
            </w:tr>
            <w:tr w14:paraId="6983BF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AAA9057"/>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D3649FA">
                  <w:pPr>
                    <w:pStyle w:val="4"/>
                    <w:jc w:val="center"/>
                  </w:pPr>
                  <w:r>
                    <w:rPr>
                      <w:rFonts w:ascii="仿宋_GB2312" w:hAnsi="仿宋_GB2312" w:eastAsia="仿宋_GB2312" w:cs="仿宋_GB2312"/>
                      <w:sz w:val="21"/>
                    </w:rPr>
                    <w:t>防雷击</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C16BF7">
                  <w:pPr>
                    <w:pStyle w:val="4"/>
                    <w:jc w:val="left"/>
                  </w:pPr>
                  <w:r>
                    <w:rPr>
                      <w:rFonts w:ascii="仿宋_GB2312" w:hAnsi="仿宋_GB2312" w:eastAsia="仿宋_GB2312" w:cs="仿宋_GB2312"/>
                      <w:sz w:val="21"/>
                    </w:rPr>
                    <w:t>a)应将各类机柜、设施和设备等通过接地系统安全接地；</w:t>
                  </w:r>
                </w:p>
              </w:tc>
            </w:tr>
            <w:tr w14:paraId="04234B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92D52D5"/>
              </w:tc>
              <w:tc>
                <w:tcPr>
                  <w:tcW w:w="375" w:type="dxa"/>
                  <w:vMerge w:val="continue"/>
                  <w:tcBorders>
                    <w:top w:val="nil"/>
                    <w:left w:val="nil"/>
                    <w:bottom w:val="single" w:color="000000" w:sz="4" w:space="0"/>
                    <w:right w:val="single" w:color="000000" w:sz="4" w:space="0"/>
                  </w:tcBorders>
                </w:tcPr>
                <w:p w14:paraId="7E1EC712"/>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C8A074">
                  <w:pPr>
                    <w:pStyle w:val="4"/>
                    <w:jc w:val="left"/>
                  </w:pPr>
                  <w:r>
                    <w:rPr>
                      <w:rFonts w:ascii="仿宋_GB2312" w:hAnsi="仿宋_GB2312" w:eastAsia="仿宋_GB2312" w:cs="仿宋_GB2312"/>
                      <w:sz w:val="21"/>
                    </w:rPr>
                    <w:t>b)应采取措施防止感应雷，例如设置防雷保安器或过压保护装置等。</w:t>
                  </w:r>
                </w:p>
              </w:tc>
            </w:tr>
            <w:tr w14:paraId="5C4A35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6C9F6AE"/>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259D9E7">
                  <w:pPr>
                    <w:pStyle w:val="4"/>
                    <w:jc w:val="center"/>
                  </w:pPr>
                  <w:r>
                    <w:rPr>
                      <w:rFonts w:ascii="仿宋_GB2312" w:hAnsi="仿宋_GB2312" w:eastAsia="仿宋_GB2312" w:cs="仿宋_GB2312"/>
                      <w:sz w:val="21"/>
                    </w:rPr>
                    <w:t>防火</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977B2D">
                  <w:pPr>
                    <w:pStyle w:val="4"/>
                    <w:jc w:val="left"/>
                  </w:pPr>
                  <w:r>
                    <w:rPr>
                      <w:rFonts w:ascii="仿宋_GB2312" w:hAnsi="仿宋_GB2312" w:eastAsia="仿宋_GB2312" w:cs="仿宋_GB2312"/>
                      <w:sz w:val="21"/>
                    </w:rPr>
                    <w:t>a)机房应设置火灾自动消防系统，能够自动检测火 情、自动报警， 并自动灭火；</w:t>
                  </w:r>
                </w:p>
              </w:tc>
            </w:tr>
            <w:tr w14:paraId="7235E3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13F16B02"/>
              </w:tc>
              <w:tc>
                <w:tcPr>
                  <w:tcW w:w="375" w:type="dxa"/>
                  <w:vMerge w:val="continue"/>
                  <w:tcBorders>
                    <w:top w:val="nil"/>
                    <w:left w:val="nil"/>
                    <w:bottom w:val="single" w:color="000000" w:sz="4" w:space="0"/>
                    <w:right w:val="single" w:color="000000" w:sz="4" w:space="0"/>
                  </w:tcBorders>
                </w:tcPr>
                <w:p w14:paraId="04BCD435"/>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1E46CA">
                  <w:pPr>
                    <w:pStyle w:val="4"/>
                    <w:jc w:val="left"/>
                  </w:pPr>
                  <w:r>
                    <w:rPr>
                      <w:rFonts w:ascii="仿宋_GB2312" w:hAnsi="仿宋_GB2312" w:eastAsia="仿宋_GB2312" w:cs="仿宋_GB2312"/>
                      <w:sz w:val="21"/>
                    </w:rPr>
                    <w:t>b)机房及相关的工作房间和辅助房应采用具有耐火等级的建筑材料；</w:t>
                  </w:r>
                </w:p>
              </w:tc>
            </w:tr>
            <w:tr w14:paraId="15B420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5F8A830"/>
              </w:tc>
              <w:tc>
                <w:tcPr>
                  <w:tcW w:w="375" w:type="dxa"/>
                  <w:vMerge w:val="continue"/>
                  <w:tcBorders>
                    <w:top w:val="nil"/>
                    <w:left w:val="nil"/>
                    <w:bottom w:val="single" w:color="000000" w:sz="4" w:space="0"/>
                    <w:right w:val="single" w:color="000000" w:sz="4" w:space="0"/>
                  </w:tcBorders>
                </w:tcPr>
                <w:p w14:paraId="6BCA9DE7"/>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5E60B5">
                  <w:pPr>
                    <w:pStyle w:val="4"/>
                    <w:jc w:val="left"/>
                  </w:pPr>
                  <w:r>
                    <w:rPr>
                      <w:rFonts w:ascii="仿宋_GB2312" w:hAnsi="仿宋_GB2312" w:eastAsia="仿宋_GB2312" w:cs="仿宋_GB2312"/>
                      <w:sz w:val="21"/>
                    </w:rPr>
                    <w:t>c)应对机房划分区域进行管理，区域和区域之间设置隔离防火措施。</w:t>
                  </w:r>
                </w:p>
              </w:tc>
            </w:tr>
            <w:tr w14:paraId="4A0184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33B8E318"/>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2AC0C52">
                  <w:pPr>
                    <w:pStyle w:val="4"/>
                    <w:jc w:val="center"/>
                  </w:pPr>
                  <w:r>
                    <w:rPr>
                      <w:rFonts w:ascii="仿宋_GB2312" w:hAnsi="仿宋_GB2312" w:eastAsia="仿宋_GB2312" w:cs="仿宋_GB2312"/>
                      <w:sz w:val="21"/>
                    </w:rPr>
                    <w:t>防水防潮</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11F219">
                  <w:pPr>
                    <w:pStyle w:val="4"/>
                    <w:jc w:val="left"/>
                  </w:pPr>
                  <w:r>
                    <w:rPr>
                      <w:rFonts w:ascii="仿宋_GB2312" w:hAnsi="仿宋_GB2312" w:eastAsia="仿宋_GB2312" w:cs="仿宋_GB2312"/>
                      <w:sz w:val="21"/>
                    </w:rPr>
                    <w:t>a)应采取措施防止雨水通过机房窗户、屋顶和墙壁渗透；</w:t>
                  </w:r>
                </w:p>
              </w:tc>
            </w:tr>
            <w:tr w14:paraId="38EFEF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FAB0F1D"/>
              </w:tc>
              <w:tc>
                <w:tcPr>
                  <w:tcW w:w="375" w:type="dxa"/>
                  <w:vMerge w:val="continue"/>
                  <w:tcBorders>
                    <w:top w:val="nil"/>
                    <w:left w:val="nil"/>
                    <w:bottom w:val="single" w:color="000000" w:sz="4" w:space="0"/>
                    <w:right w:val="single" w:color="000000" w:sz="4" w:space="0"/>
                  </w:tcBorders>
                </w:tcPr>
                <w:p w14:paraId="483AF021"/>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12BE72">
                  <w:pPr>
                    <w:pStyle w:val="4"/>
                    <w:jc w:val="left"/>
                  </w:pPr>
                  <w:r>
                    <w:rPr>
                      <w:rFonts w:ascii="仿宋_GB2312" w:hAnsi="仿宋_GB2312" w:eastAsia="仿宋_GB2312" w:cs="仿宋_GB2312"/>
                      <w:sz w:val="21"/>
                    </w:rPr>
                    <w:t>b)应采取措施防止机房内水蒸气结露和地下积水的转移与渗透；</w:t>
                  </w:r>
                </w:p>
              </w:tc>
            </w:tr>
            <w:tr w14:paraId="4C59C9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CE40CC7"/>
              </w:tc>
              <w:tc>
                <w:tcPr>
                  <w:tcW w:w="375" w:type="dxa"/>
                  <w:vMerge w:val="continue"/>
                  <w:tcBorders>
                    <w:top w:val="nil"/>
                    <w:left w:val="nil"/>
                    <w:bottom w:val="single" w:color="000000" w:sz="4" w:space="0"/>
                    <w:right w:val="single" w:color="000000" w:sz="4" w:space="0"/>
                  </w:tcBorders>
                </w:tcPr>
                <w:p w14:paraId="3174C1B3"/>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613D98">
                  <w:pPr>
                    <w:pStyle w:val="4"/>
                    <w:jc w:val="left"/>
                  </w:pPr>
                  <w:r>
                    <w:rPr>
                      <w:rFonts w:ascii="仿宋_GB2312" w:hAnsi="仿宋_GB2312" w:eastAsia="仿宋_GB2312" w:cs="仿宋_GB2312"/>
                      <w:sz w:val="21"/>
                    </w:rPr>
                    <w:t>c)应安装对水敏感的检测仪表或元件，对机房进行防水检测和报警。</w:t>
                  </w:r>
                </w:p>
              </w:tc>
            </w:tr>
            <w:tr w14:paraId="399DF8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83E9167"/>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4DA17E5">
                  <w:pPr>
                    <w:pStyle w:val="4"/>
                    <w:jc w:val="center"/>
                  </w:pPr>
                  <w:r>
                    <w:rPr>
                      <w:rFonts w:ascii="仿宋_GB2312" w:hAnsi="仿宋_GB2312" w:eastAsia="仿宋_GB2312" w:cs="仿宋_GB2312"/>
                      <w:sz w:val="21"/>
                    </w:rPr>
                    <w:t>防静电</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D715D2">
                  <w:pPr>
                    <w:pStyle w:val="4"/>
                    <w:jc w:val="left"/>
                  </w:pPr>
                  <w:r>
                    <w:rPr>
                      <w:rFonts w:ascii="仿宋_GB2312" w:hAnsi="仿宋_GB2312" w:eastAsia="仿宋_GB2312" w:cs="仿宋_GB2312"/>
                      <w:sz w:val="21"/>
                    </w:rPr>
                    <w:t>a)应采用防静电地板或地面并采用必要的接地防静电措施；</w:t>
                  </w:r>
                </w:p>
              </w:tc>
            </w:tr>
            <w:tr w14:paraId="321086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4837455"/>
              </w:tc>
              <w:tc>
                <w:tcPr>
                  <w:tcW w:w="375" w:type="dxa"/>
                  <w:vMerge w:val="continue"/>
                  <w:tcBorders>
                    <w:top w:val="nil"/>
                    <w:left w:val="nil"/>
                    <w:bottom w:val="single" w:color="000000" w:sz="4" w:space="0"/>
                    <w:right w:val="single" w:color="000000" w:sz="4" w:space="0"/>
                  </w:tcBorders>
                </w:tcPr>
                <w:p w14:paraId="6E833470"/>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25016E">
                  <w:pPr>
                    <w:pStyle w:val="4"/>
                    <w:jc w:val="left"/>
                  </w:pPr>
                  <w:r>
                    <w:rPr>
                      <w:rFonts w:ascii="仿宋_GB2312" w:hAnsi="仿宋_GB2312" w:eastAsia="仿宋_GB2312" w:cs="仿宋_GB2312"/>
                      <w:sz w:val="21"/>
                    </w:rPr>
                    <w:t>b)应采取措施防止静电的产生，例如采用静电消除器、佩戴防静电手环等。</w:t>
                  </w:r>
                </w:p>
              </w:tc>
            </w:tr>
            <w:tr w14:paraId="606DB8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659109B"/>
              </w:tc>
              <w:tc>
                <w:tcPr>
                  <w:tcW w:w="3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581E07">
                  <w:pPr>
                    <w:pStyle w:val="4"/>
                    <w:jc w:val="center"/>
                  </w:pPr>
                  <w:r>
                    <w:rPr>
                      <w:rFonts w:ascii="仿宋_GB2312" w:hAnsi="仿宋_GB2312" w:eastAsia="仿宋_GB2312" w:cs="仿宋_GB2312"/>
                      <w:sz w:val="21"/>
                    </w:rPr>
                    <w:t>温湿度控制</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BECEF5">
                  <w:pPr>
                    <w:pStyle w:val="4"/>
                    <w:jc w:val="left"/>
                  </w:pPr>
                  <w:r>
                    <w:rPr>
                      <w:rFonts w:ascii="仿宋_GB2312" w:hAnsi="仿宋_GB2312" w:eastAsia="仿宋_GB2312" w:cs="仿宋_GB2312"/>
                      <w:sz w:val="21"/>
                    </w:rPr>
                    <w:t>a)应设置温湿度自动调节设施，使机房温湿度的变化在设备运行所允许的范围之内。</w:t>
                  </w:r>
                </w:p>
              </w:tc>
            </w:tr>
            <w:tr w14:paraId="73EAC7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BC75D24"/>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B354561">
                  <w:pPr>
                    <w:pStyle w:val="4"/>
                    <w:jc w:val="center"/>
                  </w:pPr>
                  <w:r>
                    <w:rPr>
                      <w:rFonts w:ascii="仿宋_GB2312" w:hAnsi="仿宋_GB2312" w:eastAsia="仿宋_GB2312" w:cs="仿宋_GB2312"/>
                      <w:sz w:val="21"/>
                    </w:rPr>
                    <w:t>电力供应</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B8CB28">
                  <w:pPr>
                    <w:pStyle w:val="4"/>
                    <w:jc w:val="left"/>
                  </w:pPr>
                  <w:r>
                    <w:rPr>
                      <w:rFonts w:ascii="仿宋_GB2312" w:hAnsi="仿宋_GB2312" w:eastAsia="仿宋_GB2312" w:cs="仿宋_GB2312"/>
                      <w:sz w:val="21"/>
                    </w:rPr>
                    <w:t>a)应在机房供电线路上配置稳压器和过电压防护设备；</w:t>
                  </w:r>
                </w:p>
              </w:tc>
            </w:tr>
            <w:tr w14:paraId="128919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833F7B5"/>
              </w:tc>
              <w:tc>
                <w:tcPr>
                  <w:tcW w:w="375" w:type="dxa"/>
                  <w:vMerge w:val="continue"/>
                  <w:tcBorders>
                    <w:top w:val="nil"/>
                    <w:left w:val="nil"/>
                    <w:bottom w:val="single" w:color="000000" w:sz="4" w:space="0"/>
                    <w:right w:val="single" w:color="000000" w:sz="4" w:space="0"/>
                  </w:tcBorders>
                </w:tcPr>
                <w:p w14:paraId="1ABE27AD"/>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AEBDC8">
                  <w:pPr>
                    <w:pStyle w:val="4"/>
                    <w:jc w:val="left"/>
                  </w:pPr>
                  <w:r>
                    <w:rPr>
                      <w:rFonts w:ascii="仿宋_GB2312" w:hAnsi="仿宋_GB2312" w:eastAsia="仿宋_GB2312" w:cs="仿宋_GB2312"/>
                      <w:sz w:val="21"/>
                    </w:rPr>
                    <w:t>b)应提供短期的备用电力供应，至少满足设备在断电情况下的正常运行要求；</w:t>
                  </w:r>
                </w:p>
              </w:tc>
            </w:tr>
            <w:tr w14:paraId="4315D3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1CA285F"/>
              </w:tc>
              <w:tc>
                <w:tcPr>
                  <w:tcW w:w="375" w:type="dxa"/>
                  <w:vMerge w:val="continue"/>
                  <w:tcBorders>
                    <w:top w:val="nil"/>
                    <w:left w:val="nil"/>
                    <w:bottom w:val="single" w:color="000000" w:sz="4" w:space="0"/>
                    <w:right w:val="single" w:color="000000" w:sz="4" w:space="0"/>
                  </w:tcBorders>
                </w:tcPr>
                <w:p w14:paraId="297B4B42"/>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7CA9FB">
                  <w:pPr>
                    <w:pStyle w:val="4"/>
                    <w:jc w:val="left"/>
                  </w:pPr>
                  <w:r>
                    <w:rPr>
                      <w:rFonts w:ascii="仿宋_GB2312" w:hAnsi="仿宋_GB2312" w:eastAsia="仿宋_GB2312" w:cs="仿宋_GB2312"/>
                      <w:sz w:val="21"/>
                    </w:rPr>
                    <w:t>c)应设置冗余或并行的电力电缆线路为计算机系统供电。</w:t>
                  </w:r>
                </w:p>
              </w:tc>
            </w:tr>
            <w:tr w14:paraId="61D0E1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0DEA56B"/>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E657DE0">
                  <w:pPr>
                    <w:pStyle w:val="4"/>
                    <w:jc w:val="center"/>
                  </w:pPr>
                  <w:r>
                    <w:rPr>
                      <w:rFonts w:ascii="仿宋_GB2312" w:hAnsi="仿宋_GB2312" w:eastAsia="仿宋_GB2312" w:cs="仿宋_GB2312"/>
                      <w:sz w:val="21"/>
                    </w:rPr>
                    <w:t>电磁防护</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1CAC79">
                  <w:pPr>
                    <w:pStyle w:val="4"/>
                    <w:jc w:val="left"/>
                  </w:pPr>
                  <w:r>
                    <w:rPr>
                      <w:rFonts w:ascii="仿宋_GB2312" w:hAnsi="仿宋_GB2312" w:eastAsia="仿宋_GB2312" w:cs="仿宋_GB2312"/>
                      <w:sz w:val="21"/>
                    </w:rPr>
                    <w:t>a)电源线和通信线缆应隔离铺设，避免互相干扰；</w:t>
                  </w:r>
                </w:p>
              </w:tc>
            </w:tr>
            <w:tr w14:paraId="05CEEF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E1203AA"/>
              </w:tc>
              <w:tc>
                <w:tcPr>
                  <w:tcW w:w="375" w:type="dxa"/>
                  <w:vMerge w:val="continue"/>
                  <w:tcBorders>
                    <w:top w:val="nil"/>
                    <w:left w:val="nil"/>
                    <w:bottom w:val="single" w:color="000000" w:sz="4" w:space="0"/>
                    <w:right w:val="single" w:color="000000" w:sz="4" w:space="0"/>
                  </w:tcBorders>
                </w:tcPr>
                <w:p w14:paraId="73E3E56D"/>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0DB1FB">
                  <w:pPr>
                    <w:pStyle w:val="4"/>
                    <w:jc w:val="left"/>
                  </w:pPr>
                  <w:r>
                    <w:rPr>
                      <w:rFonts w:ascii="仿宋_GB2312" w:hAnsi="仿宋_GB2312" w:eastAsia="仿宋_GB2312" w:cs="仿宋_GB2312"/>
                      <w:sz w:val="21"/>
                    </w:rPr>
                    <w:t>b)应对关键设备实施电磁屏蔽。</w:t>
                  </w:r>
                </w:p>
              </w:tc>
            </w:tr>
            <w:tr w14:paraId="1CE6B1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869412">
                  <w:pPr>
                    <w:pStyle w:val="4"/>
                    <w:jc w:val="center"/>
                  </w:pPr>
                  <w:r>
                    <w:rPr>
                      <w:rFonts w:ascii="仿宋_GB2312" w:hAnsi="仿宋_GB2312" w:eastAsia="仿宋_GB2312" w:cs="仿宋_GB2312"/>
                      <w:sz w:val="21"/>
                    </w:rPr>
                    <w:t>安全通信网络</w:t>
                  </w:r>
                </w:p>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BDDC4D7">
                  <w:pPr>
                    <w:pStyle w:val="4"/>
                    <w:jc w:val="center"/>
                  </w:pPr>
                  <w:r>
                    <w:rPr>
                      <w:rFonts w:ascii="仿宋_GB2312" w:hAnsi="仿宋_GB2312" w:eastAsia="仿宋_GB2312" w:cs="仿宋_GB2312"/>
                      <w:sz w:val="21"/>
                    </w:rPr>
                    <w:t>网络架构</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689C03">
                  <w:pPr>
                    <w:pStyle w:val="4"/>
                    <w:jc w:val="left"/>
                  </w:pPr>
                  <w:r>
                    <w:rPr>
                      <w:rFonts w:ascii="仿宋_GB2312" w:hAnsi="仿宋_GB2312" w:eastAsia="仿宋_GB2312" w:cs="仿宋_GB2312"/>
                      <w:sz w:val="21"/>
                    </w:rPr>
                    <w:t>a)应保证网络设备的业务处理能力满足业务高峰期需要；</w:t>
                  </w:r>
                </w:p>
              </w:tc>
            </w:tr>
            <w:tr w14:paraId="74520E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4925BA6"/>
              </w:tc>
              <w:tc>
                <w:tcPr>
                  <w:tcW w:w="375" w:type="dxa"/>
                  <w:vMerge w:val="continue"/>
                  <w:tcBorders>
                    <w:top w:val="nil"/>
                    <w:left w:val="nil"/>
                    <w:bottom w:val="single" w:color="000000" w:sz="4" w:space="0"/>
                    <w:right w:val="single" w:color="000000" w:sz="4" w:space="0"/>
                  </w:tcBorders>
                </w:tcPr>
                <w:p w14:paraId="36F22F6E"/>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EEAC9D">
                  <w:pPr>
                    <w:pStyle w:val="4"/>
                    <w:jc w:val="left"/>
                  </w:pPr>
                  <w:r>
                    <w:rPr>
                      <w:rFonts w:ascii="仿宋_GB2312" w:hAnsi="仿宋_GB2312" w:eastAsia="仿宋_GB2312" w:cs="仿宋_GB2312"/>
                      <w:sz w:val="21"/>
                    </w:rPr>
                    <w:t>b)应保证网络各个部分的带宽满足业务高峰期需要；</w:t>
                  </w:r>
                </w:p>
              </w:tc>
            </w:tr>
            <w:tr w14:paraId="533FED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9ED2B05"/>
              </w:tc>
              <w:tc>
                <w:tcPr>
                  <w:tcW w:w="375" w:type="dxa"/>
                  <w:vMerge w:val="continue"/>
                  <w:tcBorders>
                    <w:top w:val="nil"/>
                    <w:left w:val="nil"/>
                    <w:bottom w:val="single" w:color="000000" w:sz="4" w:space="0"/>
                    <w:right w:val="single" w:color="000000" w:sz="4" w:space="0"/>
                  </w:tcBorders>
                </w:tcPr>
                <w:p w14:paraId="167F1C61"/>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A8CC1A">
                  <w:pPr>
                    <w:pStyle w:val="4"/>
                    <w:jc w:val="left"/>
                  </w:pPr>
                  <w:r>
                    <w:rPr>
                      <w:rFonts w:ascii="仿宋_GB2312" w:hAnsi="仿宋_GB2312" w:eastAsia="仿宋_GB2312" w:cs="仿宋_GB2312"/>
                      <w:sz w:val="21"/>
                    </w:rPr>
                    <w:t>c)应划分不同的网络区域，并按照方便管理和控制的原则为各网络区域分配地址；</w:t>
                  </w:r>
                </w:p>
              </w:tc>
            </w:tr>
            <w:tr w14:paraId="78763A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31271111"/>
              </w:tc>
              <w:tc>
                <w:tcPr>
                  <w:tcW w:w="375" w:type="dxa"/>
                  <w:vMerge w:val="continue"/>
                  <w:tcBorders>
                    <w:top w:val="nil"/>
                    <w:left w:val="nil"/>
                    <w:bottom w:val="single" w:color="000000" w:sz="4" w:space="0"/>
                    <w:right w:val="single" w:color="000000" w:sz="4" w:space="0"/>
                  </w:tcBorders>
                </w:tcPr>
                <w:p w14:paraId="493F075D"/>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19E7E4">
                  <w:pPr>
                    <w:pStyle w:val="4"/>
                    <w:jc w:val="left"/>
                  </w:pPr>
                  <w:r>
                    <w:rPr>
                      <w:rFonts w:ascii="仿宋_GB2312" w:hAnsi="仿宋_GB2312" w:eastAsia="仿宋_GB2312" w:cs="仿宋_GB2312"/>
                      <w:sz w:val="21"/>
                    </w:rPr>
                    <w:t>d)应避免将重要网络区域部署在边界处，重要网络区域与其他网络区域之间应采取可靠的技术隔离手 段；</w:t>
                  </w:r>
                </w:p>
              </w:tc>
            </w:tr>
            <w:tr w14:paraId="089383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3CA8C2A0"/>
              </w:tc>
              <w:tc>
                <w:tcPr>
                  <w:tcW w:w="375" w:type="dxa"/>
                  <w:vMerge w:val="continue"/>
                  <w:tcBorders>
                    <w:top w:val="nil"/>
                    <w:left w:val="nil"/>
                    <w:bottom w:val="single" w:color="000000" w:sz="4" w:space="0"/>
                    <w:right w:val="single" w:color="000000" w:sz="4" w:space="0"/>
                  </w:tcBorders>
                </w:tcPr>
                <w:p w14:paraId="5D54FF98"/>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A69A40">
                  <w:pPr>
                    <w:pStyle w:val="4"/>
                    <w:jc w:val="left"/>
                  </w:pPr>
                  <w:r>
                    <w:rPr>
                      <w:rFonts w:ascii="仿宋_GB2312" w:hAnsi="仿宋_GB2312" w:eastAsia="仿宋_GB2312" w:cs="仿宋_GB2312"/>
                      <w:sz w:val="21"/>
                    </w:rPr>
                    <w:t>e)应提供通信线路、关键网络设备和关键计算设备的硬件冗余，保证系统的可用性。</w:t>
                  </w:r>
                </w:p>
              </w:tc>
            </w:tr>
            <w:tr w14:paraId="333909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F64443C"/>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02A646D">
                  <w:pPr>
                    <w:pStyle w:val="4"/>
                    <w:jc w:val="center"/>
                  </w:pPr>
                  <w:r>
                    <w:rPr>
                      <w:rFonts w:ascii="仿宋_GB2312" w:hAnsi="仿宋_GB2312" w:eastAsia="仿宋_GB2312" w:cs="仿宋_GB2312"/>
                      <w:sz w:val="21"/>
                    </w:rPr>
                    <w:t>通信传输</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58EA66">
                  <w:pPr>
                    <w:pStyle w:val="4"/>
                    <w:jc w:val="left"/>
                  </w:pPr>
                  <w:r>
                    <w:rPr>
                      <w:rFonts w:ascii="仿宋_GB2312" w:hAnsi="仿宋_GB2312" w:eastAsia="仿宋_GB2312" w:cs="仿宋_GB2312"/>
                      <w:sz w:val="21"/>
                    </w:rPr>
                    <w:t>a)应采用校验技术或密码技术保证通信过程中数据的完整性；</w:t>
                  </w:r>
                </w:p>
              </w:tc>
            </w:tr>
            <w:tr w14:paraId="41BFFA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9977642"/>
              </w:tc>
              <w:tc>
                <w:tcPr>
                  <w:tcW w:w="375" w:type="dxa"/>
                  <w:vMerge w:val="continue"/>
                  <w:tcBorders>
                    <w:top w:val="nil"/>
                    <w:left w:val="nil"/>
                    <w:bottom w:val="single" w:color="000000" w:sz="4" w:space="0"/>
                    <w:right w:val="single" w:color="000000" w:sz="4" w:space="0"/>
                  </w:tcBorders>
                </w:tcPr>
                <w:p w14:paraId="6E70FBB6"/>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BE7C85">
                  <w:pPr>
                    <w:pStyle w:val="4"/>
                    <w:jc w:val="left"/>
                  </w:pPr>
                  <w:r>
                    <w:rPr>
                      <w:rFonts w:ascii="仿宋_GB2312" w:hAnsi="仿宋_GB2312" w:eastAsia="仿宋_GB2312" w:cs="仿宋_GB2312"/>
                      <w:sz w:val="21"/>
                    </w:rPr>
                    <w:t>b)应采用密码技术保证通信过程中数据的保密性。</w:t>
                  </w:r>
                </w:p>
              </w:tc>
            </w:tr>
            <w:tr w14:paraId="13AE29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853961C"/>
              </w:tc>
              <w:tc>
                <w:tcPr>
                  <w:tcW w:w="375" w:type="dxa"/>
                  <w:tcBorders>
                    <w:top w:val="nil"/>
                    <w:left w:val="nil"/>
                    <w:bottom w:val="nil"/>
                    <w:right w:val="single" w:color="000000" w:sz="4" w:space="0"/>
                  </w:tcBorders>
                  <w:tcMar>
                    <w:top w:w="0" w:type="dxa"/>
                    <w:left w:w="105" w:type="dxa"/>
                    <w:bottom w:w="0" w:type="dxa"/>
                    <w:right w:w="105" w:type="dxa"/>
                  </w:tcMar>
                  <w:vAlign w:val="top"/>
                </w:tcPr>
                <w:p w14:paraId="3A324F79">
                  <w:pPr>
                    <w:pStyle w:val="4"/>
                    <w:jc w:val="center"/>
                  </w:pPr>
                  <w:r>
                    <w:rPr>
                      <w:rFonts w:ascii="仿宋_GB2312" w:hAnsi="仿宋_GB2312" w:eastAsia="仿宋_GB2312" w:cs="仿宋_GB2312"/>
                      <w:sz w:val="21"/>
                    </w:rPr>
                    <w:t>可信验证</w:t>
                  </w:r>
                </w:p>
              </w:tc>
              <w:tc>
                <w:tcPr>
                  <w:tcW w:w="1906" w:type="dxa"/>
                  <w:tcBorders>
                    <w:top w:val="nil"/>
                    <w:left w:val="nil"/>
                    <w:bottom w:val="nil"/>
                    <w:right w:val="single" w:color="000000" w:sz="4" w:space="0"/>
                  </w:tcBorders>
                  <w:tcMar>
                    <w:top w:w="0" w:type="dxa"/>
                    <w:left w:w="105" w:type="dxa"/>
                    <w:bottom w:w="0" w:type="dxa"/>
                    <w:right w:w="105" w:type="dxa"/>
                  </w:tcMar>
                  <w:vAlign w:val="top"/>
                </w:tcPr>
                <w:p w14:paraId="7D1FC7C3">
                  <w:pPr>
                    <w:pStyle w:val="4"/>
                    <w:jc w:val="left"/>
                  </w:pPr>
                  <w:r>
                    <w:rPr>
                      <w:rFonts w:ascii="仿宋_GB2312" w:hAnsi="仿宋_GB2312" w:eastAsia="仿宋_GB2312" w:cs="仿宋_GB2312"/>
                      <w:sz w:val="21"/>
                    </w:rPr>
                    <w:t>a)可基于可信根对通信设备的系统引导程序、系统 程序、重要配置参数和通信应用程序等进行可信验证，并在应用程序的关键执行环节进行动态可信验证，在监测到其可信性受到破坏后进行报警，并将 验证结果形成审计记录送至安全管理中心。</w:t>
                  </w:r>
                </w:p>
              </w:tc>
            </w:tr>
            <w:tr w14:paraId="59CBE9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49C050">
                  <w:pPr>
                    <w:pStyle w:val="4"/>
                    <w:jc w:val="center"/>
                  </w:pPr>
                  <w:r>
                    <w:rPr>
                      <w:rFonts w:ascii="仿宋_GB2312" w:hAnsi="仿宋_GB2312" w:eastAsia="仿宋_GB2312" w:cs="仿宋_GB2312"/>
                      <w:sz w:val="21"/>
                    </w:rPr>
                    <w:t>安全区域边界</w:t>
                  </w:r>
                </w:p>
              </w:tc>
              <w:tc>
                <w:tcPr>
                  <w:tcW w:w="375"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8415EDB">
                  <w:pPr>
                    <w:pStyle w:val="4"/>
                    <w:jc w:val="center"/>
                  </w:pPr>
                  <w:r>
                    <w:rPr>
                      <w:rFonts w:ascii="仿宋_GB2312" w:hAnsi="仿宋_GB2312" w:eastAsia="仿宋_GB2312" w:cs="仿宋_GB2312"/>
                      <w:sz w:val="21"/>
                    </w:rPr>
                    <w:t>边界防护</w:t>
                  </w:r>
                </w:p>
              </w:tc>
              <w:tc>
                <w:tcPr>
                  <w:tcW w:w="19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CF8001F">
                  <w:pPr>
                    <w:pStyle w:val="4"/>
                    <w:jc w:val="left"/>
                  </w:pPr>
                  <w:r>
                    <w:rPr>
                      <w:rFonts w:ascii="仿宋_GB2312" w:hAnsi="仿宋_GB2312" w:eastAsia="仿宋_GB2312" w:cs="仿宋_GB2312"/>
                      <w:sz w:val="21"/>
                    </w:rPr>
                    <w:t>a)应保证跨越边界的访问和数据流通过边界设备提供的受控接口进行通信；</w:t>
                  </w:r>
                </w:p>
              </w:tc>
            </w:tr>
            <w:tr w14:paraId="66FC46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BD7551C"/>
              </w:tc>
              <w:tc>
                <w:tcPr>
                  <w:tcW w:w="375" w:type="dxa"/>
                  <w:vMerge w:val="continue"/>
                  <w:tcBorders>
                    <w:top w:val="single" w:color="000000" w:sz="4" w:space="0"/>
                    <w:left w:val="nil"/>
                    <w:bottom w:val="single" w:color="000000" w:sz="4" w:space="0"/>
                    <w:right w:val="single" w:color="000000" w:sz="4" w:space="0"/>
                  </w:tcBorders>
                </w:tcPr>
                <w:p w14:paraId="701793B0"/>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67C4CA">
                  <w:pPr>
                    <w:pStyle w:val="4"/>
                    <w:jc w:val="left"/>
                  </w:pPr>
                  <w:r>
                    <w:rPr>
                      <w:rFonts w:ascii="仿宋_GB2312" w:hAnsi="仿宋_GB2312" w:eastAsia="仿宋_GB2312" w:cs="仿宋_GB2312"/>
                      <w:sz w:val="21"/>
                    </w:rPr>
                    <w:t>b)应能够对非授权设备私自联到内部网络的行为进行检测或限制；</w:t>
                  </w:r>
                </w:p>
              </w:tc>
            </w:tr>
            <w:tr w14:paraId="55CAF6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0CDC137"/>
              </w:tc>
              <w:tc>
                <w:tcPr>
                  <w:tcW w:w="375" w:type="dxa"/>
                  <w:vMerge w:val="continue"/>
                  <w:tcBorders>
                    <w:top w:val="single" w:color="000000" w:sz="4" w:space="0"/>
                    <w:left w:val="nil"/>
                    <w:bottom w:val="single" w:color="000000" w:sz="4" w:space="0"/>
                    <w:right w:val="single" w:color="000000" w:sz="4" w:space="0"/>
                  </w:tcBorders>
                </w:tcPr>
                <w:p w14:paraId="37840706"/>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429B00">
                  <w:pPr>
                    <w:pStyle w:val="4"/>
                    <w:jc w:val="left"/>
                  </w:pPr>
                  <w:r>
                    <w:rPr>
                      <w:rFonts w:ascii="仿宋_GB2312" w:hAnsi="仿宋_GB2312" w:eastAsia="仿宋_GB2312" w:cs="仿宋_GB2312"/>
                      <w:sz w:val="21"/>
                    </w:rPr>
                    <w:t>c)应能够对内部用户非授权联到外部网络的行为进行检查或限制；</w:t>
                  </w:r>
                </w:p>
              </w:tc>
            </w:tr>
            <w:tr w14:paraId="2A1AC7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2442044"/>
              </w:tc>
              <w:tc>
                <w:tcPr>
                  <w:tcW w:w="375" w:type="dxa"/>
                  <w:vMerge w:val="continue"/>
                  <w:tcBorders>
                    <w:top w:val="single" w:color="000000" w:sz="4" w:space="0"/>
                    <w:left w:val="nil"/>
                    <w:bottom w:val="single" w:color="000000" w:sz="4" w:space="0"/>
                    <w:right w:val="single" w:color="000000" w:sz="4" w:space="0"/>
                  </w:tcBorders>
                </w:tcPr>
                <w:p w14:paraId="4AC89DB2"/>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544E43">
                  <w:pPr>
                    <w:pStyle w:val="4"/>
                    <w:jc w:val="left"/>
                  </w:pPr>
                  <w:r>
                    <w:rPr>
                      <w:rFonts w:ascii="仿宋_GB2312" w:hAnsi="仿宋_GB2312" w:eastAsia="仿宋_GB2312" w:cs="仿宋_GB2312"/>
                      <w:sz w:val="21"/>
                    </w:rPr>
                    <w:t>d)应限制无线网络的使用，保证无线网络通过受控的边界设备接入内部网络。</w:t>
                  </w:r>
                </w:p>
              </w:tc>
            </w:tr>
            <w:tr w14:paraId="707524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1D82EBA"/>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B971927">
                  <w:pPr>
                    <w:pStyle w:val="4"/>
                    <w:jc w:val="center"/>
                  </w:pPr>
                  <w:r>
                    <w:rPr>
                      <w:rFonts w:ascii="仿宋_GB2312" w:hAnsi="仿宋_GB2312" w:eastAsia="仿宋_GB2312" w:cs="仿宋_GB2312"/>
                      <w:sz w:val="21"/>
                    </w:rPr>
                    <w:t>访问控制</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05E42E">
                  <w:pPr>
                    <w:pStyle w:val="4"/>
                    <w:jc w:val="left"/>
                  </w:pPr>
                  <w:r>
                    <w:rPr>
                      <w:rFonts w:ascii="仿宋_GB2312" w:hAnsi="仿宋_GB2312" w:eastAsia="仿宋_GB2312" w:cs="仿宋_GB2312"/>
                      <w:sz w:val="21"/>
                    </w:rPr>
                    <w:t>a)应在网络边界或区域之间根据访问控制策略设置访问控制规则， 默认情况下除允许通信外受控接口拒绝所有通信；</w:t>
                  </w:r>
                </w:p>
              </w:tc>
            </w:tr>
            <w:tr w14:paraId="49E863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3801C857"/>
              </w:tc>
              <w:tc>
                <w:tcPr>
                  <w:tcW w:w="375" w:type="dxa"/>
                  <w:vMerge w:val="continue"/>
                  <w:tcBorders>
                    <w:top w:val="nil"/>
                    <w:left w:val="nil"/>
                    <w:bottom w:val="single" w:color="000000" w:sz="4" w:space="0"/>
                    <w:right w:val="single" w:color="000000" w:sz="4" w:space="0"/>
                  </w:tcBorders>
                </w:tcPr>
                <w:p w14:paraId="6AC0F4D1"/>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FBB36F">
                  <w:pPr>
                    <w:pStyle w:val="4"/>
                    <w:jc w:val="left"/>
                  </w:pPr>
                  <w:r>
                    <w:rPr>
                      <w:rFonts w:ascii="仿宋_GB2312" w:hAnsi="仿宋_GB2312" w:eastAsia="仿宋_GB2312" w:cs="仿宋_GB2312"/>
                      <w:sz w:val="21"/>
                    </w:rPr>
                    <w:t>b)应删除多余或无效的控制规则，优化访问控制列表，并保证访问控制规则数量最小化；</w:t>
                  </w:r>
                </w:p>
              </w:tc>
            </w:tr>
            <w:tr w14:paraId="189392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F666CCF"/>
              </w:tc>
              <w:tc>
                <w:tcPr>
                  <w:tcW w:w="375" w:type="dxa"/>
                  <w:vMerge w:val="continue"/>
                  <w:tcBorders>
                    <w:top w:val="nil"/>
                    <w:left w:val="nil"/>
                    <w:bottom w:val="single" w:color="000000" w:sz="4" w:space="0"/>
                    <w:right w:val="single" w:color="000000" w:sz="4" w:space="0"/>
                  </w:tcBorders>
                </w:tcPr>
                <w:p w14:paraId="7D688DF8"/>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625A7C">
                  <w:pPr>
                    <w:pStyle w:val="4"/>
                    <w:jc w:val="left"/>
                  </w:pPr>
                  <w:r>
                    <w:rPr>
                      <w:rFonts w:ascii="仿宋_GB2312" w:hAnsi="仿宋_GB2312" w:eastAsia="仿宋_GB2312" w:cs="仿宋_GB2312"/>
                      <w:sz w:val="21"/>
                    </w:rPr>
                    <w:t>c)应对源地址、目的地址、源端口、目的端口和协议等进行检查， 以允许/拒绝数据包进出；</w:t>
                  </w:r>
                </w:p>
              </w:tc>
            </w:tr>
            <w:tr w14:paraId="5FA012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8A6E453"/>
              </w:tc>
              <w:tc>
                <w:tcPr>
                  <w:tcW w:w="375" w:type="dxa"/>
                  <w:vMerge w:val="continue"/>
                  <w:tcBorders>
                    <w:top w:val="nil"/>
                    <w:left w:val="nil"/>
                    <w:bottom w:val="single" w:color="000000" w:sz="4" w:space="0"/>
                    <w:right w:val="single" w:color="000000" w:sz="4" w:space="0"/>
                  </w:tcBorders>
                </w:tcPr>
                <w:p w14:paraId="07140A37"/>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E9E644">
                  <w:pPr>
                    <w:pStyle w:val="4"/>
                    <w:jc w:val="left"/>
                  </w:pPr>
                  <w:r>
                    <w:rPr>
                      <w:rFonts w:ascii="仿宋_GB2312" w:hAnsi="仿宋_GB2312" w:eastAsia="仿宋_GB2312" w:cs="仿宋_GB2312"/>
                      <w:sz w:val="21"/>
                    </w:rPr>
                    <w:t>d)应能根据会话状态信息为进出数据流提供明确的允许/拒绝访问的能力；</w:t>
                  </w:r>
                </w:p>
              </w:tc>
            </w:tr>
            <w:tr w14:paraId="4A634F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14475491"/>
              </w:tc>
              <w:tc>
                <w:tcPr>
                  <w:tcW w:w="375" w:type="dxa"/>
                  <w:vMerge w:val="continue"/>
                  <w:tcBorders>
                    <w:top w:val="nil"/>
                    <w:left w:val="nil"/>
                    <w:bottom w:val="single" w:color="000000" w:sz="4" w:space="0"/>
                    <w:right w:val="single" w:color="000000" w:sz="4" w:space="0"/>
                  </w:tcBorders>
                </w:tcPr>
                <w:p w14:paraId="55690ED3"/>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FCE133">
                  <w:pPr>
                    <w:pStyle w:val="4"/>
                    <w:jc w:val="left"/>
                  </w:pPr>
                  <w:r>
                    <w:rPr>
                      <w:rFonts w:ascii="仿宋_GB2312" w:hAnsi="仿宋_GB2312" w:eastAsia="仿宋_GB2312" w:cs="仿宋_GB2312"/>
                      <w:sz w:val="21"/>
                    </w:rPr>
                    <w:t>e)应对进出网络的数据流实现基于应用协议和应用内容的访问控制。</w:t>
                  </w:r>
                </w:p>
              </w:tc>
            </w:tr>
            <w:tr w14:paraId="628256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EB63EB7"/>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F0E22CB">
                  <w:pPr>
                    <w:pStyle w:val="4"/>
                    <w:jc w:val="center"/>
                  </w:pPr>
                  <w:r>
                    <w:rPr>
                      <w:rFonts w:ascii="仿宋_GB2312" w:hAnsi="仿宋_GB2312" w:eastAsia="仿宋_GB2312" w:cs="仿宋_GB2312"/>
                      <w:sz w:val="21"/>
                    </w:rPr>
                    <w:t>入侵防范</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81BAC9">
                  <w:pPr>
                    <w:pStyle w:val="4"/>
                    <w:jc w:val="left"/>
                  </w:pPr>
                  <w:r>
                    <w:rPr>
                      <w:rFonts w:ascii="仿宋_GB2312" w:hAnsi="仿宋_GB2312" w:eastAsia="仿宋_GB2312" w:cs="仿宋_GB2312"/>
                      <w:sz w:val="21"/>
                    </w:rPr>
                    <w:t>a)应在关键网络节点处检测、防止或限制从外部发起的网络攻击行为；</w:t>
                  </w:r>
                </w:p>
              </w:tc>
            </w:tr>
            <w:tr w14:paraId="7D0524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F644FE4"/>
              </w:tc>
              <w:tc>
                <w:tcPr>
                  <w:tcW w:w="375" w:type="dxa"/>
                  <w:vMerge w:val="continue"/>
                  <w:tcBorders>
                    <w:top w:val="nil"/>
                    <w:left w:val="nil"/>
                    <w:bottom w:val="single" w:color="000000" w:sz="4" w:space="0"/>
                    <w:right w:val="single" w:color="000000" w:sz="4" w:space="0"/>
                  </w:tcBorders>
                </w:tcPr>
                <w:p w14:paraId="2C2B304E"/>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364D70">
                  <w:pPr>
                    <w:pStyle w:val="4"/>
                    <w:jc w:val="left"/>
                  </w:pPr>
                  <w:r>
                    <w:rPr>
                      <w:rFonts w:ascii="仿宋_GB2312" w:hAnsi="仿宋_GB2312" w:eastAsia="仿宋_GB2312" w:cs="仿宋_GB2312"/>
                      <w:sz w:val="21"/>
                    </w:rPr>
                    <w:t>b)应在关键网络节点处检测、防止或限制从内部发起的网络攻击行为；</w:t>
                  </w:r>
                </w:p>
              </w:tc>
            </w:tr>
            <w:tr w14:paraId="6CDDC4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B997C99"/>
              </w:tc>
              <w:tc>
                <w:tcPr>
                  <w:tcW w:w="375" w:type="dxa"/>
                  <w:vMerge w:val="continue"/>
                  <w:tcBorders>
                    <w:top w:val="nil"/>
                    <w:left w:val="nil"/>
                    <w:bottom w:val="single" w:color="000000" w:sz="4" w:space="0"/>
                    <w:right w:val="single" w:color="000000" w:sz="4" w:space="0"/>
                  </w:tcBorders>
                </w:tcPr>
                <w:p w14:paraId="4B282473"/>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FA76A9">
                  <w:pPr>
                    <w:pStyle w:val="4"/>
                    <w:jc w:val="left"/>
                  </w:pPr>
                  <w:r>
                    <w:rPr>
                      <w:rFonts w:ascii="仿宋_GB2312" w:hAnsi="仿宋_GB2312" w:eastAsia="仿宋_GB2312" w:cs="仿宋_GB2312"/>
                      <w:sz w:val="21"/>
                    </w:rPr>
                    <w:t>c)应采取技术措施对网络行为进行分析，实现对网络攻击特别是新型网络攻击行为的分析；</w:t>
                  </w:r>
                </w:p>
              </w:tc>
            </w:tr>
            <w:tr w14:paraId="1C2B73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0C1A39E"/>
              </w:tc>
              <w:tc>
                <w:tcPr>
                  <w:tcW w:w="375" w:type="dxa"/>
                  <w:vMerge w:val="continue"/>
                  <w:tcBorders>
                    <w:top w:val="nil"/>
                    <w:left w:val="nil"/>
                    <w:bottom w:val="single" w:color="000000" w:sz="4" w:space="0"/>
                    <w:right w:val="single" w:color="000000" w:sz="4" w:space="0"/>
                  </w:tcBorders>
                </w:tcPr>
                <w:p w14:paraId="17F78DED"/>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60964E">
                  <w:pPr>
                    <w:pStyle w:val="4"/>
                    <w:jc w:val="left"/>
                  </w:pPr>
                  <w:r>
                    <w:rPr>
                      <w:rFonts w:ascii="仿宋_GB2312" w:hAnsi="仿宋_GB2312" w:eastAsia="仿宋_GB2312" w:cs="仿宋_GB2312"/>
                      <w:sz w:val="21"/>
                    </w:rPr>
                    <w:t>d)当检测到攻击行为时，记录攻击源IP、攻击类型、攻击目的、攻击时间，在发生严重入侵事件时应提供报警。</w:t>
                  </w:r>
                </w:p>
              </w:tc>
            </w:tr>
            <w:tr w14:paraId="3D6F82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57611F6"/>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C38D615">
                  <w:pPr>
                    <w:pStyle w:val="4"/>
                    <w:jc w:val="center"/>
                  </w:pPr>
                  <w:r>
                    <w:rPr>
                      <w:rFonts w:ascii="仿宋_GB2312" w:hAnsi="仿宋_GB2312" w:eastAsia="仿宋_GB2312" w:cs="仿宋_GB2312"/>
                      <w:sz w:val="21"/>
                    </w:rPr>
                    <w:t>恶意代码和垃圾邮件防范</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7BC85D">
                  <w:pPr>
                    <w:pStyle w:val="4"/>
                    <w:jc w:val="left"/>
                  </w:pPr>
                  <w:r>
                    <w:rPr>
                      <w:rFonts w:ascii="仿宋_GB2312" w:hAnsi="仿宋_GB2312" w:eastAsia="仿宋_GB2312" w:cs="仿宋_GB2312"/>
                      <w:sz w:val="21"/>
                    </w:rPr>
                    <w:t>a)应在关键网络节点处对恶意代码进行检测和清除，并维护恶意代码防护机制的升级和更新；</w:t>
                  </w:r>
                </w:p>
              </w:tc>
            </w:tr>
            <w:tr w14:paraId="43A036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90187D7"/>
              </w:tc>
              <w:tc>
                <w:tcPr>
                  <w:tcW w:w="375" w:type="dxa"/>
                  <w:vMerge w:val="continue"/>
                  <w:tcBorders>
                    <w:top w:val="nil"/>
                    <w:left w:val="nil"/>
                    <w:bottom w:val="single" w:color="000000" w:sz="4" w:space="0"/>
                    <w:right w:val="single" w:color="000000" w:sz="4" w:space="0"/>
                  </w:tcBorders>
                </w:tcPr>
                <w:p w14:paraId="050F81CA"/>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460ED6">
                  <w:pPr>
                    <w:pStyle w:val="4"/>
                    <w:jc w:val="left"/>
                  </w:pPr>
                  <w:r>
                    <w:rPr>
                      <w:rFonts w:ascii="仿宋_GB2312" w:hAnsi="仿宋_GB2312" w:eastAsia="仿宋_GB2312" w:cs="仿宋_GB2312"/>
                      <w:sz w:val="21"/>
                    </w:rPr>
                    <w:t>b)应在关键网络节点处对垃圾邮件进行检测和防护，并维护垃圾邮件防护机制的升级和更新。</w:t>
                  </w:r>
                </w:p>
              </w:tc>
            </w:tr>
            <w:tr w14:paraId="7B4353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5D2B4FA"/>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069BCE8">
                  <w:pPr>
                    <w:pStyle w:val="4"/>
                    <w:jc w:val="center"/>
                  </w:pPr>
                  <w:r>
                    <w:rPr>
                      <w:rFonts w:ascii="仿宋_GB2312" w:hAnsi="仿宋_GB2312" w:eastAsia="仿宋_GB2312" w:cs="仿宋_GB2312"/>
                      <w:sz w:val="21"/>
                    </w:rPr>
                    <w:t>安全审计</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FBC93D">
                  <w:pPr>
                    <w:pStyle w:val="4"/>
                    <w:jc w:val="left"/>
                  </w:pPr>
                  <w:r>
                    <w:rPr>
                      <w:rFonts w:ascii="仿宋_GB2312" w:hAnsi="仿宋_GB2312" w:eastAsia="仿宋_GB2312" w:cs="仿宋_GB2312"/>
                      <w:sz w:val="21"/>
                    </w:rPr>
                    <w:t>a)应在网络边界，重要网络节点进行安全审计，审计覆盖到每个用户，对重要的用户行为和重要安全事件进行审计；</w:t>
                  </w:r>
                </w:p>
              </w:tc>
            </w:tr>
            <w:tr w14:paraId="78E988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62BCC0C"/>
              </w:tc>
              <w:tc>
                <w:tcPr>
                  <w:tcW w:w="375" w:type="dxa"/>
                  <w:vMerge w:val="continue"/>
                  <w:tcBorders>
                    <w:top w:val="nil"/>
                    <w:left w:val="nil"/>
                    <w:bottom w:val="single" w:color="000000" w:sz="4" w:space="0"/>
                    <w:right w:val="single" w:color="000000" w:sz="4" w:space="0"/>
                  </w:tcBorders>
                </w:tcPr>
                <w:p w14:paraId="6A16B729"/>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B243A0">
                  <w:pPr>
                    <w:pStyle w:val="4"/>
                    <w:jc w:val="left"/>
                  </w:pPr>
                  <w:r>
                    <w:rPr>
                      <w:rFonts w:ascii="仿宋_GB2312" w:hAnsi="仿宋_GB2312" w:eastAsia="仿宋_GB2312" w:cs="仿宋_GB2312"/>
                      <w:sz w:val="21"/>
                    </w:rPr>
                    <w:t>b)审计记录应包括事件的日期、用户、事件类型、事件是否成功及其他与审计相关的信息；</w:t>
                  </w:r>
                </w:p>
              </w:tc>
            </w:tr>
            <w:tr w14:paraId="1CE091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3E6B93EA"/>
              </w:tc>
              <w:tc>
                <w:tcPr>
                  <w:tcW w:w="375" w:type="dxa"/>
                  <w:vMerge w:val="continue"/>
                  <w:tcBorders>
                    <w:top w:val="nil"/>
                    <w:left w:val="nil"/>
                    <w:bottom w:val="single" w:color="000000" w:sz="4" w:space="0"/>
                    <w:right w:val="single" w:color="000000" w:sz="4" w:space="0"/>
                  </w:tcBorders>
                </w:tcPr>
                <w:p w14:paraId="1A2F3D5B"/>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980F56">
                  <w:pPr>
                    <w:pStyle w:val="4"/>
                    <w:jc w:val="left"/>
                  </w:pPr>
                  <w:r>
                    <w:rPr>
                      <w:rFonts w:ascii="仿宋_GB2312" w:hAnsi="仿宋_GB2312" w:eastAsia="仿宋_GB2312" w:cs="仿宋_GB2312"/>
                      <w:sz w:val="21"/>
                    </w:rPr>
                    <w:t>c)应对审计记录进行保护，定期备份，避免受到未预期的删除、修改或覆盖等；</w:t>
                  </w:r>
                </w:p>
              </w:tc>
            </w:tr>
            <w:tr w14:paraId="12C6FB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2A9B759"/>
              </w:tc>
              <w:tc>
                <w:tcPr>
                  <w:tcW w:w="375" w:type="dxa"/>
                  <w:vMerge w:val="continue"/>
                  <w:tcBorders>
                    <w:top w:val="nil"/>
                    <w:left w:val="nil"/>
                    <w:bottom w:val="single" w:color="000000" w:sz="4" w:space="0"/>
                    <w:right w:val="single" w:color="000000" w:sz="4" w:space="0"/>
                  </w:tcBorders>
                </w:tcPr>
                <w:p w14:paraId="778F04E7"/>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92E5E8">
                  <w:pPr>
                    <w:pStyle w:val="4"/>
                    <w:jc w:val="left"/>
                  </w:pPr>
                  <w:r>
                    <w:rPr>
                      <w:rFonts w:ascii="仿宋_GB2312" w:hAnsi="仿宋_GB2312" w:eastAsia="仿宋_GB2312" w:cs="仿宋_GB2312"/>
                      <w:sz w:val="21"/>
                    </w:rPr>
                    <w:t>d)应能对远程访问的用户行为、访问互联网的用户行为等单独进行行为审计和数据分析。</w:t>
                  </w:r>
                </w:p>
              </w:tc>
            </w:tr>
            <w:tr w14:paraId="2A51C5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5E54407"/>
              </w:tc>
              <w:tc>
                <w:tcPr>
                  <w:tcW w:w="3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C73EE4">
                  <w:pPr>
                    <w:pStyle w:val="4"/>
                    <w:jc w:val="center"/>
                  </w:pPr>
                  <w:r>
                    <w:rPr>
                      <w:rFonts w:ascii="仿宋_GB2312" w:hAnsi="仿宋_GB2312" w:eastAsia="仿宋_GB2312" w:cs="仿宋_GB2312"/>
                      <w:sz w:val="21"/>
                    </w:rPr>
                    <w:t>可信验证</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D8387C">
                  <w:pPr>
                    <w:pStyle w:val="4"/>
                    <w:jc w:val="left"/>
                  </w:pPr>
                  <w:r>
                    <w:rPr>
                      <w:rFonts w:ascii="仿宋_GB2312" w:hAnsi="仿宋_GB2312" w:eastAsia="仿宋_GB2312" w:cs="仿宋_GB2312"/>
                      <w:sz w:val="21"/>
                    </w:rPr>
                    <w:t>a)可基于可信根对边界设备的系统引导程序、系统 程序、重要配置参数和边界防护应用程序等进行可信验证，并在应用程序的关键执行环节进行动态可信验证，在检测到其可信性受到破坏后进行报警， 并将验证结果形成审计记录送至安全管理中心。</w:t>
                  </w:r>
                </w:p>
              </w:tc>
            </w:tr>
            <w:tr w14:paraId="76AC43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3A7DA4">
                  <w:pPr>
                    <w:pStyle w:val="4"/>
                    <w:jc w:val="center"/>
                  </w:pPr>
                  <w:r>
                    <w:rPr>
                      <w:rFonts w:ascii="仿宋_GB2312" w:hAnsi="仿宋_GB2312" w:eastAsia="仿宋_GB2312" w:cs="仿宋_GB2312"/>
                      <w:sz w:val="21"/>
                    </w:rPr>
                    <w:t>安全计算环境</w:t>
                  </w:r>
                </w:p>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B0DEA60">
                  <w:pPr>
                    <w:pStyle w:val="4"/>
                    <w:jc w:val="center"/>
                  </w:pPr>
                  <w:r>
                    <w:rPr>
                      <w:rFonts w:ascii="仿宋_GB2312" w:hAnsi="仿宋_GB2312" w:eastAsia="仿宋_GB2312" w:cs="仿宋_GB2312"/>
                      <w:sz w:val="21"/>
                    </w:rPr>
                    <w:t>身份鉴别</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523978">
                  <w:pPr>
                    <w:pStyle w:val="4"/>
                    <w:jc w:val="left"/>
                  </w:pPr>
                  <w:r>
                    <w:rPr>
                      <w:rFonts w:ascii="仿宋_GB2312" w:hAnsi="仿宋_GB2312" w:eastAsia="仿宋_GB2312" w:cs="仿宋_GB2312"/>
                      <w:sz w:val="21"/>
                    </w:rPr>
                    <w:t>a)应对登录的用户进行身份标识和鉴别，身份标识具有唯一性，身份鉴别信息具有复杂度要求并定期更换；</w:t>
                  </w:r>
                </w:p>
              </w:tc>
            </w:tr>
            <w:tr w14:paraId="5894DC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522DB9E"/>
              </w:tc>
              <w:tc>
                <w:tcPr>
                  <w:tcW w:w="375" w:type="dxa"/>
                  <w:vMerge w:val="continue"/>
                  <w:tcBorders>
                    <w:top w:val="nil"/>
                    <w:left w:val="nil"/>
                    <w:bottom w:val="single" w:color="000000" w:sz="4" w:space="0"/>
                    <w:right w:val="single" w:color="000000" w:sz="4" w:space="0"/>
                  </w:tcBorders>
                </w:tcPr>
                <w:p w14:paraId="66BB3FC1"/>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42BE7D">
                  <w:pPr>
                    <w:pStyle w:val="4"/>
                    <w:jc w:val="left"/>
                  </w:pPr>
                  <w:r>
                    <w:rPr>
                      <w:rFonts w:ascii="仿宋_GB2312" w:hAnsi="仿宋_GB2312" w:eastAsia="仿宋_GB2312" w:cs="仿宋_GB2312"/>
                      <w:sz w:val="21"/>
                    </w:rPr>
                    <w:t>b)应启用登陆失败处理功能，应配置并启用结束会话、限制非法登录次数和当登录连接超时时自动退出等相关措施；</w:t>
                  </w:r>
                </w:p>
              </w:tc>
            </w:tr>
            <w:tr w14:paraId="586B41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1E07238C"/>
              </w:tc>
              <w:tc>
                <w:tcPr>
                  <w:tcW w:w="375" w:type="dxa"/>
                  <w:vMerge w:val="continue"/>
                  <w:tcBorders>
                    <w:top w:val="nil"/>
                    <w:left w:val="nil"/>
                    <w:bottom w:val="single" w:color="000000" w:sz="4" w:space="0"/>
                    <w:right w:val="single" w:color="000000" w:sz="4" w:space="0"/>
                  </w:tcBorders>
                </w:tcPr>
                <w:p w14:paraId="51521DD7"/>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EA3B4E">
                  <w:pPr>
                    <w:pStyle w:val="4"/>
                    <w:jc w:val="left"/>
                  </w:pPr>
                  <w:r>
                    <w:rPr>
                      <w:rFonts w:ascii="仿宋_GB2312" w:hAnsi="仿宋_GB2312" w:eastAsia="仿宋_GB2312" w:cs="仿宋_GB2312"/>
                      <w:sz w:val="21"/>
                    </w:rPr>
                    <w:t>c)当进行远程管理时，应采取必要措施防止鉴别信息在网络传输过程中被窃听；</w:t>
                  </w:r>
                </w:p>
              </w:tc>
            </w:tr>
            <w:tr w14:paraId="76380A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955FDB6"/>
              </w:tc>
              <w:tc>
                <w:tcPr>
                  <w:tcW w:w="375" w:type="dxa"/>
                  <w:vMerge w:val="continue"/>
                  <w:tcBorders>
                    <w:top w:val="nil"/>
                    <w:left w:val="nil"/>
                    <w:bottom w:val="single" w:color="000000" w:sz="4" w:space="0"/>
                    <w:right w:val="single" w:color="000000" w:sz="4" w:space="0"/>
                  </w:tcBorders>
                </w:tcPr>
                <w:p w14:paraId="68395E82"/>
              </w:tc>
              <w:tc>
                <w:tcPr>
                  <w:tcW w:w="1906" w:type="dxa"/>
                  <w:tcBorders>
                    <w:top w:val="nil"/>
                    <w:left w:val="nil"/>
                    <w:bottom w:val="nil"/>
                    <w:right w:val="single" w:color="000000" w:sz="4" w:space="0"/>
                  </w:tcBorders>
                  <w:tcMar>
                    <w:top w:w="0" w:type="dxa"/>
                    <w:left w:w="105" w:type="dxa"/>
                    <w:bottom w:w="0" w:type="dxa"/>
                    <w:right w:w="105" w:type="dxa"/>
                  </w:tcMar>
                  <w:vAlign w:val="top"/>
                </w:tcPr>
                <w:p w14:paraId="2307879A">
                  <w:pPr>
                    <w:pStyle w:val="4"/>
                    <w:jc w:val="left"/>
                  </w:pPr>
                  <w:r>
                    <w:rPr>
                      <w:rFonts w:ascii="仿宋_GB2312" w:hAnsi="仿宋_GB2312" w:eastAsia="仿宋_GB2312" w:cs="仿宋_GB2312"/>
                      <w:sz w:val="21"/>
                    </w:rPr>
                    <w:t>d)应采用口令、密码技术、生物技术等两种或两种以上组合的鉴别技术对用户进行身份鉴别，且其中一种鉴别技术至少应使用密码技术实现。</w:t>
                  </w:r>
                </w:p>
              </w:tc>
            </w:tr>
            <w:tr w14:paraId="552F39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90EFE8D"/>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FCD2ABD">
                  <w:pPr>
                    <w:pStyle w:val="4"/>
                    <w:jc w:val="center"/>
                  </w:pPr>
                  <w:r>
                    <w:rPr>
                      <w:rFonts w:ascii="仿宋_GB2312" w:hAnsi="仿宋_GB2312" w:eastAsia="仿宋_GB2312" w:cs="仿宋_GB2312"/>
                      <w:sz w:val="21"/>
                    </w:rPr>
                    <w:t>访问控制</w:t>
                  </w:r>
                </w:p>
              </w:tc>
              <w:tc>
                <w:tcPr>
                  <w:tcW w:w="19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F9887AD">
                  <w:pPr>
                    <w:pStyle w:val="4"/>
                    <w:jc w:val="left"/>
                  </w:pPr>
                  <w:r>
                    <w:rPr>
                      <w:rFonts w:ascii="仿宋_GB2312" w:hAnsi="仿宋_GB2312" w:eastAsia="仿宋_GB2312" w:cs="仿宋_GB2312"/>
                      <w:sz w:val="21"/>
                    </w:rPr>
                    <w:t>a)应对登录的用户分配账户和权限；</w:t>
                  </w:r>
                </w:p>
              </w:tc>
            </w:tr>
            <w:tr w14:paraId="4AA87C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11197841"/>
              </w:tc>
              <w:tc>
                <w:tcPr>
                  <w:tcW w:w="375" w:type="dxa"/>
                  <w:vMerge w:val="continue"/>
                  <w:tcBorders>
                    <w:top w:val="nil"/>
                    <w:left w:val="nil"/>
                    <w:bottom w:val="single" w:color="000000" w:sz="4" w:space="0"/>
                    <w:right w:val="single" w:color="000000" w:sz="4" w:space="0"/>
                  </w:tcBorders>
                </w:tcPr>
                <w:p w14:paraId="06E3DBC8"/>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3D640B">
                  <w:pPr>
                    <w:pStyle w:val="4"/>
                    <w:jc w:val="left"/>
                  </w:pPr>
                  <w:r>
                    <w:rPr>
                      <w:rFonts w:ascii="仿宋_GB2312" w:hAnsi="仿宋_GB2312" w:eastAsia="仿宋_GB2312" w:cs="仿宋_GB2312"/>
                      <w:sz w:val="21"/>
                    </w:rPr>
                    <w:t>b)应重命名或删除默认账户，修改默认账户的默认口令；</w:t>
                  </w:r>
                </w:p>
              </w:tc>
            </w:tr>
            <w:tr w14:paraId="3832BC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E8F3FC5"/>
              </w:tc>
              <w:tc>
                <w:tcPr>
                  <w:tcW w:w="375" w:type="dxa"/>
                  <w:vMerge w:val="continue"/>
                  <w:tcBorders>
                    <w:top w:val="nil"/>
                    <w:left w:val="nil"/>
                    <w:bottom w:val="single" w:color="000000" w:sz="4" w:space="0"/>
                    <w:right w:val="single" w:color="000000" w:sz="4" w:space="0"/>
                  </w:tcBorders>
                </w:tcPr>
                <w:p w14:paraId="308D2A04"/>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2B4F1F">
                  <w:pPr>
                    <w:pStyle w:val="4"/>
                    <w:jc w:val="left"/>
                  </w:pPr>
                  <w:r>
                    <w:rPr>
                      <w:rFonts w:ascii="仿宋_GB2312" w:hAnsi="仿宋_GB2312" w:eastAsia="仿宋_GB2312" w:cs="仿宋_GB2312"/>
                      <w:sz w:val="21"/>
                    </w:rPr>
                    <w:t>c)应及时删除或停用多余的，过期的账户，避免共享账户的存在；</w:t>
                  </w:r>
                </w:p>
              </w:tc>
            </w:tr>
            <w:tr w14:paraId="40B960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3F6D6D5"/>
              </w:tc>
              <w:tc>
                <w:tcPr>
                  <w:tcW w:w="375" w:type="dxa"/>
                  <w:vMerge w:val="continue"/>
                  <w:tcBorders>
                    <w:top w:val="nil"/>
                    <w:left w:val="nil"/>
                    <w:bottom w:val="single" w:color="000000" w:sz="4" w:space="0"/>
                    <w:right w:val="single" w:color="000000" w:sz="4" w:space="0"/>
                  </w:tcBorders>
                </w:tcPr>
                <w:p w14:paraId="3B9629D5"/>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A88402">
                  <w:pPr>
                    <w:pStyle w:val="4"/>
                    <w:jc w:val="left"/>
                  </w:pPr>
                  <w:r>
                    <w:rPr>
                      <w:rFonts w:ascii="仿宋_GB2312" w:hAnsi="仿宋_GB2312" w:eastAsia="仿宋_GB2312" w:cs="仿宋_GB2312"/>
                      <w:sz w:val="21"/>
                    </w:rPr>
                    <w:t>d)应授予管理用户所需的最小权限，实现管理用户的权限分离；</w:t>
                  </w:r>
                </w:p>
              </w:tc>
            </w:tr>
            <w:tr w14:paraId="1F4869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5F1EFFC"/>
              </w:tc>
              <w:tc>
                <w:tcPr>
                  <w:tcW w:w="375" w:type="dxa"/>
                  <w:vMerge w:val="continue"/>
                  <w:tcBorders>
                    <w:top w:val="nil"/>
                    <w:left w:val="nil"/>
                    <w:bottom w:val="single" w:color="000000" w:sz="4" w:space="0"/>
                    <w:right w:val="single" w:color="000000" w:sz="4" w:space="0"/>
                  </w:tcBorders>
                </w:tcPr>
                <w:p w14:paraId="427CF8C8"/>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4DDDED">
                  <w:pPr>
                    <w:pStyle w:val="4"/>
                    <w:jc w:val="left"/>
                  </w:pPr>
                  <w:r>
                    <w:rPr>
                      <w:rFonts w:ascii="仿宋_GB2312" w:hAnsi="仿宋_GB2312" w:eastAsia="仿宋_GB2312" w:cs="仿宋_GB2312"/>
                      <w:sz w:val="21"/>
                    </w:rPr>
                    <w:t>e）应由授权主体配置访问控制策略，访问控制策略规定主体对客体的访问规则；</w:t>
                  </w:r>
                </w:p>
              </w:tc>
            </w:tr>
            <w:tr w14:paraId="34BF9C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0A5D1B8"/>
              </w:tc>
              <w:tc>
                <w:tcPr>
                  <w:tcW w:w="375" w:type="dxa"/>
                  <w:vMerge w:val="continue"/>
                  <w:tcBorders>
                    <w:top w:val="nil"/>
                    <w:left w:val="nil"/>
                    <w:bottom w:val="single" w:color="000000" w:sz="4" w:space="0"/>
                    <w:right w:val="single" w:color="000000" w:sz="4" w:space="0"/>
                  </w:tcBorders>
                </w:tcPr>
                <w:p w14:paraId="1E5119AD"/>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31C7B5">
                  <w:pPr>
                    <w:pStyle w:val="4"/>
                    <w:jc w:val="left"/>
                  </w:pPr>
                  <w:r>
                    <w:rPr>
                      <w:rFonts w:ascii="仿宋_GB2312" w:hAnsi="仿宋_GB2312" w:eastAsia="仿宋_GB2312" w:cs="仿宋_GB2312"/>
                      <w:sz w:val="21"/>
                    </w:rPr>
                    <w:t>f)访问控制的粒度应达到主体为用户级或进程级，客体为文件、数据库表级；</w:t>
                  </w:r>
                </w:p>
              </w:tc>
            </w:tr>
            <w:tr w14:paraId="1CFFE1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866BF5A"/>
              </w:tc>
              <w:tc>
                <w:tcPr>
                  <w:tcW w:w="375" w:type="dxa"/>
                  <w:vMerge w:val="continue"/>
                  <w:tcBorders>
                    <w:top w:val="nil"/>
                    <w:left w:val="nil"/>
                    <w:bottom w:val="single" w:color="000000" w:sz="4" w:space="0"/>
                    <w:right w:val="single" w:color="000000" w:sz="4" w:space="0"/>
                  </w:tcBorders>
                </w:tcPr>
                <w:p w14:paraId="07953BB7"/>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22BA8C">
                  <w:pPr>
                    <w:pStyle w:val="4"/>
                    <w:jc w:val="left"/>
                  </w:pPr>
                  <w:r>
                    <w:rPr>
                      <w:rFonts w:ascii="仿宋_GB2312" w:hAnsi="仿宋_GB2312" w:eastAsia="仿宋_GB2312" w:cs="仿宋_GB2312"/>
                      <w:sz w:val="21"/>
                    </w:rPr>
                    <w:t>g)应对重要主体和客体设置安全标记，并控制主体对有安全标记信息资源的访问。</w:t>
                  </w:r>
                </w:p>
              </w:tc>
            </w:tr>
            <w:tr w14:paraId="6B41ED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3C26BAF"/>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454669D">
                  <w:pPr>
                    <w:pStyle w:val="4"/>
                    <w:jc w:val="center"/>
                  </w:pPr>
                  <w:r>
                    <w:rPr>
                      <w:rFonts w:ascii="仿宋_GB2312" w:hAnsi="仿宋_GB2312" w:eastAsia="仿宋_GB2312" w:cs="仿宋_GB2312"/>
                      <w:sz w:val="21"/>
                    </w:rPr>
                    <w:t>安全审计</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D87350">
                  <w:pPr>
                    <w:pStyle w:val="4"/>
                    <w:jc w:val="left"/>
                  </w:pPr>
                  <w:r>
                    <w:rPr>
                      <w:rFonts w:ascii="仿宋_GB2312" w:hAnsi="仿宋_GB2312" w:eastAsia="仿宋_GB2312" w:cs="仿宋_GB2312"/>
                      <w:sz w:val="21"/>
                    </w:rPr>
                    <w:t>a)应启用安全审计功能，审计覆盖到每个用户，对重要的用户行为和重要安全事件进行审计；</w:t>
                  </w:r>
                </w:p>
              </w:tc>
            </w:tr>
            <w:tr w14:paraId="23B62A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AC34E94"/>
              </w:tc>
              <w:tc>
                <w:tcPr>
                  <w:tcW w:w="375" w:type="dxa"/>
                  <w:vMerge w:val="continue"/>
                  <w:tcBorders>
                    <w:top w:val="nil"/>
                    <w:left w:val="nil"/>
                    <w:bottom w:val="single" w:color="000000" w:sz="4" w:space="0"/>
                    <w:right w:val="single" w:color="000000" w:sz="4" w:space="0"/>
                  </w:tcBorders>
                </w:tcPr>
                <w:p w14:paraId="2F6290CF"/>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B05C34">
                  <w:pPr>
                    <w:pStyle w:val="4"/>
                    <w:jc w:val="left"/>
                  </w:pPr>
                  <w:r>
                    <w:rPr>
                      <w:rFonts w:ascii="仿宋_GB2312" w:hAnsi="仿宋_GB2312" w:eastAsia="仿宋_GB2312" w:cs="仿宋_GB2312"/>
                      <w:sz w:val="21"/>
                    </w:rPr>
                    <w:t>b)审计记录应包括事件的日期、时间、事件类 型、事件是否成功及其他与审计相关的工作；</w:t>
                  </w:r>
                </w:p>
              </w:tc>
            </w:tr>
            <w:tr w14:paraId="65A218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8B0FD1C"/>
              </w:tc>
              <w:tc>
                <w:tcPr>
                  <w:tcW w:w="375" w:type="dxa"/>
                  <w:vMerge w:val="continue"/>
                  <w:tcBorders>
                    <w:top w:val="nil"/>
                    <w:left w:val="nil"/>
                    <w:bottom w:val="single" w:color="000000" w:sz="4" w:space="0"/>
                    <w:right w:val="single" w:color="000000" w:sz="4" w:space="0"/>
                  </w:tcBorders>
                </w:tcPr>
                <w:p w14:paraId="5CB04479"/>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AF78F3">
                  <w:pPr>
                    <w:pStyle w:val="4"/>
                    <w:jc w:val="left"/>
                  </w:pPr>
                  <w:r>
                    <w:rPr>
                      <w:rFonts w:ascii="仿宋_GB2312" w:hAnsi="仿宋_GB2312" w:eastAsia="仿宋_GB2312" w:cs="仿宋_GB2312"/>
                      <w:sz w:val="21"/>
                    </w:rPr>
                    <w:t>c)应对审计记录进行保护， 定期备份、避免受到未预期的删除、修改或覆盖等；</w:t>
                  </w:r>
                </w:p>
              </w:tc>
            </w:tr>
            <w:tr w14:paraId="1791E5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F96661D"/>
              </w:tc>
              <w:tc>
                <w:tcPr>
                  <w:tcW w:w="375" w:type="dxa"/>
                  <w:vMerge w:val="continue"/>
                  <w:tcBorders>
                    <w:top w:val="nil"/>
                    <w:left w:val="nil"/>
                    <w:bottom w:val="single" w:color="000000" w:sz="4" w:space="0"/>
                    <w:right w:val="single" w:color="000000" w:sz="4" w:space="0"/>
                  </w:tcBorders>
                </w:tcPr>
                <w:p w14:paraId="2C4CFA10"/>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9FAE49">
                  <w:pPr>
                    <w:pStyle w:val="4"/>
                    <w:jc w:val="left"/>
                  </w:pPr>
                  <w:r>
                    <w:rPr>
                      <w:rFonts w:ascii="仿宋_GB2312" w:hAnsi="仿宋_GB2312" w:eastAsia="仿宋_GB2312" w:cs="仿宋_GB2312"/>
                      <w:sz w:val="21"/>
                    </w:rPr>
                    <w:t>d)应对审计进程进行保护，防止未经授权的中断。</w:t>
                  </w:r>
                </w:p>
              </w:tc>
            </w:tr>
            <w:tr w14:paraId="783766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E1489CF"/>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E15C82E">
                  <w:pPr>
                    <w:pStyle w:val="4"/>
                    <w:jc w:val="center"/>
                  </w:pPr>
                  <w:r>
                    <w:rPr>
                      <w:rFonts w:ascii="仿宋_GB2312" w:hAnsi="仿宋_GB2312" w:eastAsia="仿宋_GB2312" w:cs="仿宋_GB2312"/>
                      <w:sz w:val="21"/>
                    </w:rPr>
                    <w:t>入侵防范</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80D508">
                  <w:pPr>
                    <w:pStyle w:val="4"/>
                    <w:jc w:val="left"/>
                  </w:pPr>
                  <w:r>
                    <w:rPr>
                      <w:rFonts w:ascii="仿宋_GB2312" w:hAnsi="仿宋_GB2312" w:eastAsia="仿宋_GB2312" w:cs="仿宋_GB2312"/>
                      <w:sz w:val="21"/>
                    </w:rPr>
                    <w:t>a)应遵循最小安装的原则，仅安装需要的组件和应用程序；</w:t>
                  </w:r>
                </w:p>
              </w:tc>
            </w:tr>
            <w:tr w14:paraId="1C8381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6685387"/>
              </w:tc>
              <w:tc>
                <w:tcPr>
                  <w:tcW w:w="375" w:type="dxa"/>
                  <w:vMerge w:val="continue"/>
                  <w:tcBorders>
                    <w:top w:val="nil"/>
                    <w:left w:val="nil"/>
                    <w:bottom w:val="single" w:color="000000" w:sz="4" w:space="0"/>
                    <w:right w:val="single" w:color="000000" w:sz="4" w:space="0"/>
                  </w:tcBorders>
                </w:tcPr>
                <w:p w14:paraId="757A83DD"/>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8922B5">
                  <w:pPr>
                    <w:pStyle w:val="4"/>
                    <w:jc w:val="left"/>
                  </w:pPr>
                  <w:r>
                    <w:rPr>
                      <w:rFonts w:ascii="仿宋_GB2312" w:hAnsi="仿宋_GB2312" w:eastAsia="仿宋_GB2312" w:cs="仿宋_GB2312"/>
                      <w:sz w:val="21"/>
                    </w:rPr>
                    <w:t>b)应关闭不需要的系统服务、默认共享和高危端口；</w:t>
                  </w:r>
                </w:p>
              </w:tc>
            </w:tr>
            <w:tr w14:paraId="7FF6BD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DD7FFA2"/>
              </w:tc>
              <w:tc>
                <w:tcPr>
                  <w:tcW w:w="375" w:type="dxa"/>
                  <w:vMerge w:val="continue"/>
                  <w:tcBorders>
                    <w:top w:val="nil"/>
                    <w:left w:val="nil"/>
                    <w:bottom w:val="single" w:color="000000" w:sz="4" w:space="0"/>
                    <w:right w:val="single" w:color="000000" w:sz="4" w:space="0"/>
                  </w:tcBorders>
                </w:tcPr>
                <w:p w14:paraId="1CDEBB72"/>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30CD13">
                  <w:pPr>
                    <w:pStyle w:val="4"/>
                    <w:jc w:val="left"/>
                  </w:pPr>
                  <w:r>
                    <w:rPr>
                      <w:rFonts w:ascii="仿宋_GB2312" w:hAnsi="仿宋_GB2312" w:eastAsia="仿宋_GB2312" w:cs="仿宋_GB2312"/>
                      <w:sz w:val="21"/>
                    </w:rPr>
                    <w:t>c)应通过设定终端接入方式或网络地址范围对 通过网络进行管理的管理终端进行限制；</w:t>
                  </w:r>
                </w:p>
              </w:tc>
            </w:tr>
            <w:tr w14:paraId="1D6AAA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857C31A"/>
              </w:tc>
              <w:tc>
                <w:tcPr>
                  <w:tcW w:w="375" w:type="dxa"/>
                  <w:vMerge w:val="continue"/>
                  <w:tcBorders>
                    <w:top w:val="nil"/>
                    <w:left w:val="nil"/>
                    <w:bottom w:val="single" w:color="000000" w:sz="4" w:space="0"/>
                    <w:right w:val="single" w:color="000000" w:sz="4" w:space="0"/>
                  </w:tcBorders>
                </w:tcPr>
                <w:p w14:paraId="3D4550CE"/>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7DCC1E">
                  <w:pPr>
                    <w:pStyle w:val="4"/>
                    <w:jc w:val="left"/>
                  </w:pPr>
                  <w:r>
                    <w:rPr>
                      <w:rFonts w:ascii="仿宋_GB2312" w:hAnsi="仿宋_GB2312" w:eastAsia="仿宋_GB2312" w:cs="仿宋_GB2312"/>
                      <w:sz w:val="21"/>
                    </w:rPr>
                    <w:t>d）应提供数据有效性检验功能，保证通过人机接口输入或通过通信接口输入的内容符合系统设定要求。</w:t>
                  </w:r>
                </w:p>
              </w:tc>
            </w:tr>
            <w:tr w14:paraId="28C4B4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CCB9C6D"/>
              </w:tc>
              <w:tc>
                <w:tcPr>
                  <w:tcW w:w="375" w:type="dxa"/>
                  <w:vMerge w:val="continue"/>
                  <w:tcBorders>
                    <w:top w:val="nil"/>
                    <w:left w:val="nil"/>
                    <w:bottom w:val="single" w:color="000000" w:sz="4" w:space="0"/>
                    <w:right w:val="single" w:color="000000" w:sz="4" w:space="0"/>
                  </w:tcBorders>
                </w:tcPr>
                <w:p w14:paraId="0B7A84F7"/>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6667B3">
                  <w:pPr>
                    <w:pStyle w:val="4"/>
                    <w:jc w:val="left"/>
                  </w:pPr>
                  <w:r>
                    <w:rPr>
                      <w:rFonts w:ascii="仿宋_GB2312" w:hAnsi="仿宋_GB2312" w:eastAsia="仿宋_GB2312" w:cs="仿宋_GB2312"/>
                      <w:sz w:val="21"/>
                    </w:rPr>
                    <w:t>e)应能发现可能存在的已知漏洞，并在经过充分测试评估后，及时修补漏洞；</w:t>
                  </w:r>
                </w:p>
              </w:tc>
            </w:tr>
            <w:tr w14:paraId="4817FD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349E8DC"/>
              </w:tc>
              <w:tc>
                <w:tcPr>
                  <w:tcW w:w="375" w:type="dxa"/>
                  <w:vMerge w:val="continue"/>
                  <w:tcBorders>
                    <w:top w:val="nil"/>
                    <w:left w:val="nil"/>
                    <w:bottom w:val="single" w:color="000000" w:sz="4" w:space="0"/>
                    <w:right w:val="single" w:color="000000" w:sz="4" w:space="0"/>
                  </w:tcBorders>
                </w:tcPr>
                <w:p w14:paraId="0C996D0E"/>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6FD4E7">
                  <w:pPr>
                    <w:pStyle w:val="4"/>
                    <w:jc w:val="left"/>
                  </w:pPr>
                  <w:r>
                    <w:rPr>
                      <w:rFonts w:ascii="仿宋_GB2312" w:hAnsi="仿宋_GB2312" w:eastAsia="仿宋_GB2312" w:cs="仿宋_GB2312"/>
                      <w:sz w:val="21"/>
                    </w:rPr>
                    <w:t>f)应能检测到对重要节点进行入侵的行为，并在发生严重入侵事件时提供报警。</w:t>
                  </w:r>
                </w:p>
              </w:tc>
            </w:tr>
            <w:tr w14:paraId="660D69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2AE1717"/>
              </w:tc>
              <w:tc>
                <w:tcPr>
                  <w:tcW w:w="3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80A4CE">
                  <w:pPr>
                    <w:pStyle w:val="4"/>
                    <w:jc w:val="center"/>
                  </w:pPr>
                  <w:r>
                    <w:rPr>
                      <w:rFonts w:ascii="仿宋_GB2312" w:hAnsi="仿宋_GB2312" w:eastAsia="仿宋_GB2312" w:cs="仿宋_GB2312"/>
                      <w:sz w:val="21"/>
                    </w:rPr>
                    <w:t>恶意代码防范</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898227">
                  <w:pPr>
                    <w:pStyle w:val="4"/>
                    <w:jc w:val="left"/>
                  </w:pPr>
                  <w:r>
                    <w:rPr>
                      <w:rFonts w:ascii="仿宋_GB2312" w:hAnsi="仿宋_GB2312" w:eastAsia="仿宋_GB2312" w:cs="仿宋_GB2312"/>
                      <w:sz w:val="21"/>
                    </w:rPr>
                    <w:t>a)应采用免受恶意代码攻击的技术措施， 或主动免疫可信验证机制及时识别入侵和病毒行为，并将其有效阻断。</w:t>
                  </w:r>
                </w:p>
              </w:tc>
            </w:tr>
            <w:tr w14:paraId="4B15BA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F017F19"/>
              </w:tc>
              <w:tc>
                <w:tcPr>
                  <w:tcW w:w="3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F33B3E">
                  <w:pPr>
                    <w:pStyle w:val="4"/>
                    <w:jc w:val="center"/>
                  </w:pPr>
                  <w:r>
                    <w:rPr>
                      <w:rFonts w:ascii="仿宋_GB2312" w:hAnsi="仿宋_GB2312" w:eastAsia="仿宋_GB2312" w:cs="仿宋_GB2312"/>
                      <w:sz w:val="21"/>
                    </w:rPr>
                    <w:t>可信验证</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12A58D">
                  <w:pPr>
                    <w:pStyle w:val="4"/>
                    <w:jc w:val="left"/>
                  </w:pPr>
                  <w:r>
                    <w:rPr>
                      <w:rFonts w:ascii="仿宋_GB2312" w:hAnsi="仿宋_GB2312" w:eastAsia="仿宋_GB2312" w:cs="仿宋_GB2312"/>
                      <w:sz w:val="21"/>
                    </w:rPr>
                    <w:t>a)可基于可信根对计算设备的系统引导程序、系统程序、重要配置参数和通信应用程序等进行可信验证，并在应用程序的关键执行环节进行动态可 信验证，在检测到其可信性受到破坏后进行报警，并将验证结果形成审计记录送至安全管理中心。</w:t>
                  </w:r>
                </w:p>
              </w:tc>
            </w:tr>
            <w:tr w14:paraId="6D2151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D16959C"/>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F00D0C6">
                  <w:pPr>
                    <w:pStyle w:val="4"/>
                    <w:jc w:val="center"/>
                  </w:pPr>
                  <w:r>
                    <w:rPr>
                      <w:rFonts w:ascii="仿宋_GB2312" w:hAnsi="仿宋_GB2312" w:eastAsia="仿宋_GB2312" w:cs="仿宋_GB2312"/>
                      <w:sz w:val="21"/>
                    </w:rPr>
                    <w:t>数据完整性</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228694">
                  <w:pPr>
                    <w:pStyle w:val="4"/>
                    <w:jc w:val="left"/>
                  </w:pPr>
                  <w:r>
                    <w:rPr>
                      <w:rFonts w:ascii="仿宋_GB2312" w:hAnsi="仿宋_GB2312" w:eastAsia="仿宋_GB2312" w:cs="仿宋_GB2312"/>
                      <w:sz w:val="21"/>
                    </w:rPr>
                    <w:t>a)应采用校验技术或密码技术保证重要数据在 传输过程中的完整性，包括但不限于数据鉴别、重要业务数据、重要审计数据、重要配置数据、重要视频数据和重要个人信息等；</w:t>
                  </w:r>
                </w:p>
              </w:tc>
            </w:tr>
            <w:tr w14:paraId="2DB98D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79A9B2D"/>
              </w:tc>
              <w:tc>
                <w:tcPr>
                  <w:tcW w:w="375" w:type="dxa"/>
                  <w:vMerge w:val="continue"/>
                  <w:tcBorders>
                    <w:top w:val="nil"/>
                    <w:left w:val="nil"/>
                    <w:bottom w:val="single" w:color="000000" w:sz="4" w:space="0"/>
                    <w:right w:val="single" w:color="000000" w:sz="4" w:space="0"/>
                  </w:tcBorders>
                </w:tcPr>
                <w:p w14:paraId="4502C7D9"/>
              </w:tc>
              <w:tc>
                <w:tcPr>
                  <w:tcW w:w="1906" w:type="dxa"/>
                  <w:tcBorders>
                    <w:top w:val="nil"/>
                    <w:left w:val="nil"/>
                    <w:bottom w:val="nil"/>
                    <w:right w:val="single" w:color="000000" w:sz="4" w:space="0"/>
                  </w:tcBorders>
                  <w:tcMar>
                    <w:top w:w="0" w:type="dxa"/>
                    <w:left w:w="105" w:type="dxa"/>
                    <w:bottom w:w="0" w:type="dxa"/>
                    <w:right w:w="105" w:type="dxa"/>
                  </w:tcMar>
                  <w:vAlign w:val="top"/>
                </w:tcPr>
                <w:p w14:paraId="5548DD70">
                  <w:pPr>
                    <w:pStyle w:val="4"/>
                    <w:jc w:val="left"/>
                  </w:pPr>
                  <w:r>
                    <w:rPr>
                      <w:rFonts w:ascii="仿宋_GB2312" w:hAnsi="仿宋_GB2312" w:eastAsia="仿宋_GB2312" w:cs="仿宋_GB2312"/>
                      <w:sz w:val="21"/>
                    </w:rPr>
                    <w:t>b)应采用校验技术或密码技术保证重要数据在存储过程中的完整性，包括但不限于数据鉴别、重要业务数据、重要审计数据、重要配置数据、重要视频数据和重要个人信息等。</w:t>
                  </w:r>
                </w:p>
              </w:tc>
            </w:tr>
            <w:tr w14:paraId="6DF26D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0E1E6D7"/>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C89A79A">
                  <w:pPr>
                    <w:pStyle w:val="4"/>
                    <w:jc w:val="center"/>
                  </w:pPr>
                  <w:r>
                    <w:rPr>
                      <w:rFonts w:ascii="仿宋_GB2312" w:hAnsi="仿宋_GB2312" w:eastAsia="仿宋_GB2312" w:cs="仿宋_GB2312"/>
                      <w:sz w:val="21"/>
                    </w:rPr>
                    <w:t>数据保密性</w:t>
                  </w:r>
                </w:p>
              </w:tc>
              <w:tc>
                <w:tcPr>
                  <w:tcW w:w="19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F4CD2E5">
                  <w:pPr>
                    <w:pStyle w:val="4"/>
                    <w:jc w:val="left"/>
                  </w:pPr>
                  <w:r>
                    <w:rPr>
                      <w:rFonts w:ascii="仿宋_GB2312" w:hAnsi="仿宋_GB2312" w:eastAsia="仿宋_GB2312" w:cs="仿宋_GB2312"/>
                      <w:sz w:val="21"/>
                    </w:rPr>
                    <w:t>a)应采用密码技术保证重要数据在传输过程中的保密性，包括但不限于数据鉴别、重要业务数据和重要个人信息等；</w:t>
                  </w:r>
                </w:p>
              </w:tc>
            </w:tr>
            <w:tr w14:paraId="29500E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8089E1B"/>
              </w:tc>
              <w:tc>
                <w:tcPr>
                  <w:tcW w:w="375" w:type="dxa"/>
                  <w:vMerge w:val="continue"/>
                  <w:tcBorders>
                    <w:top w:val="nil"/>
                    <w:left w:val="nil"/>
                    <w:bottom w:val="single" w:color="000000" w:sz="4" w:space="0"/>
                    <w:right w:val="single" w:color="000000" w:sz="4" w:space="0"/>
                  </w:tcBorders>
                </w:tcPr>
                <w:p w14:paraId="6C92508C"/>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4028B5">
                  <w:pPr>
                    <w:pStyle w:val="4"/>
                    <w:jc w:val="left"/>
                  </w:pPr>
                  <w:r>
                    <w:rPr>
                      <w:rFonts w:ascii="仿宋_GB2312" w:hAnsi="仿宋_GB2312" w:eastAsia="仿宋_GB2312" w:cs="仿宋_GB2312"/>
                      <w:sz w:val="21"/>
                    </w:rPr>
                    <w:t>b)应采用密码技术保证重要数据在存储过程中的保密性，包括但不限于数据鉴别、重要业务数据和重要个人信息等。</w:t>
                  </w:r>
                </w:p>
              </w:tc>
            </w:tr>
            <w:tr w14:paraId="30F941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D38A9B8"/>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FB98EF7">
                  <w:pPr>
                    <w:pStyle w:val="4"/>
                    <w:jc w:val="center"/>
                  </w:pPr>
                  <w:r>
                    <w:rPr>
                      <w:rFonts w:ascii="仿宋_GB2312" w:hAnsi="仿宋_GB2312" w:eastAsia="仿宋_GB2312" w:cs="仿宋_GB2312"/>
                      <w:sz w:val="21"/>
                    </w:rPr>
                    <w:t>数据备份和恢复</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6D8D61">
                  <w:pPr>
                    <w:pStyle w:val="4"/>
                    <w:jc w:val="left"/>
                  </w:pPr>
                  <w:r>
                    <w:rPr>
                      <w:rFonts w:ascii="仿宋_GB2312" w:hAnsi="仿宋_GB2312" w:eastAsia="仿宋_GB2312" w:cs="仿宋_GB2312"/>
                      <w:sz w:val="21"/>
                    </w:rPr>
                    <w:t>a)应提供重要数据的本地数据备份与恢复功能；</w:t>
                  </w:r>
                </w:p>
              </w:tc>
            </w:tr>
            <w:tr w14:paraId="74A87C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1DD4BC86"/>
              </w:tc>
              <w:tc>
                <w:tcPr>
                  <w:tcW w:w="375" w:type="dxa"/>
                  <w:vMerge w:val="continue"/>
                  <w:tcBorders>
                    <w:top w:val="nil"/>
                    <w:left w:val="nil"/>
                    <w:bottom w:val="single" w:color="000000" w:sz="4" w:space="0"/>
                    <w:right w:val="single" w:color="000000" w:sz="4" w:space="0"/>
                  </w:tcBorders>
                </w:tcPr>
                <w:p w14:paraId="646F0B78"/>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D3BAB1">
                  <w:pPr>
                    <w:pStyle w:val="4"/>
                    <w:jc w:val="left"/>
                  </w:pPr>
                  <w:r>
                    <w:rPr>
                      <w:rFonts w:ascii="仿宋_GB2312" w:hAnsi="仿宋_GB2312" w:eastAsia="仿宋_GB2312" w:cs="仿宋_GB2312"/>
                      <w:sz w:val="21"/>
                    </w:rPr>
                    <w:t>b)应提供异地实时备份功能，利用通信网络将重要数据实时备份至备用场地；</w:t>
                  </w:r>
                </w:p>
              </w:tc>
            </w:tr>
            <w:tr w14:paraId="51E4EF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11CBD0E"/>
              </w:tc>
              <w:tc>
                <w:tcPr>
                  <w:tcW w:w="375" w:type="dxa"/>
                  <w:vMerge w:val="continue"/>
                  <w:tcBorders>
                    <w:top w:val="nil"/>
                    <w:left w:val="nil"/>
                    <w:bottom w:val="single" w:color="000000" w:sz="4" w:space="0"/>
                    <w:right w:val="single" w:color="000000" w:sz="4" w:space="0"/>
                  </w:tcBorders>
                </w:tcPr>
                <w:p w14:paraId="21386BF5"/>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71310D">
                  <w:pPr>
                    <w:pStyle w:val="4"/>
                    <w:jc w:val="left"/>
                  </w:pPr>
                  <w:r>
                    <w:rPr>
                      <w:rFonts w:ascii="仿宋_GB2312" w:hAnsi="仿宋_GB2312" w:eastAsia="仿宋_GB2312" w:cs="仿宋_GB2312"/>
                      <w:sz w:val="21"/>
                    </w:rPr>
                    <w:t>c)应提供重要数据处理系统的热冗余，保证系统的高可用性。</w:t>
                  </w:r>
                </w:p>
              </w:tc>
            </w:tr>
            <w:tr w14:paraId="023D89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C9F3024"/>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CDB1501">
                  <w:pPr>
                    <w:pStyle w:val="4"/>
                    <w:jc w:val="center"/>
                  </w:pPr>
                  <w:r>
                    <w:rPr>
                      <w:rFonts w:ascii="仿宋_GB2312" w:hAnsi="仿宋_GB2312" w:eastAsia="仿宋_GB2312" w:cs="仿宋_GB2312"/>
                      <w:sz w:val="21"/>
                    </w:rPr>
                    <w:t>剩余信息保护</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04D851">
                  <w:pPr>
                    <w:pStyle w:val="4"/>
                    <w:jc w:val="left"/>
                  </w:pPr>
                  <w:r>
                    <w:rPr>
                      <w:rFonts w:ascii="仿宋_GB2312" w:hAnsi="仿宋_GB2312" w:eastAsia="仿宋_GB2312" w:cs="仿宋_GB2312"/>
                      <w:sz w:val="21"/>
                    </w:rPr>
                    <w:t>a)应保证鉴别信息所在的存储空间被释放或重新分配前得到完全清除；</w:t>
                  </w:r>
                </w:p>
              </w:tc>
            </w:tr>
            <w:tr w14:paraId="37BF4E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334E35F3"/>
              </w:tc>
              <w:tc>
                <w:tcPr>
                  <w:tcW w:w="375" w:type="dxa"/>
                  <w:vMerge w:val="continue"/>
                  <w:tcBorders>
                    <w:top w:val="nil"/>
                    <w:left w:val="nil"/>
                    <w:bottom w:val="single" w:color="000000" w:sz="4" w:space="0"/>
                    <w:right w:val="single" w:color="000000" w:sz="4" w:space="0"/>
                  </w:tcBorders>
                </w:tcPr>
                <w:p w14:paraId="53A3B176"/>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366A9B">
                  <w:pPr>
                    <w:pStyle w:val="4"/>
                    <w:jc w:val="left"/>
                  </w:pPr>
                  <w:r>
                    <w:rPr>
                      <w:rFonts w:ascii="仿宋_GB2312" w:hAnsi="仿宋_GB2312" w:eastAsia="仿宋_GB2312" w:cs="仿宋_GB2312"/>
                      <w:sz w:val="21"/>
                    </w:rPr>
                    <w:t>b)应保证存有敏感数据的存储空间被释放或重新分配前得到完全清除。</w:t>
                  </w:r>
                </w:p>
              </w:tc>
            </w:tr>
            <w:tr w14:paraId="10CF86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0D8E377"/>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C94CE7A">
                  <w:pPr>
                    <w:pStyle w:val="4"/>
                    <w:jc w:val="center"/>
                  </w:pPr>
                  <w:r>
                    <w:rPr>
                      <w:rFonts w:ascii="仿宋_GB2312" w:hAnsi="仿宋_GB2312" w:eastAsia="仿宋_GB2312" w:cs="仿宋_GB2312"/>
                      <w:sz w:val="21"/>
                    </w:rPr>
                    <w:t>个人信息保护</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7FAF3F">
                  <w:pPr>
                    <w:pStyle w:val="4"/>
                    <w:jc w:val="left"/>
                  </w:pPr>
                  <w:r>
                    <w:rPr>
                      <w:rFonts w:ascii="仿宋_GB2312" w:hAnsi="仿宋_GB2312" w:eastAsia="仿宋_GB2312" w:cs="仿宋_GB2312"/>
                      <w:sz w:val="21"/>
                    </w:rPr>
                    <w:t>a)应仅采集和保存业务必需的用户个人信息；</w:t>
                  </w:r>
                </w:p>
              </w:tc>
            </w:tr>
            <w:tr w14:paraId="62DC2B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6D168F7"/>
              </w:tc>
              <w:tc>
                <w:tcPr>
                  <w:tcW w:w="375" w:type="dxa"/>
                  <w:vMerge w:val="continue"/>
                  <w:tcBorders>
                    <w:top w:val="nil"/>
                    <w:left w:val="nil"/>
                    <w:bottom w:val="single" w:color="000000" w:sz="4" w:space="0"/>
                    <w:right w:val="single" w:color="000000" w:sz="4" w:space="0"/>
                  </w:tcBorders>
                </w:tcPr>
                <w:p w14:paraId="65501F48"/>
              </w:tc>
              <w:tc>
                <w:tcPr>
                  <w:tcW w:w="1906" w:type="dxa"/>
                  <w:tcBorders>
                    <w:top w:val="nil"/>
                    <w:left w:val="nil"/>
                    <w:bottom w:val="nil"/>
                    <w:right w:val="single" w:color="000000" w:sz="4" w:space="0"/>
                  </w:tcBorders>
                  <w:tcMar>
                    <w:top w:w="0" w:type="dxa"/>
                    <w:left w:w="105" w:type="dxa"/>
                    <w:bottom w:w="0" w:type="dxa"/>
                    <w:right w:w="105" w:type="dxa"/>
                  </w:tcMar>
                  <w:vAlign w:val="top"/>
                </w:tcPr>
                <w:p w14:paraId="27D0332B">
                  <w:pPr>
                    <w:pStyle w:val="4"/>
                    <w:jc w:val="left"/>
                  </w:pPr>
                  <w:r>
                    <w:rPr>
                      <w:rFonts w:ascii="仿宋_GB2312" w:hAnsi="仿宋_GB2312" w:eastAsia="仿宋_GB2312" w:cs="仿宋_GB2312"/>
                      <w:sz w:val="21"/>
                    </w:rPr>
                    <w:t>b)应禁止未授权访问和非法使用用户个人信息。</w:t>
                  </w:r>
                </w:p>
              </w:tc>
            </w:tr>
            <w:tr w14:paraId="0B6434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9993D3">
                  <w:pPr>
                    <w:pStyle w:val="4"/>
                    <w:jc w:val="center"/>
                  </w:pPr>
                  <w:r>
                    <w:rPr>
                      <w:rFonts w:ascii="仿宋_GB2312" w:hAnsi="仿宋_GB2312" w:eastAsia="仿宋_GB2312" w:cs="仿宋_GB2312"/>
                      <w:sz w:val="21"/>
                    </w:rPr>
                    <w:t>安全管理中心</w:t>
                  </w:r>
                </w:p>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CA41228">
                  <w:pPr>
                    <w:pStyle w:val="4"/>
                    <w:jc w:val="center"/>
                  </w:pPr>
                  <w:r>
                    <w:rPr>
                      <w:rFonts w:ascii="仿宋_GB2312" w:hAnsi="仿宋_GB2312" w:eastAsia="仿宋_GB2312" w:cs="仿宋_GB2312"/>
                      <w:sz w:val="21"/>
                    </w:rPr>
                    <w:t>系统管理</w:t>
                  </w:r>
                </w:p>
              </w:tc>
              <w:tc>
                <w:tcPr>
                  <w:tcW w:w="19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62C1958">
                  <w:pPr>
                    <w:pStyle w:val="4"/>
                    <w:jc w:val="left"/>
                  </w:pPr>
                  <w:r>
                    <w:rPr>
                      <w:rFonts w:ascii="仿宋_GB2312" w:hAnsi="仿宋_GB2312" w:eastAsia="仿宋_GB2312" w:cs="仿宋_GB2312"/>
                      <w:sz w:val="21"/>
                    </w:rPr>
                    <w:t>a)应对系统管理员进行身份鉴别，只允许其通过特 定的命令或操作界面进行系统管理操作，并对这些 操作进行审计；</w:t>
                  </w:r>
                </w:p>
              </w:tc>
            </w:tr>
            <w:tr w14:paraId="7C0F66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75AAA31"/>
              </w:tc>
              <w:tc>
                <w:tcPr>
                  <w:tcW w:w="375" w:type="dxa"/>
                  <w:vMerge w:val="continue"/>
                  <w:tcBorders>
                    <w:top w:val="nil"/>
                    <w:left w:val="nil"/>
                    <w:bottom w:val="single" w:color="000000" w:sz="4" w:space="0"/>
                    <w:right w:val="single" w:color="000000" w:sz="4" w:space="0"/>
                  </w:tcBorders>
                </w:tcPr>
                <w:p w14:paraId="68B054FF"/>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C16CAD">
                  <w:pPr>
                    <w:pStyle w:val="4"/>
                    <w:jc w:val="left"/>
                  </w:pPr>
                  <w:r>
                    <w:rPr>
                      <w:rFonts w:ascii="仿宋_GB2312" w:hAnsi="仿宋_GB2312" w:eastAsia="仿宋_GB2312" w:cs="仿宋_GB2312"/>
                      <w:sz w:val="21"/>
                    </w:rPr>
                    <w:t>b）应通过系统管理员对系统的资源和运行进行配置、控制和管理，包括用户身份，系统资源配置、系统加载和启动、系统运行的异常处理、数据和设备的备份与恢复等。</w:t>
                  </w:r>
                </w:p>
              </w:tc>
            </w:tr>
            <w:tr w14:paraId="66BB37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5EA51E9"/>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33DCE87">
                  <w:pPr>
                    <w:pStyle w:val="4"/>
                    <w:jc w:val="center"/>
                  </w:pPr>
                  <w:r>
                    <w:rPr>
                      <w:rFonts w:ascii="仿宋_GB2312" w:hAnsi="仿宋_GB2312" w:eastAsia="仿宋_GB2312" w:cs="仿宋_GB2312"/>
                      <w:sz w:val="21"/>
                    </w:rPr>
                    <w:t>审计管理</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2871E1">
                  <w:pPr>
                    <w:pStyle w:val="4"/>
                    <w:jc w:val="left"/>
                  </w:pPr>
                  <w:r>
                    <w:rPr>
                      <w:rFonts w:ascii="仿宋_GB2312" w:hAnsi="仿宋_GB2312" w:eastAsia="仿宋_GB2312" w:cs="仿宋_GB2312"/>
                      <w:sz w:val="21"/>
                    </w:rPr>
                    <w:t>a) 应对审计管理员进行身份鉴别，只允许其通过特定的命令或操作界面进行安全审计操作，并对这些操作进行审计；</w:t>
                  </w:r>
                </w:p>
              </w:tc>
            </w:tr>
            <w:tr w14:paraId="3E184B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7FD53B4"/>
              </w:tc>
              <w:tc>
                <w:tcPr>
                  <w:tcW w:w="375" w:type="dxa"/>
                  <w:vMerge w:val="continue"/>
                  <w:tcBorders>
                    <w:top w:val="nil"/>
                    <w:left w:val="nil"/>
                    <w:bottom w:val="single" w:color="000000" w:sz="4" w:space="0"/>
                    <w:right w:val="single" w:color="000000" w:sz="4" w:space="0"/>
                  </w:tcBorders>
                </w:tcPr>
                <w:p w14:paraId="4A3AF7E5"/>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694230">
                  <w:pPr>
                    <w:pStyle w:val="4"/>
                    <w:jc w:val="left"/>
                  </w:pPr>
                  <w:r>
                    <w:rPr>
                      <w:rFonts w:ascii="仿宋_GB2312" w:hAnsi="仿宋_GB2312" w:eastAsia="仿宋_GB2312" w:cs="仿宋_GB2312"/>
                      <w:sz w:val="21"/>
                    </w:rPr>
                    <w:t>b)应通过审计管理员对审计记录进行分析，并根据分析结果进行处理，包括根据安全审计策略对审计记录进行存储、管理和查询。</w:t>
                  </w:r>
                </w:p>
              </w:tc>
            </w:tr>
            <w:tr w14:paraId="2F3CD2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78CCADB"/>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644FBAC">
                  <w:pPr>
                    <w:pStyle w:val="4"/>
                    <w:jc w:val="center"/>
                  </w:pPr>
                  <w:r>
                    <w:rPr>
                      <w:rFonts w:ascii="仿宋_GB2312" w:hAnsi="仿宋_GB2312" w:eastAsia="仿宋_GB2312" w:cs="仿宋_GB2312"/>
                      <w:sz w:val="21"/>
                    </w:rPr>
                    <w:t>安全管理</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CEED4E">
                  <w:pPr>
                    <w:pStyle w:val="4"/>
                    <w:jc w:val="left"/>
                  </w:pPr>
                  <w:r>
                    <w:rPr>
                      <w:rFonts w:ascii="仿宋_GB2312" w:hAnsi="仿宋_GB2312" w:eastAsia="仿宋_GB2312" w:cs="仿宋_GB2312"/>
                      <w:sz w:val="21"/>
                    </w:rPr>
                    <w:t>a) 应对安全管理员进行身份鉴别，只允许通过特定的命令或操作界面进行安全管理操作，并对这些操作进行审计；</w:t>
                  </w:r>
                </w:p>
              </w:tc>
            </w:tr>
            <w:tr w14:paraId="48D917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96F72E6"/>
              </w:tc>
              <w:tc>
                <w:tcPr>
                  <w:tcW w:w="375" w:type="dxa"/>
                  <w:vMerge w:val="continue"/>
                  <w:tcBorders>
                    <w:top w:val="nil"/>
                    <w:left w:val="nil"/>
                    <w:bottom w:val="single" w:color="000000" w:sz="4" w:space="0"/>
                    <w:right w:val="single" w:color="000000" w:sz="4" w:space="0"/>
                  </w:tcBorders>
                </w:tcPr>
                <w:p w14:paraId="4B85C309"/>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765574">
                  <w:pPr>
                    <w:pStyle w:val="4"/>
                    <w:jc w:val="left"/>
                  </w:pPr>
                  <w:r>
                    <w:rPr>
                      <w:rFonts w:ascii="仿宋_GB2312" w:hAnsi="仿宋_GB2312" w:eastAsia="仿宋_GB2312" w:cs="仿宋_GB2312"/>
                      <w:sz w:val="21"/>
                    </w:rPr>
                    <w:t>b)应通过安全管理员对系统中的安全策略进行配置，包括安全参数的设置，主体，客体进行统一安全标识，对主体进行授权，配置安全可信验证策略等。</w:t>
                  </w:r>
                </w:p>
              </w:tc>
            </w:tr>
            <w:tr w14:paraId="4FEAD7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589288C"/>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0E8735A">
                  <w:pPr>
                    <w:pStyle w:val="4"/>
                    <w:jc w:val="center"/>
                  </w:pPr>
                  <w:r>
                    <w:rPr>
                      <w:rFonts w:ascii="仿宋_GB2312" w:hAnsi="仿宋_GB2312" w:eastAsia="仿宋_GB2312" w:cs="仿宋_GB2312"/>
                      <w:sz w:val="21"/>
                    </w:rPr>
                    <w:t>集中管控</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DB2CEE">
                  <w:pPr>
                    <w:pStyle w:val="4"/>
                    <w:jc w:val="left"/>
                  </w:pPr>
                  <w:r>
                    <w:rPr>
                      <w:rFonts w:ascii="仿宋_GB2312" w:hAnsi="仿宋_GB2312" w:eastAsia="仿宋_GB2312" w:cs="仿宋_GB2312"/>
                      <w:sz w:val="21"/>
                    </w:rPr>
                    <w:t>a) 应划分特定的管理区域，对分布在网络中的安全设备或安全组件进行管控；</w:t>
                  </w:r>
                </w:p>
              </w:tc>
            </w:tr>
            <w:tr w14:paraId="587420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9268A1C"/>
              </w:tc>
              <w:tc>
                <w:tcPr>
                  <w:tcW w:w="375" w:type="dxa"/>
                  <w:vMerge w:val="continue"/>
                  <w:tcBorders>
                    <w:top w:val="nil"/>
                    <w:left w:val="nil"/>
                    <w:bottom w:val="single" w:color="000000" w:sz="4" w:space="0"/>
                    <w:right w:val="single" w:color="000000" w:sz="4" w:space="0"/>
                  </w:tcBorders>
                </w:tcPr>
                <w:p w14:paraId="24A265E4"/>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EC0D7F">
                  <w:pPr>
                    <w:pStyle w:val="4"/>
                    <w:jc w:val="left"/>
                  </w:pPr>
                  <w:r>
                    <w:rPr>
                      <w:rFonts w:ascii="仿宋_GB2312" w:hAnsi="仿宋_GB2312" w:eastAsia="仿宋_GB2312" w:cs="仿宋_GB2312"/>
                      <w:sz w:val="21"/>
                    </w:rPr>
                    <w:t>b)应能够建立一条安全的信息传输路径，对网络中的安全设备或安全组件进行管理；</w:t>
                  </w:r>
                </w:p>
              </w:tc>
            </w:tr>
            <w:tr w14:paraId="4D1083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819DE90"/>
              </w:tc>
              <w:tc>
                <w:tcPr>
                  <w:tcW w:w="375" w:type="dxa"/>
                  <w:vMerge w:val="continue"/>
                  <w:tcBorders>
                    <w:top w:val="nil"/>
                    <w:left w:val="nil"/>
                    <w:bottom w:val="single" w:color="000000" w:sz="4" w:space="0"/>
                    <w:right w:val="single" w:color="000000" w:sz="4" w:space="0"/>
                  </w:tcBorders>
                </w:tcPr>
                <w:p w14:paraId="1D465229"/>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94738B">
                  <w:pPr>
                    <w:pStyle w:val="4"/>
                    <w:jc w:val="left"/>
                  </w:pPr>
                  <w:r>
                    <w:rPr>
                      <w:rFonts w:ascii="仿宋_GB2312" w:hAnsi="仿宋_GB2312" w:eastAsia="仿宋_GB2312" w:cs="仿宋_GB2312"/>
                      <w:sz w:val="21"/>
                    </w:rPr>
                    <w:t>c）应对网络链路、安全设备、网络设备和服务器等的运行状况进行集中监测；</w:t>
                  </w:r>
                </w:p>
              </w:tc>
            </w:tr>
            <w:tr w14:paraId="0C603F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5B5866D"/>
              </w:tc>
              <w:tc>
                <w:tcPr>
                  <w:tcW w:w="375" w:type="dxa"/>
                  <w:vMerge w:val="continue"/>
                  <w:tcBorders>
                    <w:top w:val="nil"/>
                    <w:left w:val="nil"/>
                    <w:bottom w:val="single" w:color="000000" w:sz="4" w:space="0"/>
                    <w:right w:val="single" w:color="000000" w:sz="4" w:space="0"/>
                  </w:tcBorders>
                </w:tcPr>
                <w:p w14:paraId="020F5633"/>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F9AA25">
                  <w:pPr>
                    <w:pStyle w:val="4"/>
                    <w:jc w:val="left"/>
                  </w:pPr>
                  <w:r>
                    <w:rPr>
                      <w:rFonts w:ascii="仿宋_GB2312" w:hAnsi="仿宋_GB2312" w:eastAsia="仿宋_GB2312" w:cs="仿宋_GB2312"/>
                      <w:sz w:val="21"/>
                    </w:rPr>
                    <w:t>d)应对分散在各个设备上的审计数据进行收集汇总和集中分析，并保证审计记录的留存时间符合法律法规要求；</w:t>
                  </w:r>
                </w:p>
              </w:tc>
            </w:tr>
            <w:tr w14:paraId="325E24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3EF5382"/>
              </w:tc>
              <w:tc>
                <w:tcPr>
                  <w:tcW w:w="375" w:type="dxa"/>
                  <w:vMerge w:val="continue"/>
                  <w:tcBorders>
                    <w:top w:val="nil"/>
                    <w:left w:val="nil"/>
                    <w:bottom w:val="single" w:color="000000" w:sz="4" w:space="0"/>
                    <w:right w:val="single" w:color="000000" w:sz="4" w:space="0"/>
                  </w:tcBorders>
                </w:tcPr>
                <w:p w14:paraId="7E66A081"/>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A85852">
                  <w:pPr>
                    <w:pStyle w:val="4"/>
                    <w:jc w:val="left"/>
                  </w:pPr>
                  <w:r>
                    <w:rPr>
                      <w:rFonts w:ascii="仿宋_GB2312" w:hAnsi="仿宋_GB2312" w:eastAsia="仿宋_GB2312" w:cs="仿宋_GB2312"/>
                      <w:sz w:val="21"/>
                    </w:rPr>
                    <w:t>e）应对安全策略、安全代码、补丁升级等安全事项进行集中管理；</w:t>
                  </w:r>
                </w:p>
              </w:tc>
            </w:tr>
            <w:tr w14:paraId="158479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5025050"/>
              </w:tc>
              <w:tc>
                <w:tcPr>
                  <w:tcW w:w="375" w:type="dxa"/>
                  <w:vMerge w:val="continue"/>
                  <w:tcBorders>
                    <w:top w:val="nil"/>
                    <w:left w:val="nil"/>
                    <w:bottom w:val="single" w:color="000000" w:sz="4" w:space="0"/>
                    <w:right w:val="single" w:color="000000" w:sz="4" w:space="0"/>
                  </w:tcBorders>
                </w:tcPr>
                <w:p w14:paraId="3DDF2B4D"/>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CC7DA0">
                  <w:pPr>
                    <w:pStyle w:val="4"/>
                    <w:jc w:val="left"/>
                  </w:pPr>
                  <w:r>
                    <w:rPr>
                      <w:rFonts w:ascii="仿宋_GB2312" w:hAnsi="仿宋_GB2312" w:eastAsia="仿宋_GB2312" w:cs="仿宋_GB2312"/>
                      <w:sz w:val="21"/>
                    </w:rPr>
                    <w:t>f）应能对网络中发生的各类安全事件进行识别报警和分析。</w:t>
                  </w:r>
                </w:p>
              </w:tc>
            </w:tr>
            <w:tr w14:paraId="56C4B8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B581CB">
                  <w:pPr>
                    <w:pStyle w:val="4"/>
                    <w:jc w:val="center"/>
                  </w:pPr>
                  <w:r>
                    <w:rPr>
                      <w:rFonts w:ascii="仿宋_GB2312" w:hAnsi="仿宋_GB2312" w:eastAsia="仿宋_GB2312" w:cs="仿宋_GB2312"/>
                      <w:sz w:val="21"/>
                    </w:rPr>
                    <w:t>安全管理制度</w:t>
                  </w:r>
                </w:p>
              </w:tc>
              <w:tc>
                <w:tcPr>
                  <w:tcW w:w="3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5702B0">
                  <w:pPr>
                    <w:pStyle w:val="4"/>
                    <w:jc w:val="center"/>
                  </w:pPr>
                  <w:r>
                    <w:rPr>
                      <w:rFonts w:ascii="仿宋_GB2312" w:hAnsi="仿宋_GB2312" w:eastAsia="仿宋_GB2312" w:cs="仿宋_GB2312"/>
                      <w:sz w:val="21"/>
                    </w:rPr>
                    <w:t>安全策略</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DA4550">
                  <w:pPr>
                    <w:pStyle w:val="4"/>
                    <w:jc w:val="left"/>
                  </w:pPr>
                  <w:r>
                    <w:rPr>
                      <w:rFonts w:ascii="仿宋_GB2312" w:hAnsi="仿宋_GB2312" w:eastAsia="仿宋_GB2312" w:cs="仿宋_GB2312"/>
                      <w:sz w:val="21"/>
                    </w:rPr>
                    <w:t>a）应制定网络安全工作的总体方针和安全策略，阐明机构安全工作的总体目标、范围、原则和安全框 架等。</w:t>
                  </w:r>
                </w:p>
              </w:tc>
            </w:tr>
            <w:tr w14:paraId="42891B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359B430"/>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57E8FF8">
                  <w:pPr>
                    <w:pStyle w:val="4"/>
                    <w:jc w:val="center"/>
                  </w:pPr>
                  <w:r>
                    <w:rPr>
                      <w:rFonts w:ascii="仿宋_GB2312" w:hAnsi="仿宋_GB2312" w:eastAsia="仿宋_GB2312" w:cs="仿宋_GB2312"/>
                      <w:sz w:val="21"/>
                    </w:rPr>
                    <w:t>管理制度</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C745EE">
                  <w:pPr>
                    <w:pStyle w:val="4"/>
                    <w:jc w:val="left"/>
                  </w:pPr>
                  <w:r>
                    <w:rPr>
                      <w:rFonts w:ascii="仿宋_GB2312" w:hAnsi="仿宋_GB2312" w:eastAsia="仿宋_GB2312" w:cs="仿宋_GB2312"/>
                      <w:sz w:val="21"/>
                    </w:rPr>
                    <w:t>a）应对安全管理活动中的各类管理内容建立安全管理制度;</w:t>
                  </w:r>
                </w:p>
              </w:tc>
            </w:tr>
            <w:tr w14:paraId="49A822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349BD9D5"/>
              </w:tc>
              <w:tc>
                <w:tcPr>
                  <w:tcW w:w="375" w:type="dxa"/>
                  <w:vMerge w:val="continue"/>
                  <w:tcBorders>
                    <w:top w:val="nil"/>
                    <w:left w:val="nil"/>
                    <w:bottom w:val="single" w:color="000000" w:sz="4" w:space="0"/>
                    <w:right w:val="single" w:color="000000" w:sz="4" w:space="0"/>
                  </w:tcBorders>
                </w:tcPr>
                <w:p w14:paraId="4B3C5BF9"/>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2549E4">
                  <w:pPr>
                    <w:pStyle w:val="4"/>
                    <w:jc w:val="left"/>
                  </w:pPr>
                  <w:r>
                    <w:rPr>
                      <w:rFonts w:ascii="仿宋_GB2312" w:hAnsi="仿宋_GB2312" w:eastAsia="仿宋_GB2312" w:cs="仿宋_GB2312"/>
                      <w:sz w:val="21"/>
                    </w:rPr>
                    <w:t>b）应对要求管理人员或操作人员执行的日常管理操作建立操作规程;</w:t>
                  </w:r>
                </w:p>
              </w:tc>
            </w:tr>
            <w:tr w14:paraId="74A67F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74F57D8"/>
              </w:tc>
              <w:tc>
                <w:tcPr>
                  <w:tcW w:w="375" w:type="dxa"/>
                  <w:vMerge w:val="continue"/>
                  <w:tcBorders>
                    <w:top w:val="nil"/>
                    <w:left w:val="nil"/>
                    <w:bottom w:val="single" w:color="000000" w:sz="4" w:space="0"/>
                    <w:right w:val="single" w:color="000000" w:sz="4" w:space="0"/>
                  </w:tcBorders>
                </w:tcPr>
                <w:p w14:paraId="5A95D392"/>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0D3668">
                  <w:pPr>
                    <w:pStyle w:val="4"/>
                    <w:jc w:val="left"/>
                  </w:pPr>
                  <w:r>
                    <w:rPr>
                      <w:rFonts w:ascii="仿宋_GB2312" w:hAnsi="仿宋_GB2312" w:eastAsia="仿宋_GB2312" w:cs="仿宋_GB2312"/>
                      <w:sz w:val="21"/>
                    </w:rPr>
                    <w:t>c）应形成由安全策略，管理制度，操作规程，记录表单等构成安全管理制度体系。</w:t>
                  </w:r>
                </w:p>
              </w:tc>
            </w:tr>
            <w:tr w14:paraId="15AD94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69EF701"/>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0F26D30">
                  <w:pPr>
                    <w:pStyle w:val="4"/>
                    <w:jc w:val="center"/>
                  </w:pPr>
                  <w:r>
                    <w:rPr>
                      <w:rFonts w:ascii="仿宋_GB2312" w:hAnsi="仿宋_GB2312" w:eastAsia="仿宋_GB2312" w:cs="仿宋_GB2312"/>
                      <w:sz w:val="21"/>
                    </w:rPr>
                    <w:t>制定和发布</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7B89E2">
                  <w:pPr>
                    <w:pStyle w:val="4"/>
                    <w:jc w:val="left"/>
                  </w:pPr>
                  <w:r>
                    <w:rPr>
                      <w:rFonts w:ascii="仿宋_GB2312" w:hAnsi="仿宋_GB2312" w:eastAsia="仿宋_GB2312" w:cs="仿宋_GB2312"/>
                      <w:sz w:val="21"/>
                    </w:rPr>
                    <w:t>a）应指定或授权专门的部门或人员负责安全管理制度的制定;</w:t>
                  </w:r>
                </w:p>
              </w:tc>
            </w:tr>
            <w:tr w14:paraId="1AF5FD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5EBB9D1"/>
              </w:tc>
              <w:tc>
                <w:tcPr>
                  <w:tcW w:w="375" w:type="dxa"/>
                  <w:vMerge w:val="continue"/>
                  <w:tcBorders>
                    <w:top w:val="nil"/>
                    <w:left w:val="nil"/>
                    <w:bottom w:val="single" w:color="000000" w:sz="4" w:space="0"/>
                    <w:right w:val="single" w:color="000000" w:sz="4" w:space="0"/>
                  </w:tcBorders>
                </w:tcPr>
                <w:p w14:paraId="2A513E41"/>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9373E1">
                  <w:pPr>
                    <w:pStyle w:val="4"/>
                    <w:jc w:val="left"/>
                  </w:pPr>
                  <w:r>
                    <w:rPr>
                      <w:rFonts w:ascii="仿宋_GB2312" w:hAnsi="仿宋_GB2312" w:eastAsia="仿宋_GB2312" w:cs="仿宋_GB2312"/>
                      <w:sz w:val="21"/>
                    </w:rPr>
                    <w:t>b）安全管理制度应通过正式、有效的方式发布，并进行版本控制.</w:t>
                  </w:r>
                </w:p>
              </w:tc>
            </w:tr>
            <w:tr w14:paraId="4EAB8D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CB78AC4"/>
              </w:tc>
              <w:tc>
                <w:tcPr>
                  <w:tcW w:w="3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164993">
                  <w:pPr>
                    <w:pStyle w:val="4"/>
                    <w:jc w:val="center"/>
                  </w:pPr>
                  <w:r>
                    <w:rPr>
                      <w:rFonts w:ascii="仿宋_GB2312" w:hAnsi="仿宋_GB2312" w:eastAsia="仿宋_GB2312" w:cs="仿宋_GB2312"/>
                      <w:sz w:val="21"/>
                    </w:rPr>
                    <w:t>评审和修订</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F3A9C4">
                  <w:pPr>
                    <w:pStyle w:val="4"/>
                    <w:jc w:val="left"/>
                  </w:pPr>
                  <w:r>
                    <w:rPr>
                      <w:rFonts w:ascii="仿宋_GB2312" w:hAnsi="仿宋_GB2312" w:eastAsia="仿宋_GB2312" w:cs="仿宋_GB2312"/>
                      <w:sz w:val="21"/>
                    </w:rPr>
                    <w:t>a）应定期对安全管理制度的合理性和适用性进行论证和审定，对存在不足或需要改进的安全管理制度进行修订。</w:t>
                  </w:r>
                </w:p>
              </w:tc>
            </w:tr>
            <w:tr w14:paraId="66709C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141C59">
                  <w:pPr>
                    <w:pStyle w:val="4"/>
                    <w:jc w:val="center"/>
                  </w:pPr>
                  <w:r>
                    <w:rPr>
                      <w:rFonts w:ascii="仿宋_GB2312" w:hAnsi="仿宋_GB2312" w:eastAsia="仿宋_GB2312" w:cs="仿宋_GB2312"/>
                      <w:sz w:val="21"/>
                    </w:rPr>
                    <w:t>安全管理机构</w:t>
                  </w:r>
                </w:p>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B746B3D">
                  <w:pPr>
                    <w:pStyle w:val="4"/>
                    <w:jc w:val="center"/>
                  </w:pPr>
                  <w:r>
                    <w:rPr>
                      <w:rFonts w:ascii="仿宋_GB2312" w:hAnsi="仿宋_GB2312" w:eastAsia="仿宋_GB2312" w:cs="仿宋_GB2312"/>
                      <w:sz w:val="21"/>
                    </w:rPr>
                    <w:t>岗位设置</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490AC3">
                  <w:pPr>
                    <w:pStyle w:val="4"/>
                    <w:jc w:val="left"/>
                  </w:pPr>
                  <w:r>
                    <w:rPr>
                      <w:rFonts w:ascii="仿宋_GB2312" w:hAnsi="仿宋_GB2312" w:eastAsia="仿宋_GB2312" w:cs="仿宋_GB2312"/>
                      <w:sz w:val="21"/>
                    </w:rPr>
                    <w:t>a）应成立指导和管理网络安全工作的委员会或领导小组，其最高领导由单位主管领导担任或授权；</w:t>
                  </w:r>
                </w:p>
              </w:tc>
            </w:tr>
            <w:tr w14:paraId="2F67D5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2A9EE9B"/>
              </w:tc>
              <w:tc>
                <w:tcPr>
                  <w:tcW w:w="375" w:type="dxa"/>
                  <w:vMerge w:val="continue"/>
                  <w:tcBorders>
                    <w:top w:val="nil"/>
                    <w:left w:val="nil"/>
                    <w:bottom w:val="single" w:color="000000" w:sz="4" w:space="0"/>
                    <w:right w:val="single" w:color="000000" w:sz="4" w:space="0"/>
                  </w:tcBorders>
                </w:tcPr>
                <w:p w14:paraId="73BE3F02"/>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9A0B8E">
                  <w:pPr>
                    <w:pStyle w:val="4"/>
                    <w:jc w:val="left"/>
                  </w:pPr>
                  <w:r>
                    <w:rPr>
                      <w:rFonts w:ascii="仿宋_GB2312" w:hAnsi="仿宋_GB2312" w:eastAsia="仿宋_GB2312" w:cs="仿宋_GB2312"/>
                      <w:sz w:val="21"/>
                    </w:rPr>
                    <w:t>b）应设立网络安全管理工作的职能部门，设立安全主管、安全管理各个方面的负责人岗位，并定义各负责人的职责；</w:t>
                  </w:r>
                </w:p>
              </w:tc>
            </w:tr>
            <w:tr w14:paraId="1EC703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DA52FFD"/>
              </w:tc>
              <w:tc>
                <w:tcPr>
                  <w:tcW w:w="375" w:type="dxa"/>
                  <w:vMerge w:val="continue"/>
                  <w:tcBorders>
                    <w:top w:val="nil"/>
                    <w:left w:val="nil"/>
                    <w:bottom w:val="single" w:color="000000" w:sz="4" w:space="0"/>
                    <w:right w:val="single" w:color="000000" w:sz="4" w:space="0"/>
                  </w:tcBorders>
                </w:tcPr>
                <w:p w14:paraId="754E4E5D"/>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6BE2A0">
                  <w:pPr>
                    <w:pStyle w:val="4"/>
                    <w:jc w:val="left"/>
                  </w:pPr>
                  <w:r>
                    <w:rPr>
                      <w:rFonts w:ascii="仿宋_GB2312" w:hAnsi="仿宋_GB2312" w:eastAsia="仿宋_GB2312" w:cs="仿宋_GB2312"/>
                      <w:sz w:val="21"/>
                    </w:rPr>
                    <w:t>c）应设立系统管理员、审计管理员、安全管理员等岗位，并定义部门及各个工作岗位的职责。</w:t>
                  </w:r>
                </w:p>
              </w:tc>
            </w:tr>
            <w:tr w14:paraId="3FE648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11420A8E"/>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DA57C54">
                  <w:pPr>
                    <w:pStyle w:val="4"/>
                    <w:jc w:val="center"/>
                  </w:pPr>
                  <w:r>
                    <w:rPr>
                      <w:rFonts w:ascii="仿宋_GB2312" w:hAnsi="仿宋_GB2312" w:eastAsia="仿宋_GB2312" w:cs="仿宋_GB2312"/>
                      <w:sz w:val="21"/>
                    </w:rPr>
                    <w:t>人员配备</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2160B5">
                  <w:pPr>
                    <w:pStyle w:val="4"/>
                    <w:jc w:val="left"/>
                  </w:pPr>
                  <w:r>
                    <w:rPr>
                      <w:rFonts w:ascii="仿宋_GB2312" w:hAnsi="仿宋_GB2312" w:eastAsia="仿宋_GB2312" w:cs="仿宋_GB2312"/>
                      <w:sz w:val="21"/>
                    </w:rPr>
                    <w:t>a）应配备一定数量的系统管理员、审计管理员、安全管理员等；</w:t>
                  </w:r>
                </w:p>
              </w:tc>
            </w:tr>
            <w:tr w14:paraId="485257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8C3C014"/>
              </w:tc>
              <w:tc>
                <w:tcPr>
                  <w:tcW w:w="375" w:type="dxa"/>
                  <w:vMerge w:val="continue"/>
                  <w:tcBorders>
                    <w:top w:val="nil"/>
                    <w:left w:val="nil"/>
                    <w:bottom w:val="single" w:color="000000" w:sz="4" w:space="0"/>
                    <w:right w:val="single" w:color="000000" w:sz="4" w:space="0"/>
                  </w:tcBorders>
                </w:tcPr>
                <w:p w14:paraId="7109B0F9"/>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DF443C">
                  <w:pPr>
                    <w:pStyle w:val="4"/>
                    <w:jc w:val="left"/>
                  </w:pPr>
                  <w:r>
                    <w:rPr>
                      <w:rFonts w:ascii="仿宋_GB2312" w:hAnsi="仿宋_GB2312" w:eastAsia="仿宋_GB2312" w:cs="仿宋_GB2312"/>
                      <w:sz w:val="21"/>
                    </w:rPr>
                    <w:t>b）应配备专职的安全管理员，不可兼任。</w:t>
                  </w:r>
                </w:p>
              </w:tc>
            </w:tr>
            <w:tr w14:paraId="368107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69375D7"/>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A3AFFA7">
                  <w:pPr>
                    <w:pStyle w:val="4"/>
                    <w:jc w:val="center"/>
                  </w:pPr>
                  <w:r>
                    <w:rPr>
                      <w:rFonts w:ascii="仿宋_GB2312" w:hAnsi="仿宋_GB2312" w:eastAsia="仿宋_GB2312" w:cs="仿宋_GB2312"/>
                      <w:sz w:val="21"/>
                    </w:rPr>
                    <w:t>授权和审批</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59E593">
                  <w:pPr>
                    <w:pStyle w:val="4"/>
                    <w:jc w:val="left"/>
                  </w:pPr>
                  <w:r>
                    <w:rPr>
                      <w:rFonts w:ascii="仿宋_GB2312" w:hAnsi="仿宋_GB2312" w:eastAsia="仿宋_GB2312" w:cs="仿宋_GB2312"/>
                      <w:sz w:val="21"/>
                    </w:rPr>
                    <w:t>a）应根据各个部门和岗位的职责明确授权审批事项、审批部门和批准人等；</w:t>
                  </w:r>
                </w:p>
              </w:tc>
            </w:tr>
            <w:tr w14:paraId="407FF3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33E9D1ED"/>
              </w:tc>
              <w:tc>
                <w:tcPr>
                  <w:tcW w:w="375" w:type="dxa"/>
                  <w:vMerge w:val="continue"/>
                  <w:tcBorders>
                    <w:top w:val="nil"/>
                    <w:left w:val="nil"/>
                    <w:bottom w:val="single" w:color="000000" w:sz="4" w:space="0"/>
                    <w:right w:val="single" w:color="000000" w:sz="4" w:space="0"/>
                  </w:tcBorders>
                </w:tcPr>
                <w:p w14:paraId="3FDEA11E"/>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E639F4">
                  <w:pPr>
                    <w:pStyle w:val="4"/>
                    <w:jc w:val="left"/>
                  </w:pPr>
                  <w:r>
                    <w:rPr>
                      <w:rFonts w:ascii="仿宋_GB2312" w:hAnsi="仿宋_GB2312" w:eastAsia="仿宋_GB2312" w:cs="仿宋_GB2312"/>
                      <w:sz w:val="21"/>
                    </w:rPr>
                    <w:t>b）应针对系统变更、重要操作、物理访问和系统接入等事项建立审批程序，按照审批程序执行审批过程，对重要活动建立逐级审批制度；</w:t>
                  </w:r>
                </w:p>
              </w:tc>
            </w:tr>
            <w:tr w14:paraId="39ED88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9820F89"/>
              </w:tc>
              <w:tc>
                <w:tcPr>
                  <w:tcW w:w="375" w:type="dxa"/>
                  <w:vMerge w:val="continue"/>
                  <w:tcBorders>
                    <w:top w:val="nil"/>
                    <w:left w:val="nil"/>
                    <w:bottom w:val="single" w:color="000000" w:sz="4" w:space="0"/>
                    <w:right w:val="single" w:color="000000" w:sz="4" w:space="0"/>
                  </w:tcBorders>
                </w:tcPr>
                <w:p w14:paraId="5C54292B"/>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BEF707">
                  <w:pPr>
                    <w:pStyle w:val="4"/>
                    <w:jc w:val="left"/>
                  </w:pPr>
                  <w:r>
                    <w:rPr>
                      <w:rFonts w:ascii="仿宋_GB2312" w:hAnsi="仿宋_GB2312" w:eastAsia="仿宋_GB2312" w:cs="仿宋_GB2312"/>
                      <w:sz w:val="21"/>
                    </w:rPr>
                    <w:t>c）应定期审查审批事项，及时更新授权和审批的项目、审批部门和审批人等信息。</w:t>
                  </w:r>
                </w:p>
              </w:tc>
            </w:tr>
            <w:tr w14:paraId="27FC62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F0E2A4F"/>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927B4C7">
                  <w:pPr>
                    <w:pStyle w:val="4"/>
                    <w:jc w:val="center"/>
                  </w:pPr>
                  <w:r>
                    <w:rPr>
                      <w:rFonts w:ascii="仿宋_GB2312" w:hAnsi="仿宋_GB2312" w:eastAsia="仿宋_GB2312" w:cs="仿宋_GB2312"/>
                      <w:sz w:val="21"/>
                    </w:rPr>
                    <w:t>沟通和合作</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36C876">
                  <w:pPr>
                    <w:pStyle w:val="4"/>
                    <w:jc w:val="left"/>
                  </w:pPr>
                  <w:r>
                    <w:rPr>
                      <w:rFonts w:ascii="仿宋_GB2312" w:hAnsi="仿宋_GB2312" w:eastAsia="仿宋_GB2312" w:cs="仿宋_GB2312"/>
                      <w:sz w:val="21"/>
                    </w:rPr>
                    <w:t>a）应加强各类管理人员、组织内部机构和网络安全管理部门之间的合作与沟通，定期召开协调会议，共同协作处理网络安全问题。；</w:t>
                  </w:r>
                </w:p>
              </w:tc>
            </w:tr>
            <w:tr w14:paraId="3FC2B8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FBCF60A"/>
              </w:tc>
              <w:tc>
                <w:tcPr>
                  <w:tcW w:w="375" w:type="dxa"/>
                  <w:vMerge w:val="continue"/>
                  <w:tcBorders>
                    <w:top w:val="nil"/>
                    <w:left w:val="nil"/>
                    <w:bottom w:val="single" w:color="000000" w:sz="4" w:space="0"/>
                    <w:right w:val="single" w:color="000000" w:sz="4" w:space="0"/>
                  </w:tcBorders>
                </w:tcPr>
                <w:p w14:paraId="3C659145"/>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FFC824">
                  <w:pPr>
                    <w:pStyle w:val="4"/>
                    <w:jc w:val="left"/>
                  </w:pPr>
                  <w:r>
                    <w:rPr>
                      <w:rFonts w:ascii="仿宋_GB2312" w:hAnsi="仿宋_GB2312" w:eastAsia="仿宋_GB2312" w:cs="仿宋_GB2312"/>
                      <w:sz w:val="21"/>
                    </w:rPr>
                    <w:t>b）应加强与网络安全职能部门、各类供应商、业界专家及安全组织的合作与沟通；</w:t>
                  </w:r>
                </w:p>
              </w:tc>
            </w:tr>
            <w:tr w14:paraId="294933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8BDDE08"/>
              </w:tc>
              <w:tc>
                <w:tcPr>
                  <w:tcW w:w="375" w:type="dxa"/>
                  <w:vMerge w:val="continue"/>
                  <w:tcBorders>
                    <w:top w:val="nil"/>
                    <w:left w:val="nil"/>
                    <w:bottom w:val="single" w:color="000000" w:sz="4" w:space="0"/>
                    <w:right w:val="single" w:color="000000" w:sz="4" w:space="0"/>
                  </w:tcBorders>
                </w:tcPr>
                <w:p w14:paraId="6D0D0A86"/>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0C3844">
                  <w:pPr>
                    <w:pStyle w:val="4"/>
                    <w:jc w:val="left"/>
                  </w:pPr>
                  <w:r>
                    <w:rPr>
                      <w:rFonts w:ascii="仿宋_GB2312" w:hAnsi="仿宋_GB2312" w:eastAsia="仿宋_GB2312" w:cs="仿宋_GB2312"/>
                      <w:sz w:val="21"/>
                    </w:rPr>
                    <w:t>c）应建立外联单位联系列表，包括外联单位名称、合作内容、联系人和联系方式等信息。</w:t>
                  </w:r>
                </w:p>
              </w:tc>
            </w:tr>
            <w:tr w14:paraId="3F4DA1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2DC9080"/>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E1BF0DA">
                  <w:pPr>
                    <w:pStyle w:val="4"/>
                    <w:jc w:val="center"/>
                  </w:pPr>
                  <w:r>
                    <w:rPr>
                      <w:rFonts w:ascii="仿宋_GB2312" w:hAnsi="仿宋_GB2312" w:eastAsia="仿宋_GB2312" w:cs="仿宋_GB2312"/>
                      <w:sz w:val="21"/>
                    </w:rPr>
                    <w:t>审核和检查</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172D0F">
                  <w:pPr>
                    <w:pStyle w:val="4"/>
                    <w:jc w:val="left"/>
                  </w:pPr>
                  <w:r>
                    <w:rPr>
                      <w:rFonts w:ascii="仿宋_GB2312" w:hAnsi="仿宋_GB2312" w:eastAsia="仿宋_GB2312" w:cs="仿宋_GB2312"/>
                      <w:sz w:val="21"/>
                    </w:rPr>
                    <w:t>a）应定期进行常规安全检查，检查内容包括系统日常运行、系统漏洞和数据备份等情况；</w:t>
                  </w:r>
                </w:p>
              </w:tc>
            </w:tr>
            <w:tr w14:paraId="51C82C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49BBFD4"/>
              </w:tc>
              <w:tc>
                <w:tcPr>
                  <w:tcW w:w="375" w:type="dxa"/>
                  <w:vMerge w:val="continue"/>
                  <w:tcBorders>
                    <w:top w:val="nil"/>
                    <w:left w:val="nil"/>
                    <w:bottom w:val="single" w:color="000000" w:sz="4" w:space="0"/>
                    <w:right w:val="single" w:color="000000" w:sz="4" w:space="0"/>
                  </w:tcBorders>
                </w:tcPr>
                <w:p w14:paraId="58308947"/>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894CCD">
                  <w:pPr>
                    <w:pStyle w:val="4"/>
                    <w:jc w:val="left"/>
                  </w:pPr>
                  <w:r>
                    <w:rPr>
                      <w:rFonts w:ascii="仿宋_GB2312" w:hAnsi="仿宋_GB2312" w:eastAsia="仿宋_GB2312" w:cs="仿宋_GB2312"/>
                      <w:sz w:val="21"/>
                    </w:rPr>
                    <w:t>b）应定期进行全面安全检查，检查内容包括现有安全技术措施的有效性、安全配置和安全策略的一致性，安全管理制度的执行情况等；</w:t>
                  </w:r>
                </w:p>
              </w:tc>
            </w:tr>
            <w:tr w14:paraId="313DFE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A3A083A"/>
              </w:tc>
              <w:tc>
                <w:tcPr>
                  <w:tcW w:w="375" w:type="dxa"/>
                  <w:vMerge w:val="continue"/>
                  <w:tcBorders>
                    <w:top w:val="nil"/>
                    <w:left w:val="nil"/>
                    <w:bottom w:val="single" w:color="000000" w:sz="4" w:space="0"/>
                    <w:right w:val="single" w:color="000000" w:sz="4" w:space="0"/>
                  </w:tcBorders>
                </w:tcPr>
                <w:p w14:paraId="6A9EF782"/>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0F024C">
                  <w:pPr>
                    <w:pStyle w:val="4"/>
                    <w:jc w:val="left"/>
                  </w:pPr>
                  <w:r>
                    <w:rPr>
                      <w:rFonts w:ascii="仿宋_GB2312" w:hAnsi="仿宋_GB2312" w:eastAsia="仿宋_GB2312" w:cs="仿宋_GB2312"/>
                      <w:sz w:val="21"/>
                    </w:rPr>
                    <w:t>c）应制定安全检查表格实施安全检查，汇总安全检查数据，形成安全检查报告，并对安全检查结果进行通报。</w:t>
                  </w:r>
                </w:p>
              </w:tc>
            </w:tr>
            <w:tr w14:paraId="77BB44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FC8D51">
                  <w:pPr>
                    <w:pStyle w:val="4"/>
                    <w:jc w:val="center"/>
                  </w:pPr>
                  <w:r>
                    <w:rPr>
                      <w:rFonts w:ascii="仿宋_GB2312" w:hAnsi="仿宋_GB2312" w:eastAsia="仿宋_GB2312" w:cs="仿宋_GB2312"/>
                      <w:sz w:val="21"/>
                    </w:rPr>
                    <w:t>安全管理人员</w:t>
                  </w:r>
                </w:p>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EF690A0">
                  <w:pPr>
                    <w:pStyle w:val="4"/>
                    <w:jc w:val="center"/>
                  </w:pPr>
                  <w:r>
                    <w:rPr>
                      <w:rFonts w:ascii="仿宋_GB2312" w:hAnsi="仿宋_GB2312" w:eastAsia="仿宋_GB2312" w:cs="仿宋_GB2312"/>
                      <w:sz w:val="21"/>
                    </w:rPr>
                    <w:t>人员录用</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C4AE79">
                  <w:pPr>
                    <w:pStyle w:val="4"/>
                    <w:jc w:val="left"/>
                  </w:pPr>
                  <w:r>
                    <w:rPr>
                      <w:rFonts w:ascii="仿宋_GB2312" w:hAnsi="仿宋_GB2312" w:eastAsia="仿宋_GB2312" w:cs="仿宋_GB2312"/>
                      <w:sz w:val="21"/>
                    </w:rPr>
                    <w:t>a）应指定或授权专门的部门或人员负责人员录用 ;</w:t>
                  </w:r>
                </w:p>
              </w:tc>
            </w:tr>
            <w:tr w14:paraId="10138C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326D93FF"/>
              </w:tc>
              <w:tc>
                <w:tcPr>
                  <w:tcW w:w="375" w:type="dxa"/>
                  <w:vMerge w:val="continue"/>
                  <w:tcBorders>
                    <w:top w:val="nil"/>
                    <w:left w:val="nil"/>
                    <w:bottom w:val="single" w:color="000000" w:sz="4" w:space="0"/>
                    <w:right w:val="single" w:color="000000" w:sz="4" w:space="0"/>
                  </w:tcBorders>
                </w:tcPr>
                <w:p w14:paraId="7D8C4873"/>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9CEB5E">
                  <w:pPr>
                    <w:pStyle w:val="4"/>
                    <w:jc w:val="left"/>
                  </w:pPr>
                  <w:r>
                    <w:rPr>
                      <w:rFonts w:ascii="仿宋_GB2312" w:hAnsi="仿宋_GB2312" w:eastAsia="仿宋_GB2312" w:cs="仿宋_GB2312"/>
                      <w:sz w:val="21"/>
                    </w:rPr>
                    <w:t>b）应对被录用人的身份、安全背景、专业资格或资质等进行审查， 对其所有的技术技能进行考核；</w:t>
                  </w:r>
                </w:p>
              </w:tc>
            </w:tr>
            <w:tr w14:paraId="65375C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CEAABBE"/>
              </w:tc>
              <w:tc>
                <w:tcPr>
                  <w:tcW w:w="375" w:type="dxa"/>
                  <w:vMerge w:val="continue"/>
                  <w:tcBorders>
                    <w:top w:val="nil"/>
                    <w:left w:val="nil"/>
                    <w:bottom w:val="single" w:color="000000" w:sz="4" w:space="0"/>
                    <w:right w:val="single" w:color="000000" w:sz="4" w:space="0"/>
                  </w:tcBorders>
                </w:tcPr>
                <w:p w14:paraId="51574F25"/>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E00D5B">
                  <w:pPr>
                    <w:pStyle w:val="4"/>
                    <w:jc w:val="left"/>
                  </w:pPr>
                  <w:r>
                    <w:rPr>
                      <w:rFonts w:ascii="仿宋_GB2312" w:hAnsi="仿宋_GB2312" w:eastAsia="仿宋_GB2312" w:cs="仿宋_GB2312"/>
                      <w:sz w:val="21"/>
                    </w:rPr>
                    <w:t>c）应与被录用人员签署保密协议，与关键岗位人员签署岗位责任协议。</w:t>
                  </w:r>
                </w:p>
              </w:tc>
            </w:tr>
            <w:tr w14:paraId="7CB07F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198E39FA"/>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4B4B74C">
                  <w:pPr>
                    <w:pStyle w:val="4"/>
                    <w:jc w:val="center"/>
                  </w:pPr>
                  <w:r>
                    <w:rPr>
                      <w:rFonts w:ascii="仿宋_GB2312" w:hAnsi="仿宋_GB2312" w:eastAsia="仿宋_GB2312" w:cs="仿宋_GB2312"/>
                      <w:sz w:val="21"/>
                    </w:rPr>
                    <w:t>人员离岗</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E7D05B">
                  <w:pPr>
                    <w:pStyle w:val="4"/>
                    <w:jc w:val="left"/>
                  </w:pPr>
                  <w:r>
                    <w:rPr>
                      <w:rFonts w:ascii="仿宋_GB2312" w:hAnsi="仿宋_GB2312" w:eastAsia="仿宋_GB2312" w:cs="仿宋_GB2312"/>
                      <w:sz w:val="21"/>
                    </w:rPr>
                    <w:t>a）应及时终止离岗人员的所有访问权限，取回各种身份证件、钥匙、徽章等以及机构提供的软硬件设备；</w:t>
                  </w:r>
                </w:p>
              </w:tc>
            </w:tr>
            <w:tr w14:paraId="5348F3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B8E0CC7"/>
              </w:tc>
              <w:tc>
                <w:tcPr>
                  <w:tcW w:w="375" w:type="dxa"/>
                  <w:vMerge w:val="continue"/>
                  <w:tcBorders>
                    <w:top w:val="nil"/>
                    <w:left w:val="nil"/>
                    <w:bottom w:val="single" w:color="000000" w:sz="4" w:space="0"/>
                    <w:right w:val="single" w:color="000000" w:sz="4" w:space="0"/>
                  </w:tcBorders>
                </w:tcPr>
                <w:p w14:paraId="4B91F02A"/>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08BEEA">
                  <w:pPr>
                    <w:pStyle w:val="4"/>
                    <w:jc w:val="left"/>
                  </w:pPr>
                  <w:r>
                    <w:rPr>
                      <w:rFonts w:ascii="仿宋_GB2312" w:hAnsi="仿宋_GB2312" w:eastAsia="仿宋_GB2312" w:cs="仿宋_GB2312"/>
                      <w:sz w:val="21"/>
                    </w:rPr>
                    <w:t>b）应办理严格的调离手续，并承诺调离后的保密义务方可离开。</w:t>
                  </w:r>
                </w:p>
              </w:tc>
            </w:tr>
            <w:tr w14:paraId="5E37FD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8F94FFC"/>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14C1E96">
                  <w:pPr>
                    <w:pStyle w:val="4"/>
                    <w:jc w:val="center"/>
                  </w:pPr>
                  <w:r>
                    <w:rPr>
                      <w:rFonts w:ascii="仿宋_GB2312" w:hAnsi="仿宋_GB2312" w:eastAsia="仿宋_GB2312" w:cs="仿宋_GB2312"/>
                      <w:sz w:val="21"/>
                    </w:rPr>
                    <w:t>安全意识教育和培训</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A5A64C">
                  <w:pPr>
                    <w:pStyle w:val="4"/>
                    <w:jc w:val="left"/>
                  </w:pPr>
                  <w:r>
                    <w:rPr>
                      <w:rFonts w:ascii="仿宋_GB2312" w:hAnsi="仿宋_GB2312" w:eastAsia="仿宋_GB2312" w:cs="仿宋_GB2312"/>
                      <w:sz w:val="21"/>
                    </w:rPr>
                    <w:t>a）应对各类人员进行安全意识教育和岗位技能培训，并告知相关的安全责任和惩戒措施；</w:t>
                  </w:r>
                </w:p>
              </w:tc>
            </w:tr>
            <w:tr w14:paraId="461B04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B611FD5"/>
              </w:tc>
              <w:tc>
                <w:tcPr>
                  <w:tcW w:w="375" w:type="dxa"/>
                  <w:vMerge w:val="continue"/>
                  <w:tcBorders>
                    <w:top w:val="nil"/>
                    <w:left w:val="nil"/>
                    <w:bottom w:val="single" w:color="000000" w:sz="4" w:space="0"/>
                    <w:right w:val="single" w:color="000000" w:sz="4" w:space="0"/>
                  </w:tcBorders>
                </w:tcPr>
                <w:p w14:paraId="28D21600"/>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7A80A8">
                  <w:pPr>
                    <w:pStyle w:val="4"/>
                    <w:jc w:val="left"/>
                  </w:pPr>
                  <w:r>
                    <w:rPr>
                      <w:rFonts w:ascii="仿宋_GB2312" w:hAnsi="仿宋_GB2312" w:eastAsia="仿宋_GB2312" w:cs="仿宋_GB2312"/>
                      <w:sz w:val="21"/>
                    </w:rPr>
                    <w:t>b）应针对不同岗位制定不同的培训计划，对安全基础知识，岗位操作规程等进行培训；</w:t>
                  </w:r>
                </w:p>
              </w:tc>
            </w:tr>
            <w:tr w14:paraId="3399CE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E315E8F"/>
              </w:tc>
              <w:tc>
                <w:tcPr>
                  <w:tcW w:w="375" w:type="dxa"/>
                  <w:vMerge w:val="continue"/>
                  <w:tcBorders>
                    <w:top w:val="nil"/>
                    <w:left w:val="nil"/>
                    <w:bottom w:val="single" w:color="000000" w:sz="4" w:space="0"/>
                    <w:right w:val="single" w:color="000000" w:sz="4" w:space="0"/>
                  </w:tcBorders>
                </w:tcPr>
                <w:p w14:paraId="28393C88"/>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CF1663">
                  <w:pPr>
                    <w:pStyle w:val="4"/>
                    <w:jc w:val="left"/>
                  </w:pPr>
                  <w:r>
                    <w:rPr>
                      <w:rFonts w:ascii="仿宋_GB2312" w:hAnsi="仿宋_GB2312" w:eastAsia="仿宋_GB2312" w:cs="仿宋_GB2312"/>
                      <w:sz w:val="21"/>
                    </w:rPr>
                    <w:t>c）应定期对不同岗位的人员进行技能考核。</w:t>
                  </w:r>
                </w:p>
              </w:tc>
            </w:tr>
            <w:tr w14:paraId="6F9E5D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AEE0BA5"/>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259B18D">
                  <w:pPr>
                    <w:pStyle w:val="4"/>
                    <w:jc w:val="center"/>
                  </w:pPr>
                  <w:r>
                    <w:rPr>
                      <w:rFonts w:ascii="仿宋_GB2312" w:hAnsi="仿宋_GB2312" w:eastAsia="仿宋_GB2312" w:cs="仿宋_GB2312"/>
                      <w:sz w:val="21"/>
                    </w:rPr>
                    <w:t>外部人员访问管理</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ADA2B5">
                  <w:pPr>
                    <w:pStyle w:val="4"/>
                    <w:jc w:val="left"/>
                  </w:pPr>
                  <w:r>
                    <w:rPr>
                      <w:rFonts w:ascii="仿宋_GB2312" w:hAnsi="仿宋_GB2312" w:eastAsia="仿宋_GB2312" w:cs="仿宋_GB2312"/>
                      <w:sz w:val="21"/>
                    </w:rPr>
                    <w:t>a）应在外部人员物理访问受控区域前先提出书面申请，批准后由专人全程陪同，并登记备案；</w:t>
                  </w:r>
                </w:p>
              </w:tc>
            </w:tr>
            <w:tr w14:paraId="4609D2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E5EEB6D"/>
              </w:tc>
              <w:tc>
                <w:tcPr>
                  <w:tcW w:w="375" w:type="dxa"/>
                  <w:vMerge w:val="continue"/>
                  <w:tcBorders>
                    <w:top w:val="nil"/>
                    <w:left w:val="nil"/>
                    <w:bottom w:val="single" w:color="000000" w:sz="4" w:space="0"/>
                    <w:right w:val="single" w:color="000000" w:sz="4" w:space="0"/>
                  </w:tcBorders>
                </w:tcPr>
                <w:p w14:paraId="71150874"/>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1AA4E4">
                  <w:pPr>
                    <w:pStyle w:val="4"/>
                    <w:jc w:val="left"/>
                  </w:pPr>
                  <w:r>
                    <w:rPr>
                      <w:rFonts w:ascii="仿宋_GB2312" w:hAnsi="仿宋_GB2312" w:eastAsia="仿宋_GB2312" w:cs="仿宋_GB2312"/>
                      <w:sz w:val="21"/>
                    </w:rPr>
                    <w:t>b）应在外部人员接入受控网络访问系统前先提出书面申请，批准后由专人开设账户，分配权限，并登记备案；</w:t>
                  </w:r>
                </w:p>
              </w:tc>
            </w:tr>
            <w:tr w14:paraId="359FFC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79C4AC4"/>
              </w:tc>
              <w:tc>
                <w:tcPr>
                  <w:tcW w:w="375" w:type="dxa"/>
                  <w:vMerge w:val="continue"/>
                  <w:tcBorders>
                    <w:top w:val="nil"/>
                    <w:left w:val="nil"/>
                    <w:bottom w:val="single" w:color="000000" w:sz="4" w:space="0"/>
                    <w:right w:val="single" w:color="000000" w:sz="4" w:space="0"/>
                  </w:tcBorders>
                </w:tcPr>
                <w:p w14:paraId="70E6CB1B"/>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9591BE">
                  <w:pPr>
                    <w:pStyle w:val="4"/>
                    <w:jc w:val="left"/>
                  </w:pPr>
                  <w:r>
                    <w:rPr>
                      <w:rFonts w:ascii="仿宋_GB2312" w:hAnsi="仿宋_GB2312" w:eastAsia="仿宋_GB2312" w:cs="仿宋_GB2312"/>
                      <w:sz w:val="21"/>
                    </w:rPr>
                    <w:t>c）外部人员离场后应及时清除其所有的访问权限；</w:t>
                  </w:r>
                </w:p>
              </w:tc>
            </w:tr>
            <w:tr w14:paraId="0E8F06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4F7B521"/>
              </w:tc>
              <w:tc>
                <w:tcPr>
                  <w:tcW w:w="375" w:type="dxa"/>
                  <w:vMerge w:val="continue"/>
                  <w:tcBorders>
                    <w:top w:val="nil"/>
                    <w:left w:val="nil"/>
                    <w:bottom w:val="single" w:color="000000" w:sz="4" w:space="0"/>
                    <w:right w:val="single" w:color="000000" w:sz="4" w:space="0"/>
                  </w:tcBorders>
                </w:tcPr>
                <w:p w14:paraId="5727CE66"/>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235A53">
                  <w:pPr>
                    <w:pStyle w:val="4"/>
                    <w:jc w:val="left"/>
                  </w:pPr>
                  <w:r>
                    <w:rPr>
                      <w:rFonts w:ascii="仿宋_GB2312" w:hAnsi="仿宋_GB2312" w:eastAsia="仿宋_GB2312" w:cs="仿宋_GB2312"/>
                      <w:sz w:val="21"/>
                    </w:rPr>
                    <w:t>d）获得系统访问授权的外部人员签署保密协议，不得进行非授权操作，不得复制和泄露敏感信息。</w:t>
                  </w:r>
                </w:p>
              </w:tc>
            </w:tr>
            <w:tr w14:paraId="67B8DE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BF6902">
                  <w:pPr>
                    <w:pStyle w:val="4"/>
                    <w:jc w:val="center"/>
                  </w:pPr>
                  <w:r>
                    <w:rPr>
                      <w:rFonts w:ascii="仿宋_GB2312" w:hAnsi="仿宋_GB2312" w:eastAsia="仿宋_GB2312" w:cs="仿宋_GB2312"/>
                      <w:sz w:val="21"/>
                    </w:rPr>
                    <w:t>安全建设管理</w:t>
                  </w:r>
                </w:p>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95219A8">
                  <w:pPr>
                    <w:pStyle w:val="4"/>
                    <w:jc w:val="center"/>
                  </w:pPr>
                  <w:r>
                    <w:rPr>
                      <w:rFonts w:ascii="仿宋_GB2312" w:hAnsi="仿宋_GB2312" w:eastAsia="仿宋_GB2312" w:cs="仿宋_GB2312"/>
                      <w:sz w:val="21"/>
                    </w:rPr>
                    <w:t>定级和备案</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86343F">
                  <w:pPr>
                    <w:pStyle w:val="4"/>
                    <w:jc w:val="left"/>
                  </w:pPr>
                  <w:r>
                    <w:rPr>
                      <w:rFonts w:ascii="仿宋_GB2312" w:hAnsi="仿宋_GB2312" w:eastAsia="仿宋_GB2312" w:cs="仿宋_GB2312"/>
                      <w:sz w:val="21"/>
                    </w:rPr>
                    <w:t>a）应以书面的形式说明保护对象的安全保护等级及确定安全保护等级的方法和理由；</w:t>
                  </w:r>
                </w:p>
              </w:tc>
            </w:tr>
            <w:tr w14:paraId="320BFB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C02D093"/>
              </w:tc>
              <w:tc>
                <w:tcPr>
                  <w:tcW w:w="375" w:type="dxa"/>
                  <w:vMerge w:val="continue"/>
                  <w:tcBorders>
                    <w:top w:val="nil"/>
                    <w:left w:val="nil"/>
                    <w:bottom w:val="single" w:color="000000" w:sz="4" w:space="0"/>
                    <w:right w:val="single" w:color="000000" w:sz="4" w:space="0"/>
                  </w:tcBorders>
                </w:tcPr>
                <w:p w14:paraId="32B7EF14"/>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62DC7F">
                  <w:pPr>
                    <w:pStyle w:val="4"/>
                    <w:jc w:val="left"/>
                  </w:pPr>
                  <w:r>
                    <w:rPr>
                      <w:rFonts w:ascii="仿宋_GB2312" w:hAnsi="仿宋_GB2312" w:eastAsia="仿宋_GB2312" w:cs="仿宋_GB2312"/>
                      <w:sz w:val="21"/>
                    </w:rPr>
                    <w:t>b）应组织相关部门和有关安全技术专家对定级结果的合理性和正确性进行论证和审定；</w:t>
                  </w:r>
                </w:p>
              </w:tc>
            </w:tr>
            <w:tr w14:paraId="7E0AC0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7E3D1D7"/>
              </w:tc>
              <w:tc>
                <w:tcPr>
                  <w:tcW w:w="375" w:type="dxa"/>
                  <w:vMerge w:val="continue"/>
                  <w:tcBorders>
                    <w:top w:val="nil"/>
                    <w:left w:val="nil"/>
                    <w:bottom w:val="single" w:color="000000" w:sz="4" w:space="0"/>
                    <w:right w:val="single" w:color="000000" w:sz="4" w:space="0"/>
                  </w:tcBorders>
                </w:tcPr>
                <w:p w14:paraId="2AB6EBF9"/>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096AA8">
                  <w:pPr>
                    <w:pStyle w:val="4"/>
                    <w:jc w:val="left"/>
                  </w:pPr>
                  <w:r>
                    <w:rPr>
                      <w:rFonts w:ascii="仿宋_GB2312" w:hAnsi="仿宋_GB2312" w:eastAsia="仿宋_GB2312" w:cs="仿宋_GB2312"/>
                      <w:sz w:val="21"/>
                    </w:rPr>
                    <w:t>c）应保证定级结果经过相关部门的批准；</w:t>
                  </w:r>
                </w:p>
              </w:tc>
            </w:tr>
            <w:tr w14:paraId="2AFA75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6A565E9"/>
              </w:tc>
              <w:tc>
                <w:tcPr>
                  <w:tcW w:w="375" w:type="dxa"/>
                  <w:vMerge w:val="continue"/>
                  <w:tcBorders>
                    <w:top w:val="nil"/>
                    <w:left w:val="nil"/>
                    <w:bottom w:val="single" w:color="000000" w:sz="4" w:space="0"/>
                    <w:right w:val="single" w:color="000000" w:sz="4" w:space="0"/>
                  </w:tcBorders>
                </w:tcPr>
                <w:p w14:paraId="081FF262"/>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8ACFB1">
                  <w:pPr>
                    <w:pStyle w:val="4"/>
                    <w:jc w:val="left"/>
                  </w:pPr>
                  <w:r>
                    <w:rPr>
                      <w:rFonts w:ascii="仿宋_GB2312" w:hAnsi="仿宋_GB2312" w:eastAsia="仿宋_GB2312" w:cs="仿宋_GB2312"/>
                      <w:sz w:val="21"/>
                    </w:rPr>
                    <w:t>d)应将备案材料报主管部门和相应公安机关备案</w:t>
                  </w:r>
                </w:p>
              </w:tc>
            </w:tr>
            <w:tr w14:paraId="1BAB38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75748D6"/>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F10FAA0">
                  <w:pPr>
                    <w:pStyle w:val="4"/>
                    <w:jc w:val="center"/>
                  </w:pPr>
                  <w:r>
                    <w:rPr>
                      <w:rFonts w:ascii="仿宋_GB2312" w:hAnsi="仿宋_GB2312" w:eastAsia="仿宋_GB2312" w:cs="仿宋_GB2312"/>
                      <w:sz w:val="21"/>
                    </w:rPr>
                    <w:t>安全方案设计</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CDC626">
                  <w:pPr>
                    <w:pStyle w:val="4"/>
                    <w:jc w:val="left"/>
                  </w:pPr>
                  <w:r>
                    <w:rPr>
                      <w:rFonts w:ascii="仿宋_GB2312" w:hAnsi="仿宋_GB2312" w:eastAsia="仿宋_GB2312" w:cs="仿宋_GB2312"/>
                      <w:sz w:val="21"/>
                    </w:rPr>
                    <w:t>a）应根据安全保护等级选择基本安全措施，依据风险分析的结果补充和调整安全措施；</w:t>
                  </w:r>
                </w:p>
              </w:tc>
            </w:tr>
            <w:tr w14:paraId="5B778B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994615C"/>
              </w:tc>
              <w:tc>
                <w:tcPr>
                  <w:tcW w:w="375" w:type="dxa"/>
                  <w:vMerge w:val="continue"/>
                  <w:tcBorders>
                    <w:top w:val="nil"/>
                    <w:left w:val="nil"/>
                    <w:bottom w:val="single" w:color="000000" w:sz="4" w:space="0"/>
                    <w:right w:val="single" w:color="000000" w:sz="4" w:space="0"/>
                  </w:tcBorders>
                </w:tcPr>
                <w:p w14:paraId="3B29596E"/>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822DCF">
                  <w:pPr>
                    <w:pStyle w:val="4"/>
                    <w:jc w:val="left"/>
                  </w:pPr>
                  <w:r>
                    <w:rPr>
                      <w:rFonts w:ascii="仿宋_GB2312" w:hAnsi="仿宋_GB2312" w:eastAsia="仿宋_GB2312" w:cs="仿宋_GB2312"/>
                      <w:sz w:val="21"/>
                    </w:rPr>
                    <w:t>b）应根据保护对象的安全保护等级及与其他级别对象的关系进行安全整体规划和安全方案设计，设计内容应包含密码技术相关内容、并形成配套文件；</w:t>
                  </w:r>
                </w:p>
              </w:tc>
            </w:tr>
            <w:tr w14:paraId="03DA15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7EDFD34"/>
              </w:tc>
              <w:tc>
                <w:tcPr>
                  <w:tcW w:w="375" w:type="dxa"/>
                  <w:vMerge w:val="continue"/>
                  <w:tcBorders>
                    <w:top w:val="nil"/>
                    <w:left w:val="nil"/>
                    <w:bottom w:val="single" w:color="000000" w:sz="4" w:space="0"/>
                    <w:right w:val="single" w:color="000000" w:sz="4" w:space="0"/>
                  </w:tcBorders>
                </w:tcPr>
                <w:p w14:paraId="4786AE77"/>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600A0C">
                  <w:pPr>
                    <w:pStyle w:val="4"/>
                    <w:jc w:val="left"/>
                  </w:pPr>
                  <w:r>
                    <w:rPr>
                      <w:rFonts w:ascii="仿宋_GB2312" w:hAnsi="仿宋_GB2312" w:eastAsia="仿宋_GB2312" w:cs="仿宋_GB2312"/>
                      <w:sz w:val="21"/>
                    </w:rPr>
                    <w:t>c）应组织相关部门和有关安全技术专家对整体安全规划及其配套文件的合理性和正确性进行论证和审定，经过批准后才能正式实施。</w:t>
                  </w:r>
                </w:p>
              </w:tc>
            </w:tr>
            <w:tr w14:paraId="7938AA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59DFB56"/>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0F907B1">
                  <w:pPr>
                    <w:pStyle w:val="4"/>
                    <w:jc w:val="center"/>
                  </w:pPr>
                  <w:r>
                    <w:rPr>
                      <w:rFonts w:ascii="仿宋_GB2312" w:hAnsi="仿宋_GB2312" w:eastAsia="仿宋_GB2312" w:cs="仿宋_GB2312"/>
                      <w:sz w:val="21"/>
                    </w:rPr>
                    <w:t>产品采购和使用</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CDB31D">
                  <w:pPr>
                    <w:pStyle w:val="4"/>
                    <w:jc w:val="left"/>
                  </w:pPr>
                  <w:r>
                    <w:rPr>
                      <w:rFonts w:ascii="仿宋_GB2312" w:hAnsi="仿宋_GB2312" w:eastAsia="仿宋_GB2312" w:cs="仿宋_GB2312"/>
                      <w:sz w:val="21"/>
                    </w:rPr>
                    <w:t>a）应确保网络安全产品采购和使用符合国家的有关规定；</w:t>
                  </w:r>
                </w:p>
              </w:tc>
            </w:tr>
            <w:tr w14:paraId="43D39B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E1D96A1"/>
              </w:tc>
              <w:tc>
                <w:tcPr>
                  <w:tcW w:w="375" w:type="dxa"/>
                  <w:vMerge w:val="continue"/>
                  <w:tcBorders>
                    <w:top w:val="nil"/>
                    <w:left w:val="nil"/>
                    <w:bottom w:val="single" w:color="000000" w:sz="4" w:space="0"/>
                    <w:right w:val="single" w:color="000000" w:sz="4" w:space="0"/>
                  </w:tcBorders>
                </w:tcPr>
                <w:p w14:paraId="05A7ADD4"/>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F96238">
                  <w:pPr>
                    <w:pStyle w:val="4"/>
                    <w:jc w:val="left"/>
                  </w:pPr>
                  <w:r>
                    <w:rPr>
                      <w:rFonts w:ascii="仿宋_GB2312" w:hAnsi="仿宋_GB2312" w:eastAsia="仿宋_GB2312" w:cs="仿宋_GB2312"/>
                      <w:sz w:val="21"/>
                    </w:rPr>
                    <w:t>b）应确保密码产品与服务的采购和使用符合国家密码管理主管部门的要求；</w:t>
                  </w:r>
                </w:p>
              </w:tc>
            </w:tr>
            <w:tr w14:paraId="2B00B2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231202E"/>
              </w:tc>
              <w:tc>
                <w:tcPr>
                  <w:tcW w:w="375" w:type="dxa"/>
                  <w:vMerge w:val="continue"/>
                  <w:tcBorders>
                    <w:top w:val="nil"/>
                    <w:left w:val="nil"/>
                    <w:bottom w:val="single" w:color="000000" w:sz="4" w:space="0"/>
                    <w:right w:val="single" w:color="000000" w:sz="4" w:space="0"/>
                  </w:tcBorders>
                </w:tcPr>
                <w:p w14:paraId="106977CC"/>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54C714">
                  <w:pPr>
                    <w:pStyle w:val="4"/>
                    <w:jc w:val="left"/>
                  </w:pPr>
                  <w:r>
                    <w:rPr>
                      <w:rFonts w:ascii="仿宋_GB2312" w:hAnsi="仿宋_GB2312" w:eastAsia="仿宋_GB2312" w:cs="仿宋_GB2312"/>
                      <w:sz w:val="21"/>
                    </w:rPr>
                    <w:t>c)应预先对产品进行选型测试，确定产品的候选范围，并定期审定和更新产品候选名单。</w:t>
                  </w:r>
                </w:p>
              </w:tc>
            </w:tr>
            <w:tr w14:paraId="1C2A79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3C8951BE"/>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C1EC2E2">
                  <w:pPr>
                    <w:pStyle w:val="4"/>
                    <w:jc w:val="center"/>
                  </w:pPr>
                  <w:r>
                    <w:rPr>
                      <w:rFonts w:ascii="仿宋_GB2312" w:hAnsi="仿宋_GB2312" w:eastAsia="仿宋_GB2312" w:cs="仿宋_GB2312"/>
                      <w:sz w:val="21"/>
                    </w:rPr>
                    <w:t>自行软件开发</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B5AA9C">
                  <w:pPr>
                    <w:pStyle w:val="4"/>
                    <w:jc w:val="left"/>
                  </w:pPr>
                  <w:r>
                    <w:rPr>
                      <w:rFonts w:ascii="仿宋_GB2312" w:hAnsi="仿宋_GB2312" w:eastAsia="仿宋_GB2312" w:cs="仿宋_GB2312"/>
                      <w:sz w:val="21"/>
                    </w:rPr>
                    <w:t>a）应将开发环境与实际运行环境物理分开，测试数据和测试结果受到控制；</w:t>
                  </w:r>
                </w:p>
              </w:tc>
            </w:tr>
            <w:tr w14:paraId="17AED3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124E3599"/>
              </w:tc>
              <w:tc>
                <w:tcPr>
                  <w:tcW w:w="375" w:type="dxa"/>
                  <w:vMerge w:val="continue"/>
                  <w:tcBorders>
                    <w:top w:val="nil"/>
                    <w:left w:val="nil"/>
                    <w:bottom w:val="single" w:color="000000" w:sz="4" w:space="0"/>
                    <w:right w:val="single" w:color="000000" w:sz="4" w:space="0"/>
                  </w:tcBorders>
                </w:tcPr>
                <w:p w14:paraId="5497DBA6"/>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C8C076">
                  <w:pPr>
                    <w:pStyle w:val="4"/>
                    <w:jc w:val="left"/>
                  </w:pPr>
                  <w:r>
                    <w:rPr>
                      <w:rFonts w:ascii="仿宋_GB2312" w:hAnsi="仿宋_GB2312" w:eastAsia="仿宋_GB2312" w:cs="仿宋_GB2312"/>
                      <w:sz w:val="21"/>
                    </w:rPr>
                    <w:t>b）应制定软件开发管理制度，明确说明开发过程的控制方法和人员行为准则；</w:t>
                  </w:r>
                </w:p>
              </w:tc>
            </w:tr>
            <w:tr w14:paraId="46C7D2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35EAADA8"/>
              </w:tc>
              <w:tc>
                <w:tcPr>
                  <w:tcW w:w="375" w:type="dxa"/>
                  <w:vMerge w:val="continue"/>
                  <w:tcBorders>
                    <w:top w:val="nil"/>
                    <w:left w:val="nil"/>
                    <w:bottom w:val="single" w:color="000000" w:sz="4" w:space="0"/>
                    <w:right w:val="single" w:color="000000" w:sz="4" w:space="0"/>
                  </w:tcBorders>
                </w:tcPr>
                <w:p w14:paraId="321EF897"/>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400197">
                  <w:pPr>
                    <w:pStyle w:val="4"/>
                    <w:jc w:val="left"/>
                  </w:pPr>
                  <w:r>
                    <w:rPr>
                      <w:rFonts w:ascii="仿宋_GB2312" w:hAnsi="仿宋_GB2312" w:eastAsia="仿宋_GB2312" w:cs="仿宋_GB2312"/>
                      <w:sz w:val="21"/>
                    </w:rPr>
                    <w:t>c）应制定代码编写安全规范，要求开发人员参照规范编写代码；</w:t>
                  </w:r>
                </w:p>
              </w:tc>
            </w:tr>
            <w:tr w14:paraId="1DAC37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14B9B0E8"/>
              </w:tc>
              <w:tc>
                <w:tcPr>
                  <w:tcW w:w="375" w:type="dxa"/>
                  <w:vMerge w:val="continue"/>
                  <w:tcBorders>
                    <w:top w:val="nil"/>
                    <w:left w:val="nil"/>
                    <w:bottom w:val="single" w:color="000000" w:sz="4" w:space="0"/>
                    <w:right w:val="single" w:color="000000" w:sz="4" w:space="0"/>
                  </w:tcBorders>
                </w:tcPr>
                <w:p w14:paraId="53FFFE12"/>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5923D0">
                  <w:pPr>
                    <w:pStyle w:val="4"/>
                    <w:jc w:val="left"/>
                  </w:pPr>
                  <w:r>
                    <w:rPr>
                      <w:rFonts w:ascii="仿宋_GB2312" w:hAnsi="仿宋_GB2312" w:eastAsia="仿宋_GB2312" w:cs="仿宋_GB2312"/>
                      <w:sz w:val="21"/>
                    </w:rPr>
                    <w:t>d）应具备软件设计的相关文档和使用指南，并对文档使用进行控制；</w:t>
                  </w:r>
                </w:p>
              </w:tc>
            </w:tr>
            <w:tr w14:paraId="79420B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4F3B729"/>
              </w:tc>
              <w:tc>
                <w:tcPr>
                  <w:tcW w:w="375" w:type="dxa"/>
                  <w:vMerge w:val="continue"/>
                  <w:tcBorders>
                    <w:top w:val="nil"/>
                    <w:left w:val="nil"/>
                    <w:bottom w:val="single" w:color="000000" w:sz="4" w:space="0"/>
                    <w:right w:val="single" w:color="000000" w:sz="4" w:space="0"/>
                  </w:tcBorders>
                </w:tcPr>
                <w:p w14:paraId="508A93E5"/>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96F4CC">
                  <w:pPr>
                    <w:pStyle w:val="4"/>
                    <w:jc w:val="left"/>
                  </w:pPr>
                  <w:r>
                    <w:rPr>
                      <w:rFonts w:ascii="仿宋_GB2312" w:hAnsi="仿宋_GB2312" w:eastAsia="仿宋_GB2312" w:cs="仿宋_GB2312"/>
                      <w:sz w:val="21"/>
                    </w:rPr>
                    <w:t>e）应保证在软件开发过程中对安全性进行测试，在软件安装前对可能存在的恶意代码进行检测；</w:t>
                  </w:r>
                </w:p>
              </w:tc>
            </w:tr>
            <w:tr w14:paraId="4B2524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A1B8C04"/>
              </w:tc>
              <w:tc>
                <w:tcPr>
                  <w:tcW w:w="375" w:type="dxa"/>
                  <w:vMerge w:val="continue"/>
                  <w:tcBorders>
                    <w:top w:val="nil"/>
                    <w:left w:val="nil"/>
                    <w:bottom w:val="single" w:color="000000" w:sz="4" w:space="0"/>
                    <w:right w:val="single" w:color="000000" w:sz="4" w:space="0"/>
                  </w:tcBorders>
                </w:tcPr>
                <w:p w14:paraId="3D93E979"/>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FD2CBB">
                  <w:pPr>
                    <w:pStyle w:val="4"/>
                    <w:jc w:val="left"/>
                  </w:pPr>
                  <w:r>
                    <w:rPr>
                      <w:rFonts w:ascii="仿宋_GB2312" w:hAnsi="仿宋_GB2312" w:eastAsia="仿宋_GB2312" w:cs="仿宋_GB2312"/>
                      <w:sz w:val="21"/>
                    </w:rPr>
                    <w:t>f）应对程序资源库的修改、更新，发布进行授权和批准，并严格进行版本控制；</w:t>
                  </w:r>
                </w:p>
              </w:tc>
            </w:tr>
            <w:tr w14:paraId="031F35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D28839B"/>
              </w:tc>
              <w:tc>
                <w:tcPr>
                  <w:tcW w:w="375" w:type="dxa"/>
                  <w:vMerge w:val="continue"/>
                  <w:tcBorders>
                    <w:top w:val="nil"/>
                    <w:left w:val="nil"/>
                    <w:bottom w:val="single" w:color="000000" w:sz="4" w:space="0"/>
                    <w:right w:val="single" w:color="000000" w:sz="4" w:space="0"/>
                  </w:tcBorders>
                </w:tcPr>
                <w:p w14:paraId="30080158"/>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2687ED">
                  <w:pPr>
                    <w:pStyle w:val="4"/>
                    <w:jc w:val="left"/>
                  </w:pPr>
                  <w:r>
                    <w:rPr>
                      <w:rFonts w:ascii="仿宋_GB2312" w:hAnsi="仿宋_GB2312" w:eastAsia="仿宋_GB2312" w:cs="仿宋_GB2312"/>
                      <w:sz w:val="21"/>
                    </w:rPr>
                    <w:t>g）应保证开发人员为专职人员，开发人员的开发活动受到控制，监视和审查。</w:t>
                  </w:r>
                </w:p>
              </w:tc>
            </w:tr>
            <w:tr w14:paraId="145F25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0D49E1B"/>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E4122BB">
                  <w:pPr>
                    <w:pStyle w:val="4"/>
                    <w:jc w:val="center"/>
                  </w:pPr>
                  <w:r>
                    <w:rPr>
                      <w:rFonts w:ascii="仿宋_GB2312" w:hAnsi="仿宋_GB2312" w:eastAsia="仿宋_GB2312" w:cs="仿宋_GB2312"/>
                      <w:sz w:val="21"/>
                    </w:rPr>
                    <w:t>外包软件开发</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86CCCA">
                  <w:pPr>
                    <w:pStyle w:val="4"/>
                    <w:jc w:val="left"/>
                  </w:pPr>
                  <w:r>
                    <w:rPr>
                      <w:rFonts w:ascii="仿宋_GB2312" w:hAnsi="仿宋_GB2312" w:eastAsia="仿宋_GB2312" w:cs="仿宋_GB2312"/>
                      <w:sz w:val="21"/>
                    </w:rPr>
                    <w:t>a）应在软件交付前检测其中可能存在的恶意代码；</w:t>
                  </w:r>
                </w:p>
              </w:tc>
            </w:tr>
            <w:tr w14:paraId="5A4831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D173D35"/>
              </w:tc>
              <w:tc>
                <w:tcPr>
                  <w:tcW w:w="375" w:type="dxa"/>
                  <w:vMerge w:val="continue"/>
                  <w:tcBorders>
                    <w:top w:val="nil"/>
                    <w:left w:val="nil"/>
                    <w:bottom w:val="single" w:color="000000" w:sz="4" w:space="0"/>
                    <w:right w:val="single" w:color="000000" w:sz="4" w:space="0"/>
                  </w:tcBorders>
                </w:tcPr>
                <w:p w14:paraId="0D4005AE"/>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39CC21">
                  <w:pPr>
                    <w:pStyle w:val="4"/>
                    <w:jc w:val="left"/>
                  </w:pPr>
                  <w:r>
                    <w:rPr>
                      <w:rFonts w:ascii="仿宋_GB2312" w:hAnsi="仿宋_GB2312" w:eastAsia="仿宋_GB2312" w:cs="仿宋_GB2312"/>
                      <w:sz w:val="21"/>
                    </w:rPr>
                    <w:t>b）应保证开发单位提供软件设计文档和使用指南；</w:t>
                  </w:r>
                </w:p>
              </w:tc>
            </w:tr>
            <w:tr w14:paraId="31CBC2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3D881619"/>
              </w:tc>
              <w:tc>
                <w:tcPr>
                  <w:tcW w:w="375" w:type="dxa"/>
                  <w:vMerge w:val="continue"/>
                  <w:tcBorders>
                    <w:top w:val="nil"/>
                    <w:left w:val="nil"/>
                    <w:bottom w:val="single" w:color="000000" w:sz="4" w:space="0"/>
                    <w:right w:val="single" w:color="000000" w:sz="4" w:space="0"/>
                  </w:tcBorders>
                </w:tcPr>
                <w:p w14:paraId="2E6BE65B"/>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765A87">
                  <w:pPr>
                    <w:pStyle w:val="4"/>
                    <w:jc w:val="left"/>
                  </w:pPr>
                  <w:r>
                    <w:rPr>
                      <w:rFonts w:ascii="仿宋_GB2312" w:hAnsi="仿宋_GB2312" w:eastAsia="仿宋_GB2312" w:cs="仿宋_GB2312"/>
                      <w:sz w:val="21"/>
                    </w:rPr>
                    <w:t>c）应保证开发单位提供软件源代码，并审查软件中可能存在的后面和隐蔽信道。</w:t>
                  </w:r>
                </w:p>
              </w:tc>
            </w:tr>
            <w:tr w14:paraId="6AEDC6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08B0F35"/>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A61BC60">
                  <w:pPr>
                    <w:pStyle w:val="4"/>
                    <w:jc w:val="center"/>
                  </w:pPr>
                  <w:r>
                    <w:rPr>
                      <w:rFonts w:ascii="仿宋_GB2312" w:hAnsi="仿宋_GB2312" w:eastAsia="仿宋_GB2312" w:cs="仿宋_GB2312"/>
                      <w:sz w:val="21"/>
                    </w:rPr>
                    <w:t>工程实施</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F84B80">
                  <w:pPr>
                    <w:pStyle w:val="4"/>
                    <w:jc w:val="left"/>
                  </w:pPr>
                  <w:r>
                    <w:rPr>
                      <w:rFonts w:ascii="仿宋_GB2312" w:hAnsi="仿宋_GB2312" w:eastAsia="仿宋_GB2312" w:cs="仿宋_GB2312"/>
                      <w:sz w:val="21"/>
                    </w:rPr>
                    <w:t>a）应指定或授权专门的部门或人员负责工程实施过程的管理；</w:t>
                  </w:r>
                </w:p>
              </w:tc>
            </w:tr>
            <w:tr w14:paraId="0F64E9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D6BE48E"/>
              </w:tc>
              <w:tc>
                <w:tcPr>
                  <w:tcW w:w="375" w:type="dxa"/>
                  <w:vMerge w:val="continue"/>
                  <w:tcBorders>
                    <w:top w:val="nil"/>
                    <w:left w:val="nil"/>
                    <w:bottom w:val="single" w:color="000000" w:sz="4" w:space="0"/>
                    <w:right w:val="single" w:color="000000" w:sz="4" w:space="0"/>
                  </w:tcBorders>
                </w:tcPr>
                <w:p w14:paraId="6289B0B5"/>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631970">
                  <w:pPr>
                    <w:pStyle w:val="4"/>
                    <w:jc w:val="left"/>
                  </w:pPr>
                  <w:r>
                    <w:rPr>
                      <w:rFonts w:ascii="仿宋_GB2312" w:hAnsi="仿宋_GB2312" w:eastAsia="仿宋_GB2312" w:cs="仿宋_GB2312"/>
                      <w:sz w:val="21"/>
                    </w:rPr>
                    <w:t>b）应制定安全工程实施方案控制实施过程；</w:t>
                  </w:r>
                </w:p>
              </w:tc>
            </w:tr>
            <w:tr w14:paraId="29ABDB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A806B4E"/>
              </w:tc>
              <w:tc>
                <w:tcPr>
                  <w:tcW w:w="375" w:type="dxa"/>
                  <w:vMerge w:val="continue"/>
                  <w:tcBorders>
                    <w:top w:val="nil"/>
                    <w:left w:val="nil"/>
                    <w:bottom w:val="single" w:color="000000" w:sz="4" w:space="0"/>
                    <w:right w:val="single" w:color="000000" w:sz="4" w:space="0"/>
                  </w:tcBorders>
                </w:tcPr>
                <w:p w14:paraId="62DEA002"/>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F5438C">
                  <w:pPr>
                    <w:pStyle w:val="4"/>
                    <w:jc w:val="left"/>
                  </w:pPr>
                  <w:r>
                    <w:rPr>
                      <w:rFonts w:ascii="仿宋_GB2312" w:hAnsi="仿宋_GB2312" w:eastAsia="仿宋_GB2312" w:cs="仿宋_GB2312"/>
                      <w:sz w:val="21"/>
                    </w:rPr>
                    <w:t>c）应通过第三方工程监理控制项目的实施过程。</w:t>
                  </w:r>
                </w:p>
              </w:tc>
            </w:tr>
            <w:tr w14:paraId="5410CA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EC0D579"/>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E521B45">
                  <w:pPr>
                    <w:pStyle w:val="4"/>
                    <w:jc w:val="center"/>
                  </w:pPr>
                  <w:r>
                    <w:rPr>
                      <w:rFonts w:ascii="仿宋_GB2312" w:hAnsi="仿宋_GB2312" w:eastAsia="仿宋_GB2312" w:cs="仿宋_GB2312"/>
                      <w:sz w:val="21"/>
                    </w:rPr>
                    <w:t>测试验收</w:t>
                  </w:r>
                </w:p>
              </w:tc>
              <w:tc>
                <w:tcPr>
                  <w:tcW w:w="190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9AC23D7">
                  <w:pPr>
                    <w:pStyle w:val="4"/>
                    <w:jc w:val="left"/>
                  </w:pPr>
                  <w:r>
                    <w:rPr>
                      <w:rFonts w:ascii="仿宋_GB2312" w:hAnsi="仿宋_GB2312" w:eastAsia="仿宋_GB2312" w:cs="仿宋_GB2312"/>
                      <w:sz w:val="21"/>
                    </w:rPr>
                    <w:t>a）应制订测试验收方案，并依据测试验收方案实施测试验收，形成测试验收报告；</w:t>
                  </w:r>
                </w:p>
              </w:tc>
            </w:tr>
            <w:tr w14:paraId="1C7B8F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F63EF59"/>
              </w:tc>
              <w:tc>
                <w:tcPr>
                  <w:tcW w:w="375" w:type="dxa"/>
                  <w:vMerge w:val="continue"/>
                  <w:tcBorders>
                    <w:top w:val="nil"/>
                    <w:left w:val="nil"/>
                    <w:bottom w:val="single" w:color="000000" w:sz="4" w:space="0"/>
                    <w:right w:val="single" w:color="000000" w:sz="4" w:space="0"/>
                  </w:tcBorders>
                </w:tcPr>
                <w:p w14:paraId="33EBE16C"/>
              </w:tc>
              <w:tc>
                <w:tcPr>
                  <w:tcW w:w="1906" w:type="dxa"/>
                  <w:vMerge w:val="continue"/>
                  <w:tcBorders>
                    <w:top w:val="nil"/>
                    <w:left w:val="nil"/>
                    <w:bottom w:val="single" w:color="000000" w:sz="4" w:space="0"/>
                    <w:right w:val="single" w:color="000000" w:sz="4" w:space="0"/>
                  </w:tcBorders>
                </w:tcPr>
                <w:p w14:paraId="5F4DCA47"/>
              </w:tc>
            </w:tr>
            <w:tr w14:paraId="5718C1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DFF0F8D"/>
              </w:tc>
              <w:tc>
                <w:tcPr>
                  <w:tcW w:w="375" w:type="dxa"/>
                  <w:vMerge w:val="continue"/>
                  <w:tcBorders>
                    <w:top w:val="nil"/>
                    <w:left w:val="nil"/>
                    <w:bottom w:val="single" w:color="000000" w:sz="4" w:space="0"/>
                    <w:right w:val="single" w:color="000000" w:sz="4" w:space="0"/>
                  </w:tcBorders>
                </w:tcPr>
                <w:p w14:paraId="0E18FBC0"/>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1DFD41">
                  <w:pPr>
                    <w:pStyle w:val="4"/>
                    <w:jc w:val="left"/>
                  </w:pPr>
                  <w:r>
                    <w:rPr>
                      <w:rFonts w:ascii="仿宋_GB2312" w:hAnsi="仿宋_GB2312" w:eastAsia="仿宋_GB2312" w:cs="仿宋_GB2312"/>
                      <w:sz w:val="21"/>
                    </w:rPr>
                    <w:t>b）应进行上线前的安全性测试，并出具安全测试报告，安全测试报告应包含密码应用安全性安全测试内容。</w:t>
                  </w:r>
                </w:p>
              </w:tc>
            </w:tr>
            <w:tr w14:paraId="0B1F1F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3BC3EDF"/>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48DBF76">
                  <w:pPr>
                    <w:pStyle w:val="4"/>
                    <w:jc w:val="center"/>
                  </w:pPr>
                  <w:r>
                    <w:rPr>
                      <w:rFonts w:ascii="仿宋_GB2312" w:hAnsi="仿宋_GB2312" w:eastAsia="仿宋_GB2312" w:cs="仿宋_GB2312"/>
                      <w:sz w:val="21"/>
                    </w:rPr>
                    <w:t>系统交付</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236BD1">
                  <w:pPr>
                    <w:pStyle w:val="4"/>
                    <w:jc w:val="left"/>
                  </w:pPr>
                  <w:r>
                    <w:rPr>
                      <w:rFonts w:ascii="仿宋_GB2312" w:hAnsi="仿宋_GB2312" w:eastAsia="仿宋_GB2312" w:cs="仿宋_GB2312"/>
                      <w:sz w:val="21"/>
                    </w:rPr>
                    <w:t>a）应制定交付清单，并根据交付清单对所交接的设备、软件和文档等进行清点；</w:t>
                  </w:r>
                </w:p>
              </w:tc>
            </w:tr>
            <w:tr w14:paraId="2ED65C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32D64681"/>
              </w:tc>
              <w:tc>
                <w:tcPr>
                  <w:tcW w:w="375" w:type="dxa"/>
                  <w:vMerge w:val="continue"/>
                  <w:tcBorders>
                    <w:top w:val="nil"/>
                    <w:left w:val="nil"/>
                    <w:bottom w:val="single" w:color="000000" w:sz="4" w:space="0"/>
                    <w:right w:val="single" w:color="000000" w:sz="4" w:space="0"/>
                  </w:tcBorders>
                </w:tcPr>
                <w:p w14:paraId="5596D049"/>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FA63AF">
                  <w:pPr>
                    <w:pStyle w:val="4"/>
                    <w:jc w:val="left"/>
                  </w:pPr>
                  <w:r>
                    <w:rPr>
                      <w:rFonts w:ascii="仿宋_GB2312" w:hAnsi="仿宋_GB2312" w:eastAsia="仿宋_GB2312" w:cs="仿宋_GB2312"/>
                      <w:sz w:val="21"/>
                    </w:rPr>
                    <w:t>b）应对负责系统运行维护的技术人员进行相应的技能培训；</w:t>
                  </w:r>
                </w:p>
              </w:tc>
            </w:tr>
            <w:tr w14:paraId="45F10F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170ACA1D"/>
              </w:tc>
              <w:tc>
                <w:tcPr>
                  <w:tcW w:w="375" w:type="dxa"/>
                  <w:vMerge w:val="continue"/>
                  <w:tcBorders>
                    <w:top w:val="nil"/>
                    <w:left w:val="nil"/>
                    <w:bottom w:val="single" w:color="000000" w:sz="4" w:space="0"/>
                    <w:right w:val="single" w:color="000000" w:sz="4" w:space="0"/>
                  </w:tcBorders>
                </w:tcPr>
                <w:p w14:paraId="44982754"/>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374CCE">
                  <w:pPr>
                    <w:pStyle w:val="4"/>
                    <w:jc w:val="left"/>
                  </w:pPr>
                  <w:r>
                    <w:rPr>
                      <w:rFonts w:ascii="仿宋_GB2312" w:hAnsi="仿宋_GB2312" w:eastAsia="仿宋_GB2312" w:cs="仿宋_GB2312"/>
                      <w:sz w:val="21"/>
                    </w:rPr>
                    <w:t>c）应提供建设过程文档和运行维护文档。</w:t>
                  </w:r>
                </w:p>
              </w:tc>
            </w:tr>
            <w:tr w14:paraId="39441B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F46CB17"/>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DAA87E6">
                  <w:pPr>
                    <w:pStyle w:val="4"/>
                    <w:jc w:val="center"/>
                  </w:pPr>
                  <w:r>
                    <w:rPr>
                      <w:rFonts w:ascii="仿宋_GB2312" w:hAnsi="仿宋_GB2312" w:eastAsia="仿宋_GB2312" w:cs="仿宋_GB2312"/>
                      <w:sz w:val="21"/>
                    </w:rPr>
                    <w:t>等级测评</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F9C46D">
                  <w:pPr>
                    <w:pStyle w:val="4"/>
                    <w:jc w:val="left"/>
                  </w:pPr>
                  <w:r>
                    <w:rPr>
                      <w:rFonts w:ascii="仿宋_GB2312" w:hAnsi="仿宋_GB2312" w:eastAsia="仿宋_GB2312" w:cs="仿宋_GB2312"/>
                      <w:sz w:val="21"/>
                    </w:rPr>
                    <w:t>a）应定期进行等级测评，发现不符合相应等级保护标准要求的及时整改；</w:t>
                  </w:r>
                </w:p>
              </w:tc>
            </w:tr>
            <w:tr w14:paraId="52EFDE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3FA38FA"/>
              </w:tc>
              <w:tc>
                <w:tcPr>
                  <w:tcW w:w="375" w:type="dxa"/>
                  <w:vMerge w:val="continue"/>
                  <w:tcBorders>
                    <w:top w:val="nil"/>
                    <w:left w:val="nil"/>
                    <w:bottom w:val="single" w:color="000000" w:sz="4" w:space="0"/>
                    <w:right w:val="single" w:color="000000" w:sz="4" w:space="0"/>
                  </w:tcBorders>
                </w:tcPr>
                <w:p w14:paraId="4EB1FB86"/>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4F07DA">
                  <w:pPr>
                    <w:pStyle w:val="4"/>
                    <w:jc w:val="left"/>
                  </w:pPr>
                  <w:r>
                    <w:rPr>
                      <w:rFonts w:ascii="仿宋_GB2312" w:hAnsi="仿宋_GB2312" w:eastAsia="仿宋_GB2312" w:cs="仿宋_GB2312"/>
                      <w:sz w:val="21"/>
                    </w:rPr>
                    <w:t>b）在发生重大变化或级别发生时进行等级测评；</w:t>
                  </w:r>
                </w:p>
              </w:tc>
            </w:tr>
            <w:tr w14:paraId="39F2C4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BB7661B"/>
              </w:tc>
              <w:tc>
                <w:tcPr>
                  <w:tcW w:w="375" w:type="dxa"/>
                  <w:vMerge w:val="continue"/>
                  <w:tcBorders>
                    <w:top w:val="nil"/>
                    <w:left w:val="nil"/>
                    <w:bottom w:val="single" w:color="000000" w:sz="4" w:space="0"/>
                    <w:right w:val="single" w:color="000000" w:sz="4" w:space="0"/>
                  </w:tcBorders>
                </w:tcPr>
                <w:p w14:paraId="217B841B"/>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FC8A2B">
                  <w:pPr>
                    <w:pStyle w:val="4"/>
                    <w:jc w:val="left"/>
                  </w:pPr>
                  <w:r>
                    <w:rPr>
                      <w:rFonts w:ascii="仿宋_GB2312" w:hAnsi="仿宋_GB2312" w:eastAsia="仿宋_GB2312" w:cs="仿宋_GB2312"/>
                      <w:sz w:val="21"/>
                    </w:rPr>
                    <w:t>c）应确保测评机构的选择符合国家相关规定。</w:t>
                  </w:r>
                </w:p>
              </w:tc>
            </w:tr>
            <w:tr w14:paraId="7963CB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79D2261"/>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3D810C2">
                  <w:pPr>
                    <w:pStyle w:val="4"/>
                    <w:jc w:val="center"/>
                  </w:pPr>
                  <w:r>
                    <w:rPr>
                      <w:rFonts w:ascii="仿宋_GB2312" w:hAnsi="仿宋_GB2312" w:eastAsia="仿宋_GB2312" w:cs="仿宋_GB2312"/>
                      <w:sz w:val="21"/>
                    </w:rPr>
                    <w:t>服务供应商管理</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213FA1">
                  <w:pPr>
                    <w:pStyle w:val="4"/>
                    <w:jc w:val="left"/>
                  </w:pPr>
                  <w:r>
                    <w:rPr>
                      <w:rFonts w:ascii="仿宋_GB2312" w:hAnsi="仿宋_GB2312" w:eastAsia="仿宋_GB2312" w:cs="仿宋_GB2312"/>
                      <w:sz w:val="21"/>
                    </w:rPr>
                    <w:t>a）应确保服务供应商的选择符合国家的有关规定；</w:t>
                  </w:r>
                </w:p>
              </w:tc>
            </w:tr>
            <w:tr w14:paraId="3B1091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C49DC5D"/>
              </w:tc>
              <w:tc>
                <w:tcPr>
                  <w:tcW w:w="375" w:type="dxa"/>
                  <w:vMerge w:val="continue"/>
                  <w:tcBorders>
                    <w:top w:val="nil"/>
                    <w:left w:val="nil"/>
                    <w:bottom w:val="single" w:color="000000" w:sz="4" w:space="0"/>
                    <w:right w:val="single" w:color="000000" w:sz="4" w:space="0"/>
                  </w:tcBorders>
                </w:tcPr>
                <w:p w14:paraId="249DA1CB"/>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2A3ACF">
                  <w:pPr>
                    <w:pStyle w:val="4"/>
                    <w:jc w:val="left"/>
                  </w:pPr>
                  <w:r>
                    <w:rPr>
                      <w:rFonts w:ascii="仿宋_GB2312" w:hAnsi="仿宋_GB2312" w:eastAsia="仿宋_GB2312" w:cs="仿宋_GB2312"/>
                      <w:sz w:val="21"/>
                    </w:rPr>
                    <w:t>b）应与选定的供应商签订相关协议，明确整个服务供应链各方需履行的网络安全相关义务；</w:t>
                  </w:r>
                </w:p>
              </w:tc>
            </w:tr>
            <w:tr w14:paraId="62A45C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109FDB1F"/>
              </w:tc>
              <w:tc>
                <w:tcPr>
                  <w:tcW w:w="375" w:type="dxa"/>
                  <w:vMerge w:val="continue"/>
                  <w:tcBorders>
                    <w:top w:val="nil"/>
                    <w:left w:val="nil"/>
                    <w:bottom w:val="single" w:color="000000" w:sz="4" w:space="0"/>
                    <w:right w:val="single" w:color="000000" w:sz="4" w:space="0"/>
                  </w:tcBorders>
                </w:tcPr>
                <w:p w14:paraId="0029FBE3"/>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602ACD">
                  <w:pPr>
                    <w:pStyle w:val="4"/>
                    <w:jc w:val="left"/>
                  </w:pPr>
                  <w:r>
                    <w:rPr>
                      <w:rFonts w:ascii="仿宋_GB2312" w:hAnsi="仿宋_GB2312" w:eastAsia="仿宋_GB2312" w:cs="仿宋_GB2312"/>
                      <w:sz w:val="21"/>
                    </w:rPr>
                    <w:t>c）应定期监督、评审和审核服务供应商提供的服务，并对其变更服务进行控制。</w:t>
                  </w:r>
                </w:p>
              </w:tc>
            </w:tr>
            <w:tr w14:paraId="55048A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263329">
                  <w:pPr>
                    <w:pStyle w:val="4"/>
                    <w:jc w:val="center"/>
                  </w:pPr>
                  <w:r>
                    <w:rPr>
                      <w:rFonts w:ascii="仿宋_GB2312" w:hAnsi="仿宋_GB2312" w:eastAsia="仿宋_GB2312" w:cs="仿宋_GB2312"/>
                      <w:sz w:val="21"/>
                    </w:rPr>
                    <w:t>安全运维管理</w:t>
                  </w:r>
                </w:p>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589195D">
                  <w:pPr>
                    <w:pStyle w:val="4"/>
                    <w:jc w:val="center"/>
                  </w:pPr>
                  <w:r>
                    <w:rPr>
                      <w:rFonts w:ascii="仿宋_GB2312" w:hAnsi="仿宋_GB2312" w:eastAsia="仿宋_GB2312" w:cs="仿宋_GB2312"/>
                      <w:sz w:val="21"/>
                    </w:rPr>
                    <w:t>环境管理</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7F9304">
                  <w:pPr>
                    <w:pStyle w:val="4"/>
                    <w:jc w:val="left"/>
                  </w:pPr>
                  <w:r>
                    <w:rPr>
                      <w:rFonts w:ascii="仿宋_GB2312" w:hAnsi="仿宋_GB2312" w:eastAsia="仿宋_GB2312" w:cs="仿宋_GB2312"/>
                      <w:sz w:val="21"/>
                    </w:rPr>
                    <w:t>a）应指定专门的部门或人员负责机房安全，对机房出入进行管理， 定期对机房供配电、空调、温湿度  控制、消防等设施进行维护管理；</w:t>
                  </w:r>
                </w:p>
              </w:tc>
            </w:tr>
            <w:tr w14:paraId="61DAD1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4A9B4CF"/>
              </w:tc>
              <w:tc>
                <w:tcPr>
                  <w:tcW w:w="375" w:type="dxa"/>
                  <w:vMerge w:val="continue"/>
                  <w:tcBorders>
                    <w:top w:val="nil"/>
                    <w:left w:val="nil"/>
                    <w:bottom w:val="single" w:color="000000" w:sz="4" w:space="0"/>
                    <w:right w:val="single" w:color="000000" w:sz="4" w:space="0"/>
                  </w:tcBorders>
                </w:tcPr>
                <w:p w14:paraId="3BFB39B6"/>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B5D490">
                  <w:pPr>
                    <w:pStyle w:val="4"/>
                    <w:jc w:val="left"/>
                  </w:pPr>
                  <w:r>
                    <w:rPr>
                      <w:rFonts w:ascii="仿宋_GB2312" w:hAnsi="仿宋_GB2312" w:eastAsia="仿宋_GB2312" w:cs="仿宋_GB2312"/>
                      <w:sz w:val="21"/>
                    </w:rPr>
                    <w:t>b）应建立机房安全管理制度，对有关物理访问，物品带进带出和环境安全等方面的管理作出规定；</w:t>
                  </w:r>
                </w:p>
              </w:tc>
            </w:tr>
            <w:tr w14:paraId="361E5B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C5F567B"/>
              </w:tc>
              <w:tc>
                <w:tcPr>
                  <w:tcW w:w="375" w:type="dxa"/>
                  <w:vMerge w:val="continue"/>
                  <w:tcBorders>
                    <w:top w:val="nil"/>
                    <w:left w:val="nil"/>
                    <w:bottom w:val="single" w:color="000000" w:sz="4" w:space="0"/>
                    <w:right w:val="single" w:color="000000" w:sz="4" w:space="0"/>
                  </w:tcBorders>
                </w:tcPr>
                <w:p w14:paraId="5CBA8D05"/>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EEF0BC">
                  <w:pPr>
                    <w:pStyle w:val="4"/>
                    <w:jc w:val="left"/>
                  </w:pPr>
                  <w:r>
                    <w:rPr>
                      <w:rFonts w:ascii="仿宋_GB2312" w:hAnsi="仿宋_GB2312" w:eastAsia="仿宋_GB2312" w:cs="仿宋_GB2312"/>
                      <w:sz w:val="21"/>
                    </w:rPr>
                    <w:t>c）应不在重要区域接待来访人员，不随意放置包含敏感信息的纸质文件和移动介质。</w:t>
                  </w:r>
                </w:p>
              </w:tc>
            </w:tr>
            <w:tr w14:paraId="3354C1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AAC10D8"/>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2395486">
                  <w:pPr>
                    <w:pStyle w:val="4"/>
                    <w:jc w:val="center"/>
                  </w:pPr>
                  <w:r>
                    <w:rPr>
                      <w:rFonts w:ascii="仿宋_GB2312" w:hAnsi="仿宋_GB2312" w:eastAsia="仿宋_GB2312" w:cs="仿宋_GB2312"/>
                      <w:sz w:val="21"/>
                    </w:rPr>
                    <w:t>资产管理</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42AB5F">
                  <w:pPr>
                    <w:pStyle w:val="4"/>
                    <w:jc w:val="left"/>
                  </w:pPr>
                  <w:r>
                    <w:rPr>
                      <w:rFonts w:ascii="仿宋_GB2312" w:hAnsi="仿宋_GB2312" w:eastAsia="仿宋_GB2312" w:cs="仿宋_GB2312"/>
                      <w:sz w:val="21"/>
                    </w:rPr>
                    <w:t>a）应编制并保存与信息系统相关的资产清单，包括资产责任部门、重要程度和所处位置等内容；</w:t>
                  </w:r>
                </w:p>
              </w:tc>
            </w:tr>
            <w:tr w14:paraId="717D2A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58EE9A7"/>
              </w:tc>
              <w:tc>
                <w:tcPr>
                  <w:tcW w:w="375" w:type="dxa"/>
                  <w:vMerge w:val="continue"/>
                  <w:tcBorders>
                    <w:top w:val="nil"/>
                    <w:left w:val="nil"/>
                    <w:bottom w:val="single" w:color="000000" w:sz="4" w:space="0"/>
                    <w:right w:val="single" w:color="000000" w:sz="4" w:space="0"/>
                  </w:tcBorders>
                </w:tcPr>
                <w:p w14:paraId="1B4B5365"/>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5BF86A">
                  <w:pPr>
                    <w:pStyle w:val="4"/>
                    <w:jc w:val="left"/>
                  </w:pPr>
                  <w:r>
                    <w:rPr>
                      <w:rFonts w:ascii="仿宋_GB2312" w:hAnsi="仿宋_GB2312" w:eastAsia="仿宋_GB2312" w:cs="仿宋_GB2312"/>
                      <w:sz w:val="21"/>
                    </w:rPr>
                    <w:t>b）应根据资产的重要程度对资产进行标识管理，根据资产的价值选择相应的管理措施；</w:t>
                  </w:r>
                </w:p>
              </w:tc>
            </w:tr>
            <w:tr w14:paraId="7B981B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B3696FD"/>
              </w:tc>
              <w:tc>
                <w:tcPr>
                  <w:tcW w:w="375" w:type="dxa"/>
                  <w:vMerge w:val="continue"/>
                  <w:tcBorders>
                    <w:top w:val="nil"/>
                    <w:left w:val="nil"/>
                    <w:bottom w:val="single" w:color="000000" w:sz="4" w:space="0"/>
                    <w:right w:val="single" w:color="000000" w:sz="4" w:space="0"/>
                  </w:tcBorders>
                </w:tcPr>
                <w:p w14:paraId="1861163F"/>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05D235">
                  <w:pPr>
                    <w:pStyle w:val="4"/>
                    <w:jc w:val="left"/>
                  </w:pPr>
                  <w:r>
                    <w:rPr>
                      <w:rFonts w:ascii="仿宋_GB2312" w:hAnsi="仿宋_GB2312" w:eastAsia="仿宋_GB2312" w:cs="仿宋_GB2312"/>
                      <w:sz w:val="21"/>
                    </w:rPr>
                    <w:t>c）应对信息分类与标识方法做出规定，并对信息的使用，传输和存储等进行规范化管理。</w:t>
                  </w:r>
                </w:p>
              </w:tc>
            </w:tr>
            <w:tr w14:paraId="62670E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B82684F"/>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FBFAF61">
                  <w:pPr>
                    <w:pStyle w:val="4"/>
                    <w:jc w:val="center"/>
                  </w:pPr>
                  <w:r>
                    <w:rPr>
                      <w:rFonts w:ascii="仿宋_GB2312" w:hAnsi="仿宋_GB2312" w:eastAsia="仿宋_GB2312" w:cs="仿宋_GB2312"/>
                      <w:sz w:val="21"/>
                    </w:rPr>
                    <w:t>介质管理</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6BC8A9">
                  <w:pPr>
                    <w:pStyle w:val="4"/>
                    <w:jc w:val="left"/>
                  </w:pPr>
                  <w:r>
                    <w:rPr>
                      <w:rFonts w:ascii="仿宋_GB2312" w:hAnsi="仿宋_GB2312" w:eastAsia="仿宋_GB2312" w:cs="仿宋_GB2312"/>
                      <w:sz w:val="21"/>
                    </w:rPr>
                    <w:t>a）应将介质存放在安全的环境中，对各类介质进行控制和保护，实行存储环境专人管理并根据存档介质的目录清单定期盘点；</w:t>
                  </w:r>
                </w:p>
              </w:tc>
            </w:tr>
            <w:tr w14:paraId="20F57C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35110BC3"/>
              </w:tc>
              <w:tc>
                <w:tcPr>
                  <w:tcW w:w="375" w:type="dxa"/>
                  <w:vMerge w:val="continue"/>
                  <w:tcBorders>
                    <w:top w:val="nil"/>
                    <w:left w:val="nil"/>
                    <w:bottom w:val="single" w:color="000000" w:sz="4" w:space="0"/>
                    <w:right w:val="single" w:color="000000" w:sz="4" w:space="0"/>
                  </w:tcBorders>
                </w:tcPr>
                <w:p w14:paraId="1810CF42"/>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23FB62">
                  <w:pPr>
                    <w:pStyle w:val="4"/>
                    <w:jc w:val="left"/>
                  </w:pPr>
                  <w:r>
                    <w:rPr>
                      <w:rFonts w:ascii="仿宋_GB2312" w:hAnsi="仿宋_GB2312" w:eastAsia="仿宋_GB2312" w:cs="仿宋_GB2312"/>
                      <w:sz w:val="21"/>
                    </w:rPr>
                    <w:t>b）应对介质在物理传输过程中的人员选择、打包、交付等情况进行控制，并对介质归档和查询等进行登记记录。</w:t>
                  </w:r>
                </w:p>
              </w:tc>
            </w:tr>
            <w:tr w14:paraId="56325A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35F7245"/>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59C12AB">
                  <w:pPr>
                    <w:pStyle w:val="4"/>
                    <w:jc w:val="center"/>
                  </w:pPr>
                  <w:r>
                    <w:rPr>
                      <w:rFonts w:ascii="仿宋_GB2312" w:hAnsi="仿宋_GB2312" w:eastAsia="仿宋_GB2312" w:cs="仿宋_GB2312"/>
                      <w:sz w:val="21"/>
                    </w:rPr>
                    <w:t>设备维护管理</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BA0834">
                  <w:pPr>
                    <w:pStyle w:val="4"/>
                    <w:jc w:val="left"/>
                  </w:pPr>
                  <w:r>
                    <w:rPr>
                      <w:rFonts w:ascii="仿宋_GB2312" w:hAnsi="仿宋_GB2312" w:eastAsia="仿宋_GB2312" w:cs="仿宋_GB2312"/>
                      <w:sz w:val="21"/>
                    </w:rPr>
                    <w:t>a）应对各种设备（包括备份和冗余设备）、线路等指定专门的部门或人员定期进行维护管理；</w:t>
                  </w:r>
                </w:p>
              </w:tc>
            </w:tr>
            <w:tr w14:paraId="7FFD67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DE3C79B"/>
              </w:tc>
              <w:tc>
                <w:tcPr>
                  <w:tcW w:w="375" w:type="dxa"/>
                  <w:vMerge w:val="continue"/>
                  <w:tcBorders>
                    <w:top w:val="nil"/>
                    <w:left w:val="nil"/>
                    <w:bottom w:val="single" w:color="000000" w:sz="4" w:space="0"/>
                    <w:right w:val="single" w:color="000000" w:sz="4" w:space="0"/>
                  </w:tcBorders>
                </w:tcPr>
                <w:p w14:paraId="31A59BAF"/>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16C756">
                  <w:pPr>
                    <w:pStyle w:val="4"/>
                    <w:jc w:val="left"/>
                  </w:pPr>
                  <w:r>
                    <w:rPr>
                      <w:rFonts w:ascii="仿宋_GB2312" w:hAnsi="仿宋_GB2312" w:eastAsia="仿宋_GB2312" w:cs="仿宋_GB2312"/>
                      <w:sz w:val="21"/>
                    </w:rPr>
                    <w:t>b）应建立配套设施、软硬件维护方面的管理制度，对其维护进行有效的管理，包括明确维护人员的责任、维修和服务的审批、维修过程的监督控制等；</w:t>
                  </w:r>
                </w:p>
              </w:tc>
            </w:tr>
            <w:tr w14:paraId="69EBC9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643829B"/>
              </w:tc>
              <w:tc>
                <w:tcPr>
                  <w:tcW w:w="375" w:type="dxa"/>
                  <w:vMerge w:val="continue"/>
                  <w:tcBorders>
                    <w:top w:val="nil"/>
                    <w:left w:val="nil"/>
                    <w:bottom w:val="single" w:color="000000" w:sz="4" w:space="0"/>
                    <w:right w:val="single" w:color="000000" w:sz="4" w:space="0"/>
                  </w:tcBorders>
                </w:tcPr>
                <w:p w14:paraId="463DFB96"/>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29297F">
                  <w:pPr>
                    <w:pStyle w:val="4"/>
                    <w:jc w:val="left"/>
                  </w:pPr>
                  <w:r>
                    <w:rPr>
                      <w:rFonts w:ascii="仿宋_GB2312" w:hAnsi="仿宋_GB2312" w:eastAsia="仿宋_GB2312" w:cs="仿宋_GB2312"/>
                      <w:sz w:val="21"/>
                    </w:rPr>
                    <w:t>c）信息处理设备应经过审批才能带离机房或办公地点，含有储存介质的设备带出工作环境时其重要数据应加密；</w:t>
                  </w:r>
                </w:p>
              </w:tc>
            </w:tr>
            <w:tr w14:paraId="664985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51DDE8E"/>
              </w:tc>
              <w:tc>
                <w:tcPr>
                  <w:tcW w:w="375" w:type="dxa"/>
                  <w:vMerge w:val="continue"/>
                  <w:tcBorders>
                    <w:top w:val="nil"/>
                    <w:left w:val="nil"/>
                    <w:bottom w:val="single" w:color="000000" w:sz="4" w:space="0"/>
                    <w:right w:val="single" w:color="000000" w:sz="4" w:space="0"/>
                  </w:tcBorders>
                </w:tcPr>
                <w:p w14:paraId="69F1324C"/>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02CD42">
                  <w:pPr>
                    <w:pStyle w:val="4"/>
                    <w:jc w:val="left"/>
                  </w:pPr>
                  <w:r>
                    <w:rPr>
                      <w:rFonts w:ascii="仿宋_GB2312" w:hAnsi="仿宋_GB2312" w:eastAsia="仿宋_GB2312" w:cs="仿宋_GB2312"/>
                      <w:sz w:val="21"/>
                    </w:rPr>
                    <w:t>d）含有存储介质的设备在报废或重用前，应进行完全清除或完全覆盖，保证该设备上的敏感数据和授权软件无法被恢复重用。</w:t>
                  </w:r>
                </w:p>
              </w:tc>
            </w:tr>
            <w:tr w14:paraId="7296A3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03109A5"/>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9D7F424">
                  <w:pPr>
                    <w:pStyle w:val="4"/>
                    <w:jc w:val="center"/>
                  </w:pPr>
                  <w:r>
                    <w:rPr>
                      <w:rFonts w:ascii="仿宋_GB2312" w:hAnsi="仿宋_GB2312" w:eastAsia="仿宋_GB2312" w:cs="仿宋_GB2312"/>
                      <w:sz w:val="21"/>
                    </w:rPr>
                    <w:t>漏洞和风险管理</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F86B45">
                  <w:pPr>
                    <w:pStyle w:val="4"/>
                    <w:jc w:val="left"/>
                  </w:pPr>
                  <w:r>
                    <w:rPr>
                      <w:rFonts w:ascii="仿宋_GB2312" w:hAnsi="仿宋_GB2312" w:eastAsia="仿宋_GB2312" w:cs="仿宋_GB2312"/>
                      <w:sz w:val="21"/>
                    </w:rPr>
                    <w:t>a）应采取必要的措施识别安全漏洞和隐患，对发现 的安全漏洞和隐患及时进行修补或评估可能的影响  后进行修补；</w:t>
                  </w:r>
                </w:p>
              </w:tc>
            </w:tr>
            <w:tr w14:paraId="2FFFC8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E4E1708"/>
              </w:tc>
              <w:tc>
                <w:tcPr>
                  <w:tcW w:w="375" w:type="dxa"/>
                  <w:vMerge w:val="continue"/>
                  <w:tcBorders>
                    <w:top w:val="nil"/>
                    <w:left w:val="nil"/>
                    <w:bottom w:val="single" w:color="000000" w:sz="4" w:space="0"/>
                    <w:right w:val="single" w:color="000000" w:sz="4" w:space="0"/>
                  </w:tcBorders>
                </w:tcPr>
                <w:p w14:paraId="3FF9C2D5"/>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6EBC10">
                  <w:pPr>
                    <w:pStyle w:val="4"/>
                    <w:jc w:val="left"/>
                  </w:pPr>
                  <w:r>
                    <w:rPr>
                      <w:rFonts w:ascii="仿宋_GB2312" w:hAnsi="仿宋_GB2312" w:eastAsia="仿宋_GB2312" w:cs="仿宋_GB2312"/>
                      <w:sz w:val="21"/>
                    </w:rPr>
                    <w:t>b)应定期开展安全测评，形成安全测评报告，采取措施应对发现的安全问题。</w:t>
                  </w:r>
                </w:p>
              </w:tc>
            </w:tr>
            <w:tr w14:paraId="5BAA6C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752BB6C"/>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7375B0F">
                  <w:pPr>
                    <w:pStyle w:val="4"/>
                    <w:jc w:val="center"/>
                  </w:pPr>
                  <w:r>
                    <w:rPr>
                      <w:rFonts w:ascii="仿宋_GB2312" w:hAnsi="仿宋_GB2312" w:eastAsia="仿宋_GB2312" w:cs="仿宋_GB2312"/>
                      <w:sz w:val="21"/>
                    </w:rPr>
                    <w:t>网络和系统安全管理</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81591F">
                  <w:pPr>
                    <w:pStyle w:val="4"/>
                    <w:jc w:val="left"/>
                  </w:pPr>
                  <w:r>
                    <w:rPr>
                      <w:rFonts w:ascii="仿宋_GB2312" w:hAnsi="仿宋_GB2312" w:eastAsia="仿宋_GB2312" w:cs="仿宋_GB2312"/>
                      <w:sz w:val="21"/>
                    </w:rPr>
                    <w:t>a）应划分不同的管理员角色进行网络和系统的运维管理，明确各个角色的责任和权限；</w:t>
                  </w:r>
                </w:p>
              </w:tc>
            </w:tr>
            <w:tr w14:paraId="2AB489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129C7E9E"/>
              </w:tc>
              <w:tc>
                <w:tcPr>
                  <w:tcW w:w="375" w:type="dxa"/>
                  <w:vMerge w:val="continue"/>
                  <w:tcBorders>
                    <w:top w:val="nil"/>
                    <w:left w:val="nil"/>
                    <w:bottom w:val="single" w:color="000000" w:sz="4" w:space="0"/>
                    <w:right w:val="single" w:color="000000" w:sz="4" w:space="0"/>
                  </w:tcBorders>
                </w:tcPr>
                <w:p w14:paraId="3E582AFC"/>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423BFC">
                  <w:pPr>
                    <w:pStyle w:val="4"/>
                    <w:jc w:val="left"/>
                  </w:pPr>
                  <w:r>
                    <w:rPr>
                      <w:rFonts w:ascii="仿宋_GB2312" w:hAnsi="仿宋_GB2312" w:eastAsia="仿宋_GB2312" w:cs="仿宋_GB2312"/>
                      <w:sz w:val="21"/>
                    </w:rPr>
                    <w:t>b）应指定专门的部门或人员进行账户管理，对申请账户，建立账户、删除账户等进行控制；</w:t>
                  </w:r>
                </w:p>
              </w:tc>
            </w:tr>
            <w:tr w14:paraId="4FD273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84355DD"/>
              </w:tc>
              <w:tc>
                <w:tcPr>
                  <w:tcW w:w="375" w:type="dxa"/>
                  <w:vMerge w:val="continue"/>
                  <w:tcBorders>
                    <w:top w:val="nil"/>
                    <w:left w:val="nil"/>
                    <w:bottom w:val="single" w:color="000000" w:sz="4" w:space="0"/>
                    <w:right w:val="single" w:color="000000" w:sz="4" w:space="0"/>
                  </w:tcBorders>
                </w:tcPr>
                <w:p w14:paraId="48D851FC"/>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CC430C">
                  <w:pPr>
                    <w:pStyle w:val="4"/>
                    <w:jc w:val="left"/>
                  </w:pPr>
                  <w:r>
                    <w:rPr>
                      <w:rFonts w:ascii="仿宋_GB2312" w:hAnsi="仿宋_GB2312" w:eastAsia="仿宋_GB2312" w:cs="仿宋_GB2312"/>
                      <w:sz w:val="21"/>
                    </w:rPr>
                    <w:t>c）应建立网络和系统安全管理制度，对安全策略、账户管理、配置管理、日志管理、日常操作、升级 与打补丁、口令更新周期等方面作出规定；</w:t>
                  </w:r>
                </w:p>
              </w:tc>
            </w:tr>
            <w:tr w14:paraId="6135DD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1C24994"/>
              </w:tc>
              <w:tc>
                <w:tcPr>
                  <w:tcW w:w="375" w:type="dxa"/>
                  <w:vMerge w:val="continue"/>
                  <w:tcBorders>
                    <w:top w:val="nil"/>
                    <w:left w:val="nil"/>
                    <w:bottom w:val="single" w:color="000000" w:sz="4" w:space="0"/>
                    <w:right w:val="single" w:color="000000" w:sz="4" w:space="0"/>
                  </w:tcBorders>
                </w:tcPr>
                <w:p w14:paraId="341A8DDF"/>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F64D6E">
                  <w:pPr>
                    <w:pStyle w:val="4"/>
                    <w:jc w:val="left"/>
                  </w:pPr>
                  <w:r>
                    <w:rPr>
                      <w:rFonts w:ascii="仿宋_GB2312" w:hAnsi="仿宋_GB2312" w:eastAsia="仿宋_GB2312" w:cs="仿宋_GB2312"/>
                      <w:sz w:val="21"/>
                    </w:rPr>
                    <w:t>d）应制定重要设备的配置和操作手册，依据手册对设备进行安全配置和优化配置等；</w:t>
                  </w:r>
                </w:p>
              </w:tc>
            </w:tr>
            <w:tr w14:paraId="2D7F6A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1F60200E"/>
              </w:tc>
              <w:tc>
                <w:tcPr>
                  <w:tcW w:w="375" w:type="dxa"/>
                  <w:vMerge w:val="continue"/>
                  <w:tcBorders>
                    <w:top w:val="nil"/>
                    <w:left w:val="nil"/>
                    <w:bottom w:val="single" w:color="000000" w:sz="4" w:space="0"/>
                    <w:right w:val="single" w:color="000000" w:sz="4" w:space="0"/>
                  </w:tcBorders>
                </w:tcPr>
                <w:p w14:paraId="15CD9D64"/>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A3AF22">
                  <w:pPr>
                    <w:pStyle w:val="4"/>
                    <w:jc w:val="left"/>
                  </w:pPr>
                  <w:r>
                    <w:rPr>
                      <w:rFonts w:ascii="仿宋_GB2312" w:hAnsi="仿宋_GB2312" w:eastAsia="仿宋_GB2312" w:cs="仿宋_GB2312"/>
                      <w:sz w:val="21"/>
                    </w:rPr>
                    <w:t>e）应详细记录运维操作日志，包括日常巡检工作，运行维护记录、参数的设置和修改的内容；</w:t>
                  </w:r>
                </w:p>
              </w:tc>
            </w:tr>
            <w:tr w14:paraId="3E86B6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3D972568"/>
              </w:tc>
              <w:tc>
                <w:tcPr>
                  <w:tcW w:w="375" w:type="dxa"/>
                  <w:vMerge w:val="continue"/>
                  <w:tcBorders>
                    <w:top w:val="nil"/>
                    <w:left w:val="nil"/>
                    <w:bottom w:val="single" w:color="000000" w:sz="4" w:space="0"/>
                    <w:right w:val="single" w:color="000000" w:sz="4" w:space="0"/>
                  </w:tcBorders>
                </w:tcPr>
                <w:p w14:paraId="491705A6"/>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66B4D7">
                  <w:pPr>
                    <w:pStyle w:val="4"/>
                    <w:jc w:val="left"/>
                  </w:pPr>
                  <w:r>
                    <w:rPr>
                      <w:rFonts w:ascii="仿宋_GB2312" w:hAnsi="仿宋_GB2312" w:eastAsia="仿宋_GB2312" w:cs="仿宋_GB2312"/>
                      <w:sz w:val="21"/>
                    </w:rPr>
                    <w:t>f）应指定专门的部门或人员对日志、监测和报警数据等进行分析、统计，及时发现可疑行为；</w:t>
                  </w:r>
                </w:p>
              </w:tc>
            </w:tr>
            <w:tr w14:paraId="0590C8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086F4B6"/>
              </w:tc>
              <w:tc>
                <w:tcPr>
                  <w:tcW w:w="375" w:type="dxa"/>
                  <w:vMerge w:val="continue"/>
                  <w:tcBorders>
                    <w:top w:val="nil"/>
                    <w:left w:val="nil"/>
                    <w:bottom w:val="single" w:color="000000" w:sz="4" w:space="0"/>
                    <w:right w:val="single" w:color="000000" w:sz="4" w:space="0"/>
                  </w:tcBorders>
                </w:tcPr>
                <w:p w14:paraId="763FA7FF"/>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42A1D1">
                  <w:pPr>
                    <w:pStyle w:val="4"/>
                    <w:jc w:val="left"/>
                  </w:pPr>
                  <w:r>
                    <w:rPr>
                      <w:rFonts w:ascii="仿宋_GB2312" w:hAnsi="仿宋_GB2312" w:eastAsia="仿宋_GB2312" w:cs="仿宋_GB2312"/>
                      <w:sz w:val="21"/>
                    </w:rPr>
                    <w:t>g）应严格控制变更性运维，经过审批后才可改变连接，安装系统组件或调整配置参数，操作过程中应保留不可更改的审计日志，操作结束后应同步配置更新配置信息库；</w:t>
                  </w:r>
                </w:p>
              </w:tc>
            </w:tr>
            <w:tr w14:paraId="1FC50C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94ED9A4"/>
              </w:tc>
              <w:tc>
                <w:tcPr>
                  <w:tcW w:w="375" w:type="dxa"/>
                  <w:vMerge w:val="continue"/>
                  <w:tcBorders>
                    <w:top w:val="nil"/>
                    <w:left w:val="nil"/>
                    <w:bottom w:val="single" w:color="000000" w:sz="4" w:space="0"/>
                    <w:right w:val="single" w:color="000000" w:sz="4" w:space="0"/>
                  </w:tcBorders>
                </w:tcPr>
                <w:p w14:paraId="2F4D753F"/>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B9C8A6">
                  <w:pPr>
                    <w:pStyle w:val="4"/>
                    <w:jc w:val="left"/>
                  </w:pPr>
                  <w:r>
                    <w:rPr>
                      <w:rFonts w:ascii="仿宋_GB2312" w:hAnsi="仿宋_GB2312" w:eastAsia="仿宋_GB2312" w:cs="仿宋_GB2312"/>
                      <w:sz w:val="21"/>
                    </w:rPr>
                    <w:t>H）应严格控制运维工具的使用，经过审批后才可接入进行操作，操作过程中应保留不可更改的审计日志，操作结束后应删除工具中的敏感数据；</w:t>
                  </w:r>
                </w:p>
              </w:tc>
            </w:tr>
            <w:tr w14:paraId="31320A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BF9399D"/>
              </w:tc>
              <w:tc>
                <w:tcPr>
                  <w:tcW w:w="375" w:type="dxa"/>
                  <w:vMerge w:val="continue"/>
                  <w:tcBorders>
                    <w:top w:val="nil"/>
                    <w:left w:val="nil"/>
                    <w:bottom w:val="single" w:color="000000" w:sz="4" w:space="0"/>
                    <w:right w:val="single" w:color="000000" w:sz="4" w:space="0"/>
                  </w:tcBorders>
                </w:tcPr>
                <w:p w14:paraId="44E498F8"/>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497CC6">
                  <w:pPr>
                    <w:pStyle w:val="4"/>
                    <w:jc w:val="left"/>
                  </w:pPr>
                  <w:r>
                    <w:rPr>
                      <w:rFonts w:ascii="仿宋_GB2312" w:hAnsi="仿宋_GB2312" w:eastAsia="仿宋_GB2312" w:cs="仿宋_GB2312"/>
                      <w:sz w:val="21"/>
                    </w:rPr>
                    <w:t>i）应严格控制远程运维的开通，经过审批后才可开通远程运维接口或通道，操作过程中应保留不可更改的审计日志，操作结束后立即关闭接口或通道；</w:t>
                  </w:r>
                </w:p>
              </w:tc>
            </w:tr>
            <w:tr w14:paraId="120F59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2CAE132"/>
              </w:tc>
              <w:tc>
                <w:tcPr>
                  <w:tcW w:w="375" w:type="dxa"/>
                  <w:vMerge w:val="continue"/>
                  <w:tcBorders>
                    <w:top w:val="nil"/>
                    <w:left w:val="nil"/>
                    <w:bottom w:val="single" w:color="000000" w:sz="4" w:space="0"/>
                    <w:right w:val="single" w:color="000000" w:sz="4" w:space="0"/>
                  </w:tcBorders>
                </w:tcPr>
                <w:p w14:paraId="0824AD47"/>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8E3EB8">
                  <w:pPr>
                    <w:pStyle w:val="4"/>
                    <w:jc w:val="left"/>
                  </w:pPr>
                  <w:r>
                    <w:rPr>
                      <w:rFonts w:ascii="仿宋_GB2312" w:hAnsi="仿宋_GB2312" w:eastAsia="仿宋_GB2312" w:cs="仿宋_GB2312"/>
                      <w:sz w:val="21"/>
                    </w:rPr>
                    <w:t>j）应保证所有与外部的连接均得到授权和批准，应定期检查违反规定无线上网及其他违反网络安全策略行为。</w:t>
                  </w:r>
                </w:p>
              </w:tc>
            </w:tr>
            <w:tr w14:paraId="7E6B8C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E5CB5F2"/>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020D05C">
                  <w:pPr>
                    <w:pStyle w:val="4"/>
                    <w:jc w:val="center"/>
                  </w:pPr>
                  <w:r>
                    <w:rPr>
                      <w:rFonts w:ascii="仿宋_GB2312" w:hAnsi="仿宋_GB2312" w:eastAsia="仿宋_GB2312" w:cs="仿宋_GB2312"/>
                      <w:sz w:val="21"/>
                    </w:rPr>
                    <w:t>恶意代码防范管理</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BAF6A5">
                  <w:pPr>
                    <w:pStyle w:val="4"/>
                    <w:jc w:val="left"/>
                  </w:pPr>
                  <w:r>
                    <w:rPr>
                      <w:rFonts w:ascii="仿宋_GB2312" w:hAnsi="仿宋_GB2312" w:eastAsia="仿宋_GB2312" w:cs="仿宋_GB2312"/>
                      <w:sz w:val="21"/>
                    </w:rPr>
                    <w:t>a）应提高所有用户的防恶意代码意识，对外来计算机或存储设备接入系统前进行恶意代码检查等；</w:t>
                  </w:r>
                </w:p>
              </w:tc>
            </w:tr>
            <w:tr w14:paraId="3ED7C9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A7C379E"/>
              </w:tc>
              <w:tc>
                <w:tcPr>
                  <w:tcW w:w="375" w:type="dxa"/>
                  <w:vMerge w:val="continue"/>
                  <w:tcBorders>
                    <w:top w:val="nil"/>
                    <w:left w:val="nil"/>
                    <w:bottom w:val="single" w:color="000000" w:sz="4" w:space="0"/>
                    <w:right w:val="single" w:color="000000" w:sz="4" w:space="0"/>
                  </w:tcBorders>
                </w:tcPr>
                <w:p w14:paraId="003B3FDA"/>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CF9B0D">
                  <w:pPr>
                    <w:pStyle w:val="4"/>
                    <w:jc w:val="left"/>
                  </w:pPr>
                  <w:r>
                    <w:rPr>
                      <w:rFonts w:ascii="仿宋_GB2312" w:hAnsi="仿宋_GB2312" w:eastAsia="仿宋_GB2312" w:cs="仿宋_GB2312"/>
                      <w:sz w:val="21"/>
                    </w:rPr>
                    <w:t>b）应定期验证防范恶意代码攻击的技术措施的有效性。</w:t>
                  </w:r>
                </w:p>
              </w:tc>
            </w:tr>
            <w:tr w14:paraId="15AF98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23B8C90"/>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C8BBA9C">
                  <w:pPr>
                    <w:pStyle w:val="4"/>
                    <w:jc w:val="center"/>
                  </w:pPr>
                  <w:r>
                    <w:rPr>
                      <w:rFonts w:ascii="仿宋_GB2312" w:hAnsi="仿宋_GB2312" w:eastAsia="仿宋_GB2312" w:cs="仿宋_GB2312"/>
                      <w:sz w:val="21"/>
                    </w:rPr>
                    <w:t>配置管理</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59FE33">
                  <w:pPr>
                    <w:pStyle w:val="4"/>
                    <w:jc w:val="left"/>
                  </w:pPr>
                  <w:r>
                    <w:rPr>
                      <w:rFonts w:ascii="仿宋_GB2312" w:hAnsi="仿宋_GB2312" w:eastAsia="仿宋_GB2312" w:cs="仿宋_GB2312"/>
                      <w:sz w:val="21"/>
                    </w:rPr>
                    <w:t>a）应记录和保存基本配置信息，包括网络拓扑结构、各类设备安装的软件组件、软件组件的版本和补丁信息、各个设备或软件组件的配置参数等；</w:t>
                  </w:r>
                </w:p>
              </w:tc>
            </w:tr>
            <w:tr w14:paraId="677810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C8A2836"/>
              </w:tc>
              <w:tc>
                <w:tcPr>
                  <w:tcW w:w="375" w:type="dxa"/>
                  <w:vMerge w:val="continue"/>
                  <w:tcBorders>
                    <w:top w:val="nil"/>
                    <w:left w:val="nil"/>
                    <w:bottom w:val="single" w:color="000000" w:sz="4" w:space="0"/>
                    <w:right w:val="single" w:color="000000" w:sz="4" w:space="0"/>
                  </w:tcBorders>
                </w:tcPr>
                <w:p w14:paraId="766743AB"/>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7E5C9D">
                  <w:pPr>
                    <w:pStyle w:val="4"/>
                    <w:jc w:val="left"/>
                  </w:pPr>
                  <w:r>
                    <w:rPr>
                      <w:rFonts w:ascii="仿宋_GB2312" w:hAnsi="仿宋_GB2312" w:eastAsia="仿宋_GB2312" w:cs="仿宋_GB2312"/>
                      <w:sz w:val="21"/>
                    </w:rPr>
                    <w:t>b)应将基本信息改变纳入变更范畴，实施对配置信息改变的控制， 并及时更新基本配置信息库。</w:t>
                  </w:r>
                </w:p>
              </w:tc>
            </w:tr>
            <w:tr w14:paraId="01915F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510D04F5"/>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07274A9">
                  <w:pPr>
                    <w:pStyle w:val="4"/>
                    <w:jc w:val="center"/>
                  </w:pPr>
                  <w:r>
                    <w:rPr>
                      <w:rFonts w:ascii="仿宋_GB2312" w:hAnsi="仿宋_GB2312" w:eastAsia="仿宋_GB2312" w:cs="仿宋_GB2312"/>
                      <w:sz w:val="21"/>
                    </w:rPr>
                    <w:t>密码管理</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BA3F34">
                  <w:pPr>
                    <w:pStyle w:val="4"/>
                    <w:jc w:val="left"/>
                  </w:pPr>
                  <w:r>
                    <w:rPr>
                      <w:rFonts w:ascii="仿宋_GB2312" w:hAnsi="仿宋_GB2312" w:eastAsia="仿宋_GB2312" w:cs="仿宋_GB2312"/>
                      <w:sz w:val="21"/>
                    </w:rPr>
                    <w:t>a）应遵循密码相关国家标准和行业标准；</w:t>
                  </w:r>
                </w:p>
              </w:tc>
            </w:tr>
            <w:tr w14:paraId="7CE012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CC898FE"/>
              </w:tc>
              <w:tc>
                <w:tcPr>
                  <w:tcW w:w="375" w:type="dxa"/>
                  <w:vMerge w:val="continue"/>
                  <w:tcBorders>
                    <w:top w:val="nil"/>
                    <w:left w:val="nil"/>
                    <w:bottom w:val="single" w:color="000000" w:sz="4" w:space="0"/>
                    <w:right w:val="single" w:color="000000" w:sz="4" w:space="0"/>
                  </w:tcBorders>
                </w:tcPr>
                <w:p w14:paraId="695FD5C2"/>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8E33E0">
                  <w:pPr>
                    <w:pStyle w:val="4"/>
                    <w:jc w:val="left"/>
                  </w:pPr>
                  <w:r>
                    <w:rPr>
                      <w:rFonts w:ascii="仿宋_GB2312" w:hAnsi="仿宋_GB2312" w:eastAsia="仿宋_GB2312" w:cs="仿宋_GB2312"/>
                      <w:sz w:val="21"/>
                    </w:rPr>
                    <w:t>b）应使用国家密码管理主管部门认证核准的密码技术和产品。</w:t>
                  </w:r>
                </w:p>
              </w:tc>
            </w:tr>
            <w:tr w14:paraId="1038F4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7078559"/>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68C0FE6">
                  <w:pPr>
                    <w:pStyle w:val="4"/>
                    <w:jc w:val="center"/>
                  </w:pPr>
                  <w:r>
                    <w:rPr>
                      <w:rFonts w:ascii="仿宋_GB2312" w:hAnsi="仿宋_GB2312" w:eastAsia="仿宋_GB2312" w:cs="仿宋_GB2312"/>
                      <w:sz w:val="21"/>
                    </w:rPr>
                    <w:t>变更管理</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8870E0">
                  <w:pPr>
                    <w:pStyle w:val="4"/>
                    <w:jc w:val="left"/>
                  </w:pPr>
                  <w:r>
                    <w:rPr>
                      <w:rFonts w:ascii="仿宋_GB2312" w:hAnsi="仿宋_GB2312" w:eastAsia="仿宋_GB2312" w:cs="仿宋_GB2312"/>
                      <w:sz w:val="21"/>
                    </w:rPr>
                    <w:t>a）应明确变更需求，变更前根据变更需求制定变更方案、变更方案经过评审、审批后方可实施；</w:t>
                  </w:r>
                </w:p>
              </w:tc>
            </w:tr>
            <w:tr w14:paraId="2A0B1A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1485664E"/>
              </w:tc>
              <w:tc>
                <w:tcPr>
                  <w:tcW w:w="375" w:type="dxa"/>
                  <w:vMerge w:val="continue"/>
                  <w:tcBorders>
                    <w:top w:val="nil"/>
                    <w:left w:val="nil"/>
                    <w:bottom w:val="single" w:color="000000" w:sz="4" w:space="0"/>
                    <w:right w:val="single" w:color="000000" w:sz="4" w:space="0"/>
                  </w:tcBorders>
                </w:tcPr>
                <w:p w14:paraId="06880999"/>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A6BD65">
                  <w:pPr>
                    <w:pStyle w:val="4"/>
                    <w:jc w:val="left"/>
                  </w:pPr>
                  <w:r>
                    <w:rPr>
                      <w:rFonts w:ascii="仿宋_GB2312" w:hAnsi="仿宋_GB2312" w:eastAsia="仿宋_GB2312" w:cs="仿宋_GB2312"/>
                      <w:sz w:val="21"/>
                    </w:rPr>
                    <w:t>b）应建立变更的申报和审批控制程序，依据程序控制所有的变更， 记录变更实施过程；</w:t>
                  </w:r>
                </w:p>
              </w:tc>
            </w:tr>
            <w:tr w14:paraId="3012BB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A86FF86"/>
              </w:tc>
              <w:tc>
                <w:tcPr>
                  <w:tcW w:w="375" w:type="dxa"/>
                  <w:vMerge w:val="continue"/>
                  <w:tcBorders>
                    <w:top w:val="nil"/>
                    <w:left w:val="nil"/>
                    <w:bottom w:val="single" w:color="000000" w:sz="4" w:space="0"/>
                    <w:right w:val="single" w:color="000000" w:sz="4" w:space="0"/>
                  </w:tcBorders>
                </w:tcPr>
                <w:p w14:paraId="3FCC4B2B"/>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5C5B49">
                  <w:pPr>
                    <w:pStyle w:val="4"/>
                    <w:jc w:val="left"/>
                  </w:pPr>
                  <w:r>
                    <w:rPr>
                      <w:rFonts w:ascii="仿宋_GB2312" w:hAnsi="仿宋_GB2312" w:eastAsia="仿宋_GB2312" w:cs="仿宋_GB2312"/>
                      <w:sz w:val="21"/>
                    </w:rPr>
                    <w:t>c）应建立终止变更并从失败的变更中恢复的程序，明确过程控制方法和人员职责，必要时对恢复过程进行演练。</w:t>
                  </w:r>
                </w:p>
              </w:tc>
            </w:tr>
            <w:tr w14:paraId="46C627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3EEE5D6F"/>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E41EE9E">
                  <w:pPr>
                    <w:pStyle w:val="4"/>
                    <w:jc w:val="center"/>
                  </w:pPr>
                  <w:r>
                    <w:rPr>
                      <w:rFonts w:ascii="仿宋_GB2312" w:hAnsi="仿宋_GB2312" w:eastAsia="仿宋_GB2312" w:cs="仿宋_GB2312"/>
                      <w:sz w:val="21"/>
                    </w:rPr>
                    <w:t>备份与恢复管理</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27574B">
                  <w:pPr>
                    <w:pStyle w:val="4"/>
                    <w:jc w:val="left"/>
                  </w:pPr>
                  <w:r>
                    <w:rPr>
                      <w:rFonts w:ascii="仿宋_GB2312" w:hAnsi="仿宋_GB2312" w:eastAsia="仿宋_GB2312" w:cs="仿宋_GB2312"/>
                      <w:sz w:val="21"/>
                    </w:rPr>
                    <w:t>a）应识别需要定期备份的重要业务信息、系统数据及软件系统等；</w:t>
                  </w:r>
                </w:p>
              </w:tc>
            </w:tr>
            <w:tr w14:paraId="059C26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14100651"/>
              </w:tc>
              <w:tc>
                <w:tcPr>
                  <w:tcW w:w="375" w:type="dxa"/>
                  <w:vMerge w:val="continue"/>
                  <w:tcBorders>
                    <w:top w:val="nil"/>
                    <w:left w:val="nil"/>
                    <w:bottom w:val="single" w:color="000000" w:sz="4" w:space="0"/>
                    <w:right w:val="single" w:color="000000" w:sz="4" w:space="0"/>
                  </w:tcBorders>
                </w:tcPr>
                <w:p w14:paraId="0172354F"/>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ABCA09">
                  <w:pPr>
                    <w:pStyle w:val="4"/>
                    <w:jc w:val="left"/>
                  </w:pPr>
                  <w:r>
                    <w:rPr>
                      <w:rFonts w:ascii="仿宋_GB2312" w:hAnsi="仿宋_GB2312" w:eastAsia="仿宋_GB2312" w:cs="仿宋_GB2312"/>
                      <w:sz w:val="21"/>
                    </w:rPr>
                    <w:t>b）应规定备份信息的备份方式、备份频度、存储介质和保存期等；</w:t>
                  </w:r>
                </w:p>
              </w:tc>
            </w:tr>
            <w:tr w14:paraId="5971EA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430B8D06"/>
              </w:tc>
              <w:tc>
                <w:tcPr>
                  <w:tcW w:w="375" w:type="dxa"/>
                  <w:vMerge w:val="continue"/>
                  <w:tcBorders>
                    <w:top w:val="nil"/>
                    <w:left w:val="nil"/>
                    <w:bottom w:val="single" w:color="000000" w:sz="4" w:space="0"/>
                    <w:right w:val="single" w:color="000000" w:sz="4" w:space="0"/>
                  </w:tcBorders>
                </w:tcPr>
                <w:p w14:paraId="424ACE73"/>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EB7B3F">
                  <w:pPr>
                    <w:pStyle w:val="4"/>
                    <w:jc w:val="left"/>
                  </w:pPr>
                  <w:r>
                    <w:rPr>
                      <w:rFonts w:ascii="仿宋_GB2312" w:hAnsi="仿宋_GB2312" w:eastAsia="仿宋_GB2312" w:cs="仿宋_GB2312"/>
                      <w:sz w:val="21"/>
                    </w:rPr>
                    <w:t>c）应根据数据的重要性和数据对系统运行的影响，制定数据的备份策略和恢复策略，备份程序和恢复 程序等。</w:t>
                  </w:r>
                </w:p>
              </w:tc>
            </w:tr>
            <w:tr w14:paraId="1CD60A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822E8FC"/>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EAF75DF">
                  <w:pPr>
                    <w:pStyle w:val="4"/>
                    <w:jc w:val="center"/>
                  </w:pPr>
                  <w:r>
                    <w:rPr>
                      <w:rFonts w:ascii="仿宋_GB2312" w:hAnsi="仿宋_GB2312" w:eastAsia="仿宋_GB2312" w:cs="仿宋_GB2312"/>
                      <w:sz w:val="21"/>
                    </w:rPr>
                    <w:t>安全事件处置</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71204A">
                  <w:pPr>
                    <w:pStyle w:val="4"/>
                    <w:jc w:val="left"/>
                  </w:pPr>
                  <w:r>
                    <w:rPr>
                      <w:rFonts w:ascii="仿宋_GB2312" w:hAnsi="仿宋_GB2312" w:eastAsia="仿宋_GB2312" w:cs="仿宋_GB2312"/>
                      <w:sz w:val="21"/>
                    </w:rPr>
                    <w:t>a）应及时向安全管理部门报告所发现的安全弱点和可疑事件；</w:t>
                  </w:r>
                </w:p>
              </w:tc>
            </w:tr>
            <w:tr w14:paraId="252BFA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36739292"/>
              </w:tc>
              <w:tc>
                <w:tcPr>
                  <w:tcW w:w="375" w:type="dxa"/>
                  <w:vMerge w:val="continue"/>
                  <w:tcBorders>
                    <w:top w:val="nil"/>
                    <w:left w:val="nil"/>
                    <w:bottom w:val="single" w:color="000000" w:sz="4" w:space="0"/>
                    <w:right w:val="single" w:color="000000" w:sz="4" w:space="0"/>
                  </w:tcBorders>
                </w:tcPr>
                <w:p w14:paraId="4F0F35EA"/>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721D99">
                  <w:pPr>
                    <w:pStyle w:val="4"/>
                    <w:jc w:val="left"/>
                  </w:pPr>
                  <w:r>
                    <w:rPr>
                      <w:rFonts w:ascii="仿宋_GB2312" w:hAnsi="仿宋_GB2312" w:eastAsia="仿宋_GB2312" w:cs="仿宋_GB2312"/>
                      <w:sz w:val="21"/>
                    </w:rPr>
                    <w:t>b）应制定安全事件报告和处置管理制度，明确不同安全事件的报告、处置和响应流程，规定安全事件的现场处理、事件报告和后期恢复的管理职责等；</w:t>
                  </w:r>
                </w:p>
              </w:tc>
            </w:tr>
            <w:tr w14:paraId="1FD926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33256235"/>
              </w:tc>
              <w:tc>
                <w:tcPr>
                  <w:tcW w:w="375" w:type="dxa"/>
                  <w:vMerge w:val="continue"/>
                  <w:tcBorders>
                    <w:top w:val="nil"/>
                    <w:left w:val="nil"/>
                    <w:bottom w:val="single" w:color="000000" w:sz="4" w:space="0"/>
                    <w:right w:val="single" w:color="000000" w:sz="4" w:space="0"/>
                  </w:tcBorders>
                </w:tcPr>
                <w:p w14:paraId="035F2ADE"/>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A4B16B">
                  <w:pPr>
                    <w:pStyle w:val="4"/>
                    <w:jc w:val="left"/>
                  </w:pPr>
                  <w:r>
                    <w:rPr>
                      <w:rFonts w:ascii="仿宋_GB2312" w:hAnsi="仿宋_GB2312" w:eastAsia="仿宋_GB2312" w:cs="仿宋_GB2312"/>
                      <w:sz w:val="21"/>
                    </w:rPr>
                    <w:t>c）应在安全事件和响应处理过程中，分析和鉴定事件产生的原因， 收集证据，记录处理过程，总结经验教训；</w:t>
                  </w:r>
                </w:p>
              </w:tc>
            </w:tr>
            <w:tr w14:paraId="16BA9D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6A3F2D4"/>
              </w:tc>
              <w:tc>
                <w:tcPr>
                  <w:tcW w:w="375" w:type="dxa"/>
                  <w:vMerge w:val="continue"/>
                  <w:tcBorders>
                    <w:top w:val="nil"/>
                    <w:left w:val="nil"/>
                    <w:bottom w:val="single" w:color="000000" w:sz="4" w:space="0"/>
                    <w:right w:val="single" w:color="000000" w:sz="4" w:space="0"/>
                  </w:tcBorders>
                </w:tcPr>
                <w:p w14:paraId="75FBFA5A"/>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EBCA06">
                  <w:pPr>
                    <w:pStyle w:val="4"/>
                    <w:jc w:val="left"/>
                  </w:pPr>
                  <w:r>
                    <w:rPr>
                      <w:rFonts w:ascii="仿宋_GB2312" w:hAnsi="仿宋_GB2312" w:eastAsia="仿宋_GB2312" w:cs="仿宋_GB2312"/>
                      <w:sz w:val="21"/>
                    </w:rPr>
                    <w:t>D）对造成系统中断和造成信息泄露的重大安全事件应采用不同的处理程序和报告程序。</w:t>
                  </w:r>
                </w:p>
              </w:tc>
            </w:tr>
            <w:tr w14:paraId="2C5096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7C449232"/>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5584480">
                  <w:pPr>
                    <w:pStyle w:val="4"/>
                    <w:jc w:val="center"/>
                  </w:pPr>
                  <w:r>
                    <w:rPr>
                      <w:rFonts w:ascii="仿宋_GB2312" w:hAnsi="仿宋_GB2312" w:eastAsia="仿宋_GB2312" w:cs="仿宋_GB2312"/>
                      <w:sz w:val="21"/>
                    </w:rPr>
                    <w:t>应急预案管理</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560789">
                  <w:pPr>
                    <w:pStyle w:val="4"/>
                    <w:jc w:val="left"/>
                  </w:pPr>
                  <w:r>
                    <w:rPr>
                      <w:rFonts w:ascii="仿宋_GB2312" w:hAnsi="仿宋_GB2312" w:eastAsia="仿宋_GB2312" w:cs="仿宋_GB2312"/>
                      <w:sz w:val="21"/>
                    </w:rPr>
                    <w:t>a)应规定统一的应急预案框架，包括启动预案的条件，应急组织构成，应急资源保障，事后教育和培训等内容；</w:t>
                  </w:r>
                </w:p>
              </w:tc>
            </w:tr>
            <w:tr w14:paraId="432328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0D6AE2E3"/>
              </w:tc>
              <w:tc>
                <w:tcPr>
                  <w:tcW w:w="375" w:type="dxa"/>
                  <w:vMerge w:val="continue"/>
                  <w:tcBorders>
                    <w:top w:val="nil"/>
                    <w:left w:val="nil"/>
                    <w:bottom w:val="single" w:color="000000" w:sz="4" w:space="0"/>
                    <w:right w:val="single" w:color="000000" w:sz="4" w:space="0"/>
                  </w:tcBorders>
                </w:tcPr>
                <w:p w14:paraId="0D883950"/>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C9B719">
                  <w:pPr>
                    <w:pStyle w:val="4"/>
                    <w:jc w:val="left"/>
                  </w:pPr>
                  <w:r>
                    <w:rPr>
                      <w:rFonts w:ascii="仿宋_GB2312" w:hAnsi="仿宋_GB2312" w:eastAsia="仿宋_GB2312" w:cs="仿宋_GB2312"/>
                      <w:sz w:val="21"/>
                    </w:rPr>
                    <w:t>b）应制定重要事件的应急预案，包括应急处理流程、系统恢复流程等内容；</w:t>
                  </w:r>
                </w:p>
              </w:tc>
            </w:tr>
            <w:tr w14:paraId="4CC4EE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559ACF7"/>
              </w:tc>
              <w:tc>
                <w:tcPr>
                  <w:tcW w:w="375" w:type="dxa"/>
                  <w:vMerge w:val="continue"/>
                  <w:tcBorders>
                    <w:top w:val="nil"/>
                    <w:left w:val="nil"/>
                    <w:bottom w:val="single" w:color="000000" w:sz="4" w:space="0"/>
                    <w:right w:val="single" w:color="000000" w:sz="4" w:space="0"/>
                  </w:tcBorders>
                </w:tcPr>
                <w:p w14:paraId="1F638231"/>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4CFEAC">
                  <w:pPr>
                    <w:pStyle w:val="4"/>
                    <w:jc w:val="left"/>
                  </w:pPr>
                  <w:r>
                    <w:rPr>
                      <w:rFonts w:ascii="仿宋_GB2312" w:hAnsi="仿宋_GB2312" w:eastAsia="仿宋_GB2312" w:cs="仿宋_GB2312"/>
                      <w:sz w:val="21"/>
                    </w:rPr>
                    <w:t>c）应定期对系统相关的人员进行应急预案培训，并进行应急预案的演练；</w:t>
                  </w:r>
                </w:p>
              </w:tc>
            </w:tr>
            <w:tr w14:paraId="3389C8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102B3A25"/>
              </w:tc>
              <w:tc>
                <w:tcPr>
                  <w:tcW w:w="375" w:type="dxa"/>
                  <w:vMerge w:val="continue"/>
                  <w:tcBorders>
                    <w:top w:val="nil"/>
                    <w:left w:val="nil"/>
                    <w:bottom w:val="single" w:color="000000" w:sz="4" w:space="0"/>
                    <w:right w:val="single" w:color="000000" w:sz="4" w:space="0"/>
                  </w:tcBorders>
                </w:tcPr>
                <w:p w14:paraId="008D1BC6"/>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7F92AA">
                  <w:pPr>
                    <w:pStyle w:val="4"/>
                    <w:jc w:val="left"/>
                  </w:pPr>
                  <w:r>
                    <w:rPr>
                      <w:rFonts w:ascii="仿宋_GB2312" w:hAnsi="仿宋_GB2312" w:eastAsia="仿宋_GB2312" w:cs="仿宋_GB2312"/>
                      <w:sz w:val="21"/>
                    </w:rPr>
                    <w:t>d)应定期对原有的应急预案重新评估，修订完善。</w:t>
                  </w:r>
                </w:p>
              </w:tc>
            </w:tr>
            <w:tr w14:paraId="61F3BF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17D657E0"/>
              </w:tc>
              <w:tc>
                <w:tcPr>
                  <w:tcW w:w="37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5EBAFD4">
                  <w:pPr>
                    <w:pStyle w:val="4"/>
                    <w:jc w:val="center"/>
                  </w:pPr>
                  <w:r>
                    <w:rPr>
                      <w:rFonts w:ascii="仿宋_GB2312" w:hAnsi="仿宋_GB2312" w:eastAsia="仿宋_GB2312" w:cs="仿宋_GB2312"/>
                      <w:sz w:val="21"/>
                    </w:rPr>
                    <w:t>外包运维管理</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B7291D">
                  <w:pPr>
                    <w:pStyle w:val="4"/>
                    <w:jc w:val="left"/>
                  </w:pPr>
                  <w:r>
                    <w:rPr>
                      <w:rFonts w:ascii="仿宋_GB2312" w:hAnsi="仿宋_GB2312" w:eastAsia="仿宋_GB2312" w:cs="仿宋_GB2312"/>
                      <w:sz w:val="21"/>
                    </w:rPr>
                    <w:t>a）应确保外包运维供应商的选择符合国家有关规定；</w:t>
                  </w:r>
                </w:p>
              </w:tc>
            </w:tr>
            <w:tr w14:paraId="3BB2FB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B230323"/>
              </w:tc>
              <w:tc>
                <w:tcPr>
                  <w:tcW w:w="375" w:type="dxa"/>
                  <w:vMerge w:val="continue"/>
                  <w:tcBorders>
                    <w:top w:val="nil"/>
                    <w:left w:val="nil"/>
                    <w:bottom w:val="single" w:color="000000" w:sz="4" w:space="0"/>
                    <w:right w:val="single" w:color="000000" w:sz="4" w:space="0"/>
                  </w:tcBorders>
                </w:tcPr>
                <w:p w14:paraId="6D8C6252"/>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87E1EF">
                  <w:pPr>
                    <w:pStyle w:val="4"/>
                    <w:jc w:val="left"/>
                  </w:pPr>
                  <w:r>
                    <w:rPr>
                      <w:rFonts w:ascii="仿宋_GB2312" w:hAnsi="仿宋_GB2312" w:eastAsia="仿宋_GB2312" w:cs="仿宋_GB2312"/>
                      <w:sz w:val="21"/>
                    </w:rPr>
                    <w:t>b）应与选定的外包运维供应商签订相关的协议，明确约定外包运维的范围、工作内容；</w:t>
                  </w:r>
                </w:p>
              </w:tc>
            </w:tr>
            <w:tr w14:paraId="26AF39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28D17378"/>
              </w:tc>
              <w:tc>
                <w:tcPr>
                  <w:tcW w:w="375" w:type="dxa"/>
                  <w:vMerge w:val="continue"/>
                  <w:tcBorders>
                    <w:top w:val="nil"/>
                    <w:left w:val="nil"/>
                    <w:bottom w:val="single" w:color="000000" w:sz="4" w:space="0"/>
                    <w:right w:val="single" w:color="000000" w:sz="4" w:space="0"/>
                  </w:tcBorders>
                </w:tcPr>
                <w:p w14:paraId="69140545"/>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34FBE0">
                  <w:pPr>
                    <w:pStyle w:val="4"/>
                    <w:jc w:val="left"/>
                  </w:pPr>
                  <w:r>
                    <w:rPr>
                      <w:rFonts w:ascii="仿宋_GB2312" w:hAnsi="仿宋_GB2312" w:eastAsia="仿宋_GB2312" w:cs="仿宋_GB2312"/>
                      <w:sz w:val="21"/>
                    </w:rPr>
                    <w:t>d）应保证选择的外包运维供应商在技术和管理方面均应具有按照等级保护要求开展安全运维工作的能力，并将能力在签订的协议中明确；</w:t>
                  </w:r>
                </w:p>
              </w:tc>
            </w:tr>
            <w:tr w14:paraId="303D13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vMerge w:val="continue"/>
                  <w:tcBorders>
                    <w:top w:val="nil"/>
                    <w:left w:val="single" w:color="000000" w:sz="4" w:space="0"/>
                    <w:bottom w:val="single" w:color="000000" w:sz="4" w:space="0"/>
                    <w:right w:val="single" w:color="000000" w:sz="4" w:space="0"/>
                  </w:tcBorders>
                </w:tcPr>
                <w:p w14:paraId="6E9BE187"/>
              </w:tc>
              <w:tc>
                <w:tcPr>
                  <w:tcW w:w="375" w:type="dxa"/>
                  <w:vMerge w:val="continue"/>
                  <w:tcBorders>
                    <w:top w:val="nil"/>
                    <w:left w:val="nil"/>
                    <w:bottom w:val="single" w:color="000000" w:sz="4" w:space="0"/>
                    <w:right w:val="single" w:color="000000" w:sz="4" w:space="0"/>
                  </w:tcBorders>
                </w:tcPr>
                <w:p w14:paraId="4CE76F6C"/>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43F50B">
                  <w:pPr>
                    <w:pStyle w:val="4"/>
                    <w:jc w:val="left"/>
                  </w:pPr>
                  <w:r>
                    <w:rPr>
                      <w:rFonts w:ascii="仿宋_GB2312" w:hAnsi="仿宋_GB2312" w:eastAsia="仿宋_GB2312" w:cs="仿宋_GB2312"/>
                      <w:sz w:val="21"/>
                    </w:rPr>
                    <w:t>d）应在与外包运维供应商签订的协议中明确所有相关的安全要求，如可能涉及对敏感信息的访问、处理、储存要求，对IT基础设施中断服务的应急保障要求等。</w:t>
                  </w:r>
                </w:p>
              </w:tc>
            </w:tr>
          </w:tbl>
          <w:p w14:paraId="3C27BA0A">
            <w:pPr>
              <w:pStyle w:val="4"/>
              <w:jc w:val="left"/>
            </w:pPr>
            <w:r>
              <w:rPr>
                <w:rFonts w:ascii="仿宋_GB2312" w:hAnsi="仿宋_GB2312" w:eastAsia="仿宋_GB2312" w:cs="仿宋_GB2312"/>
                <w:b/>
                <w:sz w:val="21"/>
              </w:rPr>
              <w:t>3.4测评原则</w:t>
            </w:r>
          </w:p>
          <w:p w14:paraId="65741BC4">
            <w:pPr>
              <w:pStyle w:val="4"/>
              <w:jc w:val="left"/>
            </w:pPr>
            <w:r>
              <w:rPr>
                <w:rFonts w:ascii="仿宋_GB2312" w:hAnsi="仿宋_GB2312" w:eastAsia="仿宋_GB2312" w:cs="仿宋_GB2312"/>
                <w:b/>
                <w:sz w:val="21"/>
              </w:rPr>
              <w:t>3.4.1标准性</w:t>
            </w:r>
          </w:p>
          <w:p w14:paraId="0F8B8C24">
            <w:pPr>
              <w:pStyle w:val="4"/>
              <w:jc w:val="both"/>
            </w:pPr>
            <w:r>
              <w:rPr>
                <w:rFonts w:ascii="仿宋_GB2312" w:hAnsi="仿宋_GB2312" w:eastAsia="仿宋_GB2312" w:cs="仿宋_GB2312"/>
                <w:sz w:val="21"/>
              </w:rPr>
              <w:t>在项目实施过程中严格按照GB/T22239-2019、GB/T28448-2019、GB/T28449-2018、GB/T36627-2018等标准中规定的评测要求、评测方法等进行项目实施。</w:t>
            </w:r>
          </w:p>
          <w:p w14:paraId="15AA2E10">
            <w:pPr>
              <w:pStyle w:val="4"/>
              <w:jc w:val="left"/>
            </w:pPr>
            <w:r>
              <w:rPr>
                <w:rFonts w:ascii="仿宋_GB2312" w:hAnsi="仿宋_GB2312" w:eastAsia="仿宋_GB2312" w:cs="仿宋_GB2312"/>
                <w:b/>
                <w:sz w:val="21"/>
              </w:rPr>
              <w:t>3.4.2客观公正性</w:t>
            </w:r>
          </w:p>
          <w:p w14:paraId="4CCACD66">
            <w:pPr>
              <w:pStyle w:val="4"/>
              <w:jc w:val="both"/>
            </w:pPr>
            <w:r>
              <w:rPr>
                <w:rFonts w:ascii="仿宋_GB2312" w:hAnsi="仿宋_GB2312" w:eastAsia="仿宋_GB2312" w:cs="仿宋_GB2312"/>
                <w:sz w:val="21"/>
              </w:rPr>
              <w:t>在没有偏见和最小主观判断情形下，按照测评双方相互认可的测评方案，基于明确定义的测评方法和过程，实施测评活动。</w:t>
            </w:r>
          </w:p>
          <w:p w14:paraId="4E2B6A96">
            <w:pPr>
              <w:pStyle w:val="4"/>
              <w:jc w:val="left"/>
            </w:pPr>
            <w:r>
              <w:rPr>
                <w:rFonts w:ascii="仿宋_GB2312" w:hAnsi="仿宋_GB2312" w:eastAsia="仿宋_GB2312" w:cs="仿宋_GB2312"/>
                <w:b/>
                <w:sz w:val="21"/>
              </w:rPr>
              <w:t>3.4.3规范行为</w:t>
            </w:r>
          </w:p>
          <w:p w14:paraId="16EC7BC9">
            <w:pPr>
              <w:pStyle w:val="4"/>
              <w:jc w:val="both"/>
            </w:pPr>
            <w:r>
              <w:rPr>
                <w:rFonts w:ascii="仿宋_GB2312" w:hAnsi="仿宋_GB2312" w:eastAsia="仿宋_GB2312" w:cs="仿宋_GB2312"/>
                <w:sz w:val="21"/>
              </w:rPr>
              <w:t>严格按照测评指导书的使用规范的测评技术进行测评，准确记录测评证据；不擅自评价测评结果；不将测评结果复制给非测评人员；对被测单位的敏感信息或工作秘密，在指定场所查看，查看后立即归还。</w:t>
            </w:r>
          </w:p>
          <w:p w14:paraId="1088AED8">
            <w:pPr>
              <w:pStyle w:val="4"/>
              <w:jc w:val="left"/>
            </w:pPr>
            <w:r>
              <w:rPr>
                <w:rFonts w:ascii="仿宋_GB2312" w:hAnsi="仿宋_GB2312" w:eastAsia="仿宋_GB2312" w:cs="仿宋_GB2312"/>
                <w:b/>
                <w:sz w:val="21"/>
              </w:rPr>
              <w:t>3.4.4规避风险</w:t>
            </w:r>
          </w:p>
          <w:p w14:paraId="5152D22D">
            <w:pPr>
              <w:pStyle w:val="4"/>
              <w:jc w:val="both"/>
            </w:pPr>
            <w:r>
              <w:rPr>
                <w:rFonts w:ascii="仿宋_GB2312" w:hAnsi="仿宋_GB2312" w:eastAsia="仿宋_GB2312" w:cs="仿宋_GB2312"/>
                <w:sz w:val="21"/>
              </w:rPr>
              <w:t>充分评估测评可能对被测系统带来的影响，揭示风险，协助开展预防措施规避风险。签订现场测评授权书、保密协议。及时与测评委托单位沟通，从而保证项目执行的效果。</w:t>
            </w:r>
          </w:p>
          <w:p w14:paraId="652569DD">
            <w:pPr>
              <w:pStyle w:val="4"/>
              <w:jc w:val="left"/>
            </w:pPr>
            <w:r>
              <w:rPr>
                <w:rFonts w:ascii="仿宋_GB2312" w:hAnsi="仿宋_GB2312" w:eastAsia="仿宋_GB2312" w:cs="仿宋_GB2312"/>
                <w:b/>
                <w:sz w:val="21"/>
              </w:rPr>
              <w:t>3.4.5结果完善性</w:t>
            </w:r>
          </w:p>
          <w:p w14:paraId="61F974D5">
            <w:pPr>
              <w:pStyle w:val="4"/>
              <w:jc w:val="both"/>
            </w:pPr>
            <w:r>
              <w:rPr>
                <w:rFonts w:ascii="仿宋_GB2312" w:hAnsi="仿宋_GB2312" w:eastAsia="仿宋_GB2312" w:cs="仿宋_GB2312"/>
                <w:sz w:val="21"/>
              </w:rPr>
              <w:t>测评所产生的结果是在对测评指标的正确理解下所取得的良好的判断。在测评实施过程中应当使用正确的方法以确保其满足了测评指标的要求。</w:t>
            </w:r>
          </w:p>
          <w:p w14:paraId="1F711528">
            <w:pPr>
              <w:pStyle w:val="4"/>
              <w:jc w:val="both"/>
            </w:pPr>
            <w:r>
              <w:rPr>
                <w:rFonts w:ascii="仿宋_GB2312" w:hAnsi="仿宋_GB2312" w:eastAsia="仿宋_GB2312" w:cs="仿宋_GB2312"/>
                <w:b/>
                <w:sz w:val="21"/>
                <w:shd w:val="clear" w:fill="FFFFFF"/>
              </w:rPr>
              <w:t>6.项目验收</w:t>
            </w:r>
          </w:p>
          <w:p w14:paraId="6AE7D6E5">
            <w:pPr>
              <w:pStyle w:val="4"/>
              <w:jc w:val="both"/>
            </w:pPr>
            <w:r>
              <w:rPr>
                <w:rFonts w:ascii="仿宋_GB2312" w:hAnsi="仿宋_GB2312" w:eastAsia="仿宋_GB2312" w:cs="仿宋_GB2312"/>
                <w:sz w:val="21"/>
              </w:rPr>
              <w:t>项目验收方法：供应商出具《信息安全等级保护测评报告》（每个系统一套）并协助采购人取得未备案系统的《信息系统安全等级保护备案证明》。</w:t>
            </w:r>
          </w:p>
          <w:p w14:paraId="41BAD65C">
            <w:pPr>
              <w:pStyle w:val="4"/>
              <w:jc w:val="both"/>
            </w:pPr>
            <w:r>
              <w:rPr>
                <w:rFonts w:ascii="仿宋_GB2312" w:hAnsi="仿宋_GB2312" w:eastAsia="仿宋_GB2312" w:cs="仿宋_GB2312"/>
                <w:b/>
                <w:sz w:val="21"/>
                <w:shd w:val="clear" w:fill="FFFFFF"/>
              </w:rPr>
              <w:t>7.保密要求</w:t>
            </w:r>
          </w:p>
          <w:p w14:paraId="2BFEAB04">
            <w:pPr>
              <w:pStyle w:val="4"/>
              <w:jc w:val="both"/>
            </w:pPr>
            <w:r>
              <w:rPr>
                <w:rFonts w:ascii="仿宋_GB2312" w:hAnsi="仿宋_GB2312" w:eastAsia="仿宋_GB2312" w:cs="仿宋_GB2312"/>
                <w:sz w:val="21"/>
              </w:rPr>
              <w:t>供应商承担被测评单位敏感信息的保密责任，在项目实施过程中，双方需要复制对方提供的相关资料时，应提交书面申请，在得到对方书面同意后方可复制，并将数据内容记录成表，签字确认。</w:t>
            </w:r>
          </w:p>
          <w:p w14:paraId="5C886E12">
            <w:pPr>
              <w:pStyle w:val="4"/>
              <w:jc w:val="both"/>
            </w:pPr>
            <w:r>
              <w:rPr>
                <w:rFonts w:ascii="仿宋_GB2312" w:hAnsi="仿宋_GB2312" w:eastAsia="仿宋_GB2312" w:cs="仿宋_GB2312"/>
                <w:sz w:val="21"/>
              </w:rPr>
              <w:t>未经双方书面同意，不得向第三方透露项目和涉及双方的信息安全、技术成果的任何内容。</w:t>
            </w:r>
          </w:p>
          <w:p w14:paraId="065393B3">
            <w:pPr>
              <w:pStyle w:val="4"/>
              <w:jc w:val="both"/>
            </w:pPr>
            <w:r>
              <w:rPr>
                <w:rFonts w:ascii="仿宋_GB2312" w:hAnsi="仿宋_GB2312" w:eastAsia="仿宋_GB2312" w:cs="仿宋_GB2312"/>
                <w:sz w:val="21"/>
                <w:shd w:val="clear" w:fill="FFFFFF"/>
              </w:rPr>
              <w:t>项目结束后，双方必须互相确认测评过程中提供的相关资料，相互承担保密责任。</w:t>
            </w:r>
          </w:p>
          <w:p w14:paraId="3B76C2E4">
            <w:pPr>
              <w:pStyle w:val="4"/>
              <w:jc w:val="both"/>
            </w:pPr>
            <w:r>
              <w:rPr>
                <w:rFonts w:ascii="仿宋_GB2312" w:hAnsi="仿宋_GB2312" w:eastAsia="仿宋_GB2312" w:cs="仿宋_GB2312"/>
                <w:b/>
                <w:sz w:val="21"/>
                <w:shd w:val="clear" w:fill="FFFFFF"/>
              </w:rPr>
              <w:t>8.其他</w:t>
            </w:r>
          </w:p>
          <w:p w14:paraId="1DE8534E">
            <w:pPr>
              <w:pStyle w:val="4"/>
              <w:jc w:val="both"/>
            </w:pPr>
            <w:r>
              <w:rPr>
                <w:rFonts w:ascii="仿宋_GB2312" w:hAnsi="仿宋_GB2312" w:eastAsia="仿宋_GB2312" w:cs="仿宋_GB2312"/>
                <w:sz w:val="21"/>
              </w:rPr>
              <w:t>本项目应至少配备7人现场实施团队，其中包含项目负责人1名。供应商应根据上述因素结合其他方面因素自行考虑含入磋商报价中，采购人不因供应商磋商报价中的任何遗漏而予以增加或补偿费用，磋商报价表中标明的价格在合同执行过程中，不得以任何理由变更。</w:t>
            </w:r>
          </w:p>
          <w:p w14:paraId="7A737506">
            <w:pPr>
              <w:pStyle w:val="4"/>
              <w:jc w:val="both"/>
            </w:pPr>
            <w:r>
              <w:rPr>
                <w:rFonts w:ascii="仿宋_GB2312" w:hAnsi="仿宋_GB2312" w:eastAsia="仿宋_GB2312" w:cs="仿宋_GB2312"/>
              </w:rPr>
              <w:t xml:space="preserve"> </w:t>
            </w:r>
          </w:p>
          <w:p w14:paraId="3B397A28">
            <w:pPr>
              <w:pStyle w:val="4"/>
              <w:jc w:val="both"/>
            </w:pPr>
            <w:r>
              <w:rPr>
                <w:rFonts w:ascii="仿宋_GB2312" w:hAnsi="仿宋_GB2312" w:eastAsia="仿宋_GB2312" w:cs="仿宋_GB2312"/>
              </w:rPr>
              <w:t xml:space="preserve"> </w:t>
            </w:r>
          </w:p>
          <w:p w14:paraId="60FE5833">
            <w:pPr>
              <w:pStyle w:val="4"/>
              <w:jc w:val="both"/>
            </w:pPr>
            <w:r>
              <w:rPr>
                <w:rFonts w:ascii="仿宋_GB2312" w:hAnsi="仿宋_GB2312" w:eastAsia="仿宋_GB2312" w:cs="仿宋_GB2312"/>
              </w:rPr>
              <w:t xml:space="preserve"> </w:t>
            </w:r>
          </w:p>
          <w:p w14:paraId="70471E32">
            <w:pPr>
              <w:pStyle w:val="4"/>
              <w:jc w:val="both"/>
            </w:pPr>
            <w:r>
              <w:rPr>
                <w:rFonts w:ascii="仿宋_GB2312" w:hAnsi="仿宋_GB2312" w:eastAsia="仿宋_GB2312" w:cs="仿宋_GB2312"/>
              </w:rPr>
              <w:t xml:space="preserve"> </w:t>
            </w:r>
          </w:p>
        </w:tc>
      </w:tr>
    </w:tbl>
    <w:p w14:paraId="5EA08FEC">
      <w:pPr>
        <w:rPr>
          <w:rFonts w:hint="eastAsia" w:ascii="仿宋" w:hAnsi="仿宋" w:eastAsia="仿宋" w:cs="仿宋"/>
          <w:sz w:val="32"/>
          <w:szCs w:val="40"/>
          <w:lang w:val="en-US" w:eastAsia="zh-CN"/>
        </w:rPr>
      </w:pPr>
    </w:p>
    <w:p w14:paraId="37D6BEAA">
      <w:pP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96"/>
      </w:tblGrid>
      <w:tr w14:paraId="3BC6A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D066572">
            <w:pPr>
              <w:pStyle w:val="4"/>
            </w:pPr>
            <w:r>
              <w:rPr>
                <w:rFonts w:ascii="仿宋_GB2312" w:hAnsi="仿宋_GB2312" w:eastAsia="仿宋_GB2312" w:cs="仿宋_GB2312"/>
              </w:rPr>
              <w:t xml:space="preserve"> 序号</w:t>
            </w:r>
          </w:p>
        </w:tc>
        <w:tc>
          <w:tcPr>
            <w:tcW w:w="2769" w:type="dxa"/>
          </w:tcPr>
          <w:p w14:paraId="0FE16688">
            <w:pPr>
              <w:pStyle w:val="4"/>
            </w:pPr>
            <w:r>
              <w:rPr>
                <w:rFonts w:ascii="仿宋_GB2312" w:hAnsi="仿宋_GB2312" w:eastAsia="仿宋_GB2312" w:cs="仿宋_GB2312"/>
              </w:rPr>
              <w:t xml:space="preserve"> 参数性质</w:t>
            </w:r>
          </w:p>
        </w:tc>
        <w:tc>
          <w:tcPr>
            <w:tcW w:w="2769" w:type="dxa"/>
          </w:tcPr>
          <w:p w14:paraId="52C17001">
            <w:pPr>
              <w:pStyle w:val="4"/>
            </w:pPr>
            <w:r>
              <w:rPr>
                <w:rFonts w:ascii="仿宋_GB2312" w:hAnsi="仿宋_GB2312" w:eastAsia="仿宋_GB2312" w:cs="仿宋_GB2312"/>
              </w:rPr>
              <w:t xml:space="preserve"> 技术参数与性能指标</w:t>
            </w:r>
          </w:p>
        </w:tc>
      </w:tr>
      <w:tr w14:paraId="090BA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291B616">
            <w:pPr>
              <w:pStyle w:val="4"/>
            </w:pPr>
            <w:r>
              <w:rPr>
                <w:rFonts w:ascii="仿宋_GB2312" w:hAnsi="仿宋_GB2312" w:eastAsia="仿宋_GB2312" w:cs="仿宋_GB2312"/>
              </w:rPr>
              <w:t>1</w:t>
            </w:r>
          </w:p>
        </w:tc>
        <w:tc>
          <w:tcPr>
            <w:tcW w:w="2769" w:type="dxa"/>
          </w:tcPr>
          <w:p w14:paraId="56E57853"/>
        </w:tc>
        <w:tc>
          <w:tcPr>
            <w:tcW w:w="2769" w:type="dxa"/>
          </w:tcPr>
          <w:p w14:paraId="5474B81E">
            <w:pPr>
              <w:pStyle w:val="4"/>
            </w:pPr>
            <w:r>
              <w:rPr>
                <w:rFonts w:ascii="仿宋_GB2312" w:hAnsi="仿宋_GB2312" w:eastAsia="仿宋_GB2312" w:cs="仿宋_GB2312"/>
              </w:rPr>
              <w:t xml:space="preserve"> </w:t>
            </w:r>
          </w:p>
          <w:p w14:paraId="3AA8D625">
            <w:pPr>
              <w:pStyle w:val="4"/>
              <w:jc w:val="both"/>
            </w:pPr>
            <w:r>
              <w:rPr>
                <w:rFonts w:ascii="仿宋_GB2312" w:hAnsi="仿宋_GB2312" w:eastAsia="仿宋_GB2312" w:cs="仿宋_GB2312"/>
                <w:b/>
                <w:sz w:val="20"/>
                <w:shd w:val="clear" w:fill="FFFFFF"/>
              </w:rPr>
              <w:t>1.1测评概述</w:t>
            </w:r>
          </w:p>
          <w:p w14:paraId="5DA2F53C">
            <w:pPr>
              <w:pStyle w:val="4"/>
              <w:jc w:val="both"/>
            </w:pPr>
            <w:r>
              <w:rPr>
                <w:rFonts w:ascii="仿宋_GB2312" w:hAnsi="仿宋_GB2312" w:eastAsia="仿宋_GB2312" w:cs="仿宋_GB2312"/>
                <w:b/>
                <w:sz w:val="20"/>
                <w:shd w:val="clear" w:fill="FFFFFF"/>
              </w:rPr>
              <w:t>1.1.1项目背景</w:t>
            </w:r>
          </w:p>
          <w:p w14:paraId="1356D452">
            <w:pPr>
              <w:pStyle w:val="4"/>
              <w:jc w:val="both"/>
            </w:pPr>
            <w:r>
              <w:rPr>
                <w:rFonts w:ascii="仿宋_GB2312" w:hAnsi="仿宋_GB2312" w:eastAsia="仿宋_GB2312" w:cs="仿宋_GB2312"/>
                <w:sz w:val="20"/>
                <w:shd w:val="clear" w:fill="FFFFFF"/>
              </w:rPr>
              <w:t>为全面贯彻总体国家安全观和网络强国战略，做好国产密码应用推进工作，需要加强商用密码应用的工作部署和推进普及，在保证商用密码应用大力推广和普及的同时，做好网络与信息系统的商用密码应用安全性评估，确保商用密码应用的合规、正确、有效。</w:t>
            </w:r>
          </w:p>
          <w:p w14:paraId="0A11D529">
            <w:pPr>
              <w:pStyle w:val="4"/>
              <w:jc w:val="both"/>
            </w:pPr>
            <w:r>
              <w:rPr>
                <w:rFonts w:ascii="仿宋_GB2312" w:hAnsi="仿宋_GB2312" w:eastAsia="仿宋_GB2312" w:cs="仿宋_GB2312"/>
                <w:b/>
                <w:sz w:val="20"/>
                <w:shd w:val="clear" w:fill="FFFFFF"/>
              </w:rPr>
              <w:t>1.1.2测评目的及范围</w:t>
            </w:r>
          </w:p>
          <w:p w14:paraId="4D21293E">
            <w:pPr>
              <w:pStyle w:val="4"/>
              <w:jc w:val="both"/>
            </w:pPr>
            <w:r>
              <w:rPr>
                <w:rFonts w:ascii="仿宋_GB2312" w:hAnsi="仿宋_GB2312" w:eastAsia="仿宋_GB2312" w:cs="仿宋_GB2312"/>
                <w:sz w:val="20"/>
                <w:shd w:val="clear" w:fill="FFFFFF"/>
              </w:rPr>
              <w:t>依据《信息系统密码应用基本要求》，针对目标系统从技术要求、密钥管理、安全管理三个角度出发，围绕信息系统的物理和环境安全、网络和通信安全、设备和计算安全、应用和数据安全以及密钥管理、安全管理开展密码测评工作，以期发现信息系统与其相应安全等级要求之间的差距以及存在的安全隐患，为密码应用测评标准提供工作建议，保障信息系统密码合规、正确、有效地应用。</w:t>
            </w:r>
          </w:p>
          <w:p w14:paraId="76B29AA8">
            <w:pPr>
              <w:pStyle w:val="4"/>
              <w:jc w:val="both"/>
            </w:pPr>
            <w:r>
              <w:rPr>
                <w:rFonts w:ascii="仿宋_GB2312" w:hAnsi="仿宋_GB2312" w:eastAsia="仿宋_GB2312" w:cs="仿宋_GB2312"/>
                <w:sz w:val="20"/>
                <w:shd w:val="clear" w:fill="FFFFFF"/>
              </w:rPr>
              <w:t>密码测评的目的是通过对目标系统在安全技术及管理方面的测评，对目标系统的安全技术状态及安全管理状况做出初步判断，给出目标系统在安全技术及安全管理方面与其相应安全等级要求之间的差距。测评结论作为采购人进一步完善系统安全策略及安全技术防护措施依据。</w:t>
            </w:r>
          </w:p>
          <w:p w14:paraId="1BC93BC2">
            <w:pPr>
              <w:pStyle w:val="4"/>
              <w:jc w:val="both"/>
            </w:pPr>
            <w:r>
              <w:rPr>
                <w:rFonts w:ascii="仿宋_GB2312" w:hAnsi="仿宋_GB2312" w:eastAsia="仿宋_GB2312" w:cs="仿宋_GB2312"/>
                <w:sz w:val="20"/>
                <w:shd w:val="clear" w:fill="FFFFFF"/>
              </w:rPr>
              <w:t>此次测评范围为：陕西省特种设备智慧监管平台、计量业务综合管理信息平台、数智市监大数据支撑体系建设项目、陕西省小个专党建综合服务管理平台、陕西省市场监督管理局智慧云中心（统一门户）。</w:t>
            </w:r>
          </w:p>
          <w:p w14:paraId="6FE388EC">
            <w:pPr>
              <w:pStyle w:val="4"/>
              <w:jc w:val="both"/>
            </w:pPr>
            <w:r>
              <w:rPr>
                <w:rFonts w:ascii="仿宋_GB2312" w:hAnsi="仿宋_GB2312" w:eastAsia="仿宋_GB2312" w:cs="仿宋_GB2312"/>
                <w:sz w:val="20"/>
                <w:shd w:val="clear" w:fill="FFFFFF"/>
              </w:rPr>
              <w:t>供应商需提供整改建议咨询服务。</w:t>
            </w:r>
          </w:p>
          <w:p w14:paraId="20976546">
            <w:pPr>
              <w:pStyle w:val="4"/>
              <w:jc w:val="both"/>
            </w:pPr>
            <w:r>
              <w:rPr>
                <w:rFonts w:ascii="仿宋_GB2312" w:hAnsi="仿宋_GB2312" w:eastAsia="仿宋_GB2312" w:cs="仿宋_GB2312"/>
                <w:b/>
                <w:sz w:val="20"/>
                <w:shd w:val="clear" w:fill="FFFFFF"/>
              </w:rPr>
              <w:t>1.1.3测评依据</w:t>
            </w:r>
          </w:p>
          <w:p w14:paraId="1F683347">
            <w:pPr>
              <w:pStyle w:val="4"/>
              <w:jc w:val="both"/>
            </w:pPr>
            <w:r>
              <w:rPr>
                <w:rFonts w:ascii="仿宋_GB2312" w:hAnsi="仿宋_GB2312" w:eastAsia="仿宋_GB2312" w:cs="仿宋_GB2312"/>
                <w:sz w:val="20"/>
                <w:shd w:val="clear" w:fill="FFFFFF"/>
              </w:rPr>
              <w:t>（1）法律法规：</w:t>
            </w:r>
          </w:p>
          <w:p w14:paraId="6845ED60">
            <w:pPr>
              <w:pStyle w:val="4"/>
              <w:jc w:val="both"/>
            </w:pPr>
            <w:r>
              <w:rPr>
                <w:rFonts w:ascii="仿宋_GB2312" w:hAnsi="仿宋_GB2312" w:eastAsia="仿宋_GB2312" w:cs="仿宋_GB2312"/>
                <w:sz w:val="20"/>
                <w:shd w:val="clear" w:fill="FFFFFF"/>
              </w:rPr>
              <w:t>《中华人民共和国密码法》</w:t>
            </w:r>
          </w:p>
          <w:p w14:paraId="634F0608">
            <w:pPr>
              <w:pStyle w:val="4"/>
              <w:jc w:val="both"/>
            </w:pPr>
            <w:r>
              <w:rPr>
                <w:rFonts w:ascii="仿宋_GB2312" w:hAnsi="仿宋_GB2312" w:eastAsia="仿宋_GB2312" w:cs="仿宋_GB2312"/>
                <w:sz w:val="20"/>
                <w:shd w:val="clear" w:fill="FFFFFF"/>
              </w:rPr>
              <w:t>《中华人民共和国电子签名法》</w:t>
            </w:r>
          </w:p>
          <w:p w14:paraId="2A91CD61">
            <w:pPr>
              <w:pStyle w:val="4"/>
              <w:jc w:val="both"/>
            </w:pPr>
            <w:r>
              <w:rPr>
                <w:rFonts w:ascii="仿宋_GB2312" w:hAnsi="仿宋_GB2312" w:eastAsia="仿宋_GB2312" w:cs="仿宋_GB2312"/>
                <w:sz w:val="20"/>
                <w:shd w:val="clear" w:fill="FFFFFF"/>
              </w:rPr>
              <w:t>《中华人民共和国网络安全法》</w:t>
            </w:r>
          </w:p>
          <w:p w14:paraId="1705D62D">
            <w:pPr>
              <w:pStyle w:val="4"/>
              <w:jc w:val="both"/>
            </w:pPr>
            <w:r>
              <w:rPr>
                <w:rFonts w:ascii="仿宋_GB2312" w:hAnsi="仿宋_GB2312" w:eastAsia="仿宋_GB2312" w:cs="仿宋_GB2312"/>
                <w:sz w:val="20"/>
                <w:shd w:val="clear" w:fill="FFFFFF"/>
              </w:rPr>
              <w:t>《中华人民共和国个人信息保护法》</w:t>
            </w:r>
          </w:p>
          <w:p w14:paraId="1F843165">
            <w:pPr>
              <w:pStyle w:val="4"/>
              <w:jc w:val="both"/>
            </w:pPr>
            <w:r>
              <w:rPr>
                <w:rFonts w:ascii="仿宋_GB2312" w:hAnsi="仿宋_GB2312" w:eastAsia="仿宋_GB2312" w:cs="仿宋_GB2312"/>
                <w:sz w:val="20"/>
                <w:shd w:val="clear" w:fill="FFFFFF"/>
              </w:rPr>
              <w:t>《中华人民共和国数据安全法》</w:t>
            </w:r>
          </w:p>
          <w:p w14:paraId="510598D0">
            <w:pPr>
              <w:pStyle w:val="4"/>
              <w:jc w:val="both"/>
            </w:pPr>
            <w:r>
              <w:rPr>
                <w:rFonts w:ascii="仿宋_GB2312" w:hAnsi="仿宋_GB2312" w:eastAsia="仿宋_GB2312" w:cs="仿宋_GB2312"/>
                <w:sz w:val="20"/>
                <w:shd w:val="clear" w:fill="FFFFFF"/>
              </w:rPr>
              <w:t>《商用密码管理条例》</w:t>
            </w:r>
          </w:p>
          <w:p w14:paraId="2AA4DCA5">
            <w:pPr>
              <w:pStyle w:val="4"/>
              <w:jc w:val="both"/>
            </w:pPr>
            <w:r>
              <w:rPr>
                <w:rFonts w:ascii="仿宋_GB2312" w:hAnsi="仿宋_GB2312" w:eastAsia="仿宋_GB2312" w:cs="仿宋_GB2312"/>
                <w:sz w:val="20"/>
                <w:shd w:val="clear" w:fill="FFFFFF"/>
              </w:rPr>
              <w:t>《国家政务信息化项目建设管理办法》</w:t>
            </w:r>
          </w:p>
          <w:p w14:paraId="3104859B">
            <w:pPr>
              <w:pStyle w:val="4"/>
              <w:jc w:val="both"/>
            </w:pPr>
            <w:r>
              <w:rPr>
                <w:rFonts w:ascii="仿宋_GB2312" w:hAnsi="仿宋_GB2312" w:eastAsia="仿宋_GB2312" w:cs="仿宋_GB2312"/>
                <w:sz w:val="20"/>
                <w:shd w:val="clear" w:fill="FFFFFF"/>
              </w:rPr>
              <w:t>《电子认证服务管理办法》</w:t>
            </w:r>
          </w:p>
          <w:p w14:paraId="6359B194">
            <w:pPr>
              <w:pStyle w:val="4"/>
              <w:jc w:val="both"/>
            </w:pPr>
            <w:r>
              <w:rPr>
                <w:rFonts w:ascii="仿宋_GB2312" w:hAnsi="仿宋_GB2312" w:eastAsia="仿宋_GB2312" w:cs="仿宋_GB2312"/>
                <w:sz w:val="20"/>
                <w:shd w:val="clear" w:fill="FFFFFF"/>
              </w:rPr>
              <w:t>《信息安全等级保护商用密码管理办法》</w:t>
            </w:r>
          </w:p>
          <w:p w14:paraId="4FF85D1E">
            <w:pPr>
              <w:pStyle w:val="4"/>
              <w:jc w:val="both"/>
            </w:pPr>
            <w:r>
              <w:rPr>
                <w:rFonts w:ascii="仿宋_GB2312" w:hAnsi="仿宋_GB2312" w:eastAsia="仿宋_GB2312" w:cs="仿宋_GB2312"/>
                <w:sz w:val="20"/>
                <w:shd w:val="clear" w:fill="FFFFFF"/>
              </w:rPr>
              <w:t>（2）行业标准及其他依据：</w:t>
            </w:r>
          </w:p>
          <w:p w14:paraId="7582F338">
            <w:pPr>
              <w:pStyle w:val="4"/>
              <w:jc w:val="both"/>
            </w:pPr>
            <w:r>
              <w:rPr>
                <w:rFonts w:ascii="仿宋_GB2312" w:hAnsi="仿宋_GB2312" w:eastAsia="仿宋_GB2312" w:cs="仿宋_GB2312"/>
                <w:sz w:val="20"/>
                <w:shd w:val="clear" w:fill="FFFFFF"/>
              </w:rPr>
              <w:t>GB/T 39786-2021《信息安全技术 信息系统密码应用基本要求》</w:t>
            </w:r>
          </w:p>
          <w:p w14:paraId="247B4C47">
            <w:pPr>
              <w:pStyle w:val="4"/>
              <w:jc w:val="both"/>
            </w:pPr>
            <w:r>
              <w:rPr>
                <w:rFonts w:ascii="仿宋_GB2312" w:hAnsi="仿宋_GB2312" w:eastAsia="仿宋_GB2312" w:cs="仿宋_GB2312"/>
                <w:sz w:val="20"/>
                <w:shd w:val="clear" w:fill="FFFFFF"/>
              </w:rPr>
              <w:t>GB/T 43206-2023《信息安全技术 信息系统密码应用测评要求》</w:t>
            </w:r>
          </w:p>
          <w:p w14:paraId="31338164">
            <w:pPr>
              <w:pStyle w:val="4"/>
              <w:jc w:val="both"/>
            </w:pPr>
            <w:r>
              <w:rPr>
                <w:rFonts w:ascii="仿宋_GB2312" w:hAnsi="仿宋_GB2312" w:eastAsia="仿宋_GB2312" w:cs="仿宋_GB2312"/>
                <w:sz w:val="20"/>
                <w:shd w:val="clear" w:fill="FFFFFF"/>
              </w:rPr>
              <w:t>《商用密码应用安全性评估管理办法》</w:t>
            </w:r>
          </w:p>
          <w:p w14:paraId="5BFCE952">
            <w:pPr>
              <w:pStyle w:val="4"/>
              <w:jc w:val="both"/>
            </w:pPr>
            <w:r>
              <w:rPr>
                <w:rFonts w:ascii="仿宋_GB2312" w:hAnsi="仿宋_GB2312" w:eastAsia="仿宋_GB2312" w:cs="仿宋_GB2312"/>
                <w:sz w:val="20"/>
                <w:shd w:val="clear" w:fill="FFFFFF"/>
              </w:rPr>
              <w:t>《商用密码检测机构管理办法》</w:t>
            </w:r>
          </w:p>
          <w:p w14:paraId="0BD07991">
            <w:pPr>
              <w:pStyle w:val="4"/>
              <w:jc w:val="both"/>
            </w:pPr>
            <w:r>
              <w:rPr>
                <w:rFonts w:ascii="仿宋_GB2312" w:hAnsi="仿宋_GB2312" w:eastAsia="仿宋_GB2312" w:cs="仿宋_GB2312"/>
                <w:sz w:val="20"/>
                <w:shd w:val="clear" w:fill="FFFFFF"/>
              </w:rPr>
              <w:t>《系统密码应用方案》</w:t>
            </w:r>
          </w:p>
          <w:p w14:paraId="4E457F55">
            <w:pPr>
              <w:pStyle w:val="4"/>
              <w:jc w:val="both"/>
            </w:pPr>
            <w:r>
              <w:rPr>
                <w:rFonts w:ascii="仿宋_GB2312" w:hAnsi="仿宋_GB2312" w:eastAsia="仿宋_GB2312" w:cs="仿宋_GB2312"/>
                <w:sz w:val="20"/>
                <w:shd w:val="clear" w:fill="FFFFFF"/>
              </w:rPr>
              <w:t>密码应用管理相关制度文件</w:t>
            </w:r>
          </w:p>
          <w:p w14:paraId="4B7FC471">
            <w:pPr>
              <w:pStyle w:val="4"/>
              <w:jc w:val="both"/>
            </w:pPr>
            <w:r>
              <w:rPr>
                <w:rFonts w:ascii="仿宋_GB2312" w:hAnsi="仿宋_GB2312" w:eastAsia="仿宋_GB2312" w:cs="仿宋_GB2312"/>
                <w:b/>
                <w:sz w:val="20"/>
                <w:shd w:val="clear" w:fill="FFFFFF"/>
              </w:rPr>
              <w:t>1.1.4测评原则</w:t>
            </w:r>
          </w:p>
          <w:p w14:paraId="5240F859">
            <w:pPr>
              <w:pStyle w:val="4"/>
              <w:jc w:val="both"/>
            </w:pPr>
            <w:r>
              <w:rPr>
                <w:rFonts w:ascii="仿宋_GB2312" w:hAnsi="仿宋_GB2312" w:eastAsia="仿宋_GB2312" w:cs="仿宋_GB2312"/>
                <w:sz w:val="20"/>
                <w:shd w:val="clear" w:fill="FFFFFF"/>
              </w:rPr>
              <w:t>（1）客观公正原则</w:t>
            </w:r>
          </w:p>
          <w:p w14:paraId="2E697882">
            <w:pPr>
              <w:pStyle w:val="4"/>
              <w:jc w:val="both"/>
            </w:pPr>
            <w:r>
              <w:rPr>
                <w:rFonts w:ascii="仿宋_GB2312" w:hAnsi="仿宋_GB2312" w:eastAsia="仿宋_GB2312" w:cs="仿宋_GB2312"/>
                <w:sz w:val="20"/>
                <w:shd w:val="clear" w:fill="FFFFFF"/>
              </w:rPr>
              <w:t>测评人员保证在最小主观判断情形下，按照双方认可的测评方案，基于明确定义的测评方式和解释，实施测评活动。</w:t>
            </w:r>
          </w:p>
          <w:p w14:paraId="37BE8955">
            <w:pPr>
              <w:pStyle w:val="4"/>
              <w:jc w:val="both"/>
            </w:pPr>
            <w:r>
              <w:rPr>
                <w:rFonts w:ascii="仿宋_GB2312" w:hAnsi="仿宋_GB2312" w:eastAsia="仿宋_GB2312" w:cs="仿宋_GB2312"/>
                <w:sz w:val="20"/>
                <w:shd w:val="clear" w:fill="FFFFFF"/>
              </w:rPr>
              <w:t>（2）经济性和可重用性原则</w:t>
            </w:r>
          </w:p>
          <w:p w14:paraId="71050019">
            <w:pPr>
              <w:pStyle w:val="4"/>
              <w:jc w:val="both"/>
            </w:pPr>
            <w:r>
              <w:rPr>
                <w:rFonts w:ascii="仿宋_GB2312" w:hAnsi="仿宋_GB2312" w:eastAsia="仿宋_GB2312" w:cs="仿宋_GB2312"/>
                <w:sz w:val="20"/>
                <w:shd w:val="clear" w:fill="FFFFFF"/>
              </w:rPr>
              <w:t>测评工作采信可重用已有测评结果中相同的检测项目，包括商用密码安全产品测评结果，信息系统密码测评结果和等级保护测评结果。所有重用结果都以结果适用于待测系统为前提，并能够客观反映目前系统的安全状态。</w:t>
            </w:r>
          </w:p>
          <w:p w14:paraId="135807EF">
            <w:pPr>
              <w:pStyle w:val="4"/>
              <w:jc w:val="both"/>
            </w:pPr>
            <w:r>
              <w:rPr>
                <w:rFonts w:ascii="仿宋_GB2312" w:hAnsi="仿宋_GB2312" w:eastAsia="仿宋_GB2312" w:cs="仿宋_GB2312"/>
                <w:sz w:val="20"/>
                <w:shd w:val="clear" w:fill="FFFFFF"/>
              </w:rPr>
              <w:t>（3）可重复性和可再现性原则</w:t>
            </w:r>
          </w:p>
          <w:p w14:paraId="42DB1D09">
            <w:pPr>
              <w:pStyle w:val="4"/>
              <w:jc w:val="both"/>
            </w:pPr>
            <w:r>
              <w:rPr>
                <w:rFonts w:ascii="仿宋_GB2312" w:hAnsi="仿宋_GB2312" w:eastAsia="仿宋_GB2312" w:cs="仿宋_GB2312"/>
                <w:sz w:val="20"/>
                <w:shd w:val="clear" w:fill="FFFFFF"/>
              </w:rPr>
              <w:t>依照同样的要求，使用同样的测评方法，在同样的环境下，不同的测评机构对每个测评实施过程的重复执行应得到同样的结果。可再现性和可重复性的区别在于，前者关注不同测评者测评结果的一致性，后者则与同一测评者测评结果的一致性有关。</w:t>
            </w:r>
          </w:p>
          <w:p w14:paraId="05A1D84F">
            <w:pPr>
              <w:pStyle w:val="4"/>
              <w:jc w:val="both"/>
            </w:pPr>
            <w:r>
              <w:rPr>
                <w:rFonts w:ascii="仿宋_GB2312" w:hAnsi="仿宋_GB2312" w:eastAsia="仿宋_GB2312" w:cs="仿宋_GB2312"/>
                <w:sz w:val="20"/>
                <w:shd w:val="clear" w:fill="FFFFFF"/>
              </w:rPr>
              <w:t>（4）结果完善性原则</w:t>
            </w:r>
          </w:p>
          <w:p w14:paraId="57E6E17E">
            <w:pPr>
              <w:pStyle w:val="4"/>
              <w:jc w:val="both"/>
            </w:pPr>
            <w:r>
              <w:rPr>
                <w:rFonts w:ascii="仿宋_GB2312" w:hAnsi="仿宋_GB2312" w:eastAsia="仿宋_GB2312" w:cs="仿宋_GB2312"/>
                <w:sz w:val="20"/>
                <w:shd w:val="clear" w:fill="FFFFFF"/>
              </w:rPr>
              <w:t>在正确理解《信息系统密码应用基本要求》各个要求项内容的基础之上，检测所产生的结果应客观反映信息系统的运行状态。测评过程和结果应服从正确的测评方法，以确保其满足要求。</w:t>
            </w:r>
          </w:p>
          <w:p w14:paraId="330B82A3">
            <w:pPr>
              <w:pStyle w:val="4"/>
              <w:jc w:val="both"/>
            </w:pPr>
            <w:r>
              <w:rPr>
                <w:rFonts w:ascii="仿宋_GB2312" w:hAnsi="仿宋_GB2312" w:eastAsia="仿宋_GB2312" w:cs="仿宋_GB2312"/>
                <w:b/>
                <w:sz w:val="20"/>
                <w:shd w:val="clear" w:fill="FFFFFF"/>
              </w:rPr>
              <w:t>1.2密码应用安全性评估测评实施</w:t>
            </w:r>
          </w:p>
          <w:p w14:paraId="74F3852F">
            <w:pPr>
              <w:pStyle w:val="4"/>
              <w:jc w:val="both"/>
            </w:pPr>
            <w:r>
              <w:rPr>
                <w:rFonts w:ascii="仿宋_GB2312" w:hAnsi="仿宋_GB2312" w:eastAsia="仿宋_GB2312" w:cs="仿宋_GB2312"/>
                <w:b/>
                <w:sz w:val="20"/>
                <w:shd w:val="clear" w:fill="FFFFFF"/>
              </w:rPr>
              <w:t>1.2.1测评目标</w:t>
            </w:r>
          </w:p>
          <w:p w14:paraId="76C7FC5F">
            <w:pPr>
              <w:pStyle w:val="4"/>
              <w:jc w:val="both"/>
            </w:pPr>
            <w:r>
              <w:rPr>
                <w:rFonts w:ascii="仿宋_GB2312" w:hAnsi="仿宋_GB2312" w:eastAsia="仿宋_GB2312" w:cs="仿宋_GB2312"/>
                <w:sz w:val="20"/>
                <w:shd w:val="clear" w:fill="FFFFFF"/>
              </w:rPr>
              <w:t>对信息系统所使用的密码算法、密码技术、密码产品、密码服务进行合规性测评。信息系统中使用的密码算法应符合法律、法规的规定和密码相关国家标准、行业标准的有关要求；信息系统中使用的密码技术应遵循密码相关国家标准和行业标准；信息系统中使用的密码产品、密码服务应符合法律法规的相关要求。从信息系统的物理和环境安全、网络和通信安全、设备和计算安全、应用和数据安全、管理制度、人员管理、建设运行、应急处置对其密码应用基本要求进行测评，验证信息系统的商用密码应用基本要求是否达到其所对应网络安全等级保护级别的密码应用安全保护能力，是否满足对应安全等级的保护要求。</w:t>
            </w:r>
          </w:p>
          <w:p w14:paraId="51F1E50D">
            <w:pPr>
              <w:pStyle w:val="4"/>
              <w:jc w:val="both"/>
            </w:pPr>
            <w:r>
              <w:rPr>
                <w:rFonts w:ascii="仿宋_GB2312" w:hAnsi="仿宋_GB2312" w:eastAsia="仿宋_GB2312" w:cs="仿宋_GB2312"/>
                <w:b/>
                <w:sz w:val="20"/>
                <w:shd w:val="clear" w:fill="FFFFFF"/>
              </w:rPr>
              <w:t>1.2.2测评方法</w:t>
            </w:r>
          </w:p>
          <w:p w14:paraId="36363A22">
            <w:pPr>
              <w:pStyle w:val="4"/>
              <w:jc w:val="both"/>
            </w:pPr>
            <w:r>
              <w:rPr>
                <w:rFonts w:ascii="仿宋_GB2312" w:hAnsi="仿宋_GB2312" w:eastAsia="仿宋_GB2312" w:cs="仿宋_GB2312"/>
                <w:b/>
                <w:sz w:val="20"/>
                <w:shd w:val="clear" w:fill="FFFFFF"/>
              </w:rPr>
              <w:t>1.2.2.1测评方式</w:t>
            </w:r>
          </w:p>
          <w:p w14:paraId="6C795201">
            <w:pPr>
              <w:pStyle w:val="4"/>
              <w:jc w:val="both"/>
            </w:pPr>
            <w:r>
              <w:rPr>
                <w:rFonts w:ascii="仿宋_GB2312" w:hAnsi="仿宋_GB2312" w:eastAsia="仿宋_GB2312" w:cs="仿宋_GB2312"/>
                <w:sz w:val="20"/>
                <w:shd w:val="clear" w:fill="FFFFFF"/>
              </w:rPr>
              <w:t>本次密评的主要方式有：访谈、文档审查、配置审查、工具测试、实地察看。</w:t>
            </w:r>
          </w:p>
          <w:p w14:paraId="6C11A41E">
            <w:pPr>
              <w:pStyle w:val="4"/>
              <w:jc w:val="both"/>
            </w:pPr>
            <w:r>
              <w:rPr>
                <w:rFonts w:ascii="仿宋_GB2312" w:hAnsi="仿宋_GB2312" w:eastAsia="仿宋_GB2312" w:cs="仿宋_GB2312"/>
                <w:b/>
                <w:sz w:val="20"/>
                <w:shd w:val="clear" w:fill="FFFFFF"/>
              </w:rPr>
              <w:t>1.2.2.2风险分析及防范措施</w:t>
            </w:r>
          </w:p>
          <w:p w14:paraId="578A5004">
            <w:pPr>
              <w:pStyle w:val="4"/>
              <w:jc w:val="both"/>
            </w:pPr>
            <w:r>
              <w:rPr>
                <w:rFonts w:ascii="仿宋_GB2312" w:hAnsi="仿宋_GB2312" w:eastAsia="仿宋_GB2312" w:cs="仿宋_GB2312"/>
                <w:sz w:val="20"/>
                <w:shd w:val="clear" w:fill="FFFFFF"/>
              </w:rPr>
              <w:t>供应商应制定风险防范措施，针对测评阶段可能面临的风险制定风险规避措施，应包含测评环节各类常见风险。</w:t>
            </w:r>
          </w:p>
          <w:p w14:paraId="7D1667E4">
            <w:pPr>
              <w:pStyle w:val="4"/>
              <w:jc w:val="both"/>
            </w:pPr>
            <w:r>
              <w:rPr>
                <w:rFonts w:ascii="仿宋_GB2312" w:hAnsi="仿宋_GB2312" w:eastAsia="仿宋_GB2312" w:cs="仿宋_GB2312"/>
                <w:b/>
                <w:sz w:val="20"/>
                <w:shd w:val="clear" w:fill="FFFFFF"/>
              </w:rPr>
              <w:t>1.2.3.测评指标</w:t>
            </w:r>
          </w:p>
          <w:p w14:paraId="067848D7">
            <w:pPr>
              <w:pStyle w:val="4"/>
              <w:jc w:val="both"/>
            </w:pPr>
            <w:r>
              <w:rPr>
                <w:rFonts w:ascii="仿宋_GB2312" w:hAnsi="仿宋_GB2312" w:eastAsia="仿宋_GB2312" w:cs="仿宋_GB2312"/>
                <w:sz w:val="20"/>
                <w:shd w:val="clear" w:fill="FFFFFF"/>
              </w:rPr>
              <w:t>依据信息系统确定的业务信息安全保护等级和系统服务安全保护等级，选择GB/T 39786-2021《信息安全技术 信息系统密码应用基本要求》中对应级别的安全要求作为密码测评的基本指标。</w:t>
            </w:r>
          </w:p>
          <w:p w14:paraId="2E963604">
            <w:pPr>
              <w:pStyle w:val="4"/>
              <w:jc w:val="both"/>
            </w:pPr>
            <w:r>
              <w:rPr>
                <w:rFonts w:ascii="仿宋_GB2312" w:hAnsi="仿宋_GB2312" w:eastAsia="仿宋_GB2312" w:cs="仿宋_GB2312"/>
                <w:sz w:val="20"/>
                <w:shd w:val="clear" w:fill="FFFFFF"/>
              </w:rPr>
              <w:t>此次待测系统均为等保三级，本次测评指标范围,如表1所示。</w:t>
            </w:r>
          </w:p>
          <w:p w14:paraId="528F55BC">
            <w:pPr>
              <w:pStyle w:val="4"/>
              <w:jc w:val="both"/>
            </w:pPr>
            <w:r>
              <w:rPr>
                <w:rFonts w:ascii="仿宋_GB2312" w:hAnsi="仿宋_GB2312" w:eastAsia="仿宋_GB2312" w:cs="仿宋_GB2312"/>
                <w:sz w:val="20"/>
                <w:shd w:val="clear" w:fill="FFFFFF"/>
              </w:rPr>
              <w:t>测评范围内的测评指标：</w:t>
            </w:r>
          </w:p>
          <w:p w14:paraId="353D7041">
            <w:pPr>
              <w:pStyle w:val="4"/>
              <w:jc w:val="both"/>
            </w:pPr>
            <w:r>
              <w:rPr>
                <w:rFonts w:ascii="仿宋_GB2312" w:hAnsi="仿宋_GB2312" w:eastAsia="仿宋_GB2312" w:cs="仿宋_GB2312"/>
                <w:sz w:val="20"/>
                <w:shd w:val="clear" w:fill="FFFFFF"/>
              </w:rPr>
              <w:t>表1　测评范围内测评指标列表</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1"/>
              <w:gridCol w:w="600"/>
              <w:gridCol w:w="1444"/>
            </w:tblGrid>
            <w:tr w14:paraId="2E2AAF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3D49363">
                  <w:pPr>
                    <w:pStyle w:val="4"/>
                    <w:jc w:val="center"/>
                  </w:pPr>
                  <w:r>
                    <w:rPr>
                      <w:rFonts w:ascii="仿宋_GB2312" w:hAnsi="仿宋_GB2312" w:eastAsia="仿宋_GB2312" w:cs="仿宋_GB2312"/>
                      <w:b/>
                      <w:sz w:val="20"/>
                      <w:shd w:val="clear" w:fill="FFFFFF"/>
                    </w:rPr>
                    <w:t>序号</w:t>
                  </w:r>
                </w:p>
              </w:tc>
              <w:tc>
                <w:tcPr>
                  <w:tcW w:w="6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034CC44">
                  <w:pPr>
                    <w:pStyle w:val="4"/>
                    <w:jc w:val="center"/>
                  </w:pPr>
                  <w:r>
                    <w:rPr>
                      <w:rFonts w:ascii="仿宋_GB2312" w:hAnsi="仿宋_GB2312" w:eastAsia="仿宋_GB2312" w:cs="仿宋_GB2312"/>
                      <w:b/>
                      <w:sz w:val="20"/>
                      <w:shd w:val="clear" w:fill="FFFFFF"/>
                    </w:rPr>
                    <w:t>层面</w:t>
                  </w:r>
                </w:p>
              </w:tc>
              <w:tc>
                <w:tcPr>
                  <w:tcW w:w="16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9E47304">
                  <w:pPr>
                    <w:pStyle w:val="4"/>
                    <w:jc w:val="center"/>
                  </w:pPr>
                  <w:r>
                    <w:rPr>
                      <w:rFonts w:ascii="仿宋_GB2312" w:hAnsi="仿宋_GB2312" w:eastAsia="仿宋_GB2312" w:cs="仿宋_GB2312"/>
                      <w:b/>
                      <w:sz w:val="20"/>
                      <w:shd w:val="clear" w:fill="FFFFFF"/>
                    </w:rPr>
                    <w:t>测评指标</w:t>
                  </w:r>
                </w:p>
              </w:tc>
            </w:tr>
            <w:tr w14:paraId="4CA508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0C2C46">
                  <w:pPr>
                    <w:pStyle w:val="4"/>
                    <w:jc w:val="center"/>
                  </w:pPr>
                  <w:r>
                    <w:rPr>
                      <w:rFonts w:ascii="仿宋_GB2312" w:hAnsi="仿宋_GB2312" w:eastAsia="仿宋_GB2312" w:cs="仿宋_GB2312"/>
                      <w:sz w:val="20"/>
                      <w:shd w:val="clear" w:fill="FFFFFF"/>
                    </w:rPr>
                    <w:t>1</w:t>
                  </w:r>
                </w:p>
              </w:tc>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812310">
                  <w:pPr>
                    <w:pStyle w:val="4"/>
                    <w:jc w:val="center"/>
                  </w:pPr>
                  <w:r>
                    <w:rPr>
                      <w:rFonts w:ascii="仿宋_GB2312" w:hAnsi="仿宋_GB2312" w:eastAsia="仿宋_GB2312" w:cs="仿宋_GB2312"/>
                      <w:sz w:val="20"/>
                      <w:shd w:val="clear" w:fill="FFFFFF"/>
                    </w:rPr>
                    <w:t>物理和环境安全</w:t>
                  </w:r>
                </w:p>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5681C5">
                  <w:pPr>
                    <w:pStyle w:val="4"/>
                    <w:jc w:val="both"/>
                  </w:pPr>
                  <w:r>
                    <w:rPr>
                      <w:rFonts w:ascii="仿宋_GB2312" w:hAnsi="仿宋_GB2312" w:eastAsia="仿宋_GB2312" w:cs="仿宋_GB2312"/>
                      <w:sz w:val="20"/>
                      <w:shd w:val="clear" w:fill="FFFFFF"/>
                    </w:rPr>
                    <w:t>身份鉴别</w:t>
                  </w:r>
                </w:p>
              </w:tc>
            </w:tr>
            <w:tr w14:paraId="66C8C0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continue"/>
                  <w:tcBorders>
                    <w:top w:val="nil"/>
                    <w:left w:val="single" w:color="000000" w:sz="4" w:space="0"/>
                    <w:bottom w:val="single" w:color="000000" w:sz="4" w:space="0"/>
                    <w:right w:val="single" w:color="000000" w:sz="4" w:space="0"/>
                  </w:tcBorders>
                </w:tcPr>
                <w:p w14:paraId="0B1FECA3"/>
              </w:tc>
              <w:tc>
                <w:tcPr>
                  <w:tcW w:w="638" w:type="dxa"/>
                  <w:vMerge w:val="continue"/>
                  <w:tcBorders>
                    <w:top w:val="nil"/>
                    <w:left w:val="single" w:color="000000" w:sz="4" w:space="0"/>
                    <w:bottom w:val="single" w:color="000000" w:sz="4" w:space="0"/>
                    <w:right w:val="single" w:color="000000" w:sz="4" w:space="0"/>
                  </w:tcBorders>
                </w:tcPr>
                <w:p w14:paraId="78E0A3C0"/>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3622F6">
                  <w:pPr>
                    <w:pStyle w:val="4"/>
                    <w:jc w:val="both"/>
                  </w:pPr>
                  <w:r>
                    <w:rPr>
                      <w:rFonts w:ascii="仿宋_GB2312" w:hAnsi="仿宋_GB2312" w:eastAsia="仿宋_GB2312" w:cs="仿宋_GB2312"/>
                      <w:sz w:val="20"/>
                      <w:shd w:val="clear" w:fill="FFFFFF"/>
                    </w:rPr>
                    <w:t>电子门禁记录数据完整性</w:t>
                  </w:r>
                </w:p>
              </w:tc>
            </w:tr>
            <w:tr w14:paraId="3B4A34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continue"/>
                  <w:tcBorders>
                    <w:top w:val="nil"/>
                    <w:left w:val="single" w:color="000000" w:sz="4" w:space="0"/>
                    <w:bottom w:val="single" w:color="000000" w:sz="4" w:space="0"/>
                    <w:right w:val="single" w:color="000000" w:sz="4" w:space="0"/>
                  </w:tcBorders>
                </w:tcPr>
                <w:p w14:paraId="2DC8CFAE"/>
              </w:tc>
              <w:tc>
                <w:tcPr>
                  <w:tcW w:w="638" w:type="dxa"/>
                  <w:vMerge w:val="continue"/>
                  <w:tcBorders>
                    <w:top w:val="nil"/>
                    <w:left w:val="single" w:color="000000" w:sz="4" w:space="0"/>
                    <w:bottom w:val="single" w:color="000000" w:sz="4" w:space="0"/>
                    <w:right w:val="single" w:color="000000" w:sz="4" w:space="0"/>
                  </w:tcBorders>
                </w:tcPr>
                <w:p w14:paraId="40B02311"/>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154481">
                  <w:pPr>
                    <w:pStyle w:val="4"/>
                    <w:jc w:val="both"/>
                  </w:pPr>
                  <w:r>
                    <w:rPr>
                      <w:rFonts w:ascii="仿宋_GB2312" w:hAnsi="仿宋_GB2312" w:eastAsia="仿宋_GB2312" w:cs="仿宋_GB2312"/>
                      <w:sz w:val="20"/>
                      <w:shd w:val="clear" w:fill="FFFFFF"/>
                    </w:rPr>
                    <w:t>视频记录数完整性</w:t>
                  </w:r>
                </w:p>
              </w:tc>
            </w:tr>
            <w:tr w14:paraId="3B454F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C84ED8">
                  <w:pPr>
                    <w:pStyle w:val="4"/>
                    <w:jc w:val="center"/>
                  </w:pPr>
                  <w:r>
                    <w:rPr>
                      <w:rFonts w:ascii="仿宋_GB2312" w:hAnsi="仿宋_GB2312" w:eastAsia="仿宋_GB2312" w:cs="仿宋_GB2312"/>
                      <w:sz w:val="20"/>
                      <w:shd w:val="clear" w:fill="FFFFFF"/>
                    </w:rPr>
                    <w:t>2</w:t>
                  </w:r>
                </w:p>
              </w:tc>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EB0EA9">
                  <w:pPr>
                    <w:pStyle w:val="4"/>
                    <w:jc w:val="center"/>
                  </w:pPr>
                  <w:r>
                    <w:rPr>
                      <w:rFonts w:ascii="仿宋_GB2312" w:hAnsi="仿宋_GB2312" w:eastAsia="仿宋_GB2312" w:cs="仿宋_GB2312"/>
                      <w:sz w:val="20"/>
                      <w:shd w:val="clear" w:fill="FFFFFF"/>
                    </w:rPr>
                    <w:t>网络和通信安全</w:t>
                  </w:r>
                </w:p>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7E55B0">
                  <w:pPr>
                    <w:pStyle w:val="4"/>
                    <w:jc w:val="both"/>
                  </w:pPr>
                  <w:r>
                    <w:rPr>
                      <w:rFonts w:ascii="仿宋_GB2312" w:hAnsi="仿宋_GB2312" w:eastAsia="仿宋_GB2312" w:cs="仿宋_GB2312"/>
                      <w:sz w:val="20"/>
                      <w:shd w:val="clear" w:fill="FFFFFF"/>
                    </w:rPr>
                    <w:t>身份鉴别</w:t>
                  </w:r>
                </w:p>
              </w:tc>
            </w:tr>
            <w:tr w14:paraId="6CB4AA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continue"/>
                  <w:tcBorders>
                    <w:top w:val="nil"/>
                    <w:left w:val="single" w:color="000000" w:sz="4" w:space="0"/>
                    <w:bottom w:val="single" w:color="000000" w:sz="4" w:space="0"/>
                    <w:right w:val="single" w:color="000000" w:sz="4" w:space="0"/>
                  </w:tcBorders>
                </w:tcPr>
                <w:p w14:paraId="02FAB7F8"/>
              </w:tc>
              <w:tc>
                <w:tcPr>
                  <w:tcW w:w="638" w:type="dxa"/>
                  <w:vMerge w:val="continue"/>
                  <w:tcBorders>
                    <w:top w:val="nil"/>
                    <w:left w:val="single" w:color="000000" w:sz="4" w:space="0"/>
                    <w:bottom w:val="single" w:color="000000" w:sz="4" w:space="0"/>
                    <w:right w:val="single" w:color="000000" w:sz="4" w:space="0"/>
                  </w:tcBorders>
                </w:tcPr>
                <w:p w14:paraId="3D372D93"/>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F25802">
                  <w:pPr>
                    <w:pStyle w:val="4"/>
                    <w:jc w:val="both"/>
                  </w:pPr>
                  <w:r>
                    <w:rPr>
                      <w:rFonts w:ascii="仿宋_GB2312" w:hAnsi="仿宋_GB2312" w:eastAsia="仿宋_GB2312" w:cs="仿宋_GB2312"/>
                      <w:sz w:val="20"/>
                      <w:shd w:val="clear" w:fill="FFFFFF"/>
                    </w:rPr>
                    <w:t>网络边界访问控制信息的完整性</w:t>
                  </w:r>
                </w:p>
              </w:tc>
            </w:tr>
            <w:tr w14:paraId="3F3BE7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continue"/>
                  <w:tcBorders>
                    <w:top w:val="nil"/>
                    <w:left w:val="single" w:color="000000" w:sz="4" w:space="0"/>
                    <w:bottom w:val="single" w:color="000000" w:sz="4" w:space="0"/>
                    <w:right w:val="single" w:color="000000" w:sz="4" w:space="0"/>
                  </w:tcBorders>
                </w:tcPr>
                <w:p w14:paraId="13659E75"/>
              </w:tc>
              <w:tc>
                <w:tcPr>
                  <w:tcW w:w="638" w:type="dxa"/>
                  <w:vMerge w:val="continue"/>
                  <w:tcBorders>
                    <w:top w:val="nil"/>
                    <w:left w:val="single" w:color="000000" w:sz="4" w:space="0"/>
                    <w:bottom w:val="single" w:color="000000" w:sz="4" w:space="0"/>
                    <w:right w:val="single" w:color="000000" w:sz="4" w:space="0"/>
                  </w:tcBorders>
                </w:tcPr>
                <w:p w14:paraId="59340B35"/>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B5F03E">
                  <w:pPr>
                    <w:pStyle w:val="4"/>
                    <w:jc w:val="both"/>
                  </w:pPr>
                  <w:r>
                    <w:rPr>
                      <w:rFonts w:ascii="仿宋_GB2312" w:hAnsi="仿宋_GB2312" w:eastAsia="仿宋_GB2312" w:cs="仿宋_GB2312"/>
                      <w:sz w:val="20"/>
                      <w:shd w:val="clear" w:fill="FFFFFF"/>
                    </w:rPr>
                    <w:t>通信数据完整性</w:t>
                  </w:r>
                </w:p>
              </w:tc>
            </w:tr>
            <w:tr w14:paraId="164673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continue"/>
                  <w:tcBorders>
                    <w:top w:val="nil"/>
                    <w:left w:val="single" w:color="000000" w:sz="4" w:space="0"/>
                    <w:bottom w:val="single" w:color="000000" w:sz="4" w:space="0"/>
                    <w:right w:val="single" w:color="000000" w:sz="4" w:space="0"/>
                  </w:tcBorders>
                </w:tcPr>
                <w:p w14:paraId="03F2579C"/>
              </w:tc>
              <w:tc>
                <w:tcPr>
                  <w:tcW w:w="638" w:type="dxa"/>
                  <w:vMerge w:val="continue"/>
                  <w:tcBorders>
                    <w:top w:val="nil"/>
                    <w:left w:val="single" w:color="000000" w:sz="4" w:space="0"/>
                    <w:bottom w:val="single" w:color="000000" w:sz="4" w:space="0"/>
                    <w:right w:val="single" w:color="000000" w:sz="4" w:space="0"/>
                  </w:tcBorders>
                </w:tcPr>
                <w:p w14:paraId="45F55DA0"/>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12A85D">
                  <w:pPr>
                    <w:pStyle w:val="4"/>
                    <w:jc w:val="both"/>
                  </w:pPr>
                  <w:r>
                    <w:rPr>
                      <w:rFonts w:ascii="仿宋_GB2312" w:hAnsi="仿宋_GB2312" w:eastAsia="仿宋_GB2312" w:cs="仿宋_GB2312"/>
                      <w:sz w:val="20"/>
                      <w:shd w:val="clear" w:fill="FFFFFF"/>
                    </w:rPr>
                    <w:t>通信数据机密性</w:t>
                  </w:r>
                </w:p>
              </w:tc>
            </w:tr>
            <w:tr w14:paraId="547FEB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continue"/>
                  <w:tcBorders>
                    <w:top w:val="nil"/>
                    <w:left w:val="single" w:color="000000" w:sz="4" w:space="0"/>
                    <w:bottom w:val="single" w:color="000000" w:sz="4" w:space="0"/>
                    <w:right w:val="single" w:color="000000" w:sz="4" w:space="0"/>
                  </w:tcBorders>
                </w:tcPr>
                <w:p w14:paraId="7910A96E"/>
              </w:tc>
              <w:tc>
                <w:tcPr>
                  <w:tcW w:w="638" w:type="dxa"/>
                  <w:vMerge w:val="continue"/>
                  <w:tcBorders>
                    <w:top w:val="nil"/>
                    <w:left w:val="single" w:color="000000" w:sz="4" w:space="0"/>
                    <w:bottom w:val="single" w:color="000000" w:sz="4" w:space="0"/>
                    <w:right w:val="single" w:color="000000" w:sz="4" w:space="0"/>
                  </w:tcBorders>
                </w:tcPr>
                <w:p w14:paraId="1D107405"/>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975734">
                  <w:pPr>
                    <w:pStyle w:val="4"/>
                    <w:jc w:val="both"/>
                  </w:pPr>
                  <w:r>
                    <w:rPr>
                      <w:rFonts w:ascii="仿宋_GB2312" w:hAnsi="仿宋_GB2312" w:eastAsia="仿宋_GB2312" w:cs="仿宋_GB2312"/>
                      <w:sz w:val="20"/>
                      <w:shd w:val="clear" w:fill="FFFFFF"/>
                    </w:rPr>
                    <w:t>安全接入认证</w:t>
                  </w:r>
                </w:p>
              </w:tc>
            </w:tr>
            <w:tr w14:paraId="5857AB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454C64">
                  <w:pPr>
                    <w:pStyle w:val="4"/>
                    <w:jc w:val="center"/>
                  </w:pPr>
                  <w:r>
                    <w:rPr>
                      <w:rFonts w:ascii="仿宋_GB2312" w:hAnsi="仿宋_GB2312" w:eastAsia="仿宋_GB2312" w:cs="仿宋_GB2312"/>
                      <w:sz w:val="20"/>
                      <w:shd w:val="clear" w:fill="FFFFFF"/>
                    </w:rPr>
                    <w:t>3</w:t>
                  </w:r>
                </w:p>
              </w:tc>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2DA9B4">
                  <w:pPr>
                    <w:pStyle w:val="4"/>
                    <w:jc w:val="center"/>
                  </w:pPr>
                  <w:r>
                    <w:rPr>
                      <w:rFonts w:ascii="仿宋_GB2312" w:hAnsi="仿宋_GB2312" w:eastAsia="仿宋_GB2312" w:cs="仿宋_GB2312"/>
                      <w:sz w:val="20"/>
                      <w:shd w:val="clear" w:fill="FFFFFF"/>
                    </w:rPr>
                    <w:t>设备和计算安全</w:t>
                  </w:r>
                </w:p>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BFCBC7">
                  <w:pPr>
                    <w:pStyle w:val="4"/>
                    <w:jc w:val="both"/>
                  </w:pPr>
                  <w:r>
                    <w:rPr>
                      <w:rFonts w:ascii="仿宋_GB2312" w:hAnsi="仿宋_GB2312" w:eastAsia="仿宋_GB2312" w:cs="仿宋_GB2312"/>
                      <w:sz w:val="20"/>
                      <w:shd w:val="clear" w:fill="FFFFFF"/>
                    </w:rPr>
                    <w:t>身份鉴别</w:t>
                  </w:r>
                </w:p>
              </w:tc>
            </w:tr>
            <w:tr w14:paraId="43F72B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continue"/>
                  <w:tcBorders>
                    <w:top w:val="nil"/>
                    <w:left w:val="single" w:color="000000" w:sz="4" w:space="0"/>
                    <w:bottom w:val="single" w:color="000000" w:sz="4" w:space="0"/>
                    <w:right w:val="single" w:color="000000" w:sz="4" w:space="0"/>
                  </w:tcBorders>
                </w:tcPr>
                <w:p w14:paraId="141E4E0E"/>
              </w:tc>
              <w:tc>
                <w:tcPr>
                  <w:tcW w:w="638" w:type="dxa"/>
                  <w:vMerge w:val="continue"/>
                  <w:tcBorders>
                    <w:top w:val="nil"/>
                    <w:left w:val="single" w:color="000000" w:sz="4" w:space="0"/>
                    <w:bottom w:val="single" w:color="000000" w:sz="4" w:space="0"/>
                    <w:right w:val="single" w:color="000000" w:sz="4" w:space="0"/>
                  </w:tcBorders>
                </w:tcPr>
                <w:p w14:paraId="3A3030AC"/>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74334B">
                  <w:pPr>
                    <w:pStyle w:val="4"/>
                    <w:jc w:val="both"/>
                  </w:pPr>
                  <w:r>
                    <w:rPr>
                      <w:rFonts w:ascii="仿宋_GB2312" w:hAnsi="仿宋_GB2312" w:eastAsia="仿宋_GB2312" w:cs="仿宋_GB2312"/>
                      <w:sz w:val="20"/>
                      <w:shd w:val="clear" w:fill="FFFFFF"/>
                    </w:rPr>
                    <w:t>远程管理通道安全</w:t>
                  </w:r>
                </w:p>
              </w:tc>
            </w:tr>
            <w:tr w14:paraId="3B8BA3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continue"/>
                  <w:tcBorders>
                    <w:top w:val="nil"/>
                    <w:left w:val="single" w:color="000000" w:sz="4" w:space="0"/>
                    <w:bottom w:val="single" w:color="000000" w:sz="4" w:space="0"/>
                    <w:right w:val="single" w:color="000000" w:sz="4" w:space="0"/>
                  </w:tcBorders>
                </w:tcPr>
                <w:p w14:paraId="5C9888B6"/>
              </w:tc>
              <w:tc>
                <w:tcPr>
                  <w:tcW w:w="638" w:type="dxa"/>
                  <w:vMerge w:val="continue"/>
                  <w:tcBorders>
                    <w:top w:val="nil"/>
                    <w:left w:val="single" w:color="000000" w:sz="4" w:space="0"/>
                    <w:bottom w:val="single" w:color="000000" w:sz="4" w:space="0"/>
                    <w:right w:val="single" w:color="000000" w:sz="4" w:space="0"/>
                  </w:tcBorders>
                </w:tcPr>
                <w:p w14:paraId="679DAFB3"/>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5455A3">
                  <w:pPr>
                    <w:pStyle w:val="4"/>
                    <w:jc w:val="both"/>
                  </w:pPr>
                  <w:r>
                    <w:rPr>
                      <w:rFonts w:ascii="仿宋_GB2312" w:hAnsi="仿宋_GB2312" w:eastAsia="仿宋_GB2312" w:cs="仿宋_GB2312"/>
                      <w:sz w:val="20"/>
                      <w:shd w:val="clear" w:fill="FFFFFF"/>
                    </w:rPr>
                    <w:t>系统资源访问控制信息完整性</w:t>
                  </w:r>
                </w:p>
              </w:tc>
            </w:tr>
            <w:tr w14:paraId="0C2A9D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continue"/>
                  <w:tcBorders>
                    <w:top w:val="nil"/>
                    <w:left w:val="single" w:color="000000" w:sz="4" w:space="0"/>
                    <w:bottom w:val="single" w:color="000000" w:sz="4" w:space="0"/>
                    <w:right w:val="single" w:color="000000" w:sz="4" w:space="0"/>
                  </w:tcBorders>
                </w:tcPr>
                <w:p w14:paraId="53F02D95"/>
              </w:tc>
              <w:tc>
                <w:tcPr>
                  <w:tcW w:w="638" w:type="dxa"/>
                  <w:vMerge w:val="continue"/>
                  <w:tcBorders>
                    <w:top w:val="nil"/>
                    <w:left w:val="single" w:color="000000" w:sz="4" w:space="0"/>
                    <w:bottom w:val="single" w:color="000000" w:sz="4" w:space="0"/>
                    <w:right w:val="single" w:color="000000" w:sz="4" w:space="0"/>
                  </w:tcBorders>
                </w:tcPr>
                <w:p w14:paraId="221DABFC"/>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FF6426">
                  <w:pPr>
                    <w:pStyle w:val="4"/>
                    <w:jc w:val="both"/>
                  </w:pPr>
                  <w:r>
                    <w:rPr>
                      <w:rFonts w:ascii="仿宋_GB2312" w:hAnsi="仿宋_GB2312" w:eastAsia="仿宋_GB2312" w:cs="仿宋_GB2312"/>
                      <w:sz w:val="20"/>
                      <w:shd w:val="clear" w:fill="FFFFFF"/>
                    </w:rPr>
                    <w:t>重要信息资源安全标记完整性</w:t>
                  </w:r>
                </w:p>
              </w:tc>
            </w:tr>
            <w:tr w14:paraId="3EAC58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continue"/>
                  <w:tcBorders>
                    <w:top w:val="nil"/>
                    <w:left w:val="single" w:color="000000" w:sz="4" w:space="0"/>
                    <w:bottom w:val="single" w:color="000000" w:sz="4" w:space="0"/>
                    <w:right w:val="single" w:color="000000" w:sz="4" w:space="0"/>
                  </w:tcBorders>
                </w:tcPr>
                <w:p w14:paraId="696DA4DA"/>
              </w:tc>
              <w:tc>
                <w:tcPr>
                  <w:tcW w:w="638" w:type="dxa"/>
                  <w:vMerge w:val="continue"/>
                  <w:tcBorders>
                    <w:top w:val="nil"/>
                    <w:left w:val="single" w:color="000000" w:sz="4" w:space="0"/>
                    <w:bottom w:val="single" w:color="000000" w:sz="4" w:space="0"/>
                    <w:right w:val="single" w:color="000000" w:sz="4" w:space="0"/>
                  </w:tcBorders>
                </w:tcPr>
                <w:p w14:paraId="5A5E88AE"/>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998493">
                  <w:pPr>
                    <w:pStyle w:val="4"/>
                    <w:jc w:val="both"/>
                  </w:pPr>
                  <w:r>
                    <w:rPr>
                      <w:rFonts w:ascii="仿宋_GB2312" w:hAnsi="仿宋_GB2312" w:eastAsia="仿宋_GB2312" w:cs="仿宋_GB2312"/>
                      <w:sz w:val="20"/>
                      <w:shd w:val="clear" w:fill="FFFFFF"/>
                    </w:rPr>
                    <w:t>日志记录完整性</w:t>
                  </w:r>
                </w:p>
              </w:tc>
            </w:tr>
            <w:tr w14:paraId="0DF00F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continue"/>
                  <w:tcBorders>
                    <w:top w:val="nil"/>
                    <w:left w:val="single" w:color="000000" w:sz="4" w:space="0"/>
                    <w:bottom w:val="single" w:color="000000" w:sz="4" w:space="0"/>
                    <w:right w:val="single" w:color="000000" w:sz="4" w:space="0"/>
                  </w:tcBorders>
                </w:tcPr>
                <w:p w14:paraId="519EBE2F"/>
              </w:tc>
              <w:tc>
                <w:tcPr>
                  <w:tcW w:w="638" w:type="dxa"/>
                  <w:vMerge w:val="continue"/>
                  <w:tcBorders>
                    <w:top w:val="nil"/>
                    <w:left w:val="single" w:color="000000" w:sz="4" w:space="0"/>
                    <w:bottom w:val="single" w:color="000000" w:sz="4" w:space="0"/>
                    <w:right w:val="single" w:color="000000" w:sz="4" w:space="0"/>
                  </w:tcBorders>
                </w:tcPr>
                <w:p w14:paraId="64C7C546"/>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8C71C0">
                  <w:pPr>
                    <w:pStyle w:val="4"/>
                    <w:jc w:val="both"/>
                  </w:pPr>
                  <w:r>
                    <w:rPr>
                      <w:rFonts w:ascii="仿宋_GB2312" w:hAnsi="仿宋_GB2312" w:eastAsia="仿宋_GB2312" w:cs="仿宋_GB2312"/>
                      <w:sz w:val="20"/>
                      <w:shd w:val="clear" w:fill="FFFFFF"/>
                    </w:rPr>
                    <w:t>重要可执行程序完整性、重要可执行程序来源真实性</w:t>
                  </w:r>
                </w:p>
              </w:tc>
            </w:tr>
            <w:tr w14:paraId="2E193C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78CE60">
                  <w:pPr>
                    <w:pStyle w:val="4"/>
                    <w:jc w:val="center"/>
                  </w:pPr>
                  <w:r>
                    <w:rPr>
                      <w:rFonts w:ascii="仿宋_GB2312" w:hAnsi="仿宋_GB2312" w:eastAsia="仿宋_GB2312" w:cs="仿宋_GB2312"/>
                      <w:sz w:val="20"/>
                      <w:shd w:val="clear" w:fill="FFFFFF"/>
                    </w:rPr>
                    <w:t>4</w:t>
                  </w:r>
                </w:p>
              </w:tc>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F81190">
                  <w:pPr>
                    <w:pStyle w:val="4"/>
                    <w:jc w:val="center"/>
                  </w:pPr>
                  <w:r>
                    <w:rPr>
                      <w:rFonts w:ascii="仿宋_GB2312" w:hAnsi="仿宋_GB2312" w:eastAsia="仿宋_GB2312" w:cs="仿宋_GB2312"/>
                      <w:sz w:val="20"/>
                      <w:shd w:val="clear" w:fill="FFFFFF"/>
                    </w:rPr>
                    <w:t>应用和数据安全</w:t>
                  </w:r>
                </w:p>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A2E2B7">
                  <w:pPr>
                    <w:pStyle w:val="4"/>
                    <w:jc w:val="both"/>
                  </w:pPr>
                  <w:r>
                    <w:rPr>
                      <w:rFonts w:ascii="仿宋_GB2312" w:hAnsi="仿宋_GB2312" w:eastAsia="仿宋_GB2312" w:cs="仿宋_GB2312"/>
                      <w:sz w:val="20"/>
                      <w:shd w:val="clear" w:fill="FFFFFF"/>
                    </w:rPr>
                    <w:t>身份鉴别</w:t>
                  </w:r>
                </w:p>
              </w:tc>
            </w:tr>
            <w:tr w14:paraId="408565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continue"/>
                  <w:tcBorders>
                    <w:top w:val="nil"/>
                    <w:left w:val="single" w:color="000000" w:sz="4" w:space="0"/>
                    <w:bottom w:val="single" w:color="000000" w:sz="4" w:space="0"/>
                    <w:right w:val="single" w:color="000000" w:sz="4" w:space="0"/>
                  </w:tcBorders>
                </w:tcPr>
                <w:p w14:paraId="2E132E76"/>
              </w:tc>
              <w:tc>
                <w:tcPr>
                  <w:tcW w:w="638" w:type="dxa"/>
                  <w:vMerge w:val="continue"/>
                  <w:tcBorders>
                    <w:top w:val="nil"/>
                    <w:left w:val="single" w:color="000000" w:sz="4" w:space="0"/>
                    <w:bottom w:val="single" w:color="000000" w:sz="4" w:space="0"/>
                    <w:right w:val="single" w:color="000000" w:sz="4" w:space="0"/>
                  </w:tcBorders>
                </w:tcPr>
                <w:p w14:paraId="46D4C5CE"/>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F01B3B">
                  <w:pPr>
                    <w:pStyle w:val="4"/>
                    <w:jc w:val="both"/>
                  </w:pPr>
                  <w:r>
                    <w:rPr>
                      <w:rFonts w:ascii="仿宋_GB2312" w:hAnsi="仿宋_GB2312" w:eastAsia="仿宋_GB2312" w:cs="仿宋_GB2312"/>
                      <w:sz w:val="20"/>
                      <w:shd w:val="clear" w:fill="FFFFFF"/>
                    </w:rPr>
                    <w:t>访问控制完整性</w:t>
                  </w:r>
                </w:p>
              </w:tc>
            </w:tr>
            <w:tr w14:paraId="48A7FB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continue"/>
                  <w:tcBorders>
                    <w:top w:val="nil"/>
                    <w:left w:val="single" w:color="000000" w:sz="4" w:space="0"/>
                    <w:bottom w:val="single" w:color="000000" w:sz="4" w:space="0"/>
                    <w:right w:val="single" w:color="000000" w:sz="4" w:space="0"/>
                  </w:tcBorders>
                </w:tcPr>
                <w:p w14:paraId="67971BFC"/>
              </w:tc>
              <w:tc>
                <w:tcPr>
                  <w:tcW w:w="638" w:type="dxa"/>
                  <w:vMerge w:val="continue"/>
                  <w:tcBorders>
                    <w:top w:val="nil"/>
                    <w:left w:val="single" w:color="000000" w:sz="4" w:space="0"/>
                    <w:bottom w:val="single" w:color="000000" w:sz="4" w:space="0"/>
                    <w:right w:val="single" w:color="000000" w:sz="4" w:space="0"/>
                  </w:tcBorders>
                </w:tcPr>
                <w:p w14:paraId="4A50CE7E"/>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9CF2B6">
                  <w:pPr>
                    <w:pStyle w:val="4"/>
                    <w:jc w:val="both"/>
                  </w:pPr>
                  <w:r>
                    <w:rPr>
                      <w:rFonts w:ascii="仿宋_GB2312" w:hAnsi="仿宋_GB2312" w:eastAsia="仿宋_GB2312" w:cs="仿宋_GB2312"/>
                      <w:sz w:val="20"/>
                      <w:shd w:val="clear" w:fill="FFFFFF"/>
                    </w:rPr>
                    <w:t>数据传输机密性</w:t>
                  </w:r>
                </w:p>
              </w:tc>
            </w:tr>
            <w:tr w14:paraId="3CE540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continue"/>
                  <w:tcBorders>
                    <w:top w:val="nil"/>
                    <w:left w:val="single" w:color="000000" w:sz="4" w:space="0"/>
                    <w:bottom w:val="single" w:color="000000" w:sz="4" w:space="0"/>
                    <w:right w:val="single" w:color="000000" w:sz="4" w:space="0"/>
                  </w:tcBorders>
                </w:tcPr>
                <w:p w14:paraId="42EA5DD4"/>
              </w:tc>
              <w:tc>
                <w:tcPr>
                  <w:tcW w:w="638" w:type="dxa"/>
                  <w:vMerge w:val="continue"/>
                  <w:tcBorders>
                    <w:top w:val="nil"/>
                    <w:left w:val="single" w:color="000000" w:sz="4" w:space="0"/>
                    <w:bottom w:val="single" w:color="000000" w:sz="4" w:space="0"/>
                    <w:right w:val="single" w:color="000000" w:sz="4" w:space="0"/>
                  </w:tcBorders>
                </w:tcPr>
                <w:p w14:paraId="3B8D4C87"/>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C01E0B">
                  <w:pPr>
                    <w:pStyle w:val="4"/>
                    <w:jc w:val="both"/>
                  </w:pPr>
                  <w:r>
                    <w:rPr>
                      <w:rFonts w:ascii="仿宋_GB2312" w:hAnsi="仿宋_GB2312" w:eastAsia="仿宋_GB2312" w:cs="仿宋_GB2312"/>
                      <w:sz w:val="20"/>
                      <w:shd w:val="clear" w:fill="FFFFFF"/>
                    </w:rPr>
                    <w:t>数据存储机密性</w:t>
                  </w:r>
                </w:p>
              </w:tc>
            </w:tr>
            <w:tr w14:paraId="70E13C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continue"/>
                  <w:tcBorders>
                    <w:top w:val="nil"/>
                    <w:left w:val="single" w:color="000000" w:sz="4" w:space="0"/>
                    <w:bottom w:val="single" w:color="000000" w:sz="4" w:space="0"/>
                    <w:right w:val="single" w:color="000000" w:sz="4" w:space="0"/>
                  </w:tcBorders>
                </w:tcPr>
                <w:p w14:paraId="5769170B"/>
              </w:tc>
              <w:tc>
                <w:tcPr>
                  <w:tcW w:w="638" w:type="dxa"/>
                  <w:vMerge w:val="continue"/>
                  <w:tcBorders>
                    <w:top w:val="nil"/>
                    <w:left w:val="single" w:color="000000" w:sz="4" w:space="0"/>
                    <w:bottom w:val="single" w:color="000000" w:sz="4" w:space="0"/>
                    <w:right w:val="single" w:color="000000" w:sz="4" w:space="0"/>
                  </w:tcBorders>
                </w:tcPr>
                <w:p w14:paraId="49CF9FA7"/>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0D5DB6">
                  <w:pPr>
                    <w:pStyle w:val="4"/>
                    <w:jc w:val="both"/>
                  </w:pPr>
                  <w:r>
                    <w:rPr>
                      <w:rFonts w:ascii="仿宋_GB2312" w:hAnsi="仿宋_GB2312" w:eastAsia="仿宋_GB2312" w:cs="仿宋_GB2312"/>
                      <w:sz w:val="20"/>
                      <w:shd w:val="clear" w:fill="FFFFFF"/>
                    </w:rPr>
                    <w:t>数据传输完整性</w:t>
                  </w:r>
                </w:p>
              </w:tc>
            </w:tr>
            <w:tr w14:paraId="5BF6B9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continue"/>
                  <w:tcBorders>
                    <w:top w:val="nil"/>
                    <w:left w:val="single" w:color="000000" w:sz="4" w:space="0"/>
                    <w:bottom w:val="single" w:color="000000" w:sz="4" w:space="0"/>
                    <w:right w:val="single" w:color="000000" w:sz="4" w:space="0"/>
                  </w:tcBorders>
                </w:tcPr>
                <w:p w14:paraId="3259F62A"/>
              </w:tc>
              <w:tc>
                <w:tcPr>
                  <w:tcW w:w="638" w:type="dxa"/>
                  <w:vMerge w:val="continue"/>
                  <w:tcBorders>
                    <w:top w:val="nil"/>
                    <w:left w:val="single" w:color="000000" w:sz="4" w:space="0"/>
                    <w:bottom w:val="single" w:color="000000" w:sz="4" w:space="0"/>
                    <w:right w:val="single" w:color="000000" w:sz="4" w:space="0"/>
                  </w:tcBorders>
                </w:tcPr>
                <w:p w14:paraId="6FBF4109"/>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02437B">
                  <w:pPr>
                    <w:pStyle w:val="4"/>
                    <w:jc w:val="both"/>
                  </w:pPr>
                  <w:r>
                    <w:rPr>
                      <w:rFonts w:ascii="仿宋_GB2312" w:hAnsi="仿宋_GB2312" w:eastAsia="仿宋_GB2312" w:cs="仿宋_GB2312"/>
                      <w:sz w:val="20"/>
                      <w:shd w:val="clear" w:fill="FFFFFF"/>
                    </w:rPr>
                    <w:t>数据存储完整性</w:t>
                  </w:r>
                </w:p>
              </w:tc>
            </w:tr>
            <w:tr w14:paraId="0CBEB5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continue"/>
                  <w:tcBorders>
                    <w:top w:val="nil"/>
                    <w:left w:val="single" w:color="000000" w:sz="4" w:space="0"/>
                    <w:bottom w:val="single" w:color="000000" w:sz="4" w:space="0"/>
                    <w:right w:val="single" w:color="000000" w:sz="4" w:space="0"/>
                  </w:tcBorders>
                </w:tcPr>
                <w:p w14:paraId="6AC5F791"/>
              </w:tc>
              <w:tc>
                <w:tcPr>
                  <w:tcW w:w="638" w:type="dxa"/>
                  <w:vMerge w:val="continue"/>
                  <w:tcBorders>
                    <w:top w:val="nil"/>
                    <w:left w:val="single" w:color="000000" w:sz="4" w:space="0"/>
                    <w:bottom w:val="single" w:color="000000" w:sz="4" w:space="0"/>
                    <w:right w:val="single" w:color="000000" w:sz="4" w:space="0"/>
                  </w:tcBorders>
                </w:tcPr>
                <w:p w14:paraId="74E04AC5"/>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76A612">
                  <w:pPr>
                    <w:pStyle w:val="4"/>
                    <w:jc w:val="both"/>
                  </w:pPr>
                  <w:r>
                    <w:rPr>
                      <w:rFonts w:ascii="仿宋_GB2312" w:hAnsi="仿宋_GB2312" w:eastAsia="仿宋_GB2312" w:cs="仿宋_GB2312"/>
                      <w:sz w:val="20"/>
                      <w:shd w:val="clear" w:fill="FFFFFF"/>
                    </w:rPr>
                    <w:t>日志完整性</w:t>
                  </w:r>
                </w:p>
              </w:tc>
            </w:tr>
            <w:tr w14:paraId="3F3C31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continue"/>
                  <w:tcBorders>
                    <w:top w:val="nil"/>
                    <w:left w:val="single" w:color="000000" w:sz="4" w:space="0"/>
                    <w:bottom w:val="single" w:color="000000" w:sz="4" w:space="0"/>
                    <w:right w:val="single" w:color="000000" w:sz="4" w:space="0"/>
                  </w:tcBorders>
                </w:tcPr>
                <w:p w14:paraId="3335346A"/>
              </w:tc>
              <w:tc>
                <w:tcPr>
                  <w:tcW w:w="638" w:type="dxa"/>
                  <w:vMerge w:val="continue"/>
                  <w:tcBorders>
                    <w:top w:val="nil"/>
                    <w:left w:val="single" w:color="000000" w:sz="4" w:space="0"/>
                    <w:bottom w:val="single" w:color="000000" w:sz="4" w:space="0"/>
                    <w:right w:val="single" w:color="000000" w:sz="4" w:space="0"/>
                  </w:tcBorders>
                </w:tcPr>
                <w:p w14:paraId="5FE6C319"/>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5CB44A">
                  <w:pPr>
                    <w:pStyle w:val="4"/>
                    <w:jc w:val="both"/>
                  </w:pPr>
                  <w:r>
                    <w:rPr>
                      <w:rFonts w:ascii="仿宋_GB2312" w:hAnsi="仿宋_GB2312" w:eastAsia="仿宋_GB2312" w:cs="仿宋_GB2312"/>
                      <w:sz w:val="20"/>
                      <w:shd w:val="clear" w:fill="FFFFFF"/>
                    </w:rPr>
                    <w:t>重要信息资源安全标记完整性</w:t>
                  </w:r>
                </w:p>
              </w:tc>
            </w:tr>
            <w:tr w14:paraId="4A8AD3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continue"/>
                  <w:tcBorders>
                    <w:top w:val="nil"/>
                    <w:left w:val="single" w:color="000000" w:sz="4" w:space="0"/>
                    <w:bottom w:val="single" w:color="000000" w:sz="4" w:space="0"/>
                    <w:right w:val="single" w:color="000000" w:sz="4" w:space="0"/>
                  </w:tcBorders>
                </w:tcPr>
                <w:p w14:paraId="4FA32E26"/>
              </w:tc>
              <w:tc>
                <w:tcPr>
                  <w:tcW w:w="638" w:type="dxa"/>
                  <w:vMerge w:val="continue"/>
                  <w:tcBorders>
                    <w:top w:val="nil"/>
                    <w:left w:val="single" w:color="000000" w:sz="4" w:space="0"/>
                    <w:bottom w:val="single" w:color="000000" w:sz="4" w:space="0"/>
                    <w:right w:val="single" w:color="000000" w:sz="4" w:space="0"/>
                  </w:tcBorders>
                </w:tcPr>
                <w:p w14:paraId="1C0C077E"/>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473D7C">
                  <w:pPr>
                    <w:pStyle w:val="4"/>
                    <w:jc w:val="both"/>
                  </w:pPr>
                  <w:r>
                    <w:rPr>
                      <w:rFonts w:ascii="仿宋_GB2312" w:hAnsi="仿宋_GB2312" w:eastAsia="仿宋_GB2312" w:cs="仿宋_GB2312"/>
                      <w:sz w:val="20"/>
                      <w:shd w:val="clear" w:fill="FFFFFF"/>
                    </w:rPr>
                    <w:t>不可否认性</w:t>
                  </w:r>
                </w:p>
              </w:tc>
            </w:tr>
            <w:tr w14:paraId="3E4AC9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8F90E8">
                  <w:pPr>
                    <w:pStyle w:val="4"/>
                    <w:jc w:val="center"/>
                  </w:pPr>
                  <w:r>
                    <w:rPr>
                      <w:rFonts w:ascii="仿宋_GB2312" w:hAnsi="仿宋_GB2312" w:eastAsia="仿宋_GB2312" w:cs="仿宋_GB2312"/>
                      <w:sz w:val="20"/>
                      <w:shd w:val="clear" w:fill="FFFFFF"/>
                    </w:rPr>
                    <w:t>5</w:t>
                  </w:r>
                </w:p>
              </w:tc>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00AF6F">
                  <w:pPr>
                    <w:pStyle w:val="4"/>
                    <w:jc w:val="center"/>
                  </w:pPr>
                  <w:r>
                    <w:rPr>
                      <w:rFonts w:ascii="仿宋_GB2312" w:hAnsi="仿宋_GB2312" w:eastAsia="仿宋_GB2312" w:cs="仿宋_GB2312"/>
                      <w:sz w:val="20"/>
                      <w:shd w:val="clear" w:fill="FFFFFF"/>
                    </w:rPr>
                    <w:t>安全管理</w:t>
                  </w:r>
                </w:p>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652687">
                  <w:pPr>
                    <w:pStyle w:val="4"/>
                    <w:jc w:val="both"/>
                  </w:pPr>
                  <w:r>
                    <w:rPr>
                      <w:rFonts w:ascii="仿宋_GB2312" w:hAnsi="仿宋_GB2312" w:eastAsia="仿宋_GB2312" w:cs="仿宋_GB2312"/>
                      <w:sz w:val="20"/>
                      <w:shd w:val="clear" w:fill="FFFFFF"/>
                    </w:rPr>
                    <w:t>管理制度</w:t>
                  </w:r>
                </w:p>
              </w:tc>
            </w:tr>
            <w:tr w14:paraId="7EAF1D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continue"/>
                  <w:tcBorders>
                    <w:top w:val="nil"/>
                    <w:left w:val="single" w:color="000000" w:sz="4" w:space="0"/>
                    <w:bottom w:val="single" w:color="000000" w:sz="4" w:space="0"/>
                    <w:right w:val="single" w:color="000000" w:sz="4" w:space="0"/>
                  </w:tcBorders>
                </w:tcPr>
                <w:p w14:paraId="3A50D67B"/>
              </w:tc>
              <w:tc>
                <w:tcPr>
                  <w:tcW w:w="638" w:type="dxa"/>
                  <w:vMerge w:val="continue"/>
                  <w:tcBorders>
                    <w:top w:val="nil"/>
                    <w:left w:val="single" w:color="000000" w:sz="4" w:space="0"/>
                    <w:bottom w:val="single" w:color="000000" w:sz="4" w:space="0"/>
                    <w:right w:val="single" w:color="000000" w:sz="4" w:space="0"/>
                  </w:tcBorders>
                </w:tcPr>
                <w:p w14:paraId="3BD9554F"/>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02C485">
                  <w:pPr>
                    <w:pStyle w:val="4"/>
                    <w:jc w:val="both"/>
                  </w:pPr>
                  <w:r>
                    <w:rPr>
                      <w:rFonts w:ascii="仿宋_GB2312" w:hAnsi="仿宋_GB2312" w:eastAsia="仿宋_GB2312" w:cs="仿宋_GB2312"/>
                      <w:sz w:val="20"/>
                      <w:shd w:val="clear" w:fill="FFFFFF"/>
                    </w:rPr>
                    <w:t>人员管理</w:t>
                  </w:r>
                </w:p>
              </w:tc>
            </w:tr>
            <w:tr w14:paraId="35C423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continue"/>
                  <w:tcBorders>
                    <w:top w:val="nil"/>
                    <w:left w:val="single" w:color="000000" w:sz="4" w:space="0"/>
                    <w:bottom w:val="single" w:color="000000" w:sz="4" w:space="0"/>
                    <w:right w:val="single" w:color="000000" w:sz="4" w:space="0"/>
                  </w:tcBorders>
                </w:tcPr>
                <w:p w14:paraId="61D84643"/>
              </w:tc>
              <w:tc>
                <w:tcPr>
                  <w:tcW w:w="638" w:type="dxa"/>
                  <w:vMerge w:val="continue"/>
                  <w:tcBorders>
                    <w:top w:val="nil"/>
                    <w:left w:val="single" w:color="000000" w:sz="4" w:space="0"/>
                    <w:bottom w:val="single" w:color="000000" w:sz="4" w:space="0"/>
                    <w:right w:val="single" w:color="000000" w:sz="4" w:space="0"/>
                  </w:tcBorders>
                </w:tcPr>
                <w:p w14:paraId="5BA8C125"/>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31729E">
                  <w:pPr>
                    <w:pStyle w:val="4"/>
                    <w:jc w:val="both"/>
                  </w:pPr>
                  <w:r>
                    <w:rPr>
                      <w:rFonts w:ascii="仿宋_GB2312" w:hAnsi="仿宋_GB2312" w:eastAsia="仿宋_GB2312" w:cs="仿宋_GB2312"/>
                      <w:sz w:val="20"/>
                      <w:shd w:val="clear" w:fill="FFFFFF"/>
                    </w:rPr>
                    <w:t>建设运行</w:t>
                  </w:r>
                </w:p>
              </w:tc>
            </w:tr>
            <w:tr w14:paraId="27FA97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 w:type="dxa"/>
                  <w:vMerge w:val="continue"/>
                  <w:tcBorders>
                    <w:top w:val="nil"/>
                    <w:left w:val="single" w:color="000000" w:sz="4" w:space="0"/>
                    <w:bottom w:val="single" w:color="000000" w:sz="4" w:space="0"/>
                    <w:right w:val="single" w:color="000000" w:sz="4" w:space="0"/>
                  </w:tcBorders>
                </w:tcPr>
                <w:p w14:paraId="2B0D1BA8"/>
              </w:tc>
              <w:tc>
                <w:tcPr>
                  <w:tcW w:w="638" w:type="dxa"/>
                  <w:vMerge w:val="continue"/>
                  <w:tcBorders>
                    <w:top w:val="nil"/>
                    <w:left w:val="single" w:color="000000" w:sz="4" w:space="0"/>
                    <w:bottom w:val="single" w:color="000000" w:sz="4" w:space="0"/>
                    <w:right w:val="single" w:color="000000" w:sz="4" w:space="0"/>
                  </w:tcBorders>
                </w:tcPr>
                <w:p w14:paraId="38670762"/>
              </w:tc>
              <w:tc>
                <w:tcPr>
                  <w:tcW w:w="1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A5C349">
                  <w:pPr>
                    <w:pStyle w:val="4"/>
                    <w:jc w:val="both"/>
                  </w:pPr>
                  <w:r>
                    <w:rPr>
                      <w:rFonts w:ascii="仿宋_GB2312" w:hAnsi="仿宋_GB2312" w:eastAsia="仿宋_GB2312" w:cs="仿宋_GB2312"/>
                      <w:sz w:val="20"/>
                      <w:shd w:val="clear" w:fill="FFFFFF"/>
                    </w:rPr>
                    <w:t>应急处置</w:t>
                  </w:r>
                </w:p>
              </w:tc>
            </w:tr>
          </w:tbl>
          <w:p w14:paraId="039D0D24">
            <w:pPr>
              <w:pStyle w:val="4"/>
              <w:jc w:val="both"/>
            </w:pPr>
            <w:r>
              <w:rPr>
                <w:rFonts w:ascii="仿宋_GB2312" w:hAnsi="仿宋_GB2312" w:eastAsia="仿宋_GB2312" w:cs="仿宋_GB2312"/>
                <w:b/>
                <w:sz w:val="20"/>
                <w:shd w:val="clear" w:fill="FFFFFF"/>
              </w:rPr>
              <w:t>1.2.4测评内容</w:t>
            </w:r>
          </w:p>
          <w:p w14:paraId="3ED4D60E">
            <w:pPr>
              <w:pStyle w:val="4"/>
              <w:jc w:val="both"/>
            </w:pPr>
            <w:r>
              <w:rPr>
                <w:rFonts w:ascii="仿宋_GB2312" w:hAnsi="仿宋_GB2312" w:eastAsia="仿宋_GB2312" w:cs="仿宋_GB2312"/>
                <w:sz w:val="20"/>
                <w:shd w:val="clear" w:fill="FFFFFF"/>
              </w:rPr>
              <w:t>依据《信息安全技术信息系统密码应用基本要求》（GB/T39786-2021）《信息安全技术 信息系统密码应用测评要求》（GB/T 43206-2023）和系统自身的安全性需求分析，对待测系统进行密评工作，服务内容包括：物理和环境安全测评、网络和通信安全测评、设备和计算安全测评、应用和数据安全测评，密钥管理测评、安全管理测评、整体测评与风险评估、提出系统整改建议等，结合量化评估准则，输出测评结果。</w:t>
            </w:r>
          </w:p>
          <w:p w14:paraId="1F1B0D14">
            <w:pPr>
              <w:pStyle w:val="4"/>
              <w:jc w:val="both"/>
            </w:pPr>
            <w:r>
              <w:rPr>
                <w:rFonts w:ascii="仿宋_GB2312" w:hAnsi="仿宋_GB2312" w:eastAsia="仿宋_GB2312" w:cs="仿宋_GB2312"/>
                <w:sz w:val="20"/>
                <w:shd w:val="clear" w:fill="FFFFFF"/>
              </w:rPr>
              <w:t>根据项目内容要求，以电子版或纸版形式按需求输出成果，并针对采购人的咨询进行及时反馈，方式不限于现场支撑、邮件、电话或报告。</w:t>
            </w:r>
          </w:p>
          <w:p w14:paraId="3DEDB80D">
            <w:pPr>
              <w:pStyle w:val="4"/>
              <w:jc w:val="both"/>
            </w:pPr>
            <w:r>
              <w:rPr>
                <w:rFonts w:ascii="仿宋_GB2312" w:hAnsi="仿宋_GB2312" w:eastAsia="仿宋_GB2312" w:cs="仿宋_GB2312"/>
                <w:sz w:val="20"/>
                <w:shd w:val="clear" w:fill="FFFFFF"/>
              </w:rPr>
              <w:t>密评现场工作完成后，立足于测评获取的数据记录、证据文件、信息资料等，对评估发现的问题提出整改建议，并按照国家密码管理局要求包含的内容或参考模板编制交付正式的密码应用安全性评估报告。</w:t>
            </w:r>
          </w:p>
          <w:p w14:paraId="70950442">
            <w:pPr>
              <w:pStyle w:val="4"/>
              <w:jc w:val="both"/>
            </w:pPr>
            <w:r>
              <w:rPr>
                <w:rFonts w:ascii="仿宋_GB2312" w:hAnsi="仿宋_GB2312" w:eastAsia="仿宋_GB2312" w:cs="仿宋_GB2312"/>
                <w:sz w:val="20"/>
                <w:shd w:val="clear" w:fill="FFFFFF"/>
              </w:rPr>
              <w:t>该项目提交的文档包括但不限于：</w:t>
            </w:r>
          </w:p>
          <w:p w14:paraId="26E58463">
            <w:pPr>
              <w:pStyle w:val="4"/>
              <w:jc w:val="both"/>
            </w:pPr>
            <w:r>
              <w:rPr>
                <w:rFonts w:ascii="仿宋_GB2312" w:hAnsi="仿宋_GB2312" w:eastAsia="仿宋_GB2312" w:cs="仿宋_GB2312"/>
                <w:sz w:val="20"/>
                <w:shd w:val="clear" w:fill="FFFFFF"/>
              </w:rPr>
              <w:t>（1）提交相关系统的《商用密码应用安全性评估报告》；</w:t>
            </w:r>
          </w:p>
          <w:p w14:paraId="45A412F6">
            <w:pPr>
              <w:pStyle w:val="4"/>
              <w:jc w:val="both"/>
            </w:pPr>
            <w:r>
              <w:rPr>
                <w:rFonts w:ascii="仿宋_GB2312" w:hAnsi="仿宋_GB2312" w:eastAsia="仿宋_GB2312" w:cs="仿宋_GB2312"/>
                <w:sz w:val="20"/>
                <w:shd w:val="clear" w:fill="FFFFFF"/>
              </w:rPr>
              <w:t>（2）整改建议书；</w:t>
            </w:r>
          </w:p>
          <w:p w14:paraId="28C4541F">
            <w:pPr>
              <w:pStyle w:val="4"/>
              <w:jc w:val="both"/>
            </w:pPr>
            <w:r>
              <w:rPr>
                <w:rFonts w:ascii="仿宋_GB2312" w:hAnsi="仿宋_GB2312" w:eastAsia="仿宋_GB2312" w:cs="仿宋_GB2312"/>
                <w:sz w:val="20"/>
                <w:shd w:val="clear" w:fill="FFFFFF"/>
              </w:rPr>
              <w:t>（3）其他服务资料等。</w:t>
            </w:r>
          </w:p>
          <w:p w14:paraId="4F99F20C">
            <w:pPr>
              <w:pStyle w:val="4"/>
              <w:jc w:val="both"/>
            </w:pPr>
            <w:r>
              <w:rPr>
                <w:rFonts w:ascii="仿宋_GB2312" w:hAnsi="仿宋_GB2312" w:eastAsia="仿宋_GB2312" w:cs="仿宋_GB2312"/>
                <w:sz w:val="20"/>
                <w:shd w:val="clear" w:fill="FFFFFF"/>
              </w:rPr>
              <w:t>提交形式：纸质资料一式三份，电子版资料一份。</w:t>
            </w:r>
          </w:p>
          <w:p w14:paraId="6335984B">
            <w:pPr>
              <w:pStyle w:val="4"/>
              <w:jc w:val="both"/>
            </w:pPr>
            <w:r>
              <w:rPr>
                <w:rFonts w:ascii="仿宋_GB2312" w:hAnsi="仿宋_GB2312" w:eastAsia="仿宋_GB2312" w:cs="仿宋_GB2312"/>
                <w:sz w:val="20"/>
                <w:shd w:val="clear" w:fill="FFFFFF"/>
              </w:rPr>
              <w:t>服务期限内，提供密码应用安全性评估相关问题的咨询；协助采购人进行密码应用安全性评估相关备案、培训等工作。</w:t>
            </w:r>
          </w:p>
          <w:p w14:paraId="351FB713">
            <w:pPr>
              <w:pStyle w:val="4"/>
              <w:jc w:val="both"/>
            </w:pPr>
            <w:r>
              <w:rPr>
                <w:rFonts w:ascii="仿宋_GB2312" w:hAnsi="仿宋_GB2312" w:eastAsia="仿宋_GB2312" w:cs="仿宋_GB2312"/>
                <w:b/>
                <w:sz w:val="20"/>
                <w:shd w:val="clear" w:fill="FFFFFF"/>
              </w:rPr>
              <w:t>1.3.测评实施流程</w:t>
            </w:r>
          </w:p>
          <w:p w14:paraId="24BE523C">
            <w:pPr>
              <w:pStyle w:val="4"/>
              <w:jc w:val="both"/>
            </w:pPr>
            <w:r>
              <w:drawing>
                <wp:inline distT="0" distB="0" distL="0" distR="0">
                  <wp:extent cx="1621155" cy="2840355"/>
                  <wp:effectExtent l="0" t="0" r="17145" b="17145"/>
                  <wp:docPr id="1"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img"/>
                          <pic:cNvPicPr>
                            <a:picLocks noChangeAspect="1"/>
                          </pic:cNvPicPr>
                        </pic:nvPicPr>
                        <pic:blipFill>
                          <a:blip r:embed="rId4"/>
                          <a:stretch>
                            <a:fillRect/>
                          </a:stretch>
                        </pic:blipFill>
                        <pic:spPr>
                          <a:xfrm>
                            <a:off x="0" y="0"/>
                            <a:ext cx="1621155" cy="2840910"/>
                          </a:xfrm>
                          <a:prstGeom prst="rect">
                            <a:avLst/>
                          </a:prstGeom>
                        </pic:spPr>
                      </pic:pic>
                    </a:graphicData>
                  </a:graphic>
                </wp:inline>
              </w:drawing>
            </w:r>
          </w:p>
          <w:p w14:paraId="770E312E">
            <w:pPr>
              <w:pStyle w:val="4"/>
              <w:jc w:val="both"/>
            </w:pPr>
            <w:r>
              <w:rPr>
                <w:rFonts w:ascii="仿宋_GB2312" w:hAnsi="仿宋_GB2312" w:eastAsia="仿宋_GB2312" w:cs="仿宋_GB2312"/>
                <w:b/>
                <w:sz w:val="20"/>
                <w:shd w:val="clear" w:fill="FFFFFF"/>
              </w:rPr>
              <w:t>1.4项目实施计划</w:t>
            </w:r>
          </w:p>
          <w:p w14:paraId="7837ED75">
            <w:pPr>
              <w:pStyle w:val="4"/>
              <w:jc w:val="both"/>
            </w:pPr>
            <w:r>
              <w:rPr>
                <w:rFonts w:ascii="仿宋_GB2312" w:hAnsi="仿宋_GB2312" w:eastAsia="仿宋_GB2312" w:cs="仿宋_GB2312"/>
                <w:sz w:val="20"/>
                <w:shd w:val="clear" w:fill="FFFFFF"/>
              </w:rPr>
              <w:t>附：项目实施计划表</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06"/>
              <w:gridCol w:w="555"/>
              <w:gridCol w:w="1394"/>
            </w:tblGrid>
            <w:tr w14:paraId="7EA695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933E85D">
                  <w:pPr>
                    <w:pStyle w:val="4"/>
                    <w:jc w:val="center"/>
                  </w:pPr>
                  <w:r>
                    <w:rPr>
                      <w:rFonts w:ascii="仿宋_GB2312" w:hAnsi="仿宋_GB2312" w:eastAsia="仿宋_GB2312" w:cs="仿宋_GB2312"/>
                      <w:sz w:val="20"/>
                      <w:shd w:val="clear" w:fill="FFFFFF"/>
                    </w:rPr>
                    <w:t>阶段</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730C00A">
                  <w:pPr>
                    <w:pStyle w:val="4"/>
                    <w:jc w:val="center"/>
                  </w:pPr>
                  <w:r>
                    <w:rPr>
                      <w:rFonts w:ascii="仿宋_GB2312" w:hAnsi="仿宋_GB2312" w:eastAsia="仿宋_GB2312" w:cs="仿宋_GB2312"/>
                      <w:sz w:val="20"/>
                      <w:shd w:val="clear" w:fill="FFFFFF"/>
                    </w:rPr>
                    <w:t>任务</w:t>
                  </w:r>
                </w:p>
              </w:tc>
            </w:tr>
            <w:tr w14:paraId="718084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5"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09F11FF">
                  <w:pPr>
                    <w:pStyle w:val="4"/>
                    <w:jc w:val="center"/>
                  </w:pPr>
                  <w:r>
                    <w:rPr>
                      <w:rFonts w:ascii="仿宋_GB2312" w:hAnsi="仿宋_GB2312" w:eastAsia="仿宋_GB2312" w:cs="仿宋_GB2312"/>
                      <w:sz w:val="20"/>
                      <w:shd w:val="clear" w:fill="FFFFFF"/>
                    </w:rPr>
                    <w:t>测评准备阶段</w:t>
                  </w:r>
                </w:p>
              </w:tc>
              <w:tc>
                <w:tcPr>
                  <w:tcW w:w="56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7A36B21">
                  <w:pPr>
                    <w:pStyle w:val="4"/>
                    <w:jc w:val="left"/>
                  </w:pPr>
                  <w:r>
                    <w:rPr>
                      <w:rFonts w:ascii="仿宋_GB2312" w:hAnsi="仿宋_GB2312" w:eastAsia="仿宋_GB2312" w:cs="仿宋_GB2312"/>
                      <w:sz w:val="20"/>
                      <w:shd w:val="clear" w:fill="FFFFFF"/>
                    </w:rPr>
                    <w:t>实施方案制定</w:t>
                  </w:r>
                </w:p>
              </w:tc>
              <w:tc>
                <w:tcPr>
                  <w:tcW w:w="14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D6253C5">
                  <w:pPr>
                    <w:pStyle w:val="4"/>
                    <w:jc w:val="left"/>
                  </w:pPr>
                  <w:r>
                    <w:rPr>
                      <w:rFonts w:ascii="仿宋_GB2312" w:hAnsi="仿宋_GB2312" w:eastAsia="仿宋_GB2312" w:cs="仿宋_GB2312"/>
                      <w:sz w:val="20"/>
                      <w:shd w:val="clear" w:fill="FFFFFF"/>
                    </w:rPr>
                    <w:t>内部项目启动会议</w:t>
                  </w:r>
                </w:p>
              </w:tc>
            </w:tr>
            <w:tr w14:paraId="339827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5" w:type="dxa"/>
                  <w:vMerge w:val="continue"/>
                  <w:tcBorders>
                    <w:top w:val="nil"/>
                    <w:left w:val="single" w:color="000000" w:sz="4" w:space="0"/>
                    <w:bottom w:val="single" w:color="000000" w:sz="4" w:space="0"/>
                    <w:right w:val="single" w:color="000000" w:sz="4" w:space="0"/>
                  </w:tcBorders>
                </w:tcPr>
                <w:p w14:paraId="396C3F02"/>
              </w:tc>
              <w:tc>
                <w:tcPr>
                  <w:tcW w:w="569" w:type="dxa"/>
                  <w:vMerge w:val="continue"/>
                  <w:tcBorders>
                    <w:top w:val="nil"/>
                    <w:left w:val="single" w:color="000000" w:sz="4" w:space="0"/>
                    <w:bottom w:val="single" w:color="000000" w:sz="4" w:space="0"/>
                    <w:right w:val="single" w:color="000000" w:sz="4" w:space="0"/>
                  </w:tcBorders>
                </w:tcPr>
                <w:p w14:paraId="486DA91A"/>
              </w:tc>
              <w:tc>
                <w:tcPr>
                  <w:tcW w:w="146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B4A01CE">
                  <w:pPr>
                    <w:pStyle w:val="4"/>
                    <w:jc w:val="left"/>
                  </w:pPr>
                  <w:r>
                    <w:rPr>
                      <w:rFonts w:ascii="仿宋_GB2312" w:hAnsi="仿宋_GB2312" w:eastAsia="仿宋_GB2312" w:cs="仿宋_GB2312"/>
                      <w:sz w:val="20"/>
                      <w:shd w:val="clear" w:fill="FFFFFF"/>
                    </w:rPr>
                    <w:t>根据系统规模成立项目组、编制项目计划书</w:t>
                  </w:r>
                </w:p>
              </w:tc>
            </w:tr>
            <w:tr w14:paraId="160DD7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5" w:type="dxa"/>
                  <w:vMerge w:val="continue"/>
                  <w:tcBorders>
                    <w:top w:val="nil"/>
                    <w:left w:val="single" w:color="000000" w:sz="4" w:space="0"/>
                    <w:bottom w:val="single" w:color="000000" w:sz="4" w:space="0"/>
                    <w:right w:val="single" w:color="000000" w:sz="4" w:space="0"/>
                  </w:tcBorders>
                </w:tcPr>
                <w:p w14:paraId="025E7AA4"/>
              </w:tc>
              <w:tc>
                <w:tcPr>
                  <w:tcW w:w="569" w:type="dxa"/>
                  <w:vMerge w:val="continue"/>
                  <w:tcBorders>
                    <w:top w:val="nil"/>
                    <w:left w:val="single" w:color="000000" w:sz="4" w:space="0"/>
                    <w:bottom w:val="single" w:color="000000" w:sz="4" w:space="0"/>
                    <w:right w:val="single" w:color="000000" w:sz="4" w:space="0"/>
                  </w:tcBorders>
                </w:tcPr>
                <w:p w14:paraId="23208711"/>
              </w:tc>
              <w:tc>
                <w:tcPr>
                  <w:tcW w:w="146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3ACFD4F">
                  <w:pPr>
                    <w:pStyle w:val="4"/>
                    <w:jc w:val="left"/>
                  </w:pPr>
                  <w:r>
                    <w:rPr>
                      <w:rFonts w:ascii="仿宋_GB2312" w:hAnsi="仿宋_GB2312" w:eastAsia="仿宋_GB2312" w:cs="仿宋_GB2312"/>
                      <w:sz w:val="20"/>
                      <w:shd w:val="clear" w:fill="FFFFFF"/>
                    </w:rPr>
                    <w:t>与被测方沟通，填写信息采集表</w:t>
                  </w:r>
                </w:p>
              </w:tc>
            </w:tr>
            <w:tr w14:paraId="473ECF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5" w:type="dxa"/>
                  <w:vMerge w:val="continue"/>
                  <w:tcBorders>
                    <w:top w:val="nil"/>
                    <w:left w:val="single" w:color="000000" w:sz="4" w:space="0"/>
                    <w:bottom w:val="single" w:color="000000" w:sz="4" w:space="0"/>
                    <w:right w:val="single" w:color="000000" w:sz="4" w:space="0"/>
                  </w:tcBorders>
                </w:tcPr>
                <w:p w14:paraId="0704908D"/>
              </w:tc>
              <w:tc>
                <w:tcPr>
                  <w:tcW w:w="569" w:type="dxa"/>
                  <w:vMerge w:val="continue"/>
                  <w:tcBorders>
                    <w:top w:val="nil"/>
                    <w:left w:val="single" w:color="000000" w:sz="4" w:space="0"/>
                    <w:bottom w:val="single" w:color="000000" w:sz="4" w:space="0"/>
                    <w:right w:val="single" w:color="000000" w:sz="4" w:space="0"/>
                  </w:tcBorders>
                </w:tcPr>
                <w:p w14:paraId="390CA442"/>
              </w:tc>
              <w:tc>
                <w:tcPr>
                  <w:tcW w:w="146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BAA1F2C">
                  <w:pPr>
                    <w:pStyle w:val="4"/>
                    <w:jc w:val="left"/>
                  </w:pPr>
                  <w:r>
                    <w:rPr>
                      <w:rFonts w:ascii="仿宋_GB2312" w:hAnsi="仿宋_GB2312" w:eastAsia="仿宋_GB2312" w:cs="仿宋_GB2312"/>
                      <w:sz w:val="20"/>
                      <w:shd w:val="clear" w:fill="FFFFFF"/>
                    </w:rPr>
                    <w:t>实施方案编写</w:t>
                  </w:r>
                </w:p>
              </w:tc>
            </w:tr>
            <w:tr w14:paraId="5BC55C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5" w:type="dxa"/>
                  <w:vMerge w:val="continue"/>
                  <w:tcBorders>
                    <w:top w:val="nil"/>
                    <w:left w:val="single" w:color="000000" w:sz="4" w:space="0"/>
                    <w:bottom w:val="single" w:color="000000" w:sz="4" w:space="0"/>
                    <w:right w:val="single" w:color="000000" w:sz="4" w:space="0"/>
                  </w:tcBorders>
                </w:tcPr>
                <w:p w14:paraId="21D02BB6"/>
              </w:tc>
              <w:tc>
                <w:tcPr>
                  <w:tcW w:w="5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E65C891">
                  <w:pPr>
                    <w:pStyle w:val="4"/>
                    <w:jc w:val="left"/>
                  </w:pPr>
                  <w:r>
                    <w:rPr>
                      <w:rFonts w:ascii="仿宋_GB2312" w:hAnsi="仿宋_GB2312" w:eastAsia="仿宋_GB2312" w:cs="仿宋_GB2312"/>
                      <w:sz w:val="20"/>
                      <w:shd w:val="clear" w:fill="FFFFFF"/>
                    </w:rPr>
                    <w:t>测评对象确定</w:t>
                  </w:r>
                </w:p>
              </w:tc>
              <w:tc>
                <w:tcPr>
                  <w:tcW w:w="146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CDC13C3">
                  <w:pPr>
                    <w:pStyle w:val="4"/>
                    <w:jc w:val="left"/>
                  </w:pPr>
                  <w:r>
                    <w:rPr>
                      <w:rFonts w:ascii="仿宋_GB2312" w:hAnsi="仿宋_GB2312" w:eastAsia="仿宋_GB2312" w:cs="仿宋_GB2312"/>
                      <w:sz w:val="20"/>
                      <w:shd w:val="clear" w:fill="FFFFFF"/>
                    </w:rPr>
                    <w:t>被测系统整体结构、边界、网络区域、重要节点、测评对象等</w:t>
                  </w:r>
                </w:p>
              </w:tc>
            </w:tr>
            <w:tr w14:paraId="1A4632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5" w:type="dxa"/>
                  <w:vMerge w:val="continue"/>
                  <w:tcBorders>
                    <w:top w:val="nil"/>
                    <w:left w:val="single" w:color="000000" w:sz="4" w:space="0"/>
                    <w:bottom w:val="single" w:color="000000" w:sz="4" w:space="0"/>
                    <w:right w:val="single" w:color="000000" w:sz="4" w:space="0"/>
                  </w:tcBorders>
                </w:tcPr>
                <w:p w14:paraId="3FDD6195"/>
              </w:tc>
              <w:tc>
                <w:tcPr>
                  <w:tcW w:w="5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DFE3AB1">
                  <w:pPr>
                    <w:pStyle w:val="4"/>
                    <w:jc w:val="left"/>
                  </w:pPr>
                  <w:r>
                    <w:rPr>
                      <w:rFonts w:ascii="仿宋_GB2312" w:hAnsi="仿宋_GB2312" w:eastAsia="仿宋_GB2312" w:cs="仿宋_GB2312"/>
                      <w:sz w:val="20"/>
                      <w:shd w:val="clear" w:fill="FFFFFF"/>
                    </w:rPr>
                    <w:t>测评指标确定</w:t>
                  </w:r>
                </w:p>
              </w:tc>
              <w:tc>
                <w:tcPr>
                  <w:tcW w:w="146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8C8F27A">
                  <w:pPr>
                    <w:pStyle w:val="4"/>
                    <w:jc w:val="left"/>
                  </w:pPr>
                  <w:r>
                    <w:rPr>
                      <w:rFonts w:ascii="仿宋_GB2312" w:hAnsi="仿宋_GB2312" w:eastAsia="仿宋_GB2312" w:cs="仿宋_GB2312"/>
                      <w:sz w:val="20"/>
                      <w:shd w:val="clear" w:fill="FFFFFF"/>
                    </w:rPr>
                    <w:t>选择相应等级的安全要求作为测评指标</w:t>
                  </w:r>
                </w:p>
              </w:tc>
            </w:tr>
            <w:tr w14:paraId="6498E2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5" w:type="dxa"/>
                  <w:vMerge w:val="continue"/>
                  <w:tcBorders>
                    <w:top w:val="nil"/>
                    <w:left w:val="single" w:color="000000" w:sz="4" w:space="0"/>
                    <w:bottom w:val="single" w:color="000000" w:sz="4" w:space="0"/>
                    <w:right w:val="single" w:color="000000" w:sz="4" w:space="0"/>
                  </w:tcBorders>
                </w:tcPr>
                <w:p w14:paraId="0A4ACF58"/>
              </w:tc>
              <w:tc>
                <w:tcPr>
                  <w:tcW w:w="5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00E67E2">
                  <w:pPr>
                    <w:pStyle w:val="4"/>
                    <w:jc w:val="left"/>
                  </w:pPr>
                  <w:r>
                    <w:rPr>
                      <w:rFonts w:ascii="仿宋_GB2312" w:hAnsi="仿宋_GB2312" w:eastAsia="仿宋_GB2312" w:cs="仿宋_GB2312"/>
                      <w:sz w:val="20"/>
                      <w:shd w:val="clear" w:fill="FFFFFF"/>
                    </w:rPr>
                    <w:t>测评工具接入点确定</w:t>
                  </w:r>
                </w:p>
              </w:tc>
              <w:tc>
                <w:tcPr>
                  <w:tcW w:w="146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0B9C35C">
                  <w:pPr>
                    <w:pStyle w:val="4"/>
                    <w:jc w:val="left"/>
                  </w:pPr>
                  <w:r>
                    <w:rPr>
                      <w:rFonts w:ascii="仿宋_GB2312" w:hAnsi="仿宋_GB2312" w:eastAsia="仿宋_GB2312" w:cs="仿宋_GB2312"/>
                      <w:sz w:val="20"/>
                      <w:shd w:val="clear" w:fill="FFFFFF"/>
                    </w:rPr>
                    <w:t>结合网络拓扑图，选择测试路径</w:t>
                  </w:r>
                </w:p>
              </w:tc>
            </w:tr>
            <w:tr w14:paraId="3ADD06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5" w:type="dxa"/>
                  <w:vMerge w:val="continue"/>
                  <w:tcBorders>
                    <w:top w:val="nil"/>
                    <w:left w:val="single" w:color="000000" w:sz="4" w:space="0"/>
                    <w:bottom w:val="single" w:color="000000" w:sz="4" w:space="0"/>
                    <w:right w:val="single" w:color="000000" w:sz="4" w:space="0"/>
                  </w:tcBorders>
                </w:tcPr>
                <w:p w14:paraId="3441FE11"/>
              </w:tc>
              <w:tc>
                <w:tcPr>
                  <w:tcW w:w="5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2ED151B">
                  <w:pPr>
                    <w:pStyle w:val="4"/>
                    <w:jc w:val="left"/>
                  </w:pPr>
                  <w:r>
                    <w:rPr>
                      <w:rFonts w:ascii="仿宋_GB2312" w:hAnsi="仿宋_GB2312" w:eastAsia="仿宋_GB2312" w:cs="仿宋_GB2312"/>
                      <w:sz w:val="20"/>
                      <w:shd w:val="clear" w:fill="FFFFFF"/>
                    </w:rPr>
                    <w:t>测试内容确定</w:t>
                  </w:r>
                </w:p>
              </w:tc>
              <w:tc>
                <w:tcPr>
                  <w:tcW w:w="146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603BC85">
                  <w:pPr>
                    <w:pStyle w:val="4"/>
                    <w:jc w:val="left"/>
                  </w:pPr>
                  <w:r>
                    <w:rPr>
                      <w:rFonts w:ascii="仿宋_GB2312" w:hAnsi="仿宋_GB2312" w:eastAsia="仿宋_GB2312" w:cs="仿宋_GB2312"/>
                      <w:sz w:val="20"/>
                      <w:shd w:val="clear" w:fill="FFFFFF"/>
                    </w:rPr>
                    <w:t>确定单元测评</w:t>
                  </w:r>
                </w:p>
              </w:tc>
            </w:tr>
            <w:tr w14:paraId="700C4A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5" w:type="dxa"/>
                  <w:vMerge w:val="continue"/>
                  <w:tcBorders>
                    <w:top w:val="nil"/>
                    <w:left w:val="single" w:color="000000" w:sz="4" w:space="0"/>
                    <w:bottom w:val="single" w:color="000000" w:sz="4" w:space="0"/>
                    <w:right w:val="single" w:color="000000" w:sz="4" w:space="0"/>
                  </w:tcBorders>
                </w:tcPr>
                <w:p w14:paraId="18D44C92"/>
              </w:tc>
              <w:tc>
                <w:tcPr>
                  <w:tcW w:w="5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007D213">
                  <w:pPr>
                    <w:pStyle w:val="4"/>
                    <w:jc w:val="left"/>
                  </w:pPr>
                  <w:r>
                    <w:rPr>
                      <w:rFonts w:ascii="仿宋_GB2312" w:hAnsi="仿宋_GB2312" w:eastAsia="仿宋_GB2312" w:cs="仿宋_GB2312"/>
                      <w:sz w:val="20"/>
                      <w:shd w:val="clear" w:fill="FFFFFF"/>
                    </w:rPr>
                    <w:t>测评方案编制</w:t>
                  </w:r>
                </w:p>
              </w:tc>
              <w:tc>
                <w:tcPr>
                  <w:tcW w:w="146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04A9896">
                  <w:pPr>
                    <w:pStyle w:val="4"/>
                    <w:jc w:val="left"/>
                  </w:pPr>
                  <w:r>
                    <w:rPr>
                      <w:rFonts w:ascii="仿宋_GB2312" w:hAnsi="仿宋_GB2312" w:eastAsia="仿宋_GB2312" w:cs="仿宋_GB2312"/>
                      <w:sz w:val="20"/>
                      <w:shd w:val="clear" w:fill="FFFFFF"/>
                    </w:rPr>
                    <w:t>测评内容、测评实施计划</w:t>
                  </w:r>
                </w:p>
              </w:tc>
            </w:tr>
            <w:tr w14:paraId="32E2F9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5"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B4639EF">
                  <w:pPr>
                    <w:pStyle w:val="4"/>
                    <w:jc w:val="center"/>
                  </w:pPr>
                  <w:r>
                    <w:rPr>
                      <w:rFonts w:ascii="仿宋_GB2312" w:hAnsi="仿宋_GB2312" w:eastAsia="仿宋_GB2312" w:cs="仿宋_GB2312"/>
                      <w:sz w:val="20"/>
                      <w:shd w:val="clear" w:fill="FFFFFF"/>
                    </w:rPr>
                    <w:t>现场测评阶段</w:t>
                  </w:r>
                </w:p>
              </w:tc>
              <w:tc>
                <w:tcPr>
                  <w:tcW w:w="5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A586B98">
                  <w:pPr>
                    <w:pStyle w:val="4"/>
                    <w:jc w:val="left"/>
                  </w:pPr>
                  <w:r>
                    <w:rPr>
                      <w:rFonts w:ascii="仿宋_GB2312" w:hAnsi="仿宋_GB2312" w:eastAsia="仿宋_GB2312" w:cs="仿宋_GB2312"/>
                      <w:sz w:val="20"/>
                      <w:shd w:val="clear" w:fill="FFFFFF"/>
                    </w:rPr>
                    <w:t>现场测评准备</w:t>
                  </w:r>
                </w:p>
              </w:tc>
              <w:tc>
                <w:tcPr>
                  <w:tcW w:w="146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A8E1EDA">
                  <w:pPr>
                    <w:pStyle w:val="4"/>
                    <w:jc w:val="left"/>
                  </w:pPr>
                  <w:r>
                    <w:rPr>
                      <w:rFonts w:ascii="仿宋_GB2312" w:hAnsi="仿宋_GB2312" w:eastAsia="仿宋_GB2312" w:cs="仿宋_GB2312"/>
                      <w:sz w:val="20"/>
                      <w:shd w:val="clear" w:fill="FFFFFF"/>
                    </w:rPr>
                    <w:t>召开现场首次会议。授权书、确认资源、必要的测评程序更新</w:t>
                  </w:r>
                </w:p>
              </w:tc>
            </w:tr>
            <w:tr w14:paraId="3AFF47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5" w:type="dxa"/>
                  <w:vMerge w:val="continue"/>
                  <w:tcBorders>
                    <w:top w:val="nil"/>
                    <w:left w:val="single" w:color="000000" w:sz="4" w:space="0"/>
                    <w:bottom w:val="single" w:color="000000" w:sz="4" w:space="0"/>
                    <w:right w:val="single" w:color="000000" w:sz="4" w:space="0"/>
                  </w:tcBorders>
                </w:tcPr>
                <w:p w14:paraId="2D0A80B3"/>
              </w:tc>
              <w:tc>
                <w:tcPr>
                  <w:tcW w:w="5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1BECADA">
                  <w:pPr>
                    <w:pStyle w:val="4"/>
                    <w:jc w:val="left"/>
                  </w:pPr>
                  <w:r>
                    <w:rPr>
                      <w:rFonts w:ascii="仿宋_GB2312" w:hAnsi="仿宋_GB2312" w:eastAsia="仿宋_GB2312" w:cs="仿宋_GB2312"/>
                      <w:sz w:val="20"/>
                      <w:shd w:val="clear" w:fill="FFFFFF"/>
                    </w:rPr>
                    <w:t>现场测评和结果记录</w:t>
                  </w:r>
                </w:p>
              </w:tc>
              <w:tc>
                <w:tcPr>
                  <w:tcW w:w="146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D86E591">
                  <w:pPr>
                    <w:pStyle w:val="4"/>
                    <w:jc w:val="left"/>
                  </w:pPr>
                  <w:r>
                    <w:rPr>
                      <w:rFonts w:ascii="仿宋_GB2312" w:hAnsi="仿宋_GB2312" w:eastAsia="仿宋_GB2312" w:cs="仿宋_GB2312"/>
                      <w:sz w:val="20"/>
                      <w:shd w:val="clear" w:fill="FFFFFF"/>
                    </w:rPr>
                    <w:t>人员访谈、文档审查、上机验证、工具测试</w:t>
                  </w:r>
                </w:p>
              </w:tc>
            </w:tr>
            <w:tr w14:paraId="351898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5" w:type="dxa"/>
                  <w:vMerge w:val="continue"/>
                  <w:tcBorders>
                    <w:top w:val="nil"/>
                    <w:left w:val="single" w:color="000000" w:sz="4" w:space="0"/>
                    <w:bottom w:val="single" w:color="000000" w:sz="4" w:space="0"/>
                    <w:right w:val="single" w:color="000000" w:sz="4" w:space="0"/>
                  </w:tcBorders>
                </w:tcPr>
                <w:p w14:paraId="0AEF2B2F"/>
              </w:tc>
              <w:tc>
                <w:tcPr>
                  <w:tcW w:w="5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8A450F3">
                  <w:pPr>
                    <w:pStyle w:val="4"/>
                    <w:jc w:val="left"/>
                  </w:pPr>
                  <w:r>
                    <w:rPr>
                      <w:rFonts w:ascii="仿宋_GB2312" w:hAnsi="仿宋_GB2312" w:eastAsia="仿宋_GB2312" w:cs="仿宋_GB2312"/>
                      <w:sz w:val="20"/>
                      <w:shd w:val="clear" w:fill="FFFFFF"/>
                    </w:rPr>
                    <w:t>结果确认和资料归还</w:t>
                  </w:r>
                </w:p>
              </w:tc>
              <w:tc>
                <w:tcPr>
                  <w:tcW w:w="146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5020572">
                  <w:pPr>
                    <w:pStyle w:val="4"/>
                    <w:jc w:val="left"/>
                  </w:pPr>
                  <w:r>
                    <w:rPr>
                      <w:rFonts w:ascii="仿宋_GB2312" w:hAnsi="仿宋_GB2312" w:eastAsia="仿宋_GB2312" w:cs="仿宋_GB2312"/>
                      <w:sz w:val="20"/>
                      <w:shd w:val="clear" w:fill="FFFFFF"/>
                    </w:rPr>
                    <w:t>召开现场结束会议，确认现场问题。</w:t>
                  </w:r>
                </w:p>
              </w:tc>
            </w:tr>
            <w:tr w14:paraId="180FD9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2A5F7E2">
                  <w:pPr>
                    <w:pStyle w:val="4"/>
                    <w:jc w:val="center"/>
                  </w:pPr>
                  <w:r>
                    <w:rPr>
                      <w:rFonts w:ascii="仿宋_GB2312" w:hAnsi="仿宋_GB2312" w:eastAsia="仿宋_GB2312" w:cs="仿宋_GB2312"/>
                      <w:sz w:val="20"/>
                      <w:shd w:val="clear" w:fill="FFFFFF"/>
                    </w:rPr>
                    <w:t>非现场综合</w:t>
                  </w:r>
                </w:p>
              </w:tc>
              <w:tc>
                <w:tcPr>
                  <w:tcW w:w="203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B7CCA2F">
                  <w:pPr>
                    <w:pStyle w:val="4"/>
                    <w:jc w:val="both"/>
                  </w:pPr>
                  <w:r>
                    <w:rPr>
                      <w:rFonts w:ascii="仿宋_GB2312" w:hAnsi="仿宋_GB2312" w:eastAsia="仿宋_GB2312" w:cs="仿宋_GB2312"/>
                      <w:sz w:val="20"/>
                      <w:shd w:val="clear" w:fill="FFFFFF"/>
                    </w:rPr>
                    <w:t>结果判断、整体测评、风险分析</w:t>
                  </w:r>
                </w:p>
              </w:tc>
            </w:tr>
            <w:tr w14:paraId="1BAD32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3A1711B">
                  <w:pPr>
                    <w:pStyle w:val="4"/>
                    <w:jc w:val="center"/>
                  </w:pPr>
                  <w:r>
                    <w:rPr>
                      <w:rFonts w:ascii="仿宋_GB2312" w:hAnsi="仿宋_GB2312" w:eastAsia="仿宋_GB2312" w:cs="仿宋_GB2312"/>
                      <w:sz w:val="20"/>
                      <w:shd w:val="clear" w:fill="FFFFFF"/>
                    </w:rPr>
                    <w:t>报告出具阶段</w:t>
                  </w:r>
                </w:p>
              </w:tc>
              <w:tc>
                <w:tcPr>
                  <w:tcW w:w="203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C851FEE">
                  <w:pPr>
                    <w:pStyle w:val="4"/>
                    <w:jc w:val="both"/>
                  </w:pPr>
                  <w:r>
                    <w:rPr>
                      <w:rFonts w:ascii="仿宋_GB2312" w:hAnsi="仿宋_GB2312" w:eastAsia="仿宋_GB2312" w:cs="仿宋_GB2312"/>
                      <w:sz w:val="20"/>
                      <w:shd w:val="clear" w:fill="FFFFFF"/>
                    </w:rPr>
                    <w:t>综合评估及报告生成</w:t>
                  </w:r>
                </w:p>
              </w:tc>
            </w:tr>
          </w:tbl>
          <w:p w14:paraId="3AF7E5B7">
            <w:pPr>
              <w:pStyle w:val="4"/>
              <w:jc w:val="both"/>
            </w:pPr>
            <w:r>
              <w:rPr>
                <w:rFonts w:ascii="仿宋_GB2312" w:hAnsi="仿宋_GB2312" w:eastAsia="仿宋_GB2312" w:cs="仿宋_GB2312"/>
                <w:b/>
                <w:sz w:val="20"/>
                <w:shd w:val="clear" w:fill="FFFFFF"/>
              </w:rPr>
              <w:t>1.5预期成果交付物及服务期限、付款方式</w:t>
            </w:r>
          </w:p>
          <w:p w14:paraId="520FF043">
            <w:pPr>
              <w:pStyle w:val="4"/>
              <w:jc w:val="both"/>
            </w:pPr>
            <w:r>
              <w:rPr>
                <w:rFonts w:ascii="仿宋_GB2312" w:hAnsi="仿宋_GB2312" w:eastAsia="仿宋_GB2312" w:cs="仿宋_GB2312"/>
                <w:sz w:val="20"/>
                <w:shd w:val="clear" w:fill="FFFFFF"/>
              </w:rPr>
              <w:t>密码测评工作结束后，根据测评内容记录系统的密码应用现状，出具系统的《商用密码应用安全性评估报告》。测评报告中以密码应用基本要求为基准，逐项比对被测系统密码应用的符合性、规范性和正确性，对与标准存在差异的检查项。</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0"/>
              <w:gridCol w:w="1475"/>
              <w:gridCol w:w="690"/>
            </w:tblGrid>
            <w:tr w14:paraId="0AF044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6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33C3051">
                  <w:pPr>
                    <w:pStyle w:val="4"/>
                    <w:jc w:val="center"/>
                  </w:pPr>
                  <w:r>
                    <w:rPr>
                      <w:rFonts w:ascii="仿宋_GB2312" w:hAnsi="仿宋_GB2312" w:eastAsia="仿宋_GB2312" w:cs="仿宋_GB2312"/>
                      <w:sz w:val="20"/>
                      <w:shd w:val="clear" w:fill="FFFFFF"/>
                    </w:rPr>
                    <w:t>序号</w:t>
                  </w:r>
                </w:p>
              </w:tc>
              <w:tc>
                <w:tcPr>
                  <w:tcW w:w="147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397688E">
                  <w:pPr>
                    <w:pStyle w:val="4"/>
                    <w:jc w:val="center"/>
                  </w:pPr>
                  <w:r>
                    <w:rPr>
                      <w:rFonts w:ascii="仿宋_GB2312" w:hAnsi="仿宋_GB2312" w:eastAsia="仿宋_GB2312" w:cs="仿宋_GB2312"/>
                      <w:sz w:val="20"/>
                      <w:shd w:val="clear" w:fill="FFFFFF"/>
                    </w:rPr>
                    <w:t>交付物名称</w:t>
                  </w:r>
                </w:p>
              </w:tc>
              <w:tc>
                <w:tcPr>
                  <w:tcW w:w="69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666754E">
                  <w:pPr>
                    <w:pStyle w:val="4"/>
                    <w:jc w:val="center"/>
                  </w:pPr>
                  <w:r>
                    <w:rPr>
                      <w:rFonts w:ascii="仿宋_GB2312" w:hAnsi="仿宋_GB2312" w:eastAsia="仿宋_GB2312" w:cs="仿宋_GB2312"/>
                      <w:sz w:val="20"/>
                      <w:shd w:val="clear" w:fill="FFFFFF"/>
                    </w:rPr>
                    <w:t>介质形式</w:t>
                  </w:r>
                </w:p>
              </w:tc>
            </w:tr>
            <w:tr w14:paraId="3C323B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B329E1">
                  <w:pPr>
                    <w:pStyle w:val="4"/>
                    <w:jc w:val="center"/>
                  </w:pPr>
                  <w:r>
                    <w:rPr>
                      <w:rFonts w:ascii="仿宋_GB2312" w:hAnsi="仿宋_GB2312" w:eastAsia="仿宋_GB2312" w:cs="仿宋_GB2312"/>
                      <w:sz w:val="20"/>
                      <w:shd w:val="clear" w:fill="FFFFFF"/>
                    </w:rPr>
                    <w:t>1</w:t>
                  </w:r>
                </w:p>
              </w:tc>
              <w:tc>
                <w:tcPr>
                  <w:tcW w:w="14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F57DC5">
                  <w:pPr>
                    <w:pStyle w:val="4"/>
                    <w:jc w:val="center"/>
                  </w:pPr>
                  <w:r>
                    <w:rPr>
                      <w:rFonts w:ascii="仿宋_GB2312" w:hAnsi="仿宋_GB2312" w:eastAsia="仿宋_GB2312" w:cs="仿宋_GB2312"/>
                      <w:sz w:val="20"/>
                      <w:shd w:val="clear" w:fill="FFFFFF"/>
                    </w:rPr>
                    <w:t>《商用密码应用安全性评估报告》</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2E4DA6">
                  <w:pPr>
                    <w:pStyle w:val="4"/>
                    <w:jc w:val="center"/>
                  </w:pPr>
                  <w:r>
                    <w:rPr>
                      <w:rFonts w:ascii="仿宋_GB2312" w:hAnsi="仿宋_GB2312" w:eastAsia="仿宋_GB2312" w:cs="仿宋_GB2312"/>
                      <w:sz w:val="20"/>
                      <w:shd w:val="clear" w:fill="FFFFFF"/>
                    </w:rPr>
                    <w:t>电子和纸质</w:t>
                  </w:r>
                </w:p>
              </w:tc>
            </w:tr>
            <w:tr w14:paraId="487376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7363DE">
                  <w:pPr>
                    <w:pStyle w:val="4"/>
                    <w:jc w:val="center"/>
                  </w:pPr>
                  <w:r>
                    <w:rPr>
                      <w:rFonts w:ascii="仿宋_GB2312" w:hAnsi="仿宋_GB2312" w:eastAsia="仿宋_GB2312" w:cs="仿宋_GB2312"/>
                      <w:sz w:val="20"/>
                      <w:shd w:val="clear" w:fill="FFFFFF"/>
                    </w:rPr>
                    <w:t>2</w:t>
                  </w:r>
                </w:p>
              </w:tc>
              <w:tc>
                <w:tcPr>
                  <w:tcW w:w="14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E436AF">
                  <w:pPr>
                    <w:pStyle w:val="4"/>
                    <w:jc w:val="center"/>
                  </w:pPr>
                  <w:r>
                    <w:rPr>
                      <w:rFonts w:ascii="仿宋_GB2312" w:hAnsi="仿宋_GB2312" w:eastAsia="仿宋_GB2312" w:cs="仿宋_GB2312"/>
                      <w:sz w:val="20"/>
                      <w:shd w:val="clear" w:fill="FFFFFF"/>
                    </w:rPr>
                    <w:t>《整改建议书》</w:t>
                  </w:r>
                </w:p>
              </w:tc>
              <w:tc>
                <w:tcPr>
                  <w:tcW w:w="6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D3E1C9">
                  <w:pPr>
                    <w:pStyle w:val="4"/>
                    <w:jc w:val="center"/>
                  </w:pPr>
                  <w:r>
                    <w:rPr>
                      <w:rFonts w:ascii="仿宋_GB2312" w:hAnsi="仿宋_GB2312" w:eastAsia="仿宋_GB2312" w:cs="仿宋_GB2312"/>
                      <w:sz w:val="20"/>
                      <w:shd w:val="clear" w:fill="FFFFFF"/>
                    </w:rPr>
                    <w:t>电子和纸质</w:t>
                  </w:r>
                </w:p>
              </w:tc>
            </w:tr>
          </w:tbl>
          <w:p w14:paraId="1FF46354">
            <w:pPr>
              <w:pStyle w:val="4"/>
            </w:pPr>
            <w:r>
              <w:rPr>
                <w:rFonts w:ascii="仿宋_GB2312" w:hAnsi="仿宋_GB2312" w:eastAsia="仿宋_GB2312" w:cs="仿宋_GB2312"/>
              </w:rPr>
              <w:t xml:space="preserve"> </w:t>
            </w:r>
          </w:p>
          <w:p w14:paraId="6FE12524">
            <w:pPr>
              <w:pStyle w:val="4"/>
            </w:pPr>
            <w:r>
              <w:rPr>
                <w:rFonts w:ascii="仿宋_GB2312" w:hAnsi="仿宋_GB2312" w:eastAsia="仿宋_GB2312" w:cs="仿宋_GB2312"/>
              </w:rPr>
              <w:t xml:space="preserve"> </w:t>
            </w:r>
          </w:p>
          <w:p w14:paraId="229841FB">
            <w:pPr>
              <w:pStyle w:val="4"/>
            </w:pPr>
            <w:r>
              <w:rPr>
                <w:rFonts w:ascii="仿宋_GB2312" w:hAnsi="仿宋_GB2312" w:eastAsia="仿宋_GB2312" w:cs="仿宋_GB2312"/>
              </w:rPr>
              <w:t xml:space="preserve"> </w:t>
            </w:r>
          </w:p>
          <w:p w14:paraId="2E5C00A0">
            <w:pPr>
              <w:pStyle w:val="4"/>
            </w:pPr>
            <w:r>
              <w:rPr>
                <w:rFonts w:ascii="仿宋_GB2312" w:hAnsi="仿宋_GB2312" w:eastAsia="仿宋_GB2312" w:cs="仿宋_GB2312"/>
              </w:rPr>
              <w:t xml:space="preserve"> </w:t>
            </w:r>
          </w:p>
          <w:p w14:paraId="753E9151">
            <w:pPr>
              <w:pStyle w:val="4"/>
            </w:pPr>
            <w:r>
              <w:rPr>
                <w:rFonts w:ascii="仿宋_GB2312" w:hAnsi="仿宋_GB2312" w:eastAsia="仿宋_GB2312" w:cs="仿宋_GB2312"/>
              </w:rPr>
              <w:t xml:space="preserve"> </w:t>
            </w:r>
          </w:p>
          <w:p w14:paraId="3720C084">
            <w:pPr>
              <w:pStyle w:val="4"/>
              <w:jc w:val="both"/>
            </w:pPr>
          </w:p>
        </w:tc>
      </w:tr>
    </w:tbl>
    <w:p w14:paraId="20D54208">
      <w:pPr>
        <w:rPr>
          <w:rFonts w:hint="default" w:ascii="仿宋" w:hAnsi="仿宋" w:eastAsia="仿宋" w:cs="仿宋"/>
          <w:sz w:val="32"/>
          <w:szCs w:val="4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D07BB"/>
    <w:rsid w:val="0C1D0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2025-09-03T03:41:00Z</dcterms:created>
  <dc:creator>Cathy茹初見</dc:creator>
  <cp:lastModifiedBy>Cathy茹初見</cp:lastModifiedBy>
  <dcterms:modified xsi:type="dcterms:W3CDTF">2025-09-03T03:44:22Z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C2445016DBE243CABA6424B257AC1B92_11</vt:lpwstr>
  </property>
  <property fmtid="{D5CDD505-2E9C-101B-9397-08002B2CF9AE}" pid="4" name="KSOTemplateDocerSaveRecord">
    <vt:lpwstr>eyJoZGlkIjoiZWQ5NzVkYWI0MGQ0NTQxNThkOWY1MzQ0MjRiOWI4NDkiLCJ1c2VySWQiOiIxOTk3MjgxNTUifQ==</vt:lpwstr>
  </property>
</Properties>
</file>