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1ADEB">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安康市中心医院眼科设备采购项目(二次)</w:t>
      </w:r>
    </w:p>
    <w:p w14:paraId="3BC77194">
      <w:pPr>
        <w:pStyle w:val="4"/>
        <w:spacing w:line="480" w:lineRule="exact"/>
        <w:jc w:val="center"/>
      </w:pPr>
      <w:r>
        <w:rPr>
          <w:rFonts w:ascii="仿宋_GB2312" w:hAnsi="仿宋_GB2312" w:eastAsia="仿宋_GB2312" w:cs="仿宋_GB2312"/>
          <w:b/>
          <w:sz w:val="36"/>
        </w:rPr>
        <w:t>竞争性谈判公告</w:t>
      </w:r>
    </w:p>
    <w:p w14:paraId="14C6A4CF">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10B5395E">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眼科设备采购项目(二次)采购项目的潜在供应商应在安康市兴安中路城投中城广场1403室获取采购文件，并于 2025年09月10日 15时00分 （北京时间）前提交响应文件。</w:t>
      </w:r>
    </w:p>
    <w:p w14:paraId="49A1632E">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382424CD">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项目编号：DXZB-2025-0855.1B1</w:t>
      </w:r>
      <w:bookmarkStart w:id="0" w:name="_GoBack"/>
      <w:bookmarkEnd w:id="0"/>
    </w:p>
    <w:p w14:paraId="3BEB6DD8">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项目名称：眼科设备采购项目(二次)</w:t>
      </w:r>
    </w:p>
    <w:p w14:paraId="000A5760">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采购方式：竞争性谈判</w:t>
      </w:r>
    </w:p>
    <w:p w14:paraId="43F48DB5">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预算金额：175,000.00元</w:t>
      </w:r>
    </w:p>
    <w:p w14:paraId="6BE70EBF">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61BA3126">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合同包1(眼科设备采购项目):</w:t>
      </w:r>
    </w:p>
    <w:p w14:paraId="57B98F76">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合同包预算金额：175,000.00元</w:t>
      </w:r>
    </w:p>
    <w:p w14:paraId="761B22A1">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合同包最高限价：175,000.00元</w:t>
      </w:r>
    </w:p>
    <w:tbl>
      <w:tblPr>
        <w:tblStyle w:val="2"/>
        <w:tblW w:w="0" w:type="auto"/>
        <w:tblInd w:w="20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3"/>
        <w:gridCol w:w="1446"/>
        <w:gridCol w:w="1295"/>
        <w:gridCol w:w="1337"/>
        <w:gridCol w:w="1726"/>
        <w:gridCol w:w="1416"/>
      </w:tblGrid>
      <w:tr w14:paraId="56BFD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 w:type="dxa"/>
            <w:vAlign w:val="center"/>
          </w:tcPr>
          <w:p w14:paraId="17BB8833">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446" w:type="dxa"/>
            <w:vAlign w:val="center"/>
          </w:tcPr>
          <w:p w14:paraId="55C6B5BA">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295" w:type="dxa"/>
            <w:vAlign w:val="center"/>
          </w:tcPr>
          <w:p w14:paraId="46AD5DA5">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337" w:type="dxa"/>
            <w:vAlign w:val="center"/>
          </w:tcPr>
          <w:p w14:paraId="35DAB9DD">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p w14:paraId="51045B0B">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726" w:type="dxa"/>
            <w:vAlign w:val="center"/>
          </w:tcPr>
          <w:p w14:paraId="0BB626CA">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416" w:type="dxa"/>
            <w:vAlign w:val="center"/>
          </w:tcPr>
          <w:p w14:paraId="4F924956">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r>
      <w:tr w14:paraId="29E4B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 w:type="dxa"/>
            <w:vAlign w:val="center"/>
          </w:tcPr>
          <w:p w14:paraId="440F4C96">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446" w:type="dxa"/>
            <w:vAlign w:val="center"/>
          </w:tcPr>
          <w:p w14:paraId="3DC4B3EA">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其他医疗设备</w:t>
            </w:r>
          </w:p>
        </w:tc>
        <w:tc>
          <w:tcPr>
            <w:tcW w:w="1295" w:type="dxa"/>
            <w:vAlign w:val="center"/>
          </w:tcPr>
          <w:p w14:paraId="1233744A">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眼科设备</w:t>
            </w:r>
          </w:p>
        </w:tc>
        <w:tc>
          <w:tcPr>
            <w:tcW w:w="1337" w:type="dxa"/>
            <w:vAlign w:val="center"/>
          </w:tcPr>
          <w:p w14:paraId="01DE56B6">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726" w:type="dxa"/>
            <w:vAlign w:val="center"/>
          </w:tcPr>
          <w:p w14:paraId="52B936EE">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416" w:type="dxa"/>
            <w:vAlign w:val="center"/>
          </w:tcPr>
          <w:p w14:paraId="290368B1">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175,000.00</w:t>
            </w:r>
          </w:p>
        </w:tc>
      </w:tr>
    </w:tbl>
    <w:p w14:paraId="14A702D4">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1AFD248F">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合同履行期限：具体履行起止日期可随合同签订时间相应顺延。</w:t>
      </w:r>
    </w:p>
    <w:p w14:paraId="66C4B121">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22C6E5BA">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183BAD8">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 无。</w:t>
      </w:r>
    </w:p>
    <w:p w14:paraId="7071EECD">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8E232EE">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合同包1(眼科设备采购项目)特定资格要求如下:</w:t>
      </w:r>
    </w:p>
    <w:p w14:paraId="110E29E7">
      <w:pPr>
        <w:pStyle w:val="4"/>
        <w:keepNext w:val="0"/>
        <w:keepLines w:val="0"/>
        <w:pageBreakBefore w:val="0"/>
        <w:widowControl/>
        <w:numPr>
          <w:ilvl w:val="0"/>
          <w:numId w:val="1"/>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具有独立承担民事责任能力的法人或非法人组织或自然人，提供合法有效的统一社会信用代码的营业执照等证明文件；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（2）提供法定代表人授权委托书及被授权人身份证（投标人为法定代表人时，须提交法定代表人证明书）；</w:t>
      </w:r>
    </w:p>
    <w:p w14:paraId="68B2319E">
      <w:pPr>
        <w:pStyle w:val="4"/>
        <w:keepNext w:val="0"/>
        <w:keepLines w:val="0"/>
        <w:pageBreakBefore w:val="0"/>
        <w:widowControl/>
        <w:numPr>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提供经会计师事务所审计的2023年或2024年财务审计报告（且出具的审计报告应当经过注册会计师行业统一监管平台备案赋码）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提供投标截止日前半年内任意一个月的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（8）提供参加政府采购活动前三年内，在经营活动中没有重大违法记录书面声明；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（10）本项目专门面向中小企业采购；须符合财政部 工业和信息化部《关于印发〈政府采购促进中小企业发展管理办法〉的通知》（财库〔2020〕46号）规定的中小企业参加，并提供《中小企业声明函》；</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（11）本项目不接受联合体投标。</w:t>
      </w:r>
    </w:p>
    <w:p w14:paraId="62DBBBA5">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3"/>
        <w:rPr>
          <w:rFonts w:hint="eastAsia" w:ascii="宋体" w:hAnsi="宋体" w:eastAsia="宋体" w:cs="宋体"/>
          <w:b/>
          <w:sz w:val="24"/>
          <w:szCs w:val="24"/>
        </w:rPr>
      </w:pPr>
      <w:r>
        <w:rPr>
          <w:rFonts w:hint="eastAsia" w:ascii="宋体" w:hAnsi="宋体" w:eastAsia="宋体" w:cs="宋体"/>
          <w:b/>
          <w:sz w:val="24"/>
          <w:szCs w:val="24"/>
        </w:rPr>
        <w:t>三、获取采购文件</w:t>
      </w:r>
    </w:p>
    <w:p w14:paraId="76B025CB">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rPr>
        <w:t>时间：2025年09月04日至 2025年09月08日，每天上午08:30:00至 12:00:00 ，下午14:00:00至 17:00:00（北京时间）</w:t>
      </w:r>
    </w:p>
    <w:p w14:paraId="70A80BD4">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途径：安康市兴安中路城投中城广场1403室</w:t>
      </w:r>
    </w:p>
    <w:p w14:paraId="65E17563">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44F731C3">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2E2B0F19">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1608C55B">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截止时间：2025年09月10日15时00分00秒（北京时间）</w:t>
      </w:r>
    </w:p>
    <w:p w14:paraId="61C6B1CD">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地点：安康市兴安中路城投中城广场1403室</w:t>
      </w:r>
    </w:p>
    <w:p w14:paraId="50BD0384">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0DFF10AB">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时间：2025年09月10日15时00分00秒（北京时间）</w:t>
      </w:r>
    </w:p>
    <w:p w14:paraId="2DF4ACCB">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地点：安康市兴安中路城投中城广场1403室</w:t>
      </w:r>
    </w:p>
    <w:p w14:paraId="63758D13">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77A5E1B8">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0F6FE076">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25921110">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供应商须在谈判文件发售时间内携带介绍信和经办人身份证复印件（加盖公章）一套在陕西德信招标有限公司（安康市兴安中路城投中城广场1403室）进行确认。</w:t>
      </w:r>
    </w:p>
    <w:p w14:paraId="3841997F">
      <w:pPr>
        <w:pStyle w:val="4"/>
        <w:keepNext w:val="0"/>
        <w:keepLines w:val="0"/>
        <w:pageBreakBefore w:val="0"/>
        <w:widowControl/>
        <w:numPr>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《关于在政府采购活动中查询及使用信用记录有关问题的通知》（财库〔2016〕125号）；</w:t>
      </w:r>
    </w:p>
    <w:p w14:paraId="2EF8D6A6">
      <w:pPr>
        <w:pStyle w:val="4"/>
        <w:keepNext w:val="0"/>
        <w:keepLines w:val="0"/>
        <w:pageBreakBefore w:val="0"/>
        <w:widowControl/>
        <w:numPr>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14:paraId="0EB8D1B9">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国务院办公厅《关于建立政府强制采购节能产品制度的通知》（国办发〔2007〕51号）、财政部、国家发改委、生态环境部、市场监管总局联合印发《关于调整优化节能产品、环境标志产品政府采购执行机制的通知》（财库〔2019〕9号）； </w:t>
      </w:r>
    </w:p>
    <w:p w14:paraId="79F0CE91">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（4）《陕西省财政厅关于加快推进我省中小企业政府采购信用融资工作的通知》（陕财办采〔2020〕15号）、陕西省财政厅关于印发《陕西省中小企业政府采购信用融资办法》（陕财办采〔2018〕23号）；</w:t>
      </w:r>
    </w:p>
    <w:p w14:paraId="53B9D6DD">
      <w:pPr>
        <w:pStyle w:val="4"/>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（5）其他需要落实的政府采购政策。</w:t>
      </w:r>
    </w:p>
    <w:p w14:paraId="0CF1C3B4">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13A267A5">
      <w:pPr>
        <w:pStyle w:val="4"/>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5FB46D00">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名称：安康市中心医院</w:t>
      </w:r>
    </w:p>
    <w:p w14:paraId="4FB18607">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地址：金州南路185号</w:t>
      </w:r>
    </w:p>
    <w:p w14:paraId="39F3EE1A">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联系方式：18992512997</w:t>
      </w:r>
    </w:p>
    <w:p w14:paraId="54C0E374">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22AD98AE">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名称：陕西德信招标有限公司</w:t>
      </w:r>
    </w:p>
    <w:p w14:paraId="746549E6">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地址：安康市兴安中路城投中城广场1403室</w:t>
      </w:r>
    </w:p>
    <w:p w14:paraId="07021C69">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联系方式：0915-8190998</w:t>
      </w:r>
    </w:p>
    <w:p w14:paraId="6EE09D4B">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2865D2D5">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项目联系人：刘敏、王清玺</w:t>
      </w:r>
    </w:p>
    <w:p w14:paraId="702D3A15">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电话：0915-8190998</w:t>
      </w:r>
    </w:p>
    <w:p w14:paraId="69A1C2F0">
      <w:pPr>
        <w:pStyle w:val="4"/>
        <w:keepNext w:val="0"/>
        <w:keepLines w:val="0"/>
        <w:pageBreakBefore w:val="0"/>
        <w:widowControl/>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4"/>
          <w:szCs w:val="24"/>
        </w:rPr>
      </w:pPr>
    </w:p>
    <w:p w14:paraId="5F83F2F2">
      <w:pPr>
        <w:pStyle w:val="4"/>
        <w:keepNext w:val="0"/>
        <w:keepLines w:val="0"/>
        <w:pageBreakBefore w:val="0"/>
        <w:widowControl/>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陕西德信招标有限公司</w:t>
      </w:r>
    </w:p>
    <w:p w14:paraId="2A95916A">
      <w:pPr>
        <w:pStyle w:val="4"/>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2025年9月3日</w:t>
      </w:r>
    </w:p>
    <w:p w14:paraId="6EFF72A5">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B4448"/>
    <w:multiLevelType w:val="singleLevel"/>
    <w:tmpl w:val="DE8B44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CEB6DC6"/>
    <w:rsid w:val="39627FB8"/>
    <w:rsid w:val="3D033860"/>
    <w:rsid w:val="3D934BE4"/>
    <w:rsid w:val="417F1786"/>
    <w:rsid w:val="486A6E89"/>
    <w:rsid w:val="4A0B01F8"/>
    <w:rsid w:val="53B52B8D"/>
    <w:rsid w:val="55D911AB"/>
    <w:rsid w:val="5B3E6680"/>
    <w:rsid w:val="633A04D8"/>
    <w:rsid w:val="64F8164D"/>
    <w:rsid w:val="72B81965"/>
    <w:rsid w:val="758111EB"/>
    <w:rsid w:val="77F79321"/>
    <w:rsid w:val="7F1B7FB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1934</Words>
  <Characters>2196</Characters>
  <Lines>0</Lines>
  <Paragraphs>0</Paragraphs>
  <TotalTime>5</TotalTime>
  <ScaleCrop>false</ScaleCrop>
  <LinksUpToDate>false</LinksUpToDate>
  <CharactersWithSpaces>2237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p:lastModifiedBy>
  <dcterms:modified xsi:type="dcterms:W3CDTF">2025-09-03T07:18:04Z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eyJoZGlkIjoiYzIxYTYzN2IyZDkwMzE2ZDZlM2IwZjdkZWNmMjA0ODgiLCJ1c2VySWQiOiI3MzE0MjA5NjAifQ==</vt:lpwstr>
  </property>
  <property fmtid="{D5CDD505-2E9C-101B-9397-08002B2CF9AE}" pid="4" name="ICV">
    <vt:lpwstr>EC762DB178CC423B94204544D4502B83_13</vt:lpwstr>
  </property>
</Properties>
</file>