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AA12">
      <w:pPr>
        <w:pStyle w:val="3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460" w:lineRule="exact"/>
        <w:ind w:left="0" w:leftChars="0" w:right="0"/>
        <w:textAlignment w:val="auto"/>
        <w:rPr>
          <w:rFonts w:hint="default" w:cs="宋体" w:asciiTheme="minorAscii" w:hAnsiTheme="minorAscii" w:eastAsiaTheme="minorEastAsia"/>
          <w:b/>
          <w:bCs/>
          <w:color w:val="auto"/>
          <w:spacing w:val="0"/>
          <w:highlight w:val="none"/>
        </w:rPr>
      </w:pPr>
      <w:bookmarkStart w:id="0" w:name="_Toc3206"/>
      <w:r>
        <w:rPr>
          <w:rFonts w:hint="default" w:cs="宋体" w:asciiTheme="minorAscii" w:hAnsiTheme="minorAscii" w:eastAsiaTheme="minorEastAsia"/>
          <w:b/>
          <w:bCs/>
          <w:color w:val="auto"/>
          <w:spacing w:val="0"/>
          <w:highlight w:val="none"/>
          <w:lang w:eastAsia="zh-CN"/>
        </w:rPr>
        <w:t>磋商项目技术、服务及商务要求</w:t>
      </w:r>
      <w:bookmarkEnd w:id="0"/>
    </w:p>
    <w:p w14:paraId="6EA8F30F">
      <w:pPr>
        <w:bidi w:val="0"/>
        <w:rPr>
          <w:rFonts w:hint="default" w:asciiTheme="minorAscii" w:hAnsiTheme="minorAscii" w:eastAsiaTheme="minorEastAsia"/>
          <w:b w:val="0"/>
          <w:bCs w:val="0"/>
          <w:spacing w:val="0"/>
          <w:lang w:val="en-US" w:eastAsia="zh-CN"/>
        </w:rPr>
      </w:pPr>
    </w:p>
    <w:p w14:paraId="5D169525">
      <w:pPr>
        <w:pStyle w:val="4"/>
        <w:bidi w:val="0"/>
        <w:ind w:left="0" w:leftChars="0" w:firstLine="0" w:firstLineChars="0"/>
        <w:jc w:val="left"/>
        <w:rPr>
          <w:rFonts w:hint="default" w:asciiTheme="minorAscii" w:hAnsiTheme="minorAscii" w:eastAsiaTheme="minorEastAsia"/>
          <w:spacing w:val="0"/>
          <w:sz w:val="21"/>
          <w:szCs w:val="21"/>
          <w:lang w:val="en-US" w:eastAsia="zh-CN"/>
        </w:rPr>
      </w:pPr>
      <w:bookmarkStart w:id="1" w:name="_Toc25420"/>
      <w:r>
        <w:rPr>
          <w:rFonts w:hint="default" w:asciiTheme="minorAscii" w:hAnsiTheme="minorAscii" w:eastAsiaTheme="minorEastAsia"/>
          <w:spacing w:val="0"/>
          <w:sz w:val="21"/>
          <w:szCs w:val="21"/>
          <w:lang w:val="en-US" w:eastAsia="zh-CN"/>
        </w:rPr>
        <w:t>一、采购项目概况</w:t>
      </w:r>
      <w:bookmarkEnd w:id="1"/>
    </w:p>
    <w:p w14:paraId="0EF73803">
      <w:pPr>
        <w:spacing w:before="102" w:line="360" w:lineRule="auto"/>
        <w:ind w:left="8" w:right="141" w:firstLine="387"/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</w:pP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西安市体育局拟采购西安市社区</w:t>
      </w:r>
      <w:bookmarkStart w:id="6" w:name="_GoBack"/>
      <w:bookmarkEnd w:id="6"/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运动会市级决赛体育赛事组织服务供应商。本项项目分为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3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个采购包，第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1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采购包为三人制篮球、五人制足球、排球（气排球）、乒乓球、羽毛球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5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个项目体育赛事组织；第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2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采购包为象棋、围棋、国际象棋、广场舞、太极拳（剑、扇）、健身气功、广播体操、柔力球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8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个项目；第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3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采购包为象棋、围棋、国际象棋、广场舞、太极拳（剑、扇）、健身气功、广播体操、柔力球</w:t>
      </w:r>
      <w:r>
        <w:rPr>
          <w:rFonts w:hint="default" w:cs="Segoe UI Symbol" w:asciiTheme="minorAscii" w:hAnsiTheme="minorAscii" w:eastAsiaTheme="minorEastAsia"/>
          <w:b w:val="0"/>
          <w:bCs w:val="0"/>
          <w:spacing w:val="0"/>
          <w:sz w:val="21"/>
          <w:szCs w:val="21"/>
        </w:rPr>
        <w:t>8</w:t>
      </w:r>
      <w:r>
        <w:rPr>
          <w:rFonts w:hint="default" w:cs="宋体" w:asciiTheme="minorAscii" w:hAnsiTheme="minorAscii" w:eastAsiaTheme="minorEastAsia"/>
          <w:b w:val="0"/>
          <w:bCs w:val="0"/>
          <w:spacing w:val="0"/>
          <w:sz w:val="21"/>
          <w:szCs w:val="21"/>
        </w:rPr>
        <w:t>个项目。</w:t>
      </w:r>
    </w:p>
    <w:p w14:paraId="7EEBB933">
      <w:pPr>
        <w:pStyle w:val="4"/>
        <w:bidi w:val="0"/>
        <w:ind w:left="0" w:leftChars="0" w:firstLine="0" w:firstLineChars="0"/>
        <w:jc w:val="left"/>
        <w:rPr>
          <w:rFonts w:hint="default" w:asciiTheme="minorAscii" w:hAnsiTheme="minorAscii" w:eastAsiaTheme="minorEastAsia"/>
          <w:spacing w:val="0"/>
          <w:sz w:val="21"/>
          <w:szCs w:val="21"/>
          <w:lang w:val="en-US" w:eastAsia="zh-CN"/>
        </w:rPr>
      </w:pPr>
      <w:bookmarkStart w:id="2" w:name="_Toc8988"/>
      <w:r>
        <w:rPr>
          <w:rFonts w:hint="default" w:asciiTheme="minorAscii" w:hAnsiTheme="minorAscii" w:eastAsiaTheme="minorEastAsia"/>
          <w:spacing w:val="0"/>
          <w:sz w:val="21"/>
          <w:szCs w:val="21"/>
          <w:lang w:val="en-US" w:eastAsia="zh-CN"/>
        </w:rPr>
        <w:t>二、服务内容及服务要求</w:t>
      </w:r>
      <w:bookmarkEnd w:id="2"/>
    </w:p>
    <w:p w14:paraId="665A32F4">
      <w:pPr>
        <w:pStyle w:val="5"/>
        <w:bidi w:val="0"/>
        <w:rPr>
          <w:rFonts w:hint="default" w:asciiTheme="minorAscii" w:hAnsiTheme="minorAscii" w:eastAsiaTheme="minorEastAsia"/>
          <w:spacing w:val="0"/>
          <w:sz w:val="21"/>
          <w:szCs w:val="21"/>
        </w:rPr>
      </w:pPr>
      <w:bookmarkStart w:id="3" w:name="_Toc7992"/>
      <w:r>
        <w:rPr>
          <w:rFonts w:hint="default" w:asciiTheme="minorAscii" w:hAnsiTheme="minorAscii" w:eastAsiaTheme="minorEastAsia"/>
          <w:spacing w:val="0"/>
          <w:sz w:val="21"/>
          <w:szCs w:val="21"/>
        </w:rPr>
        <w:t>2.1服务内容</w:t>
      </w:r>
      <w:bookmarkEnd w:id="3"/>
    </w:p>
    <w:tbl>
      <w:tblPr>
        <w:tblStyle w:val="8"/>
        <w:tblW w:w="501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3134"/>
        <w:gridCol w:w="446"/>
        <w:gridCol w:w="818"/>
        <w:gridCol w:w="536"/>
        <w:gridCol w:w="536"/>
        <w:gridCol w:w="521"/>
        <w:gridCol w:w="514"/>
        <w:gridCol w:w="599"/>
        <w:gridCol w:w="724"/>
      </w:tblGrid>
      <w:tr w14:paraId="7ECB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09" w:type="pct"/>
            <w:vAlign w:val="center"/>
          </w:tcPr>
          <w:p w14:paraId="478C0F4E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采购包</w:t>
            </w:r>
          </w:p>
        </w:tc>
        <w:tc>
          <w:tcPr>
            <w:tcW w:w="1877" w:type="pct"/>
            <w:vAlign w:val="center"/>
          </w:tcPr>
          <w:p w14:paraId="33B3C02A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Ascii" w:hAnsiTheme="minorAscii"/>
                <w:b/>
                <w:bCs/>
                <w:spacing w:val="0"/>
                <w:sz w:val="21"/>
                <w:szCs w:val="21"/>
                <w:lang w:val="en-US" w:eastAsia="zh-CN"/>
              </w:rPr>
              <w:t>标包名称</w:t>
            </w:r>
          </w:p>
        </w:tc>
        <w:tc>
          <w:tcPr>
            <w:tcW w:w="267" w:type="pct"/>
            <w:textDirection w:val="tbRlV"/>
            <w:vAlign w:val="center"/>
          </w:tcPr>
          <w:p w14:paraId="6DC31F2F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数量</w:t>
            </w:r>
          </w:p>
        </w:tc>
        <w:tc>
          <w:tcPr>
            <w:tcW w:w="490" w:type="pct"/>
            <w:vAlign w:val="center"/>
          </w:tcPr>
          <w:p w14:paraId="0365531C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标的金额（元）</w:t>
            </w:r>
          </w:p>
        </w:tc>
        <w:tc>
          <w:tcPr>
            <w:tcW w:w="321" w:type="pct"/>
            <w:vAlign w:val="center"/>
          </w:tcPr>
          <w:p w14:paraId="44DE97ED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计量</w:t>
            </w:r>
          </w:p>
          <w:p w14:paraId="3E582891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14:paraId="035E1346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所属行业</w:t>
            </w:r>
          </w:p>
        </w:tc>
        <w:tc>
          <w:tcPr>
            <w:tcW w:w="312" w:type="pct"/>
            <w:vAlign w:val="center"/>
          </w:tcPr>
          <w:p w14:paraId="75366F55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是否核</w:t>
            </w:r>
          </w:p>
          <w:p w14:paraId="1AC395D9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心产品</w:t>
            </w:r>
          </w:p>
        </w:tc>
        <w:tc>
          <w:tcPr>
            <w:tcW w:w="308" w:type="pct"/>
            <w:vAlign w:val="center"/>
          </w:tcPr>
          <w:p w14:paraId="2A410358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是否允许进口产品</w:t>
            </w:r>
          </w:p>
        </w:tc>
        <w:tc>
          <w:tcPr>
            <w:tcW w:w="359" w:type="pct"/>
            <w:vAlign w:val="center"/>
          </w:tcPr>
          <w:p w14:paraId="47123F48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是否属于节能产品</w:t>
            </w:r>
          </w:p>
        </w:tc>
        <w:tc>
          <w:tcPr>
            <w:tcW w:w="433" w:type="pct"/>
            <w:vAlign w:val="center"/>
          </w:tcPr>
          <w:p w14:paraId="4FBB8FFE">
            <w:pPr>
              <w:bidi w:val="0"/>
              <w:jc w:val="center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是否属于环境标志产品</w:t>
            </w:r>
          </w:p>
        </w:tc>
      </w:tr>
      <w:tr w14:paraId="7614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09" w:type="pct"/>
            <w:vAlign w:val="center"/>
          </w:tcPr>
          <w:p w14:paraId="5823DF17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1877" w:type="pct"/>
            <w:vAlign w:val="center"/>
          </w:tcPr>
          <w:p w14:paraId="4BC28074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三人制篮球、五人制足球、排球（气排球）、乒乓球、羽毛球5个项目体育赛事组织服务</w:t>
            </w:r>
          </w:p>
        </w:tc>
        <w:tc>
          <w:tcPr>
            <w:tcW w:w="267" w:type="pct"/>
            <w:vAlign w:val="center"/>
          </w:tcPr>
          <w:p w14:paraId="1DB83634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490" w:type="pct"/>
            <w:vAlign w:val="center"/>
          </w:tcPr>
          <w:p w14:paraId="4D80FA01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500,000.</w:t>
            </w:r>
          </w:p>
          <w:p w14:paraId="228A541C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00</w:t>
            </w:r>
          </w:p>
        </w:tc>
        <w:tc>
          <w:tcPr>
            <w:tcW w:w="321" w:type="pct"/>
            <w:vAlign w:val="center"/>
          </w:tcPr>
          <w:p w14:paraId="0A360758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届</w:t>
            </w:r>
          </w:p>
        </w:tc>
        <w:tc>
          <w:tcPr>
            <w:tcW w:w="321" w:type="pct"/>
            <w:vAlign w:val="center"/>
          </w:tcPr>
          <w:p w14:paraId="2700E72A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其他未列明行业</w:t>
            </w:r>
          </w:p>
        </w:tc>
        <w:tc>
          <w:tcPr>
            <w:tcW w:w="312" w:type="pct"/>
            <w:vAlign w:val="center"/>
          </w:tcPr>
          <w:p w14:paraId="3F0453EC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08" w:type="pct"/>
            <w:vAlign w:val="center"/>
          </w:tcPr>
          <w:p w14:paraId="5773AC33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59" w:type="pct"/>
            <w:vAlign w:val="center"/>
          </w:tcPr>
          <w:p w14:paraId="73FF30D3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433" w:type="pct"/>
            <w:vAlign w:val="center"/>
          </w:tcPr>
          <w:p w14:paraId="2E21461A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</w:tr>
      <w:tr w14:paraId="32165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09" w:type="pct"/>
            <w:vAlign w:val="center"/>
          </w:tcPr>
          <w:p w14:paraId="7B573F54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33DCDC03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象棋、围棋、国际象棋、广场舞、太极拳（剑、扇）、健身气功、广播体操、柔力球8个项目体育赛事组织服务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BAE7D4C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A9EC80E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800,000.</w:t>
            </w:r>
          </w:p>
          <w:p w14:paraId="079CB14D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C90A9DC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届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68F7BA1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其他未列明行业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9500BE1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37F574A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62776A0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601F160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</w:tr>
      <w:tr w14:paraId="3829A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09" w:type="pct"/>
            <w:vAlign w:val="center"/>
          </w:tcPr>
          <w:p w14:paraId="5D8D261E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3258B3ED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跳绳、拔河、立定跳远、掷实心球、50米折返跑、100米跑、五人投壶、团体沙包、四人踢毽、魔方、两人三足11个项目体育赛事组织服务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C3F3C74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C64E8BC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660,000.</w:t>
            </w:r>
          </w:p>
          <w:p w14:paraId="0E44FAD6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00F9A57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届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E417B63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其他未列明行业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359E571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9335D71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97FD283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E771B3E">
            <w:pPr>
              <w:bidi w:val="0"/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否</w:t>
            </w:r>
          </w:p>
        </w:tc>
      </w:tr>
    </w:tbl>
    <w:p w14:paraId="2124E215">
      <w:pPr>
        <w:pStyle w:val="5"/>
        <w:bidi w:val="0"/>
        <w:rPr>
          <w:rFonts w:hint="default" w:asciiTheme="minorAscii" w:hAnsiTheme="minorAscii" w:eastAsiaTheme="minorEastAsia"/>
          <w:spacing w:val="0"/>
          <w:sz w:val="21"/>
          <w:szCs w:val="21"/>
        </w:rPr>
      </w:pPr>
      <w:bookmarkStart w:id="4" w:name="_Toc8302"/>
      <w:r>
        <w:rPr>
          <w:rFonts w:hint="default" w:asciiTheme="minorAscii" w:hAnsiTheme="minorAscii" w:eastAsiaTheme="minorEastAsia"/>
          <w:spacing w:val="0"/>
          <w:sz w:val="21"/>
          <w:szCs w:val="21"/>
        </w:rPr>
        <w:t>2.2服务要求</w:t>
      </w:r>
      <w:bookmarkEnd w:id="4"/>
    </w:p>
    <w:p w14:paraId="7E1409AF">
      <w:pPr>
        <w:bidi w:val="0"/>
        <w:rPr>
          <w:rFonts w:hint="default" w:asciiTheme="minorAscii" w:hAnsiTheme="minorAscii" w:eastAsiaTheme="minorEastAsia"/>
          <w:b w:val="0"/>
          <w:bCs w:val="0"/>
          <w:spacing w:val="0"/>
          <w:sz w:val="21"/>
          <w:szCs w:val="21"/>
        </w:rPr>
      </w:pPr>
    </w:p>
    <w:tbl>
      <w:tblPr>
        <w:tblStyle w:val="8"/>
        <w:tblW w:w="502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140"/>
        <w:gridCol w:w="6613"/>
      </w:tblGrid>
      <w:tr w14:paraId="1BDC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Header/>
        </w:trPr>
        <w:tc>
          <w:tcPr>
            <w:tcW w:w="362" w:type="pct"/>
            <w:vAlign w:val="center"/>
          </w:tcPr>
          <w:p w14:paraId="4212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采购包</w:t>
            </w:r>
          </w:p>
        </w:tc>
        <w:tc>
          <w:tcPr>
            <w:tcW w:w="682" w:type="pct"/>
            <w:vAlign w:val="center"/>
          </w:tcPr>
          <w:p w14:paraId="5C4E3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Ascii" w:hAnsiTheme="minorAscii"/>
                <w:b/>
                <w:bCs/>
                <w:spacing w:val="0"/>
                <w:sz w:val="21"/>
                <w:szCs w:val="21"/>
                <w:lang w:val="en-US" w:eastAsia="zh-CN"/>
              </w:rPr>
              <w:t>标包名称</w:t>
            </w:r>
          </w:p>
        </w:tc>
        <w:tc>
          <w:tcPr>
            <w:tcW w:w="3955" w:type="pct"/>
            <w:vAlign w:val="center"/>
          </w:tcPr>
          <w:p w14:paraId="66E1D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cs="宋体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服务要求</w:t>
            </w:r>
          </w:p>
        </w:tc>
      </w:tr>
      <w:tr w14:paraId="1C9C2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62" w:type="pct"/>
            <w:vAlign w:val="center"/>
          </w:tcPr>
          <w:p w14:paraId="4657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682" w:type="pct"/>
            <w:vAlign w:val="center"/>
          </w:tcPr>
          <w:p w14:paraId="290C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三人制篮球、五人制足球、排球（气排球）、乒乓球、羽毛球5个项目体育赛事组织服务</w:t>
            </w:r>
          </w:p>
        </w:tc>
        <w:tc>
          <w:tcPr>
            <w:tcW w:w="3955" w:type="pct"/>
            <w:vAlign w:val="center"/>
          </w:tcPr>
          <w:p w14:paraId="3D4F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一、赛事基本情况</w:t>
            </w:r>
          </w:p>
          <w:p w14:paraId="2D9D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三人制篮球、五人制足球、排球（气排球）、乒乓球、羽毛球5个项目赛事规模（各项目约300人），第一阶段所有参赛队伍抽签分为4个小组分别进行单循环比赛。第二阶段进行单淘汰赛。</w:t>
            </w:r>
          </w:p>
          <w:p w14:paraId="33AA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二、主要活动</w:t>
            </w:r>
          </w:p>
          <w:p w14:paraId="22F9B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1.时间：10月中旬</w:t>
            </w:r>
          </w:p>
          <w:p w14:paraId="320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2.地点：采购人指定</w:t>
            </w:r>
          </w:p>
          <w:p w14:paraId="5202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3.启动仪式（不少于两个全民健身节目展演）</w:t>
            </w:r>
          </w:p>
          <w:p w14:paraId="357D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时间：决赛首日</w:t>
            </w:r>
          </w:p>
          <w:p w14:paraId="1FD7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三、采购内容</w:t>
            </w:r>
          </w:p>
          <w:p w14:paraId="7D57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（一）承办标准要求</w:t>
            </w:r>
          </w:p>
          <w:p w14:paraId="3E1E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1.比赛场地：适合该项目比赛的专业场地，由采购人指定。</w:t>
            </w:r>
          </w:p>
          <w:p w14:paraId="200A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2.供应商负责提供赛事组织（含裁判、工作人员等）、启动仪式、医疗救护、安全保卫、宣传推广、保险服务、比赛场地、竞赛器材、场地搭建（含灯光音响）、氛围布置营造、物资采购及运输等与本项目执行有关的工作；</w:t>
            </w:r>
          </w:p>
          <w:p w14:paraId="7977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（二）参加队伍</w:t>
            </w:r>
          </w:p>
          <w:p w14:paraId="5D2A8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各区县选拔赛优秀队伍、个人（三）规则</w:t>
            </w:r>
          </w:p>
          <w:p w14:paraId="62EA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按照各项目国家最新修订规则（四）奖励</w:t>
            </w:r>
          </w:p>
          <w:p w14:paraId="1B29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各项目为参赛运动员颁发纪念品。</w:t>
            </w:r>
          </w:p>
          <w:p w14:paraId="253A9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（五）保险</w:t>
            </w:r>
          </w:p>
          <w:p w14:paraId="2EA50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1.保险对象是指参与本赛事活动的所有人员。</w:t>
            </w:r>
          </w:p>
          <w:p w14:paraId="7077F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2.对举办比赛体育场相关联的风险和责任进行投保，此类保险应向受伤人员或者受损物品和财产进行合适数量赔偿。</w:t>
            </w:r>
          </w:p>
          <w:p w14:paraId="7857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3.为所有参赛球员购买覆盖赛事周期的人身意外伤害险和死亡险。</w:t>
            </w:r>
          </w:p>
          <w:p w14:paraId="0883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4.参赛队伍也应为球队官员和运动员购买保险。各参赛球队应于赛前向组委会提交所有参赛人员的有效保险文件。供应商应严格审核文件的有效性。</w:t>
            </w:r>
          </w:p>
          <w:p w14:paraId="7B3D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（六）医疗救护</w:t>
            </w:r>
          </w:p>
          <w:p w14:paraId="709C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比赛场地应提供医疗服务，并配备救护车，每辆救护车不少于两名医护人员并配备比赛常备药品。救护车应配AED及使用AED设备的专业医务人员。比赛时，救护车应于赛前60分钟抵达赛场，至赛后30分钟离开。供应商应为各项目指定医院，并开通就医相关绿色通道。</w:t>
            </w:r>
          </w:p>
          <w:p w14:paraId="352D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（七）宣传推广</w:t>
            </w:r>
          </w:p>
          <w:p w14:paraId="37BD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1.供应商应成立宣传工作组，确定不少于2名工作人员负责。赛事举办期间向当地媒体提供相应的赛事信息和报道素材、赛事活动期间相关新闻稿件撰写，宣发的相关报道链接等由供应方收集整理打包，赛后统一提供给采购方。</w:t>
            </w:r>
          </w:p>
          <w:p w14:paraId="1562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2.本次活动应提供宣传渠道包括但不限于线上宣传、线下宣传、媒体合作、直播平台等。</w:t>
            </w:r>
          </w:p>
          <w:p w14:paraId="22A14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3.市级以上宣传稿件4篇以上，各类媒介共计10篇以上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eastAsia="zh-CN"/>
              </w:rPr>
              <w:t>。</w:t>
            </w:r>
          </w:p>
          <w:p w14:paraId="4A59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</w:rPr>
              <w:t>（八）资料留存</w:t>
            </w:r>
          </w:p>
          <w:p w14:paraId="26877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所有项目照片、视频、文字资料档案等电子版资料备份至移动硬盘，赛后统一提供给采购方。</w:t>
            </w:r>
          </w:p>
        </w:tc>
      </w:tr>
      <w:tr w14:paraId="6E75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62" w:type="pct"/>
            <w:vAlign w:val="center"/>
          </w:tcPr>
          <w:p w14:paraId="0321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E8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象棋、围棋、国际象棋、广场舞、太极拳（剑、扇）、健身气功、广播体操、柔力球8个项目体育赛事组织服务</w:t>
            </w:r>
          </w:p>
        </w:tc>
        <w:tc>
          <w:tcPr>
            <w:tcW w:w="3955" w:type="pct"/>
            <w:shd w:val="clear" w:color="auto" w:fill="auto"/>
            <w:vAlign w:val="center"/>
          </w:tcPr>
          <w:p w14:paraId="4F38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一、赛事基本情况</w:t>
            </w:r>
          </w:p>
          <w:p w14:paraId="6555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象棋、围棋、国际象棋、广场舞、太极拳（剑、扇）、健身气功、广播体操、柔力球8个项目赛事规模（各项目约300人），第一阶段所有参赛队伍抽签分为4个小组分别进行单循环比赛。第二阶段进行单淘汰赛。</w:t>
            </w:r>
          </w:p>
          <w:p w14:paraId="221B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二、主要活动</w:t>
            </w:r>
          </w:p>
          <w:p w14:paraId="4235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1.时间：10月中旬</w:t>
            </w:r>
          </w:p>
          <w:p w14:paraId="7B0A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2.地点：采购人指定</w:t>
            </w:r>
          </w:p>
          <w:p w14:paraId="5D38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3.启动仪式（不少于两个全民健身节目展演）</w:t>
            </w:r>
          </w:p>
          <w:p w14:paraId="76A7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4.时间：决赛首日</w:t>
            </w:r>
          </w:p>
          <w:p w14:paraId="6CB8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三、采购内容</w:t>
            </w:r>
          </w:p>
          <w:p w14:paraId="6C7F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（一）承办标准要求</w:t>
            </w:r>
          </w:p>
          <w:p w14:paraId="4EB2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1.比赛场地：适合该项目比赛的专业场地，由采购人指定。</w:t>
            </w:r>
          </w:p>
          <w:p w14:paraId="61FB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供应商负责提供赛事组织（含裁判、工作人员等）、启动仪式、医疗救护、安全保卫、宣传推广、保险服务、比赛场地、竞赛器材、场地搭建（含灯光音响）、氛围布置营造、物资采购及运输等与本项目执行有关的工作；</w:t>
            </w:r>
          </w:p>
          <w:p w14:paraId="2F5F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（二）参加队伍</w:t>
            </w:r>
          </w:p>
          <w:p w14:paraId="20EF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各区县选拔赛优秀队伍、个人（三）规则</w:t>
            </w:r>
          </w:p>
          <w:p w14:paraId="7D23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按照各项目国家最新修订规则（四）奖励</w:t>
            </w:r>
          </w:p>
          <w:p w14:paraId="0E969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各项目为参赛运动员颁发纪念品。</w:t>
            </w:r>
          </w:p>
          <w:p w14:paraId="54CF6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（五）保险</w:t>
            </w:r>
          </w:p>
          <w:p w14:paraId="3F14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1.保险对象是指参与本赛事活动的所有人员。</w:t>
            </w:r>
          </w:p>
          <w:p w14:paraId="4620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2.对举办比赛体育场相关联的风险和责任进行投保，此类保险应向受伤人员或者受损物品和财产进行合适数量赔偿。</w:t>
            </w:r>
          </w:p>
          <w:p w14:paraId="584D1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3.为所有参赛球员购买覆盖赛事周期的人身意外伤害险和死亡险。</w:t>
            </w:r>
          </w:p>
          <w:p w14:paraId="5B7E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4.参赛队伍也应为球队官员和运动员购买保险。各参赛球队应于赛前向组委会提交所有参赛人员的有效保险文件。供应商应严格审核文件的有效性。</w:t>
            </w:r>
          </w:p>
          <w:p w14:paraId="624DD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（六）医疗救护</w:t>
            </w:r>
          </w:p>
          <w:p w14:paraId="526B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比赛场地应提供医疗服务，并配备救护车，每辆救护车不少于两名医护人员并配备比赛常备药品。救护车应配AED及使用AED设备的专业医务人员。比赛时，救护车应于赛前60分钟抵达赛场，至赛后30分钟离开。供应商应为各项目指定医院，并开通就医相关绿色通道。</w:t>
            </w:r>
          </w:p>
          <w:p w14:paraId="5569E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（七）宣传推广</w:t>
            </w:r>
          </w:p>
          <w:p w14:paraId="4827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供应商应成立宣传工作组，确定不少于2名工作人员负责。赛事举办期间向当地媒体提供相应的赛事信息和报道素材、赛事活动期间相关新闻稿件撰写，宣发的相关报道链接等由供应方收集整理打包，赛后统一提供给采购方。</w:t>
            </w:r>
          </w:p>
          <w:p w14:paraId="3C51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2.本次活动应提供宣传渠道包括但不限于线上宣传、线下宣传、媒体合作、直播平台等。</w:t>
            </w:r>
          </w:p>
          <w:p w14:paraId="5D61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3.市级以上宣传稿件4篇以上，各类媒介共计10篇以上</w:t>
            </w:r>
          </w:p>
          <w:p w14:paraId="6E72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（八）资料留存</w:t>
            </w:r>
          </w:p>
          <w:p w14:paraId="69B3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所有项目照片、视频、文字资料档案等电子版资料备份至移动硬盘，赛后统一提供给采购方。</w:t>
            </w:r>
          </w:p>
        </w:tc>
      </w:tr>
      <w:tr w14:paraId="4D58C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362" w:type="pct"/>
            <w:vAlign w:val="center"/>
          </w:tcPr>
          <w:p w14:paraId="142B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5B5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en-US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</w:rPr>
              <w:t>跳绳、拔河、立定跳远、掷实心球、50米折返跑、100米跑、五人投壶、团体沙包、四人踢毽、魔方、两人三足11个项目体育赛事组织服务</w:t>
            </w:r>
          </w:p>
        </w:tc>
        <w:tc>
          <w:tcPr>
            <w:tcW w:w="3955" w:type="pct"/>
            <w:shd w:val="clear" w:color="auto" w:fill="auto"/>
            <w:vAlign w:val="center"/>
          </w:tcPr>
          <w:p w14:paraId="0AB04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一、赛事基本情况</w:t>
            </w:r>
          </w:p>
          <w:p w14:paraId="73F9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跳绳、拔河、立定跳远、掷实心球、50米折返跑、100米跑、五人投壶、团体沙包、四人踢毽、魔方、两人三足11个项目赛事规模（各项目约300人），第一阶段所有参赛队伍抽签分为4个小组分别进行单循环比赛。第二阶段进行单淘汰赛。</w:t>
            </w:r>
          </w:p>
          <w:p w14:paraId="5B3E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、主要活动</w:t>
            </w:r>
          </w:p>
          <w:p w14:paraId="19CC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1.时间：9月下旬</w:t>
            </w:r>
          </w:p>
          <w:p w14:paraId="4D7D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2.地点：采购人指定</w:t>
            </w:r>
          </w:p>
          <w:p w14:paraId="0DFE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3.启动仪式（不少于两个全民健身节目展演）</w:t>
            </w:r>
          </w:p>
          <w:p w14:paraId="46E6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4.时间：决赛首日</w:t>
            </w:r>
          </w:p>
          <w:p w14:paraId="58EF8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三、采购内容</w:t>
            </w:r>
          </w:p>
          <w:p w14:paraId="217E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（一）承办标准要求</w:t>
            </w:r>
          </w:p>
          <w:p w14:paraId="1A16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1.比赛场地：适合该项目比赛的专业场地，由采购人指定。</w:t>
            </w:r>
          </w:p>
          <w:p w14:paraId="58FB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供应商负责提供赛事组织（含裁判、工作人员等）、启动仪式、医疗救护、安全保卫、宣传推广、保险服务、比赛场地、竞赛器材、场地搭建（含灯光音响）、氛围布置营造、物资采购及运输等与本项目执行有关的工作；</w:t>
            </w:r>
          </w:p>
          <w:p w14:paraId="544C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（二）参加队伍</w:t>
            </w:r>
          </w:p>
          <w:p w14:paraId="265D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各区县选拔赛优秀队伍、个人（三）规则</w:t>
            </w:r>
          </w:p>
          <w:p w14:paraId="5149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按照各项目国家最新修订规则（四）奖励</w:t>
            </w:r>
          </w:p>
          <w:p w14:paraId="3AC0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各项目为参赛运动员颁发纪念品。</w:t>
            </w:r>
          </w:p>
          <w:p w14:paraId="4FE7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（五）保险</w:t>
            </w:r>
          </w:p>
          <w:p w14:paraId="067D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1.保险对象是指参与本赛事活动的所有人员。</w:t>
            </w:r>
          </w:p>
          <w:p w14:paraId="0F09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2.对举办比赛体育场相关联的风险和责任进行投保，此类保险应向受伤人员或者受损物品和财产进行合适数量赔偿。</w:t>
            </w:r>
          </w:p>
          <w:p w14:paraId="25638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3.为所有参赛球员购买覆盖赛事周期的人身意外伤害险和死亡险。</w:t>
            </w:r>
          </w:p>
          <w:p w14:paraId="55D2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4.参赛队伍也应为球队官员和运动员购买保险。各参赛球队应于赛前向组委会提交所有参赛人员的有效保险文件。供应商应严格审核文件的有效性。</w:t>
            </w:r>
          </w:p>
          <w:p w14:paraId="25518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（六）医疗救护</w:t>
            </w:r>
          </w:p>
          <w:p w14:paraId="03A2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比赛场地应提供医疗服务，并配备救护车，每辆救护车不少于两名医护人员并配备比赛常备药品。救护车应配AED及使用AED设备的专业医务人员。比赛时，救护车应于赛前60分钟抵达赛场，至赛后30分钟离开。供应商应为各项目指定医院，并开通就医相关绿色通道。</w:t>
            </w:r>
          </w:p>
          <w:p w14:paraId="3907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（七）宣传推广</w:t>
            </w:r>
          </w:p>
          <w:p w14:paraId="2FBB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1.供应商应成立宣传工作组，确定不少于2名工作人员负责。赛事举办期间向当地媒体提供相应的赛事信息和报道素材、赛事活动期间相关新闻稿件撰写，宣发的相关报道链接等由供应方收集整理打包，赛后统一提供给采购方。</w:t>
            </w:r>
          </w:p>
          <w:p w14:paraId="16B4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2.本次活动应提供宣传渠道包括但不限于线上宣传、线下宣传、媒体合作、直播平台等。</w:t>
            </w:r>
          </w:p>
          <w:p w14:paraId="73EE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3.市级以上宣传稿件4篇以上，各类媒介共计10篇以上。</w:t>
            </w:r>
          </w:p>
          <w:p w14:paraId="1A32C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0"/>
                <w:sz w:val="21"/>
                <w:szCs w:val="21"/>
                <w:lang w:val="en-US" w:eastAsia="zh-CN"/>
              </w:rPr>
              <w:t>（八）资料留存</w:t>
            </w:r>
          </w:p>
          <w:p w14:paraId="34BC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所有项目照片、视频、文字资料档案等电子版资料备份至移动硬盘，赛后统一提供给采购方。</w:t>
            </w:r>
          </w:p>
        </w:tc>
      </w:tr>
    </w:tbl>
    <w:p w14:paraId="5B7A317C">
      <w:pPr>
        <w:pStyle w:val="4"/>
        <w:bidi w:val="0"/>
        <w:ind w:left="0" w:leftChars="0" w:firstLine="0" w:firstLineChars="0"/>
        <w:jc w:val="both"/>
        <w:rPr>
          <w:rFonts w:hint="default" w:cs="宋体" w:asciiTheme="minorAscii" w:hAnsiTheme="minorAscii" w:eastAsiaTheme="minorEastAsia"/>
          <w:spacing w:val="0"/>
          <w:sz w:val="21"/>
          <w:szCs w:val="21"/>
        </w:rPr>
      </w:pPr>
      <w:bookmarkStart w:id="5" w:name="_Toc922"/>
      <w:r>
        <w:rPr>
          <w:rFonts w:hint="default" w:cs="Microsoft JhengHei" w:asciiTheme="minorAscii" w:hAnsiTheme="minorAscii" w:eastAsiaTheme="minorEastAsia"/>
          <w:b/>
          <w:bCs/>
          <w:spacing w:val="0"/>
          <w:sz w:val="21"/>
          <w:szCs w:val="21"/>
          <w:lang w:val="en-US" w:eastAsia="zh-CN"/>
        </w:rPr>
        <w:t>三、</w:t>
      </w:r>
      <w:r>
        <w:rPr>
          <w:rFonts w:hint="default" w:cs="宋体" w:asciiTheme="minorAscii" w:hAnsiTheme="minorAscii" w:eastAsiaTheme="minorEastAsia"/>
          <w:spacing w:val="0"/>
          <w:sz w:val="21"/>
          <w:szCs w:val="21"/>
        </w:rPr>
        <w:t>商务要求</w:t>
      </w:r>
      <w:bookmarkEnd w:id="5"/>
    </w:p>
    <w:p w14:paraId="13C3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21"/>
          <w:szCs w:val="21"/>
        </w:rPr>
        <w:t>3.1服务期限</w:t>
      </w:r>
      <w:r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21"/>
          <w:szCs w:val="21"/>
        </w:rPr>
        <w:t>自合同签订之日起至各项目决赛结束</w:t>
      </w:r>
      <w:r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  <w:t>。</w:t>
      </w:r>
    </w:p>
    <w:p w14:paraId="2F4A8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Ascii" w:hAnsiTheme="minorAscii" w:eastAsiaTheme="minorEastAsia"/>
          <w:spacing w:val="0"/>
          <w:sz w:val="21"/>
          <w:szCs w:val="21"/>
        </w:rPr>
      </w:pPr>
      <w:r>
        <w:rPr>
          <w:rFonts w:hint="default" w:asciiTheme="minorAscii" w:hAnsiTheme="minorAscii" w:eastAsiaTheme="minorEastAsia"/>
          <w:spacing w:val="0"/>
          <w:sz w:val="21"/>
          <w:szCs w:val="21"/>
        </w:rPr>
        <w:t>3.2服务地点</w:t>
      </w:r>
      <w:r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21"/>
          <w:szCs w:val="21"/>
        </w:rPr>
        <w:t>采购人指定地点</w:t>
      </w:r>
    </w:p>
    <w:p w14:paraId="19F66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Ascii" w:hAnsiTheme="minorAscii" w:eastAsiaTheme="minorEastAsia"/>
          <w:spacing w:val="0"/>
          <w:sz w:val="21"/>
          <w:szCs w:val="21"/>
        </w:rPr>
      </w:pPr>
      <w:r>
        <w:rPr>
          <w:rFonts w:hint="default" w:asciiTheme="minorAscii" w:hAnsiTheme="minorAscii" w:eastAsiaTheme="minorEastAsia"/>
          <w:spacing w:val="0"/>
          <w:sz w:val="21"/>
          <w:szCs w:val="21"/>
        </w:rPr>
        <w:t>3.3.3考核（验收）标准和方法</w:t>
      </w:r>
      <w:r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21"/>
          <w:szCs w:val="21"/>
        </w:rPr>
        <w:t>采购人严格按照磋商文件；成交供应商响应文件；已签订的合同文本；国家/行业相关标准及规范规定组织项目验收或考核。</w:t>
      </w:r>
    </w:p>
    <w:p w14:paraId="2CF7E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Theme="minorAscii" w:hAnsiTheme="minorAscii" w:eastAsiaTheme="minorEastAsia"/>
          <w:spacing w:val="0"/>
          <w:sz w:val="21"/>
          <w:szCs w:val="21"/>
        </w:rPr>
      </w:pPr>
      <w:r>
        <w:rPr>
          <w:rFonts w:hint="default" w:asciiTheme="minorAscii" w:hAnsiTheme="minorAscii" w:eastAsiaTheme="minorEastAsia"/>
          <w:spacing w:val="0"/>
          <w:sz w:val="21"/>
          <w:szCs w:val="21"/>
        </w:rPr>
        <w:t>3.3.4支付方式</w:t>
      </w:r>
      <w:r>
        <w:rPr>
          <w:rFonts w:hint="default" w:asciiTheme="minorAscii" w:hAnsiTheme="minorAscii" w:eastAsiaTheme="minorEastAsia"/>
          <w:spacing w:val="0"/>
          <w:sz w:val="21"/>
          <w:szCs w:val="21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21"/>
          <w:szCs w:val="21"/>
        </w:rPr>
        <w:t>合同签订后，达到付款条件起30日内，支付合同总金额的60.00%。赛事服务结束后，达到付款条件起30日内，支付合同总金额的40.00%。</w:t>
      </w:r>
    </w:p>
    <w:p w14:paraId="4E7A7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7621"/>
    <w:rsid w:val="3B7844CB"/>
    <w:rsid w:val="56F8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方正小标宋_GBK" w:eastAsia="宋体"/>
      <w:b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line="560" w:lineRule="exact"/>
      <w:ind w:firstLine="640" w:firstLineChars="200"/>
      <w:jc w:val="center"/>
      <w:outlineLvl w:val="1"/>
    </w:pPr>
    <w:rPr>
      <w:rFonts w:ascii="楷体" w:hAnsi="楷体" w:eastAsia="宋体"/>
      <w:b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after="140" w:afterLines="0" w:line="360" w:lineRule="auto"/>
      <w:ind w:leftChars="200"/>
      <w:outlineLvl w:val="2"/>
    </w:pPr>
    <w:rPr>
      <w:rFonts w:ascii="Arial" w:hAnsi="Arial" w:eastAsia="Arial" w:cs="Arial"/>
      <w:b/>
      <w:snapToGrid w:val="0"/>
      <w:color w:val="000000"/>
      <w:kern w:val="0"/>
      <w:sz w:val="28"/>
      <w:szCs w:val="20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2025-09-03T07:49:00Z</dcterms:created>
  <dc:creator>朱娟</dc:creator>
  <cp:lastModifiedBy>朱娟</cp:lastModifiedBy>
  <dcterms:modified xsi:type="dcterms:W3CDTF">2025-09-03T07:49:36Z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BC177593980A43EC99850227BDC6C8FE_11</vt:lpwstr>
  </property>
  <property fmtid="{D5CDD505-2E9C-101B-9397-08002B2CF9AE}" pid="4" name="KSOTemplateDocerSaveRecord">
    <vt:lpwstr>eyJoZGlkIjoiNTRiN2YxNjhiMWY2MjU3ZTk1NTcyNzUwOWE2ZjIyNTQiLCJ1c2VySWQiOiIyMDIwODMyODIifQ==</vt:lpwstr>
  </property>
</Properties>
</file>