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8A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bdr w:val="none" w:color="auto" w:sz="0" w:space="0"/>
          <w:shd w:val="clear" w:fill="FFFFFF"/>
        </w:rPr>
        <w:t>谈判项目技术、服务、商务及其他要求</w:t>
      </w:r>
    </w:p>
    <w:p w14:paraId="34B3CB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8B1E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5AE4C2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采购一批新国标120L塑料垃圾桶（厨余垃圾桶）、240L塑料垃圾桶（其他垃圾桶），用于日常城市清洁活动中的垃圾收集及转运，要求所有货物（产品）质量合格、安装、调试到位、验收合格达到交钥匙使用条件。</w:t>
      </w:r>
    </w:p>
    <w:p w14:paraId="6A2C7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2BEFD4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1BEEFD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采购包预算金额（元）: 600,000.00</w:t>
      </w:r>
    </w:p>
    <w:p w14:paraId="29B169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采购包最高限价（元）: 600,000.00</w:t>
      </w:r>
    </w:p>
    <w:p w14:paraId="4D9AE4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供应商报价不允许超过标的金额</w:t>
      </w:r>
    </w:p>
    <w:p w14:paraId="53FB85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
        <w:gridCol w:w="2640"/>
        <w:gridCol w:w="502"/>
        <w:gridCol w:w="1057"/>
        <w:gridCol w:w="544"/>
        <w:gridCol w:w="544"/>
        <w:gridCol w:w="586"/>
        <w:gridCol w:w="627"/>
        <w:gridCol w:w="627"/>
        <w:gridCol w:w="669"/>
      </w:tblGrid>
      <w:tr w14:paraId="20691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1E129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05B64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71E94C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FECD42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CFE003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127A5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CC0A72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29FBF0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BD3170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D59C3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386BC5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A79C19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BE89B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四分类垃圾桶采购项目</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BC1F04">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96ACA4">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600,000.00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FE041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441E8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E3888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14B36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DAEF43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FB255B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4D2CC1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50EE5B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21097A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标的名称：四分类垃圾桶采购项目</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0"/>
        <w:gridCol w:w="1221"/>
        <w:gridCol w:w="6105"/>
      </w:tblGrid>
      <w:tr w14:paraId="44DD3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D77FC7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568A24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159C3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14CF1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D1918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39A2B75">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2778A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18"/>
                <w:szCs w:val="18"/>
              </w:rPr>
            </w:pPr>
            <w:r>
              <w:rPr>
                <w:rFonts w:ascii="仿宋" w:hAnsi="仿宋" w:eastAsia="仿宋" w:cs="仿宋"/>
                <w:color w:val="000000"/>
                <w:sz w:val="21"/>
                <w:szCs w:val="21"/>
                <w:bdr w:val="none" w:color="auto" w:sz="0" w:space="0"/>
              </w:rPr>
              <w:t>一、采购需求及要求</w:t>
            </w:r>
          </w:p>
          <w:p w14:paraId="15DD74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1.1采购需求清单：详见附表“四分类垃圾桶采购需求清单”。</w:t>
            </w:r>
            <w:r>
              <w:rPr>
                <w:rFonts w:hint="eastAsia" w:ascii="仿宋" w:hAnsi="仿宋" w:eastAsia="仿宋" w:cs="仿宋"/>
                <w:color w:val="000000"/>
                <w:sz w:val="21"/>
                <w:szCs w:val="21"/>
                <w:bdr w:val="none" w:color="auto" w:sz="0" w:space="0"/>
              </w:rPr>
              <w:t>供应商应按要求提供所投的产品的技术资料（除特别说明外，其他技术资料证明材料不限于原厂印刷的产品说明书、质量证书、检测报告、合格证、官网截图等）；供应商应保证投标所提供的第三方资料内容真实、完整、准确；如有第三方出具的相关书面声明、检测报告等资料存在虚假，监管部门有权根据调查情形认定其是否属于提供虚假材料谋取中标（成交），并严肃处理；</w:t>
            </w:r>
          </w:p>
          <w:p w14:paraId="5727A7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1.2安全要求：</w:t>
            </w:r>
            <w:r>
              <w:rPr>
                <w:rFonts w:hint="eastAsia" w:ascii="仿宋" w:hAnsi="仿宋" w:eastAsia="仿宋" w:cs="仿宋"/>
                <w:color w:val="000000"/>
                <w:sz w:val="21"/>
                <w:szCs w:val="21"/>
                <w:bdr w:val="none" w:color="auto" w:sz="0" w:space="0"/>
              </w:rPr>
              <w:t>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如存在部分尺寸、规格可调节的产品，具体应与实际使用相匹配；供应商应建立健全安装现场安全文明生产保证体系，落实各项具体措施，切实履行安全文明生产责任和义务，保护职工身体健康和生命安全，以及社会公众安全，保持安装现场整齐有序。</w:t>
            </w:r>
          </w:p>
          <w:p w14:paraId="79A193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1.3质量标准及要求：</w:t>
            </w:r>
            <w:r>
              <w:rPr>
                <w:rFonts w:hint="eastAsia" w:ascii="仿宋" w:hAnsi="仿宋" w:eastAsia="仿宋" w:cs="仿宋"/>
                <w:color w:val="000000"/>
                <w:sz w:val="21"/>
                <w:szCs w:val="21"/>
                <w:bdr w:val="none" w:color="auto" w:sz="0" w:space="0"/>
              </w:rPr>
              <w:t>（1）所有货物（产品）、服务符合国家、省、市（行业）强制性标准及采购人要求的合格标准；</w:t>
            </w:r>
          </w:p>
          <w:p w14:paraId="292676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6B52A1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6D25EC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1.4</w:t>
            </w:r>
            <w:r>
              <w:rPr>
                <w:rFonts w:hint="eastAsia" w:ascii="仿宋" w:hAnsi="仿宋" w:eastAsia="仿宋" w:cs="仿宋"/>
                <w:color w:val="000000"/>
                <w:sz w:val="21"/>
                <w:szCs w:val="21"/>
                <w:bdr w:val="none" w:color="auto" w:sz="0" w:space="0"/>
              </w:rPr>
              <w:t>为保证货物（包含配件和软件）质量和功能的严谨性，中标（成交）后采购人有权要求中标人对其所提供的货物的功能进行逐一演示，如有功能与实际响应不相符，一律按虚假应标处理，由中标人承担因此产生的一切后果和责任；</w:t>
            </w:r>
          </w:p>
          <w:p w14:paraId="055B46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1.5产品“三包”要求：</w:t>
            </w:r>
            <w:r>
              <w:rPr>
                <w:rFonts w:hint="eastAsia" w:ascii="仿宋" w:hAnsi="仿宋" w:eastAsia="仿宋" w:cs="仿宋"/>
                <w:color w:val="000000"/>
                <w:sz w:val="21"/>
                <w:szCs w:val="21"/>
                <w:bdr w:val="none" w:color="auto" w:sz="0" w:space="0"/>
              </w:rPr>
              <w:t>货物（产品）属于国家规定的“三包产品”，产品制造商、经销代理商应遵守“三包”的规定，在产品发生质量问题时，及时对所提供产品实行“包退、包换、保修”服务。</w:t>
            </w:r>
          </w:p>
          <w:p w14:paraId="705C12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Style w:val="9"/>
                <w:rFonts w:hint="eastAsia" w:ascii="仿宋" w:hAnsi="仿宋" w:eastAsia="仿宋" w:cs="仿宋"/>
                <w:color w:val="000000"/>
                <w:sz w:val="21"/>
                <w:szCs w:val="21"/>
                <w:bdr w:val="none" w:color="auto" w:sz="0" w:space="0"/>
              </w:rPr>
              <w:t>1.6售后服务要求：</w:t>
            </w:r>
            <w:r>
              <w:rPr>
                <w:rFonts w:hint="eastAsia" w:ascii="仿宋" w:hAnsi="仿宋" w:eastAsia="仿宋" w:cs="仿宋"/>
                <w:color w:val="000000"/>
                <w:sz w:val="21"/>
                <w:szCs w:val="21"/>
                <w:bdr w:val="none" w:color="auto" w:sz="0" w:space="0"/>
              </w:rPr>
              <w:t>（1）成交供应商须指派专人负责与采购人联系售后服务事宜；</w:t>
            </w:r>
          </w:p>
          <w:p w14:paraId="68B34D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（2）成交供应商负责货物的现场安装、调试、测试和启动等；</w:t>
            </w:r>
          </w:p>
          <w:p w14:paraId="268004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3）成交供应商负责货物的安装、启动、运行及维护等对使用人员进行免费培训：培训主要内容为货物的基本结构、性能、主要部件的构造及原理，日常使用操作、维护保养与管理，常见故障的排除、紧急情况的处理等，如使用方未使用过同类型货物，成交供应商还需就货物的功能对使用方人员进行相应的技术培训，培训地点为货物安装现场或由采购人安排；</w:t>
            </w:r>
          </w:p>
          <w:p w14:paraId="352EFC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（4）质保期自采购人在质量验收单（终验）上签字之日起计算，质保费用计入总价；</w:t>
            </w:r>
          </w:p>
          <w:p w14:paraId="789AF6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5）成交供应商负责对其提供的货物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520725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（6）成交供应商负责对其所提供的设备、材料等备品配件供应，提供长期维修，并提供技术咨询等服务，所有维修记录交由采购人的现场技术人员一份，并详细说明问题所在、解决办法及注意事项；</w:t>
            </w:r>
          </w:p>
          <w:p w14:paraId="248412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（7）货物故障报修的响应时间为：7x24小时免费上门服务；</w:t>
            </w:r>
          </w:p>
          <w:p w14:paraId="0B599A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8）所有货物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416443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（9）在保修期内更换系统中的零部件，其保修期应相应延长；</w:t>
            </w:r>
          </w:p>
          <w:p w14:paraId="7BF4F1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（10）质保期结束后的维修、维护等由双方协商再定。</w:t>
            </w:r>
          </w:p>
          <w:p w14:paraId="7B7401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二、其他要求或说明</w:t>
            </w:r>
          </w:p>
          <w:p w14:paraId="5E1452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145714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2.2设施设备要求：供应商根据采购项目特性及要求，自行配置投入履行合同所必需的各类设施设备（不限于专业设备、辅助设备、工具、软件等），保证项目顺利实施。</w:t>
            </w:r>
          </w:p>
          <w:p w14:paraId="3BB235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★2.3核心产品的名称：</w:t>
            </w:r>
            <w:r>
              <w:rPr>
                <w:rFonts w:hint="eastAsia" w:ascii="仿宋" w:hAnsi="仿宋" w:eastAsia="仿宋" w:cs="仿宋"/>
                <w:color w:val="000000"/>
                <w:sz w:val="21"/>
                <w:szCs w:val="21"/>
                <w:u w:val="single"/>
                <w:bdr w:val="none" w:color="auto" w:sz="0" w:space="0"/>
              </w:rPr>
              <w:t>120L厨余垃圾塑料垃圾桶、240L其他垃圾塑料垃圾桶</w:t>
            </w:r>
            <w:r>
              <w:rPr>
                <w:rFonts w:hint="eastAsia" w:ascii="仿宋" w:hAnsi="仿宋" w:eastAsia="仿宋" w:cs="仿宋"/>
                <w:color w:val="000000"/>
                <w:sz w:val="21"/>
                <w:szCs w:val="21"/>
                <w:bdr w:val="none" w:color="auto" w:sz="0" w:space="0"/>
              </w:rPr>
              <w:t>。</w:t>
            </w:r>
          </w:p>
          <w:p w14:paraId="01F198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18"/>
                <w:szCs w:val="18"/>
              </w:rPr>
            </w:pPr>
            <w:r>
              <w:rPr>
                <w:rFonts w:hint="eastAsia" w:ascii="仿宋" w:hAnsi="仿宋" w:eastAsia="仿宋" w:cs="仿宋"/>
                <w:color w:val="000000"/>
                <w:sz w:val="21"/>
                <w:szCs w:val="21"/>
                <w:bdr w:val="none" w:color="auto" w:sz="0" w:space="0"/>
              </w:rPr>
              <w:t>2.4本项目标的所属行业为:</w:t>
            </w:r>
            <w:r>
              <w:rPr>
                <w:rFonts w:hint="eastAsia" w:ascii="仿宋" w:hAnsi="仿宋" w:eastAsia="仿宋" w:cs="仿宋"/>
                <w:color w:val="000000"/>
                <w:sz w:val="21"/>
                <w:szCs w:val="21"/>
                <w:u w:val="single"/>
                <w:bdr w:val="none" w:color="auto" w:sz="0" w:space="0"/>
              </w:rPr>
              <w:t> 工业 </w:t>
            </w:r>
            <w:r>
              <w:rPr>
                <w:rFonts w:hint="eastAsia" w:ascii="仿宋" w:hAnsi="仿宋" w:eastAsia="仿宋" w:cs="仿宋"/>
                <w:color w:val="000000"/>
                <w:sz w:val="21"/>
                <w:szCs w:val="21"/>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030D7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0A58D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63A61B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369BA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自合同签订生效之日起20日内完成供货、安装、调试、验收</w:t>
      </w:r>
    </w:p>
    <w:p w14:paraId="72230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70B37A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637C8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按采购人指定地点</w:t>
      </w:r>
    </w:p>
    <w:p w14:paraId="571FBF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31787F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07DC3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一次付清</w:t>
      </w:r>
    </w:p>
    <w:p w14:paraId="665A9A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4A671E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 付款条件说明： 根据成交单价和实际采购数量据实结算，所有货物交货完成，验收合格 ，达到付款条件起 30 日内，支付合同总金额的 100.00%。</w:t>
      </w:r>
    </w:p>
    <w:p w14:paraId="345E37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33C2E0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73774F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现行的国家标准或国家行政部门颁布的法律法规、规章制度等，是项目验收的重要依据，采购人单位按照国家（行业）强制性标准及合同约定对成交供应商所提供的货物（产品）或服务进行检查或验收，成交供应商须无条件地接受采购人的各类检查或验收；若验收不通过或质量不合格，成交供应商应在一定期限进行整改完善，以采购人要求的标准提供合格的货物（产品）或服务；若成交供应商在接受检查整改后，仍不能提供符合采购要求的合格货物（产品）或服务，采购人有权按违约予以撤项，具体按合同相关条款执行。</w:t>
      </w:r>
    </w:p>
    <w:p w14:paraId="03493D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0B65D8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4174F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5D89B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6D9FC6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6343CB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本项目整体质保期不少于12个月，供应商承诺超过采购文件要求的，按其承诺的质保期进行质保，质保期起始时间为终验合格之日。</w:t>
      </w:r>
    </w:p>
    <w:p w14:paraId="763967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18B22A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01DC0A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详见合同条款</w:t>
      </w:r>
    </w:p>
    <w:p w14:paraId="79DB74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78FC0F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采购包1：</w:t>
      </w:r>
    </w:p>
    <w:p w14:paraId="5A9029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bdr w:val="none" w:color="auto" w:sz="0" w:space="0"/>
          <w:shd w:val="clear" w:fill="FFFFFF"/>
        </w:rPr>
        <w:t>一、供应商的报价是供应商响应采购项目要求的全部工作内容的价格体现，包括供应商完成本项目所需的直接费、间接费、利润、税金及其他相关的一切费用，包括但不限于：产品费、附件费、工具费、验收费、运输费、保险费、安装费、调试费、技术服务费（含售后）、招标代理费、税金、利润及不可预见费等费用；谈判总价中不得包含采购文件要求以外的内容，否则，在评标时不予核减。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3.中标人的谈判有效期自动延长至合同终止为止。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四、采购文件中签名是指：手写签名或加盖签名章（含电子），盖章是指加盖单位章（含电子）。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783CDA0C">
      <w:r>
        <w:br w:type="page"/>
      </w:r>
    </w:p>
    <w:p w14:paraId="18177353">
      <w:pPr>
        <w:rPr>
          <w:rFonts w:hint="eastAsia"/>
          <w:lang w:val="en-US" w:eastAsia="zh-CN"/>
        </w:rPr>
      </w:pPr>
      <w:r>
        <w:rPr>
          <w:rFonts w:hint="eastAsia"/>
          <w:lang w:val="en-US" w:eastAsia="zh-CN"/>
        </w:rPr>
        <w:t>附表：</w:t>
      </w:r>
    </w:p>
    <w:p w14:paraId="10220024">
      <w:pPr>
        <w:spacing w:before="36" w:line="229" w:lineRule="auto"/>
        <w:jc w:val="center"/>
        <w:rPr>
          <w:rFonts w:hint="eastAsia" w:ascii="仿宋" w:hAnsi="仿宋" w:eastAsia="仿宋" w:cs="仿宋"/>
          <w:b/>
          <w:bCs/>
          <w:spacing w:val="6"/>
          <w:sz w:val="21"/>
          <w:szCs w:val="21"/>
        </w:rPr>
      </w:pPr>
      <w:r>
        <w:rPr>
          <w:rFonts w:hint="eastAsia" w:ascii="仿宋" w:hAnsi="仿宋" w:eastAsia="仿宋" w:cs="仿宋"/>
          <w:b/>
          <w:bCs/>
          <w:spacing w:val="6"/>
          <w:sz w:val="21"/>
          <w:szCs w:val="21"/>
        </w:rPr>
        <w:t>四分类垃圾桶采购需求清单</w:t>
      </w:r>
    </w:p>
    <w:tbl>
      <w:tblPr>
        <w:tblStyle w:val="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60"/>
        <w:gridCol w:w="5575"/>
        <w:gridCol w:w="737"/>
        <w:gridCol w:w="667"/>
      </w:tblGrid>
      <w:tr w14:paraId="47C0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2" w:type="dxa"/>
            <w:noWrap w:val="0"/>
            <w:vAlign w:val="center"/>
          </w:tcPr>
          <w:p w14:paraId="37F5A021">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序号</w:t>
            </w:r>
          </w:p>
        </w:tc>
        <w:tc>
          <w:tcPr>
            <w:tcW w:w="1360" w:type="dxa"/>
            <w:noWrap w:val="0"/>
            <w:vAlign w:val="center"/>
          </w:tcPr>
          <w:p w14:paraId="3CAC43F6">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名称</w:t>
            </w:r>
          </w:p>
        </w:tc>
        <w:tc>
          <w:tcPr>
            <w:tcW w:w="5575" w:type="dxa"/>
            <w:noWrap w:val="0"/>
            <w:vAlign w:val="center"/>
          </w:tcPr>
          <w:p w14:paraId="5F86107A">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技术要求</w:t>
            </w:r>
          </w:p>
        </w:tc>
        <w:tc>
          <w:tcPr>
            <w:tcW w:w="737" w:type="dxa"/>
            <w:noWrap w:val="0"/>
            <w:vAlign w:val="center"/>
          </w:tcPr>
          <w:p w14:paraId="46D129D9">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单位</w:t>
            </w:r>
          </w:p>
        </w:tc>
        <w:tc>
          <w:tcPr>
            <w:tcW w:w="667" w:type="dxa"/>
            <w:noWrap w:val="0"/>
            <w:vAlign w:val="center"/>
          </w:tcPr>
          <w:p w14:paraId="7B196FF9">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数量</w:t>
            </w:r>
          </w:p>
        </w:tc>
      </w:tr>
      <w:tr w14:paraId="6CA2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218A5F53">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1</w:t>
            </w:r>
          </w:p>
        </w:tc>
        <w:tc>
          <w:tcPr>
            <w:tcW w:w="1360" w:type="dxa"/>
            <w:noWrap w:val="0"/>
            <w:vAlign w:val="center"/>
          </w:tcPr>
          <w:p w14:paraId="6A438322">
            <w:pPr>
              <w:spacing w:before="36" w:line="229" w:lineRule="auto"/>
              <w:jc w:val="center"/>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14:textFill>
                  <w14:solidFill>
                    <w14:schemeClr w14:val="tx1"/>
                  </w14:solidFill>
                </w14:textFill>
              </w:rPr>
              <w:t>120L厨余垃圾塑料垃圾桶</w:t>
            </w:r>
          </w:p>
        </w:tc>
        <w:tc>
          <w:tcPr>
            <w:tcW w:w="5575" w:type="dxa"/>
            <w:noWrap w:val="0"/>
            <w:vAlign w:val="center"/>
          </w:tcPr>
          <w:p w14:paraId="643CB88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1.容积：120L(±</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w:t>
            </w:r>
          </w:p>
          <w:p w14:paraId="10C81C5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2.规格：565mm*530mm*955mm(±</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w:t>
            </w:r>
          </w:p>
          <w:p w14:paraId="3A741E41">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重量:整体重量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7.0</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盖子重量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0.5</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桶体重量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5.0</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滚轮</w:t>
            </w:r>
            <w:r>
              <w:rPr>
                <w:rFonts w:hint="eastAsia" w:cs="仿宋"/>
                <w:spacing w:val="1"/>
                <w:sz w:val="21"/>
                <w:szCs w:val="21"/>
                <w:lang w:val="en-US" w:eastAsia="zh-CN"/>
              </w:rPr>
              <w:t>重量</w:t>
            </w:r>
            <w:r>
              <w:rPr>
                <w:rFonts w:hint="eastAsia" w:ascii="仿宋" w:hAnsi="仿宋" w:eastAsia="仿宋" w:cs="仿宋"/>
                <w:spacing w:val="1"/>
                <w:sz w:val="21"/>
                <w:szCs w:val="21"/>
                <w:lang w:val="en-US" w:eastAsia="zh-CN"/>
              </w:rPr>
              <w:t>≥0</w:t>
            </w:r>
            <w:r>
              <w:rPr>
                <w:rFonts w:hint="eastAsia" w:ascii="仿宋" w:hAnsi="仿宋" w:eastAsia="仿宋" w:cs="仿宋"/>
                <w:spacing w:val="1"/>
                <w:sz w:val="21"/>
                <w:szCs w:val="21"/>
              </w:rPr>
              <w:t>.</w:t>
            </w:r>
            <w:r>
              <w:rPr>
                <w:rFonts w:hint="eastAsia" w:cs="仿宋"/>
                <w:spacing w:val="1"/>
                <w:sz w:val="21"/>
                <w:szCs w:val="21"/>
                <w:lang w:val="en-US" w:eastAsia="zh-CN"/>
              </w:rPr>
              <w:t>5</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cs="仿宋"/>
                <w:spacing w:val="1"/>
                <w:sz w:val="21"/>
                <w:szCs w:val="21"/>
                <w:lang w:val="en-US" w:eastAsia="zh-CN"/>
              </w:rPr>
              <w:t>轮轴重量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0.3</w:t>
            </w:r>
            <w:r>
              <w:rPr>
                <w:rFonts w:hint="eastAsia" w:ascii="仿宋" w:hAnsi="仿宋" w:eastAsia="仿宋" w:cs="仿宋"/>
                <w:spacing w:val="1"/>
                <w:sz w:val="21"/>
                <w:szCs w:val="21"/>
              </w:rPr>
              <w:t>kg</w:t>
            </w:r>
            <w:r>
              <w:rPr>
                <w:rFonts w:hint="eastAsia" w:cs="仿宋"/>
                <w:spacing w:val="1"/>
                <w:sz w:val="21"/>
                <w:szCs w:val="21"/>
                <w:lang w:eastAsia="zh-CN"/>
              </w:rPr>
              <w:t>；</w:t>
            </w:r>
          </w:p>
          <w:p w14:paraId="3F0672C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.材质：采用原生高密度聚乙烯（HDPE）一次性注塑成型桶体与桶盖，添加防紫外线剂（≥5%）</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，桶壁厚度≥</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3.6</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mm，承载≥</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100公斤。</w:t>
            </w:r>
          </w:p>
          <w:p w14:paraId="6C370CD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.桶盖开启方式：手动翻盖，桶盖和桶体四点连接，两端用长插销固定在桶体手柄上；桶盖手柄一体注塑成型，桶盖两侧手柄上各设有≥3条加强筋；桶内部有一体注塑成型的识别垃圾容量的容量刻度表；</w:t>
            </w:r>
          </w:p>
          <w:p w14:paraId="5510377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cs="仿宋"/>
                <w:color w:val="000000" w:themeColor="text1"/>
                <w:spacing w:val="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1"/>
                <w:sz w:val="21"/>
                <w:szCs w:val="21"/>
                <w:highlight w:val="none"/>
                <w14:textFill>
                  <w14:solidFill>
                    <w14:schemeClr w14:val="tx1"/>
                  </w14:solidFill>
                </w14:textFill>
              </w:rPr>
              <w:t>.桶手柄：桶体背部有≥2个移动垃圾桶的手柄，手柄支撑设有一次成型的八条加强筋，设有防滑颗粒，手柄下方带有弧度；</w:t>
            </w:r>
          </w:p>
          <w:p w14:paraId="6908257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1"/>
                <w:sz w:val="21"/>
                <w:szCs w:val="21"/>
                <w:highlight w:val="none"/>
                <w14:textFill>
                  <w14:solidFill>
                    <w14:schemeClr w14:val="tx1"/>
                  </w14:solidFill>
                </w14:textFill>
              </w:rPr>
              <w:t>.垃圾桶挂车提拉部位采用双裙边设计，内部设有网状加强筋，加强桶沿口在提升时的抗拉强度；桶体上沿口左右两侧设有波浪形加强筋以及提手装置；</w:t>
            </w:r>
          </w:p>
          <w:p w14:paraId="681E0EB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pacing w:val="1"/>
                <w:sz w:val="21"/>
                <w:szCs w:val="21"/>
                <w:highlight w:val="none"/>
                <w14:textFill>
                  <w14:solidFill>
                    <w14:schemeClr w14:val="tx1"/>
                  </w14:solidFill>
                </w14:textFill>
              </w:rPr>
              <w:t>.桶体手柄两侧各设有一体注塑成型的垃圾袋挂扣，桶体四面设有凹面加强筋；桶体正面以及左右侧面底部，采用波浪纹设计，增加桶体在遭遇冲撞时的韧性和强度；</w:t>
            </w:r>
          </w:p>
          <w:p w14:paraId="20B9D69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pacing w:val="1"/>
                <w:sz w:val="21"/>
                <w:szCs w:val="21"/>
                <w:highlight w:val="none"/>
                <w14:textFill>
                  <w14:solidFill>
                    <w14:schemeClr w14:val="tx1"/>
                  </w14:solidFill>
                </w14:textFill>
              </w:rPr>
              <w:t>.桶体背面下方采用注塑一体成型的方形凹槽设计，且方形凹槽中设有一个隐形凹槽，带有弧度可做提手使用，支持配合轴插入可形成提手装置；</w:t>
            </w:r>
          </w:p>
          <w:p w14:paraId="0D17CFC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pacing w:val="1"/>
                <w:sz w:val="21"/>
                <w:szCs w:val="21"/>
                <w:highlight w:val="none"/>
                <w14:textFill>
                  <w14:solidFill>
                    <w14:schemeClr w14:val="tx1"/>
                  </w14:solidFill>
                </w14:textFill>
              </w:rPr>
              <w:t>.桶底部采用蜂窝状及放射状加强筋设计，桶底部镶嵌有≥30颗耐磨钉并加设有U形耐磨块，增加垃圾桶底部的耐磨性；</w:t>
            </w:r>
          </w:p>
          <w:p w14:paraId="218DCA79">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pacing w:val="1"/>
                <w:sz w:val="21"/>
                <w:szCs w:val="21"/>
                <w:highlight w:val="none"/>
                <w14:textFill>
                  <w14:solidFill>
                    <w14:schemeClr w14:val="tx1"/>
                  </w14:solidFill>
                </w14:textFill>
              </w:rPr>
              <w:t>.滚轮：橡胶轮内圈采用聚乙烯材质，外圈采用橡胶材质，内设防盗卡扣固定在轮轴上；</w:t>
            </w:r>
          </w:p>
          <w:p w14:paraId="56862D4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pacing w:val="1"/>
                <w:sz w:val="21"/>
                <w:szCs w:val="21"/>
                <w:highlight w:val="none"/>
                <w14:textFill>
                  <w14:solidFill>
                    <w14:schemeClr w14:val="tx1"/>
                  </w14:solidFill>
                </w14:textFill>
              </w:rPr>
              <w:t>.轮轴：轴采用圆钢材质空心轮轴，表面经电镀防锈处理，两端采用蘑菇头设计，方便安装；</w:t>
            </w:r>
          </w:p>
          <w:p w14:paraId="73117C62">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pacing w:val="1"/>
                <w:sz w:val="21"/>
                <w:szCs w:val="21"/>
                <w:highlight w:val="none"/>
                <w14:textFill>
                  <w14:solidFill>
                    <w14:schemeClr w14:val="tx1"/>
                  </w14:solidFill>
                </w14:textFill>
              </w:rPr>
              <w:t>.垃圾桶投放标志采用特殊调制的油墨丝印纸印刷而成，符合GB/T19095《生活垃圾分类标志》标准要求；</w:t>
            </w:r>
          </w:p>
          <w:p w14:paraId="5D605A58">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.垃圾桶整体符合国家城镇建设行业CJ/T280-2020《塑料垃圾桶通用技术条件》标准要求；</w:t>
            </w:r>
          </w:p>
          <w:p w14:paraId="20C9221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.提供120L厨余垃圾塑料垃圾桶的第三方检测机构出具的检测报告和</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来</w:t>
            </w:r>
            <w:r>
              <w:rPr>
                <w:rFonts w:hint="eastAsia" w:ascii="仿宋" w:hAnsi="仿宋" w:eastAsia="仿宋" w:cs="仿宋"/>
                <w:color w:val="000000" w:themeColor="text1"/>
                <w:spacing w:val="1"/>
                <w:sz w:val="21"/>
                <w:szCs w:val="21"/>
                <w:highlight w:val="none"/>
                <w14:textFill>
                  <w14:solidFill>
                    <w14:schemeClr w14:val="tx1"/>
                  </w14:solidFill>
                </w14:textFill>
              </w:rPr>
              <w:t>源渠道合法证明文件（不限于销售协议、代理协议、原厂授权等）。</w:t>
            </w:r>
          </w:p>
        </w:tc>
        <w:tc>
          <w:tcPr>
            <w:tcW w:w="737" w:type="dxa"/>
            <w:noWrap w:val="0"/>
            <w:vAlign w:val="center"/>
          </w:tcPr>
          <w:p w14:paraId="574FA551">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t>个</w:t>
            </w:r>
          </w:p>
        </w:tc>
        <w:tc>
          <w:tcPr>
            <w:tcW w:w="667" w:type="dxa"/>
            <w:noWrap w:val="0"/>
            <w:vAlign w:val="center"/>
          </w:tcPr>
          <w:p w14:paraId="5F19DD0E">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t>2000</w:t>
            </w:r>
          </w:p>
        </w:tc>
      </w:tr>
      <w:tr w14:paraId="2BC0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14:paraId="7A112689">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2</w:t>
            </w:r>
          </w:p>
        </w:tc>
        <w:tc>
          <w:tcPr>
            <w:tcW w:w="1360" w:type="dxa"/>
            <w:noWrap w:val="0"/>
            <w:vAlign w:val="center"/>
          </w:tcPr>
          <w:p w14:paraId="447ADA25">
            <w:pPr>
              <w:spacing w:before="36" w:line="229" w:lineRule="auto"/>
              <w:jc w:val="center"/>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14:textFill>
                  <w14:solidFill>
                    <w14:schemeClr w14:val="tx1"/>
                  </w14:solidFill>
                </w14:textFill>
              </w:rPr>
              <w:t>240L其他垃圾塑料垃圾桶</w:t>
            </w:r>
          </w:p>
        </w:tc>
        <w:tc>
          <w:tcPr>
            <w:tcW w:w="5575" w:type="dxa"/>
            <w:noWrap w:val="0"/>
            <w:vAlign w:val="center"/>
          </w:tcPr>
          <w:p w14:paraId="1C1682B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1.容积：240L(±</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w:t>
            </w:r>
          </w:p>
          <w:p w14:paraId="6967599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2.规格：730mm*640mm*1080mm(±</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w:t>
            </w:r>
          </w:p>
          <w:p w14:paraId="0D9FCA56">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重量:整体重量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14.5</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盖子重量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1</w:t>
            </w:r>
            <w:r>
              <w:rPr>
                <w:rFonts w:hint="eastAsia" w:ascii="仿宋" w:hAnsi="仿宋" w:eastAsia="仿宋" w:cs="仿宋"/>
                <w:spacing w:val="1"/>
                <w:sz w:val="21"/>
                <w:szCs w:val="21"/>
                <w:lang w:val="en-US" w:eastAsia="zh-CN"/>
              </w:rPr>
              <w:t>.5</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桶体重量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10.5</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ascii="仿宋" w:hAnsi="仿宋" w:eastAsia="仿宋" w:cs="仿宋"/>
                <w:spacing w:val="1"/>
                <w:sz w:val="21"/>
                <w:szCs w:val="21"/>
              </w:rPr>
              <w:t>滚轮</w:t>
            </w:r>
            <w:r>
              <w:rPr>
                <w:rFonts w:hint="eastAsia" w:cs="仿宋"/>
                <w:spacing w:val="1"/>
                <w:sz w:val="21"/>
                <w:szCs w:val="21"/>
                <w:lang w:val="en-US" w:eastAsia="zh-CN"/>
              </w:rPr>
              <w:t>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1.0</w:t>
            </w:r>
            <w:r>
              <w:rPr>
                <w:rFonts w:hint="eastAsia" w:ascii="仿宋" w:hAnsi="仿宋" w:eastAsia="仿宋" w:cs="仿宋"/>
                <w:spacing w:val="1"/>
                <w:sz w:val="21"/>
                <w:szCs w:val="21"/>
              </w:rPr>
              <w:t>kg</w:t>
            </w:r>
            <w:r>
              <w:rPr>
                <w:rFonts w:hint="eastAsia" w:cs="仿宋"/>
                <w:spacing w:val="1"/>
                <w:sz w:val="21"/>
                <w:szCs w:val="21"/>
                <w:lang w:eastAsia="zh-CN"/>
              </w:rPr>
              <w:t>、</w:t>
            </w:r>
            <w:r>
              <w:rPr>
                <w:rFonts w:hint="eastAsia" w:cs="仿宋"/>
                <w:spacing w:val="1"/>
                <w:sz w:val="21"/>
                <w:szCs w:val="21"/>
                <w:lang w:val="en-US" w:eastAsia="zh-CN"/>
              </w:rPr>
              <w:t>轮轴重量</w:t>
            </w:r>
            <w:r>
              <w:rPr>
                <w:rFonts w:hint="eastAsia" w:ascii="仿宋" w:hAnsi="仿宋" w:eastAsia="仿宋" w:cs="仿宋"/>
                <w:spacing w:val="1"/>
                <w:sz w:val="21"/>
                <w:szCs w:val="21"/>
                <w:lang w:val="en-US" w:eastAsia="zh-CN"/>
              </w:rPr>
              <w:t>≥</w:t>
            </w:r>
            <w:r>
              <w:rPr>
                <w:rFonts w:hint="eastAsia" w:cs="仿宋"/>
                <w:spacing w:val="1"/>
                <w:sz w:val="21"/>
                <w:szCs w:val="21"/>
                <w:lang w:val="en-US" w:eastAsia="zh-CN"/>
              </w:rPr>
              <w:t>0.35</w:t>
            </w:r>
            <w:r>
              <w:rPr>
                <w:rFonts w:hint="eastAsia" w:ascii="仿宋" w:hAnsi="仿宋" w:eastAsia="仿宋" w:cs="仿宋"/>
                <w:spacing w:val="1"/>
                <w:sz w:val="21"/>
                <w:szCs w:val="21"/>
              </w:rPr>
              <w:t>kg</w:t>
            </w:r>
            <w:r>
              <w:rPr>
                <w:rFonts w:hint="eastAsia" w:cs="仿宋"/>
                <w:spacing w:val="1"/>
                <w:sz w:val="21"/>
                <w:szCs w:val="21"/>
                <w:lang w:eastAsia="zh-CN"/>
              </w:rPr>
              <w:t>；</w:t>
            </w:r>
          </w:p>
          <w:p w14:paraId="10794A07">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.材质：采用原生高密度聚乙烯（HDPE）一次性注塑成型桶体与桶盖，添加防紫外线剂（≥5%）</w:t>
            </w:r>
            <w:r>
              <w:rPr>
                <w:rFonts w:hint="eastAsia" w:ascii="仿宋" w:hAnsi="仿宋" w:eastAsia="仿宋" w:cs="仿宋"/>
                <w:color w:val="000000" w:themeColor="text1"/>
                <w:spacing w:val="1"/>
                <w:sz w:val="21"/>
                <w:szCs w:val="21"/>
                <w:highlight w:val="none"/>
                <w:lang w:eastAsia="zh-CN"/>
                <w14:textFill>
                  <w14:solidFill>
                    <w14:schemeClr w14:val="tx1"/>
                  </w14:solidFill>
                </w14:textFill>
              </w:rPr>
              <w:t>，桶壁厚度≥4.25mm，承载≥</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120公斤</w:t>
            </w:r>
            <w:r>
              <w:rPr>
                <w:rFonts w:hint="eastAsia" w:ascii="仿宋" w:hAnsi="仿宋" w:eastAsia="仿宋" w:cs="仿宋"/>
                <w:color w:val="000000" w:themeColor="text1"/>
                <w:spacing w:val="1"/>
                <w:sz w:val="21"/>
                <w:szCs w:val="21"/>
                <w:highlight w:val="none"/>
                <w14:textFill>
                  <w14:solidFill>
                    <w14:schemeClr w14:val="tx1"/>
                  </w14:solidFill>
                </w14:textFill>
              </w:rPr>
              <w:t>；</w:t>
            </w:r>
          </w:p>
          <w:p w14:paraId="1A13D05F">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.桶盖开启方式：手动翻盖，桶盖和桶体四点连接，两端用长插销固定在桶体手柄上；桶盖上设有≥3个一体注塑成型的手柄，每个手柄设有≥4条加强筋；桶内部有一体注塑成型的识别垃圾容量的容量刻度表；</w:t>
            </w:r>
          </w:p>
          <w:p w14:paraId="47031BB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1"/>
                <w:sz w:val="21"/>
                <w:szCs w:val="21"/>
                <w:highlight w:val="none"/>
                <w14:textFill>
                  <w14:solidFill>
                    <w14:schemeClr w14:val="tx1"/>
                  </w14:solidFill>
                </w14:textFill>
              </w:rPr>
              <w:t>.桶盖后方有≥2个一体注塑成型安装智能身份识别卡的卡槽预留位置；桶盖两个卡槽周围设有凸出的加强筋；</w:t>
            </w:r>
          </w:p>
          <w:p w14:paraId="5E0B90B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cs="仿宋"/>
                <w:color w:val="000000" w:themeColor="text1"/>
                <w:spacing w:val="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pacing w:val="1"/>
                <w:sz w:val="21"/>
                <w:szCs w:val="21"/>
                <w:highlight w:val="none"/>
                <w14:textFill>
                  <w14:solidFill>
                    <w14:schemeClr w14:val="tx1"/>
                  </w14:solidFill>
                </w14:textFill>
              </w:rPr>
              <w:t>.桶手柄：桶体背部有≥2个移动垃圾桶的手柄，手柄支撑设有一次成型的八条加强筋，设有防滑颗粒，手柄下方带有弧度；</w:t>
            </w:r>
          </w:p>
          <w:p w14:paraId="75D149B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pacing w:val="1"/>
                <w:sz w:val="21"/>
                <w:szCs w:val="21"/>
                <w:highlight w:val="none"/>
                <w14:textFill>
                  <w14:solidFill>
                    <w14:schemeClr w14:val="tx1"/>
                  </w14:solidFill>
                </w14:textFill>
              </w:rPr>
              <w:t>.垃圾桶挂车提拉部位采用双裙边设计，内部设有网状加强筋，加强桶沿口在提升时的抗拉强度；桶体上沿口左右两侧设有波浪形加强筋以及提手装置；</w:t>
            </w:r>
          </w:p>
          <w:p w14:paraId="10FDB78C">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pacing w:val="1"/>
                <w:sz w:val="21"/>
                <w:szCs w:val="21"/>
                <w:highlight w:val="none"/>
                <w14:textFill>
                  <w14:solidFill>
                    <w14:schemeClr w14:val="tx1"/>
                  </w14:solidFill>
                </w14:textFill>
              </w:rPr>
              <w:t>.桶体手柄两侧各设有一体注塑成型的垃圾袋挂扣，桶体四面设有凹面加强筋；桶体正面以及左右侧面底部，采用波浪纹设计，增加桶体在遭遇冲撞时的韧性和强度；</w:t>
            </w:r>
          </w:p>
          <w:p w14:paraId="6344E354">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cs="仿宋"/>
                <w:color w:val="000000" w:themeColor="text1"/>
                <w:spacing w:val="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pacing w:val="1"/>
                <w:sz w:val="21"/>
                <w:szCs w:val="21"/>
                <w:highlight w:val="none"/>
                <w14:textFill>
                  <w14:solidFill>
                    <w14:schemeClr w14:val="tx1"/>
                  </w14:solidFill>
                </w14:textFill>
              </w:rPr>
              <w:t>.桶体背面下方采用注塑一体成型的方形凹槽设计，且方形凹槽中设有一个隐形凹槽，带有弧度可做提手使用，支持配合轴插入可形成提手装置；</w:t>
            </w:r>
          </w:p>
          <w:p w14:paraId="1D3D6A9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pacing w:val="1"/>
                <w:sz w:val="21"/>
                <w:szCs w:val="21"/>
                <w:highlight w:val="none"/>
                <w14:textFill>
                  <w14:solidFill>
                    <w14:schemeClr w14:val="tx1"/>
                  </w14:solidFill>
                </w14:textFill>
              </w:rPr>
              <w:t>.桶底部采用蜂窝状及放射状加强筋设计，桶底部镶嵌有≥45颗耐磨钉并加设有U形耐磨块，增加垃圾桶底部的耐磨性；</w:t>
            </w:r>
          </w:p>
          <w:p w14:paraId="3A2DFFF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pacing w:val="1"/>
                <w:sz w:val="21"/>
                <w:szCs w:val="21"/>
                <w:highlight w:val="none"/>
                <w14:textFill>
                  <w14:solidFill>
                    <w14:schemeClr w14:val="tx1"/>
                  </w14:solidFill>
                </w14:textFill>
              </w:rPr>
              <w:t>.滚轮：橡胶轮内圈采用聚乙烯材质，外圈采用橡胶材质，内设防盗卡扣固定在轮轴上；</w:t>
            </w:r>
          </w:p>
          <w:p w14:paraId="2A54ECD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pacing w:val="1"/>
                <w:sz w:val="21"/>
                <w:szCs w:val="21"/>
                <w:highlight w:val="none"/>
                <w14:textFill>
                  <w14:solidFill>
                    <w14:schemeClr w14:val="tx1"/>
                  </w14:solidFill>
                </w14:textFill>
              </w:rPr>
              <w:t>.轮轴：轴采用圆钢材质空心轮轴，表面经电镀防锈处理，两端采用蘑菇头设计，方便安装；</w:t>
            </w:r>
          </w:p>
          <w:p w14:paraId="24C55C1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pacing w:val="1"/>
                <w:sz w:val="21"/>
                <w:szCs w:val="21"/>
                <w:highlight w:val="none"/>
                <w14:textFill>
                  <w14:solidFill>
                    <w14:schemeClr w14:val="tx1"/>
                  </w14:solidFill>
                </w14:textFill>
              </w:rPr>
              <w:t>.垃圾桶投放标志采用特殊调制的油墨丝印纸印刷而成，符合GB/T19095《生活垃圾分类标志》标准要求；</w:t>
            </w:r>
          </w:p>
          <w:p w14:paraId="7EE7CEB3">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1"/>
                <w:sz w:val="21"/>
                <w:szCs w:val="21"/>
                <w:highlight w:val="no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5</w:t>
            </w:r>
            <w:r>
              <w:rPr>
                <w:rFonts w:hint="eastAsia" w:ascii="仿宋" w:hAnsi="仿宋" w:eastAsia="仿宋" w:cs="仿宋"/>
                <w:color w:val="000000" w:themeColor="text1"/>
                <w:spacing w:val="1"/>
                <w:sz w:val="21"/>
                <w:szCs w:val="21"/>
                <w:highlight w:val="none"/>
                <w14:textFill>
                  <w14:solidFill>
                    <w14:schemeClr w14:val="tx1"/>
                  </w14:solidFill>
                </w14:textFill>
              </w:rPr>
              <w:t>.垃圾桶整体符合国家城镇建设行业CJ/T280-2020《塑料垃圾桶通用技术条件》标准要求；</w:t>
            </w:r>
          </w:p>
          <w:p w14:paraId="046C0A6D">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8" w:right="104" w:hanging="1"/>
              <w:jc w:val="both"/>
              <w:textAlignment w:val="baseline"/>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color w:val="000000" w:themeColor="text1"/>
                <w:spacing w:val="1"/>
                <w:sz w:val="21"/>
                <w:szCs w:val="21"/>
                <w:highlight w:val="none"/>
                <w14:textFill>
                  <w14:solidFill>
                    <w14:schemeClr w14:val="tx1"/>
                  </w14:solidFill>
                </w14:textFill>
              </w:rPr>
              <w:t>★1</w:t>
            </w:r>
            <w:r>
              <w:rPr>
                <w:rFonts w:hint="eastAsia" w:cs="仿宋"/>
                <w:color w:val="000000" w:themeColor="text1"/>
                <w:spacing w:val="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pacing w:val="1"/>
                <w:sz w:val="21"/>
                <w:szCs w:val="21"/>
                <w:highlight w:val="none"/>
                <w14:textFill>
                  <w14:solidFill>
                    <w14:schemeClr w14:val="tx1"/>
                  </w14:solidFill>
                </w14:textFill>
              </w:rPr>
              <w:t>.提供240L其他垃圾塑料垃圾桶的第三方检测机构出具的检测报告和</w:t>
            </w:r>
            <w:r>
              <w:rPr>
                <w:rFonts w:hint="eastAsia" w:ascii="仿宋" w:hAnsi="仿宋" w:eastAsia="仿宋" w:cs="仿宋"/>
                <w:color w:val="000000" w:themeColor="text1"/>
                <w:spacing w:val="1"/>
                <w:sz w:val="21"/>
                <w:szCs w:val="21"/>
                <w:highlight w:val="none"/>
                <w:lang w:val="en-US" w:eastAsia="zh-CN"/>
                <w14:textFill>
                  <w14:solidFill>
                    <w14:schemeClr w14:val="tx1"/>
                  </w14:solidFill>
                </w14:textFill>
              </w:rPr>
              <w:t>来</w:t>
            </w:r>
            <w:r>
              <w:rPr>
                <w:rFonts w:hint="eastAsia" w:ascii="仿宋" w:hAnsi="仿宋" w:eastAsia="仿宋" w:cs="仿宋"/>
                <w:color w:val="000000" w:themeColor="text1"/>
                <w:spacing w:val="1"/>
                <w:sz w:val="21"/>
                <w:szCs w:val="21"/>
                <w:highlight w:val="none"/>
                <w14:textFill>
                  <w14:solidFill>
                    <w14:schemeClr w14:val="tx1"/>
                  </w14:solidFill>
                </w14:textFill>
              </w:rPr>
              <w:t>源渠道合法证明文件（不限于销售协议、代理协议、原厂授权等）。</w:t>
            </w:r>
          </w:p>
        </w:tc>
        <w:tc>
          <w:tcPr>
            <w:tcW w:w="737" w:type="dxa"/>
            <w:noWrap w:val="0"/>
            <w:vAlign w:val="center"/>
          </w:tcPr>
          <w:p w14:paraId="536B9553">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t>个</w:t>
            </w:r>
          </w:p>
        </w:tc>
        <w:tc>
          <w:tcPr>
            <w:tcW w:w="667" w:type="dxa"/>
            <w:noWrap w:val="0"/>
            <w:vAlign w:val="center"/>
          </w:tcPr>
          <w:p w14:paraId="3A5084DD">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t>1000</w:t>
            </w:r>
          </w:p>
        </w:tc>
      </w:tr>
      <w:tr w14:paraId="6637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51" w:type="dxa"/>
            <w:gridSpan w:val="5"/>
            <w:noWrap w:val="0"/>
            <w:vAlign w:val="center"/>
          </w:tcPr>
          <w:p w14:paraId="7BCBFAE2">
            <w:pPr>
              <w:spacing w:before="36" w:line="229" w:lineRule="auto"/>
              <w:jc w:val="center"/>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垃圾桶参考图</w:t>
            </w:r>
          </w:p>
        </w:tc>
      </w:tr>
      <w:tr w14:paraId="2098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072" w:type="dxa"/>
            <w:gridSpan w:val="2"/>
            <w:noWrap w:val="0"/>
            <w:vAlign w:val="center"/>
          </w:tcPr>
          <w:p w14:paraId="265A9158">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名称</w:t>
            </w:r>
          </w:p>
        </w:tc>
        <w:tc>
          <w:tcPr>
            <w:tcW w:w="6979" w:type="dxa"/>
            <w:gridSpan w:val="3"/>
            <w:noWrap w:val="0"/>
            <w:vAlign w:val="center"/>
          </w:tcPr>
          <w:p w14:paraId="3AA244FE">
            <w:pPr>
              <w:spacing w:before="36" w:line="229" w:lineRule="auto"/>
              <w:jc w:val="cente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pacing w:val="6"/>
                <w:sz w:val="21"/>
                <w:szCs w:val="21"/>
                <w:highlight w:val="none"/>
                <w:vertAlign w:val="baseline"/>
                <w:lang w:val="en-US" w:eastAsia="zh-CN"/>
                <w14:textFill>
                  <w14:solidFill>
                    <w14:schemeClr w14:val="tx1"/>
                  </w14:solidFill>
                </w14:textFill>
              </w:rPr>
              <w:t>参考图</w:t>
            </w:r>
          </w:p>
        </w:tc>
      </w:tr>
      <w:tr w14:paraId="26C1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gridSpan w:val="2"/>
            <w:noWrap w:val="0"/>
            <w:vAlign w:val="center"/>
          </w:tcPr>
          <w:p w14:paraId="550BED63">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pacing w:val="6"/>
                <w:sz w:val="21"/>
                <w:szCs w:val="21"/>
                <w:highlight w:val="none"/>
                <w:vertAlign w:val="baseline"/>
                <w14:textFill>
                  <w14:solidFill>
                    <w14:schemeClr w14:val="tx1"/>
                  </w14:solidFill>
                </w14:textFill>
              </w:rPr>
              <w:t>120L厨余垃圾塑料垃圾桶</w:t>
            </w:r>
          </w:p>
        </w:tc>
        <w:tc>
          <w:tcPr>
            <w:tcW w:w="6979" w:type="dxa"/>
            <w:gridSpan w:val="3"/>
            <w:noWrap w:val="0"/>
            <w:vAlign w:val="center"/>
          </w:tcPr>
          <w:p w14:paraId="010C206B">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position w:val="-59"/>
                <w:sz w:val="21"/>
                <w:szCs w:val="21"/>
                <w:highlight w:val="none"/>
                <w14:textFill>
                  <w14:solidFill>
                    <w14:schemeClr w14:val="tx1"/>
                  </w14:solidFill>
                </w14:textFill>
              </w:rPr>
              <w:drawing>
                <wp:inline distT="0" distB="0" distL="114300" distR="114300">
                  <wp:extent cx="3541395" cy="1886585"/>
                  <wp:effectExtent l="0" t="0" r="1905" b="184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3541395" cy="1886585"/>
                          </a:xfrm>
                          <a:prstGeom prst="rect">
                            <a:avLst/>
                          </a:prstGeom>
                          <a:noFill/>
                          <a:ln>
                            <a:noFill/>
                          </a:ln>
                        </pic:spPr>
                      </pic:pic>
                    </a:graphicData>
                  </a:graphic>
                </wp:inline>
              </w:drawing>
            </w:r>
          </w:p>
        </w:tc>
      </w:tr>
      <w:tr w14:paraId="4884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gridSpan w:val="2"/>
            <w:noWrap w:val="0"/>
            <w:vAlign w:val="center"/>
          </w:tcPr>
          <w:p w14:paraId="29ED43F7">
            <w:pPr>
              <w:spacing w:before="36" w:line="229" w:lineRule="auto"/>
              <w:jc w:val="center"/>
              <w:rPr>
                <w:rFonts w:hint="eastAsia" w:ascii="仿宋" w:hAnsi="仿宋" w:eastAsia="仿宋" w:cs="仿宋"/>
                <w:color w:val="000000" w:themeColor="text1"/>
                <w:spacing w:val="6"/>
                <w:sz w:val="21"/>
                <w:szCs w:val="21"/>
                <w:highlight w:val="none"/>
                <w:vertAlign w:val="baseli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240L其他垃圾塑料</w:t>
            </w:r>
            <w:r>
              <w:rPr>
                <w:rFonts w:hint="eastAsia" w:ascii="仿宋" w:hAnsi="仿宋" w:eastAsia="仿宋" w:cs="仿宋"/>
                <w:color w:val="000000" w:themeColor="text1"/>
                <w:spacing w:val="4"/>
                <w:sz w:val="21"/>
                <w:szCs w:val="21"/>
                <w:highlight w:val="none"/>
                <w14:textFill>
                  <w14:solidFill>
                    <w14:schemeClr w14:val="tx1"/>
                  </w14:solidFill>
                </w14:textFill>
              </w:rPr>
              <w:t>垃圾桶</w:t>
            </w:r>
          </w:p>
        </w:tc>
        <w:tc>
          <w:tcPr>
            <w:tcW w:w="6979" w:type="dxa"/>
            <w:gridSpan w:val="3"/>
            <w:noWrap w:val="0"/>
            <w:vAlign w:val="center"/>
          </w:tcPr>
          <w:p w14:paraId="1A792E87">
            <w:pPr>
              <w:spacing w:before="36" w:line="229" w:lineRule="auto"/>
              <w:jc w:val="center"/>
              <w:rPr>
                <w:rFonts w:hint="eastAsia" w:ascii="仿宋" w:hAnsi="仿宋" w:eastAsia="仿宋" w:cs="仿宋"/>
                <w:color w:val="000000" w:themeColor="text1"/>
                <w:spacing w:val="6"/>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position w:val="-61"/>
                <w:sz w:val="21"/>
                <w:szCs w:val="21"/>
                <w:highlight w:val="none"/>
                <w14:textFill>
                  <w14:solidFill>
                    <w14:schemeClr w14:val="tx1"/>
                  </w14:solidFill>
                </w14:textFill>
              </w:rPr>
              <w:drawing>
                <wp:inline distT="0" distB="0" distL="114300" distR="114300">
                  <wp:extent cx="3743960" cy="1948815"/>
                  <wp:effectExtent l="0" t="0" r="8890" b="133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3743960" cy="1948815"/>
                          </a:xfrm>
                          <a:prstGeom prst="rect">
                            <a:avLst/>
                          </a:prstGeom>
                          <a:noFill/>
                          <a:ln>
                            <a:noFill/>
                          </a:ln>
                        </pic:spPr>
                      </pic:pic>
                    </a:graphicData>
                  </a:graphic>
                </wp:inline>
              </w:drawing>
            </w:r>
          </w:p>
        </w:tc>
      </w:tr>
      <w:tr w14:paraId="2CBE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1" w:type="dxa"/>
            <w:gridSpan w:val="5"/>
            <w:noWrap w:val="0"/>
            <w:vAlign w:val="center"/>
          </w:tcPr>
          <w:p w14:paraId="5B26D808">
            <w:pPr>
              <w:pStyle w:val="10"/>
              <w:spacing w:before="56" w:line="270" w:lineRule="auto"/>
              <w:ind w:right="108"/>
              <w:jc w:val="both"/>
              <w:rPr>
                <w:rFonts w:hint="eastAsia" w:ascii="仿宋" w:hAnsi="仿宋" w:eastAsia="仿宋" w:cs="仿宋"/>
                <w:b w:val="0"/>
                <w:bCs/>
                <w:color w:val="000000" w:themeColor="text1"/>
                <w:kern w:val="2"/>
                <w:sz w:val="20"/>
                <w:szCs w:val="20"/>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0"/>
                <w:szCs w:val="20"/>
                <w:highlight w:val="none"/>
                <w:lang w:val="en-US" w:eastAsia="zh-CN" w:bidi="ar-SA"/>
                <w14:textFill>
                  <w14:solidFill>
                    <w14:schemeClr w14:val="tx1"/>
                  </w14:solidFill>
                </w14:textFill>
              </w:rPr>
              <w:t>说明：1.采购需求清单中的120L塑料垃圾桶只要厨余垃圾桶，240L塑料垃圾桶只要其他垃圾桶。</w:t>
            </w:r>
          </w:p>
          <w:p w14:paraId="3587774F">
            <w:pPr>
              <w:pStyle w:val="10"/>
              <w:spacing w:before="56" w:line="270" w:lineRule="auto"/>
              <w:ind w:right="108"/>
              <w:jc w:val="both"/>
              <w:rPr>
                <w:rFonts w:hint="eastAsia" w:ascii="仿宋" w:hAnsi="仿宋" w:eastAsia="仿宋" w:cs="仿宋"/>
                <w:b w:val="0"/>
                <w:bCs/>
                <w:color w:val="000000" w:themeColor="text1"/>
                <w:kern w:val="2"/>
                <w:sz w:val="20"/>
                <w:szCs w:val="20"/>
                <w:highlight w:val="none"/>
                <w:lang w:val="en-US" w:eastAsia="zh-CN" w:bidi="ar-SA"/>
                <w14:textFill>
                  <w14:solidFill>
                    <w14:schemeClr w14:val="tx1"/>
                  </w14:solidFill>
                </w14:textFill>
              </w:rPr>
            </w:pPr>
            <w:r>
              <w:rPr>
                <w:rFonts w:hint="eastAsia" w:cs="仿宋"/>
                <w:b w:val="0"/>
                <w:bCs/>
                <w:color w:val="000000" w:themeColor="text1"/>
                <w:kern w:val="2"/>
                <w:sz w:val="20"/>
                <w:szCs w:val="20"/>
                <w:highlight w:val="none"/>
                <w:lang w:val="en-US" w:eastAsia="zh-CN" w:bidi="ar-SA"/>
                <w14:textFill>
                  <w14:solidFill>
                    <w14:schemeClr w14:val="tx1"/>
                  </w14:solidFill>
                </w14:textFill>
              </w:rPr>
              <w:t>2.</w:t>
            </w:r>
            <w:r>
              <w:rPr>
                <w:rFonts w:hint="eastAsia" w:ascii="仿宋" w:hAnsi="仿宋" w:eastAsia="仿宋" w:cs="仿宋"/>
                <w:b w:val="0"/>
                <w:bCs/>
                <w:color w:val="000000" w:themeColor="text1"/>
                <w:kern w:val="2"/>
                <w:sz w:val="20"/>
                <w:szCs w:val="20"/>
                <w:highlight w:val="none"/>
                <w:lang w:val="en-US" w:eastAsia="zh-CN" w:bidi="ar-SA"/>
                <w14:textFill>
                  <w14:solidFill>
                    <w14:schemeClr w14:val="tx1"/>
                  </w14:solidFill>
                </w14:textFill>
              </w:rPr>
              <w:t>采购需求清单中带“★”的技术指标参数为实质性要求，若未响应或者不满足，将按无效响应处理；供应商未按要求提供相关证明材料或技术指标参数存在负偏离的，均按无效响应处理。</w:t>
            </w:r>
          </w:p>
          <w:p w14:paraId="42F54A32">
            <w:pPr>
              <w:spacing w:before="36" w:line="229" w:lineRule="auto"/>
              <w:jc w:val="both"/>
              <w:rPr>
                <w:rFonts w:hint="eastAsia" w:ascii="仿宋" w:hAnsi="仿宋" w:eastAsia="仿宋" w:cs="仿宋"/>
                <w:color w:val="000000" w:themeColor="text1"/>
                <w:position w:val="-61"/>
                <w:sz w:val="21"/>
                <w:szCs w:val="21"/>
                <w:highlight w:val="none"/>
                <w14:textFill>
                  <w14:solidFill>
                    <w14:schemeClr w14:val="tx1"/>
                  </w14:solidFill>
                </w14:textFill>
              </w:rPr>
            </w:pPr>
            <w:r>
              <w:rPr>
                <w:rFonts w:hint="eastAsia" w:cs="仿宋"/>
                <w:b w:val="0"/>
                <w:bCs/>
                <w:color w:val="000000" w:themeColor="text1"/>
                <w:kern w:val="2"/>
                <w:sz w:val="20"/>
                <w:szCs w:val="20"/>
                <w:highlight w:val="none"/>
                <w:lang w:val="en-US" w:eastAsia="zh-CN" w:bidi="ar-SA"/>
                <w14:textFill>
                  <w14:solidFill>
                    <w14:schemeClr w14:val="tx1"/>
                  </w14:solidFill>
                </w14:textFill>
              </w:rPr>
              <w:t>3.</w:t>
            </w:r>
            <w:r>
              <w:rPr>
                <w:rFonts w:hint="eastAsia" w:ascii="仿宋" w:hAnsi="仿宋" w:eastAsia="仿宋" w:cs="仿宋"/>
                <w:b w:val="0"/>
                <w:bCs/>
                <w:color w:val="000000" w:themeColor="text1"/>
                <w:kern w:val="2"/>
                <w:sz w:val="20"/>
                <w:szCs w:val="20"/>
                <w:highlight w:val="none"/>
                <w:lang w:val="en-US" w:eastAsia="zh-CN" w:bidi="ar-SA"/>
                <w14:textFill>
                  <w14:solidFill>
                    <w14:schemeClr w14:val="tx1"/>
                  </w14:solidFill>
                </w14:textFill>
              </w:rPr>
              <w:t>采购需求清单中的垃圾桶数量均为暂定数量，供应商报价时根据暂定数量进行响应报价，交付阶段以采购人按照供应商成交单价和实际需要的数量据实结算，最终结算款项不超过本项目采购预算。</w:t>
            </w:r>
          </w:p>
        </w:tc>
      </w:tr>
    </w:tbl>
    <w:p w14:paraId="1C330CC7">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44A26"/>
    <w:rsid w:val="0A64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2025-09-05T09:48:00Z</dcterms:created>
  <dc:creator>杜航</dc:creator>
  <cp:lastModifiedBy>杜航</cp:lastModifiedBy>
  <dcterms:modified xsi:type="dcterms:W3CDTF">2025-09-05T09:50:04Z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E5E859EE6623414C8123AFA2D30CDA84_11</vt:lpwstr>
  </property>
  <property fmtid="{D5CDD505-2E9C-101B-9397-08002B2CF9AE}" pid="4" name="KSOTemplateDocerSaveRecord">
    <vt:lpwstr>eyJoZGlkIjoiNGVjNGI1ZWQxMDUyODY5ZDAxOTAyNjljNjE1NWUwNGQiLCJ1c2VySWQiOiIzMDgwODY2MDYifQ==</vt:lpwstr>
  </property>
</Properties>
</file>