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7FC76">
      <w:pPr>
        <w:keepNext w:val="0"/>
        <w:keepLines w:val="0"/>
        <w:pageBreakBefore w:val="0"/>
        <w:widowControl w:val="0"/>
        <w:pBdr>
          <w:bottom w:val="single" w:color="auto" w:sz="4" w:space="1"/>
        </w:pBdr>
        <w:kinsoku/>
        <w:wordWrap/>
        <w:overflowPunct/>
        <w:topLinePunct w:val="0"/>
        <w:autoSpaceDE/>
        <w:autoSpaceDN/>
        <w:bidi w:val="0"/>
        <w:adjustRightInd/>
        <w:snapToGrid/>
        <w:spacing w:before="312" w:beforeLines="100" w:line="500" w:lineRule="exact"/>
        <w:ind w:left="420" w:hanging="420"/>
        <w:textAlignment w:val="auto"/>
        <w:rPr>
          <w:rFonts w:hint="eastAsia" w:ascii="仿宋" w:hAnsi="仿宋" w:eastAsia="仿宋"/>
          <w:b/>
          <w:sz w:val="28"/>
          <w:szCs w:val="28"/>
          <w:lang w:eastAsia="zh-CN"/>
        </w:rPr>
      </w:pPr>
      <w:r>
        <w:rPr>
          <w:rFonts w:ascii="仿宋" w:hAnsi="仿宋" w:eastAsia="仿宋"/>
          <w:b/>
          <w:sz w:val="28"/>
          <w:szCs w:val="28"/>
        </w:rPr>
        <w:t>一</w:t>
      </w:r>
      <w:r>
        <w:rPr>
          <w:rFonts w:hint="eastAsia" w:ascii="仿宋" w:hAnsi="仿宋" w:eastAsia="仿宋"/>
          <w:b/>
          <w:sz w:val="28"/>
          <w:szCs w:val="28"/>
          <w:lang w:eastAsia="zh-CN"/>
        </w:rPr>
        <w:t>标段：</w:t>
      </w:r>
    </w:p>
    <w:p w14:paraId="1048F67A">
      <w:pPr>
        <w:keepNext w:val="0"/>
        <w:keepLines w:val="0"/>
        <w:pageBreakBefore w:val="0"/>
        <w:widowControl w:val="0"/>
        <w:pBdr>
          <w:bottom w:val="single" w:color="auto" w:sz="4" w:space="1"/>
        </w:pBdr>
        <w:kinsoku/>
        <w:wordWrap/>
        <w:overflowPunct/>
        <w:topLinePunct w:val="0"/>
        <w:autoSpaceDE/>
        <w:autoSpaceDN/>
        <w:bidi w:val="0"/>
        <w:adjustRightInd/>
        <w:snapToGrid/>
        <w:spacing w:before="312" w:beforeLines="100" w:line="500" w:lineRule="exact"/>
        <w:ind w:left="420" w:hanging="420"/>
        <w:textAlignment w:val="auto"/>
        <w:rPr>
          <w:rFonts w:hint="eastAsia" w:ascii="仿宋" w:hAnsi="仿宋" w:eastAsia="仿宋"/>
          <w:b/>
          <w:sz w:val="28"/>
          <w:szCs w:val="28"/>
        </w:rPr>
      </w:pPr>
      <w:r>
        <w:rPr>
          <w:rFonts w:hint="eastAsia" w:ascii="仿宋" w:hAnsi="仿宋" w:eastAsia="仿宋"/>
          <w:b/>
          <w:sz w:val="28"/>
          <w:szCs w:val="28"/>
          <w:lang w:eastAsia="zh-CN"/>
        </w:rPr>
        <w:t>一</w:t>
      </w:r>
      <w:r>
        <w:rPr>
          <w:rFonts w:ascii="仿宋" w:hAnsi="仿宋" w:eastAsia="仿宋"/>
          <w:b/>
          <w:sz w:val="28"/>
          <w:szCs w:val="28"/>
        </w:rPr>
        <w:t>、项目</w:t>
      </w:r>
      <w:r>
        <w:rPr>
          <w:rFonts w:hint="eastAsia" w:ascii="仿宋" w:hAnsi="仿宋" w:eastAsia="仿宋"/>
          <w:b/>
          <w:sz w:val="28"/>
          <w:szCs w:val="28"/>
        </w:rPr>
        <w:t>概况</w:t>
      </w:r>
    </w:p>
    <w:p w14:paraId="3A07113B">
      <w:pPr>
        <w:keepNext w:val="0"/>
        <w:keepLines w:val="0"/>
        <w:pageBreakBefore w:val="0"/>
        <w:widowControl w:val="0"/>
        <w:pBdr>
          <w:bottom w:val="single" w:color="auto" w:sz="4" w:space="1"/>
        </w:pBdr>
        <w:kinsoku/>
        <w:wordWrap/>
        <w:overflowPunct/>
        <w:topLinePunct w:val="0"/>
        <w:autoSpaceDE/>
        <w:autoSpaceDN/>
        <w:bidi w:val="0"/>
        <w:adjustRightInd/>
        <w:snapToGrid/>
        <w:spacing w:before="312" w:beforeLines="100" w:line="500" w:lineRule="exact"/>
        <w:ind w:left="0" w:firstLine="420"/>
        <w:textAlignment w:val="auto"/>
        <w:rPr>
          <w:rFonts w:hint="eastAsia" w:ascii="仿宋" w:hAnsi="仿宋" w:eastAsia="仿宋"/>
          <w:b w:val="0"/>
          <w:bCs/>
          <w:sz w:val="28"/>
          <w:szCs w:val="28"/>
        </w:rPr>
      </w:pPr>
      <w:r>
        <w:rPr>
          <w:rFonts w:hint="eastAsia" w:ascii="仿宋" w:hAnsi="仿宋" w:eastAsia="仿宋"/>
          <w:b w:val="0"/>
          <w:bCs/>
          <w:sz w:val="28"/>
          <w:szCs w:val="28"/>
        </w:rPr>
        <w:t>鄠邑区安全利用类耕地面积1486.53亩，分别在甘亭街道、余下街道、五竹街道、石井街道区域。主要用于采取农艺调控类技术产生的购买物资。实施中所使用的肥料、土壤调理剂等耕地投入品须符合《有机-无机复混肥料（GB/T18877-2009）》《肥料中砷镉铅铬贡生态指标（GB/T23349-2009）》和《肥料合理使用准则 通则（NY/T496-2010）》等相关标准的规定,禁止使用重金属超标的投入品,禁止施用未经国家或省级农业农村部门等级的肥料。主要开展小麦种植修复深翻、优化施肥、叶面调控和修复全过程监测与管理，在修复前、修复中和修复后进行取样监测和记录。</w:t>
      </w:r>
    </w:p>
    <w:p w14:paraId="69B38A98">
      <w:pPr>
        <w:keepNext w:val="0"/>
        <w:keepLines w:val="0"/>
        <w:pageBreakBefore w:val="0"/>
        <w:widowControl w:val="0"/>
        <w:pBdr>
          <w:bottom w:val="single" w:color="auto" w:sz="4" w:space="1"/>
        </w:pBdr>
        <w:kinsoku/>
        <w:wordWrap/>
        <w:overflowPunct/>
        <w:topLinePunct w:val="0"/>
        <w:autoSpaceDE/>
        <w:autoSpaceDN/>
        <w:bidi w:val="0"/>
        <w:adjustRightInd/>
        <w:snapToGrid/>
        <w:spacing w:before="312" w:beforeLines="100" w:line="500" w:lineRule="exact"/>
        <w:ind w:left="420" w:hanging="420"/>
        <w:textAlignment w:val="auto"/>
        <w:rPr>
          <w:rFonts w:hint="eastAsia" w:ascii="仿宋" w:hAnsi="仿宋" w:eastAsia="仿宋" w:cs="Times New Roman"/>
          <w:b/>
          <w:sz w:val="28"/>
          <w:szCs w:val="28"/>
        </w:rPr>
      </w:pPr>
      <w:r>
        <w:rPr>
          <w:rFonts w:hint="eastAsia" w:ascii="仿宋" w:hAnsi="仿宋" w:eastAsia="仿宋" w:cs="Times New Roman"/>
          <w:b/>
          <w:sz w:val="28"/>
          <w:szCs w:val="28"/>
        </w:rPr>
        <w:t>二、服务内容</w:t>
      </w:r>
    </w:p>
    <w:tbl>
      <w:tblPr>
        <w:tblStyle w:val="6"/>
        <w:tblW w:w="8858" w:type="dxa"/>
        <w:jc w:val="cente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shd w:val="clear" w:color="auto" w:fill="auto"/>
        <w:tblLayout w:type="autofit"/>
        <w:tblCellMar>
          <w:top w:w="56" w:type="dxa"/>
          <w:left w:w="96" w:type="dxa"/>
          <w:bottom w:w="56" w:type="dxa"/>
          <w:right w:w="96" w:type="dxa"/>
        </w:tblCellMar>
      </w:tblPr>
      <w:tblGrid>
        <w:gridCol w:w="1399"/>
        <w:gridCol w:w="2816"/>
        <w:gridCol w:w="2810"/>
        <w:gridCol w:w="1833"/>
      </w:tblGrid>
      <w:tr w14:paraId="6870056E">
        <w:tblPrEx>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shd w:val="clear" w:color="auto" w:fill="auto"/>
          <w:tblCellMar>
            <w:top w:w="56" w:type="dxa"/>
            <w:left w:w="96" w:type="dxa"/>
            <w:bottom w:w="56" w:type="dxa"/>
            <w:right w:w="96" w:type="dxa"/>
          </w:tblCellMar>
        </w:tblPrEx>
        <w:trPr>
          <w:trHeight w:val="671" w:hRule="atLeast"/>
          <w:tblHeader/>
          <w:jc w:val="center"/>
        </w:trPr>
        <w:tc>
          <w:tcPr>
            <w:tcW w:w="1399" w:type="dxa"/>
            <w:tcBorders>
              <w:top w:val="single" w:color="auto" w:sz="4" w:space="0"/>
              <w:left w:val="single" w:color="auto" w:sz="4" w:space="0"/>
              <w:bottom w:val="single" w:color="auto" w:sz="4" w:space="0"/>
              <w:right w:val="single" w:color="auto" w:sz="4" w:space="0"/>
              <w:insideH w:val="single" w:sz="4" w:space="0"/>
              <w:insideV w:val="nil"/>
            </w:tcBorders>
            <w:shd w:val="clear" w:color="auto" w:fill="auto"/>
            <w:vAlign w:val="center"/>
          </w:tcPr>
          <w:p w14:paraId="75BD2F3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val="0"/>
                <w:color w:val="000000" w:themeColor="text1"/>
                <w:kern w:val="0"/>
                <w:sz w:val="28"/>
                <w:szCs w:val="28"/>
                <w:lang w:eastAsia="zh-CN"/>
                <w14:textFill>
                  <w14:solidFill>
                    <w14:schemeClr w14:val="tx1"/>
                  </w14:solidFill>
                </w14:textFill>
              </w:rPr>
            </w:pPr>
            <w:r>
              <w:rPr>
                <w:rFonts w:hint="eastAsia" w:ascii="仿宋" w:hAnsi="仿宋" w:eastAsia="仿宋" w:cs="仿宋"/>
                <w:b w:val="0"/>
                <w:bCs w:val="0"/>
                <w:color w:val="000000" w:themeColor="text1"/>
                <w:kern w:val="24"/>
                <w:sz w:val="28"/>
                <w:szCs w:val="28"/>
                <w:lang w:eastAsia="zh-CN"/>
                <w14:textFill>
                  <w14:solidFill>
                    <w14:schemeClr w14:val="tx1"/>
                  </w14:solidFill>
                </w14:textFill>
              </w:rPr>
              <w:t>序号</w:t>
            </w:r>
          </w:p>
        </w:tc>
        <w:tc>
          <w:tcPr>
            <w:tcW w:w="2816" w:type="dxa"/>
            <w:tcBorders>
              <w:top w:val="single" w:color="auto" w:sz="4" w:space="0"/>
              <w:left w:val="single" w:color="auto" w:sz="4" w:space="0"/>
              <w:bottom w:val="single" w:color="auto" w:sz="4" w:space="0"/>
              <w:right w:val="single" w:color="auto" w:sz="4" w:space="0"/>
              <w:insideH w:val="single" w:sz="4" w:space="0"/>
              <w:insideV w:val="nil"/>
            </w:tcBorders>
            <w:shd w:val="clear" w:color="auto" w:fill="auto"/>
            <w:vAlign w:val="center"/>
          </w:tcPr>
          <w:p w14:paraId="6400DFC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val="0"/>
                <w:color w:val="000000" w:themeColor="text1"/>
                <w:kern w:val="0"/>
                <w:sz w:val="28"/>
                <w:szCs w:val="28"/>
                <w:lang w:eastAsia="zh-CN"/>
                <w14:textFill>
                  <w14:solidFill>
                    <w14:schemeClr w14:val="tx1"/>
                  </w14:solidFill>
                </w14:textFill>
              </w:rPr>
            </w:pPr>
            <w:r>
              <w:rPr>
                <w:rFonts w:hint="eastAsia" w:ascii="仿宋" w:hAnsi="仿宋" w:eastAsia="仿宋" w:cs="仿宋"/>
                <w:b w:val="0"/>
                <w:bCs w:val="0"/>
                <w:color w:val="000000" w:themeColor="text1"/>
                <w:kern w:val="24"/>
                <w:sz w:val="28"/>
                <w:szCs w:val="28"/>
                <w:lang w:eastAsia="zh-CN"/>
                <w14:textFill>
                  <w14:solidFill>
                    <w14:schemeClr w14:val="tx1"/>
                  </w14:solidFill>
                </w14:textFill>
              </w:rPr>
              <w:t>货物名称</w:t>
            </w:r>
          </w:p>
        </w:tc>
        <w:tc>
          <w:tcPr>
            <w:tcW w:w="2810" w:type="dxa"/>
            <w:tcBorders>
              <w:top w:val="single" w:color="auto" w:sz="4" w:space="0"/>
              <w:left w:val="single" w:color="auto" w:sz="4" w:space="0"/>
              <w:bottom w:val="single" w:color="auto" w:sz="4" w:space="0"/>
              <w:right w:val="single" w:color="auto" w:sz="4" w:space="0"/>
              <w:insideH w:val="single" w:sz="4" w:space="0"/>
              <w:insideV w:val="nil"/>
            </w:tcBorders>
            <w:shd w:val="clear" w:color="auto" w:fill="auto"/>
            <w:vAlign w:val="center"/>
          </w:tcPr>
          <w:p w14:paraId="357AED5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val="0"/>
                <w:color w:val="000000" w:themeColor="text1"/>
                <w:kern w:val="0"/>
                <w:sz w:val="28"/>
                <w:szCs w:val="28"/>
                <w:lang w:eastAsia="zh-CN"/>
                <w14:textFill>
                  <w14:solidFill>
                    <w14:schemeClr w14:val="tx1"/>
                  </w14:solidFill>
                </w14:textFill>
              </w:rPr>
            </w:pPr>
            <w:r>
              <w:rPr>
                <w:rFonts w:hint="eastAsia" w:ascii="仿宋" w:hAnsi="仿宋" w:eastAsia="仿宋" w:cs="仿宋"/>
                <w:b w:val="0"/>
                <w:bCs w:val="0"/>
                <w:color w:val="000000" w:themeColor="text1"/>
                <w:kern w:val="24"/>
                <w:sz w:val="28"/>
                <w:szCs w:val="28"/>
                <w:lang w:eastAsia="zh-CN"/>
                <w14:textFill>
                  <w14:solidFill>
                    <w14:schemeClr w14:val="tx1"/>
                  </w14:solidFill>
                </w14:textFill>
              </w:rPr>
              <w:t>包装规格</w:t>
            </w:r>
          </w:p>
        </w:tc>
        <w:tc>
          <w:tcPr>
            <w:tcW w:w="1833" w:type="dxa"/>
            <w:tcBorders>
              <w:top w:val="single" w:color="auto" w:sz="4" w:space="0"/>
              <w:left w:val="single" w:color="auto" w:sz="4" w:space="0"/>
              <w:bottom w:val="single" w:color="auto" w:sz="4" w:space="0"/>
              <w:right w:val="single" w:color="auto" w:sz="4" w:space="0"/>
              <w:insideH w:val="single" w:sz="4" w:space="0"/>
              <w:insideV w:val="nil"/>
            </w:tcBorders>
            <w:shd w:val="clear" w:color="auto" w:fill="auto"/>
            <w:vAlign w:val="center"/>
          </w:tcPr>
          <w:p w14:paraId="2DD4D0B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val="0"/>
                <w:color w:val="000000" w:themeColor="text1"/>
                <w:kern w:val="24"/>
                <w:sz w:val="28"/>
                <w:szCs w:val="28"/>
                <w:lang w:eastAsia="zh-CN"/>
                <w14:textFill>
                  <w14:solidFill>
                    <w14:schemeClr w14:val="tx1"/>
                  </w14:solidFill>
                </w14:textFill>
              </w:rPr>
            </w:pPr>
            <w:r>
              <w:rPr>
                <w:rFonts w:hint="eastAsia" w:ascii="仿宋" w:hAnsi="仿宋" w:eastAsia="仿宋" w:cs="仿宋"/>
                <w:b w:val="0"/>
                <w:bCs w:val="0"/>
                <w:color w:val="000000" w:themeColor="text1"/>
                <w:kern w:val="24"/>
                <w:sz w:val="28"/>
                <w:szCs w:val="28"/>
                <w:lang w:eastAsia="zh-CN"/>
                <w14:textFill>
                  <w14:solidFill>
                    <w14:schemeClr w14:val="tx1"/>
                  </w14:solidFill>
                </w14:textFill>
              </w:rPr>
              <w:t>数量</w:t>
            </w:r>
          </w:p>
        </w:tc>
      </w:tr>
      <w:tr w14:paraId="7DA8EC1E">
        <w:tblPrEx>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56" w:type="dxa"/>
            <w:left w:w="96" w:type="dxa"/>
            <w:bottom w:w="56" w:type="dxa"/>
            <w:right w:w="96" w:type="dxa"/>
          </w:tblCellMar>
        </w:tblPrEx>
        <w:trPr>
          <w:trHeight w:val="671"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14:paraId="6011C46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24"/>
                <w:sz w:val="28"/>
                <w:szCs w:val="28"/>
                <w14:textFill>
                  <w14:solidFill>
                    <w14:schemeClr w14:val="tx1"/>
                  </w14:solidFill>
                </w14:textFill>
              </w:rPr>
              <w:t>1</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233304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24"/>
                <w:sz w:val="28"/>
                <w:szCs w:val="28"/>
                <w:lang w:eastAsia="zh-CN"/>
                <w14:textFill>
                  <w14:solidFill>
                    <w14:schemeClr w14:val="tx1"/>
                  </w14:solidFill>
                </w14:textFill>
              </w:rPr>
              <w:t>土壤调理剂</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14:paraId="571FB7D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40kg/袋</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center"/>
          </w:tcPr>
          <w:p w14:paraId="39D292B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100吨</w:t>
            </w:r>
          </w:p>
        </w:tc>
      </w:tr>
      <w:tr w14:paraId="042B1EDC">
        <w:tblPrEx>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56" w:type="dxa"/>
            <w:left w:w="96" w:type="dxa"/>
            <w:bottom w:w="56" w:type="dxa"/>
            <w:right w:w="96" w:type="dxa"/>
          </w:tblCellMar>
        </w:tblPrEx>
        <w:trPr>
          <w:trHeight w:val="671"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14:paraId="07D761F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24"/>
                <w:sz w:val="28"/>
                <w:szCs w:val="28"/>
                <w14:textFill>
                  <w14:solidFill>
                    <w14:schemeClr w14:val="tx1"/>
                  </w14:solidFill>
                </w14:textFill>
              </w:rPr>
              <w:t>2</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77640BB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24"/>
                <w:sz w:val="28"/>
                <w:szCs w:val="28"/>
                <w:lang w:eastAsia="zh-CN"/>
                <w14:textFill>
                  <w14:solidFill>
                    <w14:schemeClr w14:val="tx1"/>
                  </w14:solidFill>
                </w14:textFill>
              </w:rPr>
              <w:t>小麦配方肥</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14:paraId="4143375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40kg/袋</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center"/>
          </w:tcPr>
          <w:p w14:paraId="1D57475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12吨</w:t>
            </w:r>
          </w:p>
        </w:tc>
      </w:tr>
      <w:tr w14:paraId="336AB73A">
        <w:tblPrEx>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56" w:type="dxa"/>
            <w:left w:w="96" w:type="dxa"/>
            <w:bottom w:w="56" w:type="dxa"/>
            <w:right w:w="96" w:type="dxa"/>
          </w:tblCellMar>
        </w:tblPrEx>
        <w:trPr>
          <w:trHeight w:val="671"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14:paraId="25ABF5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24"/>
                <w:sz w:val="28"/>
                <w:szCs w:val="28"/>
                <w:lang w:val="en-US" w:eastAsia="zh-CN"/>
                <w14:textFill>
                  <w14:solidFill>
                    <w14:schemeClr w14:val="tx1"/>
                  </w14:solidFill>
                </w14:textFill>
              </w:rPr>
            </w:pPr>
            <w:r>
              <w:rPr>
                <w:rFonts w:hint="eastAsia" w:ascii="仿宋" w:hAnsi="仿宋" w:eastAsia="仿宋" w:cs="仿宋"/>
                <w:color w:val="000000" w:themeColor="text1"/>
                <w:kern w:val="24"/>
                <w:sz w:val="28"/>
                <w:szCs w:val="28"/>
                <w:lang w:val="en-US" w:eastAsia="zh-CN"/>
                <w14:textFill>
                  <w14:solidFill>
                    <w14:schemeClr w14:val="tx1"/>
                  </w14:solidFill>
                </w14:textFill>
              </w:rPr>
              <w:t>3</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4ED2644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24"/>
                <w:sz w:val="28"/>
                <w:szCs w:val="28"/>
                <w:lang w:eastAsia="zh-CN"/>
                <w14:textFill>
                  <w14:solidFill>
                    <w14:schemeClr w14:val="tx1"/>
                  </w14:solidFill>
                </w14:textFill>
              </w:rPr>
            </w:pPr>
            <w:r>
              <w:rPr>
                <w:rFonts w:hint="eastAsia" w:ascii="仿宋" w:hAnsi="仿宋" w:eastAsia="仿宋" w:cs="仿宋"/>
                <w:sz w:val="28"/>
                <w:szCs w:val="28"/>
                <w:lang w:val="en-US" w:eastAsia="zh-CN"/>
              </w:rPr>
              <w:t>叶面阻控剂</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14:paraId="17FAD9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1000ml/瓶</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center"/>
          </w:tcPr>
          <w:p w14:paraId="66A34D5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8吨</w:t>
            </w:r>
          </w:p>
        </w:tc>
      </w:tr>
      <w:tr w14:paraId="421777E0">
        <w:tblPrEx>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56" w:type="dxa"/>
            <w:left w:w="96" w:type="dxa"/>
            <w:bottom w:w="56" w:type="dxa"/>
            <w:right w:w="96" w:type="dxa"/>
          </w:tblCellMar>
        </w:tblPrEx>
        <w:trPr>
          <w:trHeight w:val="682"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14:paraId="46E8B28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24"/>
                <w:sz w:val="28"/>
                <w:szCs w:val="28"/>
                <w:lang w:val="en-US" w:eastAsia="zh-CN"/>
                <w14:textFill>
                  <w14:solidFill>
                    <w14:schemeClr w14:val="tx1"/>
                  </w14:solidFill>
                </w14:textFill>
              </w:rPr>
            </w:pPr>
            <w:r>
              <w:rPr>
                <w:rFonts w:hint="eastAsia" w:ascii="仿宋" w:hAnsi="仿宋" w:eastAsia="仿宋" w:cs="仿宋"/>
                <w:color w:val="000000" w:themeColor="text1"/>
                <w:kern w:val="24"/>
                <w:sz w:val="28"/>
                <w:szCs w:val="28"/>
                <w:lang w:val="en-US" w:eastAsia="zh-CN"/>
                <w14:textFill>
                  <w14:solidFill>
                    <w14:schemeClr w14:val="tx1"/>
                  </w14:solidFill>
                </w14:textFill>
              </w:rPr>
              <w:t>4</w:t>
            </w:r>
          </w:p>
        </w:tc>
        <w:tc>
          <w:tcPr>
            <w:tcW w:w="2816" w:type="dxa"/>
            <w:tcBorders>
              <w:top w:val="single" w:color="auto" w:sz="4" w:space="0"/>
              <w:left w:val="single" w:color="auto" w:sz="4" w:space="0"/>
              <w:bottom w:val="single" w:color="auto" w:sz="4" w:space="0"/>
              <w:right w:val="single" w:color="auto" w:sz="4" w:space="0"/>
            </w:tcBorders>
            <w:shd w:val="clear" w:color="auto" w:fill="auto"/>
            <w:vAlign w:val="center"/>
          </w:tcPr>
          <w:p w14:paraId="74C387B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24"/>
                <w:sz w:val="28"/>
                <w:szCs w:val="28"/>
                <w:lang w:val="en-US" w:eastAsia="zh-CN"/>
                <w14:textFill>
                  <w14:solidFill>
                    <w14:schemeClr w14:val="tx1"/>
                  </w14:solidFill>
                </w14:textFill>
              </w:rPr>
            </w:pPr>
            <w:r>
              <w:rPr>
                <w:rFonts w:hint="eastAsia" w:ascii="仿宋" w:hAnsi="仿宋" w:eastAsia="仿宋" w:cs="仿宋"/>
                <w:color w:val="000000" w:themeColor="text1"/>
                <w:kern w:val="24"/>
                <w:sz w:val="28"/>
                <w:szCs w:val="28"/>
                <w:lang w:eastAsia="zh-CN"/>
                <w14:textFill>
                  <w14:solidFill>
                    <w14:schemeClr w14:val="tx1"/>
                  </w14:solidFill>
                </w14:textFill>
              </w:rPr>
              <w:t>生物有机肥</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14:paraId="1A37B51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40kg/袋</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center"/>
          </w:tcPr>
          <w:p w14:paraId="23D5AE6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24吨</w:t>
            </w:r>
          </w:p>
        </w:tc>
      </w:tr>
    </w:tbl>
    <w:p w14:paraId="732AC8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三、技术要求</w:t>
      </w:r>
    </w:p>
    <w:p w14:paraId="79CE43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农艺调控和土壤改良类技术措施物资</w:t>
      </w:r>
    </w:p>
    <w:p w14:paraId="4760B6F5">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小麦配方肥： </w:t>
      </w:r>
    </w:p>
    <w:p w14:paraId="74557E4A">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执行标准GB/T21633-2020，总养分≥42%，N-P2O5-K2O=17-20-5，包装规格40kg/袋,其中：17%≤N≤18%、P2O5≥20％、K2O≥5％</w:t>
      </w:r>
    </w:p>
    <w:p w14:paraId="069D6F4D">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生物有机肥：产品执行标准：NY884-2012</w:t>
      </w:r>
    </w:p>
    <w:p w14:paraId="7932E217">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产品剂型;颗粒</w:t>
      </w:r>
    </w:p>
    <w:p w14:paraId="53F120B9">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技术指标要求：有效活菌数≥0.2亿/克，有机质含量≥40%</w:t>
      </w:r>
    </w:p>
    <w:p w14:paraId="60DEFBF6">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叶面阻控剂：主要指标：Si≥100g/L，Na≤90g/L、水不溶物≤8g/L，水剂载体成分：氨基黄腐酸有机螯合液；包装规格：1000ml，小麦专用型氨基黄腐酸硅。</w:t>
      </w:r>
    </w:p>
    <w:p w14:paraId="611F846E">
      <w:pPr>
        <w:ind w:firstLine="560" w:firstLineChars="200"/>
        <w:rPr>
          <w:rFonts w:hint="eastAsia" w:ascii="仿宋" w:hAnsi="仿宋" w:eastAsia="仿宋"/>
          <w:sz w:val="28"/>
          <w:szCs w:val="28"/>
        </w:rPr>
      </w:pPr>
      <w:r>
        <w:rPr>
          <w:rFonts w:hint="eastAsia" w:ascii="仿宋" w:hAnsi="仿宋" w:eastAsia="仿宋" w:cs="仿宋"/>
          <w:sz w:val="28"/>
          <w:szCs w:val="28"/>
          <w:lang w:val="en-US" w:eastAsia="zh-CN"/>
        </w:rPr>
        <w:t>土壤调理剂：符合NY/T3034-2016标准，适宜碱性土壤，能够改良土壤团粒结构、钝化重金属。</w:t>
      </w:r>
    </w:p>
    <w:p w14:paraId="50F07942"/>
    <w:p w14:paraId="013F98B6">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22E48C0">
      <w:pPr>
        <w:rPr>
          <w:rFonts w:hint="eastAsia"/>
          <w:b/>
          <w:bCs/>
          <w:sz w:val="28"/>
          <w:szCs w:val="28"/>
          <w:lang w:eastAsia="zh-CN"/>
        </w:rPr>
      </w:pPr>
      <w:r>
        <w:rPr>
          <w:rFonts w:hint="eastAsia"/>
          <w:b/>
          <w:bCs/>
          <w:sz w:val="28"/>
          <w:szCs w:val="28"/>
          <w:lang w:eastAsia="zh-CN"/>
        </w:rPr>
        <w:t>二标段：</w:t>
      </w:r>
    </w:p>
    <w:p w14:paraId="3A47BC73">
      <w:pPr>
        <w:keepNext w:val="0"/>
        <w:keepLines w:val="0"/>
        <w:pageBreakBefore w:val="0"/>
        <w:widowControl w:val="0"/>
        <w:kinsoku/>
        <w:wordWrap/>
        <w:overflowPunct/>
        <w:topLinePunct w:val="0"/>
        <w:autoSpaceDE/>
        <w:autoSpaceDN/>
        <w:bidi w:val="0"/>
        <w:adjustRightInd/>
        <w:snapToGrid/>
        <w:spacing w:line="480" w:lineRule="exact"/>
        <w:ind w:right="0" w:rightChars="0" w:firstLine="562" w:firstLineChars="200"/>
        <w:textAlignment w:val="auto"/>
        <w:rPr>
          <w:rFonts w:hint="eastAsia" w:ascii="仿宋" w:hAnsi="仿宋" w:eastAsia="仿宋" w:cs="仿宋"/>
          <w:b/>
          <w:bCs/>
          <w:sz w:val="28"/>
          <w:szCs w:val="28"/>
        </w:rPr>
      </w:pPr>
      <w:bookmarkStart w:id="0" w:name="_GoBack"/>
      <w:r>
        <w:rPr>
          <w:rFonts w:hint="eastAsia" w:ascii="仿宋" w:hAnsi="仿宋" w:eastAsia="仿宋" w:cs="仿宋"/>
          <w:b/>
          <w:bCs/>
          <w:sz w:val="28"/>
          <w:szCs w:val="28"/>
        </w:rPr>
        <w:t>一、项目概况</w:t>
      </w:r>
    </w:p>
    <w:p w14:paraId="5FFE0208">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建</w:t>
      </w:r>
      <w:r>
        <w:rPr>
          <w:rFonts w:hint="eastAsia" w:ascii="仿宋" w:hAnsi="仿宋" w:eastAsia="仿宋" w:cs="仿宋"/>
          <w:sz w:val="28"/>
          <w:szCs w:val="28"/>
          <w:lang w:val="en-US" w:eastAsia="zh-CN"/>
        </w:rPr>
        <w:t>立受污染耕地安全利用技术试验点，示范点不少于1个，核心试验点面积不低于2亩</w:t>
      </w:r>
      <w:r>
        <w:rPr>
          <w:rFonts w:hint="default" w:ascii="仿宋" w:hAnsi="仿宋" w:eastAsia="仿宋" w:cs="仿宋"/>
          <w:sz w:val="28"/>
          <w:szCs w:val="28"/>
          <w:lang w:val="en-US" w:eastAsia="zh-CN"/>
        </w:rPr>
        <w:t>；严格管控类耕地结构调整试验示范</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完成</w:t>
      </w:r>
      <w:r>
        <w:rPr>
          <w:rFonts w:hint="default" w:ascii="仿宋" w:hAnsi="仿宋" w:eastAsia="仿宋" w:cs="仿宋"/>
          <w:sz w:val="28"/>
          <w:szCs w:val="28"/>
        </w:rPr>
        <w:t>严格管控</w:t>
      </w:r>
      <w:r>
        <w:rPr>
          <w:rFonts w:hint="eastAsia" w:ascii="仿宋" w:hAnsi="仿宋" w:eastAsia="仿宋" w:cs="仿宋"/>
          <w:sz w:val="28"/>
          <w:szCs w:val="28"/>
          <w:lang w:eastAsia="zh-CN"/>
        </w:rPr>
        <w:t>类</w:t>
      </w:r>
      <w:r>
        <w:rPr>
          <w:rFonts w:hint="default" w:ascii="仿宋" w:hAnsi="仿宋" w:eastAsia="仿宋" w:cs="仿宋"/>
          <w:sz w:val="28"/>
          <w:szCs w:val="28"/>
        </w:rPr>
        <w:t>耕地</w:t>
      </w:r>
      <w:r>
        <w:rPr>
          <w:rFonts w:hint="eastAsia" w:ascii="仿宋" w:hAnsi="仿宋" w:eastAsia="仿宋" w:cs="仿宋"/>
          <w:sz w:val="28"/>
          <w:szCs w:val="28"/>
          <w:lang w:val="en-US" w:eastAsia="zh-CN"/>
        </w:rPr>
        <w:t>27.46</w:t>
      </w:r>
      <w:r>
        <w:rPr>
          <w:rFonts w:hint="default" w:ascii="仿宋" w:hAnsi="仿宋" w:eastAsia="仿宋" w:cs="仿宋"/>
          <w:sz w:val="28"/>
          <w:szCs w:val="28"/>
        </w:rPr>
        <w:t>亩</w:t>
      </w:r>
      <w:r>
        <w:rPr>
          <w:rFonts w:hint="eastAsia" w:ascii="仿宋" w:hAnsi="仿宋" w:eastAsia="仿宋" w:cs="仿宋"/>
          <w:sz w:val="28"/>
          <w:szCs w:val="28"/>
          <w:lang w:eastAsia="zh-CN"/>
        </w:rPr>
        <w:t>休耕、日常监督、技术辐射周边农田等措施，退出特定</w:t>
      </w:r>
      <w:r>
        <w:rPr>
          <w:rFonts w:hint="eastAsia" w:ascii="仿宋" w:hAnsi="仿宋" w:eastAsia="仿宋" w:cs="仿宋"/>
          <w:sz w:val="28"/>
          <w:szCs w:val="28"/>
          <w:lang w:val="en-US" w:eastAsia="zh-CN"/>
        </w:rPr>
        <w:t>农产品种植</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受污染耕地土壤环境监测，主要用于轻中度污染耕地安全利用效果评价点位布局、受污染耕地土壤环境农产品协同调查及检测、结果分析和效果评价报告等费用；</w:t>
      </w:r>
      <w:r>
        <w:rPr>
          <w:rFonts w:hint="default" w:ascii="仿宋" w:hAnsi="仿宋" w:eastAsia="仿宋" w:cs="仿宋"/>
          <w:sz w:val="28"/>
          <w:szCs w:val="28"/>
          <w:lang w:val="en-US" w:eastAsia="zh-CN"/>
        </w:rPr>
        <w:t>土壤污染状况详查</w:t>
      </w:r>
      <w:r>
        <w:rPr>
          <w:rFonts w:hint="eastAsia" w:ascii="仿宋" w:hAnsi="仿宋" w:eastAsia="仿宋" w:cs="仿宋"/>
          <w:sz w:val="28"/>
          <w:szCs w:val="28"/>
          <w:lang w:val="en-US" w:eastAsia="zh-CN"/>
        </w:rPr>
        <w:t>和土壤农产品协同监测采样，主要完成入</w:t>
      </w:r>
      <w:r>
        <w:rPr>
          <w:rFonts w:hint="default" w:ascii="仿宋" w:hAnsi="仿宋" w:eastAsia="仿宋" w:cs="仿宋"/>
          <w:sz w:val="28"/>
          <w:szCs w:val="28"/>
          <w:lang w:eastAsia="zh-CN"/>
        </w:rPr>
        <w:t>户调查核实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农产品样品、土壤样品采集制备及流转</w:t>
      </w:r>
      <w:r>
        <w:rPr>
          <w:rFonts w:hint="default" w:ascii="仿宋" w:hAnsi="仿宋" w:eastAsia="仿宋" w:cs="仿宋"/>
          <w:sz w:val="28"/>
          <w:szCs w:val="28"/>
          <w:lang w:eastAsia="zh-CN"/>
        </w:rPr>
        <w:t>等</w:t>
      </w:r>
      <w:r>
        <w:rPr>
          <w:rFonts w:hint="eastAsia" w:ascii="仿宋" w:hAnsi="仿宋" w:eastAsia="仿宋" w:cs="仿宋"/>
          <w:sz w:val="28"/>
          <w:szCs w:val="28"/>
          <w:lang w:eastAsia="zh-CN"/>
        </w:rPr>
        <w:t>工作，</w:t>
      </w:r>
      <w:r>
        <w:rPr>
          <w:rFonts w:hint="eastAsia" w:ascii="仿宋" w:hAnsi="仿宋" w:eastAsia="仿宋" w:cs="仿宋"/>
          <w:sz w:val="28"/>
          <w:szCs w:val="28"/>
          <w:lang w:val="en-US" w:eastAsia="zh-CN"/>
        </w:rPr>
        <w:t>确保2025</w:t>
      </w:r>
      <w:r>
        <w:rPr>
          <w:rFonts w:hint="default" w:ascii="仿宋" w:hAnsi="仿宋" w:eastAsia="仿宋" w:cs="仿宋"/>
          <w:sz w:val="28"/>
          <w:szCs w:val="28"/>
          <w:lang w:val="en-US" w:eastAsia="zh-CN"/>
        </w:rPr>
        <w:t>年全区受污染耕地安全利用率达到</w:t>
      </w:r>
      <w:r>
        <w:rPr>
          <w:rFonts w:hint="eastAsia" w:ascii="仿宋" w:hAnsi="仿宋" w:eastAsia="仿宋" w:cs="仿宋"/>
          <w:sz w:val="28"/>
          <w:szCs w:val="28"/>
          <w:lang w:val="en-US" w:eastAsia="zh-CN"/>
        </w:rPr>
        <w:t>93</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以上</w:t>
      </w:r>
      <w:r>
        <w:rPr>
          <w:rFonts w:hint="default" w:ascii="仿宋" w:hAnsi="仿宋" w:eastAsia="仿宋" w:cs="仿宋"/>
          <w:sz w:val="28"/>
          <w:szCs w:val="28"/>
          <w:lang w:val="en-US" w:eastAsia="zh-CN"/>
        </w:rPr>
        <w:t>。</w:t>
      </w:r>
    </w:p>
    <w:p w14:paraId="1487F58C">
      <w:pPr>
        <w:keepNext w:val="0"/>
        <w:keepLines w:val="0"/>
        <w:pageBreakBefore w:val="0"/>
        <w:widowControl w:val="0"/>
        <w:kinsoku/>
        <w:wordWrap/>
        <w:overflowPunct/>
        <w:topLinePunct w:val="0"/>
        <w:autoSpaceDE/>
        <w:autoSpaceDN/>
        <w:bidi w:val="0"/>
        <w:adjustRightInd/>
        <w:snapToGrid/>
        <w:spacing w:line="48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服务内容</w:t>
      </w:r>
    </w:p>
    <w:p w14:paraId="1AF18177">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污染现状分析</w:t>
      </w:r>
      <w:r>
        <w:rPr>
          <w:rFonts w:hint="eastAsia" w:ascii="仿宋" w:hAnsi="仿宋" w:eastAsia="仿宋" w:cs="仿宋"/>
          <w:sz w:val="28"/>
          <w:szCs w:val="28"/>
          <w:lang w:eastAsia="zh-CN"/>
        </w:rPr>
        <w:t>以及土壤和农产品样品采集</w:t>
      </w:r>
      <w:r>
        <w:rPr>
          <w:rFonts w:hint="eastAsia" w:ascii="仿宋" w:hAnsi="仿宋" w:eastAsia="仿宋" w:cs="仿宋"/>
          <w:sz w:val="28"/>
          <w:szCs w:val="28"/>
          <w:lang w:eastAsia="zh-CN"/>
        </w:rPr>
        <w:tab/>
      </w:r>
    </w:p>
    <w:p w14:paraId="3E750C05">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eastAsia="zh-CN"/>
        </w:rPr>
        <w:t>鄠邑</w:t>
      </w:r>
      <w:r>
        <w:rPr>
          <w:rFonts w:hint="eastAsia" w:ascii="仿宋" w:hAnsi="仿宋" w:eastAsia="仿宋" w:cs="仿宋"/>
          <w:sz w:val="28"/>
          <w:szCs w:val="28"/>
        </w:rPr>
        <w:t>地区耕地土壤污染背景现状、农业生产现状、农业生产条件等基础资料进行收集和分析，确定</w:t>
      </w:r>
      <w:r>
        <w:rPr>
          <w:rFonts w:hint="eastAsia" w:ascii="仿宋" w:hAnsi="仿宋" w:eastAsia="仿宋" w:cs="仿宋"/>
          <w:sz w:val="28"/>
          <w:szCs w:val="28"/>
          <w:lang w:eastAsia="zh-CN"/>
        </w:rPr>
        <w:t>土壤样品和植物样品</w:t>
      </w:r>
      <w:r>
        <w:rPr>
          <w:rFonts w:hint="eastAsia" w:ascii="仿宋" w:hAnsi="仿宋" w:eastAsia="仿宋" w:cs="仿宋"/>
          <w:sz w:val="28"/>
          <w:szCs w:val="28"/>
          <w:lang w:val="en-US" w:eastAsia="zh-CN"/>
        </w:rPr>
        <w:t>采集</w:t>
      </w:r>
      <w:r>
        <w:rPr>
          <w:rFonts w:hint="eastAsia" w:ascii="仿宋" w:hAnsi="仿宋" w:eastAsia="仿宋" w:cs="仿宋"/>
          <w:sz w:val="28"/>
          <w:szCs w:val="28"/>
        </w:rPr>
        <w:t xml:space="preserve">位置。 </w:t>
      </w:r>
    </w:p>
    <w:p w14:paraId="12E1F275">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在选定的</w:t>
      </w:r>
      <w:r>
        <w:rPr>
          <w:rFonts w:hint="eastAsia" w:ascii="仿宋" w:hAnsi="仿宋" w:eastAsia="仿宋" w:cs="仿宋"/>
          <w:sz w:val="28"/>
          <w:szCs w:val="28"/>
          <w:lang w:val="en-US" w:eastAsia="zh-CN"/>
        </w:rPr>
        <w:t>采集地点</w:t>
      </w:r>
      <w:r>
        <w:rPr>
          <w:rFonts w:hint="eastAsia" w:ascii="仿宋" w:hAnsi="仿宋" w:eastAsia="仿宋" w:cs="仿宋"/>
          <w:sz w:val="28"/>
          <w:szCs w:val="28"/>
        </w:rPr>
        <w:t>，采用</w:t>
      </w:r>
      <w:r>
        <w:rPr>
          <w:rFonts w:hint="eastAsia" w:ascii="仿宋" w:hAnsi="仿宋" w:eastAsia="仿宋" w:cs="仿宋"/>
          <w:sz w:val="28"/>
          <w:szCs w:val="28"/>
          <w:lang w:val="en-US" w:eastAsia="zh-CN"/>
        </w:rPr>
        <w:t>五点交叉采样法</w:t>
      </w:r>
      <w:r>
        <w:rPr>
          <w:rFonts w:hint="eastAsia" w:ascii="仿宋" w:hAnsi="仿宋" w:eastAsia="仿宋" w:cs="仿宋"/>
          <w:sz w:val="28"/>
          <w:szCs w:val="28"/>
        </w:rPr>
        <w:t>采集土壤样品，土壤样品分析检测指标选取《土壤环境质量农用地土壤污染风险管控标准（试行）》(GB 15618—2018)中风险筛选值的必测项目。</w:t>
      </w:r>
    </w:p>
    <w:p w14:paraId="614C5F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同时在相应地点采集农产品样品。</w:t>
      </w:r>
    </w:p>
    <w:bookmarkEnd w:id="0"/>
    <w:p w14:paraId="26B64E4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（1）麦田采样方法示意图</w:t>
      </w:r>
    </w:p>
    <w:p w14:paraId="4583EE43">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59264" behindDoc="0" locked="0" layoutInCell="1" allowOverlap="1">
            <wp:simplePos x="0" y="0"/>
            <wp:positionH relativeFrom="column">
              <wp:posOffset>320675</wp:posOffset>
            </wp:positionH>
            <wp:positionV relativeFrom="paragraph">
              <wp:posOffset>66675</wp:posOffset>
            </wp:positionV>
            <wp:extent cx="4824095" cy="1369060"/>
            <wp:effectExtent l="0" t="0" r="14605" b="2540"/>
            <wp:wrapNone/>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4"/>
                    <a:stretch>
                      <a:fillRect/>
                    </a:stretch>
                  </pic:blipFill>
                  <pic:spPr>
                    <a:xfrm>
                      <a:off x="0" y="0"/>
                      <a:ext cx="4824095" cy="1369060"/>
                    </a:xfrm>
                    <a:prstGeom prst="rect">
                      <a:avLst/>
                    </a:prstGeom>
                  </pic:spPr>
                </pic:pic>
              </a:graphicData>
            </a:graphic>
          </wp:anchor>
        </w:drawing>
      </w:r>
    </w:p>
    <w:tbl>
      <w:tblPr>
        <w:tblStyle w:val="4"/>
        <w:tblpPr w:leftFromText="180" w:rightFromText="180" w:vertAnchor="text" w:tblpX="10214" w:tblpY="585"/>
        <w:tblOverlap w:val="never"/>
        <w:tblW w:w="5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tblGrid>
      <w:tr w14:paraId="589D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73" w:type="dxa"/>
          </w:tcPr>
          <w:p w14:paraId="20F91CEC">
            <w:pPr>
              <w:numPr>
                <w:ilvl w:val="0"/>
                <w:numId w:val="0"/>
              </w:numPr>
              <w:rPr>
                <w:rFonts w:hint="eastAsia" w:ascii="仿宋" w:hAnsi="仿宋" w:eastAsia="仿宋" w:cs="仿宋"/>
                <w:sz w:val="28"/>
                <w:szCs w:val="28"/>
                <w:vertAlign w:val="baseline"/>
                <w:lang w:val="en-US" w:eastAsia="zh-CN"/>
              </w:rPr>
            </w:pPr>
          </w:p>
        </w:tc>
      </w:tr>
    </w:tbl>
    <w:p w14:paraId="2A8BB92A">
      <w:pPr>
        <w:numPr>
          <w:ilvl w:val="0"/>
          <w:numId w:val="0"/>
        </w:numPr>
        <w:ind w:firstLine="560" w:firstLineChars="200"/>
        <w:rPr>
          <w:rFonts w:hint="eastAsia" w:ascii="仿宋" w:hAnsi="仿宋" w:eastAsia="仿宋" w:cs="仿宋"/>
          <w:sz w:val="28"/>
          <w:szCs w:val="28"/>
          <w:lang w:val="en-US" w:eastAsia="zh-CN"/>
        </w:rPr>
      </w:pPr>
    </w:p>
    <w:p w14:paraId="79107BA1">
      <w:pPr>
        <w:numPr>
          <w:ilvl w:val="0"/>
          <w:numId w:val="0"/>
        </w:numPr>
        <w:rPr>
          <w:rFonts w:hint="eastAsia" w:ascii="仿宋" w:hAnsi="仿宋" w:eastAsia="仿宋" w:cs="仿宋"/>
          <w:sz w:val="28"/>
          <w:szCs w:val="28"/>
          <w:lang w:val="en-US" w:eastAsia="zh-CN"/>
        </w:rPr>
      </w:pPr>
    </w:p>
    <w:p w14:paraId="02F7471A">
      <w:pPr>
        <w:numPr>
          <w:ilvl w:val="0"/>
          <w:numId w:val="0"/>
        </w:numPr>
        <w:ind w:firstLine="560" w:firstLineChars="200"/>
        <w:rPr>
          <w:rFonts w:hint="eastAsia" w:ascii="仿宋" w:hAnsi="仿宋" w:eastAsia="仿宋" w:cs="仿宋"/>
          <w:sz w:val="28"/>
          <w:szCs w:val="28"/>
          <w:lang w:val="en-US" w:eastAsia="zh-CN"/>
        </w:rPr>
      </w:pPr>
    </w:p>
    <w:p w14:paraId="2A21ECBA">
      <w:pPr>
        <w:numPr>
          <w:ilvl w:val="0"/>
          <w:numId w:val="0"/>
        </w:num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对角线法                          蛇形法</w:t>
      </w:r>
    </w:p>
    <w:p w14:paraId="6C71886A">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（2）根据麦田宽度确定采样方法，宽度大于等于20米的麦田采用对角线5点采样，宽度小于20米采样蛇形法5点采样。采集麦穗时，每点采集麦穗1平方米，5点混合成样。</w:t>
      </w:r>
    </w:p>
    <w:p w14:paraId="16592A71">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（3）采集麦穗，绝不能错过收获期，而造成无法采集。</w:t>
      </w:r>
    </w:p>
    <w:p w14:paraId="20EE1087">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根据土壤采样分析结果，对照土壤质量标准和土壤背景值，进一步确定目标污染物、污染程度、分布区域、污染类型等，为土地安全利用方案制定提供数据支撑。</w:t>
      </w:r>
    </w:p>
    <w:p w14:paraId="666A6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2、受污染耕地治理修复监测效果评价</w:t>
      </w:r>
    </w:p>
    <w:p w14:paraId="01EF8A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轻中度污染耕地安全利用与治理修复推荐技术名录》（2019版）应用要求，对轻中度污染耕地开始治理时，应当优先采取安全利用类措施，防止有毒有害物质进入农作物；安全利用类措施难以奏效时，再采取不影响农业生产的治理修复措施。</w:t>
      </w:r>
    </w:p>
    <w:p w14:paraId="5C54F6FA">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结合</w:t>
      </w:r>
      <w:r>
        <w:rPr>
          <w:rFonts w:hint="eastAsia" w:ascii="仿宋" w:hAnsi="仿宋" w:eastAsia="仿宋" w:cs="仿宋"/>
          <w:sz w:val="28"/>
          <w:szCs w:val="28"/>
          <w:lang w:eastAsia="zh-CN"/>
        </w:rPr>
        <w:t>鄠邑</w:t>
      </w:r>
      <w:r>
        <w:rPr>
          <w:rFonts w:hint="eastAsia" w:ascii="仿宋" w:hAnsi="仿宋" w:eastAsia="仿宋" w:cs="仿宋"/>
          <w:sz w:val="28"/>
          <w:szCs w:val="28"/>
        </w:rPr>
        <w:t>地区</w:t>
      </w:r>
      <w:r>
        <w:rPr>
          <w:rFonts w:hint="eastAsia" w:ascii="仿宋" w:hAnsi="仿宋" w:eastAsia="仿宋" w:cs="仿宋"/>
          <w:sz w:val="28"/>
          <w:szCs w:val="28"/>
          <w:lang w:eastAsia="zh-CN"/>
        </w:rPr>
        <w:t>耕地</w:t>
      </w:r>
      <w:r>
        <w:rPr>
          <w:rFonts w:hint="eastAsia" w:ascii="仿宋" w:hAnsi="仿宋" w:eastAsia="仿宋" w:cs="仿宋"/>
          <w:sz w:val="28"/>
          <w:szCs w:val="28"/>
        </w:rPr>
        <w:t>污染类型、种植制度等实际情况，研究</w:t>
      </w:r>
      <w:r>
        <w:rPr>
          <w:rFonts w:hint="eastAsia" w:ascii="仿宋" w:hAnsi="仿宋" w:eastAsia="仿宋" w:cs="仿宋"/>
          <w:sz w:val="28"/>
          <w:szCs w:val="28"/>
          <w:lang w:val="en-US" w:eastAsia="zh-CN"/>
        </w:rPr>
        <w:t>农艺调控措施和耕地土壤化学钝化</w:t>
      </w:r>
      <w:r>
        <w:rPr>
          <w:rFonts w:hint="eastAsia" w:ascii="仿宋" w:hAnsi="仿宋" w:eastAsia="仿宋" w:cs="仿宋"/>
          <w:sz w:val="28"/>
          <w:szCs w:val="28"/>
        </w:rPr>
        <w:t>技术及技术组合方式下，土壤污染物形态/含量变化情况及其在作物体内的累积状况</w:t>
      </w:r>
      <w:r>
        <w:rPr>
          <w:rFonts w:hint="eastAsia" w:ascii="仿宋" w:hAnsi="仿宋" w:eastAsia="仿宋" w:cs="仿宋"/>
          <w:sz w:val="28"/>
          <w:szCs w:val="28"/>
          <w:lang w:eastAsia="zh-CN"/>
        </w:rPr>
        <w:t>。</w:t>
      </w:r>
    </w:p>
    <w:p w14:paraId="272B6396">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轻中度受污染耕地区域内，采用深翻耕、应用低积累品种、优化施肥、增施有机肥措施结合使用，在耕地污染调查的基础上，分析耕地污染状况，评价耕地污染治理效果，得出治理区域内耕地污染治理的总体评价结论。</w:t>
      </w:r>
    </w:p>
    <w:p w14:paraId="02F5F8D1">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3、技术试验点</w:t>
      </w:r>
      <w:r>
        <w:rPr>
          <w:rFonts w:hint="eastAsia" w:ascii="仿宋" w:hAnsi="仿宋" w:eastAsia="仿宋" w:cs="仿宋"/>
          <w:sz w:val="28"/>
          <w:szCs w:val="28"/>
        </w:rPr>
        <w:t>建设</w:t>
      </w:r>
    </w:p>
    <w:p w14:paraId="6D4994B5">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轻中度污染耕地安全利用与治理修复推荐技术名录》（2019版）应用要求，对轻中度污染耕地开始治理时，应当优先采取安全利用类措施，防止有毒有害物质进入农作物；安全利用类措施难以奏效时，再采取不影响农业生产的治理修复措施。</w:t>
      </w:r>
    </w:p>
    <w:p w14:paraId="10815665">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eastAsia="zh-CN"/>
        </w:rPr>
      </w:pPr>
      <w:r>
        <w:rPr>
          <w:rFonts w:hint="default" w:ascii="仿宋" w:hAnsi="仿宋" w:eastAsia="仿宋" w:cs="仿宋"/>
          <w:sz w:val="28"/>
          <w:szCs w:val="28"/>
          <w:lang w:val="en-US" w:eastAsia="zh-CN"/>
        </w:rPr>
        <w:t>在</w:t>
      </w:r>
      <w:r>
        <w:rPr>
          <w:rFonts w:hint="eastAsia" w:ascii="仿宋" w:hAnsi="仿宋" w:eastAsia="仿宋" w:cs="仿宋"/>
          <w:sz w:val="28"/>
          <w:szCs w:val="28"/>
          <w:lang w:val="en-US" w:eastAsia="zh-CN"/>
        </w:rPr>
        <w:t>轻中度</w:t>
      </w:r>
      <w:r>
        <w:rPr>
          <w:rFonts w:hint="default" w:ascii="仿宋" w:hAnsi="仿宋" w:eastAsia="仿宋" w:cs="仿宋"/>
          <w:sz w:val="28"/>
          <w:szCs w:val="28"/>
          <w:lang w:val="en-US" w:eastAsia="zh-CN"/>
        </w:rPr>
        <w:t>污染耕地</w:t>
      </w:r>
      <w:r>
        <w:rPr>
          <w:rFonts w:hint="eastAsia" w:ascii="仿宋" w:hAnsi="仿宋" w:eastAsia="仿宋" w:cs="仿宋"/>
          <w:sz w:val="28"/>
          <w:szCs w:val="28"/>
          <w:lang w:val="en-US" w:eastAsia="zh-CN"/>
        </w:rPr>
        <w:t>连片区域开展低积累品种筛选比对、综合技术模式研究试验点不少于1个</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面积不少于2亩，应用我区2021年-2024年项目试验示范总结的适宜技术模式作为本次技术试验点的主推技术。结合鄠地区耕地污染类型、种植制度等实际情况，研究农艺调控措施和耕地土壤化学钝化</w:t>
      </w:r>
      <w:r>
        <w:rPr>
          <w:rFonts w:hint="eastAsia" w:ascii="仿宋" w:hAnsi="仿宋" w:eastAsia="仿宋" w:cs="仿宋"/>
          <w:sz w:val="28"/>
          <w:szCs w:val="28"/>
          <w:lang w:eastAsia="zh-CN"/>
        </w:rPr>
        <w:t>技术及技术组合方式下，土壤污染物形态含量变化情况及其在作物体内的累积状况。</w:t>
      </w:r>
    </w:p>
    <w:p w14:paraId="6A88878C">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三、技术要求</w:t>
      </w:r>
    </w:p>
    <w:p w14:paraId="5AD38DCF">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农业服务类耕地污染治理与修复措施、样品采集过程中不能对土壤、地下水、大气及种植作物等周边环境造成二次污染。</w:t>
      </w:r>
    </w:p>
    <w:p w14:paraId="559ED12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关键季节做好试验示范田间观察记录，确保数据真实准确。注意采样标准、规范；确保样品检测正确、报告完善，提出合理、科学的治理修复模式，推广应用。</w:t>
      </w:r>
    </w:p>
    <w:p w14:paraId="369A6445">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做好工作记录，提供数据、图片、视频等资料，以及保密工作，不向第三方以外透漏任何有关工作的内容，项目结束后完成资料收集、汇编、验收、审计等工作。</w:t>
      </w:r>
    </w:p>
    <w:p w14:paraId="5508A4C6">
      <w:pPr>
        <w:numPr>
          <w:ilvl w:val="0"/>
          <w:numId w:val="1"/>
        </w:numPr>
        <w:ind w:left="70" w:leftChars="0" w:firstLine="56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其他要求</w:t>
      </w:r>
    </w:p>
    <w:p w14:paraId="4179A26E">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（一）农业服务</w:t>
      </w:r>
      <w:r>
        <w:rPr>
          <w:rFonts w:hint="eastAsia" w:ascii="仿宋" w:hAnsi="仿宋" w:eastAsia="仿宋" w:cs="仿宋"/>
          <w:sz w:val="28"/>
          <w:szCs w:val="28"/>
        </w:rPr>
        <w:t>进度要求</w:t>
      </w:r>
    </w:p>
    <w:p w14:paraId="6E6A12B4">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日前完成</w:t>
      </w:r>
      <w:r>
        <w:rPr>
          <w:rFonts w:hint="eastAsia" w:ascii="仿宋" w:hAnsi="仿宋" w:eastAsia="仿宋" w:cs="仿宋"/>
          <w:color w:val="auto"/>
          <w:sz w:val="28"/>
          <w:szCs w:val="28"/>
          <w:lang w:val="en-US" w:eastAsia="zh-CN"/>
        </w:rPr>
        <w:t>试验示范田块受污染耕地污染状况</w:t>
      </w:r>
      <w:r>
        <w:rPr>
          <w:rFonts w:hint="eastAsia" w:ascii="仿宋" w:hAnsi="仿宋" w:eastAsia="仿宋" w:cs="仿宋"/>
          <w:color w:val="auto"/>
          <w:sz w:val="28"/>
          <w:szCs w:val="28"/>
        </w:rPr>
        <w:t>调查</w:t>
      </w:r>
      <w:r>
        <w:rPr>
          <w:rFonts w:hint="eastAsia" w:ascii="仿宋" w:hAnsi="仿宋" w:eastAsia="仿宋" w:cs="仿宋"/>
          <w:color w:val="auto"/>
          <w:sz w:val="28"/>
          <w:szCs w:val="28"/>
          <w:lang w:val="en-US" w:eastAsia="zh-CN"/>
        </w:rPr>
        <w:t>及试验方案的编制</w:t>
      </w:r>
      <w:r>
        <w:rPr>
          <w:rFonts w:hint="eastAsia" w:ascii="仿宋" w:hAnsi="仿宋" w:eastAsia="仿宋" w:cs="仿宋"/>
          <w:color w:val="auto"/>
          <w:sz w:val="28"/>
          <w:szCs w:val="28"/>
        </w:rPr>
        <w:t>工作。</w:t>
      </w:r>
    </w:p>
    <w:p w14:paraId="37647A68">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年10月31日完成</w:t>
      </w:r>
      <w:r>
        <w:rPr>
          <w:rFonts w:hint="eastAsia" w:ascii="仿宋" w:hAnsi="仿宋" w:eastAsia="仿宋" w:cs="仿宋"/>
          <w:color w:val="auto"/>
          <w:sz w:val="28"/>
          <w:szCs w:val="28"/>
          <w:lang w:val="en-US" w:eastAsia="zh-CN"/>
        </w:rPr>
        <w:t>试验示范田调查、土壤和农产品样品采集、资料</w:t>
      </w:r>
      <w:r>
        <w:rPr>
          <w:rFonts w:hint="eastAsia" w:ascii="仿宋" w:hAnsi="仿宋" w:eastAsia="仿宋" w:cs="仿宋"/>
          <w:color w:val="auto"/>
          <w:sz w:val="28"/>
          <w:szCs w:val="28"/>
        </w:rPr>
        <w:t>整理、总结以及成果评审等工作。</w:t>
      </w:r>
    </w:p>
    <w:p w14:paraId="5D3F1FC2">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）成果交付要求</w:t>
      </w:r>
    </w:p>
    <w:p w14:paraId="65F0DCEE">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开展土壤污染治理修复技术经济成本分析，评价农用地土壤污染治理修复效果，提交治理试点工作报告及经验总结，形成各试点的代表性主推技术模式。</w:t>
      </w:r>
    </w:p>
    <w:p w14:paraId="09C311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）质量验收标准或规范</w:t>
      </w:r>
    </w:p>
    <w:p w14:paraId="2E324943">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严格执行耕地污染治理效果评价准则NY/T3343-2018对试验示范项目耕地污染治理效果进行验收。</w:t>
      </w:r>
    </w:p>
    <w:p w14:paraId="31F4997B">
      <w:pPr>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01989"/>
    <w:multiLevelType w:val="singleLevel"/>
    <w:tmpl w:val="9B801989"/>
    <w:lvl w:ilvl="0" w:tentative="0">
      <w:start w:val="4"/>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A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Grid Table 4 Accent 3"/>
    <w:basedOn w:val="3"/>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2025-09-08T09:50:10Z</dcterms:created>
  <dc:creator>Administrator</dc:creator>
  <cp:lastModifiedBy>爱悦儿</cp:lastModifiedBy>
  <dcterms:modified xsi:type="dcterms:W3CDTF">2025-09-08T09:51:29Z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eyJoZGlkIjoiYzQ1NGYwYjg1ZWI3OTIwZTMzZDExZmFmYWI3ZDc5ZDkiLCJ1c2VySWQiOiI3MDgzMzI2ODgifQ==</vt:lpwstr>
  </property>
  <property fmtid="{D5CDD505-2E9C-101B-9397-08002B2CF9AE}" pid="4" name="ICV">
    <vt:lpwstr>AAB8021F893B49A6977C6284CA6E3F53_12</vt:lpwstr>
  </property>
</Properties>
</file>