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9DC27">
      <w:pPr>
        <w:jc w:val="left"/>
        <w:rPr>
          <w:rFonts w:hint="eastAsia" w:ascii="宋体" w:hAnsi="宋体" w:eastAsia="宋体" w:cs="宋体"/>
          <w:sz w:val="32"/>
          <w:szCs w:val="32"/>
          <w:lang w:val="en-US" w:eastAsia="zh-CN"/>
        </w:rPr>
      </w:pPr>
      <w:bookmarkStart w:id="0" w:name="_Toc19445"/>
      <w:bookmarkStart w:id="1" w:name="_Toc531683071"/>
      <w:bookmarkStart w:id="2" w:name="_Toc10529"/>
      <w:bookmarkStart w:id="3" w:name="_Toc531256389"/>
      <w:r>
        <w:rPr>
          <w:rFonts w:hint="eastAsia" w:ascii="宋体" w:hAnsi="宋体" w:eastAsia="宋体" w:cs="宋体"/>
          <w:sz w:val="32"/>
          <w:szCs w:val="32"/>
        </w:rPr>
        <w:t>项目编号：</w:t>
      </w:r>
      <w:r>
        <w:rPr>
          <w:rFonts w:hint="eastAsia" w:hAnsi="宋体" w:cs="宋体"/>
          <w:sz w:val="32"/>
          <w:szCs w:val="32"/>
          <w:lang w:eastAsia="zh-CN"/>
        </w:rPr>
        <w:t>TCZB-AK-2025-033</w:t>
      </w:r>
    </w:p>
    <w:p w14:paraId="57A4697A">
      <w:pPr>
        <w:pStyle w:val="16"/>
        <w:rPr>
          <w:rFonts w:hAnsi="宋体" w:cs="宋体"/>
          <w:b/>
          <w:bCs/>
          <w:sz w:val="32"/>
          <w:szCs w:val="32"/>
          <w:lang w:val="zh-CN"/>
        </w:rPr>
      </w:pPr>
    </w:p>
    <w:p w14:paraId="1904B91F">
      <w:pPr>
        <w:rPr>
          <w:rFonts w:hAnsi="宋体" w:cs="宋体"/>
          <w:b/>
          <w:bCs/>
          <w:sz w:val="32"/>
          <w:szCs w:val="32"/>
          <w:lang w:val="zh-CN"/>
        </w:rPr>
      </w:pPr>
    </w:p>
    <w:p w14:paraId="6745D62F">
      <w:pPr>
        <w:pStyle w:val="16"/>
        <w:rPr>
          <w:lang w:val="zh-CN"/>
        </w:rPr>
      </w:pPr>
    </w:p>
    <w:p w14:paraId="3D9C3F99">
      <w:pPr>
        <w:rPr>
          <w:rFonts w:hAnsi="宋体" w:cs="宋体"/>
          <w:b/>
          <w:bCs/>
          <w:sz w:val="32"/>
          <w:szCs w:val="32"/>
          <w:lang w:val="zh-CN"/>
        </w:rPr>
      </w:pPr>
    </w:p>
    <w:p w14:paraId="1E238F92">
      <w:pPr>
        <w:keepNext w:val="0"/>
        <w:keepLines w:val="0"/>
        <w:pageBreakBefore w:val="0"/>
        <w:widowControl w:val="0"/>
        <w:tabs>
          <w:tab w:val="left" w:pos="5670"/>
          <w:tab w:val="left" w:pos="6663"/>
        </w:tabs>
        <w:kinsoku/>
        <w:wordWrap/>
        <w:overflowPunct/>
        <w:topLinePunct w:val="0"/>
        <w:autoSpaceDE w:val="0"/>
        <w:autoSpaceDN w:val="0"/>
        <w:bidi w:val="0"/>
        <w:adjustRightInd w:val="0"/>
        <w:snapToGrid w:val="0"/>
        <w:spacing w:line="600" w:lineRule="exact"/>
        <w:jc w:val="center"/>
        <w:textAlignment w:val="auto"/>
        <w:rPr>
          <w:rFonts w:hint="eastAsia" w:ascii="宋体" w:hAnsi="宋体" w:eastAsia="宋体" w:cs="宋体"/>
          <w:b/>
          <w:spacing w:val="-6"/>
          <w:w w:val="100"/>
          <w:sz w:val="56"/>
          <w:szCs w:val="56"/>
        </w:rPr>
      </w:pPr>
      <w:r>
        <w:rPr>
          <w:rFonts w:hint="eastAsia" w:ascii="宋体" w:hAnsi="宋体" w:eastAsia="宋体" w:cs="宋体"/>
          <w:color w:val="auto"/>
          <w:sz w:val="36"/>
          <w:szCs w:val="52"/>
        </w:rPr>
        <w:drawing>
          <wp:anchor distT="0" distB="0" distL="114300" distR="114300" simplePos="0" relativeHeight="251660288" behindDoc="1" locked="0" layoutInCell="1" allowOverlap="1">
            <wp:simplePos x="0" y="0"/>
            <wp:positionH relativeFrom="column">
              <wp:posOffset>509270</wp:posOffset>
            </wp:positionH>
            <wp:positionV relativeFrom="paragraph">
              <wp:posOffset>634365</wp:posOffset>
            </wp:positionV>
            <wp:extent cx="4339590" cy="1593850"/>
            <wp:effectExtent l="0" t="0" r="3810" b="6350"/>
            <wp:wrapTight wrapText="bothSides">
              <wp:wrapPolygon>
                <wp:start x="0" y="0"/>
                <wp:lineTo x="0" y="21428"/>
                <wp:lineTo x="21524" y="21428"/>
                <wp:lineTo x="21524" y="0"/>
                <wp:lineTo x="0" y="0"/>
              </wp:wrapPolygon>
            </wp:wrapTight>
            <wp:docPr id="6" name="图片 709" descr="天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09" descr="天诚LOGO"/>
                    <pic:cNvPicPr>
                      <a:picLocks noChangeAspect="1"/>
                    </pic:cNvPicPr>
                  </pic:nvPicPr>
                  <pic:blipFill>
                    <a:blip r:embed="rId10"/>
                    <a:stretch>
                      <a:fillRect/>
                    </a:stretch>
                  </pic:blipFill>
                  <pic:spPr>
                    <a:xfrm>
                      <a:off x="0" y="0"/>
                      <a:ext cx="4339590" cy="1593850"/>
                    </a:xfrm>
                    <a:prstGeom prst="rect">
                      <a:avLst/>
                    </a:prstGeom>
                    <a:noFill/>
                    <a:ln>
                      <a:noFill/>
                    </a:ln>
                  </pic:spPr>
                </pic:pic>
              </a:graphicData>
            </a:graphic>
          </wp:anchor>
        </w:drawing>
      </w:r>
      <w:r>
        <w:rPr>
          <w:rFonts w:hint="eastAsia" w:ascii="宋体" w:hAnsi="宋体" w:eastAsia="宋体" w:cs="宋体"/>
          <w:b/>
          <w:spacing w:val="-6"/>
          <w:w w:val="100"/>
          <w:sz w:val="56"/>
          <w:szCs w:val="56"/>
          <w:lang w:val="en-US" w:eastAsia="zh-CN"/>
        </w:rPr>
        <w:t>镇坪县2025年林业有害生物防治项目</w:t>
      </w:r>
    </w:p>
    <w:p w14:paraId="24B3F9CF">
      <w:pPr>
        <w:rPr>
          <w:rFonts w:hint="eastAsia"/>
        </w:rPr>
      </w:pPr>
    </w:p>
    <w:p w14:paraId="37F0AB6F">
      <w:pPr>
        <w:rPr>
          <w:rFonts w:hint="eastAsia"/>
        </w:rPr>
      </w:pPr>
    </w:p>
    <w:p w14:paraId="27261F56">
      <w:pPr>
        <w:pStyle w:val="16"/>
        <w:rPr>
          <w:rFonts w:hint="eastAsia"/>
        </w:rPr>
      </w:pPr>
    </w:p>
    <w:p w14:paraId="072F595C">
      <w:pPr>
        <w:rPr>
          <w:rFonts w:hint="eastAsia"/>
        </w:rPr>
      </w:pPr>
    </w:p>
    <w:p w14:paraId="4355EAA6">
      <w:pPr>
        <w:pStyle w:val="104"/>
        <w:ind w:firstLine="535" w:firstLineChars="255"/>
        <w:rPr>
          <w:rFonts w:ascii="宋体" w:hAnsi="宋体" w:eastAsia="宋体" w:cs="宋体"/>
          <w:color w:val="auto"/>
        </w:rPr>
      </w:pPr>
      <w:bookmarkStart w:id="4" w:name="_Toc532549500"/>
    </w:p>
    <w:p w14:paraId="3CC189B8">
      <w:pPr>
        <w:jc w:val="center"/>
        <w:rPr>
          <w:rFonts w:hint="eastAsia" w:hAnsi="宋体" w:cs="宋体"/>
          <w:b/>
          <w:sz w:val="72"/>
          <w:szCs w:val="44"/>
        </w:rPr>
      </w:pPr>
    </w:p>
    <w:p w14:paraId="4F054B02">
      <w:pPr>
        <w:jc w:val="center"/>
        <w:rPr>
          <w:rFonts w:hAnsi="宋体" w:cs="宋体"/>
          <w:b/>
          <w:sz w:val="72"/>
          <w:szCs w:val="44"/>
        </w:rPr>
      </w:pPr>
      <w:r>
        <w:rPr>
          <w:rFonts w:hint="eastAsia" w:hAnsi="宋体" w:cs="宋体"/>
          <w:b/>
          <w:sz w:val="72"/>
          <w:szCs w:val="44"/>
        </w:rPr>
        <w:t>竞争性</w:t>
      </w:r>
      <w:r>
        <w:rPr>
          <w:rFonts w:hint="eastAsia" w:hAnsi="宋体" w:cs="宋体"/>
          <w:b/>
          <w:sz w:val="72"/>
          <w:szCs w:val="44"/>
          <w:lang w:val="en-US" w:eastAsia="zh-CN"/>
        </w:rPr>
        <w:t>谈判</w:t>
      </w:r>
      <w:r>
        <w:rPr>
          <w:rFonts w:hint="eastAsia" w:hAnsi="宋体" w:cs="宋体"/>
          <w:b/>
          <w:sz w:val="72"/>
          <w:szCs w:val="44"/>
        </w:rPr>
        <w:t>文件</w:t>
      </w:r>
    </w:p>
    <w:bookmarkEnd w:id="4"/>
    <w:p w14:paraId="6640E60A">
      <w:pPr>
        <w:ind w:firstLine="866" w:firstLineChars="255"/>
        <w:jc w:val="center"/>
        <w:rPr>
          <w:rFonts w:hAnsi="宋体" w:cs="宋体"/>
        </w:rPr>
      </w:pPr>
    </w:p>
    <w:p w14:paraId="1BEB56FA">
      <w:pPr>
        <w:pStyle w:val="16"/>
        <w:rPr>
          <w:rFonts w:hint="eastAsia" w:eastAsia="宋体"/>
          <w:lang w:eastAsia="zh-CN"/>
        </w:rPr>
      </w:pPr>
    </w:p>
    <w:p w14:paraId="27C28059">
      <w:pPr>
        <w:pStyle w:val="16"/>
        <w:rPr>
          <w:rFonts w:hint="eastAsia"/>
          <w:lang w:eastAsia="zh-CN"/>
        </w:rPr>
      </w:pPr>
    </w:p>
    <w:p w14:paraId="0253CAC6">
      <w:pPr>
        <w:rPr>
          <w:rFonts w:hint="eastAsia" w:eastAsia="宋体"/>
          <w:lang w:eastAsia="zh-CN"/>
        </w:rPr>
      </w:pPr>
    </w:p>
    <w:p w14:paraId="7E05D631">
      <w:pPr>
        <w:pStyle w:val="16"/>
        <w:rPr>
          <w:rFonts w:hint="eastAsia"/>
          <w:lang w:eastAsia="zh-CN"/>
        </w:rPr>
      </w:pPr>
    </w:p>
    <w:p w14:paraId="36B70B8B"/>
    <w:p w14:paraId="111F1C3D"/>
    <w:p w14:paraId="28609C1F">
      <w:pPr>
        <w:ind w:firstLine="866" w:firstLineChars="255"/>
        <w:rPr>
          <w:rFonts w:hAnsi="宋体" w:cs="宋体"/>
        </w:rPr>
      </w:pPr>
    </w:p>
    <w:p w14:paraId="572A7706">
      <w:pPr>
        <w:autoSpaceDE w:val="0"/>
        <w:autoSpaceDN w:val="0"/>
        <w:adjustRightInd w:val="0"/>
        <w:snapToGrid w:val="0"/>
        <w:spacing w:line="360" w:lineRule="auto"/>
        <w:ind w:firstLine="922" w:firstLineChars="255"/>
        <w:rPr>
          <w:rFonts w:hAnsi="宋体" w:cs="宋体"/>
          <w:b/>
          <w:bCs/>
          <w:sz w:val="36"/>
          <w:szCs w:val="36"/>
          <w:lang w:val="zh-CN"/>
        </w:rPr>
      </w:pPr>
    </w:p>
    <w:p w14:paraId="17CE9B46">
      <w:pPr>
        <w:bidi w:val="0"/>
        <w:spacing w:line="360" w:lineRule="auto"/>
        <w:ind w:firstLine="720" w:firstLineChars="200"/>
        <w:rPr>
          <w:rFonts w:hint="eastAsia"/>
          <w:sz w:val="36"/>
          <w:szCs w:val="21"/>
          <w:lang w:val="en-US" w:eastAsia="zh-CN"/>
        </w:rPr>
      </w:pPr>
      <w:r>
        <w:rPr>
          <w:rFonts w:hint="eastAsia"/>
          <w:sz w:val="36"/>
          <w:szCs w:val="21"/>
        </w:rPr>
        <w:t>采购单位：</w:t>
      </w:r>
      <w:r>
        <w:rPr>
          <w:rFonts w:hint="eastAsia"/>
          <w:sz w:val="36"/>
          <w:szCs w:val="21"/>
          <w:lang w:val="en-US" w:eastAsia="zh-CN"/>
        </w:rPr>
        <w:t>镇坪县农业林业和水利局</w:t>
      </w:r>
    </w:p>
    <w:p w14:paraId="072A361F">
      <w:pPr>
        <w:bidi w:val="0"/>
        <w:spacing w:line="360" w:lineRule="auto"/>
        <w:ind w:firstLine="720" w:firstLineChars="200"/>
        <w:rPr>
          <w:sz w:val="36"/>
          <w:szCs w:val="21"/>
        </w:rPr>
      </w:pPr>
      <w:r>
        <w:rPr>
          <w:rFonts w:hint="eastAsia"/>
          <w:sz w:val="36"/>
          <w:szCs w:val="21"/>
          <w:lang w:val="en-US" w:eastAsia="zh-CN"/>
        </w:rPr>
        <w:t>代理机构：陕西安康天诚工程项目管理咨询有限公司</w:t>
      </w:r>
    </w:p>
    <w:p w14:paraId="5472E8DA">
      <w:pPr>
        <w:bidi w:val="0"/>
        <w:spacing w:line="360" w:lineRule="auto"/>
        <w:ind w:firstLine="720" w:firstLineChars="200"/>
        <w:rPr>
          <w:sz w:val="36"/>
          <w:szCs w:val="21"/>
        </w:rPr>
      </w:pPr>
      <w:r>
        <w:rPr>
          <w:rFonts w:hint="eastAsia"/>
          <w:sz w:val="36"/>
          <w:szCs w:val="21"/>
          <w:lang w:eastAsia="zh-CN"/>
        </w:rPr>
        <w:t>日</w:t>
      </w:r>
      <w:r>
        <w:rPr>
          <w:rFonts w:hint="eastAsia"/>
          <w:sz w:val="36"/>
          <w:szCs w:val="21"/>
          <w:lang w:val="en-US" w:eastAsia="zh-CN"/>
        </w:rPr>
        <w:t xml:space="preserve">    </w:t>
      </w:r>
      <w:r>
        <w:rPr>
          <w:rFonts w:hint="eastAsia"/>
          <w:sz w:val="36"/>
          <w:szCs w:val="21"/>
          <w:lang w:eastAsia="zh-CN"/>
        </w:rPr>
        <w:t>期：</w:t>
      </w:r>
      <w:r>
        <w:rPr>
          <w:rFonts w:hint="eastAsia"/>
          <w:sz w:val="36"/>
          <w:szCs w:val="21"/>
        </w:rPr>
        <w:t>二〇二</w:t>
      </w:r>
      <w:r>
        <w:rPr>
          <w:rFonts w:hint="eastAsia"/>
          <w:sz w:val="36"/>
          <w:szCs w:val="21"/>
          <w:lang w:val="en-US" w:eastAsia="zh-CN"/>
        </w:rPr>
        <w:t>五</w:t>
      </w:r>
      <w:r>
        <w:rPr>
          <w:rFonts w:hint="eastAsia"/>
          <w:sz w:val="36"/>
          <w:szCs w:val="21"/>
        </w:rPr>
        <w:t>年</w:t>
      </w:r>
      <w:r>
        <w:rPr>
          <w:rFonts w:hint="eastAsia"/>
          <w:sz w:val="36"/>
          <w:szCs w:val="21"/>
          <w:lang w:val="en-US" w:eastAsia="zh-CN"/>
        </w:rPr>
        <w:t>八</w:t>
      </w:r>
      <w:r>
        <w:rPr>
          <w:rFonts w:hint="eastAsia"/>
          <w:sz w:val="36"/>
          <w:szCs w:val="21"/>
        </w:rPr>
        <w:t xml:space="preserve">月 </w:t>
      </w:r>
    </w:p>
    <w:p w14:paraId="0219C32E">
      <w:pPr>
        <w:pStyle w:val="54"/>
        <w:tabs>
          <w:tab w:val="left" w:pos="993"/>
        </w:tabs>
        <w:jc w:val="center"/>
        <w:rPr>
          <w:rFonts w:hint="eastAsia" w:ascii="宋体" w:hAnsi="宋体" w:cs="宋体"/>
          <w:b/>
          <w:sz w:val="44"/>
          <w:szCs w:val="44"/>
        </w:rPr>
      </w:pPr>
      <w:bookmarkStart w:id="5" w:name="_Toc2983"/>
      <w:bookmarkStart w:id="6" w:name="_Toc22435"/>
      <w:bookmarkStart w:id="7" w:name="_Toc28205"/>
    </w:p>
    <w:p w14:paraId="1A4A8C42">
      <w:pPr>
        <w:pStyle w:val="54"/>
        <w:tabs>
          <w:tab w:val="left" w:pos="993"/>
        </w:tabs>
        <w:jc w:val="center"/>
        <w:rPr>
          <w:rFonts w:hint="eastAsia" w:ascii="宋体" w:hAnsi="宋体" w:cs="宋体"/>
          <w:b/>
          <w:sz w:val="44"/>
          <w:szCs w:val="44"/>
        </w:rPr>
        <w:sectPr>
          <w:footerReference r:id="rId3" w:type="default"/>
          <w:pgSz w:w="11906" w:h="16839"/>
          <w:pgMar w:top="1457" w:right="1219" w:bottom="1176" w:left="1502" w:header="680" w:footer="454" w:gutter="0"/>
          <w:pgNumType w:fmt="decimal"/>
          <w:cols w:space="720" w:num="1"/>
        </w:sectPr>
      </w:pPr>
    </w:p>
    <w:p w14:paraId="3C633A4F">
      <w:pPr>
        <w:pStyle w:val="54"/>
        <w:tabs>
          <w:tab w:val="left" w:pos="993"/>
        </w:tabs>
        <w:jc w:val="center"/>
        <w:rPr>
          <w:rFonts w:ascii="宋体" w:hAnsi="宋体" w:cs="宋体"/>
          <w:b/>
          <w:sz w:val="44"/>
          <w:szCs w:val="44"/>
        </w:rPr>
      </w:pPr>
      <w:r>
        <w:rPr>
          <w:rFonts w:hint="eastAsia" w:ascii="宋体" w:hAnsi="宋体" w:cs="宋体"/>
          <w:b/>
          <w:sz w:val="44"/>
          <w:szCs w:val="44"/>
        </w:rPr>
        <w:t>目   录</w:t>
      </w:r>
      <w:bookmarkEnd w:id="0"/>
      <w:bookmarkEnd w:id="1"/>
      <w:bookmarkEnd w:id="2"/>
      <w:bookmarkEnd w:id="3"/>
      <w:bookmarkEnd w:id="5"/>
      <w:bookmarkEnd w:id="6"/>
      <w:bookmarkEnd w:id="7"/>
    </w:p>
    <w:p w14:paraId="59E53134">
      <w:pPr>
        <w:pStyle w:val="55"/>
        <w:rPr>
          <w:sz w:val="24"/>
          <w:szCs w:val="15"/>
        </w:rPr>
      </w:pPr>
    </w:p>
    <w:p w14:paraId="67BE95BB">
      <w:pPr>
        <w:spacing w:before="101" w:line="223" w:lineRule="auto"/>
        <w:ind w:left="1637"/>
        <w:rPr>
          <w:rFonts w:ascii="宋体" w:hAnsi="宋体" w:eastAsia="宋体" w:cs="宋体"/>
          <w:sz w:val="31"/>
          <w:szCs w:val="31"/>
        </w:rPr>
      </w:pPr>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hint="eastAsia" w:hAnsi="宋体" w:cs="宋体"/>
          <w:b/>
          <w:bCs/>
          <w:spacing w:val="5"/>
          <w:sz w:val="31"/>
          <w:szCs w:val="31"/>
          <w:lang w:val="en-US" w:eastAsia="zh-CN"/>
        </w:rPr>
        <w:t>竞争性谈判</w:t>
      </w:r>
      <w:r>
        <w:rPr>
          <w:rFonts w:ascii="宋体" w:hAnsi="宋体" w:eastAsia="宋体" w:cs="宋体"/>
          <w:b/>
          <w:bCs/>
          <w:spacing w:val="5"/>
          <w:sz w:val="31"/>
          <w:szCs w:val="31"/>
        </w:rPr>
        <w:t>公告</w:t>
      </w:r>
    </w:p>
    <w:p w14:paraId="58EB92B8">
      <w:pPr>
        <w:pStyle w:val="16"/>
        <w:spacing w:line="362" w:lineRule="auto"/>
      </w:pPr>
    </w:p>
    <w:p w14:paraId="044F1234">
      <w:pPr>
        <w:spacing w:before="100" w:line="224" w:lineRule="auto"/>
        <w:ind w:left="1637"/>
        <w:rPr>
          <w:rFonts w:hint="eastAsia" w:ascii="宋体" w:hAnsi="宋体" w:eastAsia="宋体" w:cs="宋体"/>
          <w:sz w:val="31"/>
          <w:szCs w:val="31"/>
          <w:lang w:val="en-US" w:eastAsia="zh-CN"/>
        </w:rPr>
      </w:pPr>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hint="eastAsia" w:hAnsi="宋体" w:cs="宋体"/>
          <w:b/>
          <w:bCs/>
          <w:spacing w:val="5"/>
          <w:sz w:val="31"/>
          <w:szCs w:val="31"/>
          <w:lang w:val="en-US" w:eastAsia="zh-CN"/>
        </w:rPr>
        <w:t>供应商须知及前附表</w:t>
      </w:r>
    </w:p>
    <w:p w14:paraId="3EB3B574">
      <w:pPr>
        <w:pStyle w:val="16"/>
        <w:spacing w:line="360" w:lineRule="auto"/>
      </w:pPr>
    </w:p>
    <w:p w14:paraId="51912094">
      <w:pPr>
        <w:spacing w:before="101" w:line="224" w:lineRule="auto"/>
        <w:ind w:left="1637"/>
        <w:rPr>
          <w:rFonts w:ascii="宋体" w:hAnsi="宋体" w:eastAsia="宋体" w:cs="宋体"/>
          <w:sz w:val="31"/>
          <w:szCs w:val="31"/>
        </w:rPr>
      </w:pP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hint="eastAsia" w:ascii="宋体" w:hAnsi="宋体" w:eastAsia="宋体" w:cs="宋体"/>
          <w:b/>
          <w:bCs/>
          <w:spacing w:val="6"/>
          <w:sz w:val="31"/>
          <w:szCs w:val="31"/>
        </w:rPr>
        <w:t>主要商务条款</w:t>
      </w:r>
    </w:p>
    <w:p w14:paraId="1FA8434A">
      <w:pPr>
        <w:pStyle w:val="16"/>
        <w:spacing w:line="360" w:lineRule="auto"/>
      </w:pPr>
    </w:p>
    <w:p w14:paraId="21128E45">
      <w:pPr>
        <w:spacing w:before="101" w:line="223" w:lineRule="auto"/>
        <w:ind w:left="1637"/>
        <w:rPr>
          <w:rFonts w:ascii="宋体" w:hAnsi="宋体" w:eastAsia="宋体" w:cs="宋体"/>
          <w:b/>
          <w:bCs/>
          <w:spacing w:val="5"/>
          <w:sz w:val="31"/>
          <w:szCs w:val="31"/>
        </w:rPr>
      </w:pPr>
      <w:r>
        <w:rPr>
          <w:rFonts w:ascii="宋体" w:hAnsi="宋体" w:eastAsia="宋体" w:cs="宋体"/>
          <w:b/>
          <w:bCs/>
          <w:spacing w:val="5"/>
          <w:sz w:val="31"/>
          <w:szCs w:val="31"/>
        </w:rPr>
        <w:t>第四章  采购需求</w:t>
      </w:r>
    </w:p>
    <w:p w14:paraId="55771C0D">
      <w:pPr>
        <w:spacing w:before="101" w:line="223" w:lineRule="auto"/>
        <w:ind w:left="1637"/>
        <w:rPr>
          <w:rFonts w:hint="eastAsia" w:hAnsi="宋体" w:cs="宋体"/>
          <w:b/>
          <w:bCs/>
          <w:spacing w:val="5"/>
          <w:sz w:val="31"/>
          <w:szCs w:val="31"/>
          <w:lang w:val="en-US" w:eastAsia="zh-CN"/>
        </w:rPr>
      </w:pPr>
    </w:p>
    <w:p w14:paraId="4D6653F3">
      <w:pPr>
        <w:spacing w:before="101" w:line="223" w:lineRule="auto"/>
        <w:ind w:left="1637"/>
        <w:rPr>
          <w:rFonts w:ascii="宋体" w:hAnsi="宋体" w:eastAsia="宋体" w:cs="宋体"/>
          <w:b/>
          <w:bCs/>
          <w:spacing w:val="5"/>
          <w:sz w:val="31"/>
          <w:szCs w:val="31"/>
        </w:rPr>
      </w:pPr>
      <w:r>
        <w:rPr>
          <w:rFonts w:hint="eastAsia" w:hAnsi="宋体" w:cs="宋体"/>
          <w:b/>
          <w:bCs/>
          <w:spacing w:val="5"/>
          <w:sz w:val="31"/>
          <w:szCs w:val="31"/>
          <w:lang w:val="en-US" w:eastAsia="zh-CN"/>
        </w:rPr>
        <w:t xml:space="preserve">第五章  </w:t>
      </w:r>
      <w:r>
        <w:rPr>
          <w:rFonts w:hint="eastAsia" w:ascii="宋体" w:hAnsi="宋体" w:eastAsia="宋体" w:cs="宋体"/>
          <w:b/>
          <w:bCs/>
          <w:spacing w:val="5"/>
          <w:sz w:val="31"/>
          <w:szCs w:val="31"/>
        </w:rPr>
        <w:t>签订的合同条款</w:t>
      </w:r>
      <w:r>
        <w:rPr>
          <w:rFonts w:ascii="宋体" w:hAnsi="宋体" w:eastAsia="宋体" w:cs="宋体"/>
          <w:b/>
          <w:bCs/>
          <w:spacing w:val="5"/>
          <w:sz w:val="31"/>
          <w:szCs w:val="31"/>
        </w:rPr>
        <w:t xml:space="preserve"> </w:t>
      </w:r>
    </w:p>
    <w:p w14:paraId="2BA50A13">
      <w:pPr>
        <w:spacing w:before="101" w:line="223" w:lineRule="auto"/>
        <w:ind w:left="1637"/>
        <w:rPr>
          <w:rFonts w:ascii="宋体" w:hAnsi="宋体" w:eastAsia="宋体" w:cs="宋体"/>
          <w:b/>
          <w:bCs/>
          <w:spacing w:val="5"/>
          <w:sz w:val="31"/>
          <w:szCs w:val="31"/>
        </w:rPr>
      </w:pPr>
    </w:p>
    <w:p w14:paraId="68185DB2">
      <w:pPr>
        <w:spacing w:before="101" w:line="223" w:lineRule="auto"/>
        <w:ind w:left="1637"/>
        <w:rPr>
          <w:rFonts w:ascii="宋体" w:hAnsi="宋体" w:eastAsia="宋体" w:cs="宋体"/>
          <w:b/>
          <w:bCs/>
          <w:spacing w:val="5"/>
          <w:sz w:val="31"/>
          <w:szCs w:val="31"/>
        </w:rPr>
      </w:pPr>
      <w:r>
        <w:rPr>
          <w:rFonts w:hint="eastAsia" w:ascii="宋体" w:hAnsi="宋体" w:eastAsia="宋体" w:cs="宋体"/>
          <w:b/>
          <w:bCs/>
          <w:spacing w:val="5"/>
          <w:sz w:val="31"/>
          <w:szCs w:val="31"/>
          <w:lang w:val="en-US" w:eastAsia="zh-CN"/>
        </w:rPr>
        <w:t xml:space="preserve">第六章  </w:t>
      </w:r>
      <w:r>
        <w:rPr>
          <w:rFonts w:hint="eastAsia" w:hAnsi="宋体" w:cs="宋体"/>
          <w:b/>
          <w:bCs/>
          <w:spacing w:val="5"/>
          <w:sz w:val="31"/>
          <w:szCs w:val="31"/>
          <w:lang w:val="en-US" w:eastAsia="zh-CN"/>
        </w:rPr>
        <w:t>谈判</w:t>
      </w:r>
      <w:r>
        <w:rPr>
          <w:rFonts w:ascii="宋体" w:hAnsi="宋体" w:eastAsia="宋体" w:cs="宋体"/>
          <w:b/>
          <w:bCs/>
          <w:spacing w:val="5"/>
          <w:sz w:val="31"/>
          <w:szCs w:val="31"/>
        </w:rPr>
        <w:t>响应文件格式</w:t>
      </w:r>
    </w:p>
    <w:p w14:paraId="0A8717E1">
      <w:pPr>
        <w:spacing w:before="101" w:line="223" w:lineRule="auto"/>
        <w:ind w:left="1637"/>
        <w:rPr>
          <w:rFonts w:ascii="宋体" w:hAnsi="宋体" w:eastAsia="宋体" w:cs="宋体"/>
          <w:b/>
          <w:bCs/>
          <w:spacing w:val="5"/>
          <w:sz w:val="31"/>
          <w:szCs w:val="31"/>
        </w:rPr>
      </w:pPr>
    </w:p>
    <w:p w14:paraId="36D5F3AA">
      <w:pPr>
        <w:pStyle w:val="54"/>
        <w:numPr>
          <w:ilvl w:val="0"/>
          <w:numId w:val="0"/>
        </w:numPr>
        <w:spacing w:line="240" w:lineRule="auto"/>
        <w:jc w:val="center"/>
        <w:outlineLvl w:val="0"/>
        <w:rPr>
          <w:rFonts w:hint="eastAsia" w:ascii="Arial" w:hAnsi="宋体" w:eastAsia="宋体" w:cs="宋体"/>
          <w:b/>
          <w:bCs/>
          <w:kern w:val="44"/>
          <w:sz w:val="44"/>
          <w:szCs w:val="44"/>
          <w:lang w:val="en-US" w:eastAsia="zh-CN" w:bidi="ar-SA"/>
        </w:rPr>
      </w:pPr>
    </w:p>
    <w:p w14:paraId="3D9D309C">
      <w:pPr>
        <w:pStyle w:val="54"/>
        <w:numPr>
          <w:ilvl w:val="0"/>
          <w:numId w:val="0"/>
        </w:numPr>
        <w:spacing w:line="240" w:lineRule="auto"/>
        <w:jc w:val="center"/>
        <w:outlineLvl w:val="0"/>
        <w:rPr>
          <w:rFonts w:hint="eastAsia" w:ascii="Arial" w:hAnsi="宋体" w:eastAsia="宋体" w:cs="宋体"/>
          <w:b/>
          <w:bCs/>
          <w:kern w:val="44"/>
          <w:sz w:val="44"/>
          <w:szCs w:val="44"/>
          <w:lang w:val="en-US" w:eastAsia="zh-CN" w:bidi="ar-SA"/>
        </w:rPr>
      </w:pPr>
    </w:p>
    <w:p w14:paraId="1C75CEC7">
      <w:pPr>
        <w:pStyle w:val="54"/>
        <w:numPr>
          <w:ilvl w:val="0"/>
          <w:numId w:val="0"/>
        </w:numPr>
        <w:spacing w:line="240" w:lineRule="auto"/>
        <w:jc w:val="center"/>
        <w:outlineLvl w:val="0"/>
        <w:rPr>
          <w:rFonts w:hint="eastAsia" w:ascii="Arial" w:hAnsi="宋体" w:eastAsia="宋体" w:cs="宋体"/>
          <w:b/>
          <w:bCs/>
          <w:kern w:val="44"/>
          <w:sz w:val="44"/>
          <w:szCs w:val="44"/>
          <w:lang w:val="en-US" w:eastAsia="zh-CN" w:bidi="ar-SA"/>
        </w:rPr>
      </w:pPr>
    </w:p>
    <w:p w14:paraId="5FE1CF36">
      <w:pPr>
        <w:pStyle w:val="54"/>
        <w:numPr>
          <w:ilvl w:val="0"/>
          <w:numId w:val="0"/>
        </w:numPr>
        <w:spacing w:line="240" w:lineRule="auto"/>
        <w:jc w:val="center"/>
        <w:outlineLvl w:val="0"/>
        <w:rPr>
          <w:rFonts w:hint="eastAsia" w:ascii="Arial" w:hAnsi="宋体" w:eastAsia="宋体" w:cs="宋体"/>
          <w:b/>
          <w:bCs/>
          <w:kern w:val="44"/>
          <w:sz w:val="44"/>
          <w:szCs w:val="44"/>
          <w:lang w:val="en-US" w:eastAsia="zh-CN" w:bidi="ar-SA"/>
        </w:rPr>
      </w:pPr>
    </w:p>
    <w:p w14:paraId="368852DB">
      <w:pPr>
        <w:pStyle w:val="54"/>
        <w:numPr>
          <w:ilvl w:val="0"/>
          <w:numId w:val="0"/>
        </w:numPr>
        <w:spacing w:line="240" w:lineRule="auto"/>
        <w:jc w:val="center"/>
        <w:outlineLvl w:val="0"/>
        <w:rPr>
          <w:rFonts w:hint="eastAsia" w:ascii="Arial" w:hAnsi="宋体" w:eastAsia="宋体" w:cs="宋体"/>
          <w:b/>
          <w:bCs/>
          <w:kern w:val="44"/>
          <w:sz w:val="44"/>
          <w:szCs w:val="44"/>
          <w:lang w:val="en-US" w:eastAsia="zh-CN" w:bidi="ar-SA"/>
        </w:rPr>
      </w:pPr>
    </w:p>
    <w:p w14:paraId="707AA6F2">
      <w:pPr>
        <w:pStyle w:val="54"/>
        <w:numPr>
          <w:ilvl w:val="0"/>
          <w:numId w:val="0"/>
        </w:numPr>
        <w:spacing w:line="240" w:lineRule="auto"/>
        <w:jc w:val="both"/>
        <w:outlineLvl w:val="0"/>
        <w:rPr>
          <w:rFonts w:hint="eastAsia" w:hAnsi="宋体" w:cs="宋体"/>
          <w:b/>
          <w:bCs/>
          <w:kern w:val="44"/>
          <w:sz w:val="44"/>
          <w:szCs w:val="44"/>
          <w:lang w:val="en-US" w:eastAsia="zh-CN" w:bidi="ar-SA"/>
        </w:rPr>
      </w:pPr>
    </w:p>
    <w:p w14:paraId="7E20AA54">
      <w:pPr>
        <w:pStyle w:val="55"/>
        <w:rPr>
          <w:rFonts w:hint="default"/>
          <w:lang w:val="en-US" w:eastAsia="zh-CN"/>
        </w:rPr>
      </w:pPr>
    </w:p>
    <w:p w14:paraId="258C0ED5">
      <w:pPr>
        <w:pStyle w:val="55"/>
        <w:rPr>
          <w:rFonts w:hint="eastAsia"/>
          <w:lang w:val="en-US" w:eastAsia="zh-CN"/>
        </w:rPr>
      </w:pPr>
    </w:p>
    <w:p w14:paraId="572C28D2">
      <w:pPr>
        <w:pStyle w:val="54"/>
        <w:numPr>
          <w:ilvl w:val="0"/>
          <w:numId w:val="0"/>
        </w:numPr>
        <w:spacing w:line="240" w:lineRule="auto"/>
        <w:jc w:val="center"/>
        <w:outlineLvl w:val="0"/>
        <w:rPr>
          <w:rFonts w:hint="eastAsia" w:ascii="Arial" w:hAnsi="宋体" w:eastAsia="宋体" w:cs="宋体"/>
          <w:b/>
          <w:bCs/>
          <w:kern w:val="44"/>
          <w:sz w:val="44"/>
          <w:szCs w:val="44"/>
          <w:lang w:val="en-US" w:eastAsia="zh-CN" w:bidi="ar-SA"/>
        </w:rPr>
      </w:pPr>
    </w:p>
    <w:p w14:paraId="0A433D33">
      <w:pPr>
        <w:pStyle w:val="54"/>
        <w:numPr>
          <w:ilvl w:val="0"/>
          <w:numId w:val="0"/>
        </w:numPr>
        <w:spacing w:line="240" w:lineRule="auto"/>
        <w:jc w:val="center"/>
        <w:outlineLvl w:val="0"/>
        <w:rPr>
          <w:rFonts w:hint="eastAsia" w:ascii="Arial" w:hAnsi="宋体" w:eastAsia="宋体" w:cs="宋体"/>
          <w:b/>
          <w:bCs/>
          <w:kern w:val="44"/>
          <w:sz w:val="44"/>
          <w:szCs w:val="44"/>
          <w:lang w:val="en-US" w:eastAsia="zh-CN" w:bidi="ar-SA"/>
        </w:rPr>
      </w:pPr>
    </w:p>
    <w:p w14:paraId="7C982D43">
      <w:pPr>
        <w:pStyle w:val="54"/>
        <w:numPr>
          <w:ilvl w:val="0"/>
          <w:numId w:val="0"/>
        </w:numPr>
        <w:spacing w:line="240" w:lineRule="auto"/>
        <w:jc w:val="center"/>
        <w:outlineLvl w:val="0"/>
        <w:rPr>
          <w:rFonts w:hint="eastAsia" w:ascii="Arial" w:hAnsi="宋体" w:eastAsia="宋体" w:cs="宋体"/>
          <w:b/>
          <w:bCs/>
          <w:kern w:val="44"/>
          <w:sz w:val="44"/>
          <w:szCs w:val="44"/>
          <w:lang w:val="en-US" w:eastAsia="zh-CN" w:bidi="ar-SA"/>
        </w:rPr>
      </w:pPr>
    </w:p>
    <w:p w14:paraId="308D5396">
      <w:pPr>
        <w:pStyle w:val="54"/>
        <w:numPr>
          <w:ilvl w:val="0"/>
          <w:numId w:val="0"/>
        </w:numPr>
        <w:spacing w:line="240" w:lineRule="auto"/>
        <w:jc w:val="center"/>
        <w:outlineLvl w:val="0"/>
        <w:rPr>
          <w:rFonts w:hint="eastAsia" w:ascii="Arial" w:hAnsi="宋体" w:eastAsia="宋体" w:cs="宋体"/>
          <w:b/>
          <w:bCs/>
          <w:kern w:val="44"/>
          <w:sz w:val="44"/>
          <w:szCs w:val="44"/>
          <w:lang w:val="en-US" w:eastAsia="zh-CN" w:bidi="ar-SA"/>
        </w:rPr>
      </w:pPr>
    </w:p>
    <w:p w14:paraId="276152BE">
      <w:pPr>
        <w:pStyle w:val="54"/>
        <w:numPr>
          <w:ilvl w:val="0"/>
          <w:numId w:val="0"/>
        </w:numPr>
        <w:spacing w:line="240" w:lineRule="auto"/>
        <w:jc w:val="center"/>
        <w:outlineLvl w:val="0"/>
        <w:rPr>
          <w:rFonts w:hint="eastAsia" w:ascii="Arial" w:hAnsi="宋体" w:eastAsia="宋体" w:cs="宋体"/>
          <w:b/>
          <w:bCs/>
          <w:kern w:val="44"/>
          <w:sz w:val="36"/>
          <w:szCs w:val="36"/>
          <w:lang w:val="en-US" w:eastAsia="zh-CN" w:bidi="ar-SA"/>
        </w:rPr>
      </w:pPr>
    </w:p>
    <w:p w14:paraId="1C9023DF">
      <w:pPr>
        <w:pStyle w:val="54"/>
        <w:numPr>
          <w:ilvl w:val="0"/>
          <w:numId w:val="0"/>
        </w:numPr>
        <w:spacing w:line="240" w:lineRule="auto"/>
        <w:jc w:val="center"/>
        <w:outlineLvl w:val="0"/>
        <w:rPr>
          <w:rFonts w:hint="eastAsia" w:ascii="Arial" w:hAnsi="宋体" w:eastAsia="宋体" w:cs="宋体"/>
          <w:b/>
          <w:bCs/>
          <w:kern w:val="44"/>
          <w:sz w:val="36"/>
          <w:szCs w:val="36"/>
          <w:lang w:val="en-US" w:eastAsia="zh-CN" w:bidi="ar-SA"/>
        </w:rPr>
      </w:pPr>
    </w:p>
    <w:p w14:paraId="010275A4">
      <w:pPr>
        <w:pStyle w:val="54"/>
        <w:keepNext w:val="0"/>
        <w:keepLines w:val="0"/>
        <w:pageBreakBefore w:val="0"/>
        <w:widowControl w:val="0"/>
        <w:numPr>
          <w:ilvl w:val="0"/>
          <w:numId w:val="0"/>
        </w:numPr>
        <w:kinsoku/>
        <w:wordWrap/>
        <w:overflowPunct/>
        <w:topLinePunct w:val="0"/>
        <w:autoSpaceDE/>
        <w:autoSpaceDN/>
        <w:bidi w:val="0"/>
        <w:adjustRightInd/>
        <w:spacing w:line="480" w:lineRule="exact"/>
        <w:jc w:val="center"/>
        <w:outlineLvl w:val="0"/>
        <w:rPr>
          <w:rFonts w:hAnsi="宋体" w:cs="宋体"/>
          <w:b/>
          <w:bCs/>
          <w:kern w:val="44"/>
          <w:sz w:val="36"/>
          <w:szCs w:val="36"/>
        </w:rPr>
      </w:pPr>
      <w:r>
        <w:rPr>
          <w:rFonts w:hint="eastAsia" w:ascii="Arial" w:hAnsi="宋体" w:eastAsia="宋体" w:cs="宋体"/>
          <w:b/>
          <w:bCs/>
          <w:kern w:val="44"/>
          <w:sz w:val="36"/>
          <w:szCs w:val="36"/>
          <w:lang w:val="en-US" w:eastAsia="zh-CN" w:bidi="ar-SA"/>
        </w:rPr>
        <w:t>第一章</w:t>
      </w:r>
      <w:bookmarkStart w:id="8" w:name="_Toc1253"/>
      <w:r>
        <w:rPr>
          <w:rFonts w:hint="eastAsia" w:hAnsi="宋体" w:cs="宋体"/>
          <w:b/>
          <w:bCs/>
          <w:kern w:val="44"/>
          <w:sz w:val="36"/>
          <w:szCs w:val="36"/>
          <w:lang w:val="en-US" w:eastAsia="zh-CN" w:bidi="ar-SA"/>
        </w:rPr>
        <w:t xml:space="preserve"> 竞争性</w:t>
      </w:r>
      <w:r>
        <w:rPr>
          <w:rFonts w:hint="eastAsia" w:hAnsi="宋体" w:cs="宋体"/>
          <w:b/>
          <w:bCs/>
          <w:kern w:val="44"/>
          <w:sz w:val="36"/>
          <w:szCs w:val="36"/>
          <w:lang w:val="en-US" w:eastAsia="zh-CN"/>
        </w:rPr>
        <w:t>谈判</w:t>
      </w:r>
      <w:r>
        <w:rPr>
          <w:rFonts w:hint="eastAsia" w:hAnsi="宋体" w:cs="宋体"/>
          <w:b/>
          <w:bCs/>
          <w:kern w:val="44"/>
          <w:sz w:val="36"/>
          <w:szCs w:val="36"/>
        </w:rPr>
        <w:t>公告</w:t>
      </w:r>
      <w:bookmarkEnd w:id="8"/>
    </w:p>
    <w:p w14:paraId="2FBAE725">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bookmarkStart w:id="9" w:name="_Toc217446033"/>
      <w:bookmarkStart w:id="10" w:name="_Toc183682341"/>
      <w:bookmarkStart w:id="11" w:name="_Toc89075873"/>
      <w:bookmarkStart w:id="12" w:name="_Toc77400778"/>
      <w:bookmarkStart w:id="13" w:name="_Toc183582204"/>
      <w:bookmarkStart w:id="14" w:name="_Toc183682339"/>
      <w:bookmarkStart w:id="15" w:name="_Toc213396759"/>
      <w:bookmarkStart w:id="16" w:name="_Toc77400776"/>
      <w:bookmarkStart w:id="17" w:name="_Toc89075871"/>
      <w:bookmarkStart w:id="18" w:name="_Toc217446031"/>
      <w:bookmarkStart w:id="19" w:name="_Toc213397009"/>
      <w:bookmarkStart w:id="20" w:name="_Toc213496267"/>
      <w:bookmarkStart w:id="21" w:name="_Toc213396945"/>
      <w:bookmarkStart w:id="22" w:name="_Toc183582202"/>
      <w:r>
        <w:rPr>
          <w:rFonts w:hint="eastAsia" w:ascii="宋体" w:hAnsi="宋体" w:eastAsia="宋体" w:cs="宋体"/>
          <w:sz w:val="28"/>
          <w:szCs w:val="28"/>
        </w:rPr>
        <w:t>镇坪县2025年林业有害生物防治项目采购项目的潜在供应商应在全国公共资源交易平台（陕西省安康市）获取采购文件，并于 2025年09月08日 16时00分 （北京时间）前提交响应文件。</w:t>
      </w:r>
    </w:p>
    <w:p w14:paraId="5AC98D9B">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一、项目基本情况</w:t>
      </w:r>
    </w:p>
    <w:p w14:paraId="4B214C18">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项目编号：TCZB-AK-2025-033</w:t>
      </w:r>
    </w:p>
    <w:p w14:paraId="778145AE">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项目名称：镇坪县2025年林业有害生物防治项目</w:t>
      </w:r>
    </w:p>
    <w:p w14:paraId="39FE0F4F">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采购方式：竞争性谈判</w:t>
      </w:r>
    </w:p>
    <w:p w14:paraId="5A097817">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预算金额：500,000.00元</w:t>
      </w:r>
    </w:p>
    <w:p w14:paraId="692FCC19">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rPr>
        <w:t>采购需求：</w:t>
      </w:r>
    </w:p>
    <w:p w14:paraId="15DE6011">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rPr>
        <w:t>合同包1(镇坪县2025年林业有害生物防治项目):</w:t>
      </w:r>
    </w:p>
    <w:p w14:paraId="2526CD59">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rPr>
        <w:t>合同包预算金额：500,000.00元</w:t>
      </w:r>
    </w:p>
    <w:p w14:paraId="76E2E9BF">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rPr>
        <w:t>合同包最高限价：500,000.00元</w:t>
      </w:r>
    </w:p>
    <w:tbl>
      <w:tblPr>
        <w:tblStyle w:val="37"/>
        <w:tblW w:w="94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8"/>
        <w:gridCol w:w="2433"/>
        <w:gridCol w:w="2075"/>
        <w:gridCol w:w="940"/>
        <w:gridCol w:w="1650"/>
        <w:gridCol w:w="1640"/>
      </w:tblGrid>
      <w:tr w14:paraId="392A03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2" w:hRule="atLeast"/>
          <w:tblHeader/>
        </w:trPr>
        <w:tc>
          <w:tcPr>
            <w:tcW w:w="6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91851E">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品目号</w:t>
            </w:r>
          </w:p>
        </w:tc>
        <w:tc>
          <w:tcPr>
            <w:tcW w:w="2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F536D6">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品目名称</w:t>
            </w:r>
          </w:p>
        </w:tc>
        <w:tc>
          <w:tcPr>
            <w:tcW w:w="2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15405">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采购标的</w:t>
            </w:r>
          </w:p>
        </w:tc>
        <w:tc>
          <w:tcPr>
            <w:tcW w:w="8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C3F890">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数量（单位）</w:t>
            </w:r>
          </w:p>
        </w:tc>
        <w:tc>
          <w:tcPr>
            <w:tcW w:w="17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221C22">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技术规格、参数及要求</w:t>
            </w:r>
          </w:p>
        </w:tc>
        <w:tc>
          <w:tcPr>
            <w:tcW w:w="10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50E393">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品目预算(元)</w:t>
            </w:r>
          </w:p>
        </w:tc>
      </w:tr>
      <w:tr w14:paraId="2A4C05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81D720">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70AED6">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林业有害生物防治服务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788713">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林业</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157233">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75C7E8">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2D2775">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500,000.00</w:t>
            </w:r>
          </w:p>
        </w:tc>
      </w:tr>
    </w:tbl>
    <w:p w14:paraId="2A89B06D">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本合同包不接受联合体投标</w:t>
      </w:r>
    </w:p>
    <w:p w14:paraId="617AAF5D">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合同履行期限：合同签订日期起至2026年5月</w:t>
      </w:r>
    </w:p>
    <w:p w14:paraId="1DDDC595">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二、申请人的资格要求：</w:t>
      </w:r>
    </w:p>
    <w:p w14:paraId="347AC07F">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7AA430A9">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14:paraId="6ED9F3BF">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合同包1(镇坪县2025年林业有害生物防治项目)落实政府采购政策需满足的资格要求如下:</w:t>
      </w:r>
    </w:p>
    <w:p w14:paraId="16D8F7A6">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关于在政府采购活动中查询及使用信用记录有关问题的通知》（财库〔2016〕125号）。（2）《政府采购促进中小企业发展办法》（财库〔2020〕46号）、《关于政府采购支持监狱企业发展有关问题的通知》（财库〔2014〕68号）、《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陕西省中小企业政府采购信用融资办法》（陕财办采〔2018〕23号），有融资意向的投标企业请自行登录陕西省政府采购信用融资平台完善相关信息，http://www.ccgpshaanxi.gov.cn/zcdservice/zcd/shanxi/。（5）《财政部国务院扶贫办关于运用政府采购政策支持脱贫攻坚的通知》--财库〔2019〕27号；（6）其他需要落实的政府采购政策。</w:t>
      </w:r>
    </w:p>
    <w:p w14:paraId="463164AA">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3.本项目的特定资格要求：</w:t>
      </w:r>
    </w:p>
    <w:p w14:paraId="11C57DDA">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合同包1(镇坪县2025年林业有害生物防治项目)特定资格要求如下:</w:t>
      </w:r>
    </w:p>
    <w:p w14:paraId="70CAF043">
      <w:pPr>
        <w:keepNext w:val="0"/>
        <w:keepLines w:val="0"/>
        <w:pageBreakBefore w:val="0"/>
        <w:widowControl w:val="0"/>
        <w:numPr>
          <w:ilvl w:val="0"/>
          <w:numId w:val="0"/>
        </w:numPr>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bidi="ar-SA"/>
        </w:rPr>
        <w:t>（1）</w:t>
      </w:r>
      <w:r>
        <w:rPr>
          <w:rFonts w:hint="eastAsia" w:ascii="宋体" w:hAnsi="宋体" w:eastAsia="宋体" w:cs="宋体"/>
          <w:sz w:val="28"/>
          <w:szCs w:val="28"/>
        </w:rPr>
        <w:t>供应商应具有独立承担民事责任的能力：提供营业执照、税务登记证、组织机构代码证或登载有统一社会信用代码的营业执照（或《事业单位法人证书》或其他合法组织登记证书、自然人只须提交身份证)；   </w:t>
      </w:r>
    </w:p>
    <w:p w14:paraId="20DD4201">
      <w:pPr>
        <w:keepNext w:val="0"/>
        <w:keepLines w:val="0"/>
        <w:pageBreakBefore w:val="0"/>
        <w:widowControl w:val="0"/>
        <w:numPr>
          <w:ilvl w:val="0"/>
          <w:numId w:val="0"/>
        </w:numPr>
        <w:kinsoku/>
        <w:wordWrap/>
        <w:overflowPunct/>
        <w:topLinePunct w:val="0"/>
        <w:autoSpaceDE/>
        <w:autoSpaceDN/>
        <w:bidi w:val="0"/>
        <w:adjustRightInd/>
        <w:spacing w:line="48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bidi="ar-SA"/>
        </w:rPr>
        <w:t>（2）</w:t>
      </w:r>
      <w:r>
        <w:rPr>
          <w:rFonts w:hint="eastAsia" w:ascii="宋体" w:hAnsi="宋体" w:eastAsia="宋体" w:cs="宋体"/>
          <w:sz w:val="28"/>
          <w:szCs w:val="28"/>
        </w:rPr>
        <w:t>供应商应授权合法的人员参加投标：其中法定代表人直接参加投标，须出具法人身份证复印件，并与营业执照上信息一致，法定代表人授权代表参加投标，须出具法定代表人授权书及授权代表身份证复印件；</w:t>
      </w:r>
    </w:p>
    <w:p w14:paraId="3985AFD5">
      <w:pPr>
        <w:keepNext w:val="0"/>
        <w:keepLines w:val="0"/>
        <w:pageBreakBefore w:val="0"/>
        <w:widowControl w:val="0"/>
        <w:numPr>
          <w:ilvl w:val="0"/>
          <w:numId w:val="0"/>
        </w:numPr>
        <w:kinsoku/>
        <w:wordWrap/>
        <w:overflowPunct/>
        <w:topLinePunct w:val="0"/>
        <w:autoSpaceDE/>
        <w:autoSpaceDN/>
        <w:bidi w:val="0"/>
        <w:adjustRightInd/>
        <w:spacing w:line="48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bidi="ar-SA"/>
        </w:rPr>
        <w:t>（3）</w:t>
      </w:r>
      <w:r>
        <w:rPr>
          <w:rFonts w:hint="eastAsia" w:ascii="宋体" w:hAnsi="宋体" w:eastAsia="宋体" w:cs="宋体"/>
          <w:sz w:val="28"/>
          <w:szCs w:val="28"/>
        </w:rPr>
        <w:t>供应商具有陕西省林业有害生物防治丙级及以上资质；</w:t>
      </w:r>
    </w:p>
    <w:p w14:paraId="02A4147C">
      <w:pPr>
        <w:keepNext w:val="0"/>
        <w:keepLines w:val="0"/>
        <w:pageBreakBefore w:val="0"/>
        <w:widowControl w:val="0"/>
        <w:numPr>
          <w:ilvl w:val="0"/>
          <w:numId w:val="0"/>
        </w:numPr>
        <w:kinsoku/>
        <w:wordWrap/>
        <w:overflowPunct/>
        <w:topLinePunct w:val="0"/>
        <w:autoSpaceDE/>
        <w:autoSpaceDN/>
        <w:bidi w:val="0"/>
        <w:adjustRightInd/>
        <w:spacing w:line="48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bidi="ar-SA"/>
        </w:rPr>
        <w:t>（4）</w:t>
      </w:r>
      <w:r>
        <w:rPr>
          <w:rFonts w:hint="eastAsia" w:ascii="宋体" w:hAnsi="宋体" w:eastAsia="宋体" w:cs="宋体"/>
          <w:sz w:val="28"/>
          <w:szCs w:val="28"/>
        </w:rPr>
        <w:t>投标供应商具有良好的商业信誉和健全的财务会计制度（提供或2024年财务审计报告或开户银行出具的近半年资信证明）；</w:t>
      </w:r>
    </w:p>
    <w:p w14:paraId="76AC2E09">
      <w:pPr>
        <w:keepNext w:val="0"/>
        <w:keepLines w:val="0"/>
        <w:pageBreakBefore w:val="0"/>
        <w:widowControl w:val="0"/>
        <w:numPr>
          <w:ilvl w:val="0"/>
          <w:numId w:val="0"/>
        </w:numPr>
        <w:kinsoku/>
        <w:wordWrap/>
        <w:overflowPunct/>
        <w:topLinePunct w:val="0"/>
        <w:autoSpaceDE/>
        <w:autoSpaceDN/>
        <w:bidi w:val="0"/>
        <w:adjustRightInd/>
        <w:spacing w:line="48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bidi="ar-SA"/>
        </w:rPr>
        <w:t>（5）</w:t>
      </w:r>
      <w:r>
        <w:rPr>
          <w:rFonts w:hint="eastAsia" w:ascii="宋体" w:hAnsi="宋体" w:eastAsia="宋体" w:cs="宋体"/>
          <w:sz w:val="28"/>
          <w:szCs w:val="28"/>
        </w:rPr>
        <w:t>依法缴纳税收和社会保障资金的良好记录【供应商提供开标截止时间前6个月内至少已缴存1个月的完税证明（依法免税的供应商应提供相关文件证明）和社保缴纳证明（专用收据或社会保险缴纳清单或参保缴费证明，依法不需要缴纳社会保障资金的供应商应提供相关文件证明）】；</w:t>
      </w:r>
      <w:r>
        <w:rPr>
          <w:rFonts w:hint="eastAsia" w:ascii="宋体" w:hAnsi="宋体" w:eastAsia="宋体" w:cs="宋体"/>
          <w:sz w:val="28"/>
          <w:szCs w:val="28"/>
        </w:rPr>
        <w:br w:type="textWrapping"/>
      </w:r>
      <w:r>
        <w:rPr>
          <w:rFonts w:hint="eastAsia" w:ascii="宋体" w:hAnsi="宋体" w:eastAsia="宋体" w:cs="宋体"/>
          <w:sz w:val="28"/>
          <w:szCs w:val="28"/>
        </w:rPr>
        <w:t>  （6）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p>
    <w:p w14:paraId="1B4009F5">
      <w:pPr>
        <w:keepNext w:val="0"/>
        <w:keepLines w:val="0"/>
        <w:pageBreakBefore w:val="0"/>
        <w:widowControl w:val="0"/>
        <w:numPr>
          <w:ilvl w:val="0"/>
          <w:numId w:val="0"/>
        </w:numPr>
        <w:kinsoku/>
        <w:wordWrap/>
        <w:overflowPunct/>
        <w:topLinePunct w:val="0"/>
        <w:autoSpaceDE/>
        <w:autoSpaceDN/>
        <w:bidi w:val="0"/>
        <w:adjustRightInd/>
        <w:spacing w:line="48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bidi="ar-SA"/>
        </w:rPr>
        <w:t>（7）</w:t>
      </w:r>
      <w:r>
        <w:rPr>
          <w:rFonts w:hint="eastAsia" w:ascii="宋体" w:hAnsi="宋体" w:eastAsia="宋体" w:cs="宋体"/>
          <w:sz w:val="28"/>
          <w:szCs w:val="28"/>
        </w:rPr>
        <w:t>参加政府采购活动近3年内在经营活动中没有重大违法记录的书面声明（供应商自行出具声明书并加盖公章）；</w:t>
      </w:r>
    </w:p>
    <w:p w14:paraId="5036FA5D">
      <w:pPr>
        <w:keepNext w:val="0"/>
        <w:keepLines w:val="0"/>
        <w:pageBreakBefore w:val="0"/>
        <w:widowControl w:val="0"/>
        <w:numPr>
          <w:ilvl w:val="0"/>
          <w:numId w:val="0"/>
        </w:numPr>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本项目专门面向中小企业采购，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6CB68CC4">
      <w:pPr>
        <w:keepNext w:val="0"/>
        <w:keepLines w:val="0"/>
        <w:pageBreakBefore w:val="0"/>
        <w:widowControl w:val="0"/>
        <w:numPr>
          <w:ilvl w:val="0"/>
          <w:numId w:val="0"/>
        </w:numPr>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（9）具备履行合同所必须的设备和专业技术能力的书面声明。</w:t>
      </w:r>
      <w:r>
        <w:rPr>
          <w:rFonts w:hint="eastAsia" w:ascii="宋体" w:hAnsi="宋体" w:eastAsia="宋体" w:cs="宋体"/>
          <w:sz w:val="28"/>
          <w:szCs w:val="28"/>
        </w:rPr>
        <w:br w:type="textWrapping"/>
      </w:r>
      <w:r>
        <w:rPr>
          <w:rFonts w:hint="eastAsia" w:ascii="宋体" w:hAnsi="宋体" w:eastAsia="宋体" w:cs="宋体"/>
          <w:sz w:val="28"/>
          <w:szCs w:val="28"/>
        </w:rPr>
        <w:t>  （10）本项目不接受联合体投标（提供声明函）。</w:t>
      </w:r>
    </w:p>
    <w:p w14:paraId="3D8483F1">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三、获取采购文件</w:t>
      </w:r>
    </w:p>
    <w:p w14:paraId="36EE2C65">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时间：2025年08月21日至2025年08月25日，每天上午08:00:00至12:00:00，下午14:00:00至18:00:00（北京时间）</w:t>
      </w:r>
    </w:p>
    <w:p w14:paraId="0C4CE9FE">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途径：全国公共资源交易平台（陕西省安康市）</w:t>
      </w:r>
    </w:p>
    <w:p w14:paraId="182CD445">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方式：在线获取</w:t>
      </w:r>
    </w:p>
    <w:p w14:paraId="0B9D1105">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售价： 0元</w:t>
      </w:r>
    </w:p>
    <w:p w14:paraId="5AF1F892">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四、响应文件提交</w:t>
      </w:r>
    </w:p>
    <w:p w14:paraId="2C459C0B">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截止时间： 2025年09月08日 16时00分00秒 （北京时间）</w:t>
      </w:r>
    </w:p>
    <w:p w14:paraId="11857EA0">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地点：全国公共资源交易平台（陕西省安康市）线上提交</w:t>
      </w:r>
    </w:p>
    <w:p w14:paraId="532208F8">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五、开启</w:t>
      </w:r>
    </w:p>
    <w:p w14:paraId="46C658FD">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时间： 2025年09月08日 16时00分00秒 （北京时间）</w:t>
      </w:r>
    </w:p>
    <w:p w14:paraId="573E6563">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地点：本次采用“不见面开标”方式（本项目为线上不见面开标，请于2025年09月08日 16时00分00秒前进入全国公共资源交易平台（陕西省）不见面开标系统进行开标）。http://219.145.206.209/BidOpeningHall/bidopeninghallaction/hall/login</w:t>
      </w:r>
    </w:p>
    <w:p w14:paraId="6D041276">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六、公告期限</w:t>
      </w:r>
    </w:p>
    <w:p w14:paraId="4BDE51B6">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14:paraId="20BE31AE">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七、其他补充事宜</w:t>
      </w:r>
    </w:p>
    <w:p w14:paraId="49F44F11">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1、使用捆绑省交易平台的CA锁登录电子交易平台，通过政府采购系统企业端进入，点击我要投标，完善相关投标信息。</w:t>
      </w:r>
    </w:p>
    <w:p w14:paraId="742EC4A4">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2、未完成网上投标成功的或未经采购代理公司确认或未在规定时间内在平台上下载文件的，导致无法完成后续流程的责任自负。</w:t>
      </w:r>
    </w:p>
    <w:p w14:paraId="5214BC21">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3、本项目采用电子化投标及不见面开标的方式，相关操作流程详见全国公共资源交易平台（陕西省）网站[服务指南-下载专区]中的《陕西省公共资源交易中心政府采购项目投标指南》。</w:t>
      </w:r>
    </w:p>
    <w:p w14:paraId="5AE5AD9A">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4、电子招标文件技术支持：4009280095、4009980000。</w:t>
      </w:r>
    </w:p>
    <w:p w14:paraId="15001982">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八、对本次招标提出询问，请按以下方式联系。</w:t>
      </w:r>
    </w:p>
    <w:p w14:paraId="7530A604">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1.采购人信息</w:t>
      </w:r>
    </w:p>
    <w:p w14:paraId="7948494C">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名称：镇坪县农业林业和水利局（本级）</w:t>
      </w:r>
    </w:p>
    <w:p w14:paraId="4C0FADEE">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地址：城关镇下新街44号</w:t>
      </w:r>
    </w:p>
    <w:p w14:paraId="5E313DB8">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联系方式：13992542465</w:t>
      </w:r>
    </w:p>
    <w:p w14:paraId="0790E90D">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2.采购代理机构信息</w:t>
      </w:r>
    </w:p>
    <w:p w14:paraId="225D83DA">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名称：陕西安康天诚工程项目管理咨询有限公司</w:t>
      </w:r>
    </w:p>
    <w:p w14:paraId="4C455222">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地址：安康市黄沟路兴科明珠商铺4-03</w:t>
      </w:r>
    </w:p>
    <w:p w14:paraId="4F1DEAD2">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联系方式：0915-3256899</w:t>
      </w:r>
    </w:p>
    <w:p w14:paraId="7D3B6F52">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3.项目联系方式</w:t>
      </w:r>
    </w:p>
    <w:p w14:paraId="1AE39578">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项目联系人：陕西安康天诚工程项目管理咨询有限公司</w:t>
      </w:r>
    </w:p>
    <w:p w14:paraId="7AEF0FE8">
      <w:pPr>
        <w:keepNext w:val="0"/>
        <w:keepLines w:val="0"/>
        <w:pageBreakBefore w:val="0"/>
        <w:widowControl w:val="0"/>
        <w:kinsoku/>
        <w:wordWrap/>
        <w:overflowPunct/>
        <w:topLinePunct w:val="0"/>
        <w:autoSpaceDE/>
        <w:autoSpaceDN/>
        <w:bidi w:val="0"/>
        <w:adjustRightInd/>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电话：0915-3256899</w:t>
      </w:r>
    </w:p>
    <w:p w14:paraId="42245C10">
      <w:pPr>
        <w:keepNext w:val="0"/>
        <w:keepLines w:val="0"/>
        <w:pageBreakBefore w:val="0"/>
        <w:widowControl w:val="0"/>
        <w:kinsoku/>
        <w:wordWrap/>
        <w:overflowPunct/>
        <w:topLinePunct w:val="0"/>
        <w:autoSpaceDE/>
        <w:autoSpaceDN/>
        <w:bidi w:val="0"/>
        <w:adjustRightInd/>
        <w:spacing w:line="480" w:lineRule="exact"/>
        <w:jc w:val="right"/>
        <w:rPr>
          <w:rFonts w:hint="eastAsia" w:ascii="宋体" w:hAnsi="宋体" w:eastAsia="宋体" w:cs="宋体"/>
          <w:sz w:val="28"/>
          <w:szCs w:val="28"/>
        </w:rPr>
      </w:pPr>
      <w:r>
        <w:rPr>
          <w:rFonts w:hint="eastAsia" w:ascii="宋体" w:hAnsi="宋体" w:eastAsia="宋体" w:cs="宋体"/>
          <w:sz w:val="28"/>
          <w:szCs w:val="28"/>
        </w:rPr>
        <w:t>陕西安康天诚工程项目管理咨询有限公司</w:t>
      </w:r>
    </w:p>
    <w:p w14:paraId="47F1F79B">
      <w:pPr>
        <w:pStyle w:val="16"/>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2025年08月20日</w:t>
      </w:r>
    </w:p>
    <w:p w14:paraId="612410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p>
    <w:p w14:paraId="74D8EB32">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p>
    <w:p w14:paraId="1424BB75">
      <w:pPr>
        <w:rPr>
          <w:rFonts w:hint="eastAsia"/>
        </w:rPr>
      </w:pPr>
    </w:p>
    <w:p w14:paraId="14F51FAB">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p>
    <w:p w14:paraId="083AB16F">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480" w:lineRule="exact"/>
        <w:textAlignment w:val="baseline"/>
        <w:rPr>
          <w:rFonts w:ascii="仿宋" w:hAnsi="仿宋" w:eastAsia="仿宋" w:cs="仿宋"/>
          <w:b/>
          <w:snapToGrid w:val="0"/>
          <w:color w:val="000000"/>
          <w:sz w:val="28"/>
          <w:szCs w:val="28"/>
        </w:rPr>
      </w:pPr>
      <w:r>
        <w:rPr>
          <w:rFonts w:hint="eastAsia" w:hAnsi="宋体" w:cs="宋体"/>
          <w:snapToGrid w:val="0"/>
          <w:color w:val="000000"/>
          <w:spacing w:val="-4"/>
          <w:sz w:val="28"/>
          <w:szCs w:val="28"/>
        </w:rPr>
        <w:t>附件：</w:t>
      </w:r>
      <w:r>
        <w:rPr>
          <w:rFonts w:hint="eastAsia" w:hAnsi="宋体" w:cs="宋体"/>
          <w:b/>
          <w:snapToGrid w:val="0"/>
          <w:color w:val="000000"/>
          <w:sz w:val="28"/>
          <w:szCs w:val="28"/>
        </w:rPr>
        <w:t>电子化交易项目特别注意事项</w:t>
      </w:r>
    </w:p>
    <w:p w14:paraId="3066C10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.投标方式</w:t>
      </w:r>
    </w:p>
    <w:p w14:paraId="33F7F3B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本项目招标投标全流程采用电子化方式进行，相关操作流程详见全国公共资源交易平台（陕西省）网站[服务指南--下载专区]中的《陕西省公共资源交易中心政府采购项目投标指南》。</w:t>
      </w:r>
    </w:p>
    <w:p w14:paraId="61B621B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投标供应商须使用数字认证证书在全省统一交易平台填写投标信息，对电子投标文件进行签章、加密、递交及开标时解密等相关招投标事宜。加密和解密必须为同一数字认证证书，否则将会导致解密失败。涉及二次报价的必须使用主证。如因供应商自身原因，造成无法完成电子流程的，按无效投标对待。</w:t>
      </w:r>
    </w:p>
    <w:p w14:paraId="551DE32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电子开标、评标无法进行时，按照《安康市公共资源交易平台电子化交易应急处置管理办法(试行)》规定执行。</w:t>
      </w:r>
    </w:p>
    <w:p w14:paraId="10FD8BA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电子化操作流程</w:t>
      </w:r>
    </w:p>
    <w:p w14:paraId="6F84681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 投标信息填写</w:t>
      </w:r>
    </w:p>
    <w:p w14:paraId="32983A7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使用捆绑省交易平台的 CA 锁登录电子交易平台，通过政府采购系统企业端进入，选择所要投标的项目，点击“我要投标”，填写相关投标信息后提交，可打印投标回执单，表示系统投标成功。</w:t>
      </w:r>
    </w:p>
    <w:p w14:paraId="64393A3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电子招标文件下载</w:t>
      </w:r>
    </w:p>
    <w:p w14:paraId="193D67C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供应商登录全国公共资源交易平台（陕西省）网站[电子交易平台→ 陕西政府采购交易系统→企业端]后，在[我的项目]中点击“项目流程→交易文件下载”下载电子招标文件（*.SXSZF）;注意：该项目如有变更文件，则应点击“项目流程→答疑文件下载 ”下载更新后的电子招标文件（*.SXSCF），使用旧版电子招标文件制作的电子投标文件，系统将拒绝接收。</w:t>
      </w:r>
    </w:p>
    <w:p w14:paraId="3DCE172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未完成网上投标信息填写提交的或未在规定时间内在平台上下载文件的，导致无法完成后续流程的责任自负。</w:t>
      </w:r>
    </w:p>
    <w:p w14:paraId="07F0570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 电子招标文件查看</w:t>
      </w:r>
    </w:p>
    <w:p w14:paraId="47A966E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电子招标文件需要使用专用软件打开、浏览供应商登录全国公共资源交易平台（陕西省）网站〔服务指南→下载专区〕免费下载《陕西省公共资源交易平台政府采购电子标书制作工具(V</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"file:///C:\\Users\\admin\\Desktop\\恒口天星小学项目\\8.0.0.2" </w:instrText>
      </w:r>
      <w:r>
        <w:rPr>
          <w:rFonts w:hint="eastAsia" w:ascii="宋体" w:hAnsi="宋体" w:eastAsia="宋体" w:cs="宋体"/>
          <w:sz w:val="28"/>
          <w:szCs w:val="28"/>
        </w:rPr>
        <w:fldChar w:fldCharType="separate"/>
      </w:r>
      <w:r>
        <w:rPr>
          <w:rFonts w:hint="eastAsia" w:ascii="宋体" w:hAnsi="宋体" w:eastAsia="宋体" w:cs="宋体"/>
          <w:sz w:val="28"/>
          <w:szCs w:val="28"/>
        </w:rPr>
        <w:t>8.0.0.2</w:t>
      </w:r>
      <w:r>
        <w:rPr>
          <w:rFonts w:hint="eastAsia" w:ascii="宋体" w:hAnsi="宋体" w:eastAsia="宋体" w:cs="宋体"/>
          <w:sz w:val="28"/>
          <w:szCs w:val="28"/>
        </w:rPr>
        <w:fldChar w:fldCharType="end"/>
      </w:r>
      <w:r>
        <w:rPr>
          <w:rFonts w:hint="eastAsia" w:ascii="宋体" w:hAnsi="宋体" w:eastAsia="宋体" w:cs="宋体"/>
          <w:sz w:val="28"/>
          <w:szCs w:val="28"/>
        </w:rPr>
        <w:t>)》，下载后，须升级至最新版本，使用该客户端可以打开电子招标文件。</w:t>
      </w:r>
    </w:p>
    <w:p w14:paraId="62F6AE8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软件操作手册详见全国公共资源交易平台（陕西省）网站[服务指南→下载专区]中的《陕西省公共资源交易（政府采购类）投标文件制作软件操作手册》 </w:t>
      </w:r>
      <w:r>
        <w:rPr>
          <w:rFonts w:hint="eastAsia" w:hAnsi="宋体" w:cs="宋体"/>
          <w:sz w:val="28"/>
          <w:szCs w:val="28"/>
          <w:lang w:eastAsia="zh-CN"/>
        </w:rPr>
        <w:t>。</w:t>
      </w:r>
    </w:p>
    <w:p w14:paraId="7B9824C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 制作电子投标文件</w:t>
      </w:r>
    </w:p>
    <w:p w14:paraId="1CC63E1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电子投标文件同样需要使用陕西省公共资源交易平台政府采购电子标书制作工具(V</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"file:///C:\\Users\\admin\\Desktop\\恒口天星小学项目\\8.0.0.2" </w:instrText>
      </w:r>
      <w:r>
        <w:rPr>
          <w:rFonts w:hint="eastAsia" w:ascii="宋体" w:hAnsi="宋体" w:eastAsia="宋体" w:cs="宋体"/>
          <w:sz w:val="28"/>
          <w:szCs w:val="28"/>
        </w:rPr>
        <w:fldChar w:fldCharType="separate"/>
      </w:r>
      <w:r>
        <w:rPr>
          <w:rFonts w:hint="eastAsia" w:ascii="宋体" w:hAnsi="宋体" w:eastAsia="宋体" w:cs="宋体"/>
          <w:sz w:val="28"/>
          <w:szCs w:val="28"/>
        </w:rPr>
        <w:t>8.0.0.2</w:t>
      </w:r>
      <w:r>
        <w:rPr>
          <w:rFonts w:hint="eastAsia" w:ascii="宋体" w:hAnsi="宋体" w:eastAsia="宋体" w:cs="宋体"/>
          <w:sz w:val="28"/>
          <w:szCs w:val="28"/>
        </w:rPr>
        <w:fldChar w:fldCharType="end"/>
      </w:r>
      <w:r>
        <w:rPr>
          <w:rFonts w:hint="eastAsia" w:ascii="宋体" w:hAnsi="宋体" w:eastAsia="宋体" w:cs="宋体"/>
          <w:sz w:val="28"/>
          <w:szCs w:val="28"/>
        </w:rPr>
        <w:t>)最新版本进行编制。在编制过程中，如有技术性问题，请先翻阅操作手册或致电软件开发商，技术支持热线：4009280095</w:t>
      </w:r>
      <w:r>
        <w:rPr>
          <w:rFonts w:hint="eastAsia" w:ascii="宋体" w:hAnsi="宋体" w:eastAsia="宋体" w:cs="宋体"/>
          <w:sz w:val="28"/>
          <w:szCs w:val="28"/>
          <w:lang w:eastAsia="zh-CN"/>
        </w:rPr>
        <w:t>、</w:t>
      </w:r>
      <w:r>
        <w:rPr>
          <w:rFonts w:hint="eastAsia" w:ascii="宋体" w:hAnsi="宋体" w:eastAsia="宋体" w:cs="宋体"/>
          <w:sz w:val="28"/>
          <w:szCs w:val="28"/>
        </w:rPr>
        <w:t>4009980000。</w:t>
      </w:r>
    </w:p>
    <w:p w14:paraId="254A092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2.4.2 编制的电子投标文件，须使用数字认证证书（CA）对电子投标文件进行签署、加密、递交及开标时解密等相关操作。投标文件中签名不能采用机打签名方式，应采用手写方式，因此导致废标或未中标，投标供应商自行承担责任。</w:t>
      </w:r>
    </w:p>
    <w:p w14:paraId="4CFF4CF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 递交电子投标文件</w:t>
      </w:r>
    </w:p>
    <w:p w14:paraId="158CAE8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登 录 全 国 公 共 资 源 交 易 中 心 平 台 （陕 西 省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"http://www.sxggzyjy.cn/"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http://www.sxggzyjy.cn</w:t>
      </w:r>
      <w:r>
        <w:rPr>
          <w:rFonts w:hint="eastAsia" w:ascii="宋体" w:hAnsi="宋体" w:eastAsia="宋体" w:cs="宋体"/>
          <w:sz w:val="28"/>
          <w:szCs w:val="28"/>
        </w:rPr>
        <w:fldChar w:fldCharType="end"/>
      </w:r>
      <w:r>
        <w:rPr>
          <w:rFonts w:hint="eastAsia" w:ascii="宋体" w:hAnsi="宋体" w:eastAsia="宋体" w:cs="宋体"/>
          <w:sz w:val="28"/>
          <w:szCs w:val="28"/>
        </w:rPr>
        <w:t>，选择“电子交易平台→ 陕西政府采购交易系统→企业端 ”进行登录，登录后选择“交易乙方 ”身份进入，进入菜单“采购菜单“采购业务→我的项目→项目流程→上传投标文件 ”菜单“采购业务→我的项目→项目流程→上传投标文件”，上传加密的电子投标文件（*.SXSTF），上传成功后，电子化平台将予以记录。</w:t>
      </w:r>
    </w:p>
    <w:p w14:paraId="16783AB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电子投标文件可于提交投标文件截止时间前任意时段登录全国公共资源交易平台（陕西省）网站进行提交，提交投标文件截止时间后系统将拒绝接收。</w:t>
      </w:r>
    </w:p>
    <w:p w14:paraId="26E481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2.5.3 电子投标文件在投标文件截止时间前，可进行撤回文件操作撤回后，可在提交投标文件截止时间前重新提交文件。提交投标文件截止时间后，不能进行撤回文件操作。是否进行撤回文件操作，由投标供应商决定，责任由投标供应商自行承担。</w:t>
      </w:r>
    </w:p>
    <w:p w14:paraId="1A82C38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 文件开启与解密</w:t>
      </w:r>
    </w:p>
    <w:p w14:paraId="635B1DF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2.6.1 开标时，供应商须使用电子投标文件加密时所用的数字认证证书（CA 锁）在开标室的解密机上自行解密电子投标文件，由电子交易系统进行自动唱标。</w:t>
      </w:r>
    </w:p>
    <w:p w14:paraId="10950C6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2.6.2 系统默认解密时长为 60 分钟，</w:t>
      </w:r>
      <w:r>
        <w:rPr>
          <w:rFonts w:hint="eastAsia" w:hAnsi="宋体" w:cs="宋体"/>
          <w:sz w:val="28"/>
          <w:szCs w:val="28"/>
          <w:lang w:eastAsia="zh-CN"/>
        </w:rPr>
        <w:t>供应商</w:t>
      </w:r>
      <w:r>
        <w:rPr>
          <w:rFonts w:hint="eastAsia" w:ascii="宋体" w:hAnsi="宋体" w:eastAsia="宋体" w:cs="宋体"/>
          <w:sz w:val="28"/>
          <w:szCs w:val="28"/>
        </w:rPr>
        <w:t>需在解密时间规定内完成标书解密。所有</w:t>
      </w:r>
      <w:r>
        <w:rPr>
          <w:rFonts w:hint="eastAsia" w:hAnsi="宋体" w:cs="宋体"/>
          <w:sz w:val="28"/>
          <w:szCs w:val="28"/>
          <w:lang w:eastAsia="zh-CN"/>
        </w:rPr>
        <w:t>供应商</w:t>
      </w:r>
      <w:r>
        <w:rPr>
          <w:rFonts w:hint="eastAsia" w:ascii="宋体" w:hAnsi="宋体" w:eastAsia="宋体" w:cs="宋体"/>
          <w:sz w:val="28"/>
          <w:szCs w:val="28"/>
        </w:rPr>
        <w:t>解密完成后由开标人员将响应文件导入开评标系统。</w:t>
      </w:r>
    </w:p>
    <w:p w14:paraId="616A72B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3.在开标环节出现下列情况之一的，其电子投标文件视为无效件</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17183AF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 供应商拒绝对电子投标文件进行解密的；</w:t>
      </w:r>
    </w:p>
    <w:p w14:paraId="20A0672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 因供应商自身原因（如未带 CA 锁、或所带 CA 锁与制作电子投标文件使用的 CA 锁不一致、或沿用旧版招标文件编制投标文件等情形），导致在规定时间内无法解密投标文件的；</w:t>
      </w:r>
    </w:p>
    <w:p w14:paraId="43BD96E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 上传的电子投标文件无法打开的；</w:t>
      </w:r>
    </w:p>
    <w:p w14:paraId="3D4DB11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3.4 政府采购法律法规规定的其他无效情形。</w:t>
      </w:r>
    </w:p>
    <w:p w14:paraId="66F316E0">
      <w:pPr>
        <w:keepNext w:val="0"/>
        <w:keepLines w:val="0"/>
        <w:pageBreakBefore w:val="0"/>
        <w:wordWrap/>
        <w:overflowPunct/>
        <w:topLinePunct w:val="0"/>
        <w:bidi w:val="0"/>
        <w:spacing w:line="480" w:lineRule="exact"/>
        <w:ind w:firstLine="560" w:firstLineChars="200"/>
        <w:rPr>
          <w:rFonts w:hint="eastAsia" w:ascii="宋体" w:hAnsi="宋体" w:eastAsia="宋体" w:cs="宋体"/>
          <w:sz w:val="28"/>
          <w:szCs w:val="28"/>
        </w:rPr>
        <w:sectPr>
          <w:footerReference r:id="rId4" w:type="default"/>
          <w:pgSz w:w="11906" w:h="16839"/>
          <w:pgMar w:top="1457" w:right="1219" w:bottom="1176" w:left="1502" w:header="680" w:footer="454" w:gutter="0"/>
          <w:pgNumType w:fmt="decimal" w:start="1"/>
          <w:cols w:space="720" w:num="1"/>
        </w:sectPr>
      </w:pPr>
    </w:p>
    <w:p w14:paraId="4A0A1DB8">
      <w:pPr>
        <w:pStyle w:val="2"/>
        <w:keepNext w:val="0"/>
        <w:keepLines w:val="0"/>
        <w:pageBreakBefore w:val="0"/>
        <w:widowControl w:val="0"/>
        <w:kinsoku/>
        <w:wordWrap/>
        <w:overflowPunct/>
        <w:topLinePunct w:val="0"/>
        <w:autoSpaceDE/>
        <w:autoSpaceDN/>
        <w:bidi w:val="0"/>
        <w:adjustRightInd/>
        <w:snapToGrid/>
        <w:spacing w:before="464" w:beforeLines="100" w:after="464" w:afterLines="100" w:line="500" w:lineRule="exact"/>
        <w:jc w:val="center"/>
        <w:textAlignment w:val="auto"/>
        <w:rPr>
          <w:rStyle w:val="51"/>
          <w:b w:val="0"/>
          <w:sz w:val="32"/>
          <w:szCs w:val="32"/>
        </w:rPr>
      </w:pPr>
      <w:bookmarkStart w:id="23" w:name="_Toc23796"/>
      <w:bookmarkStart w:id="24" w:name="_Toc18377"/>
      <w:r>
        <w:rPr>
          <w:rFonts w:hint="eastAsia" w:ascii="宋体" w:hAnsi="宋体" w:cs="宋体"/>
          <w:bCs/>
          <w:sz w:val="32"/>
          <w:szCs w:val="32"/>
        </w:rPr>
        <w:t>第二章 供应商须知</w:t>
      </w:r>
      <w:r>
        <w:rPr>
          <w:rFonts w:hint="eastAsia" w:ascii="宋体" w:hAnsi="宋体" w:cs="宋体"/>
          <w:bCs/>
          <w:sz w:val="32"/>
          <w:szCs w:val="32"/>
          <w:lang w:val="en-US" w:eastAsia="zh-CN"/>
        </w:rPr>
        <w:t>及</w:t>
      </w:r>
      <w:r>
        <w:rPr>
          <w:rFonts w:hint="eastAsia" w:ascii="宋体" w:hAnsi="宋体" w:cs="宋体"/>
          <w:bCs/>
          <w:sz w:val="32"/>
          <w:szCs w:val="32"/>
        </w:rPr>
        <w:t>前附表</w:t>
      </w:r>
      <w:bookmarkEnd w:id="23"/>
      <w:bookmarkEnd w:id="24"/>
    </w:p>
    <w:tbl>
      <w:tblPr>
        <w:tblStyle w:val="37"/>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1804"/>
        <w:gridCol w:w="7038"/>
      </w:tblGrid>
      <w:tr w14:paraId="3DD9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blHeader/>
          <w:jc w:val="center"/>
        </w:trPr>
        <w:tc>
          <w:tcPr>
            <w:tcW w:w="625" w:type="dxa"/>
            <w:vAlign w:val="center"/>
          </w:tcPr>
          <w:p w14:paraId="06088E17">
            <w:pPr>
              <w:pStyle w:val="108"/>
              <w:autoSpaceDE/>
              <w:autoSpaceDN/>
              <w:snapToGrid w:val="0"/>
              <w:spacing w:line="288" w:lineRule="auto"/>
              <w:jc w:val="center"/>
              <w:rPr>
                <w:rFonts w:hAnsi="宋体"/>
                <w:sz w:val="24"/>
                <w:szCs w:val="24"/>
                <w:lang w:val="zh-CN"/>
              </w:rPr>
            </w:pPr>
            <w:r>
              <w:rPr>
                <w:rFonts w:hint="eastAsia" w:hAnsi="宋体"/>
                <w:sz w:val="24"/>
                <w:szCs w:val="24"/>
                <w:lang w:val="zh-CN"/>
              </w:rPr>
              <w:t>序号</w:t>
            </w:r>
          </w:p>
        </w:tc>
        <w:tc>
          <w:tcPr>
            <w:tcW w:w="1804" w:type="dxa"/>
            <w:vAlign w:val="center"/>
          </w:tcPr>
          <w:p w14:paraId="6938224A">
            <w:pPr>
              <w:pStyle w:val="108"/>
              <w:autoSpaceDE/>
              <w:autoSpaceDN/>
              <w:snapToGrid w:val="0"/>
              <w:spacing w:line="288" w:lineRule="auto"/>
              <w:jc w:val="center"/>
              <w:rPr>
                <w:rFonts w:hAnsi="宋体"/>
                <w:sz w:val="24"/>
                <w:szCs w:val="24"/>
                <w:lang w:val="zh-CN"/>
              </w:rPr>
            </w:pPr>
            <w:r>
              <w:rPr>
                <w:rFonts w:hint="eastAsia" w:hAnsi="宋体"/>
                <w:sz w:val="24"/>
                <w:szCs w:val="24"/>
                <w:lang w:val="zh-CN"/>
              </w:rPr>
              <w:t>内容</w:t>
            </w:r>
          </w:p>
        </w:tc>
        <w:tc>
          <w:tcPr>
            <w:tcW w:w="7038" w:type="dxa"/>
            <w:vAlign w:val="center"/>
          </w:tcPr>
          <w:p w14:paraId="5541FE43">
            <w:pPr>
              <w:pStyle w:val="108"/>
              <w:autoSpaceDE/>
              <w:autoSpaceDN/>
              <w:snapToGrid w:val="0"/>
              <w:spacing w:line="288" w:lineRule="auto"/>
              <w:jc w:val="center"/>
              <w:rPr>
                <w:rFonts w:hAnsi="宋体"/>
                <w:sz w:val="24"/>
                <w:szCs w:val="24"/>
                <w:lang w:val="zh-CN"/>
              </w:rPr>
            </w:pPr>
            <w:r>
              <w:rPr>
                <w:rFonts w:hint="eastAsia" w:hAnsi="宋体"/>
                <w:sz w:val="24"/>
                <w:szCs w:val="24"/>
                <w:lang w:val="zh-CN"/>
              </w:rPr>
              <w:t>说明和要求</w:t>
            </w:r>
          </w:p>
        </w:tc>
      </w:tr>
      <w:tr w14:paraId="5DB5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625" w:type="dxa"/>
            <w:vAlign w:val="center"/>
          </w:tcPr>
          <w:p w14:paraId="33A8D434">
            <w:pPr>
              <w:pStyle w:val="108"/>
              <w:autoSpaceDE/>
              <w:autoSpaceDN/>
              <w:snapToGrid w:val="0"/>
              <w:spacing w:line="288" w:lineRule="auto"/>
              <w:jc w:val="center"/>
              <w:rPr>
                <w:rFonts w:hAnsi="宋体"/>
                <w:sz w:val="24"/>
                <w:szCs w:val="24"/>
              </w:rPr>
            </w:pPr>
            <w:r>
              <w:rPr>
                <w:rFonts w:hint="eastAsia" w:hAnsi="宋体"/>
                <w:sz w:val="24"/>
                <w:szCs w:val="24"/>
              </w:rPr>
              <w:t>1</w:t>
            </w:r>
          </w:p>
        </w:tc>
        <w:tc>
          <w:tcPr>
            <w:tcW w:w="1804" w:type="dxa"/>
            <w:vAlign w:val="center"/>
          </w:tcPr>
          <w:p w14:paraId="5C48D47E">
            <w:pPr>
              <w:pStyle w:val="108"/>
              <w:autoSpaceDE/>
              <w:autoSpaceDN/>
              <w:snapToGrid w:val="0"/>
              <w:spacing w:line="288" w:lineRule="auto"/>
              <w:jc w:val="center"/>
              <w:rPr>
                <w:rFonts w:hAnsi="宋体"/>
                <w:sz w:val="24"/>
                <w:szCs w:val="24"/>
                <w:lang w:val="zh-CN"/>
              </w:rPr>
            </w:pPr>
            <w:r>
              <w:rPr>
                <w:rFonts w:hint="eastAsia" w:hAnsi="宋体"/>
                <w:sz w:val="24"/>
                <w:szCs w:val="24"/>
                <w:lang w:val="zh-CN"/>
              </w:rPr>
              <w:t>采购人</w:t>
            </w:r>
          </w:p>
        </w:tc>
        <w:tc>
          <w:tcPr>
            <w:tcW w:w="7038" w:type="dxa"/>
            <w:vAlign w:val="center"/>
          </w:tcPr>
          <w:p w14:paraId="1112EA59">
            <w:pPr>
              <w:pStyle w:val="32"/>
              <w:spacing w:before="0" w:beforeAutospacing="0" w:after="0" w:afterAutospacing="0" w:line="360" w:lineRule="auto"/>
              <w:ind w:firstLine="480" w:firstLineChars="200"/>
              <w:jc w:val="both"/>
              <w:textAlignment w:val="baseline"/>
              <w:rPr>
                <w:rFonts w:hint="eastAsia" w:ascii="宋体" w:hAnsi="宋体" w:eastAsia="宋体" w:cs="宋体"/>
                <w:sz w:val="24"/>
                <w:szCs w:val="24"/>
                <w:lang w:val="en-US" w:eastAsia="zh-CN"/>
              </w:rPr>
            </w:pPr>
            <w:r>
              <w:rPr>
                <w:rFonts w:hint="eastAsia" w:hAnsi="宋体" w:cs="宋体"/>
                <w:sz w:val="24"/>
                <w:szCs w:val="24"/>
              </w:rPr>
              <w:t>名称：</w:t>
            </w:r>
            <w:r>
              <w:rPr>
                <w:rFonts w:hint="eastAsia" w:ascii="宋体" w:hAnsi="宋体" w:eastAsia="宋体" w:cs="宋体"/>
                <w:sz w:val="24"/>
                <w:szCs w:val="24"/>
                <w:lang w:val="en-US" w:eastAsia="zh-CN"/>
              </w:rPr>
              <w:t>镇坪县农业林业和水利局</w:t>
            </w:r>
          </w:p>
          <w:p w14:paraId="2190115E">
            <w:pPr>
              <w:pStyle w:val="32"/>
              <w:spacing w:before="0" w:beforeAutospacing="0" w:after="0" w:afterAutospacing="0" w:line="360" w:lineRule="auto"/>
              <w:ind w:firstLine="480" w:firstLineChars="200"/>
              <w:jc w:val="both"/>
              <w:textAlignment w:val="baseline"/>
              <w:rPr>
                <w:rFonts w:hint="eastAsia" w:hAnsi="宋体" w:cs="宋体"/>
                <w:b w:val="0"/>
                <w:bCs w:val="0"/>
                <w:kern w:val="2"/>
                <w:sz w:val="24"/>
                <w:szCs w:val="24"/>
                <w:lang w:val="en-US" w:eastAsia="zh-CN" w:bidi="ar-SA"/>
              </w:rPr>
            </w:pPr>
            <w:r>
              <w:rPr>
                <w:rFonts w:hint="eastAsia" w:hAnsi="宋体" w:cs="宋体"/>
                <w:bCs/>
                <w:kern w:val="2"/>
                <w:sz w:val="24"/>
                <w:szCs w:val="24"/>
              </w:rPr>
              <w:t>地址：</w:t>
            </w: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sz w:val="24"/>
                <w:szCs w:val="24"/>
                <w:lang w:val="en-US" w:eastAsia="zh-CN"/>
              </w:rPr>
              <w:t>城关镇下新街44号</w:t>
            </w:r>
          </w:p>
          <w:p w14:paraId="7558DD3E">
            <w:pPr>
              <w:pStyle w:val="32"/>
              <w:spacing w:before="0" w:beforeAutospacing="0" w:after="0" w:afterAutospacing="0" w:line="360" w:lineRule="auto"/>
              <w:ind w:firstLine="480" w:firstLineChars="200"/>
              <w:jc w:val="both"/>
              <w:textAlignment w:val="baseline"/>
              <w:rPr>
                <w:rFonts w:hint="default" w:hAnsi="宋体" w:cs="宋体"/>
                <w:bCs/>
                <w:kern w:val="2"/>
                <w:sz w:val="24"/>
                <w:szCs w:val="24"/>
                <w:lang w:val="en-US"/>
              </w:rPr>
            </w:pPr>
            <w:r>
              <w:rPr>
                <w:rFonts w:hint="eastAsia" w:hAnsi="宋体" w:cs="宋体"/>
                <w:bCs/>
                <w:kern w:val="2"/>
                <w:sz w:val="24"/>
                <w:szCs w:val="24"/>
              </w:rPr>
              <w:t>联系电话：</w:t>
            </w:r>
            <w:r>
              <w:rPr>
                <w:rFonts w:hint="eastAsia" w:ascii="宋体" w:hAnsi="宋体" w:eastAsia="宋体" w:cs="宋体"/>
                <w:sz w:val="24"/>
                <w:szCs w:val="24"/>
                <w:lang w:val="en-US" w:eastAsia="zh-CN"/>
              </w:rPr>
              <w:t>13992542465</w:t>
            </w:r>
          </w:p>
        </w:tc>
      </w:tr>
      <w:tr w14:paraId="1751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625" w:type="dxa"/>
            <w:vAlign w:val="center"/>
          </w:tcPr>
          <w:p w14:paraId="2D6B2F86">
            <w:pPr>
              <w:pStyle w:val="108"/>
              <w:autoSpaceDE/>
              <w:autoSpaceDN/>
              <w:snapToGrid w:val="0"/>
              <w:spacing w:line="288" w:lineRule="auto"/>
              <w:jc w:val="center"/>
              <w:rPr>
                <w:rFonts w:hAnsi="宋体"/>
                <w:sz w:val="24"/>
                <w:szCs w:val="24"/>
              </w:rPr>
            </w:pPr>
            <w:r>
              <w:rPr>
                <w:rFonts w:hint="eastAsia" w:hAnsi="宋体"/>
                <w:sz w:val="24"/>
                <w:szCs w:val="24"/>
              </w:rPr>
              <w:t>2</w:t>
            </w:r>
          </w:p>
        </w:tc>
        <w:tc>
          <w:tcPr>
            <w:tcW w:w="1804" w:type="dxa"/>
            <w:vAlign w:val="center"/>
          </w:tcPr>
          <w:p w14:paraId="6CE02DF8">
            <w:pPr>
              <w:pStyle w:val="108"/>
              <w:autoSpaceDE/>
              <w:autoSpaceDN/>
              <w:snapToGrid w:val="0"/>
              <w:spacing w:line="288" w:lineRule="auto"/>
              <w:jc w:val="center"/>
              <w:rPr>
                <w:rFonts w:hAnsi="宋体"/>
                <w:sz w:val="24"/>
                <w:szCs w:val="24"/>
                <w:lang w:val="zh-CN"/>
              </w:rPr>
            </w:pPr>
            <w:r>
              <w:rPr>
                <w:rFonts w:hint="eastAsia" w:hAnsi="宋体"/>
                <w:sz w:val="24"/>
                <w:szCs w:val="24"/>
                <w:lang w:val="zh-CN"/>
              </w:rPr>
              <w:t>采购代理机构</w:t>
            </w:r>
          </w:p>
        </w:tc>
        <w:tc>
          <w:tcPr>
            <w:tcW w:w="7038" w:type="dxa"/>
            <w:vAlign w:val="center"/>
          </w:tcPr>
          <w:p w14:paraId="418AA9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名称：陕西安康天诚工程项目管理咨询有限公司</w:t>
            </w:r>
          </w:p>
          <w:p w14:paraId="57FD0C8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地址：安康市黄沟路兴科明珠商铺4-03</w:t>
            </w:r>
          </w:p>
          <w:p w14:paraId="7878963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hAnsi="宋体" w:eastAsia="宋体"/>
                <w:sz w:val="24"/>
                <w:szCs w:val="24"/>
                <w:lang w:val="en-US" w:eastAsia="zh-CN"/>
              </w:rPr>
            </w:pPr>
            <w:r>
              <w:rPr>
                <w:rFonts w:hint="eastAsia" w:ascii="宋体" w:hAnsi="宋体" w:eastAsia="宋体" w:cs="宋体"/>
                <w:sz w:val="24"/>
                <w:szCs w:val="24"/>
              </w:rPr>
              <w:t>联系方式：0915-3256899</w:t>
            </w:r>
          </w:p>
        </w:tc>
      </w:tr>
      <w:tr w14:paraId="579F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25" w:type="dxa"/>
            <w:vAlign w:val="center"/>
          </w:tcPr>
          <w:p w14:paraId="3D350098">
            <w:pPr>
              <w:pStyle w:val="108"/>
              <w:autoSpaceDE/>
              <w:autoSpaceDN/>
              <w:snapToGrid w:val="0"/>
              <w:spacing w:line="288" w:lineRule="auto"/>
              <w:jc w:val="center"/>
              <w:rPr>
                <w:rFonts w:hAnsi="宋体"/>
                <w:sz w:val="24"/>
                <w:szCs w:val="24"/>
              </w:rPr>
            </w:pPr>
            <w:r>
              <w:rPr>
                <w:rFonts w:hint="eastAsia" w:hAnsi="宋体"/>
                <w:sz w:val="24"/>
                <w:szCs w:val="24"/>
              </w:rPr>
              <w:t>3</w:t>
            </w:r>
          </w:p>
        </w:tc>
        <w:tc>
          <w:tcPr>
            <w:tcW w:w="1804" w:type="dxa"/>
            <w:vAlign w:val="center"/>
          </w:tcPr>
          <w:p w14:paraId="61A40AF7">
            <w:pPr>
              <w:pStyle w:val="108"/>
              <w:autoSpaceDE/>
              <w:autoSpaceDN/>
              <w:snapToGrid w:val="0"/>
              <w:spacing w:line="288" w:lineRule="auto"/>
              <w:jc w:val="center"/>
              <w:rPr>
                <w:rFonts w:hAnsi="宋体"/>
                <w:sz w:val="24"/>
                <w:szCs w:val="24"/>
                <w:lang w:val="zh-CN"/>
              </w:rPr>
            </w:pPr>
            <w:r>
              <w:rPr>
                <w:rFonts w:hint="eastAsia" w:hAnsi="宋体"/>
                <w:sz w:val="24"/>
                <w:szCs w:val="24"/>
                <w:lang w:val="zh-CN"/>
              </w:rPr>
              <w:t>监督机构</w:t>
            </w:r>
          </w:p>
        </w:tc>
        <w:tc>
          <w:tcPr>
            <w:tcW w:w="7038" w:type="dxa"/>
            <w:vAlign w:val="center"/>
          </w:tcPr>
          <w:p w14:paraId="5A3A0A30">
            <w:pPr>
              <w:pStyle w:val="32"/>
              <w:adjustRightInd w:val="0"/>
              <w:snapToGrid w:val="0"/>
              <w:spacing w:before="0" w:beforeAutospacing="0" w:after="0" w:afterAutospacing="0" w:line="312" w:lineRule="auto"/>
              <w:ind w:firstLine="612" w:firstLineChars="255"/>
              <w:rPr>
                <w:rFonts w:hAnsi="宋体" w:cs="宋体"/>
                <w:sz w:val="24"/>
                <w:szCs w:val="24"/>
              </w:rPr>
            </w:pPr>
            <w:r>
              <w:rPr>
                <w:rFonts w:hint="eastAsia" w:hAnsi="宋体" w:cs="宋体"/>
                <w:sz w:val="24"/>
                <w:szCs w:val="24"/>
                <w:lang w:val="en-US" w:eastAsia="zh-CN"/>
              </w:rPr>
              <w:t>镇坪县</w:t>
            </w:r>
            <w:r>
              <w:rPr>
                <w:rFonts w:hint="eastAsia" w:hAnsi="宋体" w:cs="宋体"/>
                <w:sz w:val="24"/>
                <w:szCs w:val="24"/>
              </w:rPr>
              <w:t>财政局</w:t>
            </w:r>
          </w:p>
        </w:tc>
      </w:tr>
      <w:tr w14:paraId="7DAB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625" w:type="dxa"/>
            <w:vAlign w:val="center"/>
          </w:tcPr>
          <w:p w14:paraId="18883B1D">
            <w:pPr>
              <w:pStyle w:val="108"/>
              <w:autoSpaceDE/>
              <w:autoSpaceDN/>
              <w:snapToGrid w:val="0"/>
              <w:spacing w:line="288" w:lineRule="auto"/>
              <w:jc w:val="center"/>
              <w:rPr>
                <w:rFonts w:hAnsi="宋体"/>
                <w:sz w:val="24"/>
                <w:szCs w:val="24"/>
              </w:rPr>
            </w:pPr>
            <w:r>
              <w:rPr>
                <w:rFonts w:hint="eastAsia" w:hAnsi="宋体"/>
                <w:sz w:val="24"/>
                <w:szCs w:val="24"/>
              </w:rPr>
              <w:t>4</w:t>
            </w:r>
          </w:p>
        </w:tc>
        <w:tc>
          <w:tcPr>
            <w:tcW w:w="1804" w:type="dxa"/>
            <w:vAlign w:val="center"/>
          </w:tcPr>
          <w:p w14:paraId="46983EFE">
            <w:pPr>
              <w:pStyle w:val="108"/>
              <w:autoSpaceDE/>
              <w:autoSpaceDN/>
              <w:snapToGrid w:val="0"/>
              <w:spacing w:line="288" w:lineRule="auto"/>
              <w:jc w:val="center"/>
              <w:rPr>
                <w:rFonts w:hAnsi="宋体"/>
                <w:sz w:val="24"/>
                <w:szCs w:val="24"/>
                <w:lang w:val="zh-CN"/>
              </w:rPr>
            </w:pPr>
            <w:r>
              <w:rPr>
                <w:rFonts w:hint="eastAsia" w:hAnsi="宋体"/>
                <w:sz w:val="24"/>
                <w:szCs w:val="24"/>
                <w:lang w:val="zh-CN"/>
              </w:rPr>
              <w:t>采购项目名称</w:t>
            </w:r>
          </w:p>
        </w:tc>
        <w:tc>
          <w:tcPr>
            <w:tcW w:w="7038" w:type="dxa"/>
            <w:vAlign w:val="center"/>
          </w:tcPr>
          <w:p w14:paraId="2B2DA765">
            <w:pPr>
              <w:pStyle w:val="32"/>
              <w:adjustRightInd w:val="0"/>
              <w:snapToGrid w:val="0"/>
              <w:spacing w:before="0" w:beforeAutospacing="0" w:after="0" w:afterAutospacing="0" w:line="312" w:lineRule="auto"/>
              <w:ind w:firstLine="612" w:firstLineChars="255"/>
              <w:rPr>
                <w:rFonts w:hAnsi="宋体" w:cs="宋体"/>
                <w:sz w:val="24"/>
                <w:szCs w:val="24"/>
                <w:lang w:val="zh-CN"/>
              </w:rPr>
            </w:pPr>
            <w:r>
              <w:rPr>
                <w:rFonts w:hint="eastAsia" w:hAnsi="宋体" w:cs="宋体"/>
                <w:sz w:val="24"/>
                <w:szCs w:val="24"/>
                <w:lang w:eastAsia="zh-CN"/>
              </w:rPr>
              <w:t>镇坪县2025年林业有害生物防治项目</w:t>
            </w:r>
          </w:p>
        </w:tc>
      </w:tr>
      <w:tr w14:paraId="2A99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625" w:type="dxa"/>
            <w:vAlign w:val="center"/>
          </w:tcPr>
          <w:p w14:paraId="73F3968D">
            <w:pPr>
              <w:pStyle w:val="108"/>
              <w:autoSpaceDE/>
              <w:autoSpaceDN/>
              <w:snapToGrid w:val="0"/>
              <w:spacing w:line="288" w:lineRule="auto"/>
              <w:jc w:val="center"/>
              <w:rPr>
                <w:rFonts w:hAnsi="宋体"/>
                <w:sz w:val="24"/>
                <w:szCs w:val="24"/>
              </w:rPr>
            </w:pPr>
            <w:r>
              <w:rPr>
                <w:rFonts w:hint="eastAsia" w:hAnsi="宋体"/>
                <w:sz w:val="24"/>
                <w:szCs w:val="24"/>
              </w:rPr>
              <w:t>5</w:t>
            </w:r>
          </w:p>
        </w:tc>
        <w:tc>
          <w:tcPr>
            <w:tcW w:w="1804" w:type="dxa"/>
            <w:vAlign w:val="center"/>
          </w:tcPr>
          <w:p w14:paraId="2D120098">
            <w:pPr>
              <w:pStyle w:val="108"/>
              <w:autoSpaceDE/>
              <w:autoSpaceDN/>
              <w:snapToGrid w:val="0"/>
              <w:spacing w:line="288" w:lineRule="auto"/>
              <w:jc w:val="center"/>
              <w:rPr>
                <w:rFonts w:hAnsi="宋体"/>
                <w:sz w:val="24"/>
                <w:szCs w:val="24"/>
                <w:lang w:val="zh-CN"/>
              </w:rPr>
            </w:pPr>
            <w:r>
              <w:rPr>
                <w:rFonts w:hint="eastAsia" w:hAnsi="宋体"/>
                <w:sz w:val="24"/>
                <w:szCs w:val="24"/>
                <w:lang w:val="zh-CN"/>
              </w:rPr>
              <w:t>采购项目编号</w:t>
            </w:r>
          </w:p>
        </w:tc>
        <w:tc>
          <w:tcPr>
            <w:tcW w:w="7038" w:type="dxa"/>
            <w:vAlign w:val="center"/>
          </w:tcPr>
          <w:p w14:paraId="16558FBF">
            <w:pPr>
              <w:pStyle w:val="32"/>
              <w:adjustRightInd w:val="0"/>
              <w:snapToGrid w:val="0"/>
              <w:spacing w:before="0" w:beforeAutospacing="0" w:after="0" w:afterAutospacing="0" w:line="312" w:lineRule="auto"/>
              <w:ind w:firstLine="612" w:firstLineChars="255"/>
              <w:rPr>
                <w:rFonts w:hint="eastAsia" w:hAnsi="宋体" w:eastAsia="宋体" w:cs="宋体"/>
                <w:sz w:val="24"/>
                <w:szCs w:val="24"/>
                <w:lang w:eastAsia="zh-CN"/>
              </w:rPr>
            </w:pPr>
            <w:r>
              <w:rPr>
                <w:rFonts w:hint="eastAsia" w:hAnsi="宋体" w:cs="宋体"/>
                <w:sz w:val="24"/>
                <w:szCs w:val="24"/>
                <w:lang w:eastAsia="zh-CN"/>
              </w:rPr>
              <w:t>TCZB-AK-2025-033</w:t>
            </w:r>
          </w:p>
        </w:tc>
      </w:tr>
      <w:tr w14:paraId="7EFD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625" w:type="dxa"/>
            <w:vAlign w:val="center"/>
          </w:tcPr>
          <w:p w14:paraId="1DC8DAB7">
            <w:pPr>
              <w:pStyle w:val="108"/>
              <w:autoSpaceDE/>
              <w:autoSpaceDN/>
              <w:snapToGrid w:val="0"/>
              <w:spacing w:line="288" w:lineRule="auto"/>
              <w:jc w:val="center"/>
              <w:rPr>
                <w:rFonts w:hAnsi="宋体"/>
                <w:sz w:val="24"/>
                <w:szCs w:val="24"/>
                <w:lang w:val="zh-CN"/>
              </w:rPr>
            </w:pPr>
            <w:r>
              <w:rPr>
                <w:rFonts w:hint="eastAsia" w:hAnsi="宋体"/>
                <w:sz w:val="24"/>
                <w:szCs w:val="24"/>
                <w:lang w:val="zh-CN"/>
              </w:rPr>
              <w:t>6</w:t>
            </w:r>
          </w:p>
        </w:tc>
        <w:tc>
          <w:tcPr>
            <w:tcW w:w="1804" w:type="dxa"/>
            <w:vAlign w:val="center"/>
          </w:tcPr>
          <w:p w14:paraId="27B3106E">
            <w:pPr>
              <w:pStyle w:val="108"/>
              <w:autoSpaceDE/>
              <w:autoSpaceDN/>
              <w:snapToGrid w:val="0"/>
              <w:spacing w:line="288" w:lineRule="auto"/>
              <w:jc w:val="center"/>
              <w:rPr>
                <w:rFonts w:hAnsi="宋体"/>
                <w:color w:val="auto"/>
                <w:sz w:val="24"/>
                <w:szCs w:val="24"/>
                <w:lang w:val="zh-CN"/>
              </w:rPr>
            </w:pPr>
            <w:r>
              <w:rPr>
                <w:rFonts w:hint="eastAsia" w:hAnsi="宋体"/>
                <w:color w:val="auto"/>
                <w:sz w:val="24"/>
                <w:szCs w:val="24"/>
                <w:lang w:val="zh-CN"/>
              </w:rPr>
              <w:t>预  算</w:t>
            </w:r>
          </w:p>
        </w:tc>
        <w:tc>
          <w:tcPr>
            <w:tcW w:w="7038" w:type="dxa"/>
            <w:vAlign w:val="center"/>
          </w:tcPr>
          <w:p w14:paraId="3AA04036">
            <w:pPr>
              <w:pStyle w:val="32"/>
              <w:adjustRightInd w:val="0"/>
              <w:snapToGrid w:val="0"/>
              <w:spacing w:before="0" w:beforeAutospacing="0" w:after="0" w:afterAutospacing="0" w:line="312" w:lineRule="auto"/>
              <w:ind w:firstLine="612" w:firstLineChars="255"/>
              <w:rPr>
                <w:rFonts w:hAnsi="宋体" w:eastAsia="微软雅黑" w:cs="宋体"/>
                <w:sz w:val="24"/>
                <w:szCs w:val="24"/>
              </w:rPr>
            </w:pPr>
            <w:r>
              <w:rPr>
                <w:rFonts w:hint="eastAsia" w:ascii="宋体" w:hAnsi="宋体" w:eastAsia="宋体" w:cs="宋体"/>
                <w:sz w:val="24"/>
                <w:szCs w:val="24"/>
                <w:lang w:val="en-US" w:eastAsia="zh-CN"/>
              </w:rPr>
              <w:t>500</w:t>
            </w:r>
            <w:r>
              <w:rPr>
                <w:rFonts w:hint="eastAsia" w:ascii="宋体" w:hAnsi="宋体" w:eastAsia="宋体" w:cs="宋体"/>
                <w:sz w:val="24"/>
                <w:szCs w:val="24"/>
              </w:rPr>
              <w:t>,</w:t>
            </w:r>
            <w:r>
              <w:rPr>
                <w:rFonts w:hint="eastAsia" w:ascii="宋体" w:hAnsi="宋体" w:eastAsia="宋体" w:cs="宋体"/>
                <w:sz w:val="24"/>
                <w:szCs w:val="24"/>
                <w:lang w:val="en-US" w:eastAsia="zh-CN"/>
              </w:rPr>
              <w:t>000</w:t>
            </w:r>
            <w:r>
              <w:rPr>
                <w:rFonts w:hint="eastAsia" w:ascii="宋体" w:hAnsi="宋体" w:eastAsia="宋体" w:cs="宋体"/>
                <w:sz w:val="24"/>
                <w:szCs w:val="24"/>
              </w:rPr>
              <w:t>.00</w:t>
            </w:r>
            <w:r>
              <w:rPr>
                <w:rFonts w:hint="eastAsia" w:hAnsi="宋体" w:cs="宋体"/>
                <w:sz w:val="24"/>
                <w:szCs w:val="24"/>
                <w:lang w:val="en-US" w:eastAsia="zh-CN"/>
              </w:rPr>
              <w:t>元</w:t>
            </w:r>
          </w:p>
        </w:tc>
      </w:tr>
      <w:tr w14:paraId="6C23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625" w:type="dxa"/>
            <w:vAlign w:val="center"/>
          </w:tcPr>
          <w:p w14:paraId="07CA4AD8">
            <w:pPr>
              <w:pStyle w:val="108"/>
              <w:autoSpaceDE/>
              <w:autoSpaceDN/>
              <w:snapToGrid w:val="0"/>
              <w:spacing w:line="288" w:lineRule="auto"/>
              <w:jc w:val="center"/>
              <w:rPr>
                <w:rFonts w:hAnsi="宋体"/>
                <w:sz w:val="24"/>
                <w:szCs w:val="24"/>
              </w:rPr>
            </w:pPr>
            <w:r>
              <w:rPr>
                <w:rFonts w:hint="eastAsia" w:hAnsi="宋体"/>
                <w:sz w:val="24"/>
                <w:szCs w:val="24"/>
              </w:rPr>
              <w:t>7</w:t>
            </w:r>
          </w:p>
        </w:tc>
        <w:tc>
          <w:tcPr>
            <w:tcW w:w="1804" w:type="dxa"/>
            <w:vAlign w:val="center"/>
          </w:tcPr>
          <w:p w14:paraId="413FEEA6">
            <w:pPr>
              <w:pStyle w:val="32"/>
              <w:adjustRightInd w:val="0"/>
              <w:snapToGrid w:val="0"/>
              <w:spacing w:before="0" w:beforeAutospacing="0" w:after="0" w:afterAutospacing="0" w:line="288" w:lineRule="auto"/>
              <w:jc w:val="center"/>
              <w:rPr>
                <w:rFonts w:hAnsi="宋体" w:cs="宋体"/>
                <w:color w:val="auto"/>
                <w:sz w:val="24"/>
                <w:szCs w:val="24"/>
              </w:rPr>
            </w:pPr>
            <w:r>
              <w:rPr>
                <w:rFonts w:hint="eastAsia" w:hAnsi="宋体" w:cs="宋体"/>
                <w:color w:val="auto"/>
                <w:sz w:val="24"/>
                <w:szCs w:val="24"/>
              </w:rPr>
              <w:t>最高限价</w:t>
            </w:r>
          </w:p>
        </w:tc>
        <w:tc>
          <w:tcPr>
            <w:tcW w:w="7038" w:type="dxa"/>
            <w:vAlign w:val="center"/>
          </w:tcPr>
          <w:p w14:paraId="06A7B5A8">
            <w:pPr>
              <w:pStyle w:val="32"/>
              <w:adjustRightInd w:val="0"/>
              <w:snapToGrid w:val="0"/>
              <w:spacing w:before="0" w:beforeAutospacing="0" w:after="0" w:afterAutospacing="0" w:line="312" w:lineRule="auto"/>
              <w:ind w:firstLine="612" w:firstLineChars="255"/>
              <w:rPr>
                <w:rFonts w:hAnsi="宋体" w:cs="宋体"/>
                <w:sz w:val="24"/>
                <w:szCs w:val="24"/>
              </w:rPr>
            </w:pPr>
            <w:r>
              <w:rPr>
                <w:rFonts w:hint="eastAsia" w:ascii="宋体" w:hAnsi="宋体" w:eastAsia="宋体" w:cs="宋体"/>
                <w:sz w:val="24"/>
                <w:szCs w:val="24"/>
                <w:lang w:val="en-US" w:eastAsia="zh-CN"/>
              </w:rPr>
              <w:t>500</w:t>
            </w:r>
            <w:r>
              <w:rPr>
                <w:rFonts w:hint="eastAsia" w:ascii="宋体" w:hAnsi="宋体" w:eastAsia="宋体" w:cs="宋体"/>
                <w:sz w:val="24"/>
                <w:szCs w:val="24"/>
              </w:rPr>
              <w:t>,</w:t>
            </w:r>
            <w:r>
              <w:rPr>
                <w:rFonts w:hint="eastAsia" w:ascii="宋体" w:hAnsi="宋体" w:eastAsia="宋体" w:cs="宋体"/>
                <w:sz w:val="24"/>
                <w:szCs w:val="24"/>
                <w:lang w:val="en-US" w:eastAsia="zh-CN"/>
              </w:rPr>
              <w:t>000</w:t>
            </w:r>
            <w:r>
              <w:rPr>
                <w:rFonts w:hint="eastAsia" w:ascii="宋体" w:hAnsi="宋体" w:eastAsia="宋体" w:cs="宋体"/>
                <w:sz w:val="24"/>
                <w:szCs w:val="24"/>
              </w:rPr>
              <w:t>.00</w:t>
            </w:r>
            <w:r>
              <w:rPr>
                <w:rFonts w:hint="eastAsia" w:hAnsi="宋体" w:cs="宋体"/>
                <w:sz w:val="24"/>
                <w:szCs w:val="24"/>
                <w:lang w:val="en-US" w:eastAsia="zh-CN"/>
              </w:rPr>
              <w:t>元</w:t>
            </w:r>
          </w:p>
        </w:tc>
      </w:tr>
      <w:tr w14:paraId="670F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625" w:type="dxa"/>
            <w:vAlign w:val="center"/>
          </w:tcPr>
          <w:p w14:paraId="187D238E">
            <w:pPr>
              <w:pStyle w:val="108"/>
              <w:autoSpaceDE/>
              <w:autoSpaceDN/>
              <w:snapToGrid w:val="0"/>
              <w:spacing w:line="288" w:lineRule="auto"/>
              <w:jc w:val="center"/>
              <w:rPr>
                <w:rFonts w:hAnsi="宋体"/>
                <w:sz w:val="24"/>
                <w:szCs w:val="24"/>
              </w:rPr>
            </w:pPr>
            <w:r>
              <w:rPr>
                <w:rFonts w:hint="eastAsia" w:hAnsi="宋体"/>
                <w:sz w:val="24"/>
                <w:szCs w:val="24"/>
              </w:rPr>
              <w:t>8</w:t>
            </w:r>
          </w:p>
        </w:tc>
        <w:tc>
          <w:tcPr>
            <w:tcW w:w="1804" w:type="dxa"/>
            <w:vAlign w:val="center"/>
          </w:tcPr>
          <w:p w14:paraId="28D732AE">
            <w:pPr>
              <w:pStyle w:val="32"/>
              <w:adjustRightInd w:val="0"/>
              <w:snapToGrid w:val="0"/>
              <w:spacing w:before="0" w:beforeAutospacing="0" w:after="0" w:afterAutospacing="0" w:line="288" w:lineRule="auto"/>
              <w:jc w:val="center"/>
              <w:rPr>
                <w:rFonts w:hAnsi="宋体" w:cs="宋体"/>
                <w:sz w:val="24"/>
                <w:szCs w:val="24"/>
              </w:rPr>
            </w:pPr>
            <w:r>
              <w:rPr>
                <w:rFonts w:hint="eastAsia" w:hAnsi="宋体" w:cs="宋体"/>
                <w:sz w:val="24"/>
                <w:szCs w:val="24"/>
              </w:rPr>
              <w:t>资金来源</w:t>
            </w:r>
          </w:p>
        </w:tc>
        <w:tc>
          <w:tcPr>
            <w:tcW w:w="7038" w:type="dxa"/>
            <w:vAlign w:val="center"/>
          </w:tcPr>
          <w:p w14:paraId="74630028">
            <w:pPr>
              <w:pStyle w:val="32"/>
              <w:adjustRightInd w:val="0"/>
              <w:snapToGrid w:val="0"/>
              <w:spacing w:before="0" w:beforeAutospacing="0" w:after="0" w:afterAutospacing="0" w:line="312" w:lineRule="auto"/>
              <w:ind w:firstLine="612" w:firstLineChars="255"/>
              <w:rPr>
                <w:rFonts w:hAnsi="宋体" w:cs="宋体"/>
                <w:sz w:val="24"/>
                <w:szCs w:val="24"/>
              </w:rPr>
            </w:pPr>
            <w:r>
              <w:rPr>
                <w:rFonts w:hint="eastAsia" w:hAnsi="宋体" w:cs="宋体"/>
                <w:sz w:val="24"/>
                <w:szCs w:val="24"/>
              </w:rPr>
              <w:t>财政资金</w:t>
            </w:r>
          </w:p>
        </w:tc>
      </w:tr>
      <w:tr w14:paraId="60D7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625" w:type="dxa"/>
            <w:vAlign w:val="center"/>
          </w:tcPr>
          <w:p w14:paraId="566FA842">
            <w:pPr>
              <w:pStyle w:val="108"/>
              <w:autoSpaceDE/>
              <w:autoSpaceDN/>
              <w:snapToGrid w:val="0"/>
              <w:spacing w:line="288" w:lineRule="auto"/>
              <w:jc w:val="center"/>
              <w:rPr>
                <w:rFonts w:hAnsi="宋体"/>
                <w:sz w:val="24"/>
                <w:szCs w:val="24"/>
              </w:rPr>
            </w:pPr>
            <w:r>
              <w:rPr>
                <w:rFonts w:hint="eastAsia" w:hAnsi="宋体"/>
                <w:sz w:val="24"/>
                <w:szCs w:val="24"/>
              </w:rPr>
              <w:t>9</w:t>
            </w:r>
          </w:p>
        </w:tc>
        <w:tc>
          <w:tcPr>
            <w:tcW w:w="1804" w:type="dxa"/>
            <w:vAlign w:val="center"/>
          </w:tcPr>
          <w:p w14:paraId="6ED447CD">
            <w:pPr>
              <w:adjustRightInd w:val="0"/>
              <w:snapToGrid w:val="0"/>
              <w:spacing w:line="288" w:lineRule="auto"/>
              <w:jc w:val="center"/>
              <w:rPr>
                <w:rFonts w:hAnsi="宋体" w:cs="宋体"/>
                <w:sz w:val="24"/>
                <w:szCs w:val="24"/>
                <w:lang w:val="zh-CN"/>
              </w:rPr>
            </w:pPr>
            <w:r>
              <w:rPr>
                <w:rFonts w:hint="eastAsia" w:hAnsi="宋体" w:cs="宋体"/>
                <w:sz w:val="24"/>
                <w:szCs w:val="24"/>
              </w:rPr>
              <w:t>项目属性</w:t>
            </w:r>
          </w:p>
        </w:tc>
        <w:tc>
          <w:tcPr>
            <w:tcW w:w="7038" w:type="dxa"/>
            <w:vAlign w:val="center"/>
          </w:tcPr>
          <w:p w14:paraId="663556E7">
            <w:pPr>
              <w:pStyle w:val="32"/>
              <w:adjustRightInd w:val="0"/>
              <w:snapToGrid w:val="0"/>
              <w:spacing w:before="0" w:beforeAutospacing="0" w:after="0" w:afterAutospacing="0" w:line="312" w:lineRule="auto"/>
              <w:ind w:firstLine="612" w:firstLineChars="255"/>
              <w:rPr>
                <w:rFonts w:hAnsi="宋体" w:cs="宋体"/>
                <w:sz w:val="24"/>
                <w:szCs w:val="24"/>
              </w:rPr>
            </w:pPr>
            <w:r>
              <w:rPr>
                <w:rFonts w:hint="eastAsia" w:hAnsi="宋体" w:cs="宋体"/>
                <w:sz w:val="24"/>
                <w:szCs w:val="24"/>
                <w:lang w:val="en-US" w:eastAsia="zh-CN"/>
              </w:rPr>
              <w:t>服务</w:t>
            </w:r>
            <w:r>
              <w:rPr>
                <w:rFonts w:hint="eastAsia" w:hAnsi="宋体" w:cs="宋体"/>
                <w:sz w:val="24"/>
                <w:szCs w:val="24"/>
              </w:rPr>
              <w:t>类</w:t>
            </w:r>
          </w:p>
        </w:tc>
      </w:tr>
      <w:tr w14:paraId="0531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25" w:type="dxa"/>
            <w:vAlign w:val="center"/>
          </w:tcPr>
          <w:p w14:paraId="77DDF51C">
            <w:pPr>
              <w:pStyle w:val="108"/>
              <w:autoSpaceDE/>
              <w:autoSpaceDN/>
              <w:snapToGrid w:val="0"/>
              <w:spacing w:line="288" w:lineRule="auto"/>
              <w:jc w:val="center"/>
              <w:rPr>
                <w:rFonts w:hAnsi="宋体"/>
                <w:sz w:val="24"/>
                <w:szCs w:val="24"/>
              </w:rPr>
            </w:pPr>
            <w:r>
              <w:rPr>
                <w:rFonts w:hint="eastAsia" w:hAnsi="宋体"/>
                <w:sz w:val="24"/>
                <w:szCs w:val="24"/>
              </w:rPr>
              <w:t>10</w:t>
            </w:r>
          </w:p>
        </w:tc>
        <w:tc>
          <w:tcPr>
            <w:tcW w:w="1804" w:type="dxa"/>
            <w:vAlign w:val="center"/>
          </w:tcPr>
          <w:p w14:paraId="498688A5">
            <w:pPr>
              <w:adjustRightInd w:val="0"/>
              <w:snapToGrid w:val="0"/>
              <w:spacing w:line="288" w:lineRule="auto"/>
              <w:jc w:val="center"/>
              <w:rPr>
                <w:rFonts w:ascii="仿宋" w:hAnsi="仿宋"/>
                <w:sz w:val="24"/>
                <w:szCs w:val="24"/>
              </w:rPr>
            </w:pPr>
            <w:r>
              <w:rPr>
                <w:rFonts w:hint="eastAsia" w:ascii="仿宋" w:hAnsi="仿宋"/>
                <w:sz w:val="24"/>
                <w:szCs w:val="24"/>
              </w:rPr>
              <w:t>招标范围</w:t>
            </w:r>
          </w:p>
        </w:tc>
        <w:tc>
          <w:tcPr>
            <w:tcW w:w="7038" w:type="dxa"/>
            <w:vAlign w:val="center"/>
          </w:tcPr>
          <w:p w14:paraId="1392E768">
            <w:pPr>
              <w:pStyle w:val="32"/>
              <w:adjustRightInd w:val="0"/>
              <w:snapToGrid w:val="0"/>
              <w:spacing w:before="0" w:beforeAutospacing="0" w:after="0" w:afterAutospacing="0" w:line="312" w:lineRule="auto"/>
              <w:ind w:firstLine="612" w:firstLineChars="255"/>
              <w:rPr>
                <w:rFonts w:hAnsi="宋体" w:cs="宋体"/>
                <w:sz w:val="24"/>
                <w:szCs w:val="24"/>
              </w:rPr>
            </w:pPr>
            <w:r>
              <w:rPr>
                <w:rFonts w:hint="eastAsia" w:hAnsi="宋体" w:cs="宋体"/>
                <w:sz w:val="24"/>
                <w:szCs w:val="24"/>
                <w:lang w:val="en-US" w:eastAsia="zh-CN"/>
              </w:rPr>
              <w:t>招标文件</w:t>
            </w:r>
            <w:r>
              <w:rPr>
                <w:rFonts w:hint="eastAsia" w:hAnsi="宋体" w:cs="宋体"/>
                <w:sz w:val="24"/>
                <w:szCs w:val="24"/>
              </w:rPr>
              <w:t>全部内容</w:t>
            </w:r>
          </w:p>
        </w:tc>
      </w:tr>
      <w:tr w14:paraId="0E9E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25" w:type="dxa"/>
            <w:vAlign w:val="center"/>
          </w:tcPr>
          <w:p w14:paraId="6202AB6D">
            <w:pPr>
              <w:pStyle w:val="108"/>
              <w:autoSpaceDE/>
              <w:autoSpaceDN/>
              <w:snapToGrid w:val="0"/>
              <w:spacing w:line="288" w:lineRule="auto"/>
              <w:jc w:val="center"/>
              <w:rPr>
                <w:rFonts w:hAnsi="宋体"/>
                <w:sz w:val="24"/>
                <w:szCs w:val="24"/>
              </w:rPr>
            </w:pPr>
            <w:r>
              <w:rPr>
                <w:rFonts w:hint="eastAsia" w:hAnsi="宋体"/>
                <w:sz w:val="24"/>
                <w:szCs w:val="24"/>
              </w:rPr>
              <w:t>11</w:t>
            </w:r>
          </w:p>
        </w:tc>
        <w:tc>
          <w:tcPr>
            <w:tcW w:w="1804" w:type="dxa"/>
            <w:vAlign w:val="center"/>
          </w:tcPr>
          <w:p w14:paraId="0CCA1CBF">
            <w:pPr>
              <w:adjustRightInd w:val="0"/>
              <w:snapToGrid w:val="0"/>
              <w:spacing w:line="288" w:lineRule="auto"/>
              <w:jc w:val="center"/>
              <w:rPr>
                <w:rFonts w:ascii="仿宋" w:hAnsi="仿宋"/>
                <w:sz w:val="24"/>
                <w:szCs w:val="24"/>
              </w:rPr>
            </w:pPr>
            <w:r>
              <w:rPr>
                <w:rFonts w:hint="eastAsia" w:ascii="仿宋" w:hAnsi="仿宋"/>
                <w:sz w:val="24"/>
                <w:szCs w:val="24"/>
                <w:lang w:val="en-US" w:eastAsia="zh-CN"/>
              </w:rPr>
              <w:t>服务</w:t>
            </w:r>
            <w:r>
              <w:rPr>
                <w:rFonts w:hint="eastAsia" w:ascii="仿宋" w:hAnsi="仿宋"/>
                <w:sz w:val="24"/>
                <w:szCs w:val="24"/>
              </w:rPr>
              <w:t>质量</w:t>
            </w:r>
          </w:p>
        </w:tc>
        <w:tc>
          <w:tcPr>
            <w:tcW w:w="7038" w:type="dxa"/>
            <w:vAlign w:val="center"/>
          </w:tcPr>
          <w:p w14:paraId="3101F522">
            <w:pPr>
              <w:pStyle w:val="32"/>
              <w:adjustRightInd w:val="0"/>
              <w:snapToGrid w:val="0"/>
              <w:spacing w:before="0" w:beforeAutospacing="0" w:after="0" w:afterAutospacing="0" w:line="312" w:lineRule="auto"/>
              <w:ind w:firstLine="612" w:firstLineChars="255"/>
              <w:rPr>
                <w:rFonts w:hAnsi="宋体" w:cs="宋体"/>
                <w:sz w:val="24"/>
                <w:szCs w:val="24"/>
              </w:rPr>
            </w:pPr>
            <w:r>
              <w:rPr>
                <w:rFonts w:hint="eastAsia" w:hAnsi="宋体" w:cs="宋体"/>
                <w:sz w:val="24"/>
                <w:szCs w:val="24"/>
              </w:rPr>
              <w:t>合格</w:t>
            </w:r>
          </w:p>
        </w:tc>
      </w:tr>
      <w:tr w14:paraId="3801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25" w:type="dxa"/>
            <w:vAlign w:val="center"/>
          </w:tcPr>
          <w:p w14:paraId="7274CCA6">
            <w:pPr>
              <w:pStyle w:val="108"/>
              <w:autoSpaceDE/>
              <w:autoSpaceDN/>
              <w:snapToGrid w:val="0"/>
              <w:spacing w:line="288" w:lineRule="auto"/>
              <w:jc w:val="center"/>
              <w:rPr>
                <w:rFonts w:hAnsi="宋体"/>
                <w:sz w:val="24"/>
                <w:szCs w:val="24"/>
              </w:rPr>
            </w:pPr>
            <w:r>
              <w:rPr>
                <w:rFonts w:hint="eastAsia" w:hAnsi="宋体"/>
                <w:sz w:val="24"/>
                <w:szCs w:val="24"/>
              </w:rPr>
              <w:t>12</w:t>
            </w:r>
          </w:p>
        </w:tc>
        <w:tc>
          <w:tcPr>
            <w:tcW w:w="1804" w:type="dxa"/>
            <w:vAlign w:val="center"/>
          </w:tcPr>
          <w:p w14:paraId="24E8A4F5">
            <w:pPr>
              <w:adjustRightInd w:val="0"/>
              <w:snapToGrid w:val="0"/>
              <w:spacing w:line="288" w:lineRule="auto"/>
              <w:jc w:val="center"/>
              <w:rPr>
                <w:rFonts w:ascii="仿宋" w:hAnsi="仿宋"/>
                <w:color w:val="auto"/>
                <w:sz w:val="24"/>
                <w:szCs w:val="24"/>
              </w:rPr>
            </w:pPr>
            <w:r>
              <w:rPr>
                <w:rFonts w:hint="eastAsia" w:ascii="仿宋" w:hAnsi="仿宋"/>
                <w:color w:val="auto"/>
                <w:sz w:val="24"/>
                <w:szCs w:val="24"/>
              </w:rPr>
              <w:t>计划工期</w:t>
            </w:r>
          </w:p>
        </w:tc>
        <w:tc>
          <w:tcPr>
            <w:tcW w:w="7038" w:type="dxa"/>
            <w:vAlign w:val="center"/>
          </w:tcPr>
          <w:p w14:paraId="22DCACF1">
            <w:pPr>
              <w:pStyle w:val="32"/>
              <w:adjustRightInd w:val="0"/>
              <w:snapToGrid w:val="0"/>
              <w:spacing w:before="0" w:beforeAutospacing="0" w:after="0" w:afterAutospacing="0" w:line="312" w:lineRule="auto"/>
              <w:ind w:firstLine="612" w:firstLineChars="255"/>
              <w:rPr>
                <w:rFonts w:hAnsi="宋体" w:cs="宋体"/>
                <w:color w:val="auto"/>
                <w:sz w:val="24"/>
                <w:szCs w:val="24"/>
              </w:rPr>
            </w:pPr>
            <w:r>
              <w:rPr>
                <w:rFonts w:hint="eastAsia" w:hAnsi="宋体" w:cs="宋体"/>
                <w:sz w:val="24"/>
                <w:szCs w:val="24"/>
                <w:lang w:val="en-US" w:eastAsia="zh-CN"/>
              </w:rPr>
              <w:t xml:space="preserve">合同签订之日起至 </w:t>
            </w:r>
            <w:r>
              <w:rPr>
                <w:rFonts w:hint="eastAsia" w:ascii="宋体" w:hAnsi="宋体" w:eastAsia="宋体" w:cs="宋体"/>
                <w:sz w:val="24"/>
                <w:szCs w:val="24"/>
                <w:lang w:val="en-US" w:eastAsia="zh-CN"/>
              </w:rPr>
              <w:t>2026年5月</w:t>
            </w:r>
          </w:p>
        </w:tc>
      </w:tr>
      <w:tr w14:paraId="4D27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25" w:type="dxa"/>
            <w:vAlign w:val="center"/>
          </w:tcPr>
          <w:p w14:paraId="776F3FE0">
            <w:pPr>
              <w:pStyle w:val="108"/>
              <w:autoSpaceDE/>
              <w:autoSpaceDN/>
              <w:snapToGrid w:val="0"/>
              <w:spacing w:line="288" w:lineRule="auto"/>
              <w:jc w:val="center"/>
              <w:rPr>
                <w:rFonts w:hAnsi="宋体"/>
                <w:sz w:val="24"/>
                <w:szCs w:val="24"/>
              </w:rPr>
            </w:pPr>
            <w:r>
              <w:rPr>
                <w:rFonts w:hint="eastAsia" w:hAnsi="宋体"/>
                <w:sz w:val="24"/>
                <w:szCs w:val="24"/>
              </w:rPr>
              <w:t>13</w:t>
            </w:r>
          </w:p>
        </w:tc>
        <w:tc>
          <w:tcPr>
            <w:tcW w:w="1804" w:type="dxa"/>
            <w:vAlign w:val="center"/>
          </w:tcPr>
          <w:p w14:paraId="5CB9C9D2">
            <w:pPr>
              <w:adjustRightInd w:val="0"/>
              <w:snapToGrid w:val="0"/>
              <w:spacing w:line="288" w:lineRule="auto"/>
              <w:jc w:val="center"/>
              <w:rPr>
                <w:rFonts w:ascii="仿宋" w:hAnsi="仿宋"/>
                <w:sz w:val="24"/>
                <w:szCs w:val="24"/>
              </w:rPr>
            </w:pPr>
            <w:r>
              <w:rPr>
                <w:rFonts w:hint="eastAsia" w:ascii="仿宋" w:hAnsi="仿宋"/>
                <w:sz w:val="24"/>
                <w:szCs w:val="24"/>
              </w:rPr>
              <w:t>供应商资质条件</w:t>
            </w:r>
          </w:p>
        </w:tc>
        <w:tc>
          <w:tcPr>
            <w:tcW w:w="7038" w:type="dxa"/>
            <w:vAlign w:val="center"/>
          </w:tcPr>
          <w:p w14:paraId="6C3FBB13">
            <w:pPr>
              <w:pStyle w:val="32"/>
              <w:adjustRightInd w:val="0"/>
              <w:snapToGrid w:val="0"/>
              <w:spacing w:before="0" w:beforeAutospacing="0" w:after="0" w:afterAutospacing="0" w:line="312" w:lineRule="auto"/>
              <w:ind w:firstLine="612" w:firstLineChars="255"/>
              <w:rPr>
                <w:rFonts w:hAnsi="宋体" w:cs="宋体"/>
                <w:sz w:val="24"/>
                <w:szCs w:val="24"/>
              </w:rPr>
            </w:pPr>
            <w:r>
              <w:rPr>
                <w:rFonts w:hint="eastAsia" w:hAnsi="宋体" w:cs="宋体"/>
                <w:sz w:val="24"/>
                <w:szCs w:val="24"/>
              </w:rPr>
              <w:t>详见“第一章竞争性</w:t>
            </w:r>
            <w:r>
              <w:rPr>
                <w:rFonts w:hint="eastAsia" w:hAnsi="宋体" w:cs="宋体"/>
                <w:sz w:val="24"/>
                <w:szCs w:val="24"/>
                <w:lang w:val="en-US" w:eastAsia="zh-CN"/>
              </w:rPr>
              <w:t>谈判</w:t>
            </w:r>
            <w:r>
              <w:rPr>
                <w:rFonts w:hint="eastAsia" w:hAnsi="宋体" w:cs="宋体"/>
                <w:sz w:val="24"/>
                <w:szCs w:val="24"/>
              </w:rPr>
              <w:t>公告‘二、申请人的资格要求’”</w:t>
            </w:r>
          </w:p>
        </w:tc>
      </w:tr>
      <w:tr w14:paraId="466D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25" w:type="dxa"/>
            <w:vAlign w:val="center"/>
          </w:tcPr>
          <w:p w14:paraId="3C3D5CF5">
            <w:pPr>
              <w:pStyle w:val="108"/>
              <w:autoSpaceDE/>
              <w:autoSpaceDN/>
              <w:snapToGrid w:val="0"/>
              <w:spacing w:line="288" w:lineRule="auto"/>
              <w:jc w:val="center"/>
              <w:rPr>
                <w:rFonts w:hAnsi="宋体"/>
                <w:sz w:val="24"/>
                <w:szCs w:val="24"/>
              </w:rPr>
            </w:pPr>
            <w:r>
              <w:rPr>
                <w:rFonts w:hint="eastAsia" w:hAnsi="宋体"/>
                <w:sz w:val="24"/>
                <w:szCs w:val="24"/>
              </w:rPr>
              <w:t>14</w:t>
            </w:r>
          </w:p>
        </w:tc>
        <w:tc>
          <w:tcPr>
            <w:tcW w:w="1804" w:type="dxa"/>
            <w:vAlign w:val="center"/>
          </w:tcPr>
          <w:p w14:paraId="6F015246">
            <w:pPr>
              <w:adjustRightInd w:val="0"/>
              <w:snapToGrid w:val="0"/>
              <w:spacing w:line="288" w:lineRule="auto"/>
              <w:jc w:val="center"/>
              <w:rPr>
                <w:rFonts w:hAnsi="宋体" w:cs="宋体"/>
                <w:b/>
                <w:bCs/>
                <w:sz w:val="24"/>
                <w:szCs w:val="24"/>
                <w:lang w:val="zh-CN"/>
              </w:rPr>
            </w:pPr>
            <w:r>
              <w:rPr>
                <w:rFonts w:hint="eastAsia" w:ascii="仿宋" w:hAnsi="仿宋"/>
                <w:sz w:val="24"/>
                <w:szCs w:val="24"/>
              </w:rPr>
              <w:t>交易形式</w:t>
            </w:r>
          </w:p>
        </w:tc>
        <w:tc>
          <w:tcPr>
            <w:tcW w:w="7038" w:type="dxa"/>
            <w:vAlign w:val="center"/>
          </w:tcPr>
          <w:p w14:paraId="7E41DD85">
            <w:pPr>
              <w:pStyle w:val="32"/>
              <w:adjustRightInd w:val="0"/>
              <w:snapToGrid w:val="0"/>
              <w:spacing w:before="0" w:beforeAutospacing="0" w:after="0" w:afterAutospacing="0" w:line="312" w:lineRule="auto"/>
              <w:ind w:firstLine="612" w:firstLineChars="255"/>
              <w:rPr>
                <w:rFonts w:hAnsi="宋体" w:cs="宋体"/>
                <w:sz w:val="24"/>
                <w:szCs w:val="24"/>
              </w:rPr>
            </w:pPr>
            <w:r>
              <w:rPr>
                <w:rFonts w:hint="eastAsia" w:hAnsi="宋体" w:cs="宋体"/>
                <w:sz w:val="24"/>
                <w:szCs w:val="24"/>
              </w:rPr>
              <w:t>本项目为电子化交易项目</w:t>
            </w:r>
          </w:p>
        </w:tc>
      </w:tr>
      <w:tr w14:paraId="264B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25" w:type="dxa"/>
            <w:vAlign w:val="center"/>
          </w:tcPr>
          <w:p w14:paraId="47DA638C">
            <w:pPr>
              <w:pStyle w:val="108"/>
              <w:spacing w:line="288" w:lineRule="auto"/>
              <w:jc w:val="center"/>
              <w:rPr>
                <w:rFonts w:hAnsi="宋体"/>
                <w:sz w:val="24"/>
                <w:szCs w:val="24"/>
              </w:rPr>
            </w:pPr>
            <w:r>
              <w:rPr>
                <w:rFonts w:hint="eastAsia" w:hAnsi="宋体"/>
                <w:sz w:val="24"/>
                <w:szCs w:val="24"/>
              </w:rPr>
              <w:t>15</w:t>
            </w:r>
          </w:p>
        </w:tc>
        <w:tc>
          <w:tcPr>
            <w:tcW w:w="1804" w:type="dxa"/>
            <w:vAlign w:val="center"/>
          </w:tcPr>
          <w:p w14:paraId="0A2C027D">
            <w:pPr>
              <w:adjustRightInd w:val="0"/>
              <w:snapToGrid w:val="0"/>
              <w:spacing w:line="288" w:lineRule="auto"/>
              <w:jc w:val="center"/>
              <w:rPr>
                <w:rFonts w:hint="eastAsia" w:hAnsi="宋体" w:eastAsia="宋体" w:cs="宋体"/>
                <w:sz w:val="24"/>
                <w:szCs w:val="24"/>
                <w:lang w:val="zh-CN" w:eastAsia="zh-CN"/>
              </w:rPr>
            </w:pPr>
            <w:r>
              <w:rPr>
                <w:rFonts w:hint="eastAsia" w:hAnsi="宋体" w:cs="宋体"/>
                <w:sz w:val="24"/>
                <w:szCs w:val="24"/>
                <w:lang w:val="zh-CN"/>
              </w:rPr>
              <w:t>联合体</w:t>
            </w:r>
            <w:r>
              <w:rPr>
                <w:rFonts w:hint="eastAsia" w:hAnsi="宋体" w:cs="宋体"/>
                <w:sz w:val="24"/>
                <w:szCs w:val="24"/>
                <w:lang w:eastAsia="zh-CN"/>
              </w:rPr>
              <w:t>谈判</w:t>
            </w:r>
          </w:p>
        </w:tc>
        <w:tc>
          <w:tcPr>
            <w:tcW w:w="7038" w:type="dxa"/>
            <w:vAlign w:val="center"/>
          </w:tcPr>
          <w:p w14:paraId="08810096">
            <w:pPr>
              <w:pStyle w:val="32"/>
              <w:adjustRightInd w:val="0"/>
              <w:snapToGrid w:val="0"/>
              <w:spacing w:before="0" w:beforeAutospacing="0" w:after="0" w:afterAutospacing="0" w:line="312" w:lineRule="auto"/>
              <w:ind w:firstLine="612" w:firstLineChars="255"/>
              <w:rPr>
                <w:rFonts w:hAnsi="宋体" w:cs="宋体"/>
                <w:sz w:val="24"/>
                <w:szCs w:val="24"/>
              </w:rPr>
            </w:pPr>
            <w:r>
              <w:rPr>
                <w:rFonts w:hint="eastAsia" w:hAnsi="宋体" w:cs="宋体"/>
                <w:sz w:val="24"/>
                <w:szCs w:val="24"/>
              </w:rPr>
              <w:t>不接受</w:t>
            </w:r>
          </w:p>
        </w:tc>
      </w:tr>
      <w:tr w14:paraId="6CF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jc w:val="center"/>
        </w:trPr>
        <w:tc>
          <w:tcPr>
            <w:tcW w:w="625" w:type="dxa"/>
            <w:vAlign w:val="center"/>
          </w:tcPr>
          <w:p w14:paraId="172F8B67">
            <w:pPr>
              <w:pStyle w:val="108"/>
              <w:spacing w:line="288" w:lineRule="auto"/>
              <w:jc w:val="center"/>
              <w:rPr>
                <w:rFonts w:hAnsi="宋体"/>
                <w:sz w:val="24"/>
                <w:szCs w:val="24"/>
              </w:rPr>
            </w:pPr>
            <w:r>
              <w:rPr>
                <w:rFonts w:hint="eastAsia" w:hAnsi="宋体"/>
                <w:sz w:val="24"/>
                <w:szCs w:val="24"/>
              </w:rPr>
              <w:t>16</w:t>
            </w:r>
          </w:p>
        </w:tc>
        <w:tc>
          <w:tcPr>
            <w:tcW w:w="1804" w:type="dxa"/>
            <w:vAlign w:val="center"/>
          </w:tcPr>
          <w:p w14:paraId="3E7FE0BA">
            <w:pPr>
              <w:adjustRightInd w:val="0"/>
              <w:snapToGrid w:val="0"/>
              <w:spacing w:line="288" w:lineRule="auto"/>
              <w:jc w:val="center"/>
              <w:rPr>
                <w:rFonts w:hAnsi="宋体" w:cs="宋体"/>
                <w:color w:val="000000"/>
                <w:sz w:val="24"/>
                <w:szCs w:val="24"/>
                <w:lang w:val="zh-CN"/>
              </w:rPr>
            </w:pPr>
            <w:r>
              <w:rPr>
                <w:rFonts w:hint="eastAsia" w:hAnsi="宋体" w:cs="宋体"/>
                <w:color w:val="000000"/>
                <w:sz w:val="24"/>
                <w:szCs w:val="24"/>
                <w:lang w:val="zh-CN"/>
              </w:rPr>
              <w:t>是否专门面向</w:t>
            </w:r>
          </w:p>
          <w:p w14:paraId="1B686C4C">
            <w:pPr>
              <w:adjustRightInd w:val="0"/>
              <w:snapToGrid w:val="0"/>
              <w:spacing w:line="288" w:lineRule="auto"/>
              <w:jc w:val="center"/>
              <w:rPr>
                <w:rFonts w:hAnsi="宋体" w:cs="宋体"/>
                <w:color w:val="000000"/>
                <w:sz w:val="24"/>
                <w:szCs w:val="24"/>
                <w:lang w:val="zh-CN"/>
              </w:rPr>
            </w:pPr>
            <w:r>
              <w:rPr>
                <w:rFonts w:hint="eastAsia" w:hAnsi="宋体" w:cs="宋体"/>
                <w:color w:val="000000"/>
                <w:sz w:val="24"/>
                <w:szCs w:val="24"/>
                <w:lang w:val="zh-CN"/>
              </w:rPr>
              <w:t>中小企业采购</w:t>
            </w:r>
          </w:p>
        </w:tc>
        <w:tc>
          <w:tcPr>
            <w:tcW w:w="7038" w:type="dxa"/>
            <w:vAlign w:val="center"/>
          </w:tcPr>
          <w:p w14:paraId="50578E74">
            <w:pPr>
              <w:widowControl/>
              <w:tabs>
                <w:tab w:val="left" w:pos="1620"/>
              </w:tabs>
              <w:adjustRightInd w:val="0"/>
              <w:snapToGrid w:val="0"/>
              <w:spacing w:line="288" w:lineRule="auto"/>
              <w:ind w:firstLine="480" w:firstLineChars="200"/>
              <w:rPr>
                <w:rFonts w:hint="eastAsia" w:hAnsi="宋体" w:cs="宋体"/>
                <w:color w:val="000000"/>
                <w:sz w:val="24"/>
                <w:szCs w:val="24"/>
                <w:lang w:val="zh-CN"/>
              </w:rPr>
            </w:pPr>
            <w:r>
              <w:rPr>
                <w:rFonts w:hint="eastAsia" w:hAnsi="宋体" w:cs="宋体"/>
                <w:color w:val="000000"/>
                <w:sz w:val="24"/>
                <w:szCs w:val="24"/>
              </w:rPr>
              <w:t>是，非中小企业单位的</w:t>
            </w:r>
            <w:r>
              <w:rPr>
                <w:rFonts w:hint="eastAsia" w:hAnsi="宋体" w:cs="宋体"/>
                <w:color w:val="000000"/>
                <w:sz w:val="24"/>
                <w:szCs w:val="24"/>
                <w:lang w:eastAsia="zh-CN"/>
              </w:rPr>
              <w:t>供应商</w:t>
            </w:r>
            <w:r>
              <w:rPr>
                <w:rFonts w:hint="eastAsia" w:hAnsi="宋体" w:cs="宋体"/>
                <w:color w:val="000000"/>
                <w:sz w:val="24"/>
                <w:szCs w:val="24"/>
              </w:rPr>
              <w:t>，其投标无效。本次采购标的对应的中小企业所属行业为农、林、牧、渔业。本次采购标的应</w:t>
            </w:r>
            <w:r>
              <w:rPr>
                <w:rFonts w:hint="eastAsia" w:hAnsi="宋体" w:cs="宋体"/>
                <w:color w:val="000000"/>
                <w:sz w:val="24"/>
                <w:szCs w:val="24"/>
                <w:lang w:val="zh-CN"/>
              </w:rPr>
              <w:t>全部由</w:t>
            </w:r>
            <w:r>
              <w:rPr>
                <w:rFonts w:hint="eastAsia" w:hAnsi="宋体" w:cs="宋体"/>
                <w:color w:val="000000"/>
                <w:sz w:val="24"/>
                <w:szCs w:val="24"/>
              </w:rPr>
              <w:t>中</w:t>
            </w:r>
            <w:r>
              <w:rPr>
                <w:rFonts w:hint="eastAsia" w:hAnsi="宋体" w:cs="宋体"/>
                <w:color w:val="000000"/>
                <w:sz w:val="24"/>
                <w:szCs w:val="24"/>
                <w:lang w:val="zh-CN"/>
              </w:rPr>
              <w:t>小型承接的服务。</w:t>
            </w:r>
          </w:p>
          <w:p w14:paraId="02E2CFCA">
            <w:pPr>
              <w:pStyle w:val="32"/>
              <w:adjustRightInd w:val="0"/>
              <w:snapToGrid w:val="0"/>
              <w:spacing w:before="0" w:beforeAutospacing="0" w:after="0" w:afterAutospacing="0" w:line="312" w:lineRule="auto"/>
              <w:ind w:firstLine="612" w:firstLineChars="255"/>
              <w:rPr>
                <w:color w:val="000000"/>
                <w:sz w:val="24"/>
                <w:szCs w:val="24"/>
              </w:rPr>
            </w:pPr>
            <w:r>
              <w:rPr>
                <w:rFonts w:hint="eastAsia" w:hAnsi="宋体" w:cs="宋体"/>
                <w:color w:val="000000"/>
                <w:sz w:val="24"/>
                <w:szCs w:val="24"/>
              </w:rPr>
              <w:t>说明：专门面向中小企业采购的项目或者采购包，不再执行价格评审优惠的扶持政策。</w:t>
            </w:r>
          </w:p>
        </w:tc>
      </w:tr>
      <w:tr w14:paraId="4234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625" w:type="dxa"/>
            <w:vAlign w:val="center"/>
          </w:tcPr>
          <w:p w14:paraId="5D37DD6C">
            <w:pPr>
              <w:pStyle w:val="108"/>
              <w:spacing w:line="288" w:lineRule="auto"/>
              <w:jc w:val="center"/>
              <w:rPr>
                <w:rFonts w:hint="default" w:hAnsi="宋体" w:eastAsia="宋体"/>
                <w:sz w:val="24"/>
                <w:szCs w:val="24"/>
                <w:lang w:val="en-US" w:eastAsia="zh-CN"/>
              </w:rPr>
            </w:pPr>
            <w:r>
              <w:rPr>
                <w:rFonts w:hint="eastAsia" w:hAnsi="宋体"/>
                <w:sz w:val="24"/>
                <w:szCs w:val="24"/>
                <w:lang w:val="en-US" w:eastAsia="zh-CN"/>
              </w:rPr>
              <w:t>17</w:t>
            </w:r>
          </w:p>
        </w:tc>
        <w:tc>
          <w:tcPr>
            <w:tcW w:w="1804" w:type="dxa"/>
            <w:vAlign w:val="center"/>
          </w:tcPr>
          <w:p w14:paraId="52C12E7B">
            <w:pPr>
              <w:adjustRightInd w:val="0"/>
              <w:snapToGrid w:val="0"/>
              <w:spacing w:line="288" w:lineRule="auto"/>
              <w:jc w:val="center"/>
              <w:rPr>
                <w:rFonts w:hAnsi="宋体" w:cs="宋体"/>
                <w:sz w:val="24"/>
                <w:szCs w:val="24"/>
                <w:lang w:val="zh-CN"/>
              </w:rPr>
            </w:pPr>
            <w:r>
              <w:rPr>
                <w:rFonts w:hint="eastAsia" w:hAnsi="宋体" w:cs="宋体"/>
                <w:sz w:val="24"/>
                <w:szCs w:val="24"/>
              </w:rPr>
              <w:t>现场踏勘</w:t>
            </w:r>
          </w:p>
        </w:tc>
        <w:tc>
          <w:tcPr>
            <w:tcW w:w="7038" w:type="dxa"/>
            <w:vAlign w:val="center"/>
          </w:tcPr>
          <w:p w14:paraId="4BFB90FC">
            <w:pPr>
              <w:adjustRightInd w:val="0"/>
              <w:snapToGrid w:val="0"/>
              <w:spacing w:line="312" w:lineRule="auto"/>
              <w:ind w:firstLine="612" w:firstLineChars="255"/>
              <w:rPr>
                <w:rFonts w:hAnsi="宋体" w:cs="宋体"/>
                <w:sz w:val="24"/>
                <w:szCs w:val="24"/>
              </w:rPr>
            </w:pPr>
            <w:r>
              <w:rPr>
                <w:rFonts w:hint="eastAsia" w:hAnsi="宋体" w:cs="宋体"/>
                <w:sz w:val="24"/>
                <w:szCs w:val="24"/>
              </w:rPr>
              <w:t>无</w:t>
            </w:r>
          </w:p>
        </w:tc>
      </w:tr>
      <w:tr w14:paraId="4AFB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9" w:hRule="atLeast"/>
          <w:jc w:val="center"/>
        </w:trPr>
        <w:tc>
          <w:tcPr>
            <w:tcW w:w="625" w:type="dxa"/>
            <w:vAlign w:val="center"/>
          </w:tcPr>
          <w:p w14:paraId="4C738F68">
            <w:pPr>
              <w:pStyle w:val="108"/>
              <w:spacing w:line="288" w:lineRule="auto"/>
              <w:jc w:val="center"/>
              <w:rPr>
                <w:rFonts w:hAnsi="宋体"/>
                <w:sz w:val="24"/>
                <w:szCs w:val="24"/>
              </w:rPr>
            </w:pPr>
            <w:r>
              <w:rPr>
                <w:rFonts w:hint="eastAsia" w:hAnsi="宋体"/>
                <w:sz w:val="24"/>
                <w:szCs w:val="24"/>
              </w:rPr>
              <w:t>18</w:t>
            </w:r>
          </w:p>
        </w:tc>
        <w:tc>
          <w:tcPr>
            <w:tcW w:w="1804" w:type="dxa"/>
            <w:vAlign w:val="center"/>
          </w:tcPr>
          <w:p w14:paraId="08FC5394">
            <w:pPr>
              <w:adjustRightInd w:val="0"/>
              <w:snapToGrid w:val="0"/>
              <w:spacing w:line="288" w:lineRule="auto"/>
              <w:jc w:val="center"/>
              <w:rPr>
                <w:rFonts w:hAnsi="宋体" w:cs="宋体"/>
                <w:bCs/>
                <w:sz w:val="24"/>
                <w:szCs w:val="24"/>
              </w:rPr>
            </w:pPr>
            <w:r>
              <w:rPr>
                <w:rFonts w:hint="eastAsia" w:hAnsi="宋体" w:cs="宋体"/>
                <w:sz w:val="24"/>
                <w:szCs w:val="24"/>
                <w:lang w:val="zh-CN"/>
              </w:rPr>
              <w:t>对</w:t>
            </w:r>
            <w:r>
              <w:rPr>
                <w:rFonts w:hint="eastAsia" w:hAnsi="宋体" w:cs="宋体"/>
                <w:sz w:val="24"/>
                <w:szCs w:val="24"/>
                <w:lang w:val="en-US" w:eastAsia="zh-CN"/>
              </w:rPr>
              <w:t>谈判</w:t>
            </w:r>
            <w:r>
              <w:rPr>
                <w:rFonts w:hint="eastAsia" w:hAnsi="宋体" w:cs="宋体"/>
                <w:sz w:val="24"/>
                <w:szCs w:val="24"/>
                <w:lang w:val="zh-CN"/>
              </w:rPr>
              <w:t>文件澄清或修改的时间</w:t>
            </w:r>
          </w:p>
        </w:tc>
        <w:tc>
          <w:tcPr>
            <w:tcW w:w="7038" w:type="dxa"/>
            <w:vAlign w:val="center"/>
          </w:tcPr>
          <w:p w14:paraId="42A8EE72">
            <w:pPr>
              <w:adjustRightInd w:val="0"/>
              <w:snapToGrid w:val="0"/>
              <w:spacing w:line="312" w:lineRule="auto"/>
              <w:ind w:firstLine="520" w:firstLineChars="217"/>
              <w:rPr>
                <w:rFonts w:hAnsi="宋体" w:cs="宋体"/>
                <w:sz w:val="24"/>
                <w:szCs w:val="24"/>
                <w:lang w:val="zh-CN"/>
              </w:rPr>
            </w:pPr>
            <w:r>
              <w:rPr>
                <w:rFonts w:hint="eastAsia" w:hAnsi="宋体" w:cs="宋体"/>
                <w:sz w:val="24"/>
                <w:szCs w:val="24"/>
                <w:lang w:val="zh-CN"/>
              </w:rPr>
              <w:t>采购人或</w:t>
            </w:r>
            <w:r>
              <w:rPr>
                <w:rFonts w:hint="eastAsia" w:hAnsi="宋体" w:cs="宋体"/>
                <w:sz w:val="24"/>
                <w:szCs w:val="24"/>
                <w:lang w:val="en-US" w:eastAsia="zh-CN"/>
              </w:rPr>
              <w:t>谈判</w:t>
            </w:r>
            <w:r>
              <w:rPr>
                <w:rFonts w:hint="eastAsia" w:hAnsi="宋体" w:cs="宋体"/>
                <w:sz w:val="24"/>
                <w:szCs w:val="24"/>
                <w:lang w:val="zh-CN"/>
              </w:rPr>
              <w:t>文件要求提交</w:t>
            </w:r>
            <w:r>
              <w:rPr>
                <w:rFonts w:hint="eastAsia" w:hAnsi="宋体" w:cs="宋体"/>
                <w:sz w:val="24"/>
                <w:szCs w:val="24"/>
                <w:lang w:val="en-US" w:eastAsia="zh-CN"/>
              </w:rPr>
              <w:t>谈判</w:t>
            </w:r>
            <w:r>
              <w:rPr>
                <w:rFonts w:hint="eastAsia" w:hAnsi="宋体" w:cs="宋体"/>
                <w:sz w:val="24"/>
                <w:szCs w:val="24"/>
              </w:rPr>
              <w:t>响应</w:t>
            </w:r>
            <w:r>
              <w:rPr>
                <w:rFonts w:hint="eastAsia" w:hAnsi="宋体" w:cs="宋体"/>
                <w:sz w:val="24"/>
                <w:szCs w:val="24"/>
                <w:lang w:val="zh-CN"/>
              </w:rPr>
              <w:t>文件截止时间</w:t>
            </w:r>
            <w:r>
              <w:rPr>
                <w:rFonts w:hint="eastAsia" w:hAnsi="宋体" w:cs="宋体"/>
                <w:sz w:val="24"/>
                <w:szCs w:val="24"/>
              </w:rPr>
              <w:t>5</w:t>
            </w:r>
            <w:r>
              <w:rPr>
                <w:rFonts w:hint="eastAsia" w:hAnsi="宋体" w:cs="宋体"/>
                <w:sz w:val="24"/>
                <w:szCs w:val="24"/>
                <w:lang w:val="zh-CN"/>
              </w:rPr>
              <w:t>日前，不足</w:t>
            </w:r>
            <w:r>
              <w:rPr>
                <w:rFonts w:hint="eastAsia" w:hAnsi="宋体" w:cs="宋体"/>
                <w:sz w:val="24"/>
                <w:szCs w:val="24"/>
              </w:rPr>
              <w:t>5</w:t>
            </w:r>
            <w:r>
              <w:rPr>
                <w:rFonts w:hint="eastAsia" w:hAnsi="宋体" w:cs="宋体"/>
                <w:sz w:val="24"/>
                <w:szCs w:val="24"/>
                <w:lang w:val="zh-CN"/>
              </w:rPr>
              <w:t>日的应当顺采购代理机构对已发出的</w:t>
            </w:r>
            <w:r>
              <w:rPr>
                <w:rFonts w:hint="eastAsia" w:hAnsi="宋体" w:cs="宋体"/>
                <w:sz w:val="24"/>
                <w:szCs w:val="24"/>
                <w:lang w:val="en-US" w:eastAsia="zh-CN"/>
              </w:rPr>
              <w:t>谈判</w:t>
            </w:r>
            <w:r>
              <w:rPr>
                <w:rFonts w:hint="eastAsia" w:hAnsi="宋体" w:cs="宋体"/>
                <w:sz w:val="24"/>
                <w:szCs w:val="24"/>
                <w:lang w:val="zh-CN"/>
              </w:rPr>
              <w:t>文件进行必要的澄清或者修改，应当在延提交</w:t>
            </w:r>
            <w:r>
              <w:rPr>
                <w:rFonts w:hint="eastAsia" w:hAnsi="宋体" w:cs="宋体"/>
                <w:sz w:val="24"/>
                <w:szCs w:val="24"/>
                <w:lang w:val="en-US" w:eastAsia="zh-CN"/>
              </w:rPr>
              <w:t>谈判</w:t>
            </w:r>
            <w:r>
              <w:rPr>
                <w:rFonts w:hint="eastAsia" w:hAnsi="宋体" w:cs="宋体"/>
                <w:sz w:val="24"/>
                <w:szCs w:val="24"/>
              </w:rPr>
              <w:t>响应</w:t>
            </w:r>
            <w:r>
              <w:rPr>
                <w:rFonts w:hint="eastAsia" w:hAnsi="宋体" w:cs="宋体"/>
                <w:sz w:val="24"/>
                <w:szCs w:val="24"/>
                <w:lang w:val="zh-CN"/>
              </w:rPr>
              <w:t>文件的截止时间。</w:t>
            </w:r>
          </w:p>
        </w:tc>
      </w:tr>
      <w:tr w14:paraId="76C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625" w:type="dxa"/>
            <w:vAlign w:val="center"/>
          </w:tcPr>
          <w:p w14:paraId="0348BB87">
            <w:pPr>
              <w:pStyle w:val="108"/>
              <w:tabs>
                <w:tab w:val="left" w:pos="475"/>
              </w:tabs>
              <w:spacing w:line="288" w:lineRule="auto"/>
              <w:jc w:val="center"/>
              <w:rPr>
                <w:rFonts w:hAnsi="宋体"/>
                <w:sz w:val="24"/>
                <w:szCs w:val="24"/>
              </w:rPr>
            </w:pPr>
            <w:r>
              <w:rPr>
                <w:rFonts w:hint="eastAsia" w:hAnsi="宋体"/>
                <w:sz w:val="24"/>
                <w:szCs w:val="24"/>
              </w:rPr>
              <w:t>19</w:t>
            </w:r>
          </w:p>
        </w:tc>
        <w:tc>
          <w:tcPr>
            <w:tcW w:w="1804" w:type="dxa"/>
            <w:vAlign w:val="center"/>
          </w:tcPr>
          <w:p w14:paraId="0A8B6FF3">
            <w:pPr>
              <w:pStyle w:val="108"/>
              <w:snapToGrid w:val="0"/>
              <w:spacing w:line="288" w:lineRule="auto"/>
              <w:jc w:val="center"/>
              <w:rPr>
                <w:rFonts w:hAnsi="宋体"/>
                <w:sz w:val="24"/>
                <w:szCs w:val="24"/>
              </w:rPr>
            </w:pPr>
            <w:r>
              <w:rPr>
                <w:rFonts w:hint="eastAsia" w:hAnsi="宋体"/>
                <w:sz w:val="24"/>
                <w:szCs w:val="24"/>
                <w:lang w:val="zh-CN"/>
              </w:rPr>
              <w:t>构成</w:t>
            </w:r>
            <w:r>
              <w:rPr>
                <w:rFonts w:hint="eastAsia" w:hAnsi="宋体"/>
                <w:sz w:val="24"/>
                <w:szCs w:val="24"/>
                <w:lang w:val="en-US" w:eastAsia="zh-CN"/>
              </w:rPr>
              <w:t>谈判</w:t>
            </w:r>
            <w:r>
              <w:rPr>
                <w:rFonts w:hint="eastAsia" w:hAnsi="宋体"/>
                <w:sz w:val="24"/>
                <w:szCs w:val="24"/>
                <w:lang w:val="zh-CN"/>
              </w:rPr>
              <w:t>文件的</w:t>
            </w:r>
          </w:p>
          <w:p w14:paraId="715B4834">
            <w:pPr>
              <w:pStyle w:val="108"/>
              <w:snapToGrid w:val="0"/>
              <w:spacing w:line="288" w:lineRule="auto"/>
              <w:jc w:val="center"/>
              <w:rPr>
                <w:rFonts w:hAnsi="宋体"/>
                <w:bCs/>
                <w:sz w:val="24"/>
                <w:szCs w:val="24"/>
              </w:rPr>
            </w:pPr>
            <w:r>
              <w:rPr>
                <w:rFonts w:hint="eastAsia" w:hAnsi="宋体"/>
                <w:sz w:val="24"/>
                <w:szCs w:val="24"/>
                <w:lang w:val="zh-CN"/>
              </w:rPr>
              <w:t>其他文件</w:t>
            </w:r>
          </w:p>
        </w:tc>
        <w:tc>
          <w:tcPr>
            <w:tcW w:w="7038" w:type="dxa"/>
            <w:vAlign w:val="center"/>
          </w:tcPr>
          <w:p w14:paraId="3D4A7DD6">
            <w:pPr>
              <w:pStyle w:val="108"/>
              <w:snapToGrid w:val="0"/>
              <w:spacing w:line="312" w:lineRule="auto"/>
              <w:ind w:firstLine="520" w:firstLineChars="217"/>
              <w:rPr>
                <w:rFonts w:hAnsi="宋体"/>
                <w:sz w:val="24"/>
                <w:szCs w:val="24"/>
                <w:lang w:val="zh-CN"/>
              </w:rPr>
            </w:pPr>
            <w:r>
              <w:rPr>
                <w:rFonts w:hint="eastAsia" w:hAnsi="宋体"/>
                <w:sz w:val="24"/>
                <w:szCs w:val="24"/>
                <w:lang w:val="zh-CN"/>
              </w:rPr>
              <w:t>以书面形式发出的答疑纪要或对</w:t>
            </w:r>
            <w:r>
              <w:rPr>
                <w:rFonts w:hint="eastAsia" w:hAnsi="宋体"/>
                <w:sz w:val="24"/>
                <w:szCs w:val="24"/>
                <w:lang w:val="en-US" w:eastAsia="zh-CN"/>
              </w:rPr>
              <w:t>谈判</w:t>
            </w:r>
            <w:r>
              <w:rPr>
                <w:rFonts w:hint="eastAsia" w:hAnsi="宋体"/>
                <w:sz w:val="24"/>
                <w:szCs w:val="24"/>
                <w:lang w:val="zh-CN"/>
              </w:rPr>
              <w:t>文件的澄清或修改内容，均为</w:t>
            </w:r>
            <w:r>
              <w:rPr>
                <w:rFonts w:hint="eastAsia" w:hAnsi="宋体"/>
                <w:sz w:val="24"/>
                <w:szCs w:val="24"/>
                <w:lang w:val="en-US" w:eastAsia="zh-CN"/>
              </w:rPr>
              <w:t>谈判</w:t>
            </w:r>
            <w:r>
              <w:rPr>
                <w:rFonts w:hint="eastAsia" w:hAnsi="宋体"/>
                <w:sz w:val="24"/>
                <w:szCs w:val="24"/>
                <w:lang w:val="zh-CN"/>
              </w:rPr>
              <w:t>文件的组成部分，对</w:t>
            </w:r>
            <w:r>
              <w:rPr>
                <w:rFonts w:hint="eastAsia" w:hAnsi="宋体"/>
                <w:sz w:val="24"/>
                <w:szCs w:val="24"/>
              </w:rPr>
              <w:t>供应商</w:t>
            </w:r>
            <w:r>
              <w:rPr>
                <w:rFonts w:hint="eastAsia" w:hAnsi="宋体"/>
                <w:sz w:val="24"/>
                <w:szCs w:val="24"/>
                <w:lang w:val="zh-CN"/>
              </w:rPr>
              <w:t>起约束作用。</w:t>
            </w:r>
          </w:p>
        </w:tc>
      </w:tr>
      <w:tr w14:paraId="3105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625" w:type="dxa"/>
            <w:vAlign w:val="center"/>
          </w:tcPr>
          <w:p w14:paraId="68DD6FEF">
            <w:pPr>
              <w:pStyle w:val="108"/>
              <w:spacing w:line="288" w:lineRule="auto"/>
              <w:jc w:val="center"/>
              <w:rPr>
                <w:rFonts w:hAnsi="宋体"/>
                <w:sz w:val="24"/>
                <w:szCs w:val="24"/>
              </w:rPr>
            </w:pPr>
            <w:r>
              <w:rPr>
                <w:rFonts w:hint="eastAsia" w:hAnsi="宋体"/>
                <w:sz w:val="24"/>
                <w:szCs w:val="24"/>
              </w:rPr>
              <w:t>20</w:t>
            </w:r>
          </w:p>
        </w:tc>
        <w:tc>
          <w:tcPr>
            <w:tcW w:w="1804" w:type="dxa"/>
            <w:vAlign w:val="center"/>
          </w:tcPr>
          <w:p w14:paraId="3CD53B66">
            <w:pPr>
              <w:pStyle w:val="108"/>
              <w:snapToGrid w:val="0"/>
              <w:spacing w:line="288" w:lineRule="auto"/>
              <w:jc w:val="center"/>
              <w:rPr>
                <w:rFonts w:hAnsi="宋体"/>
                <w:bCs/>
                <w:sz w:val="24"/>
                <w:szCs w:val="24"/>
              </w:rPr>
            </w:pPr>
            <w:r>
              <w:rPr>
                <w:rFonts w:hint="eastAsia" w:hAnsi="宋体"/>
                <w:sz w:val="24"/>
                <w:szCs w:val="24"/>
                <w:lang w:val="en-US" w:eastAsia="zh-CN"/>
              </w:rPr>
              <w:t>谈判</w:t>
            </w:r>
            <w:r>
              <w:rPr>
                <w:rFonts w:hint="eastAsia" w:hAnsi="宋体"/>
                <w:sz w:val="24"/>
                <w:szCs w:val="24"/>
                <w:lang w:val="zh-CN"/>
              </w:rPr>
              <w:t>有效期</w:t>
            </w:r>
          </w:p>
        </w:tc>
        <w:tc>
          <w:tcPr>
            <w:tcW w:w="7038" w:type="dxa"/>
            <w:vAlign w:val="center"/>
          </w:tcPr>
          <w:p w14:paraId="4F7B5904">
            <w:pPr>
              <w:pStyle w:val="108"/>
              <w:snapToGrid w:val="0"/>
              <w:spacing w:line="312" w:lineRule="auto"/>
              <w:ind w:firstLine="520" w:firstLineChars="217"/>
              <w:jc w:val="both"/>
              <w:rPr>
                <w:rFonts w:hAnsi="宋体"/>
                <w:sz w:val="24"/>
                <w:szCs w:val="24"/>
              </w:rPr>
            </w:pPr>
            <w:r>
              <w:rPr>
                <w:rFonts w:hint="eastAsia" w:hAnsi="宋体"/>
                <w:sz w:val="24"/>
                <w:szCs w:val="24"/>
                <w:lang w:val="zh-CN"/>
              </w:rPr>
              <w:t>从</w:t>
            </w:r>
            <w:r>
              <w:rPr>
                <w:rFonts w:hint="eastAsia" w:hAnsi="宋体"/>
                <w:sz w:val="24"/>
                <w:szCs w:val="24"/>
                <w:lang w:val="en-US" w:eastAsia="zh-CN"/>
              </w:rPr>
              <w:t>谈判</w:t>
            </w:r>
            <w:r>
              <w:rPr>
                <w:rFonts w:hint="eastAsia" w:hAnsi="宋体"/>
                <w:sz w:val="24"/>
                <w:szCs w:val="24"/>
                <w:lang w:val="zh-CN"/>
              </w:rPr>
              <w:t>截止日起不少于90日历</w:t>
            </w:r>
            <w:r>
              <w:rPr>
                <w:rFonts w:hint="eastAsia" w:hAnsi="宋体"/>
                <w:sz w:val="24"/>
                <w:szCs w:val="24"/>
              </w:rPr>
              <w:t>天</w:t>
            </w:r>
          </w:p>
        </w:tc>
      </w:tr>
      <w:tr w14:paraId="338A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25" w:type="dxa"/>
            <w:vAlign w:val="center"/>
          </w:tcPr>
          <w:p w14:paraId="427B8928">
            <w:pPr>
              <w:pStyle w:val="108"/>
              <w:spacing w:line="288" w:lineRule="auto"/>
              <w:jc w:val="center"/>
              <w:rPr>
                <w:rFonts w:hAnsi="宋体"/>
                <w:sz w:val="24"/>
                <w:szCs w:val="24"/>
              </w:rPr>
            </w:pPr>
            <w:r>
              <w:rPr>
                <w:rFonts w:hint="eastAsia" w:hAnsi="宋体"/>
                <w:sz w:val="24"/>
                <w:szCs w:val="24"/>
              </w:rPr>
              <w:t>21</w:t>
            </w:r>
          </w:p>
        </w:tc>
        <w:tc>
          <w:tcPr>
            <w:tcW w:w="1804" w:type="dxa"/>
            <w:vAlign w:val="center"/>
          </w:tcPr>
          <w:p w14:paraId="0259D631">
            <w:pPr>
              <w:pStyle w:val="108"/>
              <w:snapToGrid w:val="0"/>
              <w:spacing w:line="288" w:lineRule="auto"/>
              <w:jc w:val="center"/>
              <w:rPr>
                <w:rFonts w:hAnsi="宋体"/>
                <w:sz w:val="24"/>
                <w:szCs w:val="24"/>
                <w:lang w:val="zh-CN"/>
              </w:rPr>
            </w:pPr>
            <w:r>
              <w:rPr>
                <w:rFonts w:hint="eastAsia" w:hAnsi="宋体"/>
                <w:sz w:val="24"/>
                <w:szCs w:val="24"/>
                <w:lang w:val="en-US" w:eastAsia="zh-CN"/>
              </w:rPr>
              <w:t>谈判</w:t>
            </w:r>
            <w:r>
              <w:rPr>
                <w:rFonts w:hint="eastAsia" w:hAnsi="宋体"/>
                <w:sz w:val="24"/>
                <w:szCs w:val="24"/>
              </w:rPr>
              <w:t>保证金</w:t>
            </w:r>
          </w:p>
        </w:tc>
        <w:tc>
          <w:tcPr>
            <w:tcW w:w="7038" w:type="dxa"/>
            <w:vAlign w:val="center"/>
          </w:tcPr>
          <w:p w14:paraId="3F0C4DED">
            <w:pPr>
              <w:adjustRightInd w:val="0"/>
              <w:snapToGrid w:val="0"/>
              <w:spacing w:line="312" w:lineRule="auto"/>
              <w:ind w:firstLine="520" w:firstLineChars="217"/>
              <w:rPr>
                <w:rFonts w:hAnsi="宋体" w:cs="宋体"/>
                <w:sz w:val="24"/>
                <w:szCs w:val="24"/>
              </w:rPr>
            </w:pPr>
            <w:r>
              <w:rPr>
                <w:rFonts w:hint="eastAsia" w:hAnsi="宋体" w:cs="宋体"/>
                <w:sz w:val="24"/>
                <w:szCs w:val="24"/>
              </w:rPr>
              <w:t>无</w:t>
            </w:r>
          </w:p>
        </w:tc>
      </w:tr>
      <w:tr w14:paraId="398F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625" w:type="dxa"/>
            <w:vAlign w:val="center"/>
          </w:tcPr>
          <w:p w14:paraId="4113F80D">
            <w:pPr>
              <w:pStyle w:val="108"/>
              <w:spacing w:line="288" w:lineRule="auto"/>
              <w:jc w:val="center"/>
              <w:rPr>
                <w:rFonts w:hAnsi="宋体"/>
                <w:sz w:val="24"/>
                <w:szCs w:val="24"/>
              </w:rPr>
            </w:pPr>
            <w:r>
              <w:rPr>
                <w:rFonts w:hint="eastAsia" w:hAnsi="宋体"/>
                <w:sz w:val="24"/>
                <w:szCs w:val="24"/>
              </w:rPr>
              <w:t>22</w:t>
            </w:r>
          </w:p>
        </w:tc>
        <w:tc>
          <w:tcPr>
            <w:tcW w:w="1804" w:type="dxa"/>
            <w:vAlign w:val="center"/>
          </w:tcPr>
          <w:p w14:paraId="43DF437B">
            <w:pPr>
              <w:pStyle w:val="108"/>
              <w:snapToGrid w:val="0"/>
              <w:spacing w:line="288" w:lineRule="auto"/>
              <w:jc w:val="center"/>
              <w:rPr>
                <w:rFonts w:hAnsi="宋体"/>
                <w:sz w:val="24"/>
                <w:szCs w:val="24"/>
                <w:lang w:val="zh-CN"/>
              </w:rPr>
            </w:pPr>
            <w:r>
              <w:rPr>
                <w:rFonts w:hint="eastAsia" w:hAnsi="宋体"/>
                <w:sz w:val="24"/>
                <w:szCs w:val="24"/>
                <w:lang w:val="zh-CN"/>
              </w:rPr>
              <w:t>是否允许递交多个备选</w:t>
            </w:r>
            <w:r>
              <w:rPr>
                <w:rFonts w:hint="eastAsia" w:hAnsi="宋体"/>
                <w:sz w:val="24"/>
                <w:szCs w:val="24"/>
                <w:lang w:val="en-US" w:eastAsia="zh-CN"/>
              </w:rPr>
              <w:t>谈判</w:t>
            </w:r>
            <w:r>
              <w:rPr>
                <w:rFonts w:hint="eastAsia" w:hAnsi="宋体"/>
                <w:sz w:val="24"/>
                <w:szCs w:val="24"/>
                <w:lang w:val="zh-CN"/>
              </w:rPr>
              <w:t>方案</w:t>
            </w:r>
          </w:p>
        </w:tc>
        <w:tc>
          <w:tcPr>
            <w:tcW w:w="7038" w:type="dxa"/>
            <w:vAlign w:val="center"/>
          </w:tcPr>
          <w:p w14:paraId="5A2D77A9">
            <w:pPr>
              <w:pStyle w:val="108"/>
              <w:snapToGrid w:val="0"/>
              <w:spacing w:line="312" w:lineRule="auto"/>
              <w:ind w:firstLine="520" w:firstLineChars="217"/>
              <w:jc w:val="both"/>
              <w:rPr>
                <w:rFonts w:hAnsi="宋体"/>
                <w:sz w:val="24"/>
                <w:szCs w:val="24"/>
              </w:rPr>
            </w:pPr>
            <w:r>
              <w:rPr>
                <w:rFonts w:hint="eastAsia" w:hAnsi="宋体"/>
                <w:sz w:val="24"/>
                <w:szCs w:val="24"/>
                <w:lang w:val="zh-CN"/>
              </w:rPr>
              <w:t>不允许</w:t>
            </w:r>
          </w:p>
        </w:tc>
      </w:tr>
      <w:tr w14:paraId="1EF3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625" w:type="dxa"/>
            <w:vAlign w:val="center"/>
          </w:tcPr>
          <w:p w14:paraId="47D42E05">
            <w:pPr>
              <w:pStyle w:val="108"/>
              <w:spacing w:line="288" w:lineRule="auto"/>
              <w:jc w:val="center"/>
              <w:rPr>
                <w:rFonts w:hAnsi="宋体"/>
                <w:sz w:val="24"/>
                <w:szCs w:val="24"/>
              </w:rPr>
            </w:pPr>
            <w:r>
              <w:rPr>
                <w:rFonts w:hint="eastAsia" w:hAnsi="宋体"/>
                <w:sz w:val="24"/>
                <w:szCs w:val="24"/>
              </w:rPr>
              <w:t>23</w:t>
            </w:r>
          </w:p>
        </w:tc>
        <w:tc>
          <w:tcPr>
            <w:tcW w:w="1804" w:type="dxa"/>
            <w:vAlign w:val="center"/>
          </w:tcPr>
          <w:p w14:paraId="6D4B7AAF">
            <w:pPr>
              <w:adjustRightInd w:val="0"/>
              <w:snapToGrid w:val="0"/>
              <w:spacing w:line="288" w:lineRule="auto"/>
              <w:jc w:val="center"/>
              <w:rPr>
                <w:rFonts w:hAnsi="宋体" w:cs="宋体"/>
                <w:sz w:val="24"/>
                <w:szCs w:val="24"/>
                <w:lang w:val="zh-CN"/>
              </w:rPr>
            </w:pPr>
            <w:r>
              <w:rPr>
                <w:rFonts w:hint="eastAsia" w:hAnsi="宋体" w:cs="宋体"/>
                <w:sz w:val="24"/>
                <w:szCs w:val="24"/>
                <w:lang w:val="zh-CN"/>
              </w:rPr>
              <w:t>签字或盖章要求</w:t>
            </w:r>
          </w:p>
        </w:tc>
        <w:tc>
          <w:tcPr>
            <w:tcW w:w="7038" w:type="dxa"/>
            <w:vAlign w:val="center"/>
          </w:tcPr>
          <w:p w14:paraId="0E15DF94">
            <w:pPr>
              <w:pStyle w:val="108"/>
              <w:snapToGrid w:val="0"/>
              <w:spacing w:line="312" w:lineRule="auto"/>
              <w:ind w:firstLine="520" w:firstLineChars="217"/>
              <w:rPr>
                <w:rFonts w:hAnsi="宋体"/>
                <w:sz w:val="24"/>
                <w:szCs w:val="24"/>
                <w:lang w:val="zh-CN"/>
              </w:rPr>
            </w:pPr>
            <w:r>
              <w:rPr>
                <w:rFonts w:hint="eastAsia" w:hAnsi="宋体"/>
                <w:sz w:val="24"/>
                <w:szCs w:val="24"/>
                <w:lang w:val="en-US" w:eastAsia="zh-CN"/>
              </w:rPr>
              <w:t>谈判</w:t>
            </w:r>
            <w:r>
              <w:rPr>
                <w:rFonts w:hint="eastAsia" w:hAnsi="宋体"/>
                <w:sz w:val="24"/>
                <w:szCs w:val="24"/>
              </w:rPr>
              <w:t>响应</w:t>
            </w:r>
            <w:r>
              <w:rPr>
                <w:rFonts w:hint="eastAsia" w:hAnsi="宋体"/>
                <w:sz w:val="24"/>
                <w:szCs w:val="24"/>
                <w:lang w:val="zh-CN"/>
              </w:rPr>
              <w:t>文件加盖</w:t>
            </w:r>
            <w:r>
              <w:rPr>
                <w:rFonts w:hint="eastAsia" w:hAnsi="宋体"/>
                <w:sz w:val="24"/>
                <w:szCs w:val="24"/>
              </w:rPr>
              <w:t>供应商</w:t>
            </w:r>
            <w:r>
              <w:rPr>
                <w:rFonts w:hint="eastAsia" w:hAnsi="宋体"/>
                <w:sz w:val="24"/>
                <w:szCs w:val="24"/>
                <w:lang w:val="zh-CN"/>
              </w:rPr>
              <w:t>公章并经法定代表人或其授权代表签字。由授权代表签字的在</w:t>
            </w:r>
            <w:r>
              <w:rPr>
                <w:rFonts w:hint="eastAsia" w:hAnsi="宋体"/>
                <w:sz w:val="24"/>
                <w:szCs w:val="24"/>
                <w:lang w:val="en-US" w:eastAsia="zh-CN"/>
              </w:rPr>
              <w:t>谈判</w:t>
            </w:r>
            <w:r>
              <w:rPr>
                <w:rFonts w:hint="eastAsia" w:hAnsi="宋体"/>
                <w:sz w:val="24"/>
                <w:szCs w:val="24"/>
              </w:rPr>
              <w:t>响应</w:t>
            </w:r>
            <w:r>
              <w:rPr>
                <w:rFonts w:hint="eastAsia" w:hAnsi="宋体"/>
                <w:sz w:val="24"/>
                <w:szCs w:val="24"/>
                <w:lang w:val="zh-CN"/>
              </w:rPr>
              <w:t>文件中须同时提交有效</w:t>
            </w:r>
            <w:r>
              <w:rPr>
                <w:rFonts w:hint="eastAsia" w:hAnsi="宋体"/>
                <w:sz w:val="24"/>
                <w:szCs w:val="24"/>
                <w:lang w:val="en-US" w:eastAsia="zh-CN"/>
              </w:rPr>
              <w:t>谈判</w:t>
            </w:r>
            <w:r>
              <w:rPr>
                <w:rFonts w:hint="eastAsia" w:hAnsi="宋体"/>
                <w:sz w:val="24"/>
                <w:szCs w:val="24"/>
              </w:rPr>
              <w:t>响应</w:t>
            </w:r>
            <w:r>
              <w:rPr>
                <w:rFonts w:hint="eastAsia" w:hAnsi="宋体"/>
                <w:sz w:val="24"/>
                <w:szCs w:val="24"/>
                <w:lang w:val="zh-CN"/>
              </w:rPr>
              <w:t>文件签署授权委托书。</w:t>
            </w:r>
            <w:r>
              <w:rPr>
                <w:rFonts w:hint="eastAsia" w:hAnsi="宋体"/>
                <w:sz w:val="24"/>
                <w:szCs w:val="24"/>
                <w:lang w:val="en-US" w:eastAsia="zh-CN"/>
              </w:rPr>
              <w:t>谈判</w:t>
            </w:r>
            <w:r>
              <w:rPr>
                <w:rFonts w:hint="eastAsia" w:hAnsi="宋体"/>
                <w:sz w:val="24"/>
                <w:szCs w:val="24"/>
                <w:lang w:val="zh-CN"/>
              </w:rPr>
              <w:t>文件中凡是需要法定代表人签字或盖章之处，非法人单位的负责人均参照执行；</w:t>
            </w:r>
          </w:p>
        </w:tc>
      </w:tr>
      <w:tr w14:paraId="5F3B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625" w:type="dxa"/>
            <w:vAlign w:val="center"/>
          </w:tcPr>
          <w:p w14:paraId="1E0CBA6C">
            <w:pPr>
              <w:pStyle w:val="108"/>
              <w:spacing w:line="288" w:lineRule="auto"/>
              <w:jc w:val="center"/>
              <w:rPr>
                <w:rFonts w:hAnsi="宋体"/>
                <w:sz w:val="24"/>
                <w:szCs w:val="24"/>
              </w:rPr>
            </w:pPr>
            <w:r>
              <w:rPr>
                <w:rFonts w:hint="eastAsia" w:hAnsi="宋体"/>
                <w:sz w:val="24"/>
                <w:szCs w:val="24"/>
              </w:rPr>
              <w:t>24</w:t>
            </w:r>
          </w:p>
        </w:tc>
        <w:tc>
          <w:tcPr>
            <w:tcW w:w="1804" w:type="dxa"/>
            <w:vAlign w:val="center"/>
          </w:tcPr>
          <w:p w14:paraId="737E1F14">
            <w:pPr>
              <w:pStyle w:val="108"/>
              <w:snapToGrid w:val="0"/>
              <w:spacing w:line="288" w:lineRule="auto"/>
              <w:jc w:val="center"/>
              <w:rPr>
                <w:rFonts w:hAnsi="宋体"/>
                <w:sz w:val="24"/>
                <w:szCs w:val="24"/>
                <w:lang w:val="zh-CN"/>
              </w:rPr>
            </w:pPr>
            <w:r>
              <w:rPr>
                <w:rFonts w:hint="eastAsia" w:hAnsi="宋体"/>
                <w:sz w:val="24"/>
                <w:szCs w:val="24"/>
                <w:lang w:val="en-US" w:eastAsia="zh-CN"/>
              </w:rPr>
              <w:t>谈判</w:t>
            </w:r>
            <w:r>
              <w:rPr>
                <w:rFonts w:hint="eastAsia" w:hAnsi="宋体"/>
                <w:sz w:val="24"/>
                <w:szCs w:val="24"/>
              </w:rPr>
              <w:t>响应</w:t>
            </w:r>
            <w:r>
              <w:rPr>
                <w:rFonts w:hint="eastAsia" w:hAnsi="宋体"/>
                <w:sz w:val="24"/>
                <w:szCs w:val="24"/>
                <w:lang w:val="zh-CN"/>
              </w:rPr>
              <w:t>文件的形式</w:t>
            </w:r>
          </w:p>
        </w:tc>
        <w:tc>
          <w:tcPr>
            <w:tcW w:w="7038" w:type="dxa"/>
            <w:vAlign w:val="center"/>
          </w:tcPr>
          <w:p w14:paraId="34229ADE">
            <w:pPr>
              <w:pStyle w:val="108"/>
              <w:snapToGrid w:val="0"/>
              <w:spacing w:line="312" w:lineRule="auto"/>
              <w:ind w:firstLine="520" w:firstLineChars="217"/>
              <w:rPr>
                <w:rFonts w:hint="eastAsia" w:hAnsi="宋体"/>
                <w:color w:val="auto"/>
                <w:sz w:val="24"/>
                <w:szCs w:val="24"/>
              </w:rPr>
            </w:pPr>
            <w:r>
              <w:rPr>
                <w:rFonts w:hint="eastAsia" w:hAnsi="宋体"/>
                <w:color w:val="auto"/>
                <w:sz w:val="24"/>
                <w:szCs w:val="24"/>
              </w:rPr>
              <w:t>本项目为电子化交易项目；开标方式为不见面开标正本1份。各投标供应商应按要求向安康市公共资源交易平台提交电子响应文件。</w:t>
            </w:r>
          </w:p>
          <w:p w14:paraId="318FC47D">
            <w:pPr>
              <w:pStyle w:val="108"/>
              <w:snapToGrid w:val="0"/>
              <w:spacing w:line="312" w:lineRule="auto"/>
              <w:ind w:firstLine="520" w:firstLineChars="217"/>
              <w:rPr>
                <w:rFonts w:hint="default" w:hAnsi="宋体" w:eastAsia="宋体"/>
                <w:color w:val="auto"/>
                <w:sz w:val="24"/>
                <w:szCs w:val="24"/>
                <w:lang w:val="en-US" w:eastAsia="zh-CN"/>
              </w:rPr>
            </w:pPr>
            <w:r>
              <w:rPr>
                <w:rFonts w:hint="eastAsia" w:hAnsi="宋体"/>
                <w:color w:val="auto"/>
                <w:sz w:val="24"/>
                <w:szCs w:val="24"/>
              </w:rPr>
              <w:t>成交供应商需在采购结果公示后，领取成交通知书时递交纸质版竞争性</w:t>
            </w:r>
            <w:r>
              <w:rPr>
                <w:rFonts w:hint="eastAsia" w:hAnsi="宋体"/>
                <w:sz w:val="24"/>
                <w:szCs w:val="24"/>
                <w:lang w:val="en-US" w:eastAsia="zh-CN"/>
              </w:rPr>
              <w:t>谈判</w:t>
            </w:r>
            <w:r>
              <w:rPr>
                <w:rFonts w:hint="eastAsia" w:hAnsi="宋体"/>
                <w:color w:val="auto"/>
                <w:sz w:val="24"/>
                <w:szCs w:val="24"/>
              </w:rPr>
              <w:t>响应文件肆份（正本壹份，副本贰份，电子版壹份）,提供的纸质版</w:t>
            </w:r>
            <w:r>
              <w:rPr>
                <w:rFonts w:hint="eastAsia" w:hAnsi="宋体"/>
                <w:color w:val="auto"/>
                <w:sz w:val="24"/>
                <w:szCs w:val="24"/>
                <w:lang w:eastAsia="zh-CN"/>
              </w:rPr>
              <w:t>谈判</w:t>
            </w:r>
            <w:r>
              <w:rPr>
                <w:rFonts w:hint="eastAsia" w:hAnsi="宋体"/>
                <w:color w:val="auto"/>
                <w:sz w:val="24"/>
                <w:szCs w:val="24"/>
              </w:rPr>
              <w:t>响应文件需与上传的电子版文件保持一致（备案用）。</w:t>
            </w:r>
          </w:p>
        </w:tc>
      </w:tr>
      <w:tr w14:paraId="32D7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625" w:type="dxa"/>
            <w:vAlign w:val="center"/>
          </w:tcPr>
          <w:p w14:paraId="69AD1FC2">
            <w:pPr>
              <w:pStyle w:val="108"/>
              <w:spacing w:line="288"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5</w:t>
            </w:r>
          </w:p>
        </w:tc>
        <w:tc>
          <w:tcPr>
            <w:tcW w:w="1804" w:type="dxa"/>
            <w:vAlign w:val="center"/>
          </w:tcPr>
          <w:p w14:paraId="652E5112">
            <w:pPr>
              <w:pStyle w:val="108"/>
              <w:snapToGrid w:val="0"/>
              <w:spacing w:line="288" w:lineRule="auto"/>
              <w:jc w:val="center"/>
              <w:rPr>
                <w:rFonts w:hAnsi="宋体"/>
                <w:sz w:val="24"/>
                <w:szCs w:val="24"/>
                <w:lang w:val="zh-CN"/>
              </w:rPr>
            </w:pPr>
            <w:r>
              <w:rPr>
                <w:rFonts w:hint="eastAsia" w:hAnsi="宋体"/>
                <w:sz w:val="24"/>
                <w:szCs w:val="24"/>
              </w:rPr>
              <w:t>递交</w:t>
            </w:r>
            <w:r>
              <w:rPr>
                <w:rFonts w:hint="eastAsia" w:hAnsi="宋体"/>
                <w:sz w:val="24"/>
                <w:szCs w:val="24"/>
                <w:lang w:val="en-US" w:eastAsia="zh-CN"/>
              </w:rPr>
              <w:t>谈判</w:t>
            </w:r>
            <w:r>
              <w:rPr>
                <w:rFonts w:hint="eastAsia" w:hAnsi="宋体"/>
                <w:sz w:val="24"/>
                <w:szCs w:val="24"/>
              </w:rPr>
              <w:t>响应文件地点</w:t>
            </w:r>
          </w:p>
        </w:tc>
        <w:tc>
          <w:tcPr>
            <w:tcW w:w="7038" w:type="dxa"/>
            <w:vAlign w:val="center"/>
          </w:tcPr>
          <w:p w14:paraId="0AE77D99">
            <w:pPr>
              <w:pStyle w:val="108"/>
              <w:snapToGrid w:val="0"/>
              <w:spacing w:line="312" w:lineRule="auto"/>
              <w:ind w:firstLine="520" w:firstLineChars="217"/>
              <w:rPr>
                <w:rFonts w:hAnsi="宋体"/>
                <w:color w:val="auto"/>
                <w:sz w:val="24"/>
                <w:szCs w:val="24"/>
                <w:lang w:val="zh-CN"/>
              </w:rPr>
            </w:pPr>
            <w:r>
              <w:rPr>
                <w:rFonts w:hint="eastAsia" w:hAnsi="宋体"/>
                <w:color w:val="auto"/>
                <w:sz w:val="24"/>
                <w:szCs w:val="24"/>
              </w:rPr>
              <w:t>全国公共资源交易网平台（陕西省·安康市）不见面开标大厅</w:t>
            </w:r>
          </w:p>
        </w:tc>
      </w:tr>
      <w:tr w14:paraId="0A10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625" w:type="dxa"/>
            <w:vAlign w:val="center"/>
          </w:tcPr>
          <w:p w14:paraId="0303B506">
            <w:pPr>
              <w:pStyle w:val="108"/>
              <w:spacing w:line="288"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6</w:t>
            </w:r>
          </w:p>
        </w:tc>
        <w:tc>
          <w:tcPr>
            <w:tcW w:w="1804" w:type="dxa"/>
            <w:vAlign w:val="center"/>
          </w:tcPr>
          <w:p w14:paraId="6C0B1016">
            <w:pPr>
              <w:pStyle w:val="108"/>
              <w:snapToGrid w:val="0"/>
              <w:spacing w:line="288" w:lineRule="auto"/>
              <w:jc w:val="center"/>
              <w:rPr>
                <w:rFonts w:hAnsi="宋体"/>
                <w:sz w:val="24"/>
                <w:szCs w:val="24"/>
                <w:lang w:val="zh-CN"/>
              </w:rPr>
            </w:pPr>
            <w:r>
              <w:rPr>
                <w:rFonts w:hint="eastAsia" w:hAnsi="宋体"/>
                <w:sz w:val="24"/>
                <w:szCs w:val="24"/>
                <w:lang w:val="en-US" w:eastAsia="zh-CN"/>
              </w:rPr>
              <w:t>谈判</w:t>
            </w:r>
            <w:r>
              <w:rPr>
                <w:rFonts w:hint="eastAsia" w:hAnsi="宋体"/>
                <w:sz w:val="24"/>
                <w:szCs w:val="24"/>
              </w:rPr>
              <w:t>响应</w:t>
            </w:r>
            <w:r>
              <w:rPr>
                <w:rFonts w:hint="eastAsia" w:hAnsi="宋体"/>
                <w:sz w:val="24"/>
                <w:szCs w:val="24"/>
                <w:lang w:val="zh-CN"/>
              </w:rPr>
              <w:t>文件开标后是否退还</w:t>
            </w:r>
          </w:p>
        </w:tc>
        <w:tc>
          <w:tcPr>
            <w:tcW w:w="7038" w:type="dxa"/>
            <w:vAlign w:val="center"/>
          </w:tcPr>
          <w:p w14:paraId="580FBB25">
            <w:pPr>
              <w:autoSpaceDE w:val="0"/>
              <w:autoSpaceDN w:val="0"/>
              <w:adjustRightInd w:val="0"/>
              <w:snapToGrid w:val="0"/>
              <w:spacing w:line="312" w:lineRule="auto"/>
              <w:ind w:firstLine="520" w:firstLineChars="217"/>
              <w:jc w:val="left"/>
              <w:rPr>
                <w:rFonts w:hAnsi="宋体" w:cs="宋体"/>
                <w:color w:val="auto"/>
                <w:sz w:val="24"/>
                <w:szCs w:val="24"/>
              </w:rPr>
            </w:pPr>
            <w:r>
              <w:rPr>
                <w:rFonts w:hint="eastAsia" w:hAnsi="宋体" w:cs="宋体"/>
                <w:color w:val="auto"/>
                <w:sz w:val="24"/>
                <w:szCs w:val="24"/>
              </w:rPr>
              <w:t>否</w:t>
            </w:r>
          </w:p>
        </w:tc>
      </w:tr>
      <w:tr w14:paraId="77FC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625" w:type="dxa"/>
            <w:vAlign w:val="center"/>
          </w:tcPr>
          <w:p w14:paraId="15ED4B04">
            <w:pPr>
              <w:pStyle w:val="108"/>
              <w:spacing w:line="288"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7</w:t>
            </w:r>
          </w:p>
        </w:tc>
        <w:tc>
          <w:tcPr>
            <w:tcW w:w="1804" w:type="dxa"/>
            <w:vAlign w:val="center"/>
          </w:tcPr>
          <w:p w14:paraId="17440E53">
            <w:pPr>
              <w:pStyle w:val="108"/>
              <w:snapToGrid w:val="0"/>
              <w:spacing w:line="288" w:lineRule="auto"/>
              <w:jc w:val="center"/>
              <w:rPr>
                <w:rFonts w:hAnsi="宋体"/>
                <w:sz w:val="24"/>
                <w:szCs w:val="24"/>
                <w:lang w:val="zh-CN"/>
              </w:rPr>
            </w:pPr>
            <w:r>
              <w:rPr>
                <w:rFonts w:hint="eastAsia" w:hAnsi="宋体"/>
                <w:sz w:val="24"/>
                <w:szCs w:val="24"/>
              </w:rPr>
              <w:t>成交</w:t>
            </w:r>
            <w:r>
              <w:rPr>
                <w:rFonts w:hint="eastAsia" w:hAnsi="宋体"/>
                <w:sz w:val="24"/>
                <w:szCs w:val="24"/>
                <w:lang w:val="zh-CN"/>
              </w:rPr>
              <w:t>公告</w:t>
            </w:r>
          </w:p>
          <w:p w14:paraId="5FC37588">
            <w:pPr>
              <w:pStyle w:val="108"/>
              <w:snapToGrid w:val="0"/>
              <w:spacing w:line="288" w:lineRule="auto"/>
              <w:jc w:val="center"/>
              <w:rPr>
                <w:rFonts w:hAnsi="宋体"/>
                <w:sz w:val="24"/>
                <w:szCs w:val="24"/>
                <w:lang w:val="zh-CN"/>
              </w:rPr>
            </w:pPr>
            <w:r>
              <w:rPr>
                <w:rFonts w:hint="eastAsia" w:hAnsi="宋体"/>
                <w:sz w:val="24"/>
                <w:szCs w:val="24"/>
                <w:lang w:val="zh-CN"/>
              </w:rPr>
              <w:t>媒介、期限</w:t>
            </w:r>
          </w:p>
        </w:tc>
        <w:tc>
          <w:tcPr>
            <w:tcW w:w="7038" w:type="dxa"/>
            <w:vAlign w:val="center"/>
          </w:tcPr>
          <w:p w14:paraId="0F7B61AD">
            <w:pPr>
              <w:pStyle w:val="108"/>
              <w:snapToGrid w:val="0"/>
              <w:spacing w:line="312" w:lineRule="auto"/>
              <w:ind w:firstLine="480" w:firstLineChars="200"/>
              <w:rPr>
                <w:rFonts w:hAnsi="宋体"/>
                <w:sz w:val="24"/>
                <w:szCs w:val="24"/>
                <w:lang w:val="zh-CN"/>
              </w:rPr>
            </w:pPr>
            <w:r>
              <w:rPr>
                <w:rFonts w:hint="eastAsia" w:hAnsi="宋体"/>
                <w:sz w:val="24"/>
                <w:szCs w:val="24"/>
                <w:lang w:val="zh-CN"/>
              </w:rPr>
              <w:t>公告媒介：《全国公共资源交易平台（陕西省）陕西省公共资</w:t>
            </w:r>
          </w:p>
          <w:p w14:paraId="1E8BAA53">
            <w:pPr>
              <w:pStyle w:val="108"/>
              <w:snapToGrid w:val="0"/>
              <w:spacing w:line="312" w:lineRule="auto"/>
              <w:rPr>
                <w:rFonts w:hAnsi="宋体"/>
                <w:sz w:val="24"/>
                <w:szCs w:val="24"/>
              </w:rPr>
            </w:pPr>
            <w:r>
              <w:rPr>
                <w:rFonts w:hint="eastAsia" w:hAnsi="宋体"/>
                <w:sz w:val="24"/>
                <w:szCs w:val="24"/>
                <w:lang w:val="zh-CN"/>
              </w:rPr>
              <w:t>源交易中心》（www.sxggzyjy.cn）、陕西省政府采购网</w:t>
            </w:r>
          </w:p>
          <w:p w14:paraId="03512BD9">
            <w:pPr>
              <w:pStyle w:val="108"/>
              <w:snapToGrid w:val="0"/>
              <w:spacing w:line="312" w:lineRule="auto"/>
              <w:ind w:firstLine="520" w:firstLineChars="217"/>
              <w:rPr>
                <w:rFonts w:hAnsi="宋体"/>
                <w:sz w:val="24"/>
                <w:szCs w:val="24"/>
                <w:lang w:val="zh-CN"/>
              </w:rPr>
            </w:pPr>
            <w:r>
              <w:rPr>
                <w:rFonts w:hint="eastAsia" w:hAnsi="宋体"/>
                <w:sz w:val="24"/>
                <w:szCs w:val="24"/>
                <w:lang w:val="zh-CN"/>
              </w:rPr>
              <w:t>公告期限：</w:t>
            </w:r>
            <w:r>
              <w:rPr>
                <w:rFonts w:hint="eastAsia" w:hAnsi="宋体"/>
                <w:sz w:val="24"/>
                <w:szCs w:val="24"/>
              </w:rPr>
              <w:t>1</w:t>
            </w:r>
            <w:r>
              <w:rPr>
                <w:rFonts w:hint="eastAsia" w:hAnsi="宋体"/>
                <w:sz w:val="24"/>
                <w:szCs w:val="24"/>
                <w:lang w:val="zh-CN"/>
              </w:rPr>
              <w:t>个工作日</w:t>
            </w:r>
          </w:p>
        </w:tc>
      </w:tr>
      <w:tr w14:paraId="7789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625" w:type="dxa"/>
            <w:vAlign w:val="center"/>
          </w:tcPr>
          <w:p w14:paraId="6C2E8D37">
            <w:pPr>
              <w:pStyle w:val="108"/>
              <w:spacing w:line="288" w:lineRule="auto"/>
              <w:jc w:val="center"/>
              <w:rPr>
                <w:rFonts w:hint="default" w:hAnsi="宋体" w:eastAsia="宋体"/>
                <w:sz w:val="24"/>
                <w:szCs w:val="24"/>
                <w:lang w:val="en-US" w:eastAsia="zh-CN"/>
              </w:rPr>
            </w:pPr>
            <w:r>
              <w:rPr>
                <w:rFonts w:hint="eastAsia" w:hAnsi="宋体"/>
                <w:sz w:val="24"/>
                <w:szCs w:val="24"/>
                <w:lang w:val="en-US" w:eastAsia="zh-CN"/>
              </w:rPr>
              <w:t>28</w:t>
            </w:r>
          </w:p>
        </w:tc>
        <w:tc>
          <w:tcPr>
            <w:tcW w:w="1804" w:type="dxa"/>
            <w:vAlign w:val="center"/>
          </w:tcPr>
          <w:p w14:paraId="5A9755B1">
            <w:pPr>
              <w:pStyle w:val="108"/>
              <w:snapToGrid w:val="0"/>
              <w:spacing w:line="288" w:lineRule="auto"/>
              <w:jc w:val="center"/>
              <w:rPr>
                <w:rFonts w:hAnsi="宋体"/>
                <w:sz w:val="24"/>
                <w:szCs w:val="24"/>
                <w:lang w:val="zh-CN"/>
              </w:rPr>
            </w:pPr>
            <w:r>
              <w:rPr>
                <w:rFonts w:hint="eastAsia" w:hAnsi="宋体"/>
                <w:sz w:val="24"/>
                <w:szCs w:val="24"/>
                <w:lang w:val="zh-CN"/>
              </w:rPr>
              <w:t>履约保证金</w:t>
            </w:r>
          </w:p>
        </w:tc>
        <w:tc>
          <w:tcPr>
            <w:tcW w:w="7038" w:type="dxa"/>
            <w:vAlign w:val="center"/>
          </w:tcPr>
          <w:p w14:paraId="6E0B75C5">
            <w:pPr>
              <w:pStyle w:val="108"/>
              <w:snapToGrid w:val="0"/>
              <w:spacing w:line="312" w:lineRule="auto"/>
              <w:ind w:firstLine="520" w:firstLineChars="217"/>
              <w:rPr>
                <w:rFonts w:hAnsi="宋体"/>
                <w:sz w:val="24"/>
                <w:szCs w:val="24"/>
              </w:rPr>
            </w:pPr>
            <w:r>
              <w:rPr>
                <w:rFonts w:hint="eastAsia" w:hAnsi="宋体"/>
                <w:sz w:val="24"/>
                <w:szCs w:val="24"/>
              </w:rPr>
              <w:t>无</w:t>
            </w:r>
          </w:p>
        </w:tc>
      </w:tr>
      <w:tr w14:paraId="0C67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 w:hRule="atLeast"/>
          <w:jc w:val="center"/>
        </w:trPr>
        <w:tc>
          <w:tcPr>
            <w:tcW w:w="625" w:type="dxa"/>
            <w:vAlign w:val="center"/>
          </w:tcPr>
          <w:p w14:paraId="6B2D2388">
            <w:pPr>
              <w:pStyle w:val="108"/>
              <w:spacing w:line="288" w:lineRule="auto"/>
              <w:jc w:val="center"/>
              <w:rPr>
                <w:rFonts w:hint="default" w:hAnsi="宋体" w:eastAsia="宋体"/>
                <w:sz w:val="24"/>
                <w:szCs w:val="24"/>
                <w:lang w:val="en-US" w:eastAsia="zh-CN"/>
              </w:rPr>
            </w:pPr>
            <w:r>
              <w:rPr>
                <w:rFonts w:hint="eastAsia" w:hAnsi="宋体"/>
                <w:sz w:val="24"/>
                <w:szCs w:val="24"/>
                <w:lang w:val="en-US" w:eastAsia="zh-CN"/>
              </w:rPr>
              <w:t>29</w:t>
            </w:r>
          </w:p>
        </w:tc>
        <w:tc>
          <w:tcPr>
            <w:tcW w:w="1804" w:type="dxa"/>
            <w:vAlign w:val="center"/>
          </w:tcPr>
          <w:p w14:paraId="2E772CF5">
            <w:pPr>
              <w:pStyle w:val="108"/>
              <w:snapToGrid w:val="0"/>
              <w:spacing w:line="288" w:lineRule="auto"/>
              <w:jc w:val="center"/>
              <w:rPr>
                <w:rFonts w:hAnsi="宋体"/>
                <w:sz w:val="24"/>
                <w:szCs w:val="24"/>
                <w:lang w:val="zh-CN"/>
              </w:rPr>
            </w:pPr>
            <w:r>
              <w:rPr>
                <w:rFonts w:hint="eastAsia" w:hAnsi="宋体"/>
                <w:sz w:val="24"/>
                <w:szCs w:val="24"/>
              </w:rPr>
              <w:t>成交</w:t>
            </w:r>
            <w:r>
              <w:rPr>
                <w:rFonts w:hint="eastAsia" w:hAnsi="宋体"/>
                <w:sz w:val="24"/>
                <w:szCs w:val="24"/>
                <w:lang w:val="zh-CN"/>
              </w:rPr>
              <w:t>服务费</w:t>
            </w:r>
          </w:p>
        </w:tc>
        <w:tc>
          <w:tcPr>
            <w:tcW w:w="7038" w:type="dxa"/>
            <w:vAlign w:val="center"/>
          </w:tcPr>
          <w:p w14:paraId="60B7B25F">
            <w:pPr>
              <w:pStyle w:val="108"/>
              <w:snapToGrid w:val="0"/>
              <w:spacing w:line="312" w:lineRule="auto"/>
              <w:ind w:firstLine="520" w:firstLineChars="217"/>
              <w:rPr>
                <w:rFonts w:hAnsi="宋体"/>
                <w:sz w:val="24"/>
                <w:szCs w:val="24"/>
                <w:lang w:val="zh-CN"/>
              </w:rPr>
            </w:pPr>
            <w:r>
              <w:rPr>
                <w:rFonts w:hint="eastAsia" w:hAnsi="宋体"/>
                <w:sz w:val="24"/>
                <w:szCs w:val="24"/>
              </w:rPr>
              <w:t>参考《国家计委关于印发〈招标代理服务费管理暂行办法〉的通知》（计价格〔2002〕1980号）、《国家发展和改革委员会办公厅关于招标代理服务收费有关问题的通知》（发改办价格〔2003〕857号）规定，具体金额将在结果公告中公布。</w:t>
            </w:r>
          </w:p>
        </w:tc>
      </w:tr>
      <w:tr w14:paraId="0AFA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jc w:val="center"/>
        </w:trPr>
        <w:tc>
          <w:tcPr>
            <w:tcW w:w="625" w:type="dxa"/>
            <w:vAlign w:val="center"/>
          </w:tcPr>
          <w:p w14:paraId="1AAA39C6">
            <w:pPr>
              <w:pStyle w:val="108"/>
              <w:spacing w:line="288" w:lineRule="auto"/>
              <w:jc w:val="center"/>
              <w:rPr>
                <w:rFonts w:hint="default" w:hAnsi="宋体" w:eastAsia="宋体"/>
                <w:sz w:val="24"/>
                <w:szCs w:val="24"/>
                <w:lang w:val="en-US" w:eastAsia="zh-CN"/>
              </w:rPr>
            </w:pPr>
            <w:r>
              <w:rPr>
                <w:rFonts w:hint="eastAsia" w:hAnsi="宋体"/>
                <w:sz w:val="24"/>
                <w:szCs w:val="24"/>
                <w:lang w:val="en-US" w:eastAsia="zh-CN"/>
              </w:rPr>
              <w:t>30</w:t>
            </w:r>
          </w:p>
        </w:tc>
        <w:tc>
          <w:tcPr>
            <w:tcW w:w="1804" w:type="dxa"/>
            <w:vAlign w:val="center"/>
          </w:tcPr>
          <w:p w14:paraId="2208C7F9">
            <w:pPr>
              <w:pStyle w:val="108"/>
              <w:snapToGrid w:val="0"/>
              <w:spacing w:line="288" w:lineRule="auto"/>
              <w:jc w:val="center"/>
              <w:rPr>
                <w:rFonts w:hAnsi="宋体"/>
                <w:sz w:val="24"/>
                <w:szCs w:val="24"/>
                <w:lang w:val="zh-CN"/>
              </w:rPr>
            </w:pPr>
            <w:r>
              <w:rPr>
                <w:rFonts w:hint="eastAsia" w:hAnsi="宋体"/>
                <w:sz w:val="24"/>
                <w:szCs w:val="24"/>
                <w:lang w:val="zh-CN"/>
              </w:rPr>
              <w:t>其他</w:t>
            </w:r>
          </w:p>
        </w:tc>
        <w:tc>
          <w:tcPr>
            <w:tcW w:w="7038" w:type="dxa"/>
            <w:vAlign w:val="center"/>
          </w:tcPr>
          <w:p w14:paraId="4DABB6BE">
            <w:pPr>
              <w:pStyle w:val="108"/>
              <w:snapToGrid w:val="0"/>
              <w:spacing w:line="312" w:lineRule="auto"/>
              <w:ind w:firstLine="520" w:firstLineChars="217"/>
              <w:rPr>
                <w:rFonts w:hAnsi="宋体"/>
                <w:sz w:val="24"/>
                <w:szCs w:val="24"/>
                <w:lang w:val="zh-CN"/>
              </w:rPr>
            </w:pPr>
            <w:r>
              <w:rPr>
                <w:rFonts w:hint="eastAsia" w:hAnsi="宋体"/>
                <w:sz w:val="24"/>
                <w:szCs w:val="24"/>
                <w:lang w:val="en-US" w:eastAsia="zh-CN"/>
              </w:rPr>
              <w:t>谈判</w:t>
            </w:r>
            <w:r>
              <w:rPr>
                <w:rFonts w:hint="eastAsia" w:hAnsi="宋体"/>
                <w:sz w:val="24"/>
                <w:szCs w:val="24"/>
                <w:lang w:val="zh-CN"/>
              </w:rPr>
              <w:t>文件正文与</w:t>
            </w:r>
            <w:r>
              <w:rPr>
                <w:rFonts w:hint="eastAsia" w:hAnsi="宋体"/>
                <w:sz w:val="24"/>
                <w:szCs w:val="24"/>
              </w:rPr>
              <w:t>供应商</w:t>
            </w:r>
            <w:r>
              <w:rPr>
                <w:rFonts w:hint="eastAsia" w:hAnsi="宋体"/>
                <w:sz w:val="24"/>
                <w:szCs w:val="24"/>
                <w:lang w:val="zh-CN"/>
              </w:rPr>
              <w:t>须知前附表表述不一致时，以</w:t>
            </w:r>
            <w:r>
              <w:rPr>
                <w:rFonts w:hint="eastAsia" w:hAnsi="宋体"/>
                <w:sz w:val="24"/>
                <w:szCs w:val="24"/>
              </w:rPr>
              <w:t>供应商</w:t>
            </w:r>
            <w:r>
              <w:rPr>
                <w:rFonts w:hint="eastAsia" w:hAnsi="宋体"/>
                <w:sz w:val="24"/>
                <w:szCs w:val="24"/>
                <w:lang w:val="zh-CN"/>
              </w:rPr>
              <w:t>须知前附表为准。</w:t>
            </w:r>
          </w:p>
        </w:tc>
      </w:tr>
    </w:tbl>
    <w:p w14:paraId="044C7F19">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bookmarkStart w:id="25" w:name="_Toc531253632"/>
    </w:p>
    <w:p w14:paraId="313C71E2">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4D0CB118">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52CD3882">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57B5A2EA">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566D1E68">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4C3038F7">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17058D04">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4BAB7D77">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51BB2718">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33EA3A2E">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10B0C079">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235DB648">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3F1D6E24">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4A2DCC01">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1351E7FB">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int="eastAsia" w:hAnsi="宋体" w:cs="宋体"/>
          <w:b/>
          <w:bCs/>
          <w:sz w:val="28"/>
          <w:szCs w:val="28"/>
        </w:rPr>
      </w:pPr>
    </w:p>
    <w:p w14:paraId="565A8042">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Ansi="宋体" w:cs="宋体"/>
          <w:b/>
          <w:bCs/>
          <w:sz w:val="28"/>
          <w:szCs w:val="28"/>
        </w:rPr>
      </w:pPr>
      <w:r>
        <w:rPr>
          <w:rFonts w:hint="eastAsia" w:hAnsi="宋体" w:cs="宋体"/>
          <w:b/>
          <w:bCs/>
          <w:sz w:val="28"/>
          <w:szCs w:val="28"/>
        </w:rPr>
        <w:t>一、总  则</w:t>
      </w:r>
      <w:bookmarkEnd w:id="9"/>
      <w:bookmarkEnd w:id="10"/>
      <w:bookmarkEnd w:id="11"/>
      <w:bookmarkEnd w:id="12"/>
      <w:bookmarkEnd w:id="13"/>
      <w:bookmarkEnd w:id="25"/>
      <w:bookmarkStart w:id="26" w:name="_Toc183682342"/>
      <w:bookmarkStart w:id="27" w:name="_Toc183582205"/>
      <w:bookmarkStart w:id="28" w:name="_Toc531253633"/>
      <w:bookmarkStart w:id="29" w:name="_Toc217446034"/>
    </w:p>
    <w:bookmarkEnd w:id="26"/>
    <w:bookmarkEnd w:id="27"/>
    <w:bookmarkEnd w:id="28"/>
    <w:bookmarkEnd w:id="29"/>
    <w:p w14:paraId="1E559CC1">
      <w:pPr>
        <w:keepNext w:val="0"/>
        <w:keepLines w:val="0"/>
        <w:pageBreakBefore w:val="0"/>
        <w:widowControl/>
        <w:kinsoku/>
        <w:wordWrap/>
        <w:overflowPunct/>
        <w:topLinePunct w:val="0"/>
        <w:autoSpaceDE w:val="0"/>
        <w:autoSpaceDN w:val="0"/>
        <w:bidi w:val="0"/>
        <w:adjustRightInd w:val="0"/>
        <w:snapToGrid w:val="0"/>
        <w:spacing w:line="440" w:lineRule="exact"/>
        <w:ind w:firstLine="456" w:firstLineChars="200"/>
        <w:textAlignment w:val="baseline"/>
        <w:rPr>
          <w:rFonts w:hint="eastAsia" w:ascii="宋体" w:hAnsi="宋体" w:cs="宋体"/>
          <w:sz w:val="24"/>
          <w:szCs w:val="24"/>
        </w:rPr>
      </w:pPr>
      <w:bookmarkStart w:id="30" w:name="_Toc183582206"/>
      <w:bookmarkStart w:id="31" w:name="_Toc183682343"/>
      <w:bookmarkStart w:id="32" w:name="_Toc217446035"/>
      <w:r>
        <w:rPr>
          <w:rFonts w:hint="eastAsia" w:ascii="宋体" w:hAnsi="宋体" w:cs="宋体"/>
          <w:spacing w:val="-6"/>
          <w:sz w:val="24"/>
          <w:szCs w:val="24"/>
        </w:rPr>
        <w:t>本次采购依据《中华人民共和国政府采购法》、《政府采购货物和服务招标投标管理办法》</w:t>
      </w:r>
      <w:r>
        <w:rPr>
          <w:rFonts w:hint="eastAsia" w:ascii="宋体" w:hAnsi="宋体" w:cs="宋体"/>
          <w:sz w:val="24"/>
          <w:szCs w:val="24"/>
        </w:rPr>
        <w:t>（财政部第</w:t>
      </w:r>
      <w:r>
        <w:rPr>
          <w:rFonts w:hint="eastAsia" w:ascii="宋体" w:hAnsi="宋体" w:cs="宋体"/>
          <w:spacing w:val="-50"/>
          <w:sz w:val="24"/>
          <w:szCs w:val="24"/>
        </w:rPr>
        <w:t xml:space="preserve"> </w:t>
      </w:r>
      <w:r>
        <w:rPr>
          <w:rFonts w:hint="eastAsia" w:ascii="宋体" w:hAnsi="宋体" w:cs="宋体"/>
          <w:sz w:val="24"/>
          <w:szCs w:val="24"/>
        </w:rPr>
        <w:t>87</w:t>
      </w:r>
      <w:r>
        <w:rPr>
          <w:rFonts w:hint="eastAsia" w:ascii="宋体" w:hAnsi="宋体" w:cs="宋体"/>
          <w:spacing w:val="-43"/>
          <w:sz w:val="24"/>
          <w:szCs w:val="24"/>
        </w:rPr>
        <w:t xml:space="preserve"> </w:t>
      </w:r>
      <w:r>
        <w:rPr>
          <w:rFonts w:hint="eastAsia" w:ascii="宋体" w:hAnsi="宋体" w:cs="宋体"/>
          <w:sz w:val="24"/>
          <w:szCs w:val="24"/>
        </w:rPr>
        <w:t>号令）、《中华人民共和国政府采购法实施条例》、《</w:t>
      </w:r>
      <w:r>
        <w:rPr>
          <w:rFonts w:hint="eastAsia" w:ascii="宋体" w:hAnsi="宋体" w:cs="宋体"/>
          <w:spacing w:val="-1"/>
          <w:sz w:val="24"/>
          <w:szCs w:val="24"/>
        </w:rPr>
        <w:t>政府采购竞争性</w:t>
      </w:r>
      <w:r>
        <w:rPr>
          <w:rFonts w:hint="eastAsia" w:hAnsi="宋体" w:cs="宋体"/>
          <w:spacing w:val="-1"/>
          <w:sz w:val="24"/>
          <w:szCs w:val="24"/>
          <w:lang w:eastAsia="zh-CN"/>
        </w:rPr>
        <w:t>谈判</w:t>
      </w:r>
      <w:r>
        <w:rPr>
          <w:rFonts w:hint="eastAsia" w:ascii="宋体" w:hAnsi="宋体" w:cs="宋体"/>
          <w:spacing w:val="-1"/>
          <w:sz w:val="24"/>
          <w:szCs w:val="24"/>
        </w:rPr>
        <w:t>采购方式管理暂行办法》。</w:t>
      </w:r>
    </w:p>
    <w:p w14:paraId="517E1D6D">
      <w:pPr>
        <w:keepNext w:val="0"/>
        <w:keepLines w:val="0"/>
        <w:pageBreakBefore w:val="0"/>
        <w:tabs>
          <w:tab w:val="left" w:pos="0"/>
        </w:tabs>
        <w:kinsoku/>
        <w:wordWrap/>
        <w:overflowPunct/>
        <w:topLinePunct w:val="0"/>
        <w:bidi w:val="0"/>
        <w:spacing w:line="440" w:lineRule="exact"/>
        <w:ind w:firstLine="482" w:firstLineChars="200"/>
        <w:rPr>
          <w:rFonts w:hAnsi="宋体" w:cs="宋体"/>
          <w:b/>
          <w:sz w:val="20"/>
        </w:rPr>
      </w:pPr>
      <w:r>
        <w:rPr>
          <w:rFonts w:hint="eastAsia" w:hAnsi="宋体" w:cs="宋体"/>
          <w:b/>
          <w:sz w:val="24"/>
          <w:lang w:val="en-US" w:eastAsia="zh-CN"/>
        </w:rPr>
        <w:t>1</w:t>
      </w:r>
      <w:r>
        <w:rPr>
          <w:rFonts w:hint="eastAsia" w:hAnsi="宋体" w:cs="宋体"/>
          <w:b/>
          <w:sz w:val="24"/>
        </w:rPr>
        <w:t>.</w:t>
      </w:r>
      <w:bookmarkEnd w:id="30"/>
      <w:bookmarkEnd w:id="31"/>
      <w:bookmarkEnd w:id="32"/>
      <w:r>
        <w:rPr>
          <w:rFonts w:hint="eastAsia" w:hAnsi="宋体" w:cs="宋体"/>
          <w:b/>
          <w:sz w:val="24"/>
        </w:rPr>
        <w:t>名词解释</w:t>
      </w:r>
    </w:p>
    <w:p w14:paraId="53E6D03D">
      <w:pPr>
        <w:keepNext w:val="0"/>
        <w:keepLines w:val="0"/>
        <w:pageBreakBefore w:val="0"/>
        <w:kinsoku/>
        <w:wordWrap/>
        <w:overflowPunct/>
        <w:topLinePunct w:val="0"/>
        <w:bidi w:val="0"/>
        <w:adjustRightInd w:val="0"/>
        <w:snapToGrid w:val="0"/>
        <w:spacing w:line="440" w:lineRule="exact"/>
        <w:ind w:firstLine="480" w:firstLineChars="200"/>
        <w:rPr>
          <w:rFonts w:hAnsi="宋体" w:cs="宋体"/>
          <w:sz w:val="24"/>
        </w:rPr>
      </w:pPr>
      <w:bookmarkStart w:id="33" w:name="_Toc183582207"/>
      <w:bookmarkStart w:id="34" w:name="_Toc183682344"/>
      <w:bookmarkStart w:id="35" w:name="_Toc217446036"/>
      <w:bookmarkStart w:id="36" w:name="_Toc217390843"/>
      <w:r>
        <w:rPr>
          <w:rFonts w:hint="eastAsia" w:hAnsi="宋体" w:cs="宋体"/>
          <w:sz w:val="24"/>
          <w:lang w:val="en-US" w:eastAsia="zh-CN"/>
        </w:rPr>
        <w:t>1</w:t>
      </w:r>
      <w:r>
        <w:rPr>
          <w:rFonts w:hint="eastAsia" w:hAnsi="宋体" w:cs="宋体"/>
          <w:sz w:val="24"/>
        </w:rPr>
        <w:t>.1采购人：</w:t>
      </w:r>
      <w:r>
        <w:rPr>
          <w:rFonts w:hint="eastAsia" w:hAnsi="宋体" w:cs="宋体"/>
          <w:sz w:val="24"/>
          <w:szCs w:val="24"/>
          <w:lang w:val="zh-CN"/>
        </w:rPr>
        <w:t>镇坪县农业林业和水利局</w:t>
      </w:r>
    </w:p>
    <w:p w14:paraId="02F3B63B">
      <w:pPr>
        <w:keepNext w:val="0"/>
        <w:keepLines w:val="0"/>
        <w:pageBreakBefore w:val="0"/>
        <w:kinsoku/>
        <w:wordWrap/>
        <w:overflowPunct/>
        <w:topLinePunct w:val="0"/>
        <w:bidi w:val="0"/>
        <w:adjustRightInd w:val="0"/>
        <w:snapToGrid w:val="0"/>
        <w:spacing w:line="440" w:lineRule="exact"/>
        <w:ind w:firstLine="480" w:firstLineChars="200"/>
        <w:rPr>
          <w:rFonts w:hAnsi="宋体" w:cs="宋体"/>
          <w:sz w:val="24"/>
        </w:rPr>
      </w:pPr>
      <w:r>
        <w:rPr>
          <w:rFonts w:hint="eastAsia" w:hAnsi="宋体" w:cs="宋体"/>
          <w:sz w:val="24"/>
          <w:lang w:val="en-US" w:eastAsia="zh-CN"/>
        </w:rPr>
        <w:t>1</w:t>
      </w:r>
      <w:r>
        <w:rPr>
          <w:rFonts w:hint="eastAsia" w:hAnsi="宋体" w:cs="宋体"/>
          <w:sz w:val="24"/>
        </w:rPr>
        <w:t>.2监督机构：</w:t>
      </w:r>
      <w:r>
        <w:rPr>
          <w:rFonts w:hint="eastAsia" w:hAnsi="宋体" w:cs="宋体"/>
          <w:sz w:val="24"/>
          <w:szCs w:val="24"/>
          <w:lang w:val="zh-CN"/>
        </w:rPr>
        <w:t>镇坪县</w:t>
      </w:r>
      <w:r>
        <w:rPr>
          <w:rFonts w:hint="eastAsia" w:hAnsi="宋体" w:cs="宋体"/>
          <w:sz w:val="24"/>
        </w:rPr>
        <w:t>财政局</w:t>
      </w:r>
    </w:p>
    <w:p w14:paraId="5DAA72EA">
      <w:pPr>
        <w:keepNext w:val="0"/>
        <w:keepLines w:val="0"/>
        <w:pageBreakBefore w:val="0"/>
        <w:tabs>
          <w:tab w:val="left" w:pos="7665"/>
        </w:tabs>
        <w:kinsoku/>
        <w:wordWrap/>
        <w:overflowPunct/>
        <w:topLinePunct w:val="0"/>
        <w:bidi w:val="0"/>
        <w:spacing w:line="440" w:lineRule="exact"/>
        <w:ind w:firstLine="480" w:firstLineChars="200"/>
        <w:rPr>
          <w:rFonts w:hint="eastAsia" w:hAnsi="宋体" w:eastAsia="宋体" w:cs="宋体"/>
          <w:sz w:val="24"/>
          <w:lang w:eastAsia="zh-CN"/>
        </w:rPr>
      </w:pPr>
      <w:r>
        <w:rPr>
          <w:rFonts w:hint="eastAsia" w:hAnsi="宋体" w:cs="宋体"/>
          <w:sz w:val="24"/>
          <w:lang w:val="en-US" w:eastAsia="zh-CN"/>
        </w:rPr>
        <w:t>1</w:t>
      </w:r>
      <w:r>
        <w:rPr>
          <w:rFonts w:hint="eastAsia" w:hAnsi="宋体" w:cs="宋体"/>
          <w:sz w:val="24"/>
        </w:rPr>
        <w:t>.3采购代理机构：</w:t>
      </w:r>
      <w:r>
        <w:rPr>
          <w:rFonts w:hint="eastAsia" w:hAnsi="宋体" w:cs="宋体"/>
          <w:sz w:val="24"/>
          <w:lang w:eastAsia="zh-CN"/>
        </w:rPr>
        <w:t xml:space="preserve">陕西安康天诚工程项目管理咨询有限公司 </w:t>
      </w:r>
    </w:p>
    <w:p w14:paraId="5649721A">
      <w:pPr>
        <w:keepNext w:val="0"/>
        <w:keepLines w:val="0"/>
        <w:pageBreakBefore w:val="0"/>
        <w:kinsoku/>
        <w:wordWrap/>
        <w:overflowPunct/>
        <w:topLinePunct w:val="0"/>
        <w:bidi w:val="0"/>
        <w:adjustRightInd w:val="0"/>
        <w:snapToGrid w:val="0"/>
        <w:spacing w:line="440" w:lineRule="exact"/>
        <w:ind w:firstLine="480" w:firstLineChars="200"/>
        <w:rPr>
          <w:rFonts w:hAnsi="宋体" w:cs="宋体"/>
          <w:sz w:val="24"/>
        </w:rPr>
      </w:pPr>
      <w:r>
        <w:rPr>
          <w:rFonts w:hint="eastAsia" w:hAnsi="宋体" w:cs="宋体"/>
          <w:sz w:val="24"/>
          <w:lang w:val="en-US" w:eastAsia="zh-CN"/>
        </w:rPr>
        <w:t>1</w:t>
      </w:r>
      <w:r>
        <w:rPr>
          <w:rFonts w:hint="eastAsia" w:hAnsi="宋体" w:cs="宋体"/>
          <w:sz w:val="24"/>
        </w:rPr>
        <w:t>.4供应商：指提交响应竞争性</w:t>
      </w:r>
      <w:r>
        <w:rPr>
          <w:rFonts w:hint="eastAsia" w:hAnsi="宋体" w:cs="宋体"/>
          <w:sz w:val="24"/>
          <w:lang w:val="en-US" w:eastAsia="zh-CN"/>
        </w:rPr>
        <w:t>谈判</w:t>
      </w:r>
      <w:r>
        <w:rPr>
          <w:rFonts w:hint="eastAsia" w:hAnsi="宋体" w:cs="宋体"/>
          <w:sz w:val="24"/>
        </w:rPr>
        <w:t>文件（以下简称</w:t>
      </w:r>
      <w:r>
        <w:rPr>
          <w:rFonts w:hint="eastAsia" w:hAnsi="宋体" w:cs="宋体"/>
          <w:sz w:val="24"/>
          <w:lang w:val="en-US" w:eastAsia="zh-CN"/>
        </w:rPr>
        <w:t>谈判</w:t>
      </w:r>
      <w:r>
        <w:rPr>
          <w:rFonts w:hint="eastAsia" w:hAnsi="宋体" w:cs="宋体"/>
          <w:sz w:val="24"/>
        </w:rPr>
        <w:t>文件），参加</w:t>
      </w:r>
      <w:r>
        <w:rPr>
          <w:rFonts w:hint="eastAsia" w:hAnsi="宋体" w:cs="宋体"/>
          <w:sz w:val="24"/>
          <w:lang w:val="en-US" w:eastAsia="zh-CN"/>
        </w:rPr>
        <w:t>谈判</w:t>
      </w:r>
      <w:r>
        <w:rPr>
          <w:rFonts w:hint="eastAsia" w:hAnsi="宋体" w:cs="宋体"/>
          <w:sz w:val="24"/>
        </w:rPr>
        <w:t>竞争的法人或其他组织或个人。</w:t>
      </w:r>
    </w:p>
    <w:p w14:paraId="21D9DBBE">
      <w:pPr>
        <w:keepNext w:val="0"/>
        <w:keepLines w:val="0"/>
        <w:pageBreakBefore w:val="0"/>
        <w:kinsoku/>
        <w:wordWrap/>
        <w:overflowPunct/>
        <w:topLinePunct w:val="0"/>
        <w:bidi w:val="0"/>
        <w:adjustRightInd w:val="0"/>
        <w:snapToGrid w:val="0"/>
        <w:spacing w:line="440" w:lineRule="exact"/>
        <w:ind w:firstLine="480" w:firstLineChars="200"/>
        <w:rPr>
          <w:rFonts w:hAnsi="宋体" w:cs="宋体"/>
          <w:sz w:val="24"/>
        </w:rPr>
      </w:pPr>
      <w:r>
        <w:rPr>
          <w:rFonts w:hint="eastAsia" w:hAnsi="宋体" w:cs="宋体"/>
          <w:sz w:val="24"/>
          <w:lang w:val="en-US" w:eastAsia="zh-CN"/>
        </w:rPr>
        <w:t>1</w:t>
      </w:r>
      <w:r>
        <w:rPr>
          <w:rFonts w:hint="eastAsia" w:hAnsi="宋体" w:cs="宋体"/>
          <w:sz w:val="24"/>
        </w:rPr>
        <w:t>.5工程是指本</w:t>
      </w:r>
      <w:r>
        <w:rPr>
          <w:rFonts w:hint="eastAsia" w:hAnsi="宋体" w:cs="宋体"/>
          <w:sz w:val="24"/>
          <w:lang w:val="en-US" w:eastAsia="zh-CN"/>
        </w:rPr>
        <w:t>谈判</w:t>
      </w:r>
      <w:r>
        <w:rPr>
          <w:rFonts w:hint="eastAsia" w:hAnsi="宋体" w:cs="宋体"/>
          <w:sz w:val="24"/>
        </w:rPr>
        <w:t>文件</w:t>
      </w:r>
      <w:r>
        <w:rPr>
          <w:rFonts w:hint="eastAsia" w:hAnsi="宋体" w:cs="宋体"/>
          <w:sz w:val="24"/>
          <w:highlight w:val="none"/>
        </w:rPr>
        <w:t>中第</w:t>
      </w:r>
      <w:r>
        <w:rPr>
          <w:rFonts w:hint="eastAsia" w:hAnsi="宋体" w:cs="宋体"/>
          <w:sz w:val="24"/>
          <w:highlight w:val="none"/>
          <w:lang w:eastAsia="zh-CN"/>
        </w:rPr>
        <w:t>四</w:t>
      </w:r>
      <w:r>
        <w:rPr>
          <w:rFonts w:hint="eastAsia" w:hAnsi="宋体" w:cs="宋体"/>
          <w:sz w:val="24"/>
          <w:highlight w:val="none"/>
        </w:rPr>
        <w:t>章所述</w:t>
      </w:r>
      <w:r>
        <w:rPr>
          <w:rFonts w:hint="eastAsia" w:hAnsi="宋体" w:cs="宋体"/>
          <w:sz w:val="24"/>
        </w:rPr>
        <w:t>所有工程。</w:t>
      </w:r>
    </w:p>
    <w:p w14:paraId="4A169AA5">
      <w:pPr>
        <w:keepNext w:val="0"/>
        <w:keepLines w:val="0"/>
        <w:pageBreakBefore w:val="0"/>
        <w:kinsoku/>
        <w:wordWrap/>
        <w:overflowPunct/>
        <w:topLinePunct w:val="0"/>
        <w:bidi w:val="0"/>
        <w:adjustRightInd w:val="0"/>
        <w:snapToGrid w:val="0"/>
        <w:spacing w:line="440" w:lineRule="exact"/>
        <w:ind w:firstLine="480" w:firstLineChars="200"/>
        <w:rPr>
          <w:rFonts w:hAnsi="宋体" w:cs="宋体"/>
          <w:sz w:val="24"/>
        </w:rPr>
      </w:pPr>
      <w:r>
        <w:rPr>
          <w:rFonts w:hint="eastAsia" w:hAnsi="宋体" w:cs="宋体"/>
          <w:sz w:val="24"/>
          <w:lang w:val="en-US" w:eastAsia="zh-CN"/>
        </w:rPr>
        <w:t>1</w:t>
      </w:r>
      <w:r>
        <w:rPr>
          <w:rFonts w:hint="eastAsia" w:hAnsi="宋体" w:cs="宋体"/>
          <w:sz w:val="24"/>
        </w:rPr>
        <w:t>.6服务是指人为满足</w:t>
      </w:r>
      <w:r>
        <w:rPr>
          <w:rFonts w:hint="eastAsia" w:hAnsi="宋体" w:cs="宋体"/>
          <w:sz w:val="24"/>
          <w:lang w:val="en-US" w:eastAsia="zh-CN"/>
        </w:rPr>
        <w:t>谈判</w:t>
      </w:r>
      <w:r>
        <w:rPr>
          <w:rFonts w:hint="eastAsia" w:hAnsi="宋体" w:cs="宋体"/>
          <w:sz w:val="24"/>
        </w:rPr>
        <w:t>文件要求而提供的服务。</w:t>
      </w:r>
    </w:p>
    <w:p w14:paraId="0F8E4D0D">
      <w:pPr>
        <w:keepNext w:val="0"/>
        <w:keepLines w:val="0"/>
        <w:pageBreakBefore w:val="0"/>
        <w:kinsoku/>
        <w:wordWrap/>
        <w:overflowPunct/>
        <w:topLinePunct w:val="0"/>
        <w:bidi w:val="0"/>
        <w:adjustRightInd w:val="0"/>
        <w:snapToGrid w:val="0"/>
        <w:spacing w:line="440" w:lineRule="exact"/>
        <w:ind w:firstLine="480" w:firstLineChars="200"/>
        <w:rPr>
          <w:rFonts w:hAnsi="宋体" w:cs="宋体"/>
          <w:sz w:val="24"/>
        </w:rPr>
      </w:pPr>
      <w:r>
        <w:rPr>
          <w:rFonts w:hint="eastAsia" w:hAnsi="宋体" w:cs="宋体"/>
          <w:sz w:val="24"/>
          <w:lang w:val="en-US" w:eastAsia="zh-CN"/>
        </w:rPr>
        <w:t>1</w:t>
      </w:r>
      <w:r>
        <w:rPr>
          <w:rFonts w:hint="eastAsia" w:hAnsi="宋体" w:cs="宋体"/>
          <w:sz w:val="24"/>
        </w:rPr>
        <w:t>.7中小企业是指满足财政部、工业和信息化部关于印发《政府采购促进中小企业发展管理办法》的通知--财库〔2020〕46 号)文件规定，符合《工业和信息化部、国家统计局、国家发展和改革委员会、财政部关于印发中小企业划型标准规定的通知》（工信部联企业〔2011〕300 号）规定的对中小企业的划分标准的企业。</w:t>
      </w:r>
    </w:p>
    <w:p w14:paraId="3A4AD21F">
      <w:pPr>
        <w:keepNext w:val="0"/>
        <w:keepLines w:val="0"/>
        <w:pageBreakBefore w:val="0"/>
        <w:numPr>
          <w:ilvl w:val="4"/>
          <w:numId w:val="0"/>
        </w:numPr>
        <w:tabs>
          <w:tab w:val="left" w:pos="0"/>
        </w:tabs>
        <w:kinsoku/>
        <w:wordWrap/>
        <w:overflowPunct/>
        <w:topLinePunct w:val="0"/>
        <w:bidi w:val="0"/>
        <w:spacing w:line="440" w:lineRule="exact"/>
        <w:ind w:firstLine="482" w:firstLineChars="200"/>
        <w:rPr>
          <w:rFonts w:hAnsi="宋体" w:cs="宋体"/>
          <w:b/>
          <w:sz w:val="24"/>
        </w:rPr>
      </w:pPr>
      <w:r>
        <w:rPr>
          <w:rFonts w:hint="eastAsia" w:hAnsi="宋体" w:cs="宋体"/>
          <w:b/>
          <w:sz w:val="24"/>
          <w:lang w:val="en-US" w:eastAsia="zh-CN"/>
        </w:rPr>
        <w:t>2</w:t>
      </w:r>
      <w:r>
        <w:rPr>
          <w:rFonts w:hint="eastAsia" w:hAnsi="宋体" w:cs="宋体"/>
          <w:b/>
          <w:sz w:val="24"/>
        </w:rPr>
        <w:t>.合格的</w:t>
      </w:r>
      <w:bookmarkEnd w:id="33"/>
      <w:bookmarkEnd w:id="34"/>
      <w:bookmarkEnd w:id="35"/>
      <w:bookmarkEnd w:id="36"/>
      <w:r>
        <w:rPr>
          <w:rFonts w:hint="eastAsia" w:hAnsi="宋体" w:cs="宋体"/>
          <w:b/>
          <w:sz w:val="24"/>
        </w:rPr>
        <w:t>供应商</w:t>
      </w:r>
    </w:p>
    <w:p w14:paraId="160A18E5">
      <w:pPr>
        <w:keepNext w:val="0"/>
        <w:keepLines w:val="0"/>
        <w:pageBreakBefore w:val="0"/>
        <w:tabs>
          <w:tab w:val="left" w:pos="7665"/>
        </w:tabs>
        <w:kinsoku/>
        <w:wordWrap/>
        <w:overflowPunct/>
        <w:topLinePunct w:val="0"/>
        <w:bidi w:val="0"/>
        <w:spacing w:line="440" w:lineRule="exact"/>
        <w:ind w:firstLine="480" w:firstLineChars="200"/>
        <w:rPr>
          <w:rFonts w:hint="eastAsia" w:hAnsi="宋体" w:cs="宋体"/>
          <w:sz w:val="24"/>
        </w:rPr>
      </w:pPr>
      <w:r>
        <w:rPr>
          <w:rFonts w:hint="eastAsia" w:hAnsi="宋体" w:cs="宋体"/>
          <w:sz w:val="24"/>
          <w:lang w:val="en-US" w:eastAsia="zh-CN"/>
        </w:rPr>
        <w:t>2</w:t>
      </w:r>
      <w:r>
        <w:rPr>
          <w:rFonts w:hint="eastAsia" w:hAnsi="宋体" w:cs="宋体"/>
          <w:sz w:val="24"/>
        </w:rPr>
        <w:t>.1合格的供应商应具备以下条件：</w:t>
      </w:r>
    </w:p>
    <w:p w14:paraId="4D0095A7">
      <w:pPr>
        <w:keepNext w:val="0"/>
        <w:keepLines w:val="0"/>
        <w:pageBreakBefore w:val="0"/>
        <w:tabs>
          <w:tab w:val="left" w:pos="7665"/>
        </w:tabs>
        <w:kinsoku/>
        <w:wordWrap/>
        <w:overflowPunct/>
        <w:topLinePunct w:val="0"/>
        <w:bidi w:val="0"/>
        <w:spacing w:line="440" w:lineRule="exact"/>
        <w:ind w:firstLine="480" w:firstLineChars="200"/>
        <w:rPr>
          <w:rFonts w:hAnsi="宋体" w:cs="宋体"/>
          <w:spacing w:val="-4"/>
          <w:sz w:val="24"/>
        </w:rPr>
      </w:pPr>
      <w:r>
        <w:rPr>
          <w:rFonts w:hint="eastAsia" w:hAnsi="宋体" w:cs="宋体"/>
          <w:sz w:val="24"/>
        </w:rPr>
        <w:t>（1）具备且满足“竞争性</w:t>
      </w:r>
      <w:r>
        <w:rPr>
          <w:rFonts w:hint="eastAsia" w:hAnsi="宋体" w:cs="宋体"/>
          <w:sz w:val="24"/>
          <w:lang w:val="en-US" w:eastAsia="zh-CN"/>
        </w:rPr>
        <w:t>谈判</w:t>
      </w:r>
      <w:r>
        <w:rPr>
          <w:rFonts w:hint="eastAsia" w:hAnsi="宋体" w:cs="宋体"/>
          <w:sz w:val="24"/>
        </w:rPr>
        <w:t>公告”要求的</w:t>
      </w:r>
      <w:r>
        <w:rPr>
          <w:rFonts w:hint="eastAsia" w:hAnsi="宋体" w:cs="宋体"/>
          <w:spacing w:val="-4"/>
          <w:sz w:val="24"/>
        </w:rPr>
        <w:t>；</w:t>
      </w:r>
    </w:p>
    <w:p w14:paraId="11C574EF">
      <w:pPr>
        <w:keepNext w:val="0"/>
        <w:keepLines w:val="0"/>
        <w:pageBreakBefore w:val="0"/>
        <w:tabs>
          <w:tab w:val="left" w:pos="7665"/>
        </w:tabs>
        <w:kinsoku/>
        <w:wordWrap/>
        <w:overflowPunct/>
        <w:topLinePunct w:val="0"/>
        <w:bidi w:val="0"/>
        <w:spacing w:line="440" w:lineRule="exact"/>
        <w:ind w:firstLine="489" w:firstLineChars="204"/>
        <w:rPr>
          <w:rFonts w:hAnsi="宋体" w:cs="宋体"/>
          <w:sz w:val="24"/>
        </w:rPr>
      </w:pPr>
      <w:r>
        <w:rPr>
          <w:rFonts w:hint="eastAsia" w:hAnsi="宋体" w:cs="宋体"/>
          <w:sz w:val="24"/>
        </w:rPr>
        <w:t>（2）</w:t>
      </w:r>
      <w:r>
        <w:rPr>
          <w:rFonts w:hint="eastAsia" w:hAnsi="宋体" w:cs="宋体"/>
          <w:sz w:val="24"/>
          <w:lang w:val="en-US" w:eastAsia="zh-CN"/>
        </w:rPr>
        <w:t>在</w:t>
      </w:r>
      <w:r>
        <w:rPr>
          <w:rFonts w:hint="eastAsia" w:ascii="宋体" w:hAnsi="宋体" w:eastAsia="宋体" w:cs="宋体"/>
          <w:color w:val="auto"/>
          <w:sz w:val="22"/>
          <w:szCs w:val="22"/>
        </w:rPr>
        <w:t>全国公共资源交易网平台（陕西省·安康市）</w:t>
      </w:r>
      <w:r>
        <w:rPr>
          <w:rFonts w:hint="eastAsia" w:hAnsi="宋体" w:cs="宋体"/>
          <w:color w:val="auto"/>
          <w:sz w:val="22"/>
          <w:szCs w:val="22"/>
          <w:lang w:val="en-US" w:eastAsia="zh-CN"/>
        </w:rPr>
        <w:t>登记报名的</w:t>
      </w:r>
      <w:r>
        <w:rPr>
          <w:rFonts w:hint="eastAsia" w:hAnsi="宋体" w:cs="宋体"/>
          <w:sz w:val="24"/>
        </w:rPr>
        <w:t>；</w:t>
      </w:r>
    </w:p>
    <w:p w14:paraId="405FD5D4">
      <w:pPr>
        <w:keepNext w:val="0"/>
        <w:keepLines w:val="0"/>
        <w:pageBreakBefore w:val="0"/>
        <w:tabs>
          <w:tab w:val="left" w:pos="7665"/>
        </w:tabs>
        <w:kinsoku/>
        <w:wordWrap/>
        <w:overflowPunct/>
        <w:topLinePunct w:val="0"/>
        <w:bidi w:val="0"/>
        <w:spacing w:line="440" w:lineRule="exact"/>
        <w:ind w:firstLine="489" w:firstLineChars="204"/>
        <w:rPr>
          <w:rFonts w:hAnsi="宋体" w:cs="宋体"/>
          <w:sz w:val="24"/>
        </w:rPr>
      </w:pPr>
      <w:r>
        <w:rPr>
          <w:rFonts w:hint="eastAsia" w:hAnsi="宋体" w:cs="宋体"/>
          <w:sz w:val="24"/>
        </w:rPr>
        <w:t>（3）遵守国家、陕西省、安康市有关的法律、法规和规范性文件要求；</w:t>
      </w:r>
    </w:p>
    <w:p w14:paraId="07A80A69">
      <w:pPr>
        <w:keepNext w:val="0"/>
        <w:keepLines w:val="0"/>
        <w:pageBreakBefore w:val="0"/>
        <w:tabs>
          <w:tab w:val="left" w:pos="7665"/>
        </w:tabs>
        <w:kinsoku/>
        <w:wordWrap/>
        <w:overflowPunct/>
        <w:topLinePunct w:val="0"/>
        <w:bidi w:val="0"/>
        <w:spacing w:line="440" w:lineRule="exact"/>
        <w:ind w:firstLine="489" w:firstLineChars="204"/>
        <w:rPr>
          <w:rFonts w:hAnsi="宋体" w:cs="宋体"/>
          <w:sz w:val="24"/>
        </w:rPr>
      </w:pPr>
      <w:r>
        <w:rPr>
          <w:rFonts w:hint="eastAsia" w:hAnsi="宋体" w:cs="宋体"/>
          <w:sz w:val="24"/>
        </w:rPr>
        <w:t>（4）</w:t>
      </w:r>
      <w:r>
        <w:rPr>
          <w:rFonts w:hint="eastAsia" w:hAnsi="宋体" w:cs="宋体"/>
          <w:sz w:val="24"/>
          <w:lang w:eastAsia="zh-CN"/>
        </w:rPr>
        <w:t>谈判</w:t>
      </w:r>
      <w:r>
        <w:rPr>
          <w:rFonts w:hint="eastAsia" w:hAnsi="宋体" w:cs="宋体"/>
          <w:sz w:val="24"/>
        </w:rPr>
        <w:t>文件和法律、行政法规规定的其他条件。</w:t>
      </w:r>
    </w:p>
    <w:p w14:paraId="3DD58A24">
      <w:pPr>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rPr>
      </w:pPr>
      <w:r>
        <w:rPr>
          <w:rFonts w:hint="eastAsia" w:hAnsi="宋体" w:cs="宋体"/>
          <w:sz w:val="24"/>
          <w:lang w:val="en-US" w:eastAsia="zh-CN"/>
        </w:rPr>
        <w:t>2</w:t>
      </w:r>
      <w:r>
        <w:rPr>
          <w:rFonts w:hint="eastAsia" w:hAnsi="宋体" w:cs="宋体"/>
          <w:sz w:val="24"/>
        </w:rPr>
        <w:t>.2限制投标要求：</w:t>
      </w:r>
    </w:p>
    <w:p w14:paraId="2A4D204B">
      <w:pPr>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rPr>
      </w:pPr>
      <w:r>
        <w:rPr>
          <w:rFonts w:hint="eastAsia" w:hAnsi="宋体" w:cs="宋体"/>
          <w:sz w:val="24"/>
        </w:rPr>
        <w:t>（l）与采购人、采购代理机构存在</w:t>
      </w:r>
      <w:r>
        <w:rPr>
          <w:rFonts w:hint="eastAsia" w:hAnsi="宋体" w:cs="宋体"/>
          <w:bCs/>
          <w:sz w:val="24"/>
        </w:rPr>
        <w:t>隶属关系或者其他利害关系；</w:t>
      </w:r>
    </w:p>
    <w:p w14:paraId="0F27657D">
      <w:pPr>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rPr>
      </w:pPr>
      <w:r>
        <w:rPr>
          <w:rFonts w:hint="eastAsia" w:hAnsi="宋体" w:cs="宋体"/>
          <w:sz w:val="24"/>
        </w:rPr>
        <w:t>（2）与其他人的法定代表人（或者负责人）为同一人，或者与其他人存在控股、关联关系；</w:t>
      </w:r>
    </w:p>
    <w:p w14:paraId="0D5E9844">
      <w:pPr>
        <w:keepNext w:val="0"/>
        <w:keepLines w:val="0"/>
        <w:pageBreakBefore w:val="0"/>
        <w:kinsoku/>
        <w:wordWrap/>
        <w:overflowPunct/>
        <w:topLinePunct w:val="0"/>
        <w:bidi w:val="0"/>
        <w:adjustRightInd w:val="0"/>
        <w:snapToGrid w:val="0"/>
        <w:spacing w:line="440" w:lineRule="exact"/>
        <w:ind w:firstLine="489" w:firstLineChars="204"/>
        <w:rPr>
          <w:rFonts w:hAnsi="宋体" w:cs="宋体"/>
          <w:bCs/>
          <w:sz w:val="24"/>
        </w:rPr>
      </w:pPr>
      <w:r>
        <w:rPr>
          <w:rFonts w:hint="eastAsia" w:hAnsi="宋体" w:cs="宋体"/>
          <w:sz w:val="24"/>
        </w:rPr>
        <w:t>（3）除单一来源采购项目外，为采购项目提供过整体设计、规范编制或者项目管理、监理、检测等服务的供应商，不得再参加同一项目的其他采购活动</w:t>
      </w:r>
      <w:r>
        <w:rPr>
          <w:rFonts w:hint="eastAsia" w:hAnsi="宋体" w:cs="宋体"/>
          <w:bCs/>
          <w:sz w:val="24"/>
        </w:rPr>
        <w:t>；</w:t>
      </w:r>
    </w:p>
    <w:p w14:paraId="3D2C2E52">
      <w:pPr>
        <w:keepNext w:val="0"/>
        <w:keepLines w:val="0"/>
        <w:pageBreakBefore w:val="0"/>
        <w:kinsoku/>
        <w:wordWrap/>
        <w:overflowPunct/>
        <w:topLinePunct w:val="0"/>
        <w:bidi w:val="0"/>
        <w:adjustRightInd w:val="0"/>
        <w:snapToGrid w:val="0"/>
        <w:spacing w:line="440" w:lineRule="exact"/>
        <w:ind w:firstLine="489" w:firstLineChars="204"/>
        <w:rPr>
          <w:rFonts w:hAnsi="宋体" w:cs="宋体"/>
          <w:bCs/>
          <w:sz w:val="24"/>
        </w:rPr>
      </w:pPr>
      <w:r>
        <w:rPr>
          <w:rFonts w:hint="eastAsia" w:hAnsi="宋体" w:cs="宋体"/>
          <w:bCs/>
          <w:sz w:val="24"/>
        </w:rPr>
        <w:t>（4）因违法经营受到刑事处罚；</w:t>
      </w:r>
    </w:p>
    <w:p w14:paraId="3D16D947">
      <w:pPr>
        <w:keepNext w:val="0"/>
        <w:keepLines w:val="0"/>
        <w:pageBreakBefore w:val="0"/>
        <w:kinsoku/>
        <w:wordWrap/>
        <w:overflowPunct/>
        <w:topLinePunct w:val="0"/>
        <w:bidi w:val="0"/>
        <w:adjustRightInd w:val="0"/>
        <w:snapToGrid w:val="0"/>
        <w:spacing w:line="440" w:lineRule="exact"/>
        <w:ind w:firstLine="489" w:firstLineChars="204"/>
        <w:rPr>
          <w:rFonts w:hAnsi="宋体" w:cs="宋体"/>
          <w:bCs/>
          <w:sz w:val="24"/>
        </w:rPr>
      </w:pPr>
      <w:r>
        <w:rPr>
          <w:rFonts w:hint="eastAsia" w:hAnsi="宋体" w:cs="宋体"/>
          <w:bCs/>
          <w:sz w:val="24"/>
        </w:rPr>
        <w:t>（5）被责令停产停业、暂扣或者吊销许可证、暂扣或者吊销执照的行政处罚；</w:t>
      </w:r>
    </w:p>
    <w:p w14:paraId="6F73F67F">
      <w:pPr>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szCs w:val="24"/>
        </w:rPr>
      </w:pPr>
      <w:r>
        <w:rPr>
          <w:rFonts w:hint="eastAsia" w:hAnsi="宋体" w:cs="宋体"/>
          <w:bCs/>
          <w:sz w:val="24"/>
          <w:szCs w:val="24"/>
        </w:rPr>
        <w:t>（6）在一至三年内禁止参加政府采购活动或存在</w:t>
      </w:r>
      <w:r>
        <w:rPr>
          <w:rFonts w:hint="eastAsia" w:hAnsi="宋体" w:cs="宋体"/>
          <w:sz w:val="24"/>
          <w:szCs w:val="24"/>
        </w:rPr>
        <w:t>财政部门认定的其他重大违法记录。</w:t>
      </w:r>
    </w:p>
    <w:p w14:paraId="6A64721B">
      <w:pPr>
        <w:keepNext w:val="0"/>
        <w:keepLines w:val="0"/>
        <w:pageBreakBefore w:val="0"/>
        <w:numPr>
          <w:ilvl w:val="4"/>
          <w:numId w:val="0"/>
        </w:numPr>
        <w:tabs>
          <w:tab w:val="left" w:pos="0"/>
        </w:tabs>
        <w:kinsoku/>
        <w:wordWrap/>
        <w:overflowPunct/>
        <w:topLinePunct w:val="0"/>
        <w:bidi w:val="0"/>
        <w:spacing w:line="440" w:lineRule="exact"/>
        <w:ind w:firstLine="482" w:firstLineChars="200"/>
        <w:rPr>
          <w:rFonts w:hAnsi="宋体" w:cs="宋体"/>
          <w:b/>
          <w:sz w:val="24"/>
          <w:szCs w:val="24"/>
        </w:rPr>
      </w:pPr>
      <w:bookmarkStart w:id="37" w:name="_Toc217446047"/>
      <w:bookmarkStart w:id="38" w:name="_Toc183582208"/>
      <w:bookmarkStart w:id="39" w:name="_Toc183682345"/>
      <w:bookmarkStart w:id="40" w:name="_Toc217446037"/>
      <w:r>
        <w:rPr>
          <w:rFonts w:hint="eastAsia" w:hAnsi="宋体" w:cs="宋体"/>
          <w:b/>
          <w:sz w:val="24"/>
          <w:szCs w:val="24"/>
          <w:lang w:val="en-US" w:eastAsia="zh-CN"/>
        </w:rPr>
        <w:t>3</w:t>
      </w:r>
      <w:r>
        <w:rPr>
          <w:rFonts w:hint="eastAsia" w:hAnsi="宋体" w:cs="宋体"/>
          <w:b/>
          <w:sz w:val="24"/>
          <w:szCs w:val="24"/>
        </w:rPr>
        <w:t>.竞争性</w:t>
      </w:r>
      <w:r>
        <w:rPr>
          <w:rFonts w:hint="eastAsia" w:hAnsi="宋体" w:cs="宋体"/>
          <w:b/>
          <w:sz w:val="24"/>
          <w:szCs w:val="24"/>
          <w:lang w:val="en-US" w:eastAsia="zh-CN"/>
        </w:rPr>
        <w:t>谈判</w:t>
      </w:r>
      <w:r>
        <w:rPr>
          <w:rFonts w:hint="eastAsia" w:hAnsi="宋体" w:cs="宋体"/>
          <w:b/>
          <w:sz w:val="24"/>
          <w:szCs w:val="24"/>
        </w:rPr>
        <w:t>工程和服务的合格性和合法性</w:t>
      </w:r>
    </w:p>
    <w:p w14:paraId="6AF655C5">
      <w:pPr>
        <w:keepNext w:val="0"/>
        <w:keepLines w:val="0"/>
        <w:pageBreakBefore w:val="0"/>
        <w:tabs>
          <w:tab w:val="left" w:pos="747"/>
        </w:tabs>
        <w:kinsoku/>
        <w:wordWrap/>
        <w:overflowPunct/>
        <w:topLinePunct w:val="0"/>
        <w:bidi w:val="0"/>
        <w:snapToGrid w:val="0"/>
        <w:spacing w:line="440" w:lineRule="exact"/>
        <w:ind w:firstLine="480" w:firstLineChars="200"/>
        <w:rPr>
          <w:rFonts w:hAnsi="宋体" w:cs="宋体"/>
          <w:sz w:val="24"/>
          <w:szCs w:val="24"/>
        </w:rPr>
      </w:pPr>
      <w:r>
        <w:rPr>
          <w:rFonts w:hint="eastAsia" w:hAnsi="宋体" w:cs="宋体"/>
          <w:bCs/>
          <w:sz w:val="24"/>
          <w:szCs w:val="24"/>
          <w:lang w:val="en-US" w:eastAsia="zh-CN"/>
        </w:rPr>
        <w:t>3</w:t>
      </w:r>
      <w:r>
        <w:rPr>
          <w:rFonts w:hint="eastAsia" w:hAnsi="宋体" w:cs="宋体"/>
          <w:bCs/>
          <w:sz w:val="24"/>
          <w:szCs w:val="24"/>
        </w:rPr>
        <w:t>.1</w:t>
      </w:r>
      <w:r>
        <w:rPr>
          <w:rFonts w:hint="eastAsia" w:hAnsi="宋体" w:cs="宋体"/>
          <w:sz w:val="24"/>
          <w:szCs w:val="24"/>
        </w:rPr>
        <w:t>供应商提供的所有工程和服务，必须是合法生产、合法来源，符合国家有关标准要求。</w:t>
      </w:r>
    </w:p>
    <w:p w14:paraId="5ECC7D25">
      <w:pPr>
        <w:keepNext w:val="0"/>
        <w:keepLines w:val="0"/>
        <w:pageBreakBefore w:val="0"/>
        <w:kinsoku/>
        <w:wordWrap/>
        <w:overflowPunct/>
        <w:topLinePunct w:val="0"/>
        <w:bidi w:val="0"/>
        <w:adjustRightInd w:val="0"/>
        <w:snapToGrid w:val="0"/>
        <w:spacing w:line="440" w:lineRule="exact"/>
        <w:ind w:firstLine="480" w:firstLineChars="200"/>
        <w:rPr>
          <w:rFonts w:hAnsi="宋体" w:cs="宋体"/>
          <w:bCs/>
          <w:sz w:val="24"/>
          <w:szCs w:val="24"/>
        </w:rPr>
      </w:pPr>
      <w:r>
        <w:rPr>
          <w:rFonts w:hint="eastAsia" w:hAnsi="宋体" w:cs="宋体"/>
          <w:bCs/>
          <w:sz w:val="24"/>
          <w:szCs w:val="24"/>
          <w:lang w:val="en-US" w:eastAsia="zh-CN"/>
        </w:rPr>
        <w:t>3</w:t>
      </w:r>
      <w:r>
        <w:rPr>
          <w:rFonts w:hint="eastAsia" w:hAnsi="宋体" w:cs="宋体"/>
          <w:bCs/>
          <w:sz w:val="24"/>
          <w:szCs w:val="24"/>
        </w:rPr>
        <w:t>.2采购人有权拒绝接受任何不合格的</w:t>
      </w:r>
      <w:r>
        <w:rPr>
          <w:rFonts w:hint="eastAsia" w:hAnsi="宋体" w:cs="宋体"/>
          <w:sz w:val="24"/>
          <w:szCs w:val="24"/>
        </w:rPr>
        <w:t>工程</w:t>
      </w:r>
      <w:r>
        <w:rPr>
          <w:rFonts w:hint="eastAsia" w:hAnsi="宋体" w:cs="宋体"/>
          <w:bCs/>
          <w:sz w:val="24"/>
          <w:szCs w:val="24"/>
        </w:rPr>
        <w:t>和服务，由此产生的费用及相关后果均由供应商自行承担。</w:t>
      </w:r>
    </w:p>
    <w:bookmarkEnd w:id="37"/>
    <w:p w14:paraId="189CD3E4">
      <w:pPr>
        <w:keepNext w:val="0"/>
        <w:keepLines w:val="0"/>
        <w:pageBreakBefore w:val="0"/>
        <w:tabs>
          <w:tab w:val="left" w:pos="0"/>
        </w:tabs>
        <w:kinsoku/>
        <w:wordWrap/>
        <w:overflowPunct/>
        <w:topLinePunct w:val="0"/>
        <w:bidi w:val="0"/>
        <w:spacing w:before="120" w:beforeLines="50" w:after="120" w:afterLines="50" w:line="440" w:lineRule="exact"/>
        <w:ind w:firstLine="482" w:firstLineChars="200"/>
        <w:rPr>
          <w:b/>
          <w:sz w:val="24"/>
          <w:szCs w:val="24"/>
        </w:rPr>
      </w:pPr>
      <w:r>
        <w:rPr>
          <w:rFonts w:hint="eastAsia"/>
          <w:b/>
          <w:sz w:val="24"/>
          <w:szCs w:val="24"/>
          <w:lang w:val="en-US" w:eastAsia="zh-CN"/>
        </w:rPr>
        <w:t>4</w:t>
      </w:r>
      <w:r>
        <w:rPr>
          <w:rFonts w:hint="eastAsia"/>
          <w:b/>
          <w:sz w:val="24"/>
          <w:szCs w:val="24"/>
        </w:rPr>
        <w:t xml:space="preserve">. </w:t>
      </w:r>
      <w:r>
        <w:rPr>
          <w:rFonts w:hint="eastAsia"/>
          <w:b/>
          <w:sz w:val="24"/>
          <w:szCs w:val="24"/>
          <w:lang w:val="en-US" w:eastAsia="zh-CN"/>
        </w:rPr>
        <w:t>谈判</w:t>
      </w:r>
      <w:r>
        <w:rPr>
          <w:rFonts w:hint="eastAsia"/>
          <w:b/>
          <w:sz w:val="24"/>
          <w:szCs w:val="24"/>
        </w:rPr>
        <w:t>费用</w:t>
      </w:r>
      <w:bookmarkEnd w:id="38"/>
      <w:bookmarkEnd w:id="39"/>
      <w:bookmarkEnd w:id="40"/>
    </w:p>
    <w:p w14:paraId="4BF6DA09">
      <w:pPr>
        <w:keepNext w:val="0"/>
        <w:keepLines w:val="0"/>
        <w:pageBreakBefore w:val="0"/>
        <w:kinsoku/>
        <w:wordWrap/>
        <w:overflowPunct/>
        <w:topLinePunct w:val="0"/>
        <w:bidi w:val="0"/>
        <w:spacing w:line="440" w:lineRule="exact"/>
        <w:ind w:firstLine="489" w:firstLineChars="204"/>
        <w:rPr>
          <w:rFonts w:hAnsi="宋体" w:cs="宋体"/>
          <w:sz w:val="24"/>
          <w:szCs w:val="24"/>
        </w:rPr>
      </w:pPr>
      <w:r>
        <w:rPr>
          <w:rFonts w:hint="eastAsia" w:hAnsi="宋体" w:cs="宋体"/>
          <w:sz w:val="24"/>
          <w:szCs w:val="24"/>
        </w:rPr>
        <w:t>不论</w:t>
      </w:r>
      <w:r>
        <w:rPr>
          <w:rFonts w:hint="eastAsia" w:hAnsi="宋体" w:cs="宋体"/>
          <w:sz w:val="24"/>
          <w:lang w:val="en-US" w:eastAsia="zh-CN"/>
        </w:rPr>
        <w:t>谈判</w:t>
      </w:r>
      <w:r>
        <w:rPr>
          <w:rFonts w:hint="eastAsia" w:hAnsi="宋体" w:cs="宋体"/>
          <w:sz w:val="24"/>
          <w:szCs w:val="24"/>
        </w:rPr>
        <w:t>结果如何，供应商准备和参加</w:t>
      </w:r>
      <w:r>
        <w:rPr>
          <w:rFonts w:hint="eastAsia" w:hAnsi="宋体" w:cs="宋体"/>
          <w:sz w:val="24"/>
          <w:lang w:val="en-US" w:eastAsia="zh-CN"/>
        </w:rPr>
        <w:t>谈判</w:t>
      </w:r>
      <w:r>
        <w:rPr>
          <w:rFonts w:hint="eastAsia" w:hAnsi="宋体" w:cs="宋体"/>
          <w:sz w:val="24"/>
          <w:szCs w:val="24"/>
        </w:rPr>
        <w:t>活动的全部费用自理。</w:t>
      </w:r>
      <w:bookmarkStart w:id="41" w:name="_Toc183682346"/>
      <w:bookmarkStart w:id="42" w:name="_Toc183582209"/>
      <w:bookmarkStart w:id="43" w:name="_Toc89075875"/>
      <w:bookmarkStart w:id="44" w:name="_Toc217446038"/>
      <w:bookmarkStart w:id="45" w:name="_Toc77400779"/>
    </w:p>
    <w:p w14:paraId="6526292B">
      <w:pPr>
        <w:keepNext w:val="0"/>
        <w:keepLines w:val="0"/>
        <w:pageBreakBefore w:val="0"/>
        <w:kinsoku/>
        <w:wordWrap/>
        <w:overflowPunct/>
        <w:topLinePunct w:val="0"/>
        <w:bidi w:val="0"/>
        <w:spacing w:before="100" w:beforeAutospacing="1" w:after="100" w:afterAutospacing="1" w:line="440" w:lineRule="exact"/>
        <w:ind w:firstLine="573" w:firstLineChars="204"/>
        <w:jc w:val="center"/>
        <w:rPr>
          <w:rFonts w:hAnsi="宋体" w:cs="宋体"/>
          <w:b/>
          <w:bCs/>
          <w:sz w:val="28"/>
          <w:szCs w:val="28"/>
        </w:rPr>
      </w:pPr>
      <w:r>
        <w:rPr>
          <w:rFonts w:hint="eastAsia" w:hAnsi="宋体" w:cs="宋体"/>
          <w:b/>
          <w:bCs/>
          <w:sz w:val="28"/>
          <w:szCs w:val="28"/>
        </w:rPr>
        <w:t>二、</w:t>
      </w:r>
      <w:bookmarkEnd w:id="41"/>
      <w:bookmarkEnd w:id="42"/>
      <w:bookmarkEnd w:id="43"/>
      <w:bookmarkEnd w:id="44"/>
      <w:bookmarkEnd w:id="45"/>
      <w:bookmarkStart w:id="46" w:name="_Toc217446039"/>
      <w:bookmarkStart w:id="47" w:name="_Toc183582210"/>
      <w:bookmarkStart w:id="48" w:name="_Toc183682347"/>
      <w:r>
        <w:rPr>
          <w:rFonts w:hint="eastAsia" w:hAnsi="宋体" w:cs="宋体"/>
          <w:b/>
          <w:bCs/>
          <w:sz w:val="28"/>
          <w:szCs w:val="28"/>
          <w:lang w:val="en-US" w:eastAsia="zh-CN"/>
        </w:rPr>
        <w:t>谈判</w:t>
      </w:r>
      <w:r>
        <w:rPr>
          <w:rFonts w:hint="eastAsia" w:hAnsi="宋体" w:cs="宋体"/>
          <w:b/>
          <w:bCs/>
          <w:sz w:val="28"/>
          <w:szCs w:val="28"/>
        </w:rPr>
        <w:t>文件</w:t>
      </w:r>
    </w:p>
    <w:p w14:paraId="5A6BC55A">
      <w:pPr>
        <w:keepNext w:val="0"/>
        <w:keepLines w:val="0"/>
        <w:pageBreakBefore w:val="0"/>
        <w:numPr>
          <w:ilvl w:val="4"/>
          <w:numId w:val="0"/>
        </w:numPr>
        <w:tabs>
          <w:tab w:val="left" w:pos="0"/>
        </w:tabs>
        <w:kinsoku/>
        <w:wordWrap/>
        <w:overflowPunct/>
        <w:topLinePunct w:val="0"/>
        <w:bidi w:val="0"/>
        <w:spacing w:line="440" w:lineRule="exact"/>
        <w:ind w:firstLine="492" w:firstLineChars="204"/>
        <w:rPr>
          <w:rFonts w:hAnsi="宋体" w:cs="宋体"/>
          <w:b/>
          <w:sz w:val="24"/>
        </w:rPr>
      </w:pPr>
      <w:r>
        <w:rPr>
          <w:rFonts w:hint="eastAsia" w:hAnsi="宋体" w:cs="宋体"/>
          <w:b/>
          <w:sz w:val="24"/>
          <w:lang w:val="en-US" w:eastAsia="zh-CN"/>
        </w:rPr>
        <w:t>1</w:t>
      </w:r>
      <w:r>
        <w:rPr>
          <w:rFonts w:hint="eastAsia" w:hAnsi="宋体" w:cs="宋体"/>
          <w:b/>
          <w:sz w:val="24"/>
        </w:rPr>
        <w:t>.</w:t>
      </w:r>
      <w:r>
        <w:rPr>
          <w:rFonts w:hint="eastAsia" w:hAnsi="宋体" w:cs="宋体"/>
          <w:b/>
          <w:sz w:val="24"/>
          <w:lang w:val="en-US" w:eastAsia="zh-CN"/>
        </w:rPr>
        <w:t>谈判</w:t>
      </w:r>
      <w:r>
        <w:rPr>
          <w:rFonts w:hint="eastAsia" w:hAnsi="宋体" w:cs="宋体"/>
          <w:b/>
          <w:sz w:val="24"/>
        </w:rPr>
        <w:t>文件的</w:t>
      </w:r>
      <w:bookmarkEnd w:id="46"/>
      <w:bookmarkEnd w:id="47"/>
      <w:bookmarkEnd w:id="48"/>
      <w:r>
        <w:rPr>
          <w:rFonts w:hint="eastAsia" w:hAnsi="宋体" w:cs="宋体"/>
          <w:b/>
          <w:sz w:val="24"/>
        </w:rPr>
        <w:t>组成</w:t>
      </w:r>
    </w:p>
    <w:p w14:paraId="737148DA">
      <w:pPr>
        <w:keepNext w:val="0"/>
        <w:keepLines w:val="0"/>
        <w:pageBreakBefore w:val="0"/>
        <w:tabs>
          <w:tab w:val="left" w:pos="7665"/>
        </w:tabs>
        <w:kinsoku/>
        <w:wordWrap/>
        <w:overflowPunct/>
        <w:topLinePunct w:val="0"/>
        <w:bidi w:val="0"/>
        <w:spacing w:before="120" w:beforeLines="50" w:line="440" w:lineRule="exact"/>
        <w:ind w:firstLine="489" w:firstLineChars="204"/>
        <w:rPr>
          <w:rFonts w:hAnsi="宋体" w:cs="宋体"/>
          <w:sz w:val="24"/>
        </w:rPr>
      </w:pPr>
      <w:r>
        <w:rPr>
          <w:rFonts w:hint="eastAsia" w:hAnsi="宋体" w:cs="宋体"/>
          <w:sz w:val="24"/>
          <w:lang w:val="en-US" w:eastAsia="zh-CN"/>
        </w:rPr>
        <w:t>谈判</w:t>
      </w:r>
      <w:r>
        <w:rPr>
          <w:rFonts w:hint="eastAsia" w:hAnsi="宋体" w:cs="宋体"/>
          <w:sz w:val="24"/>
        </w:rPr>
        <w:t>文件用以阐明采购项目所需的资质、技术服务及报价等要求、竞争性</w:t>
      </w:r>
      <w:r>
        <w:rPr>
          <w:rFonts w:hint="eastAsia" w:hAnsi="宋体" w:cs="宋体"/>
          <w:sz w:val="24"/>
          <w:lang w:val="en-US" w:eastAsia="zh-CN"/>
        </w:rPr>
        <w:t>谈判</w:t>
      </w:r>
      <w:r>
        <w:rPr>
          <w:rFonts w:hint="eastAsia" w:hAnsi="宋体" w:cs="宋体"/>
          <w:sz w:val="24"/>
        </w:rPr>
        <w:t>程序、有关规定和注意事项以及合同主要条款等。本</w:t>
      </w:r>
      <w:r>
        <w:rPr>
          <w:rFonts w:hint="eastAsia" w:hAnsi="宋体" w:cs="宋体"/>
          <w:sz w:val="24"/>
          <w:lang w:val="en-US" w:eastAsia="zh-CN"/>
        </w:rPr>
        <w:t>谈判</w:t>
      </w:r>
      <w:r>
        <w:rPr>
          <w:rFonts w:hint="eastAsia" w:hAnsi="宋体" w:cs="宋体"/>
          <w:sz w:val="24"/>
        </w:rPr>
        <w:t>文件包括以下内容：</w:t>
      </w:r>
    </w:p>
    <w:p w14:paraId="41DC55C0">
      <w:pPr>
        <w:keepNext w:val="0"/>
        <w:keepLines w:val="0"/>
        <w:pageBreakBefore w:val="0"/>
        <w:numPr>
          <w:ilvl w:val="0"/>
          <w:numId w:val="3"/>
        </w:numPr>
        <w:tabs>
          <w:tab w:val="left" w:pos="0"/>
          <w:tab w:val="clear" w:pos="420"/>
        </w:tabs>
        <w:kinsoku/>
        <w:wordWrap/>
        <w:overflowPunct/>
        <w:topLinePunct w:val="0"/>
        <w:bidi w:val="0"/>
        <w:spacing w:line="440" w:lineRule="exact"/>
        <w:ind w:left="845" w:leftChars="0" w:hanging="425" w:firstLineChars="0"/>
        <w:rPr>
          <w:rFonts w:hint="eastAsia" w:hAnsi="宋体" w:cs="宋体"/>
          <w:b w:val="0"/>
          <w:bCs/>
          <w:sz w:val="24"/>
          <w:lang w:val="en-US" w:eastAsia="zh-CN"/>
        </w:rPr>
      </w:pPr>
      <w:bookmarkStart w:id="49" w:name="_Toc183582211"/>
      <w:bookmarkStart w:id="50" w:name="_Toc183682348"/>
      <w:bookmarkStart w:id="51" w:name="_Toc217446040"/>
      <w:r>
        <w:rPr>
          <w:rFonts w:hint="eastAsia" w:hAnsi="宋体" w:cs="宋体"/>
          <w:b w:val="0"/>
          <w:bCs/>
          <w:sz w:val="24"/>
          <w:lang w:val="en-US" w:eastAsia="zh-CN"/>
        </w:rPr>
        <w:t>竞争性</w:t>
      </w:r>
      <w:r>
        <w:rPr>
          <w:rFonts w:hint="eastAsia" w:hAnsi="宋体" w:cs="宋体"/>
          <w:sz w:val="24"/>
          <w:lang w:val="en-US" w:eastAsia="zh-CN"/>
        </w:rPr>
        <w:t>谈判</w:t>
      </w:r>
      <w:r>
        <w:rPr>
          <w:rFonts w:hint="eastAsia" w:hAnsi="宋体" w:cs="宋体"/>
          <w:b w:val="0"/>
          <w:bCs/>
          <w:sz w:val="24"/>
          <w:lang w:val="en-US" w:eastAsia="zh-CN"/>
        </w:rPr>
        <w:t>公告</w:t>
      </w:r>
    </w:p>
    <w:p w14:paraId="665FD45A">
      <w:pPr>
        <w:keepNext w:val="0"/>
        <w:keepLines w:val="0"/>
        <w:pageBreakBefore w:val="0"/>
        <w:numPr>
          <w:ilvl w:val="0"/>
          <w:numId w:val="3"/>
        </w:numPr>
        <w:tabs>
          <w:tab w:val="left" w:pos="0"/>
          <w:tab w:val="clear" w:pos="420"/>
        </w:tabs>
        <w:kinsoku/>
        <w:wordWrap/>
        <w:overflowPunct/>
        <w:topLinePunct w:val="0"/>
        <w:bidi w:val="0"/>
        <w:spacing w:line="440" w:lineRule="exact"/>
        <w:ind w:left="845" w:leftChars="0" w:hanging="425" w:firstLineChars="0"/>
        <w:rPr>
          <w:rFonts w:hint="eastAsia" w:hAnsi="宋体" w:cs="宋体"/>
          <w:b w:val="0"/>
          <w:bCs/>
          <w:sz w:val="24"/>
          <w:lang w:val="en-US" w:eastAsia="zh-CN"/>
        </w:rPr>
      </w:pPr>
      <w:r>
        <w:rPr>
          <w:rFonts w:hint="eastAsia" w:hAnsi="宋体" w:cs="宋体"/>
          <w:b w:val="0"/>
          <w:bCs/>
          <w:sz w:val="24"/>
          <w:lang w:val="en-US" w:eastAsia="zh-CN"/>
        </w:rPr>
        <w:t>供应商须知及前附表</w:t>
      </w:r>
    </w:p>
    <w:p w14:paraId="532F266B">
      <w:pPr>
        <w:keepNext w:val="0"/>
        <w:keepLines w:val="0"/>
        <w:pageBreakBefore w:val="0"/>
        <w:numPr>
          <w:ilvl w:val="0"/>
          <w:numId w:val="3"/>
        </w:numPr>
        <w:tabs>
          <w:tab w:val="left" w:pos="0"/>
          <w:tab w:val="clear" w:pos="420"/>
        </w:tabs>
        <w:kinsoku/>
        <w:wordWrap/>
        <w:overflowPunct/>
        <w:topLinePunct w:val="0"/>
        <w:bidi w:val="0"/>
        <w:spacing w:line="440" w:lineRule="exact"/>
        <w:ind w:left="845" w:leftChars="0" w:hanging="425" w:firstLineChars="0"/>
        <w:rPr>
          <w:rFonts w:hint="eastAsia" w:hAnsi="宋体" w:cs="宋体"/>
          <w:b w:val="0"/>
          <w:bCs/>
          <w:sz w:val="24"/>
          <w:lang w:val="en-US" w:eastAsia="zh-CN"/>
        </w:rPr>
      </w:pPr>
      <w:r>
        <w:rPr>
          <w:rFonts w:hint="eastAsia" w:hAnsi="宋体" w:cs="宋体"/>
          <w:b w:val="0"/>
          <w:bCs/>
          <w:sz w:val="24"/>
          <w:lang w:val="en-US" w:eastAsia="zh-CN"/>
        </w:rPr>
        <w:t>主要商务条款</w:t>
      </w:r>
    </w:p>
    <w:p w14:paraId="6684057D">
      <w:pPr>
        <w:keepNext w:val="0"/>
        <w:keepLines w:val="0"/>
        <w:pageBreakBefore w:val="0"/>
        <w:numPr>
          <w:ilvl w:val="0"/>
          <w:numId w:val="3"/>
        </w:numPr>
        <w:tabs>
          <w:tab w:val="left" w:pos="0"/>
          <w:tab w:val="clear" w:pos="420"/>
        </w:tabs>
        <w:kinsoku/>
        <w:wordWrap/>
        <w:overflowPunct/>
        <w:topLinePunct w:val="0"/>
        <w:bidi w:val="0"/>
        <w:spacing w:line="440" w:lineRule="exact"/>
        <w:ind w:left="845" w:leftChars="0" w:hanging="425" w:firstLineChars="0"/>
        <w:rPr>
          <w:rFonts w:hint="eastAsia" w:hAnsi="宋体" w:cs="宋体"/>
          <w:b w:val="0"/>
          <w:bCs/>
          <w:sz w:val="24"/>
          <w:lang w:val="en-US" w:eastAsia="zh-CN"/>
        </w:rPr>
      </w:pPr>
      <w:r>
        <w:rPr>
          <w:rFonts w:hint="eastAsia" w:hAnsi="宋体" w:cs="宋体"/>
          <w:b w:val="0"/>
          <w:bCs/>
          <w:sz w:val="24"/>
          <w:lang w:val="en-US" w:eastAsia="zh-CN"/>
        </w:rPr>
        <w:t>采购需求</w:t>
      </w:r>
    </w:p>
    <w:p w14:paraId="1A1A8726">
      <w:pPr>
        <w:keepNext w:val="0"/>
        <w:keepLines w:val="0"/>
        <w:pageBreakBefore w:val="0"/>
        <w:numPr>
          <w:ilvl w:val="0"/>
          <w:numId w:val="3"/>
        </w:numPr>
        <w:tabs>
          <w:tab w:val="left" w:pos="0"/>
          <w:tab w:val="clear" w:pos="420"/>
        </w:tabs>
        <w:kinsoku/>
        <w:wordWrap/>
        <w:overflowPunct/>
        <w:topLinePunct w:val="0"/>
        <w:bidi w:val="0"/>
        <w:spacing w:line="440" w:lineRule="exact"/>
        <w:ind w:left="845" w:leftChars="0" w:hanging="425" w:firstLineChars="0"/>
        <w:rPr>
          <w:rFonts w:hint="eastAsia" w:hAnsi="宋体" w:cs="宋体"/>
          <w:b w:val="0"/>
          <w:bCs/>
          <w:sz w:val="24"/>
          <w:lang w:val="en-US" w:eastAsia="zh-CN"/>
        </w:rPr>
      </w:pPr>
      <w:r>
        <w:rPr>
          <w:rFonts w:hint="eastAsia" w:hAnsi="宋体" w:cs="宋体"/>
          <w:b w:val="0"/>
          <w:bCs/>
          <w:sz w:val="24"/>
          <w:lang w:val="en-US" w:eastAsia="zh-CN"/>
        </w:rPr>
        <w:t xml:space="preserve">签订的合同条款 </w:t>
      </w:r>
    </w:p>
    <w:p w14:paraId="09B9FA80">
      <w:pPr>
        <w:keepNext w:val="0"/>
        <w:keepLines w:val="0"/>
        <w:pageBreakBefore w:val="0"/>
        <w:numPr>
          <w:ilvl w:val="0"/>
          <w:numId w:val="3"/>
        </w:numPr>
        <w:tabs>
          <w:tab w:val="left" w:pos="0"/>
          <w:tab w:val="clear" w:pos="420"/>
        </w:tabs>
        <w:kinsoku/>
        <w:wordWrap/>
        <w:overflowPunct/>
        <w:topLinePunct w:val="0"/>
        <w:bidi w:val="0"/>
        <w:spacing w:line="440" w:lineRule="exact"/>
        <w:ind w:left="845" w:leftChars="0" w:hanging="425" w:firstLineChars="0"/>
        <w:rPr>
          <w:rFonts w:hint="eastAsia" w:hAnsi="宋体" w:cs="宋体"/>
          <w:b w:val="0"/>
          <w:bCs/>
          <w:sz w:val="24"/>
          <w:lang w:val="en-US" w:eastAsia="zh-CN"/>
        </w:rPr>
      </w:pPr>
      <w:r>
        <w:rPr>
          <w:rFonts w:hint="eastAsia" w:hAnsi="宋体" w:cs="宋体"/>
          <w:sz w:val="24"/>
          <w:lang w:val="en-US" w:eastAsia="zh-CN"/>
        </w:rPr>
        <w:t>谈判</w:t>
      </w:r>
      <w:r>
        <w:rPr>
          <w:rFonts w:hint="eastAsia" w:hAnsi="宋体" w:cs="宋体"/>
          <w:b w:val="0"/>
          <w:bCs/>
          <w:sz w:val="24"/>
          <w:lang w:val="en-US" w:eastAsia="zh-CN"/>
        </w:rPr>
        <w:t>响应文件格式</w:t>
      </w:r>
    </w:p>
    <w:p w14:paraId="1AEC4C17">
      <w:pPr>
        <w:keepNext w:val="0"/>
        <w:keepLines w:val="0"/>
        <w:pageBreakBefore w:val="0"/>
        <w:numPr>
          <w:ilvl w:val="4"/>
          <w:numId w:val="0"/>
        </w:numPr>
        <w:tabs>
          <w:tab w:val="left" w:pos="0"/>
        </w:tabs>
        <w:kinsoku/>
        <w:wordWrap/>
        <w:overflowPunct/>
        <w:topLinePunct w:val="0"/>
        <w:bidi w:val="0"/>
        <w:spacing w:line="440" w:lineRule="exact"/>
        <w:ind w:firstLine="492" w:firstLineChars="204"/>
        <w:rPr>
          <w:rFonts w:hAnsi="宋体" w:cs="宋体"/>
          <w:b/>
          <w:sz w:val="24"/>
        </w:rPr>
      </w:pPr>
      <w:r>
        <w:rPr>
          <w:rFonts w:hint="eastAsia" w:hAnsi="宋体" w:cs="宋体"/>
          <w:b/>
          <w:sz w:val="24"/>
          <w:lang w:val="en-US" w:eastAsia="zh-CN"/>
        </w:rPr>
        <w:t>2</w:t>
      </w:r>
      <w:r>
        <w:rPr>
          <w:rFonts w:hint="eastAsia" w:hAnsi="宋体" w:cs="宋体"/>
          <w:b/>
          <w:sz w:val="24"/>
        </w:rPr>
        <w:t>.</w:t>
      </w:r>
      <w:r>
        <w:rPr>
          <w:rFonts w:hint="eastAsia" w:hAnsi="宋体" w:cs="宋体"/>
          <w:b/>
          <w:sz w:val="24"/>
          <w:lang w:val="en-US" w:eastAsia="zh-CN"/>
        </w:rPr>
        <w:t>谈判</w:t>
      </w:r>
      <w:r>
        <w:rPr>
          <w:rFonts w:hint="eastAsia" w:hAnsi="宋体" w:cs="宋体"/>
          <w:b/>
          <w:sz w:val="24"/>
        </w:rPr>
        <w:t>文件的澄清</w:t>
      </w:r>
      <w:bookmarkEnd w:id="49"/>
      <w:bookmarkEnd w:id="50"/>
      <w:r>
        <w:rPr>
          <w:rFonts w:hint="eastAsia" w:hAnsi="宋体" w:cs="宋体"/>
          <w:b/>
          <w:sz w:val="24"/>
        </w:rPr>
        <w:t>和修改</w:t>
      </w:r>
      <w:bookmarkEnd w:id="51"/>
    </w:p>
    <w:p w14:paraId="25F02717">
      <w:pPr>
        <w:keepNext w:val="0"/>
        <w:keepLines w:val="0"/>
        <w:pageBreakBefore w:val="0"/>
        <w:tabs>
          <w:tab w:val="left" w:pos="720"/>
        </w:tabs>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2</w:t>
      </w:r>
      <w:r>
        <w:rPr>
          <w:rFonts w:hint="eastAsia" w:hAnsi="宋体" w:cs="宋体"/>
          <w:sz w:val="24"/>
        </w:rPr>
        <w:t>.1 在</w:t>
      </w:r>
      <w:r>
        <w:rPr>
          <w:rFonts w:hint="eastAsia" w:hAnsi="宋体" w:cs="宋体"/>
          <w:sz w:val="24"/>
          <w:lang w:eastAsia="zh-CN"/>
        </w:rPr>
        <w:t>谈判</w:t>
      </w:r>
      <w:r>
        <w:rPr>
          <w:rFonts w:hint="eastAsia" w:hAnsi="宋体" w:cs="宋体"/>
          <w:sz w:val="24"/>
        </w:rPr>
        <w:t>截止时间前，采购代理机构无论出于何种原因，可以对已发出</w:t>
      </w:r>
      <w:r>
        <w:rPr>
          <w:rFonts w:hint="eastAsia" w:hAnsi="宋体" w:cs="宋体"/>
          <w:sz w:val="24"/>
          <w:lang w:eastAsia="zh-CN"/>
        </w:rPr>
        <w:t>谈判</w:t>
      </w:r>
      <w:r>
        <w:rPr>
          <w:rFonts w:hint="eastAsia" w:hAnsi="宋体" w:cs="宋体"/>
          <w:sz w:val="24"/>
        </w:rPr>
        <w:t>文件进行必要的澄清或者修改，但不得修改采购标的和资格条件。</w:t>
      </w:r>
    </w:p>
    <w:p w14:paraId="6B9939CB">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2</w:t>
      </w:r>
      <w:r>
        <w:rPr>
          <w:rFonts w:hint="eastAsia" w:hAnsi="宋体" w:cs="宋体"/>
          <w:sz w:val="24"/>
        </w:rPr>
        <w:t>.2采购人或采购代理机构对已发出的</w:t>
      </w:r>
      <w:r>
        <w:rPr>
          <w:rFonts w:hint="eastAsia" w:hAnsi="宋体" w:cs="宋体"/>
          <w:sz w:val="24"/>
          <w:lang w:eastAsia="zh-CN"/>
        </w:rPr>
        <w:t>谈判</w:t>
      </w:r>
      <w:r>
        <w:rPr>
          <w:rFonts w:hint="eastAsia" w:hAnsi="宋体" w:cs="宋体"/>
          <w:sz w:val="24"/>
        </w:rPr>
        <w:t>文件进行必要的澄清或者修改，澄清或修改的内容可能影响</w:t>
      </w:r>
      <w:r>
        <w:rPr>
          <w:rFonts w:hint="eastAsia" w:hAnsi="宋体" w:cs="宋体"/>
          <w:sz w:val="24"/>
          <w:lang w:eastAsia="zh-CN"/>
        </w:rPr>
        <w:t>谈判</w:t>
      </w:r>
      <w:r>
        <w:rPr>
          <w:rFonts w:hint="eastAsia" w:hAnsi="宋体" w:cs="宋体"/>
          <w:sz w:val="24"/>
        </w:rPr>
        <w:t>响应文件编制的，应当在</w:t>
      </w:r>
      <w:r>
        <w:rPr>
          <w:rFonts w:hint="eastAsia" w:hAnsi="宋体" w:cs="宋体"/>
          <w:sz w:val="24"/>
          <w:lang w:eastAsia="zh-CN"/>
        </w:rPr>
        <w:t>谈判</w:t>
      </w:r>
      <w:r>
        <w:rPr>
          <w:rFonts w:hint="eastAsia" w:hAnsi="宋体" w:cs="宋体"/>
          <w:sz w:val="24"/>
        </w:rPr>
        <w:t>响应文件截止时间</w:t>
      </w:r>
      <w:r>
        <w:rPr>
          <w:rFonts w:hint="eastAsia" w:hAnsi="宋体" w:cs="宋体"/>
          <w:b/>
          <w:sz w:val="24"/>
        </w:rPr>
        <w:t>5</w:t>
      </w:r>
      <w:r>
        <w:rPr>
          <w:rFonts w:hint="eastAsia" w:hAnsi="宋体" w:cs="宋体"/>
          <w:sz w:val="24"/>
        </w:rPr>
        <w:t>日前，以书面形式将澄清或者修改的内容通知所有获取</w:t>
      </w:r>
      <w:r>
        <w:rPr>
          <w:rFonts w:hint="eastAsia" w:hAnsi="宋体" w:cs="宋体"/>
          <w:sz w:val="24"/>
          <w:lang w:eastAsia="zh-CN"/>
        </w:rPr>
        <w:t>谈判</w:t>
      </w:r>
      <w:r>
        <w:rPr>
          <w:rFonts w:hint="eastAsia" w:hAnsi="宋体" w:cs="宋体"/>
          <w:sz w:val="24"/>
        </w:rPr>
        <w:t>文件的潜在供应商，同时在原信息发布媒体上发布澄清公告。供应商在收到上述通知后，应立即以书面形式向采购代理机构确认。如果澄清或者修改发出的时间距规定的</w:t>
      </w:r>
      <w:r>
        <w:rPr>
          <w:rFonts w:hint="eastAsia" w:hAnsi="宋体" w:cs="宋体"/>
          <w:sz w:val="24"/>
          <w:lang w:eastAsia="zh-CN"/>
        </w:rPr>
        <w:t>谈判</w:t>
      </w:r>
      <w:r>
        <w:rPr>
          <w:rFonts w:hint="eastAsia" w:hAnsi="宋体" w:cs="宋体"/>
          <w:sz w:val="24"/>
        </w:rPr>
        <w:t>截止时间不足</w:t>
      </w:r>
      <w:r>
        <w:rPr>
          <w:rFonts w:hint="eastAsia" w:hAnsi="宋体" w:cs="宋体"/>
          <w:b/>
          <w:sz w:val="24"/>
        </w:rPr>
        <w:t>5</w:t>
      </w:r>
      <w:r>
        <w:rPr>
          <w:rFonts w:hint="eastAsia" w:hAnsi="宋体" w:cs="宋体"/>
          <w:sz w:val="24"/>
        </w:rPr>
        <w:t>日，将相应顺延</w:t>
      </w:r>
      <w:r>
        <w:rPr>
          <w:rFonts w:hint="eastAsia" w:hAnsi="宋体" w:cs="宋体"/>
          <w:sz w:val="24"/>
          <w:lang w:eastAsia="zh-CN"/>
        </w:rPr>
        <w:t>谈判</w:t>
      </w:r>
      <w:r>
        <w:rPr>
          <w:rFonts w:hint="eastAsia" w:hAnsi="宋体" w:cs="宋体"/>
          <w:sz w:val="24"/>
        </w:rPr>
        <w:t>截止时间。</w:t>
      </w:r>
    </w:p>
    <w:p w14:paraId="1712800B">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b w:val="0"/>
          <w:bCs w:val="0"/>
          <w:sz w:val="24"/>
          <w:lang w:val="en-US" w:eastAsia="zh-CN"/>
        </w:rPr>
        <w:t>2</w:t>
      </w:r>
      <w:r>
        <w:rPr>
          <w:rFonts w:hint="eastAsia" w:hAnsi="宋体" w:cs="宋体"/>
          <w:b w:val="0"/>
          <w:bCs w:val="0"/>
          <w:sz w:val="24"/>
        </w:rPr>
        <w:t>.3供</w:t>
      </w:r>
      <w:r>
        <w:rPr>
          <w:rFonts w:hint="eastAsia" w:hAnsi="宋体" w:cs="宋体"/>
          <w:sz w:val="24"/>
        </w:rPr>
        <w:t>应商应仔细阅读和检查</w:t>
      </w:r>
      <w:r>
        <w:rPr>
          <w:rFonts w:hint="eastAsia" w:hAnsi="宋体" w:cs="宋体"/>
          <w:sz w:val="24"/>
          <w:lang w:eastAsia="zh-CN"/>
        </w:rPr>
        <w:t>谈判</w:t>
      </w:r>
      <w:r>
        <w:rPr>
          <w:rFonts w:hint="eastAsia" w:hAnsi="宋体" w:cs="宋体"/>
          <w:sz w:val="24"/>
        </w:rPr>
        <w:t>文件的全部内容。如发现缺页或附件不全，应及时向采购代理机构提出，以便补齐。</w:t>
      </w:r>
    </w:p>
    <w:p w14:paraId="11BB746D">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2</w:t>
      </w:r>
      <w:r>
        <w:rPr>
          <w:rFonts w:hint="eastAsia" w:hAnsi="宋体" w:cs="宋体"/>
          <w:sz w:val="24"/>
        </w:rPr>
        <w:t>.4供应商对</w:t>
      </w:r>
      <w:r>
        <w:rPr>
          <w:rFonts w:hint="eastAsia" w:hAnsi="宋体" w:cs="宋体"/>
          <w:sz w:val="24"/>
          <w:lang w:eastAsia="zh-CN"/>
        </w:rPr>
        <w:t>谈判</w:t>
      </w:r>
      <w:r>
        <w:rPr>
          <w:rFonts w:hint="eastAsia" w:hAnsi="宋体" w:cs="宋体"/>
          <w:sz w:val="24"/>
        </w:rPr>
        <w:t>文件有询问或者质疑的，应在获取采购文件之日起7个工作日内，以书面形式向采购代理机构提出，在此之后提出的询问和质疑均为无效，采购代理机构不予受理。对于在规定时间内收到的供应商依法提出的询问或者质疑，采购代理机构将按程序在3个工作日内书面答复询问，7个工作日内书面答复质疑，或认为有必要召开答疑会。超过该时间收到的需要询问或质疑，采购代理机构有权不予答复。</w:t>
      </w:r>
    </w:p>
    <w:p w14:paraId="6EC003CC">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2</w:t>
      </w:r>
      <w:r>
        <w:rPr>
          <w:rFonts w:hint="eastAsia" w:hAnsi="宋体" w:cs="宋体"/>
          <w:sz w:val="24"/>
        </w:rPr>
        <w:t>.5在</w:t>
      </w:r>
      <w:r>
        <w:rPr>
          <w:rFonts w:hint="eastAsia" w:hAnsi="宋体" w:cs="宋体"/>
          <w:sz w:val="24"/>
          <w:lang w:eastAsia="zh-CN"/>
        </w:rPr>
        <w:t>谈判</w:t>
      </w:r>
      <w:r>
        <w:rPr>
          <w:rFonts w:hint="eastAsia" w:hAnsi="宋体" w:cs="宋体"/>
          <w:sz w:val="24"/>
        </w:rPr>
        <w:t>截止时间前，采购代理机构可以视采购具体情况，延长</w:t>
      </w:r>
      <w:r>
        <w:rPr>
          <w:rFonts w:hint="eastAsia" w:hAnsi="宋体" w:cs="宋体"/>
          <w:sz w:val="24"/>
          <w:lang w:eastAsia="zh-CN"/>
        </w:rPr>
        <w:t>谈判</w:t>
      </w:r>
      <w:r>
        <w:rPr>
          <w:rFonts w:hint="eastAsia" w:hAnsi="宋体" w:cs="宋体"/>
          <w:sz w:val="24"/>
        </w:rPr>
        <w:t>截止时间和</w:t>
      </w:r>
      <w:r>
        <w:rPr>
          <w:rFonts w:hint="eastAsia" w:hAnsi="宋体" w:cs="宋体"/>
          <w:sz w:val="24"/>
          <w:lang w:eastAsia="zh-CN"/>
        </w:rPr>
        <w:t>谈判</w:t>
      </w:r>
      <w:r>
        <w:rPr>
          <w:rFonts w:hint="eastAsia" w:hAnsi="宋体" w:cs="宋体"/>
          <w:sz w:val="24"/>
        </w:rPr>
        <w:t>时间，并在</w:t>
      </w:r>
      <w:r>
        <w:rPr>
          <w:rFonts w:hint="eastAsia" w:hAnsi="宋体" w:cs="宋体"/>
          <w:sz w:val="24"/>
          <w:lang w:eastAsia="zh-CN"/>
        </w:rPr>
        <w:t>谈判</w:t>
      </w:r>
      <w:r>
        <w:rPr>
          <w:rFonts w:hint="eastAsia" w:hAnsi="宋体" w:cs="宋体"/>
          <w:sz w:val="24"/>
        </w:rPr>
        <w:t>文件要求提交</w:t>
      </w:r>
      <w:r>
        <w:rPr>
          <w:rFonts w:hint="eastAsia" w:hAnsi="宋体" w:cs="宋体"/>
          <w:sz w:val="24"/>
          <w:lang w:eastAsia="zh-CN"/>
        </w:rPr>
        <w:t>谈判</w:t>
      </w:r>
      <w:r>
        <w:rPr>
          <w:rFonts w:hint="eastAsia" w:hAnsi="宋体" w:cs="宋体"/>
          <w:sz w:val="24"/>
        </w:rPr>
        <w:t>响应文件的截止时间前，将变更时间以书面形式通知所有获取</w:t>
      </w:r>
      <w:r>
        <w:rPr>
          <w:rFonts w:hint="eastAsia" w:hAnsi="宋体" w:cs="宋体"/>
          <w:sz w:val="24"/>
          <w:lang w:eastAsia="zh-CN"/>
        </w:rPr>
        <w:t>谈判</w:t>
      </w:r>
      <w:r>
        <w:rPr>
          <w:rFonts w:hint="eastAsia" w:hAnsi="宋体" w:cs="宋体"/>
          <w:sz w:val="24"/>
        </w:rPr>
        <w:t>文件的潜在供应商，同时在原信息发布媒体上发布变更公告。</w:t>
      </w:r>
      <w:bookmarkStart w:id="52" w:name="_Toc183582213"/>
      <w:bookmarkStart w:id="53" w:name="_Toc183682350"/>
      <w:bookmarkStart w:id="54" w:name="_Toc217446041"/>
      <w:bookmarkStart w:id="55" w:name="_Toc208848971"/>
    </w:p>
    <w:p w14:paraId="6147BC34">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2</w:t>
      </w:r>
      <w:r>
        <w:rPr>
          <w:rFonts w:hint="eastAsia" w:hAnsi="宋体" w:cs="宋体"/>
          <w:sz w:val="24"/>
        </w:rPr>
        <w:t xml:space="preserve">.6 </w:t>
      </w:r>
      <w:r>
        <w:rPr>
          <w:rFonts w:hint="eastAsia" w:hAnsi="宋体" w:cs="宋体"/>
          <w:sz w:val="24"/>
          <w:lang w:eastAsia="zh-CN"/>
        </w:rPr>
        <w:t>谈判</w:t>
      </w:r>
      <w:r>
        <w:rPr>
          <w:rFonts w:hint="eastAsia" w:hAnsi="宋体" w:cs="宋体"/>
          <w:sz w:val="24"/>
        </w:rPr>
        <w:t>文件澄清、答复、修改或补充的内容为</w:t>
      </w:r>
      <w:r>
        <w:rPr>
          <w:rFonts w:hint="eastAsia" w:hAnsi="宋体" w:cs="宋体"/>
          <w:sz w:val="24"/>
          <w:lang w:eastAsia="zh-CN"/>
        </w:rPr>
        <w:t>谈判</w:t>
      </w:r>
      <w:r>
        <w:rPr>
          <w:rFonts w:hint="eastAsia" w:hAnsi="宋体" w:cs="宋体"/>
          <w:sz w:val="24"/>
        </w:rPr>
        <w:t>文件的组成部分。当</w:t>
      </w:r>
      <w:r>
        <w:rPr>
          <w:rFonts w:hint="eastAsia" w:hAnsi="宋体" w:cs="宋体"/>
          <w:sz w:val="24"/>
          <w:lang w:eastAsia="zh-CN"/>
        </w:rPr>
        <w:t>谈判</w:t>
      </w:r>
      <w:r>
        <w:rPr>
          <w:rFonts w:hint="eastAsia" w:hAnsi="宋体" w:cs="宋体"/>
          <w:sz w:val="24"/>
        </w:rPr>
        <w:t>文件澄清、答复、修改或补充通知就同一内容表述不一致时，以最后发出的书面文件内容为准。</w:t>
      </w:r>
    </w:p>
    <w:bookmarkEnd w:id="52"/>
    <w:bookmarkEnd w:id="53"/>
    <w:p w14:paraId="41A22ACD">
      <w:pPr>
        <w:pStyle w:val="7"/>
        <w:keepNext w:val="0"/>
        <w:keepLines w:val="0"/>
        <w:pageBreakBefore w:val="0"/>
        <w:numPr>
          <w:ilvl w:val="4"/>
          <w:numId w:val="0"/>
        </w:numPr>
        <w:kinsoku/>
        <w:wordWrap/>
        <w:overflowPunct/>
        <w:topLinePunct w:val="0"/>
        <w:bidi w:val="0"/>
        <w:spacing w:before="0" w:after="0" w:line="440" w:lineRule="exact"/>
        <w:ind w:firstLine="492" w:firstLineChars="204"/>
        <w:rPr>
          <w:rFonts w:ascii="宋体" w:hAnsi="宋体" w:cs="宋体"/>
          <w:sz w:val="24"/>
        </w:rPr>
      </w:pPr>
      <w:r>
        <w:rPr>
          <w:rFonts w:hint="eastAsia" w:ascii="宋体" w:hAnsi="宋体" w:cs="宋体"/>
          <w:sz w:val="24"/>
          <w:lang w:val="en-US" w:eastAsia="zh-CN"/>
        </w:rPr>
        <w:t>3</w:t>
      </w:r>
      <w:r>
        <w:rPr>
          <w:rFonts w:hint="eastAsia" w:ascii="宋体" w:hAnsi="宋体" w:cs="宋体"/>
          <w:sz w:val="24"/>
        </w:rPr>
        <w:t>.答疑会或现场考察</w:t>
      </w:r>
      <w:bookmarkEnd w:id="54"/>
      <w:bookmarkEnd w:id="55"/>
    </w:p>
    <w:p w14:paraId="44A1D571">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3</w:t>
      </w:r>
      <w:r>
        <w:rPr>
          <w:rFonts w:hint="eastAsia" w:hAnsi="宋体" w:cs="宋体"/>
          <w:sz w:val="24"/>
        </w:rPr>
        <w:t>.1根据采购项目和具体情况，采购代理机构认为有必要，可以组织召开</w:t>
      </w:r>
      <w:r>
        <w:rPr>
          <w:rFonts w:hint="eastAsia" w:hAnsi="宋体" w:cs="宋体"/>
          <w:sz w:val="24"/>
          <w:lang w:eastAsia="zh-CN"/>
        </w:rPr>
        <w:t>谈判</w:t>
      </w:r>
      <w:r>
        <w:rPr>
          <w:rFonts w:hint="eastAsia" w:hAnsi="宋体" w:cs="宋体"/>
          <w:sz w:val="24"/>
        </w:rPr>
        <w:t>前答疑会或组织供应商对项目现场进行考察。答疑会或进行现场考察的时间，采购代理机构将以书面形式通知所有领取了</w:t>
      </w:r>
      <w:r>
        <w:rPr>
          <w:rFonts w:hint="eastAsia" w:hAnsi="宋体" w:cs="宋体"/>
          <w:sz w:val="24"/>
          <w:lang w:eastAsia="zh-CN"/>
        </w:rPr>
        <w:t>谈判</w:t>
      </w:r>
      <w:r>
        <w:rPr>
          <w:rFonts w:hint="eastAsia" w:hAnsi="宋体" w:cs="宋体"/>
          <w:sz w:val="24"/>
        </w:rPr>
        <w:t>文件的供应商。</w:t>
      </w:r>
    </w:p>
    <w:p w14:paraId="24A42CB7">
      <w:pPr>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rPr>
      </w:pPr>
      <w:r>
        <w:rPr>
          <w:rFonts w:hint="eastAsia" w:hAnsi="宋体" w:cs="宋体"/>
          <w:sz w:val="24"/>
          <w:lang w:val="en-US" w:eastAsia="zh-CN"/>
        </w:rPr>
        <w:t>3</w:t>
      </w:r>
      <w:r>
        <w:rPr>
          <w:rFonts w:hint="eastAsia" w:hAnsi="宋体" w:cs="宋体"/>
          <w:sz w:val="24"/>
        </w:rPr>
        <w:t>.2 答疑会或现场考察后，采购人或采购代理机构对供应商所提问题的澄清（答复）以书面形式通知所有购买了</w:t>
      </w:r>
      <w:r>
        <w:rPr>
          <w:rFonts w:hint="eastAsia" w:hAnsi="宋体" w:cs="宋体"/>
          <w:sz w:val="24"/>
          <w:lang w:eastAsia="zh-CN"/>
        </w:rPr>
        <w:t>谈判</w:t>
      </w:r>
      <w:r>
        <w:rPr>
          <w:rFonts w:hint="eastAsia" w:hAnsi="宋体" w:cs="宋体"/>
          <w:sz w:val="24"/>
        </w:rPr>
        <w:t>文件的供应商。该澄清内容为</w:t>
      </w:r>
      <w:r>
        <w:rPr>
          <w:rFonts w:hint="eastAsia" w:hAnsi="宋体" w:cs="宋体"/>
          <w:sz w:val="24"/>
          <w:lang w:eastAsia="zh-CN"/>
        </w:rPr>
        <w:t>谈判</w:t>
      </w:r>
      <w:r>
        <w:rPr>
          <w:rFonts w:hint="eastAsia" w:hAnsi="宋体" w:cs="宋体"/>
          <w:sz w:val="24"/>
        </w:rPr>
        <w:t>文件的组成部分。</w:t>
      </w:r>
    </w:p>
    <w:p w14:paraId="19BAE310">
      <w:pPr>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rPr>
      </w:pPr>
      <w:r>
        <w:rPr>
          <w:rFonts w:hint="eastAsia" w:hAnsi="宋体" w:cs="宋体"/>
          <w:sz w:val="24"/>
          <w:lang w:val="en-US" w:eastAsia="zh-CN"/>
        </w:rPr>
        <w:t>3</w:t>
      </w:r>
      <w:r>
        <w:rPr>
          <w:rFonts w:hint="eastAsia" w:hAnsi="宋体" w:cs="宋体"/>
          <w:sz w:val="24"/>
        </w:rPr>
        <w:t>.3 采购人不对供应商现场考察而做出的推论、理解和结论负责。一旦成交，成交供应商不得以任何借口，提出额外补偿，或延长合同期限的要求。</w:t>
      </w:r>
    </w:p>
    <w:p w14:paraId="689E4820">
      <w:pPr>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rPr>
      </w:pPr>
      <w:r>
        <w:rPr>
          <w:rFonts w:hint="eastAsia" w:hAnsi="宋体" w:cs="宋体"/>
          <w:sz w:val="24"/>
          <w:lang w:val="en-US" w:eastAsia="zh-CN"/>
        </w:rPr>
        <w:t>3</w:t>
      </w:r>
      <w:r>
        <w:rPr>
          <w:rFonts w:hint="eastAsia" w:hAnsi="宋体" w:cs="宋体"/>
          <w:sz w:val="24"/>
        </w:rPr>
        <w:t>.4 答疑或考察现场所发生的一切费用由供应商自行承担。</w:t>
      </w:r>
    </w:p>
    <w:p w14:paraId="3ABC34EA">
      <w:pPr>
        <w:keepNext w:val="0"/>
        <w:keepLines w:val="0"/>
        <w:pageBreakBefore w:val="0"/>
        <w:kinsoku/>
        <w:wordWrap/>
        <w:overflowPunct/>
        <w:topLinePunct w:val="0"/>
        <w:bidi w:val="0"/>
        <w:adjustRightInd w:val="0"/>
        <w:snapToGrid w:val="0"/>
        <w:spacing w:line="440" w:lineRule="exact"/>
        <w:ind w:firstLine="492" w:firstLineChars="204"/>
        <w:rPr>
          <w:rFonts w:hAnsi="宋体" w:cs="宋体"/>
          <w:b/>
          <w:bCs/>
          <w:sz w:val="24"/>
        </w:rPr>
      </w:pPr>
      <w:r>
        <w:rPr>
          <w:rFonts w:hint="eastAsia" w:hAnsi="宋体" w:cs="宋体"/>
          <w:b/>
          <w:bCs/>
          <w:sz w:val="24"/>
        </w:rPr>
        <w:t>说明：本项目不组织答疑会及现场踏勘。</w:t>
      </w:r>
    </w:p>
    <w:p w14:paraId="13A9DCEF">
      <w:pPr>
        <w:pStyle w:val="7"/>
        <w:keepNext w:val="0"/>
        <w:keepLines w:val="0"/>
        <w:pageBreakBefore w:val="0"/>
        <w:numPr>
          <w:ilvl w:val="4"/>
          <w:numId w:val="0"/>
        </w:numPr>
        <w:kinsoku/>
        <w:wordWrap/>
        <w:overflowPunct/>
        <w:topLinePunct w:val="0"/>
        <w:bidi w:val="0"/>
        <w:spacing w:before="0" w:after="0" w:line="440" w:lineRule="exact"/>
        <w:ind w:firstLine="492" w:firstLineChars="204"/>
        <w:rPr>
          <w:rFonts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文件的解释权</w:t>
      </w:r>
    </w:p>
    <w:p w14:paraId="30522DB9">
      <w:pPr>
        <w:pStyle w:val="3"/>
        <w:keepNext w:val="0"/>
        <w:keepLines w:val="0"/>
        <w:pageBreakBefore w:val="0"/>
        <w:kinsoku/>
        <w:wordWrap/>
        <w:overflowPunct/>
        <w:topLinePunct w:val="0"/>
        <w:bidi w:val="0"/>
        <w:spacing w:line="440" w:lineRule="exact"/>
        <w:ind w:firstLine="489" w:firstLineChars="204"/>
        <w:rPr>
          <w:rFonts w:hAnsi="宋体" w:cs="宋体"/>
          <w:sz w:val="24"/>
          <w:szCs w:val="24"/>
        </w:rPr>
      </w:pPr>
      <w:r>
        <w:rPr>
          <w:rFonts w:hint="eastAsia" w:hAnsi="宋体" w:cs="宋体"/>
          <w:sz w:val="24"/>
          <w:szCs w:val="24"/>
          <w:lang w:eastAsia="zh-CN"/>
        </w:rPr>
        <w:t>谈判</w:t>
      </w:r>
      <w:r>
        <w:rPr>
          <w:rFonts w:hint="eastAsia" w:hAnsi="宋体" w:cs="宋体"/>
          <w:sz w:val="24"/>
          <w:szCs w:val="24"/>
        </w:rPr>
        <w:t>文件的解释权归采购代理机构，如发现</w:t>
      </w:r>
      <w:r>
        <w:rPr>
          <w:rFonts w:hint="eastAsia" w:hAnsi="宋体" w:cs="宋体"/>
          <w:sz w:val="24"/>
          <w:szCs w:val="24"/>
          <w:lang w:eastAsia="zh-CN"/>
        </w:rPr>
        <w:t>谈判</w:t>
      </w:r>
      <w:r>
        <w:rPr>
          <w:rFonts w:hint="eastAsia" w:hAnsi="宋体" w:cs="宋体"/>
          <w:sz w:val="24"/>
          <w:szCs w:val="24"/>
        </w:rPr>
        <w:t>文件内容与现行法律法规不相符的情况，以现行法律法规为准。</w:t>
      </w:r>
      <w:bookmarkStart w:id="56" w:name="_Toc183682351"/>
      <w:bookmarkStart w:id="57" w:name="_Toc89075876"/>
      <w:bookmarkStart w:id="58" w:name="_Toc183582214"/>
      <w:bookmarkStart w:id="59" w:name="_Toc77400780"/>
      <w:bookmarkStart w:id="60" w:name="_Toc217446042"/>
    </w:p>
    <w:p w14:paraId="1A4A7F01">
      <w:pPr>
        <w:keepNext w:val="0"/>
        <w:keepLines w:val="0"/>
        <w:pageBreakBefore w:val="0"/>
        <w:kinsoku/>
        <w:wordWrap/>
        <w:overflowPunct/>
        <w:topLinePunct w:val="0"/>
        <w:bidi w:val="0"/>
        <w:spacing w:before="100" w:beforeAutospacing="1" w:after="100" w:afterAutospacing="1" w:line="440" w:lineRule="exact"/>
        <w:ind w:firstLine="573" w:firstLineChars="204"/>
        <w:jc w:val="center"/>
        <w:rPr>
          <w:rFonts w:hAnsi="宋体" w:cs="宋体"/>
          <w:b/>
          <w:bCs/>
          <w:sz w:val="28"/>
        </w:rPr>
      </w:pPr>
      <w:bookmarkStart w:id="61" w:name="_Toc8960"/>
      <w:r>
        <w:rPr>
          <w:rFonts w:hint="eastAsia" w:hAnsi="宋体" w:cs="宋体"/>
          <w:b/>
          <w:bCs/>
          <w:sz w:val="28"/>
        </w:rPr>
        <w:t>三、供应商</w:t>
      </w:r>
      <w:bookmarkEnd w:id="61"/>
    </w:p>
    <w:p w14:paraId="1832D2F1">
      <w:pPr>
        <w:pStyle w:val="7"/>
        <w:keepNext w:val="0"/>
        <w:keepLines w:val="0"/>
        <w:pageBreakBefore w:val="0"/>
        <w:numPr>
          <w:ilvl w:val="4"/>
          <w:numId w:val="0"/>
        </w:numPr>
        <w:kinsoku/>
        <w:wordWrap/>
        <w:overflowPunct/>
        <w:topLinePunct w:val="0"/>
        <w:bidi w:val="0"/>
        <w:spacing w:before="0" w:after="0" w:line="440" w:lineRule="exact"/>
        <w:ind w:firstLine="492" w:firstLineChars="204"/>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bookmarkEnd w:id="56"/>
      <w:bookmarkEnd w:id="57"/>
      <w:bookmarkEnd w:id="58"/>
      <w:bookmarkEnd w:id="59"/>
      <w:bookmarkEnd w:id="60"/>
      <w:bookmarkStart w:id="62" w:name="_Toc183582215"/>
      <w:bookmarkStart w:id="63" w:name="_Toc217446043"/>
      <w:bookmarkStart w:id="64" w:name="_Toc183682352"/>
      <w:r>
        <w:rPr>
          <w:rFonts w:hint="eastAsia" w:ascii="宋体" w:hAnsi="宋体" w:cs="宋体"/>
          <w:sz w:val="24"/>
        </w:rPr>
        <w:t>供应商资格要求及审查标准</w:t>
      </w:r>
    </w:p>
    <w:p w14:paraId="7D68A034">
      <w:pPr>
        <w:keepNext w:val="0"/>
        <w:keepLines w:val="0"/>
        <w:pageBreakBefore w:val="0"/>
        <w:kinsoku/>
        <w:wordWrap/>
        <w:overflowPunct/>
        <w:topLinePunct w:val="0"/>
        <w:bidi w:val="0"/>
        <w:adjustRightInd w:val="0"/>
        <w:snapToGrid w:val="0"/>
        <w:spacing w:line="440" w:lineRule="exact"/>
        <w:ind w:firstLine="489" w:firstLineChars="204"/>
        <w:rPr>
          <w:rFonts w:hAnsi="宋体" w:cs="宋体"/>
          <w:b w:val="0"/>
          <w:bCs w:val="0"/>
          <w:sz w:val="24"/>
          <w:szCs w:val="24"/>
        </w:rPr>
      </w:pPr>
      <w:r>
        <w:rPr>
          <w:rFonts w:hint="eastAsia" w:hAnsi="宋体" w:cs="宋体"/>
          <w:b w:val="0"/>
          <w:bCs w:val="0"/>
          <w:sz w:val="24"/>
          <w:szCs w:val="24"/>
        </w:rPr>
        <w:t>1.1供应商应符合《中华人民共和国政府采购法》第二十二条规定的条件并提供下列材料：</w:t>
      </w:r>
    </w:p>
    <w:p w14:paraId="50F5551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供应商应具有独立承担民事责任的能力：提供营业执照、税务登记证、组织机构代码证或登载有统一社会信用代码的营业执照（或《事业单位法人证书》或其他合法组织登记证书、自然人只须提交身份证)；   </w:t>
      </w:r>
    </w:p>
    <w:p w14:paraId="27D35F5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供应商应授权合法的人员参加投标：其中法定代表人直接参加投标，须出具法人身份证复印件，并与营业执照上信息一致，法定代表人授权代表参加投标，须出具法定代表人授权书及授权代表身份证复印件；</w:t>
      </w:r>
    </w:p>
    <w:p w14:paraId="11E2B51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供应商具有陕西省林业有害生物防治</w:t>
      </w:r>
      <w:r>
        <w:rPr>
          <w:rFonts w:hint="eastAsia" w:ascii="宋体" w:hAnsi="宋体" w:eastAsia="宋体" w:cs="宋体"/>
          <w:color w:val="000000" w:themeColor="text1"/>
          <w:sz w:val="24"/>
          <w:szCs w:val="24"/>
          <w:lang w:val="en-US" w:eastAsia="zh-CN"/>
          <w14:textFill>
            <w14:solidFill>
              <w14:schemeClr w14:val="tx1"/>
            </w14:solidFill>
          </w14:textFill>
        </w:rPr>
        <w:t>丙</w:t>
      </w:r>
      <w:r>
        <w:rPr>
          <w:rFonts w:hint="eastAsia" w:ascii="宋体" w:hAnsi="宋体" w:eastAsia="宋体" w:cs="宋体"/>
          <w:color w:val="000000" w:themeColor="text1"/>
          <w:sz w:val="24"/>
          <w:szCs w:val="24"/>
          <w14:textFill>
            <w14:solidFill>
              <w14:schemeClr w14:val="tx1"/>
            </w14:solidFill>
          </w14:textFill>
        </w:rPr>
        <w:t>级及以上资质；</w:t>
      </w:r>
    </w:p>
    <w:p w14:paraId="03907D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投标供应商具有良好的商业信誉和健全的财务会计制度（提供或2024年财务审计报告或开户银行出具的近半年资信证明）；</w:t>
      </w:r>
    </w:p>
    <w:p w14:paraId="50BB1F9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依法缴纳税收和社会保障资金的良好记录【供应商提供开标截止时间前6个月内至少已缴存1个月的完税证明（依法免税的供应商应提供相关文件证明）和社保缴纳证明（专用收据或社会保险缴纳清单或参保缴费证明，依法不需要缴纳社会保障资金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  （6）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p>
    <w:p w14:paraId="0145DAD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参加政府采购活动近3年内在经营活动中没有重大违法记录的书面声明（供应商自行出具声明书并加盖公章）；</w:t>
      </w:r>
    </w:p>
    <w:p w14:paraId="207D57A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本项目专门面向中小企业采购，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1BDDB12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（9）具备履行合同所必须的设备和专业技术能力的书面声明。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（10）本项目不接受联合体投标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提供声明函</w:t>
      </w:r>
      <w:r>
        <w:rPr>
          <w:rFonts w:hint="eastAsia" w:ascii="宋体" w:hAnsi="宋体" w:eastAsia="宋体" w:cs="宋体"/>
          <w:sz w:val="24"/>
          <w:szCs w:val="24"/>
          <w:lang w:eastAsia="zh-CN"/>
        </w:rPr>
        <w:t>）</w:t>
      </w:r>
      <w:r>
        <w:rPr>
          <w:rFonts w:hint="eastAsia" w:ascii="宋体" w:hAnsi="宋体" w:eastAsia="宋体" w:cs="宋体"/>
          <w:sz w:val="24"/>
          <w:szCs w:val="24"/>
        </w:rPr>
        <w:t>。</w:t>
      </w:r>
    </w:p>
    <w:p w14:paraId="13625AAE">
      <w:pPr>
        <w:keepNext w:val="0"/>
        <w:keepLines w:val="0"/>
        <w:pageBreakBefore w:val="0"/>
        <w:kinsoku/>
        <w:wordWrap/>
        <w:overflowPunct/>
        <w:topLinePunct w:val="0"/>
        <w:bidi w:val="0"/>
        <w:spacing w:line="440" w:lineRule="exact"/>
        <w:ind w:firstLine="492" w:firstLineChars="204"/>
        <w:rPr>
          <w:rFonts w:hAnsi="宋体" w:cs="宋体"/>
          <w:b/>
          <w:bCs/>
          <w:sz w:val="24"/>
        </w:rPr>
      </w:pPr>
      <w:r>
        <w:rPr>
          <w:rFonts w:hint="eastAsia" w:hAnsi="宋体" w:cs="宋体"/>
          <w:b/>
          <w:bCs/>
          <w:sz w:val="24"/>
        </w:rPr>
        <w:t>说明：</w:t>
      </w:r>
    </w:p>
    <w:p w14:paraId="20C7C525">
      <w:pPr>
        <w:keepNext w:val="0"/>
        <w:keepLines w:val="0"/>
        <w:pageBreakBefore w:val="0"/>
        <w:kinsoku/>
        <w:wordWrap/>
        <w:overflowPunct/>
        <w:topLinePunct w:val="0"/>
        <w:bidi w:val="0"/>
        <w:spacing w:line="440" w:lineRule="exact"/>
        <w:ind w:firstLine="492" w:firstLineChars="204"/>
        <w:rPr>
          <w:rFonts w:hAnsi="宋体" w:cs="宋体"/>
          <w:b/>
          <w:bCs/>
          <w:sz w:val="24"/>
        </w:rPr>
      </w:pPr>
      <w:r>
        <w:rPr>
          <w:rFonts w:hint="eastAsia" w:hAnsi="宋体" w:cs="宋体"/>
          <w:b/>
          <w:bCs/>
          <w:sz w:val="24"/>
        </w:rPr>
        <w:t>（1）以上为供应商必备资格要求，资格证明文件无效或缺项响应文件按无效响应文件处理。</w:t>
      </w:r>
    </w:p>
    <w:p w14:paraId="7E771FC6">
      <w:pPr>
        <w:keepNext w:val="0"/>
        <w:keepLines w:val="0"/>
        <w:pageBreakBefore w:val="0"/>
        <w:kinsoku/>
        <w:wordWrap/>
        <w:overflowPunct/>
        <w:topLinePunct w:val="0"/>
        <w:bidi w:val="0"/>
        <w:spacing w:line="440" w:lineRule="exact"/>
        <w:ind w:firstLine="492" w:firstLineChars="204"/>
        <w:rPr>
          <w:rFonts w:hAnsi="宋体" w:cs="宋体"/>
          <w:b/>
          <w:bCs/>
          <w:sz w:val="24"/>
        </w:rPr>
      </w:pPr>
      <w:r>
        <w:rPr>
          <w:rFonts w:hint="eastAsia" w:hAnsi="宋体" w:cs="宋体"/>
          <w:b/>
          <w:bCs/>
          <w:sz w:val="24"/>
        </w:rPr>
        <w:t>（2）依法免税或不需要缴纳社会保障资金的供应商提供相应证明文件；</w:t>
      </w:r>
    </w:p>
    <w:p w14:paraId="0BB3DE44">
      <w:pPr>
        <w:keepNext w:val="0"/>
        <w:keepLines w:val="0"/>
        <w:pageBreakBefore w:val="0"/>
        <w:kinsoku/>
        <w:wordWrap/>
        <w:overflowPunct/>
        <w:topLinePunct w:val="0"/>
        <w:bidi w:val="0"/>
        <w:spacing w:line="440" w:lineRule="exact"/>
        <w:ind w:firstLine="492" w:firstLineChars="204"/>
      </w:pPr>
      <w:r>
        <w:rPr>
          <w:rFonts w:hint="eastAsia" w:hAnsi="宋体" w:cs="宋体"/>
          <w:b/>
          <w:bCs/>
          <w:sz w:val="24"/>
        </w:rPr>
        <w:t>（</w:t>
      </w:r>
      <w:r>
        <w:rPr>
          <w:rFonts w:hint="eastAsia" w:hAnsi="宋体" w:cs="宋体"/>
          <w:b/>
          <w:bCs/>
          <w:sz w:val="24"/>
          <w:lang w:val="en-US" w:eastAsia="zh-CN"/>
        </w:rPr>
        <w:t>3</w:t>
      </w:r>
      <w:r>
        <w:rPr>
          <w:rFonts w:hint="eastAsia" w:hAnsi="宋体" w:cs="宋体"/>
          <w:b/>
          <w:bCs/>
          <w:sz w:val="24"/>
        </w:rPr>
        <w:t>）分支机构参与投标时，</w:t>
      </w:r>
      <w:r>
        <w:rPr>
          <w:rFonts w:hint="eastAsia" w:hAnsi="宋体" w:cs="宋体"/>
          <w:b/>
          <w:bCs/>
          <w:sz w:val="24"/>
          <w:lang w:eastAsia="zh-CN"/>
        </w:rPr>
        <w:t>谈判</w:t>
      </w:r>
      <w:r>
        <w:rPr>
          <w:rFonts w:hint="eastAsia" w:hAnsi="宋体" w:cs="宋体"/>
          <w:b/>
          <w:bCs/>
          <w:sz w:val="24"/>
        </w:rPr>
        <w:t>响应文件中应附总公司出具的授权书。总公司只能授权一家分支机构参与投标，且不能与分支机构同时参加本项目投标。</w:t>
      </w:r>
    </w:p>
    <w:p w14:paraId="15AACDED">
      <w:pPr>
        <w:keepNext w:val="0"/>
        <w:keepLines w:val="0"/>
        <w:pageBreakBefore w:val="0"/>
        <w:kinsoku/>
        <w:wordWrap/>
        <w:overflowPunct/>
        <w:topLinePunct w:val="0"/>
        <w:bidi w:val="0"/>
        <w:spacing w:line="440" w:lineRule="exact"/>
        <w:ind w:firstLine="492" w:firstLineChars="204"/>
        <w:rPr>
          <w:rFonts w:hAnsi="宋体" w:cs="宋体"/>
          <w:b/>
          <w:bCs/>
          <w:sz w:val="24"/>
        </w:rPr>
      </w:pPr>
      <w:r>
        <w:rPr>
          <w:rFonts w:hint="eastAsia" w:hAnsi="宋体" w:cs="宋体"/>
          <w:b/>
          <w:bCs/>
          <w:sz w:val="24"/>
        </w:rPr>
        <w:t>（</w:t>
      </w:r>
      <w:r>
        <w:rPr>
          <w:rFonts w:hint="eastAsia" w:hAnsi="宋体" w:cs="宋体"/>
          <w:b/>
          <w:bCs/>
          <w:sz w:val="24"/>
          <w:lang w:val="en-US" w:eastAsia="zh-CN"/>
        </w:rPr>
        <w:t>4</w:t>
      </w:r>
      <w:r>
        <w:rPr>
          <w:rFonts w:hint="eastAsia" w:hAnsi="宋体" w:cs="宋体"/>
          <w:b/>
          <w:bCs/>
          <w:sz w:val="24"/>
        </w:rPr>
        <w:t>）供应商须知前附表规定本项目专门面向中小企业采购的，供应商应符合政府采购政策规定的中小企业条件。</w:t>
      </w:r>
    </w:p>
    <w:p w14:paraId="485FD022">
      <w:pPr>
        <w:keepNext w:val="0"/>
        <w:keepLines w:val="0"/>
        <w:pageBreakBefore w:val="0"/>
        <w:kinsoku/>
        <w:wordWrap/>
        <w:overflowPunct/>
        <w:topLinePunct w:val="0"/>
        <w:bidi w:val="0"/>
        <w:spacing w:line="440" w:lineRule="exact"/>
        <w:ind w:firstLine="489" w:firstLineChars="204"/>
        <w:rPr>
          <w:rFonts w:hAnsi="宋体" w:cs="宋体"/>
          <w:b/>
          <w:bCs/>
          <w:sz w:val="24"/>
        </w:rPr>
      </w:pPr>
      <w:r>
        <w:rPr>
          <w:rFonts w:hint="eastAsia" w:hAnsi="宋体" w:cs="宋体"/>
          <w:sz w:val="24"/>
          <w:lang w:val="en-US" w:eastAsia="zh-CN"/>
        </w:rPr>
        <w:t>2</w:t>
      </w:r>
      <w:r>
        <w:rPr>
          <w:rFonts w:hint="eastAsia" w:hAnsi="宋体" w:cs="宋体"/>
          <w:sz w:val="24"/>
        </w:rPr>
        <w:t>.2供应商应保证所提供的全部证明材料的真实性，并保证愿意接受由采购人对其所提供材料的真实性的调查和考证。</w:t>
      </w:r>
    </w:p>
    <w:p w14:paraId="0478D197">
      <w:pPr>
        <w:pStyle w:val="20"/>
        <w:keepNext w:val="0"/>
        <w:keepLines w:val="0"/>
        <w:pageBreakBefore w:val="0"/>
        <w:kinsoku/>
        <w:wordWrap/>
        <w:overflowPunct/>
        <w:topLinePunct w:val="0"/>
        <w:bidi w:val="0"/>
        <w:adjustRightInd w:val="0"/>
        <w:snapToGrid w:val="0"/>
        <w:spacing w:line="440" w:lineRule="exact"/>
        <w:ind w:firstLine="492" w:firstLineChars="204"/>
        <w:rPr>
          <w:rFonts w:hint="eastAsia" w:ascii="宋体" w:hAnsi="宋体" w:eastAsia="宋体" w:cs="宋体"/>
          <w:b w:val="0"/>
          <w:sz w:val="24"/>
          <w:szCs w:val="24"/>
          <w:lang w:eastAsia="zh-CN"/>
        </w:rPr>
      </w:pPr>
      <w:r>
        <w:rPr>
          <w:rFonts w:hint="eastAsia" w:ascii="宋体" w:hAnsi="宋体" w:cs="宋体"/>
          <w:b/>
          <w:bCs/>
          <w:sz w:val="24"/>
          <w:lang w:val="en-US" w:eastAsia="zh-CN"/>
        </w:rPr>
        <w:t>3</w:t>
      </w:r>
      <w:r>
        <w:rPr>
          <w:rFonts w:hint="eastAsia" w:ascii="宋体" w:hAnsi="宋体" w:cs="宋体"/>
          <w:b/>
          <w:bCs/>
          <w:sz w:val="24"/>
        </w:rPr>
        <w:t>.联合</w:t>
      </w:r>
      <w:r>
        <w:rPr>
          <w:rFonts w:hint="eastAsia" w:hAnsi="宋体" w:cs="宋体"/>
          <w:b/>
          <w:bCs/>
          <w:sz w:val="24"/>
          <w:lang w:eastAsia="zh-CN"/>
        </w:rPr>
        <w:t>谈判</w:t>
      </w:r>
      <w:r>
        <w:rPr>
          <w:rFonts w:hint="eastAsia" w:ascii="宋体" w:hAnsi="宋体" w:cs="宋体"/>
          <w:b/>
          <w:bCs/>
          <w:sz w:val="24"/>
        </w:rPr>
        <w:t>：</w:t>
      </w:r>
      <w:r>
        <w:rPr>
          <w:rFonts w:hint="eastAsia" w:ascii="宋体" w:hAnsi="宋体" w:cs="宋体"/>
          <w:b w:val="0"/>
          <w:sz w:val="24"/>
          <w:szCs w:val="24"/>
        </w:rPr>
        <w:t>本项目不接受联合体</w:t>
      </w:r>
      <w:r>
        <w:rPr>
          <w:rFonts w:hint="eastAsia" w:hAnsi="宋体" w:cs="宋体"/>
          <w:b w:val="0"/>
          <w:sz w:val="24"/>
          <w:szCs w:val="24"/>
          <w:lang w:eastAsia="zh-CN"/>
        </w:rPr>
        <w:t>谈判。</w:t>
      </w:r>
    </w:p>
    <w:p w14:paraId="1C5712E7">
      <w:pPr>
        <w:pStyle w:val="7"/>
        <w:keepNext w:val="0"/>
        <w:keepLines w:val="0"/>
        <w:pageBreakBefore w:val="0"/>
        <w:numPr>
          <w:ilvl w:val="4"/>
          <w:numId w:val="0"/>
        </w:numPr>
        <w:kinsoku/>
        <w:wordWrap/>
        <w:overflowPunct/>
        <w:topLinePunct w:val="0"/>
        <w:bidi w:val="0"/>
        <w:spacing w:before="0" w:after="0" w:line="440" w:lineRule="exact"/>
        <w:ind w:firstLine="492" w:firstLineChars="204"/>
        <w:rPr>
          <w:rFonts w:ascii="宋体" w:hAnsi="宋体" w:cs="宋体"/>
          <w:sz w:val="24"/>
        </w:rPr>
      </w:pPr>
      <w:r>
        <w:rPr>
          <w:rFonts w:hint="eastAsia" w:ascii="宋体" w:hAnsi="宋体" w:cs="宋体"/>
          <w:sz w:val="24"/>
          <w:lang w:val="en-US" w:eastAsia="zh-CN"/>
        </w:rPr>
        <w:t>4</w:t>
      </w:r>
      <w:r>
        <w:rPr>
          <w:rFonts w:hint="eastAsia" w:ascii="宋体" w:hAnsi="宋体" w:cs="宋体"/>
          <w:sz w:val="24"/>
        </w:rPr>
        <w:t>.中小企业落实政府采购政策</w:t>
      </w:r>
    </w:p>
    <w:p w14:paraId="3DFA3A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.本项目需要落实的政府采购政策</w:t>
      </w:r>
    </w:p>
    <w:p w14:paraId="6F44D2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 投标企业政府采购政策</w:t>
      </w:r>
    </w:p>
    <w:p w14:paraId="65BFF30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中小企业落实政府采购政策</w:t>
      </w:r>
    </w:p>
    <w:p w14:paraId="6C4523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①中小企业划分标准参照《中小企业划型标准规定》(工信部联企业〔2011〕300 号)执行。采购活动执行《政府采购促进中小企业发展管理办法》(财库〔2020〕46 号) 的有关规定。</w:t>
      </w:r>
    </w:p>
    <w:p w14:paraId="7642F1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②在政府采购活动中，供应商提供的货物、工程或者服务符合下列情形的(符合中小企业划分标准的个体工商户，在政府采购活动中视同中小企业) ，享受中小企业扶持政策：</w:t>
      </w:r>
    </w:p>
    <w:p w14:paraId="72F7E85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A.在货物采购项目中，货物由中小企业制造，即货物由中小企业生产且使用该中小企业商号或者注册商标；</w:t>
      </w:r>
    </w:p>
    <w:p w14:paraId="0299FCA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B.在工程采购项目中，工程由中小企业承建，即工程施工单位为中小企业；</w:t>
      </w:r>
    </w:p>
    <w:p w14:paraId="522D91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C.在服务采购项目中，服务由中小企业承接，即提供服务的人员为中小企业依照《中华人民共和国劳动合同法》订立劳动合同的从业人员。</w:t>
      </w:r>
    </w:p>
    <w:p w14:paraId="6BB8CA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其中在货物采购项目中，供应商提供的货物既有中小企业制造货物，也有大型企业制造货物的，不享受中小企业扶持政策。</w:t>
      </w:r>
    </w:p>
    <w:p w14:paraId="1E3AFF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FF3C6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应同时出具财库【2020】46 号文件规定的《中小企业声明函》，由评委会审定，符合条件的企业享受政府采购政策。</w:t>
      </w:r>
    </w:p>
    <w:p w14:paraId="36EE01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监狱企业应符合《财政部司法部关于政府采购支持监狱企业发展有关问题的通知》 (财库〔2014〕68 号) 文件规定，并提供由省级以上监狱管理局、戒毒管理局(含新疆生产建设兵团)出具的属于监狱企业的证明文件，监狱和戒毒企业视同小型、微型企业。</w:t>
      </w:r>
    </w:p>
    <w:p w14:paraId="4EDEAE6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根据财政部、民政部、中国残疾人联合会下发的《关于促进残疾人就业政府采购政策的通知》  (财库〔2017〕141 号) 的规定，残疾人福利性单位提供本单位制造的货物、承担的工程或者服务 (以下简称产品) ，或者提供其他残疾 人福利性单位制造的货物 (不包括使用非残疾人福利性单位注册商标的货物) 参与政府采购活动时，视同小型、微型企业，享受预留份额、评审中价格扣除等促进中小企业发展的政府采购政策。残疾人福利性单位属于小型、微型企业的，不重复享受政策。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应如实提供以上证明文件，如存在虚假应标，将取消其投标资格。</w:t>
      </w:r>
    </w:p>
    <w:p w14:paraId="2BA189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 投标产品政府采购政策</w:t>
      </w:r>
    </w:p>
    <w:p w14:paraId="5ACA08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1)节能产品依据《关于印发节能产品政府采购品目清单的通知》(财库【2019】19 号) 的规定为准。</w:t>
      </w:r>
    </w:p>
    <w:p w14:paraId="57512B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环境标志产品依据《关于印发环境标志产品政府采购品目清单的通知》 (财库【2019】18 号) 的规定为准。</w:t>
      </w:r>
    </w:p>
    <w:p w14:paraId="3E5D6C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在竞争性</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响应文件中对所投标产品列入节能、环保、环境标志品目清单中的产品，在投标报价时必须对此类产品单独分项报价，计算出小计及占投标报价总金额的百分比，并提供属于品目清单内产品的证明资料 (提供节能环保环境标志产品认证机构出具的证明文件，节能环保环境标志产品认证机构参照国家市场监督管理总局发布的《市场监管总局关于发布参与实施政府采购节 能产品、环境标志产品认证机构名录的公告》) ，未在投标报价时必须对此类产品单独分项报价，计算出小计及占投标报价总金额的百分比的或未提供节能、环保、环境标志产品的证明资料的不给予优惠。</w:t>
      </w:r>
    </w:p>
    <w:p w14:paraId="58E6CF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若节能、环保、环境标志品目清单内的产品仅是构成投标产品的部件、组件或零件的，则该投标产品不享受鼓励优惠政策。</w:t>
      </w:r>
    </w:p>
    <w:p w14:paraId="28FE00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同一地段的节能、环保、环境标志产品部分优惠只对属于品目清单内的非强制类产品进行优惠，强制类产品不给予优惠。</w:t>
      </w:r>
    </w:p>
    <w:p w14:paraId="5E2D23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节能、环保、环境标志产品不重复优惠；同时列入国家级清单和省级清单的产品不重复优惠。</w:t>
      </w:r>
    </w:p>
    <w:p w14:paraId="50FC46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 获得上述认证的产品在投标时应提供有效证明材料。以上所有证明文件复印件须加盖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公章并注明“与原件一致”，否则不予优惠。</w:t>
      </w:r>
    </w:p>
    <w:p w14:paraId="206B5E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.3 价格优惠比例</w:t>
      </w:r>
    </w:p>
    <w:p w14:paraId="40E0BE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投标企业优惠比例</w:t>
      </w:r>
    </w:p>
    <w:p w14:paraId="097D62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①未预留份额专门面向中小企业的货物、服务采购项目：符合竞争性</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文件规定的小微企业优惠条件的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，价格给予10%的扣除 (不重复优惠，最高为10%) ，用扣除后的价格参与评审。</w:t>
      </w:r>
    </w:p>
    <w:p w14:paraId="5FF1F5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②未预留份额专门面向中小企业的工程采购项目：符合竞争性</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文件规定的小微企业优惠条件的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，价格给予3%的扣除 (不重复优惠，最高为3%)，用扣除后的价格参与评审。</w:t>
      </w:r>
    </w:p>
    <w:p w14:paraId="568978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③</w:t>
      </w:r>
      <w:r>
        <w:rPr>
          <w:rFonts w:hint="eastAsia" w:ascii="宋体" w:hAnsi="宋体" w:eastAsia="宋体" w:cs="宋体"/>
          <w:color w:val="000000" w:themeColor="text1"/>
          <w:sz w:val="24"/>
          <w:szCs w:val="24"/>
          <w14:textFill>
            <w14:solidFill>
              <w14:schemeClr w14:val="tx1"/>
            </w14:solidFill>
          </w14:textFill>
        </w:rPr>
        <w:t>适用招标投标法的政府采购工程建设项目，采用综合评估法但未采用低价优先法计算价格分的，评标时在采用原报价进行评分的基础上增加其价格得分的1%作为其价格分。</w:t>
      </w:r>
    </w:p>
    <w:p w14:paraId="6218387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注：专门面向中小企业的项目不享受上述价格优惠。</w:t>
      </w:r>
    </w:p>
    <w:p w14:paraId="3B9602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投标产品优惠比例</w:t>
      </w:r>
    </w:p>
    <w:p w14:paraId="5CE7E9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投标产品为节能、环保、环境标志品目清单中的产品，符合竞争性</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文件要求的，价格给予3%的扣除 (不重复优惠，最高为3%) ，用扣除后的价格参与评审。</w:t>
      </w:r>
    </w:p>
    <w:p w14:paraId="3888F7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 实行优惠。</w:t>
      </w:r>
    </w:p>
    <w:p w14:paraId="2DB6C4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 为支持和促进中小企业发展，进一步发挥政府采购政策功能作用，有效缓解中小企业融资难等问题，根据财政部财库【2011】124 号文件的精神，陕西省财政厅制订了《陕西省政府采购信用担保试点工作实施方案 (试行)》，为参与陕西省政府采购项目的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 xml:space="preserve">提供政府采购信用担保，并按照程序确定了合作的担保机构。中标 (成交) </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缴纳履约保证金时可自愿选择通过担保机构保函的形式缴纳；</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如果需要融资贷款服务的，可凭中标 (成交) 通知书、政 府采购合同等相关资料，按照文件规定的程序申请办理，具体规定可登陆陕西省政府采购网( www.ccgp-shaanxi.gov.cn/)重要通知专栏中查询了解。</w:t>
      </w:r>
    </w:p>
    <w:p w14:paraId="5ED3DC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.5 供应商为中小企业的，可依据《陕西省中小企业政府采购信用融资办法》(陕财办采〔2018〕23 号) 申请信用融资，供应商获得政府采购合同后，凭政 府采购合同向银行提出融资申请。并根据各银行提供的方案，自行选择符合自身 情况的金融产品，银行根据供应商的申请开展尽职调查，合理确定融资授信额度。如融资金额未超过政府采购合同金额的，银行原则上不得要求供应商提供财产抵 押或第三方担保，或附加其他任何形式的担保条件。银行为参与政府采购融资的 供应商提供的产品，应以信用贷款为主，贷款利率应当优于一般中小企业的贷款 利率水平，并将产品信息 (包括贷款发放条件、利率优惠、贷款金额) 等在陕西 政  府  采  购   网   予   以   展   示   。    具   体   可   登   陆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"http://www.ccgp-shaanxi.gov.cn/zcdservice/zcd/shananxi"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http://www.ccgp-shaanxi.gov.cn/zcdservice/zcd/shananxi</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(陕西省政府采购 信用融资平台) 查看办理。</w:t>
      </w:r>
    </w:p>
    <w:p w14:paraId="2FE9E990">
      <w:pPr>
        <w:pStyle w:val="7"/>
        <w:keepNext w:val="0"/>
        <w:keepLines w:val="0"/>
        <w:pageBreakBefore w:val="0"/>
        <w:numPr>
          <w:ilvl w:val="4"/>
          <w:numId w:val="0"/>
        </w:numPr>
        <w:kinsoku/>
        <w:wordWrap/>
        <w:overflowPunct/>
        <w:topLinePunct w:val="0"/>
        <w:bidi w:val="0"/>
        <w:spacing w:before="0" w:after="0" w:line="440" w:lineRule="exact"/>
        <w:ind w:firstLine="492" w:firstLineChars="204"/>
        <w:rPr>
          <w:rFonts w:ascii="宋体" w:hAnsi="宋体" w:cs="宋体"/>
          <w:sz w:val="24"/>
        </w:rPr>
      </w:pPr>
      <w:r>
        <w:rPr>
          <w:rFonts w:hint="eastAsia" w:ascii="宋体" w:hAnsi="宋体" w:cs="宋体"/>
          <w:sz w:val="24"/>
          <w:lang w:val="en-US" w:eastAsia="zh-CN"/>
        </w:rPr>
        <w:t>5</w:t>
      </w:r>
      <w:r>
        <w:rPr>
          <w:rFonts w:hint="eastAsia" w:ascii="宋体" w:hAnsi="宋体" w:cs="宋体"/>
          <w:sz w:val="24"/>
        </w:rPr>
        <w:t>.转包与分包</w:t>
      </w:r>
    </w:p>
    <w:p w14:paraId="76173687">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5.1</w:t>
      </w:r>
      <w:r>
        <w:rPr>
          <w:rFonts w:hint="eastAsia" w:hAnsi="宋体" w:cs="宋体"/>
          <w:b/>
          <w:bCs/>
          <w:sz w:val="24"/>
        </w:rPr>
        <w:t>本项目严禁采取转包方式履行合同</w:t>
      </w:r>
      <w:r>
        <w:rPr>
          <w:rFonts w:hint="eastAsia" w:hAnsi="宋体" w:cs="宋体"/>
          <w:sz w:val="24"/>
        </w:rPr>
        <w:t>。本项目所称转包，是指供应商将政府采购合同业务转让给第三人，并退出现有政府采购合同当事人双方权利业务关系，受让人（即第三人）成为政府采购合同的另一方当事人的行为。</w:t>
      </w:r>
    </w:p>
    <w:p w14:paraId="26DCE328">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成交供应商转包的，视同拒绝履行政府采购合同业务，将依法追究法律责任。</w:t>
      </w:r>
    </w:p>
    <w:p w14:paraId="27825F63">
      <w:pPr>
        <w:keepNext w:val="0"/>
        <w:keepLines w:val="0"/>
        <w:pageBreakBefore w:val="0"/>
        <w:kinsoku/>
        <w:wordWrap/>
        <w:overflowPunct/>
        <w:topLinePunct w:val="0"/>
        <w:bidi w:val="0"/>
        <w:spacing w:line="440" w:lineRule="exact"/>
        <w:ind w:firstLine="489" w:firstLineChars="204"/>
        <w:rPr>
          <w:rFonts w:hAnsi="宋体" w:cs="宋体"/>
        </w:rPr>
      </w:pPr>
      <w:r>
        <w:rPr>
          <w:rFonts w:hint="eastAsia" w:hAnsi="宋体" w:cs="宋体"/>
          <w:sz w:val="24"/>
        </w:rPr>
        <w:t>5.2本项目不允许分包。</w:t>
      </w:r>
    </w:p>
    <w:p w14:paraId="67AC9456">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5.3未经采购人许可，不得将本采购项目采取转包、分包实施的办法，一经发现，立即取消其成交资格，并承担由此产生的一切经济损失。</w:t>
      </w:r>
    </w:p>
    <w:p w14:paraId="70811577">
      <w:pPr>
        <w:pStyle w:val="7"/>
        <w:keepNext w:val="0"/>
        <w:keepLines w:val="0"/>
        <w:pageBreakBefore w:val="0"/>
        <w:numPr>
          <w:ilvl w:val="4"/>
          <w:numId w:val="0"/>
        </w:numPr>
        <w:kinsoku/>
        <w:wordWrap/>
        <w:overflowPunct/>
        <w:topLinePunct w:val="0"/>
        <w:bidi w:val="0"/>
        <w:spacing w:before="0" w:after="0" w:line="440" w:lineRule="exact"/>
        <w:ind w:firstLine="492" w:firstLineChars="204"/>
        <w:rPr>
          <w:rFonts w:ascii="宋体" w:hAnsi="宋体" w:cs="宋体"/>
          <w:sz w:val="24"/>
        </w:rPr>
      </w:pPr>
      <w:r>
        <w:rPr>
          <w:rFonts w:hint="eastAsia" w:ascii="宋体" w:hAnsi="宋体" w:cs="宋体"/>
          <w:sz w:val="24"/>
          <w:lang w:val="en-US" w:eastAsia="zh-CN"/>
        </w:rPr>
        <w:t>6</w:t>
      </w:r>
      <w:r>
        <w:rPr>
          <w:rFonts w:hint="eastAsia" w:ascii="宋体" w:hAnsi="宋体" w:cs="宋体"/>
          <w:sz w:val="24"/>
        </w:rPr>
        <w:t>.供应商的风险</w:t>
      </w:r>
    </w:p>
    <w:p w14:paraId="3CB1B8CA">
      <w:pPr>
        <w:keepNext w:val="0"/>
        <w:keepLines w:val="0"/>
        <w:pageBreakBefore w:val="0"/>
        <w:tabs>
          <w:tab w:val="left" w:pos="7665"/>
        </w:tabs>
        <w:kinsoku/>
        <w:wordWrap/>
        <w:overflowPunct/>
        <w:topLinePunct w:val="0"/>
        <w:bidi w:val="0"/>
        <w:spacing w:line="440" w:lineRule="exact"/>
        <w:ind w:firstLine="489" w:firstLineChars="204"/>
        <w:rPr>
          <w:rFonts w:hAnsi="宋体" w:cs="宋体"/>
          <w:sz w:val="24"/>
        </w:rPr>
      </w:pPr>
      <w:r>
        <w:rPr>
          <w:rFonts w:hint="eastAsia" w:hAnsi="宋体" w:cs="宋体"/>
          <w:sz w:val="24"/>
        </w:rPr>
        <w:t>供应商应认真阅读和充分理解</w:t>
      </w:r>
      <w:r>
        <w:rPr>
          <w:rFonts w:hint="eastAsia" w:hAnsi="宋体" w:cs="宋体"/>
          <w:sz w:val="24"/>
          <w:lang w:eastAsia="zh-CN"/>
        </w:rPr>
        <w:t>谈判</w:t>
      </w:r>
      <w:r>
        <w:rPr>
          <w:rFonts w:hint="eastAsia" w:hAnsi="宋体" w:cs="宋体"/>
          <w:sz w:val="24"/>
        </w:rPr>
        <w:t>文件中所有的事项、格式条款和规范要求，任何对</w:t>
      </w:r>
      <w:r>
        <w:rPr>
          <w:rFonts w:hint="eastAsia" w:hAnsi="宋体" w:cs="宋体"/>
          <w:bCs/>
          <w:sz w:val="24"/>
          <w:lang w:eastAsia="zh-CN"/>
        </w:rPr>
        <w:t>谈判</w:t>
      </w:r>
      <w:r>
        <w:rPr>
          <w:rFonts w:hint="eastAsia" w:hAnsi="宋体" w:cs="宋体"/>
          <w:bCs/>
          <w:sz w:val="24"/>
        </w:rPr>
        <w:t>文件</w:t>
      </w:r>
      <w:r>
        <w:rPr>
          <w:rFonts w:hint="eastAsia" w:hAnsi="宋体" w:cs="宋体"/>
          <w:sz w:val="24"/>
        </w:rPr>
        <w:t>的忽略或误解不能作为</w:t>
      </w:r>
      <w:r>
        <w:rPr>
          <w:rFonts w:hint="eastAsia" w:hAnsi="宋体" w:cs="宋体"/>
          <w:sz w:val="24"/>
          <w:lang w:eastAsia="zh-CN"/>
        </w:rPr>
        <w:t>谈判</w:t>
      </w:r>
      <w:r>
        <w:rPr>
          <w:rFonts w:hint="eastAsia" w:hAnsi="宋体" w:cs="宋体"/>
          <w:sz w:val="24"/>
        </w:rPr>
        <w:t>响应文件存在缺陷或瑕疵的理由；供应商没有按照</w:t>
      </w:r>
      <w:r>
        <w:rPr>
          <w:rFonts w:hint="eastAsia" w:hAnsi="宋体" w:cs="宋体"/>
          <w:sz w:val="24"/>
          <w:lang w:eastAsia="zh-CN"/>
        </w:rPr>
        <w:t>谈判</w:t>
      </w:r>
      <w:r>
        <w:rPr>
          <w:rFonts w:hint="eastAsia" w:hAnsi="宋体" w:cs="宋体"/>
          <w:sz w:val="24"/>
        </w:rPr>
        <w:t>文件要求提供全部资料，或对</w:t>
      </w:r>
      <w:r>
        <w:rPr>
          <w:rFonts w:hint="eastAsia" w:hAnsi="宋体" w:cs="宋体"/>
          <w:sz w:val="24"/>
          <w:lang w:eastAsia="zh-CN"/>
        </w:rPr>
        <w:t>谈判</w:t>
      </w:r>
      <w:r>
        <w:rPr>
          <w:rFonts w:hint="eastAsia" w:hAnsi="宋体" w:cs="宋体"/>
          <w:sz w:val="24"/>
        </w:rPr>
        <w:t>文件全面做出实质性响应是供应商的风险，并可能导致其</w:t>
      </w:r>
      <w:r>
        <w:rPr>
          <w:rFonts w:hint="eastAsia" w:hAnsi="宋体" w:cs="宋体"/>
          <w:sz w:val="24"/>
          <w:lang w:eastAsia="zh-CN"/>
        </w:rPr>
        <w:t>谈判</w:t>
      </w:r>
      <w:r>
        <w:rPr>
          <w:rFonts w:hint="eastAsia" w:hAnsi="宋体" w:cs="宋体"/>
          <w:sz w:val="24"/>
        </w:rPr>
        <w:t>响应文件被拒绝。</w:t>
      </w:r>
    </w:p>
    <w:p w14:paraId="1620DF99">
      <w:pPr>
        <w:pStyle w:val="7"/>
        <w:keepNext w:val="0"/>
        <w:keepLines w:val="0"/>
        <w:pageBreakBefore w:val="0"/>
        <w:numPr>
          <w:ilvl w:val="4"/>
          <w:numId w:val="0"/>
        </w:numPr>
        <w:kinsoku/>
        <w:wordWrap/>
        <w:overflowPunct/>
        <w:topLinePunct w:val="0"/>
        <w:bidi w:val="0"/>
        <w:spacing w:before="0" w:after="0" w:line="440" w:lineRule="exact"/>
        <w:ind w:firstLine="492" w:firstLineChars="204"/>
        <w:rPr>
          <w:rFonts w:ascii="宋体" w:hAnsi="宋体" w:cs="宋体"/>
          <w:sz w:val="24"/>
        </w:rPr>
      </w:pPr>
      <w:r>
        <w:rPr>
          <w:rFonts w:hint="eastAsia" w:ascii="宋体" w:hAnsi="宋体" w:cs="宋体"/>
          <w:sz w:val="24"/>
        </w:rPr>
        <w:t>7.供应商的纪律要求</w:t>
      </w:r>
    </w:p>
    <w:p w14:paraId="291B2F44">
      <w:pPr>
        <w:pStyle w:val="3"/>
        <w:keepNext w:val="0"/>
        <w:keepLines w:val="0"/>
        <w:pageBreakBefore w:val="0"/>
        <w:kinsoku/>
        <w:wordWrap/>
        <w:overflowPunct/>
        <w:topLinePunct w:val="0"/>
        <w:bidi w:val="0"/>
        <w:spacing w:line="440" w:lineRule="exact"/>
        <w:ind w:firstLine="489" w:firstLineChars="204"/>
        <w:rPr>
          <w:rFonts w:hAnsi="宋体" w:cs="宋体"/>
          <w:sz w:val="24"/>
          <w:szCs w:val="24"/>
        </w:rPr>
      </w:pPr>
      <w:r>
        <w:rPr>
          <w:rFonts w:hint="eastAsia" w:hAnsi="宋体" w:cs="宋体"/>
          <w:sz w:val="24"/>
          <w:szCs w:val="24"/>
        </w:rPr>
        <w:t>7.1供应商参加</w:t>
      </w:r>
      <w:r>
        <w:rPr>
          <w:rFonts w:hint="eastAsia" w:hAnsi="宋体" w:cs="宋体"/>
          <w:sz w:val="24"/>
          <w:szCs w:val="24"/>
          <w:lang w:eastAsia="zh-CN"/>
        </w:rPr>
        <w:t>谈判</w:t>
      </w:r>
      <w:r>
        <w:rPr>
          <w:rFonts w:hint="eastAsia" w:hAnsi="宋体" w:cs="宋体"/>
          <w:sz w:val="24"/>
          <w:szCs w:val="24"/>
        </w:rPr>
        <w:t>不得有下列情形：</w:t>
      </w:r>
    </w:p>
    <w:p w14:paraId="4D59D1BC">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（1）提供虚假材料谋取成交；</w:t>
      </w:r>
    </w:p>
    <w:p w14:paraId="329B524F">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（2）采取不正当手段诋毁、排挤其他供应商；</w:t>
      </w:r>
    </w:p>
    <w:p w14:paraId="404D6417">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（3）与采购人、采购代理机构、其他供应商恶意串通；</w:t>
      </w:r>
    </w:p>
    <w:p w14:paraId="59FF857A">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（4）向采购人、采购代理机构、</w:t>
      </w:r>
      <w:r>
        <w:rPr>
          <w:rFonts w:hint="eastAsia" w:hAnsi="宋体" w:cs="宋体"/>
          <w:sz w:val="24"/>
          <w:lang w:eastAsia="zh-CN"/>
        </w:rPr>
        <w:t>谈判</w:t>
      </w:r>
      <w:r>
        <w:rPr>
          <w:rFonts w:hint="eastAsia" w:hAnsi="宋体" w:cs="宋体"/>
          <w:sz w:val="24"/>
        </w:rPr>
        <w:t>小组成员行贿或者提供其他不正当利益；</w:t>
      </w:r>
    </w:p>
    <w:p w14:paraId="202717D2">
      <w:pPr>
        <w:pStyle w:val="22"/>
        <w:keepNext w:val="0"/>
        <w:keepLines w:val="0"/>
        <w:pageBreakBefore w:val="0"/>
        <w:tabs>
          <w:tab w:val="left" w:pos="720"/>
        </w:tabs>
        <w:kinsoku/>
        <w:wordWrap/>
        <w:overflowPunct/>
        <w:topLinePunct w:val="0"/>
        <w:bidi w:val="0"/>
        <w:spacing w:line="440" w:lineRule="exact"/>
        <w:ind w:firstLine="489" w:firstLineChars="204"/>
        <w:rPr>
          <w:rFonts w:ascii="宋体" w:hAnsi="宋体" w:cs="宋体"/>
          <w:sz w:val="24"/>
          <w:szCs w:val="24"/>
        </w:rPr>
      </w:pPr>
      <w:r>
        <w:rPr>
          <w:rFonts w:hint="eastAsia" w:ascii="宋体" w:hAnsi="宋体" w:cs="宋体"/>
          <w:sz w:val="24"/>
          <w:szCs w:val="24"/>
        </w:rPr>
        <w:t>（5）在招标过程中与</w:t>
      </w:r>
      <w:r>
        <w:rPr>
          <w:rFonts w:hint="eastAsia" w:ascii="宋体" w:hAnsi="宋体" w:cs="宋体"/>
          <w:sz w:val="24"/>
        </w:rPr>
        <w:t>采购人、采购代理机构</w:t>
      </w:r>
      <w:r>
        <w:rPr>
          <w:rFonts w:hint="eastAsia" w:ascii="宋体" w:hAnsi="宋体" w:cs="宋体"/>
          <w:sz w:val="24"/>
          <w:szCs w:val="24"/>
        </w:rPr>
        <w:t>进行协商谈判；</w:t>
      </w:r>
    </w:p>
    <w:p w14:paraId="2FA4EE61">
      <w:pPr>
        <w:pStyle w:val="22"/>
        <w:keepNext w:val="0"/>
        <w:keepLines w:val="0"/>
        <w:pageBreakBefore w:val="0"/>
        <w:kinsoku/>
        <w:wordWrap/>
        <w:overflowPunct/>
        <w:topLinePunct w:val="0"/>
        <w:bidi w:val="0"/>
        <w:spacing w:line="440" w:lineRule="exact"/>
        <w:ind w:firstLine="489" w:firstLineChars="204"/>
        <w:rPr>
          <w:rFonts w:ascii="宋体" w:hAnsi="宋体" w:cs="宋体"/>
          <w:sz w:val="24"/>
          <w:szCs w:val="24"/>
        </w:rPr>
      </w:pPr>
      <w:r>
        <w:rPr>
          <w:rFonts w:hint="eastAsia" w:ascii="宋体" w:hAnsi="宋体" w:cs="宋体"/>
          <w:sz w:val="24"/>
          <w:szCs w:val="24"/>
        </w:rPr>
        <w:t>（6）拒绝有关部门的监督检查或者向监督检查部门提供虚假情况。</w:t>
      </w:r>
    </w:p>
    <w:p w14:paraId="40EC9933">
      <w:pPr>
        <w:pStyle w:val="3"/>
        <w:keepNext w:val="0"/>
        <w:keepLines w:val="0"/>
        <w:pageBreakBefore w:val="0"/>
        <w:kinsoku/>
        <w:wordWrap/>
        <w:overflowPunct/>
        <w:topLinePunct w:val="0"/>
        <w:bidi w:val="0"/>
        <w:spacing w:line="440" w:lineRule="exact"/>
        <w:ind w:firstLine="492" w:firstLineChars="204"/>
        <w:rPr>
          <w:rFonts w:hAnsi="宋体" w:cs="宋体"/>
          <w:b/>
          <w:sz w:val="28"/>
          <w:szCs w:val="28"/>
        </w:rPr>
      </w:pPr>
      <w:r>
        <w:rPr>
          <w:rFonts w:hint="eastAsia" w:hAnsi="宋体" w:cs="宋体"/>
          <w:b/>
          <w:sz w:val="24"/>
          <w:szCs w:val="24"/>
        </w:rPr>
        <w:t>说明：有上述情形之一的，属于不合格供应商，其</w:t>
      </w:r>
      <w:r>
        <w:rPr>
          <w:rFonts w:hint="eastAsia" w:hAnsi="宋体" w:cs="宋体"/>
          <w:b/>
          <w:sz w:val="24"/>
          <w:szCs w:val="24"/>
          <w:lang w:eastAsia="zh-CN"/>
        </w:rPr>
        <w:t>谈判</w:t>
      </w:r>
      <w:r>
        <w:rPr>
          <w:rFonts w:hint="eastAsia" w:hAnsi="宋体" w:cs="宋体"/>
          <w:b/>
          <w:sz w:val="24"/>
          <w:szCs w:val="24"/>
        </w:rPr>
        <w:t>或成交资格将被取消</w:t>
      </w:r>
      <w:r>
        <w:rPr>
          <w:rFonts w:hint="eastAsia" w:hAnsi="宋体" w:cs="宋体"/>
          <w:b/>
          <w:sz w:val="28"/>
          <w:szCs w:val="28"/>
        </w:rPr>
        <w:t>。</w:t>
      </w:r>
    </w:p>
    <w:p w14:paraId="1E504D6E">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7.2有下列情形之一的，视为供应商相互恶意串通</w:t>
      </w:r>
      <w:r>
        <w:rPr>
          <w:rFonts w:hint="eastAsia" w:hAnsi="宋体" w:cs="宋体"/>
          <w:sz w:val="24"/>
          <w:lang w:eastAsia="zh-CN"/>
        </w:rPr>
        <w:t>谈判</w:t>
      </w:r>
      <w:r>
        <w:rPr>
          <w:rFonts w:hint="eastAsia" w:hAnsi="宋体" w:cs="宋体"/>
          <w:sz w:val="24"/>
        </w:rPr>
        <w:t>，其</w:t>
      </w:r>
      <w:r>
        <w:rPr>
          <w:rFonts w:hint="eastAsia" w:hAnsi="宋体" w:cs="宋体"/>
          <w:sz w:val="24"/>
          <w:lang w:eastAsia="zh-CN"/>
        </w:rPr>
        <w:t>谈判</w:t>
      </w:r>
      <w:r>
        <w:rPr>
          <w:rFonts w:hint="eastAsia" w:hAnsi="宋体" w:cs="宋体"/>
          <w:sz w:val="24"/>
        </w:rPr>
        <w:t>无效：</w:t>
      </w:r>
    </w:p>
    <w:p w14:paraId="33D2CA0D">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（1）不同供应商的</w:t>
      </w:r>
      <w:r>
        <w:rPr>
          <w:rFonts w:hint="eastAsia" w:hAnsi="宋体" w:cs="宋体"/>
          <w:sz w:val="24"/>
          <w:lang w:eastAsia="zh-CN"/>
        </w:rPr>
        <w:t>谈判</w:t>
      </w:r>
      <w:r>
        <w:rPr>
          <w:rFonts w:hint="eastAsia" w:hAnsi="宋体" w:cs="宋体"/>
          <w:sz w:val="24"/>
        </w:rPr>
        <w:t>响应文件由同一单位或者个人编制；</w:t>
      </w:r>
    </w:p>
    <w:p w14:paraId="2BF7784D">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（2）不同供应商委托同一单位或者个人办理</w:t>
      </w:r>
      <w:r>
        <w:rPr>
          <w:rFonts w:hint="eastAsia" w:hAnsi="宋体" w:cs="宋体"/>
          <w:sz w:val="24"/>
          <w:lang w:eastAsia="zh-CN"/>
        </w:rPr>
        <w:t>谈判</w:t>
      </w:r>
      <w:r>
        <w:rPr>
          <w:rFonts w:hint="eastAsia" w:hAnsi="宋体" w:cs="宋体"/>
          <w:sz w:val="24"/>
        </w:rPr>
        <w:t>事宜；</w:t>
      </w:r>
    </w:p>
    <w:p w14:paraId="25CDC842">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（3）不同供应商的</w:t>
      </w:r>
      <w:r>
        <w:rPr>
          <w:rFonts w:hint="eastAsia" w:hAnsi="宋体" w:cs="宋体"/>
          <w:sz w:val="24"/>
          <w:lang w:eastAsia="zh-CN"/>
        </w:rPr>
        <w:t>谈判</w:t>
      </w:r>
      <w:r>
        <w:rPr>
          <w:rFonts w:hint="eastAsia" w:hAnsi="宋体" w:cs="宋体"/>
          <w:sz w:val="24"/>
        </w:rPr>
        <w:t>响应文件载明的项目管理成员为同一人；</w:t>
      </w:r>
    </w:p>
    <w:p w14:paraId="1FCC7C19">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（4）不同供应商的</w:t>
      </w:r>
      <w:r>
        <w:rPr>
          <w:rFonts w:hint="eastAsia" w:hAnsi="宋体" w:cs="宋体"/>
          <w:sz w:val="24"/>
          <w:lang w:eastAsia="zh-CN"/>
        </w:rPr>
        <w:t>谈判</w:t>
      </w:r>
      <w:r>
        <w:rPr>
          <w:rFonts w:hint="eastAsia" w:hAnsi="宋体" w:cs="宋体"/>
          <w:sz w:val="24"/>
        </w:rPr>
        <w:t>响应文件异常一致或者</w:t>
      </w:r>
      <w:r>
        <w:rPr>
          <w:rFonts w:hint="eastAsia" w:hAnsi="宋体" w:cs="宋体"/>
          <w:sz w:val="24"/>
          <w:lang w:eastAsia="zh-CN"/>
        </w:rPr>
        <w:t>谈判</w:t>
      </w:r>
      <w:r>
        <w:rPr>
          <w:rFonts w:hint="eastAsia" w:hAnsi="宋体" w:cs="宋体"/>
          <w:sz w:val="24"/>
        </w:rPr>
        <w:t>报价呈规律性差异；</w:t>
      </w:r>
    </w:p>
    <w:p w14:paraId="333339F4">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（5）不同供应商的</w:t>
      </w:r>
      <w:r>
        <w:rPr>
          <w:rFonts w:hint="eastAsia" w:hAnsi="宋体" w:cs="宋体"/>
          <w:sz w:val="24"/>
          <w:lang w:eastAsia="zh-CN"/>
        </w:rPr>
        <w:t>谈判</w:t>
      </w:r>
      <w:r>
        <w:rPr>
          <w:rFonts w:hint="eastAsia" w:hAnsi="宋体" w:cs="宋体"/>
          <w:sz w:val="24"/>
        </w:rPr>
        <w:t>响应文件相互混装；</w:t>
      </w:r>
    </w:p>
    <w:p w14:paraId="5B142EE5">
      <w:pPr>
        <w:keepNext w:val="0"/>
        <w:keepLines w:val="0"/>
        <w:pageBreakBefore w:val="0"/>
        <w:kinsoku/>
        <w:wordWrap/>
        <w:overflowPunct/>
        <w:topLinePunct w:val="0"/>
        <w:bidi w:val="0"/>
        <w:spacing w:line="440" w:lineRule="exact"/>
        <w:ind w:firstLine="489" w:firstLineChars="204"/>
        <w:rPr>
          <w:rFonts w:hAnsi="宋体" w:cs="宋体"/>
        </w:rPr>
      </w:pPr>
      <w:r>
        <w:rPr>
          <w:rFonts w:hint="eastAsia" w:hAnsi="宋体" w:cs="宋体"/>
          <w:sz w:val="24"/>
        </w:rPr>
        <w:t>（6）不同供应商的响应文件由同一供应商送达。</w:t>
      </w:r>
    </w:p>
    <w:p w14:paraId="5F7D096B">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0" w:firstLineChars="0"/>
        <w:jc w:val="center"/>
        <w:textAlignment w:val="auto"/>
        <w:rPr>
          <w:rFonts w:hAnsi="宋体" w:cs="宋体"/>
          <w:b/>
          <w:bCs/>
          <w:sz w:val="28"/>
        </w:rPr>
      </w:pPr>
      <w:bookmarkStart w:id="65" w:name="_Toc3445"/>
      <w:r>
        <w:rPr>
          <w:rFonts w:hint="eastAsia" w:hAnsi="宋体" w:cs="宋体"/>
          <w:b/>
          <w:bCs/>
          <w:sz w:val="28"/>
        </w:rPr>
        <w:t>四、</w:t>
      </w:r>
      <w:r>
        <w:rPr>
          <w:rFonts w:hint="eastAsia" w:hAnsi="宋体" w:cs="宋体"/>
          <w:b/>
          <w:bCs/>
          <w:sz w:val="28"/>
          <w:lang w:eastAsia="zh-CN"/>
        </w:rPr>
        <w:t>谈判</w:t>
      </w:r>
      <w:r>
        <w:rPr>
          <w:rFonts w:hint="eastAsia" w:hAnsi="宋体" w:cs="宋体"/>
          <w:b/>
          <w:bCs/>
          <w:sz w:val="28"/>
        </w:rPr>
        <w:t>响应文件</w:t>
      </w:r>
      <w:bookmarkEnd w:id="65"/>
    </w:p>
    <w:p w14:paraId="7B707059">
      <w:pPr>
        <w:pStyle w:val="7"/>
        <w:keepNext w:val="0"/>
        <w:keepLines w:val="0"/>
        <w:pageBreakBefore w:val="0"/>
        <w:numPr>
          <w:ilvl w:val="4"/>
          <w:numId w:val="0"/>
        </w:numPr>
        <w:kinsoku/>
        <w:wordWrap/>
        <w:overflowPunct/>
        <w:topLinePunct w:val="0"/>
        <w:bidi w:val="0"/>
        <w:spacing w:before="0" w:after="0" w:line="440" w:lineRule="exact"/>
        <w:ind w:firstLine="492" w:firstLineChars="204"/>
        <w:rPr>
          <w:rFonts w:ascii="宋体" w:hAnsi="宋体" w:cs="宋体"/>
          <w:sz w:val="24"/>
        </w:rPr>
      </w:pPr>
      <w:bookmarkStart w:id="66" w:name="_Toc531253635"/>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响应文件的编写原则和要求</w:t>
      </w:r>
      <w:bookmarkEnd w:id="66"/>
    </w:p>
    <w:p w14:paraId="1382BA4D">
      <w:pPr>
        <w:keepNext w:val="0"/>
        <w:keepLines w:val="0"/>
        <w:pageBreakBefore w:val="0"/>
        <w:tabs>
          <w:tab w:val="left" w:pos="720"/>
        </w:tabs>
        <w:kinsoku/>
        <w:wordWrap/>
        <w:overflowPunct/>
        <w:topLinePunct w:val="0"/>
        <w:bidi w:val="0"/>
        <w:snapToGrid w:val="0"/>
        <w:spacing w:line="440" w:lineRule="exact"/>
        <w:ind w:firstLine="489" w:firstLineChars="204"/>
        <w:rPr>
          <w:rFonts w:hAnsi="宋体" w:cs="宋体"/>
          <w:sz w:val="24"/>
        </w:rPr>
      </w:pPr>
      <w:r>
        <w:rPr>
          <w:rFonts w:hint="eastAsia" w:hAnsi="宋体" w:cs="宋体"/>
          <w:sz w:val="24"/>
        </w:rPr>
        <w:t>1.1供应商应仔细阅读</w:t>
      </w:r>
      <w:r>
        <w:rPr>
          <w:rFonts w:hint="eastAsia" w:hAnsi="宋体" w:cs="宋体"/>
          <w:sz w:val="24"/>
          <w:lang w:eastAsia="zh-CN"/>
        </w:rPr>
        <w:t>谈判</w:t>
      </w:r>
      <w:r>
        <w:rPr>
          <w:rFonts w:hint="eastAsia" w:hAnsi="宋体" w:cs="宋体"/>
          <w:sz w:val="24"/>
        </w:rPr>
        <w:t>文件的所有内容，按</w:t>
      </w:r>
      <w:r>
        <w:rPr>
          <w:rFonts w:hint="eastAsia" w:hAnsi="宋体" w:cs="宋体"/>
          <w:sz w:val="24"/>
          <w:lang w:eastAsia="zh-CN"/>
        </w:rPr>
        <w:t>谈判</w:t>
      </w:r>
      <w:r>
        <w:rPr>
          <w:rFonts w:hint="eastAsia" w:hAnsi="宋体" w:cs="宋体"/>
          <w:sz w:val="24"/>
        </w:rPr>
        <w:t>文件规定及要求编写，应当对</w:t>
      </w:r>
      <w:r>
        <w:rPr>
          <w:rFonts w:hint="eastAsia" w:hAnsi="宋体" w:cs="宋体"/>
          <w:sz w:val="24"/>
          <w:lang w:eastAsia="zh-CN"/>
        </w:rPr>
        <w:t>谈判</w:t>
      </w:r>
      <w:r>
        <w:rPr>
          <w:rFonts w:hint="eastAsia" w:hAnsi="宋体" w:cs="宋体"/>
          <w:sz w:val="24"/>
        </w:rPr>
        <w:t>文件提出的实质性要求做出响应，并提交完整的</w:t>
      </w:r>
      <w:r>
        <w:rPr>
          <w:rFonts w:hint="eastAsia" w:hAnsi="宋体" w:cs="宋体"/>
          <w:sz w:val="24"/>
          <w:lang w:eastAsia="zh-CN"/>
        </w:rPr>
        <w:t>谈判</w:t>
      </w:r>
      <w:r>
        <w:rPr>
          <w:rFonts w:hint="eastAsia" w:hAnsi="宋体" w:cs="宋体"/>
          <w:sz w:val="24"/>
        </w:rPr>
        <w:t>响应文件。供应商应对采购内容及技术要求提供完整详细的说明，若供应商对采购内容及技术要求不能完全响应，应在</w:t>
      </w:r>
      <w:r>
        <w:rPr>
          <w:rFonts w:hint="eastAsia" w:hAnsi="宋体" w:cs="宋体"/>
          <w:sz w:val="24"/>
          <w:lang w:eastAsia="zh-CN"/>
        </w:rPr>
        <w:t>谈判</w:t>
      </w:r>
      <w:r>
        <w:rPr>
          <w:rFonts w:hint="eastAsia" w:hAnsi="宋体" w:cs="宋体"/>
          <w:sz w:val="24"/>
        </w:rPr>
        <w:t>响应文件中清楚地注明。供应商</w:t>
      </w:r>
      <w:r>
        <w:rPr>
          <w:rFonts w:hAnsi="宋体" w:cs="宋体"/>
          <w:sz w:val="24"/>
        </w:rPr>
        <w:t>拟在</w:t>
      </w:r>
      <w:r>
        <w:rPr>
          <w:rFonts w:hint="eastAsia" w:hAnsi="宋体" w:cs="宋体"/>
          <w:sz w:val="24"/>
        </w:rPr>
        <w:t>成交</w:t>
      </w:r>
      <w:r>
        <w:rPr>
          <w:rFonts w:hAnsi="宋体" w:cs="宋体"/>
          <w:sz w:val="24"/>
        </w:rPr>
        <w:t>后将</w:t>
      </w:r>
      <w:r>
        <w:rPr>
          <w:rFonts w:hint="eastAsia" w:hAnsi="宋体" w:cs="宋体"/>
          <w:sz w:val="24"/>
        </w:rPr>
        <w:t>成交</w:t>
      </w:r>
      <w:r>
        <w:rPr>
          <w:rFonts w:hAnsi="宋体" w:cs="宋体"/>
          <w:sz w:val="24"/>
        </w:rPr>
        <w:t>项目的非主体、非关键性工作交由他人完成的，应当在</w:t>
      </w:r>
      <w:r>
        <w:rPr>
          <w:rFonts w:hint="eastAsia" w:hAnsi="宋体" w:cs="宋体"/>
          <w:sz w:val="24"/>
          <w:lang w:eastAsia="zh-CN"/>
        </w:rPr>
        <w:t>谈判</w:t>
      </w:r>
      <w:r>
        <w:rPr>
          <w:rFonts w:hint="eastAsia" w:hAnsi="宋体" w:cs="宋体"/>
          <w:sz w:val="24"/>
        </w:rPr>
        <w:t>响应</w:t>
      </w:r>
      <w:r>
        <w:rPr>
          <w:rFonts w:hAnsi="宋体" w:cs="宋体"/>
          <w:sz w:val="24"/>
        </w:rPr>
        <w:t>文件中载明。</w:t>
      </w:r>
      <w:r>
        <w:rPr>
          <w:rFonts w:hint="eastAsia" w:hAnsi="宋体" w:cs="宋体"/>
          <w:sz w:val="24"/>
        </w:rPr>
        <w:t>供应商对本</w:t>
      </w:r>
      <w:r>
        <w:rPr>
          <w:rFonts w:hint="eastAsia" w:hAnsi="宋体" w:cs="宋体"/>
          <w:sz w:val="24"/>
          <w:lang w:eastAsia="zh-CN"/>
        </w:rPr>
        <w:t>谈判</w:t>
      </w:r>
      <w:r>
        <w:rPr>
          <w:rFonts w:hint="eastAsia" w:hAnsi="宋体" w:cs="宋体"/>
          <w:sz w:val="24"/>
        </w:rPr>
        <w:t>文件的每一项要求所给予的响应必须是唯一的，否则将视为无效</w:t>
      </w:r>
      <w:r>
        <w:rPr>
          <w:rFonts w:hint="eastAsia" w:hAnsi="宋体" w:cs="宋体"/>
          <w:sz w:val="24"/>
          <w:lang w:eastAsia="zh-CN"/>
        </w:rPr>
        <w:t>谈判</w:t>
      </w:r>
      <w:r>
        <w:rPr>
          <w:rFonts w:hint="eastAsia" w:hAnsi="宋体" w:cs="宋体"/>
          <w:sz w:val="24"/>
        </w:rPr>
        <w:t>响应文件。</w:t>
      </w:r>
    </w:p>
    <w:p w14:paraId="481A3747">
      <w:pPr>
        <w:keepNext w:val="0"/>
        <w:keepLines w:val="0"/>
        <w:pageBreakBefore w:val="0"/>
        <w:tabs>
          <w:tab w:val="left" w:pos="720"/>
        </w:tabs>
        <w:kinsoku/>
        <w:wordWrap/>
        <w:overflowPunct/>
        <w:topLinePunct w:val="0"/>
        <w:bidi w:val="0"/>
        <w:snapToGrid w:val="0"/>
        <w:spacing w:line="440" w:lineRule="exact"/>
        <w:ind w:firstLine="489" w:firstLineChars="204"/>
        <w:rPr>
          <w:rFonts w:hAnsi="宋体" w:cs="宋体"/>
          <w:sz w:val="24"/>
        </w:rPr>
      </w:pPr>
      <w:r>
        <w:rPr>
          <w:rFonts w:hint="eastAsia" w:hAnsi="宋体" w:cs="宋体"/>
          <w:sz w:val="24"/>
          <w:lang w:val="en-US" w:eastAsia="zh-CN"/>
        </w:rPr>
        <w:t>1</w:t>
      </w:r>
      <w:r>
        <w:rPr>
          <w:rFonts w:hint="eastAsia" w:hAnsi="宋体" w:cs="宋体"/>
          <w:sz w:val="24"/>
        </w:rPr>
        <w:t>.2真实性原则</w:t>
      </w:r>
    </w:p>
    <w:p w14:paraId="68AC9C4D">
      <w:pPr>
        <w:keepNext w:val="0"/>
        <w:keepLines w:val="0"/>
        <w:pageBreakBefore w:val="0"/>
        <w:tabs>
          <w:tab w:val="left" w:pos="720"/>
        </w:tabs>
        <w:kinsoku/>
        <w:wordWrap/>
        <w:overflowPunct/>
        <w:topLinePunct w:val="0"/>
        <w:bidi w:val="0"/>
        <w:snapToGrid w:val="0"/>
        <w:spacing w:line="440" w:lineRule="exact"/>
        <w:ind w:firstLine="489" w:firstLineChars="204"/>
        <w:rPr>
          <w:rFonts w:hAnsi="宋体" w:cs="宋体"/>
          <w:sz w:val="24"/>
        </w:rPr>
      </w:pPr>
      <w:r>
        <w:rPr>
          <w:rFonts w:hint="eastAsia" w:hAnsi="宋体" w:cs="宋体"/>
          <w:sz w:val="24"/>
        </w:rPr>
        <w:t>1.2.1供应商应保证所提供的</w:t>
      </w:r>
      <w:r>
        <w:rPr>
          <w:rFonts w:hint="eastAsia" w:hAnsi="宋体" w:cs="宋体"/>
          <w:sz w:val="24"/>
          <w:lang w:eastAsia="zh-CN"/>
        </w:rPr>
        <w:t>谈判</w:t>
      </w:r>
      <w:r>
        <w:rPr>
          <w:rFonts w:hint="eastAsia" w:hAnsi="宋体" w:cs="宋体"/>
          <w:sz w:val="24"/>
        </w:rPr>
        <w:t>响应文件和所有资料的真实性、准确性和完整性。</w:t>
      </w:r>
    </w:p>
    <w:p w14:paraId="4696EA2E">
      <w:pPr>
        <w:keepNext w:val="0"/>
        <w:keepLines w:val="0"/>
        <w:pageBreakBefore w:val="0"/>
        <w:tabs>
          <w:tab w:val="left" w:pos="720"/>
        </w:tabs>
        <w:kinsoku/>
        <w:wordWrap/>
        <w:overflowPunct/>
        <w:topLinePunct w:val="0"/>
        <w:bidi w:val="0"/>
        <w:snapToGrid w:val="0"/>
        <w:spacing w:line="440" w:lineRule="exact"/>
        <w:ind w:firstLine="489" w:firstLineChars="204"/>
        <w:rPr>
          <w:rFonts w:hAnsi="宋体" w:cs="宋体"/>
          <w:sz w:val="24"/>
        </w:rPr>
      </w:pPr>
      <w:r>
        <w:rPr>
          <w:rFonts w:hint="eastAsia" w:hAnsi="宋体" w:cs="宋体"/>
          <w:sz w:val="24"/>
        </w:rPr>
        <w:t>1.2.2供应商在政府采购过程中提供不真实的材料，无论其材料是否重要，采购人均有权拒绝，并取消其</w:t>
      </w:r>
      <w:r>
        <w:rPr>
          <w:rFonts w:hint="eastAsia" w:hAnsi="宋体" w:cs="宋体"/>
          <w:sz w:val="24"/>
          <w:lang w:eastAsia="zh-CN"/>
        </w:rPr>
        <w:t>谈判</w:t>
      </w:r>
      <w:r>
        <w:rPr>
          <w:rFonts w:hint="eastAsia" w:hAnsi="宋体" w:cs="宋体"/>
          <w:sz w:val="24"/>
        </w:rPr>
        <w:t>资格，供应商需承担相应的后果及法律责任。</w:t>
      </w:r>
    </w:p>
    <w:p w14:paraId="468FE835">
      <w:pPr>
        <w:keepNext w:val="0"/>
        <w:keepLines w:val="0"/>
        <w:pageBreakBefore w:val="0"/>
        <w:tabs>
          <w:tab w:val="left" w:pos="720"/>
        </w:tabs>
        <w:kinsoku/>
        <w:wordWrap/>
        <w:overflowPunct/>
        <w:topLinePunct w:val="0"/>
        <w:bidi w:val="0"/>
        <w:snapToGrid w:val="0"/>
        <w:spacing w:line="440" w:lineRule="exact"/>
        <w:ind w:firstLine="489" w:firstLineChars="204"/>
        <w:rPr>
          <w:rFonts w:hAnsi="宋体" w:cs="宋体"/>
          <w:sz w:val="24"/>
        </w:rPr>
      </w:pPr>
      <w:r>
        <w:rPr>
          <w:rFonts w:hint="eastAsia" w:hAnsi="宋体" w:cs="宋体"/>
          <w:sz w:val="24"/>
        </w:rPr>
        <w:t>1.3</w:t>
      </w:r>
      <w:r>
        <w:rPr>
          <w:rFonts w:hint="eastAsia" w:hAnsi="宋体" w:cs="宋体"/>
          <w:sz w:val="24"/>
          <w:lang w:eastAsia="zh-CN"/>
        </w:rPr>
        <w:t>谈判</w:t>
      </w:r>
      <w:r>
        <w:rPr>
          <w:rFonts w:hint="eastAsia" w:hAnsi="宋体" w:cs="宋体"/>
          <w:sz w:val="24"/>
        </w:rPr>
        <w:t>语言</w:t>
      </w:r>
    </w:p>
    <w:p w14:paraId="19275D01">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rPr>
        <w:t>1.3.1</w:t>
      </w:r>
      <w:r>
        <w:rPr>
          <w:rFonts w:hint="eastAsia" w:hAnsi="宋体" w:cs="宋体"/>
          <w:sz w:val="24"/>
          <w:lang w:val="en-US" w:eastAsia="zh-CN"/>
        </w:rPr>
        <w:t>供应商提交的响应文件以及供应商与采购代理机构就有关谈判的所有来往函电均应以简体中文书写。</w:t>
      </w:r>
      <w:r>
        <w:rPr>
          <w:rFonts w:hint="eastAsia" w:hAnsi="宋体" w:cs="宋体"/>
          <w:sz w:val="24"/>
          <w:lang w:eastAsia="zh-CN"/>
        </w:rPr>
        <w:t>谈判</w:t>
      </w:r>
      <w:r>
        <w:rPr>
          <w:rFonts w:hint="eastAsia" w:hAnsi="宋体" w:cs="宋体"/>
          <w:sz w:val="24"/>
        </w:rPr>
        <w:t>响应文件中如附有外文资料，必须逐一对应翻译成简体中文并加盖供应商公章后附在相关外文资料后面，否则，由此带来的一切影响后果自负。</w:t>
      </w:r>
    </w:p>
    <w:p w14:paraId="5DFA8ACD">
      <w:pPr>
        <w:pStyle w:val="20"/>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szCs w:val="24"/>
        </w:rPr>
      </w:pPr>
      <w:r>
        <w:rPr>
          <w:rFonts w:hint="eastAsia" w:hAnsi="宋体" w:cs="宋体"/>
          <w:sz w:val="24"/>
          <w:szCs w:val="24"/>
        </w:rPr>
        <w:t>1.3.2翻译的中文资料与外文资料如果出现差异和矛盾时，以中文为准。但不能故意错误翻译，否则，供应商的</w:t>
      </w:r>
      <w:r>
        <w:rPr>
          <w:rFonts w:hint="eastAsia" w:hAnsi="宋体" w:cs="宋体"/>
          <w:sz w:val="24"/>
          <w:szCs w:val="24"/>
          <w:lang w:eastAsia="zh-CN"/>
        </w:rPr>
        <w:t>谈判</w:t>
      </w:r>
      <w:r>
        <w:rPr>
          <w:rFonts w:hint="eastAsia" w:hAnsi="宋体" w:cs="宋体"/>
          <w:sz w:val="24"/>
          <w:szCs w:val="24"/>
        </w:rPr>
        <w:t>响应文件将作为无效响应处理。必要时采购人可以要求供应商提供附有公证书的中文翻译文件或者与原版文件签章相一致的中文翻译文件。</w:t>
      </w:r>
    </w:p>
    <w:p w14:paraId="74B8E0E9">
      <w:pPr>
        <w:keepNext w:val="0"/>
        <w:keepLines w:val="0"/>
        <w:pageBreakBefore w:val="0"/>
        <w:tabs>
          <w:tab w:val="left" w:pos="720"/>
        </w:tabs>
        <w:kinsoku/>
        <w:wordWrap/>
        <w:overflowPunct/>
        <w:topLinePunct w:val="0"/>
        <w:bidi w:val="0"/>
        <w:snapToGrid w:val="0"/>
        <w:spacing w:line="440" w:lineRule="exact"/>
        <w:ind w:firstLine="489" w:firstLineChars="204"/>
        <w:rPr>
          <w:rFonts w:hAnsi="宋体" w:cs="宋体"/>
          <w:sz w:val="24"/>
        </w:rPr>
      </w:pPr>
      <w:r>
        <w:rPr>
          <w:rFonts w:hint="eastAsia" w:hAnsi="宋体" w:cs="宋体"/>
          <w:sz w:val="24"/>
        </w:rPr>
        <w:t>1.4计量单位</w:t>
      </w:r>
    </w:p>
    <w:p w14:paraId="167CDBD3">
      <w:pPr>
        <w:keepNext w:val="0"/>
        <w:keepLines w:val="0"/>
        <w:pageBreakBefore w:val="0"/>
        <w:tabs>
          <w:tab w:val="left" w:pos="720"/>
        </w:tabs>
        <w:kinsoku/>
        <w:wordWrap/>
        <w:overflowPunct/>
        <w:topLinePunct w:val="0"/>
        <w:bidi w:val="0"/>
        <w:snapToGrid w:val="0"/>
        <w:spacing w:line="440" w:lineRule="exact"/>
        <w:ind w:firstLine="489" w:firstLineChars="204"/>
        <w:rPr>
          <w:rFonts w:hAnsi="宋体" w:cs="宋体"/>
          <w:sz w:val="24"/>
        </w:rPr>
      </w:pPr>
      <w:r>
        <w:rPr>
          <w:rFonts w:hint="eastAsia" w:hAnsi="宋体" w:cs="宋体"/>
          <w:sz w:val="24"/>
          <w:lang w:eastAsia="zh-CN"/>
        </w:rPr>
        <w:t>谈判</w:t>
      </w:r>
      <w:r>
        <w:rPr>
          <w:rFonts w:hint="eastAsia" w:hAnsi="宋体" w:cs="宋体"/>
          <w:sz w:val="24"/>
        </w:rPr>
        <w:t>文件已有明确规定的，使用</w:t>
      </w:r>
      <w:r>
        <w:rPr>
          <w:rFonts w:hint="eastAsia" w:hAnsi="宋体" w:cs="宋体"/>
          <w:sz w:val="24"/>
          <w:lang w:eastAsia="zh-CN"/>
        </w:rPr>
        <w:t>谈判</w:t>
      </w:r>
      <w:r>
        <w:rPr>
          <w:rFonts w:hint="eastAsia" w:hAnsi="宋体" w:cs="宋体"/>
          <w:sz w:val="24"/>
        </w:rPr>
        <w:t>文件规定的计量单位；</w:t>
      </w:r>
      <w:r>
        <w:rPr>
          <w:rFonts w:hint="eastAsia" w:hAnsi="宋体" w:cs="宋体"/>
          <w:sz w:val="24"/>
          <w:lang w:eastAsia="zh-CN"/>
        </w:rPr>
        <w:t>谈判</w:t>
      </w:r>
      <w:r>
        <w:rPr>
          <w:rFonts w:hint="eastAsia" w:hAnsi="宋体" w:cs="宋体"/>
          <w:sz w:val="24"/>
        </w:rPr>
        <w:t>文件没有规定的，应采用中华人民共和国法定计量单位(国际单位制和国家选定的其他计量单位)。否则，视为对</w:t>
      </w:r>
      <w:r>
        <w:rPr>
          <w:rFonts w:hint="eastAsia" w:hAnsi="宋体" w:cs="宋体"/>
          <w:sz w:val="24"/>
          <w:lang w:eastAsia="zh-CN"/>
        </w:rPr>
        <w:t>谈判</w:t>
      </w:r>
      <w:r>
        <w:rPr>
          <w:rFonts w:hint="eastAsia" w:hAnsi="宋体" w:cs="宋体"/>
          <w:sz w:val="24"/>
        </w:rPr>
        <w:t>文件未作出实质性响应。</w:t>
      </w:r>
    </w:p>
    <w:p w14:paraId="10148389">
      <w:pPr>
        <w:keepNext w:val="0"/>
        <w:keepLines w:val="0"/>
        <w:pageBreakBefore w:val="0"/>
        <w:tabs>
          <w:tab w:val="left" w:pos="720"/>
        </w:tabs>
        <w:kinsoku/>
        <w:wordWrap/>
        <w:overflowPunct/>
        <w:topLinePunct w:val="0"/>
        <w:bidi w:val="0"/>
        <w:snapToGrid w:val="0"/>
        <w:spacing w:line="440" w:lineRule="exact"/>
        <w:ind w:firstLine="489" w:firstLineChars="204"/>
        <w:rPr>
          <w:rFonts w:hAnsi="宋体" w:cs="宋体"/>
          <w:sz w:val="24"/>
        </w:rPr>
      </w:pPr>
      <w:r>
        <w:rPr>
          <w:rFonts w:hint="eastAsia" w:hAnsi="宋体" w:cs="宋体"/>
          <w:sz w:val="24"/>
        </w:rPr>
        <w:t>1.5</w:t>
      </w:r>
      <w:r>
        <w:rPr>
          <w:rFonts w:hint="eastAsia" w:hAnsi="宋体" w:cs="宋体"/>
          <w:sz w:val="24"/>
          <w:lang w:eastAsia="zh-CN"/>
        </w:rPr>
        <w:t>谈判</w:t>
      </w:r>
      <w:r>
        <w:rPr>
          <w:rFonts w:hint="eastAsia" w:hAnsi="宋体" w:cs="宋体"/>
          <w:sz w:val="24"/>
        </w:rPr>
        <w:t>货币</w:t>
      </w:r>
    </w:p>
    <w:p w14:paraId="0EDA2658">
      <w:pPr>
        <w:keepNext w:val="0"/>
        <w:keepLines w:val="0"/>
        <w:pageBreakBefore w:val="0"/>
        <w:tabs>
          <w:tab w:val="left" w:pos="720"/>
        </w:tabs>
        <w:kinsoku/>
        <w:wordWrap/>
        <w:overflowPunct/>
        <w:topLinePunct w:val="0"/>
        <w:bidi w:val="0"/>
        <w:snapToGrid w:val="0"/>
        <w:spacing w:line="440" w:lineRule="exact"/>
        <w:ind w:firstLine="489" w:firstLineChars="204"/>
        <w:rPr>
          <w:rFonts w:hAnsi="宋体" w:cs="宋体"/>
          <w:sz w:val="24"/>
        </w:rPr>
      </w:pPr>
      <w:r>
        <w:rPr>
          <w:rFonts w:hint="eastAsia" w:hAnsi="宋体" w:cs="宋体"/>
          <w:sz w:val="24"/>
        </w:rPr>
        <w:t>本次采购项目的</w:t>
      </w:r>
      <w:r>
        <w:rPr>
          <w:rFonts w:hint="eastAsia" w:hAnsi="宋体" w:cs="宋体"/>
          <w:sz w:val="24"/>
          <w:lang w:eastAsia="zh-CN"/>
        </w:rPr>
        <w:t>谈判</w:t>
      </w:r>
      <w:r>
        <w:rPr>
          <w:rFonts w:hint="eastAsia" w:hAnsi="宋体" w:cs="宋体"/>
          <w:sz w:val="24"/>
        </w:rPr>
        <w:t>报价均以人民币报价。</w:t>
      </w:r>
    </w:p>
    <w:p w14:paraId="3BE290D6">
      <w:pPr>
        <w:pStyle w:val="20"/>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rPr>
      </w:pPr>
      <w:r>
        <w:rPr>
          <w:rFonts w:hint="eastAsia" w:hAnsi="宋体" w:cs="宋体"/>
          <w:sz w:val="24"/>
        </w:rPr>
        <w:t>1</w:t>
      </w:r>
      <w:r>
        <w:rPr>
          <w:rFonts w:hint="eastAsia" w:hAnsi="宋体" w:cs="宋体"/>
          <w:sz w:val="24"/>
          <w:lang w:val="en-US" w:eastAsia="zh-CN"/>
        </w:rPr>
        <w:t>.</w:t>
      </w:r>
      <w:r>
        <w:rPr>
          <w:rFonts w:hint="eastAsia" w:hAnsi="宋体" w:cs="宋体"/>
          <w:sz w:val="24"/>
        </w:rPr>
        <w:t>6</w:t>
      </w:r>
      <w:r>
        <w:rPr>
          <w:rFonts w:hint="eastAsia" w:hAnsi="宋体" w:cs="宋体"/>
          <w:sz w:val="24"/>
          <w:lang w:eastAsia="zh-CN"/>
        </w:rPr>
        <w:t>谈判</w:t>
      </w:r>
      <w:r>
        <w:rPr>
          <w:rFonts w:hint="eastAsia" w:hAnsi="宋体" w:cs="宋体"/>
          <w:sz w:val="24"/>
        </w:rPr>
        <w:t>响应文件</w:t>
      </w:r>
      <w:r>
        <w:rPr>
          <w:rFonts w:hint="eastAsia" w:hAnsi="宋体" w:cs="宋体"/>
          <w:sz w:val="24"/>
          <w:szCs w:val="24"/>
        </w:rPr>
        <w:t>形式</w:t>
      </w:r>
    </w:p>
    <w:p w14:paraId="002EF706">
      <w:pPr>
        <w:pStyle w:val="20"/>
        <w:keepNext w:val="0"/>
        <w:keepLines w:val="0"/>
        <w:pageBreakBefore w:val="0"/>
        <w:kinsoku/>
        <w:wordWrap/>
        <w:overflowPunct/>
        <w:topLinePunct w:val="0"/>
        <w:bidi w:val="0"/>
        <w:adjustRightInd w:val="0"/>
        <w:snapToGrid w:val="0"/>
        <w:spacing w:line="440" w:lineRule="exact"/>
        <w:ind w:firstLine="492" w:firstLineChars="204"/>
        <w:rPr>
          <w:rFonts w:hAnsi="宋体" w:cs="宋体"/>
          <w:sz w:val="24"/>
          <w:szCs w:val="24"/>
        </w:rPr>
      </w:pPr>
      <w:r>
        <w:rPr>
          <w:rFonts w:hint="eastAsia" w:hAnsi="宋体" w:cs="宋体"/>
          <w:b/>
          <w:bCs/>
          <w:sz w:val="24"/>
        </w:rPr>
        <w:t>本项目</w:t>
      </w:r>
      <w:r>
        <w:rPr>
          <w:rFonts w:hint="eastAsia" w:hAnsi="宋体" w:cs="宋体"/>
          <w:b/>
          <w:bCs/>
          <w:sz w:val="24"/>
          <w:lang w:eastAsia="zh-CN"/>
        </w:rPr>
        <w:t>谈判</w:t>
      </w:r>
      <w:r>
        <w:rPr>
          <w:rFonts w:hint="eastAsia" w:hAnsi="宋体" w:cs="宋体"/>
          <w:b/>
          <w:bCs/>
          <w:sz w:val="24"/>
        </w:rPr>
        <w:t>响应文件</w:t>
      </w:r>
      <w:r>
        <w:rPr>
          <w:rFonts w:hint="eastAsia" w:hAnsi="宋体" w:cs="宋体"/>
          <w:b/>
          <w:bCs/>
          <w:sz w:val="24"/>
          <w:szCs w:val="24"/>
        </w:rPr>
        <w:t>应采用电子版文件形式</w:t>
      </w:r>
      <w:r>
        <w:rPr>
          <w:rFonts w:hint="eastAsia" w:hAnsi="宋体" w:cs="宋体"/>
          <w:b/>
          <w:bCs/>
          <w:sz w:val="24"/>
          <w:szCs w:val="24"/>
          <w:lang w:eastAsia="zh-CN"/>
        </w:rPr>
        <w:t>；</w:t>
      </w:r>
      <w:r>
        <w:rPr>
          <w:rFonts w:hint="eastAsia" w:hAnsi="宋体" w:cs="宋体"/>
          <w:sz w:val="24"/>
          <w:szCs w:val="24"/>
        </w:rPr>
        <w:t>纸质、电报、传真、电子邮件形式的</w:t>
      </w:r>
      <w:r>
        <w:rPr>
          <w:rFonts w:hint="eastAsia" w:hAnsi="宋体" w:cs="宋体"/>
          <w:sz w:val="24"/>
          <w:szCs w:val="24"/>
          <w:lang w:eastAsia="zh-CN"/>
        </w:rPr>
        <w:t>谈判</w:t>
      </w:r>
      <w:r>
        <w:rPr>
          <w:rFonts w:hint="eastAsia" w:hAnsi="宋体" w:cs="宋体"/>
          <w:sz w:val="24"/>
          <w:szCs w:val="24"/>
        </w:rPr>
        <w:t>响应文件不予接受。</w:t>
      </w:r>
    </w:p>
    <w:p w14:paraId="3DFFFA25">
      <w:pPr>
        <w:keepNext w:val="0"/>
        <w:keepLines w:val="0"/>
        <w:pageBreakBefore w:val="0"/>
        <w:tabs>
          <w:tab w:val="left" w:pos="720"/>
        </w:tabs>
        <w:kinsoku/>
        <w:wordWrap/>
        <w:overflowPunct/>
        <w:topLinePunct w:val="0"/>
        <w:bidi w:val="0"/>
        <w:snapToGrid w:val="0"/>
        <w:spacing w:line="440" w:lineRule="exact"/>
        <w:ind w:firstLine="492" w:firstLineChars="204"/>
        <w:rPr>
          <w:rFonts w:hAnsi="宋体" w:cs="宋体"/>
          <w:b/>
          <w:bCs/>
          <w:sz w:val="24"/>
        </w:rPr>
      </w:pPr>
      <w:r>
        <w:rPr>
          <w:rFonts w:hint="eastAsia" w:hAnsi="宋体" w:cs="宋体"/>
          <w:b/>
          <w:bCs/>
          <w:sz w:val="24"/>
        </w:rPr>
        <w:t>1.7备选方案</w:t>
      </w:r>
    </w:p>
    <w:p w14:paraId="1E6AB3BF">
      <w:pPr>
        <w:keepNext w:val="0"/>
        <w:keepLines w:val="0"/>
        <w:pageBreakBefore w:val="0"/>
        <w:tabs>
          <w:tab w:val="left" w:pos="720"/>
        </w:tabs>
        <w:kinsoku/>
        <w:wordWrap/>
        <w:overflowPunct/>
        <w:topLinePunct w:val="0"/>
        <w:bidi w:val="0"/>
        <w:snapToGrid w:val="0"/>
        <w:spacing w:line="440" w:lineRule="exact"/>
        <w:ind w:firstLine="492" w:firstLineChars="204"/>
        <w:rPr>
          <w:rFonts w:hAnsi="宋体" w:cs="宋体"/>
          <w:b/>
          <w:bCs/>
          <w:sz w:val="24"/>
        </w:rPr>
      </w:pPr>
      <w:r>
        <w:rPr>
          <w:rFonts w:hint="eastAsia" w:hAnsi="宋体" w:cs="宋体"/>
          <w:b/>
          <w:bCs/>
          <w:sz w:val="24"/>
        </w:rPr>
        <w:t>本项目不接受备选</w:t>
      </w:r>
      <w:r>
        <w:rPr>
          <w:rFonts w:hint="eastAsia" w:hAnsi="宋体" w:cs="宋体"/>
          <w:b/>
          <w:bCs/>
          <w:sz w:val="24"/>
          <w:lang w:eastAsia="zh-CN"/>
        </w:rPr>
        <w:t>谈判</w:t>
      </w:r>
      <w:r>
        <w:rPr>
          <w:rFonts w:hint="eastAsia" w:hAnsi="宋体" w:cs="宋体"/>
          <w:b/>
          <w:bCs/>
          <w:sz w:val="24"/>
        </w:rPr>
        <w:t>方案，</w:t>
      </w:r>
      <w:r>
        <w:rPr>
          <w:rFonts w:hint="eastAsia" w:hAnsi="宋体" w:cs="宋体"/>
          <w:b/>
          <w:bCs/>
          <w:sz w:val="24"/>
          <w:lang w:eastAsia="zh-CN"/>
        </w:rPr>
        <w:t>谈判</w:t>
      </w:r>
      <w:r>
        <w:rPr>
          <w:rFonts w:hint="eastAsia" w:hAnsi="宋体" w:cs="宋体"/>
          <w:b/>
          <w:bCs/>
          <w:sz w:val="24"/>
        </w:rPr>
        <w:t>响应文件的报价只允许有一个报价，不接受有任何选择或具有附加条件的报价，否则，在评标时将其视为无效响应</w:t>
      </w:r>
      <w:r>
        <w:rPr>
          <w:rFonts w:hint="eastAsia" w:hAnsi="宋体" w:cs="宋体"/>
          <w:b/>
          <w:bCs/>
        </w:rPr>
        <w:t>。</w:t>
      </w:r>
    </w:p>
    <w:bookmarkEnd w:id="62"/>
    <w:bookmarkEnd w:id="63"/>
    <w:bookmarkEnd w:id="64"/>
    <w:p w14:paraId="2C85B9A1">
      <w:pPr>
        <w:pStyle w:val="7"/>
        <w:keepNext w:val="0"/>
        <w:keepLines w:val="0"/>
        <w:pageBreakBefore w:val="0"/>
        <w:numPr>
          <w:ilvl w:val="4"/>
          <w:numId w:val="0"/>
        </w:numPr>
        <w:kinsoku/>
        <w:wordWrap/>
        <w:overflowPunct/>
        <w:topLinePunct w:val="0"/>
        <w:bidi w:val="0"/>
        <w:spacing w:before="0" w:after="0" w:line="440" w:lineRule="exact"/>
        <w:ind w:firstLine="492" w:firstLineChars="204"/>
        <w:rPr>
          <w:rFonts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报价</w:t>
      </w:r>
    </w:p>
    <w:p w14:paraId="0353CA2D">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2</w:t>
      </w:r>
      <w:r>
        <w:rPr>
          <w:rFonts w:hint="eastAsia" w:hAnsi="宋体" w:cs="宋体"/>
          <w:sz w:val="24"/>
        </w:rPr>
        <w:t>.1</w:t>
      </w:r>
      <w:r>
        <w:rPr>
          <w:rFonts w:hint="eastAsia" w:hAnsi="宋体" w:cs="宋体"/>
          <w:bCs/>
          <w:sz w:val="24"/>
        </w:rPr>
        <w:t>供应商应</w:t>
      </w:r>
      <w:r>
        <w:rPr>
          <w:rFonts w:hint="eastAsia" w:hAnsi="宋体" w:cs="宋体"/>
          <w:sz w:val="24"/>
        </w:rPr>
        <w:t>按照</w:t>
      </w:r>
      <w:r>
        <w:rPr>
          <w:rFonts w:hint="eastAsia" w:hAnsi="宋体" w:cs="宋体"/>
          <w:sz w:val="24"/>
          <w:lang w:eastAsia="zh-CN"/>
        </w:rPr>
        <w:t>谈判</w:t>
      </w:r>
      <w:r>
        <w:rPr>
          <w:rFonts w:hint="eastAsia" w:hAnsi="宋体" w:cs="宋体"/>
          <w:sz w:val="24"/>
        </w:rPr>
        <w:t>文件要求填报</w:t>
      </w:r>
      <w:r>
        <w:rPr>
          <w:rFonts w:hint="eastAsia" w:hAnsi="宋体" w:cs="宋体"/>
          <w:sz w:val="24"/>
          <w:lang w:eastAsia="zh-CN"/>
        </w:rPr>
        <w:t>谈判</w:t>
      </w:r>
      <w:r>
        <w:rPr>
          <w:rFonts w:hint="eastAsia" w:hAnsi="宋体" w:cs="宋体"/>
          <w:sz w:val="24"/>
        </w:rPr>
        <w:t>报价，并充分了解该采购项目的总体情况以及影响</w:t>
      </w:r>
      <w:r>
        <w:rPr>
          <w:rFonts w:hint="eastAsia" w:hAnsi="宋体" w:cs="宋体"/>
          <w:sz w:val="24"/>
          <w:lang w:eastAsia="zh-CN"/>
        </w:rPr>
        <w:t>谈判</w:t>
      </w:r>
      <w:r>
        <w:rPr>
          <w:rFonts w:hint="eastAsia" w:hAnsi="宋体" w:cs="宋体"/>
          <w:sz w:val="24"/>
        </w:rPr>
        <w:t>报价的其他要素。</w:t>
      </w:r>
    </w:p>
    <w:p w14:paraId="3D72D05B">
      <w:pPr>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rPr>
      </w:pPr>
      <w:r>
        <w:rPr>
          <w:rFonts w:hint="eastAsia" w:hAnsi="宋体" w:cs="宋体"/>
          <w:sz w:val="24"/>
          <w:lang w:val="en-US" w:eastAsia="zh-CN"/>
        </w:rPr>
        <w:t>2</w:t>
      </w:r>
      <w:r>
        <w:rPr>
          <w:rFonts w:hint="eastAsia" w:hAnsi="宋体" w:cs="宋体"/>
          <w:sz w:val="24"/>
        </w:rPr>
        <w:t>.2本项目采购预算金额或最高限价见供应商须知前附表，供应商报价超出采购预算金额或最高限价，作为不实质性响应</w:t>
      </w:r>
      <w:r>
        <w:rPr>
          <w:rFonts w:hint="eastAsia" w:hAnsi="宋体" w:cs="宋体"/>
          <w:sz w:val="24"/>
          <w:lang w:eastAsia="zh-CN"/>
        </w:rPr>
        <w:t>谈判</w:t>
      </w:r>
      <w:r>
        <w:rPr>
          <w:rFonts w:hint="eastAsia" w:hAnsi="宋体" w:cs="宋体"/>
          <w:sz w:val="24"/>
        </w:rPr>
        <w:t>文件，按无效响应文件处理。</w:t>
      </w:r>
    </w:p>
    <w:p w14:paraId="6B05FB55">
      <w:pPr>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rPr>
      </w:pPr>
      <w:r>
        <w:rPr>
          <w:rFonts w:hint="eastAsia" w:hAnsi="宋体" w:cs="宋体"/>
          <w:sz w:val="24"/>
          <w:lang w:val="en-US" w:eastAsia="zh-CN"/>
        </w:rPr>
        <w:t>2</w:t>
      </w:r>
      <w:r>
        <w:rPr>
          <w:rFonts w:hint="eastAsia" w:hAnsi="宋体" w:cs="宋体"/>
          <w:sz w:val="24"/>
        </w:rPr>
        <w:t>.3供应商的报价是供应商响应</w:t>
      </w:r>
      <w:r>
        <w:rPr>
          <w:rFonts w:hint="eastAsia" w:hAnsi="宋体" w:cs="宋体"/>
          <w:sz w:val="24"/>
          <w:lang w:eastAsia="zh-CN"/>
        </w:rPr>
        <w:t>谈判</w:t>
      </w:r>
      <w:r>
        <w:rPr>
          <w:rFonts w:hint="eastAsia" w:hAnsi="宋体" w:cs="宋体"/>
          <w:sz w:val="24"/>
        </w:rPr>
        <w:t>项目要求的全部工作内容的价格体现，包括供应商完成本项目所需的一切费用。包括但不限于</w:t>
      </w:r>
      <w:r>
        <w:rPr>
          <w:rFonts w:hint="eastAsia" w:hAnsi="宋体" w:cs="宋体"/>
          <w:color w:val="000000"/>
          <w:sz w:val="24"/>
        </w:rPr>
        <w:t>项目所发生的的人工费、材料费、机械费、管理费、利润、项目措施费、规费、税金、配合费以及施工合同包含的所有风险、责任等各项应有费用。</w:t>
      </w:r>
      <w:r>
        <w:rPr>
          <w:rFonts w:hint="eastAsia" w:hAnsi="宋体" w:cs="宋体"/>
          <w:sz w:val="24"/>
        </w:rPr>
        <w:t>供应商所报的价格应考虑到可能发生的所有与完成本项目相关服务及履行合同义务有关的一切费用。</w:t>
      </w:r>
    </w:p>
    <w:p w14:paraId="2AC11E8A">
      <w:pPr>
        <w:keepNext w:val="0"/>
        <w:keepLines w:val="0"/>
        <w:pageBreakBefore w:val="0"/>
        <w:kinsoku/>
        <w:wordWrap/>
        <w:overflowPunct/>
        <w:topLinePunct w:val="0"/>
        <w:bidi w:val="0"/>
        <w:adjustRightInd w:val="0"/>
        <w:snapToGrid w:val="0"/>
        <w:spacing w:line="440" w:lineRule="exact"/>
        <w:ind w:firstLine="489" w:firstLineChars="204"/>
        <w:rPr>
          <w:rFonts w:hAnsi="宋体" w:cs="宋体"/>
          <w:sz w:val="24"/>
        </w:rPr>
      </w:pPr>
      <w:r>
        <w:rPr>
          <w:rFonts w:hint="eastAsia" w:hAnsi="宋体" w:cs="宋体"/>
          <w:sz w:val="24"/>
          <w:lang w:val="en-US" w:eastAsia="zh-CN"/>
        </w:rPr>
        <w:t>2</w:t>
      </w:r>
      <w:r>
        <w:rPr>
          <w:rFonts w:hint="eastAsia" w:hAnsi="宋体" w:cs="宋体"/>
          <w:sz w:val="24"/>
        </w:rPr>
        <w:t>.4供应商应按“第一次</w:t>
      </w:r>
      <w:r>
        <w:rPr>
          <w:rFonts w:hint="eastAsia" w:hAnsi="宋体" w:cs="宋体"/>
          <w:sz w:val="24"/>
          <w:lang w:eastAsia="zh-CN"/>
        </w:rPr>
        <w:t>谈判</w:t>
      </w:r>
      <w:r>
        <w:rPr>
          <w:rFonts w:hint="eastAsia" w:hAnsi="宋体" w:cs="宋体"/>
          <w:sz w:val="24"/>
        </w:rPr>
        <w:t>报价表”的内容和格式要求填写。</w:t>
      </w:r>
      <w:r>
        <w:rPr>
          <w:rFonts w:hint="eastAsia" w:hAnsi="宋体" w:cs="宋体"/>
          <w:sz w:val="24"/>
          <w:lang w:eastAsia="zh-CN"/>
        </w:rPr>
        <w:t>谈判</w:t>
      </w:r>
      <w:r>
        <w:rPr>
          <w:rFonts w:hint="eastAsia" w:hAnsi="宋体" w:cs="宋体"/>
          <w:sz w:val="24"/>
        </w:rPr>
        <w:t>总价中不得包含</w:t>
      </w:r>
      <w:r>
        <w:rPr>
          <w:rFonts w:hint="eastAsia" w:hAnsi="宋体" w:cs="宋体"/>
          <w:sz w:val="24"/>
          <w:lang w:eastAsia="zh-CN"/>
        </w:rPr>
        <w:t>谈判</w:t>
      </w:r>
      <w:r>
        <w:rPr>
          <w:rFonts w:hint="eastAsia" w:hAnsi="宋体" w:cs="宋体"/>
          <w:sz w:val="24"/>
        </w:rPr>
        <w:t>文件要求以外的内容，否则，在评审时不予核减。</w:t>
      </w:r>
    </w:p>
    <w:p w14:paraId="7A146B94">
      <w:pPr>
        <w:keepNext w:val="0"/>
        <w:keepLines w:val="0"/>
        <w:pageBreakBefore w:val="0"/>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2</w:t>
      </w:r>
      <w:r>
        <w:rPr>
          <w:rFonts w:hint="eastAsia" w:hAnsi="宋体" w:cs="宋体"/>
          <w:sz w:val="24"/>
        </w:rPr>
        <w:t>.5</w:t>
      </w:r>
      <w:r>
        <w:rPr>
          <w:rFonts w:hint="eastAsia" w:hAnsi="宋体" w:cs="宋体"/>
          <w:sz w:val="24"/>
          <w:lang w:eastAsia="zh-CN"/>
        </w:rPr>
        <w:t>谈判</w:t>
      </w:r>
      <w:r>
        <w:rPr>
          <w:rFonts w:hint="eastAsia" w:hAnsi="宋体" w:cs="宋体"/>
          <w:sz w:val="24"/>
        </w:rPr>
        <w:t>最后报价，在采购需求无实质性变更下，不得高于首次</w:t>
      </w:r>
      <w:r>
        <w:rPr>
          <w:rFonts w:hint="eastAsia" w:hAnsi="宋体" w:cs="宋体"/>
          <w:sz w:val="24"/>
          <w:lang w:eastAsia="zh-CN"/>
        </w:rPr>
        <w:t>谈判</w:t>
      </w:r>
      <w:r>
        <w:rPr>
          <w:rFonts w:hint="eastAsia" w:hAnsi="宋体" w:cs="宋体"/>
          <w:sz w:val="24"/>
        </w:rPr>
        <w:t>报价，各供应商分项报价中所有报价（与最终</w:t>
      </w:r>
      <w:r>
        <w:rPr>
          <w:rFonts w:hint="eastAsia" w:hAnsi="宋体" w:cs="宋体"/>
          <w:sz w:val="24"/>
          <w:lang w:eastAsia="zh-CN"/>
        </w:rPr>
        <w:t>谈判</w:t>
      </w:r>
      <w:r>
        <w:rPr>
          <w:rFonts w:hint="eastAsia" w:hAnsi="宋体" w:cs="宋体"/>
          <w:sz w:val="24"/>
        </w:rPr>
        <w:t>报价比例一致）同比例下浮。</w:t>
      </w:r>
    </w:p>
    <w:p w14:paraId="3BF4A671">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2</w:t>
      </w:r>
      <w:r>
        <w:rPr>
          <w:rFonts w:hint="eastAsia" w:hAnsi="宋体" w:cs="宋体"/>
          <w:sz w:val="24"/>
        </w:rPr>
        <w:t>.6当</w:t>
      </w:r>
      <w:r>
        <w:rPr>
          <w:rFonts w:hint="eastAsia" w:hAnsi="宋体" w:cs="宋体"/>
          <w:sz w:val="24"/>
          <w:lang w:eastAsia="zh-CN"/>
        </w:rPr>
        <w:t>谈判</w:t>
      </w:r>
      <w:r>
        <w:rPr>
          <w:rFonts w:hint="eastAsia" w:hAnsi="宋体" w:cs="宋体"/>
          <w:sz w:val="24"/>
        </w:rPr>
        <w:t>小组认为，某供应商的报价存在明显低于其他通过符合性审查供应商的报价，有可能影响服务质量和不能诚信履约的，应当要求其在评审现场规定时间内，提供必要的书面文件予以解释和说明，必要时提交相关证明材料；若供应商不能证明其报价合理性，</w:t>
      </w:r>
      <w:r>
        <w:rPr>
          <w:rFonts w:hint="eastAsia" w:hAnsi="宋体" w:cs="宋体"/>
          <w:sz w:val="24"/>
          <w:lang w:eastAsia="zh-CN"/>
        </w:rPr>
        <w:t>谈判</w:t>
      </w:r>
      <w:r>
        <w:rPr>
          <w:rFonts w:hint="eastAsia" w:hAnsi="宋体" w:cs="宋体"/>
          <w:sz w:val="24"/>
        </w:rPr>
        <w:t>小组将其作无效响应处理。</w:t>
      </w:r>
    </w:p>
    <w:p w14:paraId="012B9D6C">
      <w:pPr>
        <w:pStyle w:val="7"/>
        <w:keepNext w:val="0"/>
        <w:keepLines w:val="0"/>
        <w:pageBreakBefore w:val="0"/>
        <w:numPr>
          <w:ilvl w:val="4"/>
          <w:numId w:val="0"/>
        </w:numPr>
        <w:kinsoku/>
        <w:wordWrap/>
        <w:overflowPunct/>
        <w:topLinePunct w:val="0"/>
        <w:bidi w:val="0"/>
        <w:spacing w:before="0" w:after="0" w:line="440" w:lineRule="exact"/>
        <w:ind w:firstLine="492" w:firstLineChars="204"/>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.响应</w:t>
      </w:r>
      <w:r>
        <w:rPr>
          <w:rFonts w:hint="eastAsia" w:ascii="宋体" w:hAnsi="宋体" w:cs="宋体"/>
          <w:sz w:val="24"/>
          <w:lang w:val="en-US" w:eastAsia="zh-CN"/>
        </w:rPr>
        <w:t>要求</w:t>
      </w:r>
    </w:p>
    <w:p w14:paraId="514DD640">
      <w:pPr>
        <w:keepNext w:val="0"/>
        <w:keepLines w:val="0"/>
        <w:pageBreakBefore w:val="0"/>
        <w:kinsoku/>
        <w:wordWrap/>
        <w:overflowPunct/>
        <w:topLinePunct w:val="0"/>
        <w:bidi w:val="0"/>
        <w:spacing w:line="440" w:lineRule="exact"/>
        <w:ind w:firstLine="489" w:firstLineChars="204"/>
        <w:rPr>
          <w:rFonts w:hAnsi="宋体" w:cs="宋体"/>
          <w:sz w:val="24"/>
        </w:rPr>
      </w:pPr>
      <w:r>
        <w:rPr>
          <w:rFonts w:hint="eastAsia" w:hAnsi="宋体" w:cs="宋体"/>
          <w:bCs/>
          <w:sz w:val="24"/>
          <w:lang w:val="en-US" w:eastAsia="zh-CN"/>
        </w:rPr>
        <w:t>3.1</w:t>
      </w:r>
      <w:r>
        <w:rPr>
          <w:rFonts w:hint="eastAsia" w:hAnsi="宋体" w:cs="宋体"/>
          <w:bCs/>
          <w:sz w:val="24"/>
        </w:rPr>
        <w:t>供应商应</w:t>
      </w:r>
      <w:r>
        <w:rPr>
          <w:rFonts w:hint="eastAsia" w:hAnsi="宋体" w:cs="宋体"/>
          <w:sz w:val="24"/>
        </w:rPr>
        <w:t>按照</w:t>
      </w:r>
      <w:r>
        <w:rPr>
          <w:rFonts w:hint="eastAsia" w:hAnsi="宋体" w:cs="宋体"/>
          <w:sz w:val="24"/>
          <w:lang w:eastAsia="zh-CN"/>
        </w:rPr>
        <w:t>谈判</w:t>
      </w:r>
      <w:r>
        <w:rPr>
          <w:rFonts w:hint="eastAsia" w:hAnsi="宋体" w:cs="宋体"/>
          <w:sz w:val="24"/>
        </w:rPr>
        <w:t>文件商务要求做出完全响应。未作出商务响应的，作为不实质性响应</w:t>
      </w:r>
      <w:r>
        <w:rPr>
          <w:rFonts w:hint="eastAsia" w:hAnsi="宋体" w:cs="宋体"/>
          <w:sz w:val="24"/>
          <w:lang w:eastAsia="zh-CN"/>
        </w:rPr>
        <w:t>谈判</w:t>
      </w:r>
      <w:r>
        <w:rPr>
          <w:rFonts w:hint="eastAsia" w:hAnsi="宋体" w:cs="宋体"/>
          <w:sz w:val="24"/>
        </w:rPr>
        <w:t>文件，按无效响应处理。</w:t>
      </w:r>
    </w:p>
    <w:p w14:paraId="760E98FD">
      <w:pPr>
        <w:pStyle w:val="3"/>
        <w:keepNext w:val="0"/>
        <w:keepLines w:val="0"/>
        <w:pageBreakBefore w:val="0"/>
        <w:kinsoku/>
        <w:wordWrap/>
        <w:overflowPunct/>
        <w:topLinePunct w:val="0"/>
        <w:bidi w:val="0"/>
        <w:spacing w:line="440" w:lineRule="exact"/>
        <w:ind w:firstLine="489" w:firstLineChars="204"/>
        <w:rPr>
          <w:rFonts w:hAnsi="宋体" w:cs="宋体"/>
          <w:sz w:val="24"/>
          <w:szCs w:val="24"/>
        </w:rPr>
      </w:pPr>
      <w:r>
        <w:rPr>
          <w:rFonts w:hint="eastAsia" w:hAnsi="宋体" w:cs="宋体"/>
          <w:sz w:val="24"/>
          <w:szCs w:val="24"/>
          <w:lang w:val="en-US" w:eastAsia="zh-CN"/>
        </w:rPr>
        <w:t>3.</w:t>
      </w:r>
      <w:r>
        <w:rPr>
          <w:rFonts w:hint="eastAsia" w:hAnsi="宋体" w:cs="宋体"/>
          <w:sz w:val="24"/>
          <w:szCs w:val="24"/>
        </w:rPr>
        <w:t>2</w:t>
      </w:r>
      <w:r>
        <w:rPr>
          <w:rFonts w:hint="eastAsia" w:hAnsi="宋体" w:cs="宋体"/>
          <w:bCs/>
          <w:sz w:val="24"/>
          <w:szCs w:val="24"/>
        </w:rPr>
        <w:t>供应商</w:t>
      </w:r>
      <w:r>
        <w:rPr>
          <w:rFonts w:hint="eastAsia" w:hAnsi="宋体" w:cs="宋体"/>
          <w:sz w:val="24"/>
          <w:szCs w:val="24"/>
        </w:rPr>
        <w:t>按照</w:t>
      </w:r>
      <w:r>
        <w:rPr>
          <w:rFonts w:hint="eastAsia" w:hAnsi="宋体" w:cs="宋体"/>
          <w:sz w:val="24"/>
          <w:szCs w:val="24"/>
          <w:lang w:eastAsia="zh-CN"/>
        </w:rPr>
        <w:t>谈判</w:t>
      </w:r>
      <w:r>
        <w:rPr>
          <w:rFonts w:hint="eastAsia" w:hAnsi="宋体" w:cs="宋体"/>
          <w:sz w:val="24"/>
          <w:szCs w:val="24"/>
        </w:rPr>
        <w:t>文件要求做出的技术应答，主要是针对招标项目的</w:t>
      </w:r>
      <w:r>
        <w:rPr>
          <w:rFonts w:hint="eastAsia" w:hAnsi="宋体" w:cs="宋体"/>
          <w:sz w:val="24"/>
        </w:rPr>
        <w:t>采购需求</w:t>
      </w:r>
      <w:r>
        <w:rPr>
          <w:rFonts w:hint="eastAsia" w:hAnsi="宋体" w:cs="宋体"/>
          <w:sz w:val="24"/>
          <w:szCs w:val="24"/>
        </w:rPr>
        <w:t>做出的实质性响应和满足。</w:t>
      </w:r>
    </w:p>
    <w:p w14:paraId="63F40ACB">
      <w:pPr>
        <w:pStyle w:val="108"/>
        <w:keepNext w:val="0"/>
        <w:keepLines w:val="0"/>
        <w:pageBreakBefore w:val="0"/>
        <w:kinsoku/>
        <w:wordWrap/>
        <w:overflowPunct/>
        <w:topLinePunct w:val="0"/>
        <w:bidi w:val="0"/>
        <w:snapToGrid w:val="0"/>
        <w:spacing w:line="440" w:lineRule="exact"/>
        <w:ind w:firstLine="492" w:firstLineChars="204"/>
        <w:rPr>
          <w:rFonts w:hAnsi="宋体"/>
          <w:bCs/>
          <w:szCs w:val="20"/>
        </w:rPr>
      </w:pPr>
      <w:bookmarkStart w:id="67" w:name="_Toc217446050"/>
      <w:bookmarkStart w:id="68" w:name="_Toc183682360"/>
      <w:bookmarkStart w:id="69" w:name="_Toc183582223"/>
      <w:r>
        <w:rPr>
          <w:rFonts w:hint="eastAsia" w:hAnsi="宋体"/>
          <w:b/>
          <w:lang w:val="en-US" w:eastAsia="zh-CN"/>
        </w:rPr>
        <w:t>4</w:t>
      </w:r>
      <w:r>
        <w:rPr>
          <w:rFonts w:hint="eastAsia" w:hAnsi="宋体"/>
          <w:b/>
        </w:rPr>
        <w:t>.</w:t>
      </w:r>
      <w:r>
        <w:rPr>
          <w:rFonts w:hint="eastAsia" w:hAnsi="宋体"/>
          <w:b/>
          <w:lang w:eastAsia="zh-CN"/>
        </w:rPr>
        <w:t>谈判</w:t>
      </w:r>
      <w:r>
        <w:rPr>
          <w:rFonts w:hint="eastAsia" w:hAnsi="宋体"/>
          <w:b/>
        </w:rPr>
        <w:t>保证金</w:t>
      </w:r>
      <w:bookmarkEnd w:id="67"/>
      <w:bookmarkEnd w:id="68"/>
      <w:bookmarkEnd w:id="69"/>
      <w:r>
        <w:rPr>
          <w:rFonts w:hint="eastAsia" w:hAnsi="宋体"/>
          <w:b/>
          <w:sz w:val="28"/>
        </w:rPr>
        <w:t>：</w:t>
      </w:r>
      <w:bookmarkStart w:id="70" w:name="_Toc183582224"/>
      <w:bookmarkStart w:id="71" w:name="_Toc183682361"/>
      <w:bookmarkStart w:id="72" w:name="_Toc217446051"/>
      <w:r>
        <w:rPr>
          <w:rFonts w:hint="eastAsia" w:hAnsi="宋体"/>
          <w:b/>
        </w:rPr>
        <w:t>无</w:t>
      </w:r>
    </w:p>
    <w:p w14:paraId="5696EC02">
      <w:pPr>
        <w:pStyle w:val="7"/>
        <w:keepNext w:val="0"/>
        <w:keepLines w:val="0"/>
        <w:pageBreakBefore w:val="0"/>
        <w:numPr>
          <w:ilvl w:val="0"/>
          <w:numId w:val="0"/>
        </w:numPr>
        <w:kinsoku/>
        <w:wordWrap/>
        <w:overflowPunct/>
        <w:topLinePunct w:val="0"/>
        <w:bidi w:val="0"/>
        <w:spacing w:before="0" w:after="0" w:line="440" w:lineRule="exact"/>
        <w:ind w:firstLine="492" w:firstLineChars="204"/>
        <w:rPr>
          <w:rFonts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有效期</w:t>
      </w:r>
      <w:bookmarkEnd w:id="70"/>
      <w:bookmarkEnd w:id="71"/>
      <w:bookmarkEnd w:id="72"/>
    </w:p>
    <w:p w14:paraId="0766BC53">
      <w:pPr>
        <w:keepNext w:val="0"/>
        <w:keepLines w:val="0"/>
        <w:pageBreakBefore w:val="0"/>
        <w:tabs>
          <w:tab w:val="left" w:pos="7665"/>
        </w:tabs>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5</w:t>
      </w:r>
      <w:r>
        <w:rPr>
          <w:rFonts w:hint="eastAsia" w:hAnsi="宋体" w:cs="宋体"/>
          <w:sz w:val="24"/>
        </w:rPr>
        <w:t>.1从</w:t>
      </w:r>
      <w:r>
        <w:rPr>
          <w:rFonts w:hint="eastAsia" w:hAnsi="宋体" w:cs="宋体"/>
          <w:sz w:val="24"/>
          <w:lang w:eastAsia="zh-CN"/>
        </w:rPr>
        <w:t>谈判</w:t>
      </w:r>
      <w:r>
        <w:rPr>
          <w:rFonts w:hint="eastAsia" w:hAnsi="宋体" w:cs="宋体"/>
          <w:sz w:val="24"/>
        </w:rPr>
        <w:t>截止日起不少于90日历天。</w:t>
      </w:r>
      <w:r>
        <w:rPr>
          <w:rFonts w:hint="eastAsia" w:hAnsi="宋体" w:cs="宋体"/>
          <w:sz w:val="24"/>
          <w:lang w:eastAsia="zh-CN"/>
        </w:rPr>
        <w:t>谈判</w:t>
      </w:r>
      <w:r>
        <w:rPr>
          <w:rFonts w:hint="eastAsia" w:hAnsi="宋体" w:cs="宋体"/>
          <w:sz w:val="24"/>
        </w:rPr>
        <w:t>有效期短于此规定期限的</w:t>
      </w:r>
      <w:r>
        <w:rPr>
          <w:rFonts w:hint="eastAsia" w:hAnsi="宋体" w:cs="宋体"/>
          <w:sz w:val="24"/>
          <w:lang w:eastAsia="zh-CN"/>
        </w:rPr>
        <w:t>谈判</w:t>
      </w:r>
      <w:r>
        <w:rPr>
          <w:rFonts w:hint="eastAsia" w:hAnsi="宋体" w:cs="宋体"/>
          <w:sz w:val="24"/>
        </w:rPr>
        <w:t>，将按无效响应处理。</w:t>
      </w:r>
    </w:p>
    <w:p w14:paraId="10B0CE79">
      <w:pPr>
        <w:keepNext w:val="0"/>
        <w:keepLines w:val="0"/>
        <w:pageBreakBefore w:val="0"/>
        <w:tabs>
          <w:tab w:val="left" w:pos="7665"/>
        </w:tabs>
        <w:kinsoku/>
        <w:wordWrap/>
        <w:overflowPunct/>
        <w:topLinePunct w:val="0"/>
        <w:bidi w:val="0"/>
        <w:spacing w:line="440" w:lineRule="exact"/>
        <w:ind w:firstLine="489" w:firstLineChars="204"/>
        <w:rPr>
          <w:rFonts w:hAnsi="宋体" w:cs="宋体"/>
          <w:sz w:val="24"/>
        </w:rPr>
      </w:pPr>
      <w:bookmarkStart w:id="73" w:name="_Toc183582225"/>
      <w:bookmarkStart w:id="74" w:name="_Toc183682362"/>
      <w:bookmarkStart w:id="75" w:name="_Toc217446052"/>
      <w:r>
        <w:rPr>
          <w:rFonts w:hint="eastAsia" w:hAnsi="宋体" w:cs="宋体"/>
          <w:sz w:val="24"/>
          <w:lang w:val="en-US" w:eastAsia="zh-CN"/>
        </w:rPr>
        <w:t>5</w:t>
      </w:r>
      <w:r>
        <w:rPr>
          <w:rFonts w:hint="eastAsia" w:hAnsi="宋体" w:cs="宋体"/>
          <w:sz w:val="24"/>
        </w:rPr>
        <w:t>.2 出现特殊情况需要延长</w:t>
      </w:r>
      <w:r>
        <w:rPr>
          <w:rFonts w:hint="eastAsia" w:hAnsi="宋体" w:cs="宋体"/>
          <w:sz w:val="24"/>
          <w:lang w:eastAsia="zh-CN"/>
        </w:rPr>
        <w:t>谈判</w:t>
      </w:r>
      <w:r>
        <w:rPr>
          <w:rFonts w:hint="eastAsia" w:hAnsi="宋体" w:cs="宋体"/>
          <w:sz w:val="24"/>
        </w:rPr>
        <w:t>有效期的，采购代理机构或采购人可于</w:t>
      </w:r>
      <w:r>
        <w:rPr>
          <w:rFonts w:hint="eastAsia" w:hAnsi="宋体" w:cs="宋体"/>
          <w:sz w:val="24"/>
          <w:lang w:eastAsia="zh-CN"/>
        </w:rPr>
        <w:t>谈判</w:t>
      </w:r>
      <w:r>
        <w:rPr>
          <w:rFonts w:hint="eastAsia" w:hAnsi="宋体" w:cs="宋体"/>
          <w:sz w:val="24"/>
        </w:rPr>
        <w:t>有效期满之前要求供应商同意延长有效期，要求与答复均应为书面形式。供应商拒绝延长的，</w:t>
      </w:r>
      <w:r>
        <w:rPr>
          <w:rFonts w:hint="eastAsia" w:hAnsi="宋体" w:cs="宋体"/>
          <w:sz w:val="24"/>
          <w:lang w:eastAsia="zh-CN"/>
        </w:rPr>
        <w:t>谈判</w:t>
      </w:r>
      <w:r>
        <w:rPr>
          <w:rFonts w:hint="eastAsia" w:hAnsi="宋体" w:cs="宋体"/>
          <w:sz w:val="24"/>
        </w:rPr>
        <w:t>在原</w:t>
      </w:r>
      <w:r>
        <w:rPr>
          <w:rFonts w:hint="eastAsia" w:hAnsi="宋体" w:cs="宋体"/>
          <w:sz w:val="24"/>
          <w:lang w:eastAsia="zh-CN"/>
        </w:rPr>
        <w:t>谈判</w:t>
      </w:r>
      <w:r>
        <w:rPr>
          <w:rFonts w:hint="eastAsia" w:hAnsi="宋体" w:cs="宋体"/>
          <w:sz w:val="24"/>
        </w:rPr>
        <w:t>有效期届满后将不再有效；供应商同意延长的，但不能修改或撤回其</w:t>
      </w:r>
      <w:r>
        <w:rPr>
          <w:rFonts w:hint="eastAsia" w:hAnsi="宋体" w:cs="宋体"/>
          <w:sz w:val="24"/>
          <w:lang w:eastAsia="zh-CN"/>
        </w:rPr>
        <w:t>谈判</w:t>
      </w:r>
      <w:r>
        <w:rPr>
          <w:rFonts w:hint="eastAsia" w:hAnsi="宋体" w:cs="宋体"/>
          <w:sz w:val="24"/>
        </w:rPr>
        <w:t>响应文件。</w:t>
      </w:r>
    </w:p>
    <w:p w14:paraId="04AC7E48">
      <w:pPr>
        <w:keepNext w:val="0"/>
        <w:keepLines w:val="0"/>
        <w:pageBreakBefore w:val="0"/>
        <w:tabs>
          <w:tab w:val="left" w:pos="7665"/>
        </w:tabs>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5</w:t>
      </w:r>
      <w:r>
        <w:rPr>
          <w:rFonts w:hint="eastAsia" w:hAnsi="宋体" w:cs="宋体"/>
          <w:sz w:val="24"/>
        </w:rPr>
        <w:t>.3 在</w:t>
      </w:r>
      <w:r>
        <w:rPr>
          <w:rFonts w:hint="eastAsia" w:hAnsi="宋体" w:cs="宋体"/>
          <w:sz w:val="24"/>
          <w:lang w:eastAsia="zh-CN"/>
        </w:rPr>
        <w:t>谈判</w:t>
      </w:r>
      <w:r>
        <w:rPr>
          <w:rFonts w:hint="eastAsia" w:hAnsi="宋体" w:cs="宋体"/>
          <w:sz w:val="24"/>
        </w:rPr>
        <w:t>有效期内，供应商撤销</w:t>
      </w:r>
      <w:r>
        <w:rPr>
          <w:rFonts w:hint="eastAsia" w:hAnsi="宋体" w:cs="宋体"/>
          <w:sz w:val="24"/>
          <w:lang w:eastAsia="zh-CN"/>
        </w:rPr>
        <w:t>谈判</w:t>
      </w:r>
      <w:r>
        <w:rPr>
          <w:rFonts w:hint="eastAsia" w:hAnsi="宋体" w:cs="宋体"/>
          <w:sz w:val="24"/>
        </w:rPr>
        <w:t>响应文件的，应承担</w:t>
      </w:r>
      <w:r>
        <w:rPr>
          <w:rFonts w:hint="eastAsia" w:hAnsi="宋体" w:cs="宋体"/>
          <w:sz w:val="24"/>
          <w:lang w:eastAsia="zh-CN"/>
        </w:rPr>
        <w:t>谈判</w:t>
      </w:r>
      <w:r>
        <w:rPr>
          <w:rFonts w:hint="eastAsia" w:hAnsi="宋体" w:cs="宋体"/>
          <w:sz w:val="24"/>
        </w:rPr>
        <w:t>文件和法律规定的责任。</w:t>
      </w:r>
    </w:p>
    <w:p w14:paraId="468C6F0D">
      <w:pPr>
        <w:keepNext w:val="0"/>
        <w:keepLines w:val="0"/>
        <w:pageBreakBefore w:val="0"/>
        <w:tabs>
          <w:tab w:val="left" w:pos="7665"/>
        </w:tabs>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5</w:t>
      </w:r>
      <w:r>
        <w:rPr>
          <w:rFonts w:hint="eastAsia" w:hAnsi="宋体" w:cs="宋体"/>
          <w:sz w:val="24"/>
        </w:rPr>
        <w:t>.4成交供应商的</w:t>
      </w:r>
      <w:r>
        <w:rPr>
          <w:rFonts w:hint="eastAsia" w:hAnsi="宋体" w:cs="宋体"/>
          <w:sz w:val="24"/>
          <w:lang w:eastAsia="zh-CN"/>
        </w:rPr>
        <w:t>谈判</w:t>
      </w:r>
      <w:r>
        <w:rPr>
          <w:rFonts w:hint="eastAsia" w:hAnsi="宋体" w:cs="宋体"/>
          <w:sz w:val="24"/>
        </w:rPr>
        <w:t>有效期自动延长至合同终止为止</w:t>
      </w:r>
      <w:r>
        <w:rPr>
          <w:rFonts w:hint="eastAsia" w:hAnsi="宋体" w:cs="宋体"/>
          <w:szCs w:val="21"/>
        </w:rPr>
        <w:t>。</w:t>
      </w:r>
    </w:p>
    <w:p w14:paraId="1F38033F">
      <w:pPr>
        <w:pStyle w:val="7"/>
        <w:keepNext w:val="0"/>
        <w:keepLines w:val="0"/>
        <w:pageBreakBefore w:val="0"/>
        <w:numPr>
          <w:ilvl w:val="4"/>
          <w:numId w:val="0"/>
        </w:numPr>
        <w:kinsoku/>
        <w:wordWrap/>
        <w:overflowPunct/>
        <w:topLinePunct w:val="0"/>
        <w:bidi w:val="0"/>
        <w:spacing w:before="0" w:after="0" w:line="440" w:lineRule="exact"/>
        <w:ind w:firstLine="492" w:firstLineChars="204"/>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响应文件的制作和签署</w:t>
      </w:r>
      <w:bookmarkEnd w:id="73"/>
      <w:bookmarkEnd w:id="74"/>
      <w:bookmarkEnd w:id="75"/>
    </w:p>
    <w:p w14:paraId="534E23E7">
      <w:pPr>
        <w:keepNext w:val="0"/>
        <w:keepLines w:val="0"/>
        <w:pageBreakBefore w:val="0"/>
        <w:tabs>
          <w:tab w:val="left" w:pos="7665"/>
        </w:tabs>
        <w:kinsoku/>
        <w:wordWrap/>
        <w:overflowPunct/>
        <w:topLinePunct w:val="0"/>
        <w:bidi w:val="0"/>
        <w:spacing w:line="440" w:lineRule="exact"/>
        <w:ind w:firstLine="489" w:firstLineChars="204"/>
        <w:rPr>
          <w:rFonts w:hAnsi="宋体" w:cs="宋体"/>
          <w:b w:val="0"/>
          <w:bCs/>
          <w:sz w:val="24"/>
        </w:rPr>
      </w:pPr>
      <w:r>
        <w:rPr>
          <w:rFonts w:hint="eastAsia" w:hAnsi="宋体" w:cs="宋体"/>
          <w:b w:val="0"/>
          <w:bCs/>
          <w:sz w:val="24"/>
          <w:lang w:val="en-US" w:eastAsia="zh-CN"/>
        </w:rPr>
        <w:t>6</w:t>
      </w:r>
      <w:r>
        <w:rPr>
          <w:rFonts w:hint="eastAsia" w:hAnsi="宋体" w:cs="宋体"/>
          <w:b w:val="0"/>
          <w:bCs/>
          <w:sz w:val="24"/>
        </w:rPr>
        <w:t>.1</w:t>
      </w:r>
      <w:r>
        <w:rPr>
          <w:rFonts w:hint="eastAsia" w:hAnsi="宋体" w:cs="宋体"/>
          <w:b w:val="0"/>
          <w:bCs/>
          <w:sz w:val="24"/>
          <w:lang w:eastAsia="zh-CN"/>
        </w:rPr>
        <w:t>谈判</w:t>
      </w:r>
      <w:r>
        <w:rPr>
          <w:rFonts w:hint="eastAsia" w:hAnsi="宋体" w:cs="宋体"/>
          <w:b w:val="0"/>
          <w:bCs/>
          <w:sz w:val="24"/>
        </w:rPr>
        <w:t>响应文件应根据</w:t>
      </w:r>
      <w:r>
        <w:rPr>
          <w:rFonts w:hint="eastAsia" w:hAnsi="宋体" w:cs="宋体"/>
          <w:b w:val="0"/>
          <w:bCs/>
          <w:sz w:val="24"/>
          <w:lang w:eastAsia="zh-CN"/>
        </w:rPr>
        <w:t>谈判</w:t>
      </w:r>
      <w:r>
        <w:rPr>
          <w:rFonts w:hint="eastAsia" w:hAnsi="宋体" w:cs="宋体"/>
          <w:b w:val="0"/>
          <w:bCs/>
          <w:sz w:val="24"/>
        </w:rPr>
        <w:t>文件的要求制作。供应商应填写全称，同时加盖单位公章，签署、盖章和内容应完整。</w:t>
      </w:r>
    </w:p>
    <w:p w14:paraId="2D7A88CA">
      <w:pPr>
        <w:keepNext w:val="0"/>
        <w:keepLines w:val="0"/>
        <w:pageBreakBefore w:val="0"/>
        <w:tabs>
          <w:tab w:val="left" w:pos="7665"/>
        </w:tabs>
        <w:kinsoku/>
        <w:wordWrap/>
        <w:overflowPunct/>
        <w:topLinePunct w:val="0"/>
        <w:bidi w:val="0"/>
        <w:spacing w:line="440" w:lineRule="exact"/>
        <w:ind w:firstLine="489" w:firstLineChars="204"/>
        <w:rPr>
          <w:rFonts w:hAnsi="宋体" w:cs="宋体"/>
          <w:b w:val="0"/>
          <w:bCs/>
          <w:sz w:val="24"/>
        </w:rPr>
      </w:pPr>
      <w:r>
        <w:rPr>
          <w:rFonts w:hint="eastAsia" w:hAnsi="宋体" w:cs="宋体"/>
          <w:b w:val="0"/>
          <w:bCs/>
          <w:sz w:val="24"/>
          <w:lang w:val="en-US" w:eastAsia="zh-CN"/>
        </w:rPr>
        <w:t>7.</w:t>
      </w:r>
      <w:r>
        <w:rPr>
          <w:rFonts w:hint="eastAsia" w:hAnsi="宋体" w:cs="宋体"/>
          <w:b w:val="0"/>
          <w:bCs/>
          <w:sz w:val="24"/>
        </w:rPr>
        <w:t>供应商应严格按照</w:t>
      </w:r>
      <w:r>
        <w:rPr>
          <w:rFonts w:hint="eastAsia" w:hAnsi="宋体" w:cs="宋体"/>
          <w:b w:val="0"/>
          <w:bCs/>
          <w:sz w:val="24"/>
          <w:lang w:eastAsia="zh-CN"/>
        </w:rPr>
        <w:t>谈判</w:t>
      </w:r>
      <w:r>
        <w:rPr>
          <w:rFonts w:hint="eastAsia" w:hAnsi="宋体" w:cs="宋体"/>
          <w:b w:val="0"/>
          <w:bCs/>
          <w:sz w:val="24"/>
        </w:rPr>
        <w:t>文</w:t>
      </w:r>
      <w:r>
        <w:rPr>
          <w:rFonts w:hint="eastAsia" w:hAnsi="宋体" w:cs="宋体"/>
          <w:b w:val="0"/>
          <w:bCs/>
          <w:sz w:val="24"/>
          <w:highlight w:val="none"/>
        </w:rPr>
        <w:t>件第</w:t>
      </w:r>
      <w:r>
        <w:rPr>
          <w:rFonts w:hint="eastAsia" w:hAnsi="宋体" w:cs="宋体"/>
          <w:b w:val="0"/>
          <w:bCs/>
          <w:sz w:val="24"/>
          <w:highlight w:val="none"/>
          <w:lang w:eastAsia="zh-CN"/>
        </w:rPr>
        <w:t>六</w:t>
      </w:r>
      <w:r>
        <w:rPr>
          <w:rFonts w:hint="eastAsia" w:hAnsi="宋体" w:cs="宋体"/>
          <w:b w:val="0"/>
          <w:bCs/>
          <w:sz w:val="24"/>
          <w:highlight w:val="none"/>
        </w:rPr>
        <w:t>章</w:t>
      </w:r>
      <w:r>
        <w:rPr>
          <w:rFonts w:hint="eastAsia" w:hAnsi="宋体" w:cs="宋体"/>
          <w:b w:val="0"/>
          <w:bCs/>
          <w:sz w:val="24"/>
        </w:rPr>
        <w:t>提供的“竞争性</w:t>
      </w:r>
      <w:r>
        <w:rPr>
          <w:rFonts w:hint="eastAsia" w:hAnsi="宋体" w:cs="宋体"/>
          <w:b w:val="0"/>
          <w:bCs/>
          <w:sz w:val="24"/>
          <w:lang w:eastAsia="zh-CN"/>
        </w:rPr>
        <w:t>谈判</w:t>
      </w:r>
      <w:r>
        <w:rPr>
          <w:rFonts w:hint="eastAsia" w:hAnsi="宋体" w:cs="宋体"/>
          <w:b w:val="0"/>
          <w:bCs/>
          <w:sz w:val="24"/>
        </w:rPr>
        <w:t>响应文件格式”中各项要求编写相关内容。除明确允许供应商可以自行编写的外，供应商不得以“</w:t>
      </w:r>
      <w:r>
        <w:rPr>
          <w:rFonts w:hint="eastAsia" w:hAnsi="宋体" w:cs="宋体"/>
          <w:b w:val="0"/>
          <w:bCs/>
          <w:sz w:val="24"/>
          <w:lang w:eastAsia="zh-CN"/>
        </w:rPr>
        <w:t>谈判</w:t>
      </w:r>
      <w:r>
        <w:rPr>
          <w:rFonts w:hint="eastAsia" w:hAnsi="宋体" w:cs="宋体"/>
          <w:b w:val="0"/>
          <w:bCs/>
          <w:sz w:val="24"/>
        </w:rPr>
        <w:t>响应文件格式”规定之外的方式填写相关内容，各项内容不能存在缺漏项，否则，供应商提供的</w:t>
      </w:r>
      <w:r>
        <w:rPr>
          <w:rFonts w:hint="eastAsia" w:hAnsi="宋体" w:cs="宋体"/>
          <w:b w:val="0"/>
          <w:bCs/>
          <w:sz w:val="24"/>
          <w:lang w:eastAsia="zh-CN"/>
        </w:rPr>
        <w:t>谈判</w:t>
      </w:r>
      <w:r>
        <w:rPr>
          <w:rFonts w:hint="eastAsia" w:hAnsi="宋体" w:cs="宋体"/>
          <w:b w:val="0"/>
          <w:bCs/>
          <w:sz w:val="24"/>
        </w:rPr>
        <w:t>响应文件将作为无效响应文件处理。</w:t>
      </w:r>
    </w:p>
    <w:p w14:paraId="534CF144">
      <w:pPr>
        <w:keepNext w:val="0"/>
        <w:keepLines w:val="0"/>
        <w:pageBreakBefore w:val="0"/>
        <w:tabs>
          <w:tab w:val="left" w:pos="7665"/>
        </w:tabs>
        <w:kinsoku/>
        <w:wordWrap/>
        <w:overflowPunct/>
        <w:topLinePunct w:val="0"/>
        <w:bidi w:val="0"/>
        <w:spacing w:line="440" w:lineRule="exact"/>
        <w:ind w:firstLine="489" w:firstLineChars="204"/>
        <w:rPr>
          <w:rFonts w:hAnsi="宋体" w:cs="宋体"/>
          <w:sz w:val="24"/>
        </w:rPr>
      </w:pPr>
      <w:r>
        <w:rPr>
          <w:rFonts w:hint="eastAsia" w:hAnsi="宋体" w:cs="宋体"/>
          <w:sz w:val="24"/>
          <w:lang w:val="en-US" w:eastAsia="zh-CN"/>
        </w:rPr>
        <w:t>8.</w:t>
      </w:r>
      <w:r>
        <w:rPr>
          <w:rFonts w:hint="eastAsia" w:hAnsi="宋体" w:cs="宋体"/>
          <w:sz w:val="24"/>
        </w:rPr>
        <w:t>对于没有格式要求的</w:t>
      </w:r>
      <w:r>
        <w:rPr>
          <w:rFonts w:hint="eastAsia" w:hAnsi="宋体" w:cs="宋体"/>
          <w:sz w:val="24"/>
          <w:lang w:eastAsia="zh-CN"/>
        </w:rPr>
        <w:t>谈判</w:t>
      </w:r>
      <w:r>
        <w:rPr>
          <w:rFonts w:hint="eastAsia" w:hAnsi="宋体" w:cs="宋体"/>
          <w:sz w:val="24"/>
        </w:rPr>
        <w:t>响应文件由供应商自行编写。</w:t>
      </w:r>
    </w:p>
    <w:p w14:paraId="1A3CCA0A">
      <w:pPr>
        <w:keepNext w:val="0"/>
        <w:keepLines w:val="0"/>
        <w:pageBreakBefore w:val="0"/>
        <w:kinsoku/>
        <w:wordWrap/>
        <w:overflowPunct/>
        <w:topLinePunct w:val="0"/>
        <w:bidi w:val="0"/>
        <w:spacing w:line="440" w:lineRule="exact"/>
        <w:ind w:firstLine="573" w:firstLineChars="204"/>
        <w:jc w:val="center"/>
        <w:rPr>
          <w:rFonts w:hAnsi="宋体" w:cs="宋体"/>
          <w:b/>
          <w:bCs/>
          <w:sz w:val="28"/>
        </w:rPr>
      </w:pPr>
      <w:bookmarkStart w:id="76" w:name="_Toc11290"/>
      <w:bookmarkStart w:id="77" w:name="_Toc89075877"/>
      <w:bookmarkStart w:id="78" w:name="_Toc217446053"/>
      <w:bookmarkStart w:id="79" w:name="_Toc183682363"/>
      <w:bookmarkStart w:id="80" w:name="_Toc77400781"/>
      <w:bookmarkStart w:id="81" w:name="_Toc183582226"/>
      <w:r>
        <w:rPr>
          <w:rFonts w:hint="eastAsia" w:hAnsi="宋体" w:cs="宋体"/>
          <w:b/>
          <w:bCs/>
          <w:sz w:val="28"/>
        </w:rPr>
        <w:t>五、响应文件的递交</w:t>
      </w:r>
      <w:bookmarkEnd w:id="76"/>
    </w:p>
    <w:bookmarkEnd w:id="77"/>
    <w:bookmarkEnd w:id="78"/>
    <w:bookmarkEnd w:id="79"/>
    <w:bookmarkEnd w:id="80"/>
    <w:bookmarkEnd w:id="81"/>
    <w:p w14:paraId="703A2277">
      <w:pPr>
        <w:keepNext w:val="0"/>
        <w:keepLines w:val="0"/>
        <w:pageBreakBefore w:val="0"/>
        <w:kinsoku/>
        <w:wordWrap/>
        <w:overflowPunct/>
        <w:topLinePunct w:val="0"/>
        <w:bidi w:val="0"/>
        <w:spacing w:line="440" w:lineRule="exact"/>
        <w:ind w:firstLine="489" w:firstLineChars="204"/>
        <w:rPr>
          <w:rFonts w:hint="eastAsia" w:hAnsi="宋体" w:cs="宋体"/>
          <w:sz w:val="24"/>
        </w:rPr>
      </w:pPr>
      <w:bookmarkStart w:id="82" w:name="_Toc89075878"/>
      <w:bookmarkStart w:id="83" w:name="_Toc183582231"/>
      <w:bookmarkStart w:id="84" w:name="_Toc183682368"/>
      <w:bookmarkStart w:id="85" w:name="_Toc217446056"/>
      <w:bookmarkStart w:id="86" w:name="_Toc77400782"/>
      <w:r>
        <w:rPr>
          <w:rFonts w:hint="eastAsia" w:hAnsi="宋体" w:cs="宋体"/>
          <w:sz w:val="24"/>
          <w:lang w:val="en-US" w:eastAsia="zh-CN"/>
        </w:rPr>
        <w:t xml:space="preserve">1．供应商所上传的电子投标文件，应符合安康市公共资源交易平台要求的（*.SXSCF） 格式。 </w:t>
      </w:r>
    </w:p>
    <w:p w14:paraId="70D136E1">
      <w:pPr>
        <w:keepNext w:val="0"/>
        <w:keepLines w:val="0"/>
        <w:pageBreakBefore w:val="0"/>
        <w:kinsoku/>
        <w:wordWrap/>
        <w:overflowPunct/>
        <w:topLinePunct w:val="0"/>
        <w:bidi w:val="0"/>
        <w:spacing w:line="440" w:lineRule="exact"/>
        <w:ind w:firstLine="492" w:firstLineChars="204"/>
        <w:rPr>
          <w:rFonts w:hint="eastAsia" w:hAnsi="宋体" w:cs="宋体"/>
          <w:b/>
          <w:bCs/>
          <w:sz w:val="24"/>
        </w:rPr>
      </w:pPr>
      <w:r>
        <w:rPr>
          <w:rFonts w:hint="eastAsia" w:hAnsi="宋体" w:cs="宋体"/>
          <w:b/>
          <w:bCs/>
          <w:sz w:val="24"/>
          <w:lang w:val="en-US" w:eastAsia="zh-CN"/>
        </w:rPr>
        <w:t xml:space="preserve">2．谈判截止日期 </w:t>
      </w:r>
    </w:p>
    <w:p w14:paraId="15F4E046">
      <w:pPr>
        <w:keepNext w:val="0"/>
        <w:keepLines w:val="0"/>
        <w:pageBreakBefore w:val="0"/>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2.1 供应商应在不迟于谈判文件中规定的谈判截止时间将响应文件上传至安康市公共资源交易平台网站上。 </w:t>
      </w:r>
    </w:p>
    <w:p w14:paraId="60420537">
      <w:pPr>
        <w:keepNext w:val="0"/>
        <w:keepLines w:val="0"/>
        <w:pageBreakBefore w:val="0"/>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2.2 采购代理机构可以按本须知第四节5条规定，通知因修改谈判文件而适当延长谈判截止期。在此情况下，招标采购单位和供应商受谈判截止期制约的所有权利和义务均应延长至新的截止期。 </w:t>
      </w:r>
    </w:p>
    <w:p w14:paraId="227826CC">
      <w:pPr>
        <w:keepNext w:val="0"/>
        <w:keepLines w:val="0"/>
        <w:pageBreakBefore w:val="0"/>
        <w:kinsoku/>
        <w:wordWrap/>
        <w:overflowPunct/>
        <w:topLinePunct w:val="0"/>
        <w:bidi w:val="0"/>
        <w:spacing w:line="440" w:lineRule="exact"/>
        <w:ind w:firstLine="492" w:firstLineChars="204"/>
        <w:rPr>
          <w:rFonts w:hint="eastAsia" w:hAnsi="宋体" w:cs="宋体"/>
          <w:b/>
          <w:bCs/>
          <w:sz w:val="24"/>
        </w:rPr>
      </w:pPr>
      <w:r>
        <w:rPr>
          <w:rFonts w:hint="eastAsia" w:hAnsi="宋体" w:cs="宋体"/>
          <w:b/>
          <w:bCs/>
          <w:sz w:val="24"/>
          <w:lang w:val="en-US" w:eastAsia="zh-CN"/>
        </w:rPr>
        <w:t xml:space="preserve">3．谈判响应文件的上传 </w:t>
      </w:r>
    </w:p>
    <w:p w14:paraId="1C8332AF">
      <w:pPr>
        <w:keepNext w:val="0"/>
        <w:keepLines w:val="0"/>
        <w:pageBreakBefore w:val="0"/>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3.1 供应商应在谈判截止期前上传电子谈判响应文件，未在谈判截止期前上传导致无法解密电子谈判响应文件，由供应商自行承担责任。 </w:t>
      </w:r>
    </w:p>
    <w:p w14:paraId="69FB1875">
      <w:pPr>
        <w:keepNext w:val="0"/>
        <w:keepLines w:val="0"/>
        <w:pageBreakBefore w:val="0"/>
        <w:kinsoku/>
        <w:wordWrap/>
        <w:overflowPunct/>
        <w:topLinePunct w:val="0"/>
        <w:bidi w:val="0"/>
        <w:spacing w:line="440" w:lineRule="exact"/>
        <w:ind w:firstLine="492" w:firstLineChars="204"/>
        <w:rPr>
          <w:rFonts w:hint="eastAsia" w:hAnsi="宋体" w:cs="宋体"/>
          <w:b/>
          <w:bCs/>
          <w:sz w:val="24"/>
        </w:rPr>
      </w:pPr>
      <w:r>
        <w:rPr>
          <w:rFonts w:hint="eastAsia" w:hAnsi="宋体" w:cs="宋体"/>
          <w:b/>
          <w:bCs/>
          <w:sz w:val="24"/>
          <w:lang w:val="en-US" w:eastAsia="zh-CN"/>
        </w:rPr>
        <w:t xml:space="preserve">4．谈判响应文件的修改和撤回 </w:t>
      </w:r>
    </w:p>
    <w:p w14:paraId="04552368">
      <w:pPr>
        <w:keepNext w:val="0"/>
        <w:keepLines w:val="0"/>
        <w:pageBreakBefore w:val="0"/>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4.1 供应商在递交谈判响应文件后，谈判截止时间前，可以修改或撤回其谈判响应文 件。但供应商必须在规定的谈判截止期之前将修改或撤回的书面通知递交到采购代理机构。 </w:t>
      </w:r>
    </w:p>
    <w:p w14:paraId="3AB03427">
      <w:pPr>
        <w:keepNext w:val="0"/>
        <w:keepLines w:val="0"/>
        <w:pageBreakBefore w:val="0"/>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4.2 在谈判截止日期之后，供应商不得对其谈判响应文件做任何修改。 </w:t>
      </w:r>
    </w:p>
    <w:p w14:paraId="0D9D3C6B">
      <w:pPr>
        <w:keepNext w:val="0"/>
        <w:keepLines w:val="0"/>
        <w:pageBreakBefore w:val="0"/>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4.3 从谈判截止期始至谈判文件确定的谈判响应文件有效期期满这段时间内，供应商 不得撤回其谈判响应文件，否则其谈判保证金将不予退还。</w:t>
      </w:r>
    </w:p>
    <w:p w14:paraId="2554363E">
      <w:pPr>
        <w:keepNext w:val="0"/>
        <w:keepLines w:val="0"/>
        <w:pageBreakBefore w:val="0"/>
        <w:kinsoku/>
        <w:wordWrap/>
        <w:overflowPunct/>
        <w:topLinePunct w:val="0"/>
        <w:bidi w:val="0"/>
        <w:spacing w:before="100" w:beforeAutospacing="1" w:after="100" w:afterAutospacing="1" w:line="440" w:lineRule="exact"/>
        <w:ind w:firstLine="573" w:firstLineChars="204"/>
        <w:jc w:val="center"/>
        <w:rPr>
          <w:rFonts w:hint="default" w:hAnsi="宋体" w:eastAsia="宋体" w:cs="宋体"/>
          <w:b/>
          <w:bCs/>
          <w:sz w:val="28"/>
          <w:lang w:val="en-US" w:eastAsia="zh-CN"/>
        </w:rPr>
      </w:pPr>
      <w:bookmarkStart w:id="87" w:name="_Toc32013"/>
      <w:r>
        <w:rPr>
          <w:rFonts w:hint="eastAsia" w:hAnsi="宋体" w:cs="宋体"/>
          <w:b/>
          <w:bCs/>
          <w:sz w:val="28"/>
        </w:rPr>
        <w:t>六、</w:t>
      </w:r>
      <w:bookmarkEnd w:id="82"/>
      <w:bookmarkEnd w:id="83"/>
      <w:bookmarkEnd w:id="84"/>
      <w:bookmarkEnd w:id="85"/>
      <w:bookmarkEnd w:id="86"/>
      <w:bookmarkEnd w:id="87"/>
      <w:r>
        <w:rPr>
          <w:rFonts w:hint="eastAsia" w:hAnsi="宋体" w:cs="宋体"/>
          <w:b/>
          <w:bCs/>
          <w:sz w:val="28"/>
          <w:lang w:eastAsia="zh-CN"/>
        </w:rPr>
        <w:t>谈判</w:t>
      </w:r>
      <w:r>
        <w:rPr>
          <w:rFonts w:hint="eastAsia" w:hAnsi="宋体" w:cs="宋体"/>
          <w:b/>
          <w:bCs/>
          <w:sz w:val="28"/>
          <w:lang w:val="en-US" w:eastAsia="zh-CN"/>
        </w:rPr>
        <w:t>与评审</w:t>
      </w:r>
    </w:p>
    <w:p w14:paraId="3FCAD219">
      <w:pPr>
        <w:keepNext w:val="0"/>
        <w:keepLines w:val="0"/>
        <w:pageBreakBefore w:val="0"/>
        <w:tabs>
          <w:tab w:val="left" w:pos="7665"/>
        </w:tabs>
        <w:kinsoku/>
        <w:wordWrap/>
        <w:overflowPunct/>
        <w:topLinePunct w:val="0"/>
        <w:bidi w:val="0"/>
        <w:spacing w:line="440" w:lineRule="exact"/>
        <w:ind w:firstLine="492" w:firstLineChars="204"/>
        <w:rPr>
          <w:rFonts w:hint="eastAsia" w:hAnsi="宋体" w:cs="宋体"/>
          <w:sz w:val="24"/>
        </w:rPr>
      </w:pPr>
      <w:bookmarkStart w:id="88" w:name="_Toc28354"/>
      <w:bookmarkStart w:id="89" w:name="_Toc217446059"/>
      <w:r>
        <w:rPr>
          <w:rFonts w:hint="eastAsia" w:hAnsi="宋体" w:cs="宋体"/>
          <w:b/>
          <w:bCs/>
          <w:sz w:val="24"/>
          <w:lang w:val="en-US" w:eastAsia="zh-CN"/>
        </w:rPr>
        <w:t>1．谈判响应文件开启和评审</w:t>
      </w:r>
      <w:r>
        <w:rPr>
          <w:rFonts w:hint="eastAsia" w:hAnsi="宋体" w:cs="宋体"/>
          <w:sz w:val="24"/>
          <w:lang w:val="en-US" w:eastAsia="zh-CN"/>
        </w:rPr>
        <w:t xml:space="preserve"> </w:t>
      </w:r>
    </w:p>
    <w:p w14:paraId="2D104781">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1.1 开标 </w:t>
      </w:r>
    </w:p>
    <w:p w14:paraId="4F6306D9">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本项目采用电子化投标及远程不见面开标方式。供应商须使用数字认证证书对电子投标文件进行签章、加密、递交及开标时解密等相关招投标事宜。开标前，供应商需登录不见面开标大厅（网址： http://219.145.206.209/BidOpeningHall/bidopeninghallaction/hall/login）。开标时， 按照工作人员要求进行远程解密，如因供应商自身原因造成无法解密投标文件，按无效投标对待。 </w:t>
      </w:r>
    </w:p>
    <w:p w14:paraId="1414FF2A">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1.2 采购代理机构将在招标公告规定的时间和地点组织开标，开标会议邀请所有供应商派代表参加，供应商需提前半小时登录不见面开标大厅并签到出席。 </w:t>
      </w:r>
    </w:p>
    <w:p w14:paraId="07BC5A0A">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lang w:val="en-US" w:eastAsia="zh-CN"/>
        </w:rPr>
      </w:pPr>
      <w:r>
        <w:rPr>
          <w:rFonts w:hint="eastAsia" w:hAnsi="宋体" w:cs="宋体"/>
          <w:sz w:val="24"/>
          <w:lang w:val="en-US" w:eastAsia="zh-CN"/>
        </w:rPr>
        <w:t xml:space="preserve">1.3 采购代理机构将在谈判会议现场做谈判记录。 </w:t>
      </w:r>
    </w:p>
    <w:p w14:paraId="4CC4BD7C">
      <w:pPr>
        <w:keepNext w:val="0"/>
        <w:keepLines w:val="0"/>
        <w:pageBreakBefore w:val="0"/>
        <w:tabs>
          <w:tab w:val="left" w:pos="7665"/>
        </w:tabs>
        <w:kinsoku/>
        <w:wordWrap/>
        <w:overflowPunct/>
        <w:topLinePunct w:val="0"/>
        <w:bidi w:val="0"/>
        <w:spacing w:line="440" w:lineRule="exact"/>
        <w:ind w:firstLine="492" w:firstLineChars="204"/>
        <w:rPr>
          <w:rFonts w:hint="eastAsia" w:hAnsi="宋体" w:cs="宋体"/>
          <w:b/>
          <w:bCs/>
          <w:sz w:val="24"/>
        </w:rPr>
      </w:pPr>
      <w:r>
        <w:rPr>
          <w:rFonts w:hint="eastAsia" w:hAnsi="宋体" w:cs="宋体"/>
          <w:b/>
          <w:bCs/>
          <w:sz w:val="24"/>
          <w:lang w:val="en-US" w:eastAsia="zh-CN"/>
        </w:rPr>
        <w:t xml:space="preserve">2．谈判小组 </w:t>
      </w:r>
    </w:p>
    <w:p w14:paraId="6948AEBD">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2.1 招标采购单位将按照《中华人民共和国政府采购法》、《政府采购货物和服务招标投标管理办法》及《政府采购竞争性谈判采购方式管理暂行办法》等有关规定组建谈判小组。 </w:t>
      </w:r>
    </w:p>
    <w:p w14:paraId="66EC2636">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2.2 谈判小组由采购人代表及评审专家组成，评审专家从政府采购专家库中随机抽取产生。 </w:t>
      </w:r>
    </w:p>
    <w:p w14:paraId="2F4F23BE">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2.3 谈判小组负责谈判工作，对谈判响应文件进行审查和评估，并向招标采购单位提交书面评审报告，推荐成交候选人。 </w:t>
      </w:r>
    </w:p>
    <w:p w14:paraId="28FBC8DD">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2.4 文件开启后，直到向成交的供应商授予承包合同为止，凡与审查、澄清、评价和比较谈判的有关资料及授标意见等内容，谈判小组均不得向其他供应商及与谈判无关的其他人透露。 </w:t>
      </w:r>
    </w:p>
    <w:p w14:paraId="03FAC53C">
      <w:pPr>
        <w:keepNext w:val="0"/>
        <w:keepLines w:val="0"/>
        <w:pageBreakBefore w:val="0"/>
        <w:tabs>
          <w:tab w:val="left" w:pos="7665"/>
        </w:tabs>
        <w:kinsoku/>
        <w:wordWrap/>
        <w:overflowPunct/>
        <w:topLinePunct w:val="0"/>
        <w:bidi w:val="0"/>
        <w:spacing w:line="440" w:lineRule="exact"/>
        <w:ind w:firstLine="492" w:firstLineChars="204"/>
        <w:rPr>
          <w:rFonts w:hint="eastAsia" w:hAnsi="宋体" w:cs="宋体"/>
          <w:b/>
          <w:bCs/>
          <w:sz w:val="24"/>
        </w:rPr>
      </w:pPr>
      <w:r>
        <w:rPr>
          <w:rFonts w:hint="eastAsia" w:hAnsi="宋体" w:cs="宋体"/>
          <w:b/>
          <w:bCs/>
          <w:sz w:val="24"/>
          <w:lang w:val="en-US" w:eastAsia="zh-CN"/>
        </w:rPr>
        <w:t xml:space="preserve">3、谈判办法及内容 </w:t>
      </w:r>
    </w:p>
    <w:p w14:paraId="5E34D651">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3.1 谈判原则： </w:t>
      </w:r>
    </w:p>
    <w:p w14:paraId="371C28B5">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（1）坚持谈判机会均等，信息公开，公平竞争的原则； </w:t>
      </w:r>
    </w:p>
    <w:p w14:paraId="62D8E7A2">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（2）坚持竞争性、经济实效性和公平性原则； </w:t>
      </w:r>
    </w:p>
    <w:p w14:paraId="668B4056">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（3）综合评估，择优选择技术方案优、业绩好、服务有保证的成交单位。 </w:t>
      </w:r>
    </w:p>
    <w:p w14:paraId="19B1B406">
      <w:pPr>
        <w:keepNext w:val="0"/>
        <w:keepLines w:val="0"/>
        <w:pageBreakBefore w:val="0"/>
        <w:tabs>
          <w:tab w:val="left" w:pos="7665"/>
        </w:tabs>
        <w:kinsoku/>
        <w:wordWrap/>
        <w:overflowPunct/>
        <w:topLinePunct w:val="0"/>
        <w:bidi w:val="0"/>
        <w:spacing w:line="440" w:lineRule="exact"/>
        <w:ind w:firstLine="489" w:firstLineChars="204"/>
        <w:rPr>
          <w:rFonts w:hint="eastAsia" w:ascii="宋体" w:hAnsi="宋体" w:eastAsia="宋体" w:cs="宋体"/>
          <w:sz w:val="24"/>
          <w:lang w:val="en-US" w:eastAsia="zh-CN"/>
        </w:rPr>
      </w:pPr>
      <w:r>
        <w:rPr>
          <w:rFonts w:hint="eastAsia" w:ascii="宋体" w:hAnsi="宋体" w:eastAsia="宋体" w:cs="宋体"/>
          <w:sz w:val="24"/>
          <w:lang w:val="en-US" w:eastAsia="zh-CN"/>
        </w:rPr>
        <w:t xml:space="preserve">3.2 谈判程序： </w:t>
      </w:r>
    </w:p>
    <w:p w14:paraId="54EE65EB">
      <w:pPr>
        <w:keepNext w:val="0"/>
        <w:keepLines w:val="0"/>
        <w:pageBreakBefore w:val="0"/>
        <w:tabs>
          <w:tab w:val="left" w:pos="7665"/>
        </w:tabs>
        <w:kinsoku/>
        <w:wordWrap/>
        <w:overflowPunct/>
        <w:topLinePunct w:val="0"/>
        <w:bidi w:val="0"/>
        <w:spacing w:line="440" w:lineRule="exact"/>
        <w:ind w:firstLine="489" w:firstLineChars="204"/>
        <w:rPr>
          <w:rFonts w:hint="eastAsia" w:ascii="宋体" w:hAnsi="宋体" w:eastAsia="宋体" w:cs="宋体"/>
          <w:sz w:val="24"/>
          <w:lang w:val="en-US" w:eastAsia="zh-CN"/>
        </w:rPr>
      </w:pPr>
      <w:r>
        <w:rPr>
          <w:rFonts w:hint="eastAsia" w:ascii="宋体" w:hAnsi="宋体" w:eastAsia="宋体" w:cs="宋体"/>
          <w:sz w:val="24"/>
          <w:lang w:val="en-US" w:eastAsia="zh-CN"/>
        </w:rPr>
        <w:t>谈判的全过程分为资格审查、确认第一次谈判报价、谈判过程、多轮报价、最终评审五个阶段。第一次报价与第二次报价均采取集中报价形式。通过资质审查合格的各供应商，只有在谈判响应文件及谈判承诺符合谈判文件要求和满足技术、商务需要的才有第二次报价和评审的机会。谈判小组按其最终承诺和报价内容，推荐成交候选单位排序。</w:t>
      </w:r>
    </w:p>
    <w:p w14:paraId="047FF968">
      <w:pPr>
        <w:keepNext w:val="0"/>
        <w:keepLines w:val="0"/>
        <w:pageBreakBefore w:val="0"/>
        <w:tabs>
          <w:tab w:val="left" w:pos="7665"/>
        </w:tabs>
        <w:kinsoku/>
        <w:wordWrap/>
        <w:overflowPunct/>
        <w:topLinePunct w:val="0"/>
        <w:bidi w:val="0"/>
        <w:spacing w:line="440" w:lineRule="exact"/>
        <w:ind w:firstLine="489" w:firstLineChars="204"/>
        <w:rPr>
          <w:rFonts w:hint="eastAsia" w:ascii="宋体" w:hAnsi="宋体" w:eastAsia="宋体" w:cs="宋体"/>
          <w:sz w:val="24"/>
          <w:lang w:val="en-US" w:eastAsia="zh-CN"/>
        </w:rPr>
      </w:pPr>
      <w:r>
        <w:rPr>
          <w:rFonts w:hint="eastAsia" w:ascii="宋体" w:hAnsi="宋体" w:eastAsia="宋体" w:cs="宋体"/>
          <w:sz w:val="24"/>
          <w:lang w:val="en-US" w:eastAsia="zh-CN"/>
        </w:rPr>
        <w:t>3.2.1 依据程序，</w:t>
      </w:r>
      <w:r>
        <w:rPr>
          <w:rFonts w:hint="eastAsia" w:ascii="宋体" w:hAnsi="宋体" w:eastAsia="宋体" w:cs="宋体"/>
          <w:color w:val="auto"/>
          <w:sz w:val="24"/>
        </w:rPr>
        <w:t>第一次报价与第二次</w:t>
      </w:r>
      <w:r>
        <w:rPr>
          <w:rFonts w:hint="eastAsia" w:ascii="宋体" w:hAnsi="宋体" w:eastAsia="宋体" w:cs="宋体"/>
          <w:color w:val="auto"/>
          <w:sz w:val="24"/>
          <w:lang w:val="en-US" w:eastAsia="zh-CN"/>
        </w:rPr>
        <w:t>或多轮</w:t>
      </w:r>
      <w:r>
        <w:rPr>
          <w:rFonts w:hint="eastAsia" w:ascii="宋体" w:hAnsi="宋体" w:eastAsia="宋体" w:cs="宋体"/>
          <w:color w:val="auto"/>
          <w:sz w:val="24"/>
        </w:rPr>
        <w:t>报价按要求不予以公</w:t>
      </w:r>
      <w:r>
        <w:rPr>
          <w:rFonts w:hint="eastAsia" w:ascii="宋体" w:hAnsi="宋体" w:eastAsia="宋体" w:cs="宋体"/>
          <w:color w:val="auto"/>
          <w:sz w:val="24"/>
          <w:lang w:eastAsia="zh-CN"/>
        </w:rPr>
        <w:t>开</w:t>
      </w:r>
      <w:r>
        <w:rPr>
          <w:rFonts w:hint="eastAsia" w:ascii="宋体" w:hAnsi="宋体" w:eastAsia="宋体" w:cs="宋体"/>
          <w:sz w:val="24"/>
          <w:lang w:val="en-US" w:eastAsia="zh-CN"/>
        </w:rPr>
        <w:t xml:space="preserve">。 </w:t>
      </w:r>
    </w:p>
    <w:p w14:paraId="7633CEAD">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rPr>
      </w:pPr>
      <w:r>
        <w:rPr>
          <w:rFonts w:hint="eastAsia" w:hAnsi="宋体" w:cs="宋体"/>
          <w:sz w:val="24"/>
          <w:lang w:val="en-US" w:eastAsia="zh-CN"/>
        </w:rPr>
        <w:t xml:space="preserve">3.2.2 符合性评审：谈判小组对响应文件的有效性、完整性和响应程度进行审查，出现下列情况的按无效文件处理。 </w:t>
      </w:r>
    </w:p>
    <w:p w14:paraId="4E8823F6">
      <w:pPr>
        <w:keepNext w:val="0"/>
        <w:keepLines w:val="0"/>
        <w:pageBreakBefore w:val="0"/>
        <w:tabs>
          <w:tab w:val="left" w:pos="7665"/>
        </w:tabs>
        <w:kinsoku/>
        <w:wordWrap/>
        <w:overflowPunct/>
        <w:topLinePunct w:val="0"/>
        <w:bidi w:val="0"/>
        <w:spacing w:line="440" w:lineRule="exact"/>
        <w:ind w:firstLine="492" w:firstLineChars="204"/>
        <w:rPr>
          <w:rFonts w:hint="eastAsia" w:hAnsi="宋体" w:cs="宋体"/>
          <w:b/>
          <w:bCs/>
          <w:sz w:val="24"/>
          <w:lang w:val="en-US" w:eastAsia="zh-CN"/>
        </w:rPr>
      </w:pPr>
      <w:r>
        <w:rPr>
          <w:rFonts w:hint="eastAsia" w:hAnsi="宋体" w:cs="宋体"/>
          <w:b/>
          <w:bCs/>
          <w:sz w:val="24"/>
          <w:lang w:val="en-US" w:eastAsia="zh-CN"/>
        </w:rPr>
        <w:t xml:space="preserve">（1）资质有效性评审：本次谈判所要求的必备资质证明文件，缺其中一项或某项达不到谈判要求，均按无效文件处理； </w:t>
      </w:r>
    </w:p>
    <w:p w14:paraId="3E5D03D5">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lang w:val="en-US" w:eastAsia="zh-CN"/>
        </w:rPr>
      </w:pPr>
      <w:r>
        <w:rPr>
          <w:rFonts w:hint="eastAsia" w:hAnsi="宋体" w:cs="宋体"/>
          <w:sz w:val="24"/>
          <w:lang w:val="en-US" w:eastAsia="zh-CN"/>
        </w:rPr>
        <w:t>（1）供应商应具有独立承担民事责任的能力：提供营业执照、税务登记证、组织机构代码证或登载有统一社会信用代码的营业执照（或《事业单位法人证书》或其他合法组织登记证书、自然人只须提交身份证)；   </w:t>
      </w:r>
    </w:p>
    <w:p w14:paraId="2C2F5781">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lang w:val="en-US" w:eastAsia="zh-CN"/>
        </w:rPr>
      </w:pPr>
      <w:r>
        <w:rPr>
          <w:rFonts w:hint="eastAsia" w:hAnsi="宋体" w:cs="宋体"/>
          <w:sz w:val="24"/>
          <w:lang w:val="en-US" w:eastAsia="zh-CN"/>
        </w:rPr>
        <w:t>（2）供应商应授权合法的人员参加投标：其中法定代表人直接参加投标，须出具法人身份证复印件，并与营业执照上信息一致，法定代表人授权代表参加投标，须出具法定代表人授权书及授权代表身份证复印件；</w:t>
      </w:r>
    </w:p>
    <w:p w14:paraId="383CF29B">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lang w:val="en-US" w:eastAsia="zh-CN"/>
        </w:rPr>
      </w:pPr>
      <w:r>
        <w:rPr>
          <w:rFonts w:hint="eastAsia" w:hAnsi="宋体" w:cs="宋体"/>
          <w:sz w:val="24"/>
          <w:lang w:val="en-US" w:eastAsia="zh-CN"/>
        </w:rPr>
        <w:t>（3）供应商具有陕西省林业有害生物防治丙级及以上资质；</w:t>
      </w:r>
    </w:p>
    <w:p w14:paraId="5189D838">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lang w:val="en-US" w:eastAsia="zh-CN"/>
        </w:rPr>
      </w:pPr>
      <w:r>
        <w:rPr>
          <w:rFonts w:hint="eastAsia" w:hAnsi="宋体" w:cs="宋体"/>
          <w:sz w:val="24"/>
          <w:lang w:val="en-US" w:eastAsia="zh-CN"/>
        </w:rPr>
        <w:t>（4）投标供应商具有良好的商业信誉和健全的财务会计制度（提供或2024年财务审计报告或开户银行出具的近半年资信证明）；</w:t>
      </w:r>
    </w:p>
    <w:p w14:paraId="17EE430C">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lang w:val="en-US" w:eastAsia="zh-CN"/>
        </w:rPr>
      </w:pPr>
      <w:r>
        <w:rPr>
          <w:rFonts w:hint="eastAsia" w:hAnsi="宋体" w:cs="宋体"/>
          <w:sz w:val="24"/>
          <w:lang w:val="en-US" w:eastAsia="zh-CN"/>
        </w:rPr>
        <w:t>（5）依法缴纳税收和社会保障资金的良好记录【供应商提供开标截止时间前6个月内至少已缴存1个月的完税证明（依法免税的供应商应提供相关文件证明）和社保缴纳证明（专用收据或社会保险缴纳清单或参保缴费证明，依法不需要缴纳社会保障资金的供应商应提供相关文件证明）】；</w:t>
      </w:r>
      <w:r>
        <w:rPr>
          <w:rFonts w:hint="eastAsia" w:hAnsi="宋体" w:cs="宋体"/>
          <w:sz w:val="24"/>
          <w:lang w:val="en-US" w:eastAsia="zh-CN"/>
        </w:rPr>
        <w:br w:type="textWrapping"/>
      </w:r>
      <w:r>
        <w:rPr>
          <w:rFonts w:hint="eastAsia" w:hAnsi="宋体" w:cs="宋体"/>
          <w:sz w:val="24"/>
          <w:lang w:val="en-US" w:eastAsia="zh-CN"/>
        </w:rPr>
        <w:t>  （6）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p>
    <w:p w14:paraId="51ABAB2E">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lang w:val="en-US" w:eastAsia="zh-CN"/>
        </w:rPr>
      </w:pPr>
      <w:r>
        <w:rPr>
          <w:rFonts w:hint="eastAsia" w:hAnsi="宋体" w:cs="宋体"/>
          <w:sz w:val="24"/>
          <w:lang w:val="en-US" w:eastAsia="zh-CN"/>
        </w:rPr>
        <w:t>（7）参加政府采购活动近3年内在经营活动中没有重大违法记录的书面声明（供应商自行出具声明书并加盖公章）；</w:t>
      </w:r>
    </w:p>
    <w:p w14:paraId="7EEB6FB7">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lang w:val="en-US" w:eastAsia="zh-CN"/>
        </w:rPr>
      </w:pPr>
      <w:r>
        <w:rPr>
          <w:rFonts w:hint="eastAsia" w:hAnsi="宋体" w:cs="宋体"/>
          <w:sz w:val="24"/>
          <w:lang w:val="en-US" w:eastAsia="zh-CN"/>
        </w:rPr>
        <w:t>（8）本项目专门面向中小企业采购，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4E934625">
      <w:pPr>
        <w:keepNext w:val="0"/>
        <w:keepLines w:val="0"/>
        <w:pageBreakBefore w:val="0"/>
        <w:tabs>
          <w:tab w:val="left" w:pos="7665"/>
        </w:tabs>
        <w:kinsoku/>
        <w:wordWrap/>
        <w:overflowPunct/>
        <w:topLinePunct w:val="0"/>
        <w:bidi w:val="0"/>
        <w:spacing w:line="440" w:lineRule="exact"/>
        <w:ind w:firstLine="489" w:firstLineChars="204"/>
        <w:rPr>
          <w:rFonts w:hint="eastAsia" w:hAnsi="宋体" w:cs="宋体"/>
          <w:sz w:val="24"/>
          <w:lang w:val="en-US" w:eastAsia="zh-CN"/>
        </w:rPr>
      </w:pPr>
      <w:r>
        <w:rPr>
          <w:rFonts w:hint="eastAsia" w:hAnsi="宋体" w:cs="宋体"/>
          <w:sz w:val="24"/>
          <w:lang w:val="en-US" w:eastAsia="zh-CN"/>
        </w:rPr>
        <w:t>（9）具备履行合同所必须的设备和专业技术能力的书面声明。</w:t>
      </w:r>
      <w:r>
        <w:rPr>
          <w:rFonts w:hint="eastAsia" w:hAnsi="宋体" w:cs="宋体"/>
          <w:sz w:val="24"/>
          <w:lang w:val="en-US" w:eastAsia="zh-CN"/>
        </w:rPr>
        <w:br w:type="textWrapping"/>
      </w:r>
      <w:r>
        <w:rPr>
          <w:rFonts w:hint="eastAsia" w:hAnsi="宋体" w:cs="宋体"/>
          <w:sz w:val="24"/>
          <w:lang w:val="en-US" w:eastAsia="zh-CN"/>
        </w:rPr>
        <w:t>  （10）本项目不接受联合体投标（提供声明函）。</w:t>
      </w:r>
    </w:p>
    <w:p w14:paraId="4634F33D">
      <w:pPr>
        <w:numPr>
          <w:ilvl w:val="0"/>
          <w:numId w:val="0"/>
        </w:numPr>
        <w:spacing w:before="156" w:beforeLines="50" w:line="440" w:lineRule="exact"/>
        <w:rPr>
          <w:rFonts w:hint="eastAsia" w:ascii="宋体" w:hAnsi="宋体" w:eastAsia="宋体" w:cs="宋体"/>
          <w:b/>
          <w:bCs/>
          <w:color w:val="auto"/>
          <w:sz w:val="24"/>
          <w:lang w:val="en-US" w:eastAsia="zh-CN"/>
        </w:rPr>
      </w:pPr>
    </w:p>
    <w:p w14:paraId="0E0F1CF8">
      <w:pPr>
        <w:numPr>
          <w:ilvl w:val="0"/>
          <w:numId w:val="0"/>
        </w:numPr>
        <w:spacing w:before="156" w:beforeLines="50" w:line="440" w:lineRule="exact"/>
        <w:rPr>
          <w:rFonts w:hint="eastAsia" w:ascii="宋体" w:hAnsi="宋体" w:eastAsia="宋体" w:cs="宋体"/>
          <w:b/>
          <w:bCs/>
          <w:color w:val="auto"/>
          <w:sz w:val="24"/>
          <w:lang w:val="en-US" w:eastAsia="zh-CN"/>
        </w:rPr>
      </w:pPr>
    </w:p>
    <w:p w14:paraId="00B4020C">
      <w:pPr>
        <w:numPr>
          <w:ilvl w:val="0"/>
          <w:numId w:val="0"/>
        </w:numPr>
        <w:spacing w:before="156" w:beforeLines="50" w:line="440" w:lineRule="exac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（2）谈判响应文件符合性审查表</w:t>
      </w:r>
    </w:p>
    <w:tbl>
      <w:tblPr>
        <w:tblStyle w:val="3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5749"/>
        <w:gridCol w:w="2822"/>
      </w:tblGrid>
      <w:tr w14:paraId="6B52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top"/>
          </w:tcPr>
          <w:p w14:paraId="68F5D1BC">
            <w:pPr>
              <w:widowControl/>
              <w:adjustRightInd/>
              <w:snapToGrid w:val="0"/>
              <w:spacing w:line="400" w:lineRule="exact"/>
              <w:jc w:val="left"/>
              <w:textAlignment w:val="auto"/>
              <w:rPr>
                <w:rFonts w:hint="eastAsia" w:ascii="宋体" w:hAnsi="宋体" w:eastAsia="宋体" w:cs="宋体"/>
                <w:b/>
                <w:bCs/>
                <w:color w:val="auto"/>
                <w:spacing w:val="10"/>
                <w:sz w:val="21"/>
                <w:szCs w:val="21"/>
              </w:rPr>
            </w:pPr>
            <w:r>
              <w:rPr>
                <w:rFonts w:hint="eastAsia" w:ascii="宋体" w:hAnsi="宋体" w:eastAsia="宋体" w:cs="宋体"/>
                <w:b/>
                <w:bCs/>
                <w:color w:val="auto"/>
                <w:spacing w:val="10"/>
                <w:sz w:val="21"/>
                <w:szCs w:val="21"/>
              </w:rPr>
              <w:t>序号</w:t>
            </w:r>
          </w:p>
        </w:tc>
        <w:tc>
          <w:tcPr>
            <w:tcW w:w="3082" w:type="pct"/>
            <w:noWrap w:val="0"/>
            <w:vAlign w:val="center"/>
          </w:tcPr>
          <w:p w14:paraId="796DABAF">
            <w:pPr>
              <w:widowControl/>
              <w:adjustRightInd/>
              <w:snapToGrid w:val="0"/>
              <w:spacing w:line="400" w:lineRule="exact"/>
              <w:jc w:val="center"/>
              <w:textAlignment w:val="auto"/>
              <w:rPr>
                <w:rFonts w:hint="eastAsia" w:ascii="宋体" w:hAnsi="宋体" w:eastAsia="宋体" w:cs="宋体"/>
                <w:b/>
                <w:bCs/>
                <w:color w:val="auto"/>
                <w:spacing w:val="10"/>
                <w:sz w:val="21"/>
                <w:szCs w:val="21"/>
              </w:rPr>
            </w:pPr>
            <w:r>
              <w:rPr>
                <w:rFonts w:hint="eastAsia" w:ascii="宋体" w:hAnsi="宋体" w:eastAsia="宋体" w:cs="宋体"/>
                <w:b/>
                <w:bCs/>
                <w:color w:val="auto"/>
                <w:spacing w:val="10"/>
                <w:sz w:val="21"/>
                <w:szCs w:val="21"/>
              </w:rPr>
              <w:t>评审内容</w:t>
            </w:r>
          </w:p>
        </w:tc>
        <w:tc>
          <w:tcPr>
            <w:tcW w:w="1513" w:type="pct"/>
            <w:noWrap w:val="0"/>
            <w:vAlign w:val="center"/>
          </w:tcPr>
          <w:p w14:paraId="130EBF53">
            <w:pPr>
              <w:widowControl/>
              <w:adjustRightInd/>
              <w:snapToGrid w:val="0"/>
              <w:spacing w:line="400" w:lineRule="exact"/>
              <w:jc w:val="center"/>
              <w:textAlignment w:val="auto"/>
              <w:rPr>
                <w:rFonts w:hint="eastAsia" w:ascii="宋体" w:hAnsi="宋体" w:eastAsia="宋体" w:cs="宋体"/>
                <w:b/>
                <w:bCs/>
                <w:color w:val="auto"/>
                <w:spacing w:val="10"/>
                <w:sz w:val="21"/>
                <w:szCs w:val="21"/>
              </w:rPr>
            </w:pPr>
            <w:r>
              <w:rPr>
                <w:rFonts w:hint="eastAsia" w:ascii="宋体" w:hAnsi="宋体" w:eastAsia="宋体" w:cs="宋体"/>
                <w:b/>
                <w:bCs/>
                <w:color w:val="auto"/>
                <w:spacing w:val="10"/>
                <w:sz w:val="21"/>
                <w:szCs w:val="21"/>
              </w:rPr>
              <w:t>审核标准</w:t>
            </w:r>
          </w:p>
        </w:tc>
      </w:tr>
      <w:tr w14:paraId="6310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0D2DB838">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3082" w:type="pct"/>
            <w:noWrap w:val="0"/>
            <w:vAlign w:val="center"/>
          </w:tcPr>
          <w:p w14:paraId="46E622A6">
            <w:pPr>
              <w:keepNext w:val="0"/>
              <w:keepLines w:val="0"/>
              <w:pageBreakBefore w:val="0"/>
              <w:widowControl/>
              <w:kinsoku/>
              <w:wordWrap/>
              <w:overflowPunct/>
              <w:topLinePunct w:val="0"/>
              <w:autoSpaceDE/>
              <w:autoSpaceDN/>
              <w:bidi w:val="0"/>
              <w:adjustRightInd/>
              <w:snapToGrid w:val="0"/>
              <w:spacing w:line="360" w:lineRule="exact"/>
              <w:ind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响应文件项目名称、项目编号与谈判文件是否一致</w:t>
            </w:r>
            <w:r>
              <w:rPr>
                <w:rFonts w:hint="eastAsia" w:ascii="宋体" w:hAnsi="宋体" w:eastAsia="宋体" w:cs="宋体"/>
                <w:color w:val="auto"/>
                <w:sz w:val="21"/>
                <w:szCs w:val="21"/>
                <w:highlight w:val="none"/>
                <w:lang w:eastAsia="zh-CN"/>
              </w:rPr>
              <w:t>。</w:t>
            </w:r>
          </w:p>
        </w:tc>
        <w:tc>
          <w:tcPr>
            <w:tcW w:w="1513" w:type="pct"/>
            <w:noWrap w:val="0"/>
            <w:vAlign w:val="center"/>
          </w:tcPr>
          <w:p w14:paraId="4090AB27">
            <w:pPr>
              <w:keepNext w:val="0"/>
              <w:keepLines w:val="0"/>
              <w:pageBreakBefore w:val="0"/>
              <w:widowControl/>
              <w:kinsoku/>
              <w:wordWrap/>
              <w:overflowPunct/>
              <w:topLinePunct w:val="0"/>
              <w:autoSpaceDE/>
              <w:autoSpaceDN/>
              <w:bidi w:val="0"/>
              <w:adjustRightInd/>
              <w:snapToGrid w:val="0"/>
              <w:spacing w:line="400" w:lineRule="exact"/>
              <w:ind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是/否合格</w:t>
            </w:r>
          </w:p>
        </w:tc>
      </w:tr>
      <w:tr w14:paraId="0F57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04" w:type="pct"/>
            <w:noWrap w:val="0"/>
            <w:vAlign w:val="center"/>
          </w:tcPr>
          <w:p w14:paraId="2CCBA50A">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3082" w:type="pct"/>
            <w:noWrap w:val="0"/>
            <w:vAlign w:val="center"/>
          </w:tcPr>
          <w:p w14:paraId="1300418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谈判响应</w:t>
            </w:r>
            <w:r>
              <w:rPr>
                <w:rFonts w:hint="eastAsia" w:ascii="宋体" w:hAnsi="宋体" w:eastAsia="宋体" w:cs="宋体"/>
                <w:color w:val="auto"/>
                <w:sz w:val="21"/>
                <w:szCs w:val="21"/>
              </w:rPr>
              <w:t>文件要求加盖</w:t>
            </w:r>
            <w:r>
              <w:rPr>
                <w:rFonts w:hint="eastAsia" w:ascii="宋体" w:hAnsi="宋体" w:eastAsia="宋体" w:cs="宋体"/>
                <w:color w:val="auto"/>
                <w:sz w:val="21"/>
                <w:szCs w:val="21"/>
                <w:lang w:val="en-US" w:eastAsia="zh-CN"/>
              </w:rPr>
              <w:t>投标供应商</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法定代表人或被授权人</w:t>
            </w:r>
            <w:r>
              <w:rPr>
                <w:rFonts w:hint="eastAsia" w:ascii="宋体" w:hAnsi="宋体" w:eastAsia="宋体" w:cs="宋体"/>
                <w:color w:val="auto"/>
                <w:sz w:val="21"/>
                <w:szCs w:val="21"/>
              </w:rPr>
              <w:t>签字处</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rPr>
              <w:t>执行文件规定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是否齐全。</w:t>
            </w:r>
          </w:p>
        </w:tc>
        <w:tc>
          <w:tcPr>
            <w:tcW w:w="1513" w:type="pct"/>
            <w:noWrap w:val="0"/>
            <w:vAlign w:val="center"/>
          </w:tcPr>
          <w:p w14:paraId="39285F52">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6F8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4D1F9F20">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3082" w:type="pct"/>
            <w:noWrap w:val="0"/>
            <w:vAlign w:val="center"/>
          </w:tcPr>
          <w:p w14:paraId="197D4C9C">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供应商名称</w:t>
            </w:r>
            <w:r>
              <w:rPr>
                <w:rFonts w:hint="eastAsia" w:ascii="宋体" w:hAnsi="宋体" w:eastAsia="宋体" w:cs="宋体"/>
                <w:color w:val="auto"/>
                <w:sz w:val="21"/>
                <w:szCs w:val="21"/>
                <w:lang w:eastAsia="zh-CN"/>
              </w:rPr>
              <w:t>与营业执照</w:t>
            </w:r>
            <w:r>
              <w:rPr>
                <w:rFonts w:hint="eastAsia" w:ascii="宋体" w:hAnsi="宋体" w:cs="宋体"/>
                <w:color w:val="auto"/>
                <w:sz w:val="21"/>
                <w:szCs w:val="21"/>
                <w:lang w:val="en-US" w:eastAsia="zh-CN"/>
              </w:rPr>
              <w:t>、资质证书等相关证明材料</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lang w:eastAsia="zh-CN"/>
              </w:rPr>
              <w:t>一致。</w:t>
            </w:r>
          </w:p>
        </w:tc>
        <w:tc>
          <w:tcPr>
            <w:tcW w:w="1513" w:type="pct"/>
            <w:noWrap w:val="0"/>
            <w:vAlign w:val="center"/>
          </w:tcPr>
          <w:p w14:paraId="66135CAB">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2EB8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30E08BF1">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4</w:t>
            </w:r>
          </w:p>
        </w:tc>
        <w:tc>
          <w:tcPr>
            <w:tcW w:w="3082" w:type="pct"/>
            <w:noWrap w:val="0"/>
            <w:vAlign w:val="center"/>
          </w:tcPr>
          <w:p w14:paraId="5941176F">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的投标</w:t>
            </w:r>
            <w:r>
              <w:rPr>
                <w:rFonts w:hint="eastAsia" w:ascii="宋体" w:hAnsi="宋体" w:eastAsia="宋体" w:cs="宋体"/>
                <w:color w:val="auto"/>
                <w:sz w:val="21"/>
                <w:szCs w:val="21"/>
              </w:rPr>
              <w:t>有效期</w:t>
            </w:r>
            <w:r>
              <w:rPr>
                <w:rFonts w:hint="eastAsia" w:ascii="宋体" w:hAnsi="宋体" w:eastAsia="宋体" w:cs="宋体"/>
                <w:color w:val="auto"/>
                <w:sz w:val="21"/>
                <w:szCs w:val="21"/>
                <w:lang w:val="en-US" w:eastAsia="zh-CN"/>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的要求。</w:t>
            </w:r>
          </w:p>
        </w:tc>
        <w:tc>
          <w:tcPr>
            <w:tcW w:w="1513" w:type="pct"/>
            <w:noWrap w:val="0"/>
            <w:vAlign w:val="center"/>
          </w:tcPr>
          <w:p w14:paraId="6E6A7657">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7876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744E0C7D">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5</w:t>
            </w:r>
          </w:p>
        </w:tc>
        <w:tc>
          <w:tcPr>
            <w:tcW w:w="3082" w:type="pct"/>
            <w:noWrap w:val="0"/>
            <w:vAlign w:val="center"/>
          </w:tcPr>
          <w:p w14:paraId="64525DF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谈判响应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组成</w:t>
            </w:r>
            <w:r>
              <w:rPr>
                <w:rFonts w:hint="eastAsia" w:ascii="宋体" w:hAnsi="宋体" w:eastAsia="宋体" w:cs="宋体"/>
                <w:color w:val="auto"/>
                <w:sz w:val="21"/>
                <w:szCs w:val="21"/>
                <w:lang w:val="en-US" w:eastAsia="zh-CN"/>
              </w:rPr>
              <w:t>及有效性。</w:t>
            </w:r>
          </w:p>
        </w:tc>
        <w:tc>
          <w:tcPr>
            <w:tcW w:w="1513" w:type="pct"/>
            <w:noWrap w:val="0"/>
            <w:vAlign w:val="center"/>
          </w:tcPr>
          <w:p w14:paraId="4B6EC1AB">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209C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0D7467F5">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6</w:t>
            </w:r>
          </w:p>
        </w:tc>
        <w:tc>
          <w:tcPr>
            <w:tcW w:w="3082" w:type="pct"/>
            <w:noWrap w:val="0"/>
            <w:vAlign w:val="center"/>
          </w:tcPr>
          <w:p w14:paraId="717A3DF7">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服务期是否符合谈判文件要求。</w:t>
            </w:r>
          </w:p>
        </w:tc>
        <w:tc>
          <w:tcPr>
            <w:tcW w:w="1513" w:type="pct"/>
            <w:noWrap w:val="0"/>
            <w:vAlign w:val="center"/>
          </w:tcPr>
          <w:p w14:paraId="4A7113A0">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5D25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5F168FC3">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7</w:t>
            </w:r>
          </w:p>
        </w:tc>
        <w:tc>
          <w:tcPr>
            <w:tcW w:w="3082" w:type="pct"/>
            <w:noWrap w:val="0"/>
            <w:vAlign w:val="center"/>
          </w:tcPr>
          <w:p w14:paraId="7B9F6D7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报价未超出</w:t>
            </w:r>
            <w:r>
              <w:rPr>
                <w:rFonts w:hint="eastAsia" w:ascii="宋体" w:hAnsi="宋体" w:eastAsia="宋体" w:cs="宋体"/>
                <w:color w:val="auto"/>
                <w:sz w:val="21"/>
                <w:szCs w:val="21"/>
                <w:lang w:val="en-US" w:eastAsia="zh-CN"/>
              </w:rPr>
              <w:t>采购预算</w:t>
            </w:r>
            <w:r>
              <w:rPr>
                <w:rFonts w:hint="eastAsia" w:ascii="宋体" w:hAnsi="宋体" w:eastAsia="宋体" w:cs="宋体"/>
                <w:color w:val="auto"/>
                <w:sz w:val="21"/>
                <w:szCs w:val="21"/>
                <w:lang w:eastAsia="zh-CN"/>
              </w:rPr>
              <w:t>。</w:t>
            </w:r>
          </w:p>
        </w:tc>
        <w:tc>
          <w:tcPr>
            <w:tcW w:w="1513" w:type="pct"/>
            <w:noWrap w:val="0"/>
            <w:vAlign w:val="center"/>
          </w:tcPr>
          <w:p w14:paraId="3239E0F3">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5D5E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4" w:type="pct"/>
            <w:noWrap w:val="0"/>
            <w:vAlign w:val="center"/>
          </w:tcPr>
          <w:p w14:paraId="35E78FA7">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8</w:t>
            </w:r>
          </w:p>
        </w:tc>
        <w:tc>
          <w:tcPr>
            <w:tcW w:w="3082" w:type="pct"/>
            <w:noWrap w:val="0"/>
            <w:vAlign w:val="center"/>
          </w:tcPr>
          <w:p w14:paraId="07D2686E">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rPr>
              <w:t>方案</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rPr>
              <w:t>出现严重漏项，造成系统缺陷，是否影响到该项目的实施</w:t>
            </w:r>
            <w:r>
              <w:rPr>
                <w:rFonts w:hint="eastAsia" w:ascii="宋体" w:hAnsi="宋体" w:eastAsia="宋体" w:cs="宋体"/>
                <w:color w:val="auto"/>
                <w:sz w:val="21"/>
                <w:szCs w:val="21"/>
                <w:lang w:eastAsia="zh-CN"/>
              </w:rPr>
              <w:t>。</w:t>
            </w:r>
          </w:p>
        </w:tc>
        <w:tc>
          <w:tcPr>
            <w:tcW w:w="1513" w:type="pct"/>
            <w:noWrap w:val="0"/>
            <w:vAlign w:val="center"/>
          </w:tcPr>
          <w:p w14:paraId="15C67789">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CB2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1EB96DF3">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9</w:t>
            </w:r>
          </w:p>
        </w:tc>
        <w:tc>
          <w:tcPr>
            <w:tcW w:w="3082" w:type="pct"/>
            <w:noWrap w:val="0"/>
            <w:vAlign w:val="center"/>
          </w:tcPr>
          <w:p w14:paraId="43D854BE">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谈判文件或法律法规有关废标或否决投标规定的其他情形。</w:t>
            </w:r>
          </w:p>
        </w:tc>
        <w:tc>
          <w:tcPr>
            <w:tcW w:w="1513" w:type="pct"/>
            <w:noWrap w:val="0"/>
            <w:vAlign w:val="center"/>
          </w:tcPr>
          <w:p w14:paraId="19EB6DE3">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bl>
    <w:p w14:paraId="2CB8CDC4">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（3）各供应商未经过正常渠道获取竞争性谈判文件，或参加谈判的各供应商名称与购买谈判文件时登记的单位名称不符； </w:t>
      </w:r>
    </w:p>
    <w:p w14:paraId="697A8398">
      <w:pPr>
        <w:tabs>
          <w:tab w:val="left" w:pos="7665"/>
        </w:tabs>
        <w:spacing w:line="360" w:lineRule="auto"/>
        <w:ind w:firstLine="489" w:firstLineChars="204"/>
        <w:rPr>
          <w:rFonts w:hint="eastAsia" w:hAnsi="宋体" w:cs="宋体"/>
          <w:sz w:val="24"/>
          <w:lang w:val="en-US" w:eastAsia="zh-CN"/>
        </w:rPr>
      </w:pPr>
      <w:r>
        <w:rPr>
          <w:rFonts w:hint="eastAsia" w:hAnsi="宋体" w:cs="宋体"/>
          <w:sz w:val="24"/>
          <w:lang w:val="en-US" w:eastAsia="zh-CN"/>
        </w:rPr>
        <w:t>（4）供应商未提供法定代表人授权书（法定代表人直接参加谈判的除外）或授权书不符合竞争性谈判文件要求的；</w:t>
      </w:r>
    </w:p>
    <w:p w14:paraId="39DEFB99">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（5）谈判响应文件要求加盖供应商公章或签字处未执行文件规定、响应文件有效期或有效期未能达到竞争性谈判文件的要求的； </w:t>
      </w:r>
    </w:p>
    <w:p w14:paraId="1A0E5A23">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（6）未按要求提交谈判保证金的； </w:t>
      </w:r>
    </w:p>
    <w:p w14:paraId="3E864AB2">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（7）提供虚假证明（包括第三方提供的虚假证明、证件），开具虚假业绩，除按无效文件处理外，按有关规定进行相应的处罚； </w:t>
      </w:r>
    </w:p>
    <w:p w14:paraId="75832521">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（8）谈判方案出现严重漏项，造成系统缺陷，已影响到该项目的实施； </w:t>
      </w:r>
    </w:p>
    <w:p w14:paraId="0CA22A44">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（9 ）在重大项目履约过程中有不良记录，不能按期履约的。 </w:t>
      </w:r>
    </w:p>
    <w:p w14:paraId="23973136">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4922CF9E">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 </w:t>
      </w:r>
    </w:p>
    <w:p w14:paraId="33C5ACB6">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3.2.3谈判过程中提交响应文件或者经评审实质性响应竞争性谈判文件要求的供应商只有两家时，采购人、采购代理机构依据《财政部关于印发&lt;政府采购竞争性谈判采购方式管理暂行办法&gt;的通知》（财库〔2014〕214号）》、《财库〔2015〕124号 》规定并经财政部门批准后可以与该两家供应商进行竞争性谈判采购。 </w:t>
      </w:r>
    </w:p>
    <w:p w14:paraId="7C1F6580">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3.3 谈判过程 </w:t>
      </w:r>
    </w:p>
    <w:p w14:paraId="4994BE23">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（1）谈判小组所有成员应当集中与单一供应商分别进行谈判，并给予所有参加谈判的供应商平等的谈判机会。 </w:t>
      </w:r>
    </w:p>
    <w:p w14:paraId="0CCE0C68">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（2）在谈判过程中，谈判小组可以根据谈判文件和谈判情况实质性变动采购需求中的技术、服务要求以及合同草案条款，但不得变动谈判文件中的其他内容。实质性变动的内容，须经采购人代表确认。 </w:t>
      </w:r>
    </w:p>
    <w:p w14:paraId="22370E73">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（3）对谈判文件作出的实质性变动是谈判文件的有效组成部分，谈判小组应当及时以书面形式同时通知所有参加谈判的供应商。 </w:t>
      </w:r>
    </w:p>
    <w:p w14:paraId="2E99F8B1">
      <w:pPr>
        <w:tabs>
          <w:tab w:val="left" w:pos="7665"/>
        </w:tabs>
        <w:spacing w:line="360" w:lineRule="auto"/>
        <w:ind w:firstLine="489" w:firstLineChars="204"/>
        <w:rPr>
          <w:rFonts w:hint="eastAsia" w:ascii="宋体" w:hAnsi="宋体" w:eastAsia="宋体" w:cs="宋体"/>
          <w:sz w:val="24"/>
          <w:lang w:val="en-US" w:eastAsia="zh-CN"/>
        </w:rPr>
      </w:pPr>
      <w:r>
        <w:rPr>
          <w:rFonts w:hint="eastAsia" w:hAnsi="宋体" w:cs="宋体"/>
          <w:sz w:val="24"/>
          <w:lang w:val="en-US" w:eastAsia="zh-CN"/>
        </w:rPr>
        <w:t>（4）供应商应当按照谈判文件的变动情况和谈判小组的要求重新提交响应文件，并由</w:t>
      </w:r>
      <w:r>
        <w:rPr>
          <w:rFonts w:hint="eastAsia" w:ascii="宋体" w:hAnsi="宋体" w:eastAsia="宋体" w:cs="宋体"/>
          <w:sz w:val="24"/>
          <w:lang w:val="en-US" w:eastAsia="zh-CN"/>
        </w:rPr>
        <w:t xml:space="preserve">其法定代表人或授权代表签字或者加盖公章。由授权代表签字的，应当附法定代表人授权书。 供应商为自然人的，应当由本人签字并附身份证明。 </w:t>
      </w:r>
    </w:p>
    <w:p w14:paraId="328281B3">
      <w:pPr>
        <w:tabs>
          <w:tab w:val="left" w:pos="7665"/>
        </w:tabs>
        <w:spacing w:line="360" w:lineRule="auto"/>
        <w:ind w:firstLine="489" w:firstLineChars="204"/>
        <w:rPr>
          <w:rFonts w:hint="eastAsia" w:ascii="宋体" w:hAnsi="宋体" w:eastAsia="宋体" w:cs="宋体"/>
          <w:sz w:val="24"/>
          <w:lang w:val="en-US" w:eastAsia="zh-CN"/>
        </w:rPr>
      </w:pPr>
      <w:r>
        <w:rPr>
          <w:rFonts w:hint="eastAsia" w:ascii="宋体" w:hAnsi="宋体" w:eastAsia="宋体" w:cs="宋体"/>
          <w:sz w:val="24"/>
          <w:lang w:val="en-US" w:eastAsia="zh-CN"/>
        </w:rPr>
        <w:t>（5）谈判响应文件应按给定的格式如实填写，充分反映谈判文件的要求，出现下列情况，统一规定为：</w:t>
      </w:r>
    </w:p>
    <w:p w14:paraId="359EB0EB">
      <w:pPr>
        <w:tabs>
          <w:tab w:val="left" w:pos="7665"/>
        </w:tabs>
        <w:spacing w:line="360" w:lineRule="auto"/>
        <w:ind w:firstLine="489" w:firstLineChars="204"/>
        <w:rPr>
          <w:rFonts w:hint="eastAsia" w:ascii="宋体" w:hAnsi="宋体" w:eastAsia="宋体" w:cs="宋体"/>
          <w:sz w:val="24"/>
          <w:lang w:val="en-US" w:eastAsia="zh-CN"/>
        </w:rPr>
      </w:pPr>
      <w:r>
        <w:rPr>
          <w:rFonts w:hint="eastAsia" w:ascii="宋体" w:hAnsi="宋体" w:eastAsia="宋体" w:cs="宋体"/>
          <w:sz w:val="24"/>
          <w:lang w:val="en-US" w:eastAsia="zh-CN"/>
        </w:rPr>
        <w:t>① 图表与文字不符，以图表为准。</w:t>
      </w:r>
    </w:p>
    <w:p w14:paraId="39B08FED">
      <w:pPr>
        <w:tabs>
          <w:tab w:val="left" w:pos="7665"/>
        </w:tabs>
        <w:spacing w:line="360" w:lineRule="auto"/>
        <w:ind w:firstLine="489" w:firstLineChars="204"/>
        <w:rPr>
          <w:rFonts w:hint="eastAsia" w:ascii="宋体" w:hAnsi="宋体" w:eastAsia="宋体" w:cs="宋体"/>
          <w:sz w:val="24"/>
          <w:lang w:val="en-US" w:eastAsia="zh-CN"/>
        </w:rPr>
      </w:pPr>
      <w:r>
        <w:rPr>
          <w:rFonts w:hint="eastAsia" w:ascii="宋体" w:hAnsi="宋体" w:eastAsia="宋体" w:cs="宋体"/>
          <w:sz w:val="24"/>
          <w:lang w:val="en-US" w:eastAsia="zh-CN"/>
        </w:rPr>
        <w:t>② 单价与总价不符，以单价为准。</w:t>
      </w:r>
    </w:p>
    <w:p w14:paraId="60DC7583">
      <w:pPr>
        <w:tabs>
          <w:tab w:val="left" w:pos="7665"/>
        </w:tabs>
        <w:spacing w:line="360" w:lineRule="auto"/>
        <w:ind w:firstLine="489" w:firstLineChars="204"/>
        <w:rPr>
          <w:rFonts w:hint="eastAsia" w:ascii="宋体" w:hAnsi="宋体" w:eastAsia="宋体" w:cs="宋体"/>
          <w:sz w:val="24"/>
          <w:lang w:val="en-US" w:eastAsia="zh-CN"/>
        </w:rPr>
      </w:pPr>
      <w:r>
        <w:rPr>
          <w:rFonts w:hint="eastAsia" w:ascii="宋体" w:hAnsi="宋体" w:eastAsia="宋体" w:cs="宋体"/>
          <w:sz w:val="24"/>
          <w:lang w:val="en-US" w:eastAsia="zh-CN"/>
        </w:rPr>
        <w:t>③ 大写与小写不符，以大写为准。</w:t>
      </w:r>
    </w:p>
    <w:p w14:paraId="0EE1D8AA">
      <w:pPr>
        <w:tabs>
          <w:tab w:val="left" w:pos="7665"/>
        </w:tabs>
        <w:spacing w:line="360" w:lineRule="auto"/>
        <w:ind w:firstLine="489" w:firstLineChars="204"/>
        <w:rPr>
          <w:rFonts w:hint="eastAsia" w:ascii="宋体" w:hAnsi="宋体" w:eastAsia="宋体" w:cs="宋体"/>
          <w:sz w:val="24"/>
          <w:lang w:val="en-US" w:eastAsia="zh-CN"/>
        </w:rPr>
      </w:pPr>
      <w:r>
        <w:rPr>
          <w:rFonts w:hint="eastAsia" w:ascii="宋体" w:hAnsi="宋体" w:eastAsia="宋体" w:cs="宋体"/>
          <w:sz w:val="24"/>
          <w:lang w:val="en-US" w:eastAsia="zh-CN"/>
        </w:rPr>
        <w:t>④ 正本与副本不符，以正本为准。</w:t>
      </w:r>
    </w:p>
    <w:p w14:paraId="4D7DF335">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 xml:space="preserve">3.4 最终报价 </w:t>
      </w:r>
    </w:p>
    <w:p w14:paraId="590EF0E7">
      <w:pPr>
        <w:tabs>
          <w:tab w:val="left" w:pos="7665"/>
        </w:tabs>
        <w:spacing w:line="360" w:lineRule="auto"/>
        <w:ind w:firstLine="489" w:firstLineChars="204"/>
        <w:rPr>
          <w:rFonts w:hint="eastAsia" w:hAnsi="宋体" w:cs="宋体"/>
          <w:sz w:val="24"/>
        </w:rPr>
      </w:pPr>
      <w:r>
        <w:rPr>
          <w:rFonts w:hint="eastAsia" w:hAnsi="宋体" w:cs="宋体"/>
          <w:sz w:val="24"/>
          <w:lang w:val="en-US" w:eastAsia="zh-CN"/>
        </w:rPr>
        <w:t>谈判文件能够详细列明采购标的的技术、服务要求的，谈判结束后，所有实质性响应的供应商应在规定时间内提交最终报价；</w:t>
      </w:r>
    </w:p>
    <w:bookmarkEnd w:id="88"/>
    <w:bookmarkEnd w:id="89"/>
    <w:p w14:paraId="780581F3">
      <w:pPr>
        <w:tabs>
          <w:tab w:val="left" w:pos="7665"/>
        </w:tabs>
        <w:spacing w:line="360" w:lineRule="auto"/>
        <w:ind w:firstLine="489" w:firstLineChars="204"/>
        <w:rPr>
          <w:rFonts w:hint="eastAsia" w:hAnsi="宋体" w:cs="宋体"/>
          <w:sz w:val="24"/>
          <w:lang w:val="en-US" w:eastAsia="zh-CN"/>
        </w:rPr>
      </w:pPr>
      <w:bookmarkStart w:id="90" w:name="_Toc217446060"/>
      <w:bookmarkStart w:id="91" w:name="_Toc18880"/>
      <w:r>
        <w:rPr>
          <w:rFonts w:hint="eastAsia" w:hAnsi="宋体" w:cs="宋体"/>
          <w:sz w:val="24"/>
          <w:lang w:val="en-US" w:eastAsia="zh-CN"/>
        </w:rPr>
        <w:t xml:space="preserve">谈判文件不能详细列明采购标的的技术、服务要求，需经谈判由投标单位提供最终监理方案或解决方案的，谈判结束后，谈判小组应当按照少数服从多数的原则投票推荐3家以上投标单位的监理方案或者解决方案，并要求其在规定时间内提交最终报价。 </w:t>
      </w:r>
    </w:p>
    <w:p w14:paraId="27494301">
      <w:pPr>
        <w:tabs>
          <w:tab w:val="left" w:pos="7665"/>
        </w:tabs>
        <w:spacing w:line="360" w:lineRule="auto"/>
        <w:ind w:firstLine="489" w:firstLineChars="204"/>
        <w:rPr>
          <w:rFonts w:hint="eastAsia" w:hAnsi="宋体" w:cs="宋体"/>
          <w:sz w:val="24"/>
          <w:lang w:val="en-US" w:eastAsia="zh-CN"/>
        </w:rPr>
      </w:pPr>
      <w:r>
        <w:rPr>
          <w:rFonts w:hint="eastAsia" w:hAnsi="宋体" w:cs="宋体"/>
          <w:sz w:val="24"/>
          <w:lang w:val="en-US" w:eastAsia="zh-CN"/>
        </w:rPr>
        <w:t xml:space="preserve">最终报价是投标单位响应文件的有效组成部分。 </w:t>
      </w:r>
    </w:p>
    <w:p w14:paraId="4F685BBC">
      <w:pPr>
        <w:numPr>
          <w:ilvl w:val="0"/>
          <w:numId w:val="4"/>
        </w:numPr>
        <w:spacing w:line="440" w:lineRule="exact"/>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rPr>
        <w:t>投标单位的谈判响应文件中必须提供相关的证明材料。如果发现有弄虚作假的，谈判小组将取消其谈判资格。</w:t>
      </w:r>
    </w:p>
    <w:p w14:paraId="247CFD69">
      <w:pPr>
        <w:spacing w:before="100" w:beforeAutospacing="1" w:after="100" w:afterAutospacing="1" w:line="360" w:lineRule="auto"/>
        <w:ind w:firstLine="573" w:firstLineChars="204"/>
        <w:jc w:val="center"/>
        <w:rPr>
          <w:rFonts w:hAnsi="宋体" w:cs="宋体"/>
          <w:b/>
          <w:bCs/>
          <w:sz w:val="28"/>
        </w:rPr>
      </w:pPr>
      <w:r>
        <w:rPr>
          <w:rFonts w:hint="eastAsia" w:hAnsi="宋体" w:cs="宋体"/>
          <w:b/>
          <w:bCs/>
          <w:sz w:val="28"/>
          <w:lang w:val="en-US" w:eastAsia="zh-CN"/>
        </w:rPr>
        <w:t>七</w:t>
      </w:r>
      <w:r>
        <w:rPr>
          <w:rFonts w:hint="eastAsia" w:hAnsi="宋体" w:cs="宋体"/>
          <w:b/>
          <w:bCs/>
          <w:sz w:val="28"/>
        </w:rPr>
        <w:t>、定标</w:t>
      </w:r>
      <w:bookmarkEnd w:id="90"/>
      <w:bookmarkEnd w:id="91"/>
      <w:bookmarkStart w:id="92" w:name="_Toc217446061"/>
    </w:p>
    <w:p w14:paraId="5E87EB04">
      <w:pPr>
        <w:pStyle w:val="7"/>
        <w:keepNext w:val="0"/>
        <w:keepLines w:val="0"/>
        <w:numPr>
          <w:ilvl w:val="4"/>
          <w:numId w:val="0"/>
        </w:numPr>
        <w:adjustRightInd w:val="0"/>
        <w:snapToGrid w:val="0"/>
        <w:spacing w:before="0" w:after="0" w:line="360" w:lineRule="auto"/>
        <w:ind w:firstLine="482"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.定标原则</w:t>
      </w:r>
      <w:bookmarkEnd w:id="92"/>
    </w:p>
    <w:p w14:paraId="38A9BF12">
      <w:pPr>
        <w:spacing w:line="360" w:lineRule="auto"/>
        <w:ind w:firstLine="489" w:firstLineChars="204"/>
        <w:rPr>
          <w:rFonts w:hAnsi="宋体" w:cs="宋体"/>
          <w:sz w:val="24"/>
        </w:rPr>
      </w:pPr>
      <w:r>
        <w:rPr>
          <w:rFonts w:hint="eastAsia" w:hAnsi="宋体" w:cs="宋体"/>
          <w:sz w:val="24"/>
        </w:rPr>
        <w:t>采购人或其授权的</w:t>
      </w:r>
      <w:r>
        <w:rPr>
          <w:rFonts w:hint="eastAsia" w:hAnsi="宋体" w:cs="宋体"/>
          <w:sz w:val="24"/>
          <w:lang w:eastAsia="zh-CN"/>
        </w:rPr>
        <w:t>谈判</w:t>
      </w:r>
      <w:r>
        <w:rPr>
          <w:rFonts w:hint="eastAsia" w:hAnsi="宋体" w:cs="宋体"/>
          <w:sz w:val="24"/>
        </w:rPr>
        <w:t>小组按照评标报告中推荐的成交候选供应商名单，按顺序确定成交供应商。</w:t>
      </w:r>
      <w:bookmarkStart w:id="93" w:name="_Toc217446062"/>
    </w:p>
    <w:p w14:paraId="2B0C7E83">
      <w:pPr>
        <w:pStyle w:val="7"/>
        <w:keepNext w:val="0"/>
        <w:keepLines w:val="0"/>
        <w:numPr>
          <w:ilvl w:val="4"/>
          <w:numId w:val="0"/>
        </w:numPr>
        <w:adjustRightInd w:val="0"/>
        <w:snapToGrid w:val="0"/>
        <w:spacing w:before="0" w:after="0" w:line="360" w:lineRule="auto"/>
        <w:ind w:firstLine="492" w:firstLineChars="204"/>
        <w:rPr>
          <w:rFonts w:ascii="宋体" w:hAnsi="宋体" w:cs="宋体"/>
          <w:sz w:val="24"/>
        </w:rPr>
      </w:pPr>
      <w:r>
        <w:rPr>
          <w:rFonts w:hint="eastAsia" w:ascii="宋体" w:hAnsi="宋体" w:cs="宋体"/>
          <w:sz w:val="24"/>
          <w:lang w:val="en-US" w:eastAsia="zh-CN"/>
        </w:rPr>
        <w:t>2</w:t>
      </w:r>
      <w:r>
        <w:rPr>
          <w:rFonts w:hint="eastAsia" w:ascii="宋体" w:hAnsi="宋体" w:cs="宋体"/>
          <w:sz w:val="24"/>
        </w:rPr>
        <w:t>.定标程序</w:t>
      </w:r>
      <w:bookmarkEnd w:id="93"/>
    </w:p>
    <w:p w14:paraId="46C64F6E">
      <w:pPr>
        <w:adjustRightInd w:val="0"/>
        <w:snapToGrid w:val="0"/>
        <w:spacing w:line="360" w:lineRule="auto"/>
        <w:ind w:firstLine="580"/>
        <w:rPr>
          <w:rFonts w:hint="eastAsia" w:hAnsi="宋体" w:cs="宋体"/>
          <w:sz w:val="24"/>
        </w:rPr>
      </w:pPr>
      <w:r>
        <w:rPr>
          <w:rFonts w:hint="eastAsia" w:hAnsi="宋体" w:cs="宋体"/>
          <w:sz w:val="24"/>
          <w:lang w:val="en-US" w:eastAsia="zh-CN"/>
        </w:rPr>
        <w:t>2</w:t>
      </w:r>
      <w:r>
        <w:rPr>
          <w:rFonts w:hint="eastAsia" w:hAnsi="宋体" w:cs="宋体"/>
          <w:sz w:val="24"/>
        </w:rPr>
        <w:t>.1</w:t>
      </w:r>
      <w:r>
        <w:rPr>
          <w:rFonts w:hint="eastAsia" w:hAnsi="宋体" w:cs="宋体"/>
          <w:sz w:val="24"/>
          <w:lang w:eastAsia="zh-CN"/>
        </w:rPr>
        <w:t>谈判</w:t>
      </w:r>
      <w:r>
        <w:rPr>
          <w:rFonts w:hint="eastAsia" w:hAnsi="宋体" w:cs="宋体"/>
          <w:sz w:val="24"/>
        </w:rPr>
        <w:t>小组将评审情况写出书面报告，推荐1至3名成交候选供应商，</w:t>
      </w:r>
      <w:r>
        <w:rPr>
          <w:rFonts w:hint="eastAsia" w:ascii="宋体" w:hAnsi="宋体" w:eastAsia="宋体" w:cs="宋体"/>
          <w:color w:val="auto"/>
          <w:sz w:val="24"/>
          <w:lang w:val="zh-CN"/>
        </w:rPr>
        <w:t>以综合评审有效报价最低者推荐为成交第一候选人，其次低价者第二候选人，以此类推。</w:t>
      </w:r>
      <w:r>
        <w:rPr>
          <w:rFonts w:hint="eastAsia" w:hAnsi="宋体" w:cs="宋体"/>
          <w:sz w:val="24"/>
          <w:lang w:val="zh-CN"/>
        </w:rPr>
        <w:t>若</w:t>
      </w:r>
      <w:r>
        <w:rPr>
          <w:rFonts w:hint="eastAsia" w:hAnsi="宋体" w:cs="宋体"/>
          <w:sz w:val="24"/>
        </w:rPr>
        <w:t>供应商最低报价出现相同时，相同的供应商再报一次价格，得出最低报价。</w:t>
      </w:r>
    </w:p>
    <w:p w14:paraId="72F2B1EE">
      <w:pPr>
        <w:adjustRightInd w:val="0"/>
        <w:snapToGrid w:val="0"/>
        <w:spacing w:line="360" w:lineRule="auto"/>
        <w:ind w:firstLine="480" w:firstLineChars="200"/>
        <w:rPr>
          <w:rFonts w:hAnsi="宋体" w:cs="宋体"/>
          <w:sz w:val="24"/>
        </w:rPr>
      </w:pPr>
      <w:r>
        <w:rPr>
          <w:rFonts w:hint="eastAsia" w:hAnsi="宋体" w:cs="宋体"/>
          <w:sz w:val="24"/>
          <w:lang w:val="en-US" w:eastAsia="zh-CN"/>
        </w:rPr>
        <w:t>2</w:t>
      </w:r>
      <w:r>
        <w:rPr>
          <w:rFonts w:hint="eastAsia" w:hAnsi="宋体" w:cs="宋体"/>
          <w:sz w:val="24"/>
        </w:rPr>
        <w:t>.2 采购代理机构在评审结束后1个工作日内将评审报告送采购人确认。</w:t>
      </w:r>
    </w:p>
    <w:p w14:paraId="61FED265">
      <w:pPr>
        <w:spacing w:line="360" w:lineRule="auto"/>
        <w:ind w:firstLine="489" w:firstLineChars="204"/>
        <w:rPr>
          <w:rFonts w:hAnsi="宋体" w:cs="宋体"/>
          <w:sz w:val="24"/>
        </w:rPr>
      </w:pPr>
      <w:r>
        <w:rPr>
          <w:rFonts w:hint="eastAsia" w:hAnsi="宋体" w:cs="宋体"/>
          <w:sz w:val="24"/>
          <w:lang w:val="en-US" w:eastAsia="zh-CN"/>
        </w:rPr>
        <w:t>2</w:t>
      </w:r>
      <w:r>
        <w:rPr>
          <w:rFonts w:hint="eastAsia" w:hAnsi="宋体" w:cs="宋体"/>
          <w:sz w:val="24"/>
        </w:rPr>
        <w:t>.3 采购人应当在收到评审报告后4个工作日内，按照评审报告中推荐的成交候选供应商顺序和有关规定确定成交供应商，同时，复函采购代理机构。</w:t>
      </w:r>
    </w:p>
    <w:p w14:paraId="5AEABEE7">
      <w:pPr>
        <w:spacing w:line="360" w:lineRule="auto"/>
        <w:ind w:firstLine="489" w:firstLineChars="204"/>
        <w:rPr>
          <w:rFonts w:hAnsi="宋体" w:cs="宋体"/>
          <w:sz w:val="24"/>
        </w:rPr>
      </w:pPr>
      <w:r>
        <w:rPr>
          <w:rFonts w:hint="eastAsia" w:hAnsi="宋体" w:cs="宋体"/>
          <w:sz w:val="24"/>
          <w:lang w:val="en-US" w:eastAsia="zh-CN"/>
        </w:rPr>
        <w:t>2</w:t>
      </w:r>
      <w:r>
        <w:rPr>
          <w:rFonts w:hint="eastAsia" w:hAnsi="宋体" w:cs="宋体"/>
          <w:sz w:val="24"/>
        </w:rPr>
        <w:t>.4采购代理机构应当在接到采购人“成交”复函之日起1个工作日内，根据采购人确定的成交供应商，在省级以上财政部门指定的媒体上发布成交公告，同时向成交供应商发出《成交通知书》。</w:t>
      </w:r>
    </w:p>
    <w:p w14:paraId="4512140B">
      <w:pPr>
        <w:pStyle w:val="7"/>
        <w:keepNext w:val="0"/>
        <w:keepLines w:val="0"/>
        <w:numPr>
          <w:ilvl w:val="4"/>
          <w:numId w:val="0"/>
        </w:numPr>
        <w:adjustRightInd w:val="0"/>
        <w:snapToGrid w:val="0"/>
        <w:spacing w:before="0" w:after="0" w:line="360" w:lineRule="auto"/>
        <w:ind w:firstLine="492" w:firstLineChars="204"/>
        <w:rPr>
          <w:rFonts w:ascii="宋体" w:hAnsi="宋体" w:cs="宋体"/>
          <w:sz w:val="24"/>
        </w:rPr>
      </w:pPr>
      <w:r>
        <w:rPr>
          <w:rFonts w:hint="eastAsia" w:ascii="宋体" w:hAnsi="宋体" w:cs="宋体"/>
          <w:sz w:val="24"/>
          <w:lang w:val="en-US" w:eastAsia="zh-CN"/>
        </w:rPr>
        <w:t>3</w:t>
      </w:r>
      <w:r>
        <w:rPr>
          <w:rFonts w:hint="eastAsia" w:ascii="宋体" w:hAnsi="宋体" w:cs="宋体"/>
          <w:sz w:val="24"/>
        </w:rPr>
        <w:t>.成交通知书</w:t>
      </w:r>
    </w:p>
    <w:p w14:paraId="6BF0547A">
      <w:pPr>
        <w:tabs>
          <w:tab w:val="left" w:pos="7665"/>
        </w:tabs>
        <w:spacing w:line="360" w:lineRule="auto"/>
        <w:ind w:firstLine="489" w:firstLineChars="204"/>
        <w:rPr>
          <w:rFonts w:hAnsi="宋体" w:cs="宋体"/>
          <w:sz w:val="24"/>
        </w:rPr>
      </w:pPr>
      <w:r>
        <w:rPr>
          <w:rFonts w:hint="eastAsia" w:hAnsi="宋体" w:cs="宋体"/>
          <w:sz w:val="24"/>
        </w:rPr>
        <w:t>3</w:t>
      </w:r>
      <w:r>
        <w:rPr>
          <w:rFonts w:hint="eastAsia" w:hAnsi="宋体" w:cs="宋体"/>
          <w:b/>
          <w:bCs/>
          <w:sz w:val="24"/>
        </w:rPr>
        <w:t>.</w:t>
      </w:r>
      <w:r>
        <w:rPr>
          <w:rFonts w:hint="eastAsia" w:hAnsi="宋体" w:cs="宋体"/>
          <w:sz w:val="24"/>
        </w:rPr>
        <w:t>1成交通知书为签订政府采购合同的依据，是合同的有效组成部分。</w:t>
      </w:r>
    </w:p>
    <w:p w14:paraId="08BF9973">
      <w:pPr>
        <w:tabs>
          <w:tab w:val="left" w:pos="7665"/>
        </w:tabs>
        <w:spacing w:line="360" w:lineRule="auto"/>
        <w:ind w:firstLine="489" w:firstLineChars="204"/>
        <w:rPr>
          <w:rFonts w:hAnsi="宋体" w:cs="宋体"/>
          <w:sz w:val="24"/>
        </w:rPr>
      </w:pPr>
      <w:r>
        <w:rPr>
          <w:rFonts w:hint="eastAsia" w:hAnsi="宋体" w:cs="宋体"/>
          <w:sz w:val="24"/>
        </w:rPr>
        <w:t>3.2成交通知书对采购人和成交供应商均具有法律效力。成交通知书发出后，采购人改变成交结果，或者成交供应商无正当理由放弃成交资格的，应当承担相应的法律责任。</w:t>
      </w:r>
    </w:p>
    <w:p w14:paraId="62E0E88D">
      <w:pPr>
        <w:tabs>
          <w:tab w:val="left" w:pos="7665"/>
        </w:tabs>
        <w:spacing w:line="360" w:lineRule="auto"/>
        <w:ind w:firstLine="489" w:firstLineChars="204"/>
        <w:rPr>
          <w:rFonts w:hAnsi="宋体" w:cs="宋体"/>
          <w:sz w:val="24"/>
        </w:rPr>
      </w:pPr>
      <w:r>
        <w:rPr>
          <w:rFonts w:hint="eastAsia" w:hAnsi="宋体" w:cs="宋体"/>
          <w:sz w:val="24"/>
        </w:rPr>
        <w:t>3.3成交供应商应当在接到采购代理机构通知之日起7个工作日内领取《成交通知书》。</w:t>
      </w:r>
    </w:p>
    <w:p w14:paraId="39FEF5E7">
      <w:pPr>
        <w:tabs>
          <w:tab w:val="left" w:pos="7665"/>
        </w:tabs>
        <w:spacing w:line="360" w:lineRule="auto"/>
        <w:ind w:firstLine="489" w:firstLineChars="204"/>
        <w:rPr>
          <w:rFonts w:hAnsi="宋体" w:cs="宋体"/>
          <w:sz w:val="24"/>
        </w:rPr>
      </w:pPr>
      <w:r>
        <w:rPr>
          <w:rFonts w:hint="eastAsia" w:hAnsi="宋体" w:cs="宋体"/>
          <w:sz w:val="24"/>
        </w:rPr>
        <w:t>3.4在《成交通知书》发出后，发现成交供应商有政府采购法律法规规章制度规定的成交无效情形的，采购代理机构在取得监督管理机构的认定以后，应当宣布发出的成交通知书无效，并收回发出的成交通知书（成交供应商也应当交回），依法重新确定成交供应商或者重新开展采购活动。</w:t>
      </w:r>
    </w:p>
    <w:p w14:paraId="2259777C">
      <w:pPr>
        <w:tabs>
          <w:tab w:val="left" w:pos="7665"/>
        </w:tabs>
        <w:spacing w:line="360" w:lineRule="auto"/>
        <w:ind w:firstLine="489" w:firstLineChars="204"/>
        <w:rPr>
          <w:rFonts w:hAnsi="宋体" w:cs="宋体"/>
          <w:b/>
          <w:sz w:val="21"/>
        </w:rPr>
      </w:pPr>
      <w:r>
        <w:rPr>
          <w:rFonts w:hint="eastAsia" w:hAnsi="宋体" w:cs="宋体"/>
          <w:sz w:val="24"/>
        </w:rPr>
        <w:t>3.5 成交通知书发出后，采购人不得违法改变成交结果，成交供应商无正当理由不得放弃成交资格。</w:t>
      </w:r>
    </w:p>
    <w:p w14:paraId="1C3755FC">
      <w:pPr>
        <w:spacing w:line="360" w:lineRule="auto"/>
        <w:ind w:firstLine="573" w:firstLineChars="204"/>
        <w:jc w:val="center"/>
        <w:rPr>
          <w:rFonts w:hAnsi="宋体" w:cs="宋体"/>
          <w:b/>
          <w:bCs/>
          <w:sz w:val="28"/>
        </w:rPr>
      </w:pPr>
      <w:bookmarkStart w:id="94" w:name="_Toc9914"/>
      <w:bookmarkStart w:id="95" w:name="_Toc217446064"/>
      <w:bookmarkStart w:id="96" w:name="_Toc183582240"/>
      <w:bookmarkStart w:id="97" w:name="_Toc183682377"/>
      <w:r>
        <w:rPr>
          <w:rFonts w:hint="eastAsia" w:hAnsi="宋体" w:cs="宋体"/>
          <w:b/>
          <w:bCs/>
          <w:sz w:val="28"/>
          <w:lang w:val="en-US" w:eastAsia="zh-CN"/>
        </w:rPr>
        <w:t>八</w:t>
      </w:r>
      <w:r>
        <w:rPr>
          <w:rFonts w:hint="eastAsia" w:hAnsi="宋体" w:cs="宋体"/>
          <w:b/>
          <w:bCs/>
          <w:sz w:val="28"/>
        </w:rPr>
        <w:t>、</w:t>
      </w:r>
      <w:bookmarkStart w:id="98" w:name="_Toc217446072"/>
      <w:r>
        <w:rPr>
          <w:rFonts w:hint="eastAsia" w:hAnsi="宋体" w:cs="宋体"/>
          <w:b/>
          <w:bCs/>
          <w:sz w:val="28"/>
        </w:rPr>
        <w:t>废标或变更采购方式</w:t>
      </w:r>
      <w:bookmarkEnd w:id="94"/>
    </w:p>
    <w:p w14:paraId="675AE7AD">
      <w:pPr>
        <w:pStyle w:val="7"/>
        <w:keepNext w:val="0"/>
        <w:keepLines w:val="0"/>
        <w:numPr>
          <w:ilvl w:val="4"/>
          <w:numId w:val="0"/>
        </w:numPr>
        <w:adjustRightInd w:val="0"/>
        <w:snapToGrid w:val="0"/>
        <w:spacing w:before="0" w:after="0" w:line="360" w:lineRule="auto"/>
        <w:ind w:firstLine="492" w:firstLineChars="204"/>
        <w:rPr>
          <w:rFonts w:ascii="宋体" w:hAnsi="宋体" w:cs="宋体"/>
          <w:sz w:val="24"/>
        </w:rPr>
      </w:pPr>
      <w:r>
        <w:rPr>
          <w:rFonts w:hint="eastAsia" w:ascii="宋体" w:hAnsi="宋体" w:cs="宋体"/>
          <w:sz w:val="24"/>
          <w:lang w:val="en-US" w:eastAsia="zh-CN"/>
        </w:rPr>
        <w:t>1</w:t>
      </w:r>
      <w:r>
        <w:rPr>
          <w:rFonts w:hint="eastAsia" w:ascii="宋体" w:hAnsi="宋体" w:cs="宋体"/>
          <w:sz w:val="24"/>
        </w:rPr>
        <w:t>.废标的情形</w:t>
      </w:r>
      <w:bookmarkEnd w:id="98"/>
    </w:p>
    <w:p w14:paraId="1FDCC1AB">
      <w:pPr>
        <w:pStyle w:val="3"/>
        <w:spacing w:line="360" w:lineRule="auto"/>
        <w:ind w:firstLine="489" w:firstLineChars="204"/>
        <w:rPr>
          <w:rFonts w:hAnsi="宋体" w:cs="宋体"/>
          <w:sz w:val="24"/>
          <w:szCs w:val="24"/>
        </w:rPr>
      </w:pPr>
      <w:r>
        <w:rPr>
          <w:rFonts w:hint="eastAsia" w:hAnsi="宋体" w:cs="宋体"/>
          <w:sz w:val="24"/>
          <w:szCs w:val="24"/>
          <w:lang w:val="en-US" w:eastAsia="zh-CN"/>
        </w:rPr>
        <w:t>1</w:t>
      </w:r>
      <w:r>
        <w:rPr>
          <w:rFonts w:hint="eastAsia" w:hAnsi="宋体" w:cs="宋体"/>
          <w:sz w:val="24"/>
          <w:szCs w:val="24"/>
        </w:rPr>
        <w:t>.1 招标采购中，出现下列情形之一的，应予以废标：</w:t>
      </w:r>
    </w:p>
    <w:p w14:paraId="3ED377A7">
      <w:pPr>
        <w:pStyle w:val="3"/>
        <w:spacing w:line="360" w:lineRule="auto"/>
        <w:ind w:firstLine="489" w:firstLineChars="204"/>
        <w:rPr>
          <w:rFonts w:hAnsi="宋体" w:cs="宋体"/>
          <w:sz w:val="24"/>
          <w:szCs w:val="24"/>
        </w:rPr>
      </w:pPr>
      <w:r>
        <w:rPr>
          <w:rFonts w:hint="eastAsia" w:hAnsi="宋体" w:cs="宋体"/>
          <w:sz w:val="24"/>
          <w:szCs w:val="24"/>
        </w:rPr>
        <w:t>（1）符合专业条件的供应商或者对</w:t>
      </w:r>
      <w:r>
        <w:rPr>
          <w:rFonts w:hint="eastAsia" w:hAnsi="宋体" w:cs="宋体"/>
          <w:sz w:val="24"/>
          <w:szCs w:val="24"/>
          <w:lang w:eastAsia="zh-CN"/>
        </w:rPr>
        <w:t>谈判</w:t>
      </w:r>
      <w:r>
        <w:rPr>
          <w:rFonts w:hint="eastAsia" w:hAnsi="宋体" w:cs="宋体"/>
          <w:sz w:val="24"/>
          <w:szCs w:val="24"/>
        </w:rPr>
        <w:t>文件作实质响应的供应商不足3家的；</w:t>
      </w:r>
    </w:p>
    <w:p w14:paraId="69EE1053">
      <w:pPr>
        <w:pStyle w:val="3"/>
        <w:spacing w:line="360" w:lineRule="auto"/>
        <w:ind w:firstLine="489" w:firstLineChars="204"/>
        <w:rPr>
          <w:rFonts w:hAnsi="宋体" w:cs="宋体"/>
          <w:sz w:val="24"/>
          <w:szCs w:val="24"/>
        </w:rPr>
      </w:pPr>
      <w:r>
        <w:rPr>
          <w:rFonts w:hint="eastAsia" w:hAnsi="宋体" w:cs="宋体"/>
          <w:sz w:val="24"/>
          <w:szCs w:val="24"/>
        </w:rPr>
        <w:t>（2）出现影响采购公正的违法、违规行为的；</w:t>
      </w:r>
    </w:p>
    <w:p w14:paraId="000A86CA">
      <w:pPr>
        <w:pStyle w:val="3"/>
        <w:spacing w:line="360" w:lineRule="auto"/>
        <w:ind w:firstLine="489" w:firstLineChars="204"/>
        <w:rPr>
          <w:rFonts w:hAnsi="宋体" w:cs="宋体"/>
          <w:sz w:val="24"/>
          <w:szCs w:val="24"/>
        </w:rPr>
      </w:pPr>
      <w:r>
        <w:rPr>
          <w:rFonts w:hint="eastAsia" w:hAnsi="宋体" w:cs="宋体"/>
          <w:sz w:val="24"/>
          <w:szCs w:val="24"/>
        </w:rPr>
        <w:t>（3）供应商的报价均超过了采购预算，采购人不能支付的；</w:t>
      </w:r>
    </w:p>
    <w:p w14:paraId="07427C6E">
      <w:pPr>
        <w:pStyle w:val="3"/>
        <w:spacing w:line="360" w:lineRule="auto"/>
        <w:ind w:firstLine="489" w:firstLineChars="204"/>
        <w:rPr>
          <w:rFonts w:hAnsi="宋体" w:cs="宋体"/>
          <w:sz w:val="24"/>
          <w:szCs w:val="24"/>
        </w:rPr>
      </w:pPr>
      <w:r>
        <w:rPr>
          <w:rFonts w:hint="eastAsia" w:hAnsi="宋体" w:cs="宋体"/>
          <w:sz w:val="24"/>
          <w:szCs w:val="24"/>
        </w:rPr>
        <w:t>（4）因重大变故，采购任务取消的。</w:t>
      </w:r>
    </w:p>
    <w:p w14:paraId="05FE2A88">
      <w:pPr>
        <w:pStyle w:val="3"/>
        <w:spacing w:line="360" w:lineRule="auto"/>
        <w:ind w:firstLine="489" w:firstLineChars="204"/>
        <w:rPr>
          <w:rFonts w:hAnsi="宋体" w:cs="宋体"/>
          <w:sz w:val="24"/>
          <w:szCs w:val="24"/>
        </w:rPr>
      </w:pPr>
      <w:r>
        <w:rPr>
          <w:rFonts w:hint="eastAsia" w:hAnsi="宋体" w:cs="宋体"/>
          <w:sz w:val="24"/>
          <w:szCs w:val="24"/>
          <w:lang w:val="en-US" w:eastAsia="zh-CN"/>
        </w:rPr>
        <w:t>1.2</w:t>
      </w:r>
      <w:r>
        <w:rPr>
          <w:rFonts w:hint="eastAsia" w:hAnsi="宋体" w:cs="宋体"/>
          <w:sz w:val="24"/>
          <w:szCs w:val="24"/>
        </w:rPr>
        <w:t>废标后，采购代理机构应在财政部门指定采购网上公告，并公告废标的详细理由。</w:t>
      </w:r>
    </w:p>
    <w:p w14:paraId="7EE7ADA4">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Ansi="宋体" w:cs="宋体"/>
          <w:b/>
          <w:bCs/>
          <w:sz w:val="28"/>
        </w:rPr>
      </w:pPr>
      <w:bookmarkStart w:id="99" w:name="_Toc2334"/>
      <w:r>
        <w:rPr>
          <w:rFonts w:hint="eastAsia" w:hAnsi="宋体" w:cs="宋体"/>
          <w:b/>
          <w:bCs/>
          <w:sz w:val="28"/>
          <w:lang w:val="en-US" w:eastAsia="zh-CN"/>
        </w:rPr>
        <w:t>九</w:t>
      </w:r>
      <w:r>
        <w:rPr>
          <w:rFonts w:hint="eastAsia" w:hAnsi="宋体" w:cs="宋体"/>
          <w:b/>
          <w:bCs/>
          <w:sz w:val="28"/>
        </w:rPr>
        <w:t>、合同</w:t>
      </w:r>
      <w:bookmarkEnd w:id="95"/>
      <w:r>
        <w:rPr>
          <w:rFonts w:hint="eastAsia" w:hAnsi="宋体" w:cs="宋体"/>
          <w:b/>
          <w:bCs/>
          <w:sz w:val="28"/>
        </w:rPr>
        <w:t>授予</w:t>
      </w:r>
      <w:bookmarkEnd w:id="99"/>
      <w:bookmarkStart w:id="100" w:name="_Toc217446065"/>
    </w:p>
    <w:p w14:paraId="4B2F3B6C">
      <w:pPr>
        <w:pStyle w:val="7"/>
        <w:keepNext w:val="0"/>
        <w:keepLines w:val="0"/>
        <w:numPr>
          <w:ilvl w:val="4"/>
          <w:numId w:val="0"/>
        </w:numPr>
        <w:adjustRightInd w:val="0"/>
        <w:snapToGrid w:val="0"/>
        <w:spacing w:before="0" w:after="0" w:line="360" w:lineRule="auto"/>
        <w:ind w:firstLine="492" w:firstLineChars="204"/>
        <w:rPr>
          <w:rFonts w:ascii="宋体" w:hAnsi="宋体" w:cs="宋体"/>
          <w:sz w:val="24"/>
        </w:rPr>
      </w:pPr>
      <w:r>
        <w:rPr>
          <w:rFonts w:hint="eastAsia" w:ascii="宋体" w:hAnsi="宋体" w:cs="宋体"/>
          <w:sz w:val="24"/>
          <w:lang w:val="en-US" w:eastAsia="zh-CN"/>
        </w:rPr>
        <w:t>1</w:t>
      </w:r>
      <w:r>
        <w:rPr>
          <w:rFonts w:hint="eastAsia" w:ascii="宋体" w:hAnsi="宋体" w:cs="宋体"/>
          <w:sz w:val="24"/>
        </w:rPr>
        <w:t>.合同</w:t>
      </w:r>
      <w:bookmarkEnd w:id="100"/>
      <w:r>
        <w:rPr>
          <w:rFonts w:hint="eastAsia" w:ascii="宋体" w:hAnsi="宋体" w:cs="宋体"/>
          <w:sz w:val="24"/>
        </w:rPr>
        <w:t>订立</w:t>
      </w:r>
    </w:p>
    <w:p w14:paraId="454E8F58">
      <w:pPr>
        <w:tabs>
          <w:tab w:val="left" w:pos="7665"/>
        </w:tabs>
        <w:spacing w:line="360" w:lineRule="auto"/>
        <w:ind w:firstLine="489" w:firstLineChars="204"/>
        <w:rPr>
          <w:rFonts w:hAnsi="宋体" w:cs="宋体"/>
          <w:b/>
          <w:sz w:val="24"/>
        </w:rPr>
      </w:pPr>
      <w:r>
        <w:rPr>
          <w:rFonts w:hint="eastAsia" w:hAnsi="宋体" w:cs="宋体"/>
          <w:sz w:val="24"/>
        </w:rPr>
        <w:t>1.1 成交供应商应在《成交通知书》发出之日起25日内按照</w:t>
      </w:r>
      <w:r>
        <w:rPr>
          <w:rFonts w:hint="eastAsia" w:hAnsi="宋体" w:cs="宋体"/>
          <w:sz w:val="24"/>
          <w:lang w:eastAsia="zh-CN"/>
        </w:rPr>
        <w:t>谈判</w:t>
      </w:r>
      <w:r>
        <w:rPr>
          <w:rFonts w:hint="eastAsia" w:hAnsi="宋体" w:cs="宋体"/>
          <w:sz w:val="24"/>
        </w:rPr>
        <w:t>文件和</w:t>
      </w:r>
      <w:r>
        <w:rPr>
          <w:rFonts w:hint="eastAsia" w:hAnsi="宋体" w:cs="宋体"/>
          <w:sz w:val="24"/>
          <w:lang w:eastAsia="zh-CN"/>
        </w:rPr>
        <w:t>谈判</w:t>
      </w:r>
      <w:r>
        <w:rPr>
          <w:rFonts w:hint="eastAsia" w:hAnsi="宋体" w:cs="宋体"/>
          <w:sz w:val="24"/>
        </w:rPr>
        <w:t>响应文件（包括评标中形成的澄清文件）的规定与采购人签订采购合同。由于成交供应商的原因逾期未与采购人签订采购合同的，将视为放弃成交，取消其成交资格，给采购人造成的损失的，</w:t>
      </w:r>
      <w:r>
        <w:rPr>
          <w:rFonts w:hint="eastAsia" w:hAnsi="宋体" w:cs="宋体"/>
          <w:spacing w:val="2"/>
          <w:sz w:val="24"/>
        </w:rPr>
        <w:t>成交供应商应当对此予以赔偿。</w:t>
      </w:r>
    </w:p>
    <w:p w14:paraId="24C73F83">
      <w:pPr>
        <w:spacing w:line="360" w:lineRule="auto"/>
        <w:ind w:firstLine="489" w:firstLineChars="204"/>
        <w:rPr>
          <w:rFonts w:hAnsi="宋体" w:cs="宋体"/>
          <w:sz w:val="24"/>
        </w:rPr>
      </w:pPr>
      <w:r>
        <w:rPr>
          <w:rFonts w:hint="eastAsia" w:hAnsi="宋体" w:cs="宋体"/>
          <w:sz w:val="24"/>
          <w:lang w:val="en-US" w:eastAsia="zh-CN"/>
        </w:rPr>
        <w:t>1</w:t>
      </w:r>
      <w:r>
        <w:rPr>
          <w:rFonts w:hint="eastAsia" w:hAnsi="宋体" w:cs="宋体"/>
          <w:sz w:val="24"/>
        </w:rPr>
        <w:t>.2 发出成交通知书后，采购人无正当理由拒签合同或在合同签订时向成交供应商提出附加条件的，给成交供应商造成损失的，还应当赔偿损失。</w:t>
      </w:r>
    </w:p>
    <w:p w14:paraId="30F16C71">
      <w:pPr>
        <w:spacing w:line="360" w:lineRule="auto"/>
        <w:ind w:firstLine="489" w:firstLineChars="204"/>
        <w:rPr>
          <w:rFonts w:hAnsi="宋体" w:cs="宋体"/>
          <w:sz w:val="24"/>
        </w:rPr>
      </w:pPr>
      <w:r>
        <w:rPr>
          <w:rFonts w:hint="eastAsia" w:hAnsi="宋体" w:cs="宋体"/>
          <w:sz w:val="24"/>
          <w:lang w:val="en-US" w:eastAsia="zh-CN"/>
        </w:rPr>
        <w:t>1</w:t>
      </w:r>
      <w:r>
        <w:rPr>
          <w:rFonts w:hint="eastAsia" w:hAnsi="宋体" w:cs="宋体"/>
          <w:sz w:val="24"/>
        </w:rPr>
        <w:t>.3成交供应商因不可抗力原因不能履行采购合同或放弃成交的，采购人可以与排在成交供应商之后第一位的成交候选供应商签订采购合同，以此类推。</w:t>
      </w:r>
      <w:bookmarkStart w:id="101" w:name="_Toc217446066"/>
    </w:p>
    <w:p w14:paraId="5EA17EB0">
      <w:pPr>
        <w:spacing w:line="360" w:lineRule="auto"/>
        <w:ind w:firstLine="489" w:firstLineChars="204"/>
        <w:rPr>
          <w:rFonts w:hAnsi="宋体" w:cs="宋体"/>
          <w:sz w:val="24"/>
        </w:rPr>
      </w:pPr>
      <w:r>
        <w:rPr>
          <w:rFonts w:hint="eastAsia" w:hAnsi="宋体" w:cs="宋体"/>
          <w:sz w:val="24"/>
        </w:rPr>
        <w:t>1.4采购人与成交供应商所签订的合同不得对</w:t>
      </w:r>
      <w:r>
        <w:rPr>
          <w:rFonts w:hint="eastAsia" w:hAnsi="宋体" w:cs="宋体"/>
          <w:sz w:val="24"/>
          <w:lang w:eastAsia="zh-CN"/>
        </w:rPr>
        <w:t>谈判</w:t>
      </w:r>
      <w:r>
        <w:rPr>
          <w:rFonts w:hint="eastAsia" w:hAnsi="宋体" w:cs="宋体"/>
          <w:sz w:val="24"/>
        </w:rPr>
        <w:t>文件确定的事项和成交供应商的响应文件做实质性修改。</w:t>
      </w:r>
    </w:p>
    <w:p w14:paraId="13CB23D7">
      <w:pPr>
        <w:spacing w:line="360" w:lineRule="auto"/>
        <w:ind w:firstLine="489" w:firstLineChars="204"/>
        <w:rPr>
          <w:rFonts w:hAnsi="宋体" w:cs="宋体"/>
          <w:sz w:val="24"/>
        </w:rPr>
      </w:pPr>
      <w:r>
        <w:rPr>
          <w:rFonts w:hint="eastAsia" w:hAnsi="宋体" w:cs="宋体"/>
          <w:sz w:val="24"/>
        </w:rPr>
        <w:t>1.5采购人与成交供应商不得擅自变更、中止、终止政府采购合同。</w:t>
      </w:r>
    </w:p>
    <w:p w14:paraId="3B0D724A">
      <w:pPr>
        <w:spacing w:line="360" w:lineRule="auto"/>
        <w:ind w:firstLine="489" w:firstLineChars="204"/>
        <w:rPr>
          <w:rFonts w:hAnsi="宋体" w:cs="宋体"/>
          <w:sz w:val="24"/>
        </w:rPr>
      </w:pPr>
      <w:r>
        <w:rPr>
          <w:rFonts w:hint="eastAsia" w:hAnsi="宋体" w:cs="宋体"/>
          <w:sz w:val="24"/>
        </w:rPr>
        <w:t>1.6对于满足合同约定支付条件的，采购人应当自收到发票后30日内将资金支付到合同约定的供应商账户，不得以机构变动、人员更替、政策调整等为由延迟付款，不得将采购文件和合同中未规定的义务作为供应商付款的条件。</w:t>
      </w:r>
    </w:p>
    <w:p w14:paraId="126D51AD">
      <w:pPr>
        <w:pStyle w:val="7"/>
        <w:keepNext w:val="0"/>
        <w:keepLines w:val="0"/>
        <w:numPr>
          <w:ilvl w:val="4"/>
          <w:numId w:val="0"/>
        </w:numPr>
        <w:spacing w:before="0" w:after="0" w:line="360" w:lineRule="auto"/>
        <w:ind w:firstLine="492" w:firstLineChars="204"/>
        <w:rPr>
          <w:rFonts w:ascii="宋体" w:hAnsi="宋体" w:cs="宋体"/>
          <w:sz w:val="24"/>
        </w:rPr>
      </w:pPr>
      <w:bookmarkStart w:id="102" w:name="_Toc322606648"/>
      <w:r>
        <w:rPr>
          <w:rFonts w:hint="eastAsia" w:ascii="宋体" w:hAnsi="宋体" w:cs="宋体"/>
          <w:sz w:val="24"/>
          <w:lang w:val="en-US" w:eastAsia="zh-CN"/>
        </w:rPr>
        <w:t>2</w:t>
      </w:r>
      <w:r>
        <w:rPr>
          <w:rFonts w:hint="eastAsia" w:ascii="宋体" w:hAnsi="宋体" w:cs="宋体"/>
          <w:sz w:val="24"/>
        </w:rPr>
        <w:t>.合同履行</w:t>
      </w:r>
      <w:bookmarkEnd w:id="102"/>
    </w:p>
    <w:p w14:paraId="79B7AA45">
      <w:pPr>
        <w:tabs>
          <w:tab w:val="left" w:pos="426"/>
        </w:tabs>
        <w:autoSpaceDE w:val="0"/>
        <w:autoSpaceDN w:val="0"/>
        <w:adjustRightInd w:val="0"/>
        <w:snapToGrid w:val="0"/>
        <w:spacing w:line="360" w:lineRule="auto"/>
        <w:ind w:firstLine="489" w:firstLineChars="204"/>
        <w:rPr>
          <w:rFonts w:hAnsi="宋体" w:cs="宋体"/>
          <w:b/>
          <w:bCs/>
          <w:sz w:val="24"/>
        </w:rPr>
      </w:pPr>
      <w:r>
        <w:rPr>
          <w:rFonts w:hint="eastAsia" w:hAnsi="宋体" w:cs="宋体"/>
          <w:sz w:val="24"/>
        </w:rPr>
        <w:t xml:space="preserve">2. </w:t>
      </w:r>
      <w:r>
        <w:rPr>
          <w:rFonts w:hint="eastAsia" w:hAnsi="宋体" w:cs="宋体"/>
          <w:sz w:val="24"/>
          <w:lang w:eastAsia="zh-TW"/>
        </w:rPr>
        <w:t>政府采购合同订立后，合同各方不得擅自变更</w:t>
      </w:r>
      <w:r>
        <w:rPr>
          <w:rFonts w:hint="eastAsia" w:hAnsi="宋体" w:cs="宋体"/>
          <w:sz w:val="24"/>
        </w:rPr>
        <w:t>或者</w:t>
      </w:r>
      <w:r>
        <w:rPr>
          <w:rFonts w:hint="eastAsia" w:hAnsi="宋体" w:cs="宋体"/>
          <w:sz w:val="24"/>
          <w:lang w:eastAsia="zh-TW"/>
        </w:rPr>
        <w:t>中止或者终止合同。政府采购合同需要变更的，采购人应将有关合同变更内容，以书面形式报政府采购监督管理</w:t>
      </w:r>
      <w:r>
        <w:rPr>
          <w:rFonts w:hint="eastAsia" w:hAnsi="宋体" w:cs="宋体"/>
          <w:sz w:val="24"/>
        </w:rPr>
        <w:t>部门</w:t>
      </w:r>
      <w:r>
        <w:rPr>
          <w:rFonts w:hint="eastAsia" w:hAnsi="宋体" w:cs="宋体"/>
          <w:sz w:val="24"/>
          <w:lang w:eastAsia="zh-TW"/>
        </w:rPr>
        <w:t>备案；因特殊情况需要中止或终止合同的，采购人应将中止或终止合同的理由以及相应措施，以书面形式报政府采购监督管理</w:t>
      </w:r>
      <w:r>
        <w:rPr>
          <w:rFonts w:hint="eastAsia" w:hAnsi="宋体" w:cs="宋体"/>
          <w:sz w:val="24"/>
        </w:rPr>
        <w:t>部门</w:t>
      </w:r>
      <w:r>
        <w:rPr>
          <w:rFonts w:hint="eastAsia" w:hAnsi="宋体" w:cs="宋体"/>
          <w:sz w:val="24"/>
          <w:lang w:eastAsia="zh-TW"/>
        </w:rPr>
        <w:t>备案。</w:t>
      </w:r>
    </w:p>
    <w:bookmarkEnd w:id="14"/>
    <w:bookmarkEnd w:id="15"/>
    <w:bookmarkEnd w:id="16"/>
    <w:bookmarkEnd w:id="17"/>
    <w:bookmarkEnd w:id="18"/>
    <w:bookmarkEnd w:id="19"/>
    <w:bookmarkEnd w:id="20"/>
    <w:bookmarkEnd w:id="21"/>
    <w:bookmarkEnd w:id="22"/>
    <w:bookmarkEnd w:id="96"/>
    <w:bookmarkEnd w:id="97"/>
    <w:bookmarkEnd w:id="101"/>
    <w:p w14:paraId="168A10D3">
      <w:pPr>
        <w:pStyle w:val="7"/>
        <w:keepNext w:val="0"/>
        <w:keepLines w:val="0"/>
        <w:numPr>
          <w:ilvl w:val="4"/>
          <w:numId w:val="0"/>
        </w:numPr>
        <w:spacing w:before="0" w:after="0" w:line="360" w:lineRule="auto"/>
        <w:ind w:firstLine="492" w:firstLineChars="204"/>
        <w:rPr>
          <w:rFonts w:ascii="宋体" w:hAnsi="宋体" w:cs="宋体"/>
          <w:sz w:val="24"/>
        </w:rPr>
      </w:pPr>
      <w:bookmarkStart w:id="103" w:name="_Toc217446081"/>
      <w:r>
        <w:rPr>
          <w:rFonts w:hint="eastAsia" w:ascii="宋体" w:hAnsi="宋体" w:cs="宋体"/>
          <w:sz w:val="24"/>
        </w:rPr>
        <w:t>3.合同的履行验收</w:t>
      </w:r>
    </w:p>
    <w:p w14:paraId="686F41DA">
      <w:pPr>
        <w:tabs>
          <w:tab w:val="left" w:pos="426"/>
        </w:tabs>
        <w:autoSpaceDE w:val="0"/>
        <w:autoSpaceDN w:val="0"/>
        <w:adjustRightInd w:val="0"/>
        <w:snapToGrid w:val="0"/>
        <w:spacing w:line="360" w:lineRule="auto"/>
        <w:ind w:firstLine="489" w:firstLineChars="204"/>
        <w:rPr>
          <w:rFonts w:hAnsi="宋体" w:cs="宋体"/>
          <w:sz w:val="24"/>
          <w:lang w:val="zh-CN" w:eastAsia="zh-TW"/>
        </w:rPr>
      </w:pPr>
      <w:r>
        <w:rPr>
          <w:rFonts w:hint="eastAsia" w:hAnsi="宋体" w:cs="宋体"/>
          <w:sz w:val="24"/>
          <w:lang w:val="zh-CN" w:eastAsia="zh-TW"/>
        </w:rPr>
        <w:t>政府采购合同的履行、违约责任和解决争议的方法等适用《中华人民共和国民法典》，采购人按照政府采购合同规定的技术、服务、安全标准组织对</w:t>
      </w:r>
      <w:r>
        <w:rPr>
          <w:rFonts w:hint="eastAsia" w:hAnsi="宋体" w:cs="宋体"/>
          <w:sz w:val="24"/>
        </w:rPr>
        <w:t>供应商</w:t>
      </w:r>
      <w:r>
        <w:rPr>
          <w:rFonts w:hint="eastAsia" w:hAnsi="宋体" w:cs="宋体"/>
          <w:sz w:val="24"/>
          <w:lang w:val="zh-CN" w:eastAsia="zh-TW"/>
        </w:rPr>
        <w:t>履约情况进行验收，并出具验收书。</w:t>
      </w:r>
    </w:p>
    <w:p w14:paraId="7424390B">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Ansi="宋体" w:cs="宋体"/>
          <w:b/>
          <w:bCs/>
          <w:sz w:val="28"/>
        </w:rPr>
      </w:pPr>
      <w:bookmarkStart w:id="104" w:name="_Toc4220"/>
      <w:bookmarkStart w:id="105" w:name="_Toc30571"/>
      <w:r>
        <w:rPr>
          <w:rFonts w:hint="eastAsia" w:hAnsi="宋体" w:cs="宋体"/>
          <w:b/>
          <w:bCs/>
          <w:sz w:val="28"/>
        </w:rPr>
        <w:t>十、成交服务费</w:t>
      </w:r>
      <w:bookmarkEnd w:id="104"/>
      <w:bookmarkEnd w:id="105"/>
    </w:p>
    <w:p w14:paraId="227338AF">
      <w:pPr>
        <w:pStyle w:val="7"/>
        <w:keepNext w:val="0"/>
        <w:keepLines w:val="0"/>
        <w:numPr>
          <w:ilvl w:val="4"/>
          <w:numId w:val="0"/>
        </w:numPr>
        <w:spacing w:before="0" w:after="0" w:line="360" w:lineRule="auto"/>
        <w:ind w:firstLine="492" w:firstLineChars="204"/>
        <w:rPr>
          <w:rFonts w:hAnsi="宋体" w:cs="宋体"/>
          <w:sz w:val="24"/>
        </w:rPr>
      </w:pPr>
      <w:r>
        <w:rPr>
          <w:rFonts w:hint="eastAsia" w:ascii="宋体" w:hAnsi="宋体" w:cs="宋体"/>
          <w:sz w:val="24"/>
          <w:lang w:val="en-US" w:eastAsia="zh-CN"/>
        </w:rPr>
        <w:t>1</w:t>
      </w:r>
      <w:r>
        <w:rPr>
          <w:rFonts w:hint="eastAsia" w:ascii="宋体" w:hAnsi="宋体" w:cs="宋体"/>
          <w:sz w:val="24"/>
        </w:rPr>
        <w:t>.成交服务费的数额及缴纳方式</w:t>
      </w:r>
    </w:p>
    <w:p w14:paraId="052CA161">
      <w:pPr>
        <w:spacing w:line="360" w:lineRule="auto"/>
        <w:ind w:firstLine="489" w:firstLineChars="204"/>
        <w:jc w:val="left"/>
        <w:rPr>
          <w:rFonts w:hAnsi="宋体" w:cs="宋体"/>
          <w:sz w:val="24"/>
        </w:rPr>
      </w:pPr>
      <w:r>
        <w:rPr>
          <w:rFonts w:hint="eastAsia" w:hAnsi="宋体" w:cs="宋体"/>
          <w:sz w:val="24"/>
          <w:lang w:val="en-US" w:eastAsia="zh-CN"/>
        </w:rPr>
        <w:t>1</w:t>
      </w:r>
      <w:r>
        <w:rPr>
          <w:rFonts w:hint="eastAsia" w:hAnsi="宋体" w:cs="宋体"/>
          <w:sz w:val="24"/>
        </w:rPr>
        <w:t>.</w:t>
      </w:r>
      <w:r>
        <w:rPr>
          <w:rFonts w:hint="eastAsia" w:hAnsi="宋体" w:cs="宋体"/>
          <w:sz w:val="24"/>
          <w:lang w:val="en-US" w:eastAsia="zh-CN"/>
        </w:rPr>
        <w:t>1</w:t>
      </w:r>
      <w:r>
        <w:rPr>
          <w:rFonts w:hint="eastAsia" w:hAnsi="宋体" w:cs="宋体"/>
          <w:sz w:val="24"/>
        </w:rPr>
        <w:t xml:space="preserve"> 成交服务费:参考《国家计委关于印发〈招标代理服务费管理暂行办法〉的通知》（计价格〔2002〕1980号）、《国家发展和改革委员会办公厅关于招标代理服务收费有关问题的通知》（发改办价格〔2003〕857号）规定，具体金额将在结果公告中公布。</w:t>
      </w:r>
    </w:p>
    <w:p w14:paraId="1D5EB4F3">
      <w:pPr>
        <w:snapToGrid w:val="0"/>
        <w:spacing w:line="360" w:lineRule="auto"/>
        <w:ind w:firstLine="489" w:firstLineChars="204"/>
        <w:rPr>
          <w:rFonts w:hAnsi="宋体" w:cs="宋体"/>
          <w:sz w:val="24"/>
        </w:rPr>
      </w:pPr>
      <w:r>
        <w:rPr>
          <w:rFonts w:hint="eastAsia" w:hAnsi="宋体" w:cs="宋体"/>
          <w:sz w:val="24"/>
          <w:lang w:val="en-US" w:eastAsia="zh-CN"/>
        </w:rPr>
        <w:t>1</w:t>
      </w:r>
      <w:r>
        <w:rPr>
          <w:rFonts w:hint="eastAsia" w:hAnsi="宋体" w:cs="宋体"/>
          <w:sz w:val="24"/>
        </w:rPr>
        <w:t>.</w:t>
      </w:r>
      <w:r>
        <w:rPr>
          <w:rFonts w:hint="eastAsia" w:hAnsi="宋体" w:cs="宋体"/>
          <w:sz w:val="24"/>
          <w:lang w:val="en-US" w:eastAsia="zh-CN"/>
        </w:rPr>
        <w:t>2</w:t>
      </w:r>
      <w:r>
        <w:rPr>
          <w:rFonts w:hint="eastAsia" w:hAnsi="宋体" w:cs="宋体"/>
          <w:sz w:val="24"/>
        </w:rPr>
        <w:t xml:space="preserve"> 成交服务费，可以采取现金、支票、银行汇票、电汇、网银等方式缴纳。</w:t>
      </w:r>
    </w:p>
    <w:p w14:paraId="19C7CA8B">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firstLine="573" w:firstLineChars="204"/>
        <w:jc w:val="center"/>
        <w:textAlignment w:val="auto"/>
        <w:rPr>
          <w:rFonts w:hAnsi="宋体" w:cs="宋体"/>
          <w:b/>
          <w:bCs/>
          <w:sz w:val="28"/>
        </w:rPr>
      </w:pPr>
      <w:bookmarkStart w:id="106" w:name="_Toc22594"/>
      <w:bookmarkStart w:id="107" w:name="_Toc10180"/>
      <w:r>
        <w:rPr>
          <w:rFonts w:hint="eastAsia" w:hAnsi="宋体" w:cs="宋体"/>
          <w:b/>
          <w:bCs/>
          <w:sz w:val="28"/>
        </w:rPr>
        <w:t>十</w:t>
      </w:r>
      <w:r>
        <w:rPr>
          <w:rFonts w:hint="eastAsia" w:hAnsi="宋体" w:cs="宋体"/>
          <w:b/>
          <w:bCs/>
          <w:sz w:val="28"/>
          <w:lang w:val="en-US" w:eastAsia="zh-CN"/>
        </w:rPr>
        <w:t>一</w:t>
      </w:r>
      <w:r>
        <w:rPr>
          <w:rFonts w:hint="eastAsia" w:hAnsi="宋体" w:cs="宋体"/>
          <w:b/>
          <w:bCs/>
          <w:sz w:val="28"/>
        </w:rPr>
        <w:t>、质疑与投诉</w:t>
      </w:r>
      <w:bookmarkEnd w:id="106"/>
      <w:bookmarkEnd w:id="107"/>
    </w:p>
    <w:p w14:paraId="149B54B3">
      <w:pPr>
        <w:pStyle w:val="7"/>
        <w:keepNext w:val="0"/>
        <w:keepLines w:val="0"/>
        <w:numPr>
          <w:ilvl w:val="4"/>
          <w:numId w:val="0"/>
        </w:numPr>
        <w:spacing w:before="0" w:after="0" w:line="360" w:lineRule="auto"/>
        <w:ind w:firstLine="482"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.质疑</w:t>
      </w:r>
    </w:p>
    <w:p w14:paraId="79596DE0">
      <w:pPr>
        <w:widowControl/>
        <w:spacing w:line="360" w:lineRule="auto"/>
        <w:ind w:firstLine="489" w:firstLineChars="204"/>
        <w:rPr>
          <w:rFonts w:hAnsi="宋体" w:cs="宋体"/>
          <w:sz w:val="24"/>
        </w:rPr>
      </w:pPr>
      <w:r>
        <w:rPr>
          <w:rFonts w:hint="eastAsia" w:hAnsi="宋体" w:cs="宋体"/>
          <w:sz w:val="24"/>
          <w:lang w:val="en-US" w:eastAsia="zh-CN"/>
        </w:rPr>
        <w:t>1</w:t>
      </w:r>
      <w:r>
        <w:rPr>
          <w:rFonts w:hint="eastAsia" w:hAnsi="宋体" w:cs="宋体"/>
          <w:sz w:val="24"/>
        </w:rPr>
        <w:t>.1 供应商对本次招标采购活动有疑问的，按照国家《中华人民共和国政府采购法》、《中华人民共和国政府采购法实施条例》及《政府采购质疑和投诉办法》（财政部94号令）的规定办理。</w:t>
      </w:r>
    </w:p>
    <w:p w14:paraId="0DCC87DD">
      <w:pPr>
        <w:widowControl/>
        <w:spacing w:line="360" w:lineRule="auto"/>
        <w:ind w:firstLine="489" w:firstLineChars="204"/>
        <w:rPr>
          <w:rFonts w:hAnsi="宋体" w:cs="宋体"/>
          <w:sz w:val="24"/>
        </w:rPr>
      </w:pPr>
      <w:r>
        <w:rPr>
          <w:rFonts w:hint="eastAsia" w:hAnsi="宋体" w:cs="宋体"/>
          <w:sz w:val="24"/>
          <w:lang w:val="en-US" w:eastAsia="zh-CN"/>
        </w:rPr>
        <w:t>1</w:t>
      </w:r>
      <w:r>
        <w:rPr>
          <w:rFonts w:hint="eastAsia" w:hAnsi="宋体" w:cs="宋体"/>
          <w:sz w:val="24"/>
        </w:rPr>
        <w:t>.2 供应商对采购文件、采购过程或成交结果使自身的合法权益受到损害，应当在法定期限内，按照质疑函范本格式要求以书面形式向采购代理机构或采购人提出质疑。对</w:t>
      </w:r>
      <w:r>
        <w:rPr>
          <w:rFonts w:hint="eastAsia" w:hAnsi="宋体" w:cs="宋体"/>
          <w:sz w:val="24"/>
          <w:lang w:eastAsia="zh-CN"/>
        </w:rPr>
        <w:t>谈判</w:t>
      </w:r>
      <w:r>
        <w:rPr>
          <w:rFonts w:hint="eastAsia" w:hAnsi="宋体" w:cs="宋体"/>
          <w:sz w:val="24"/>
        </w:rPr>
        <w:t>文件提出质疑为获取采购文件之日起7个工作日内,对</w:t>
      </w:r>
      <w:r>
        <w:rPr>
          <w:rFonts w:hint="eastAsia" w:hAnsi="宋体" w:cs="宋体"/>
          <w:sz w:val="24"/>
          <w:lang w:eastAsia="zh-CN"/>
        </w:rPr>
        <w:t>谈判</w:t>
      </w:r>
      <w:r>
        <w:rPr>
          <w:rFonts w:hint="eastAsia" w:hAnsi="宋体" w:cs="宋体"/>
          <w:sz w:val="24"/>
        </w:rPr>
        <w:t>过程提出质疑为各采购环节结束之日起7个工作日内,对成交结果提出质疑的为成交公告期限届满之日起7个工作日内。</w:t>
      </w:r>
    </w:p>
    <w:p w14:paraId="48EEF92B">
      <w:pPr>
        <w:widowControl/>
        <w:spacing w:line="360" w:lineRule="auto"/>
        <w:ind w:firstLine="489" w:firstLineChars="204"/>
        <w:rPr>
          <w:rFonts w:hAnsi="宋体" w:cs="宋体"/>
          <w:sz w:val="24"/>
        </w:rPr>
      </w:pPr>
      <w:r>
        <w:rPr>
          <w:rFonts w:hint="eastAsia" w:hAnsi="宋体" w:cs="宋体"/>
          <w:sz w:val="24"/>
          <w:lang w:val="en-US" w:eastAsia="zh-CN"/>
        </w:rPr>
        <w:t>（1</w:t>
      </w:r>
      <w:r>
        <w:rPr>
          <w:rFonts w:hint="eastAsia" w:hAnsi="宋体" w:cs="宋体"/>
          <w:sz w:val="24"/>
        </w:rPr>
        <w:t>）质疑函应当包括以下主要内容：被质疑项目名称、项目编号、标段或包号、采购文件获取日期、质疑事项、证据及来源线索、法律依据（具体条款）、招标采购活动中自己权益受到侵害的实质内容、质疑人有效联系方式等。</w:t>
      </w:r>
    </w:p>
    <w:p w14:paraId="424A8FFE">
      <w:pPr>
        <w:widowControl/>
        <w:spacing w:line="360" w:lineRule="auto"/>
        <w:ind w:firstLine="489" w:firstLineChars="204"/>
        <w:rPr>
          <w:rFonts w:hAnsi="宋体" w:cs="宋体"/>
          <w:sz w:val="24"/>
        </w:rPr>
      </w:pPr>
      <w:r>
        <w:rPr>
          <w:rFonts w:hint="eastAsia" w:hAnsi="宋体" w:cs="宋体"/>
          <w:sz w:val="24"/>
        </w:rPr>
        <w:t>（2）质疑函应当由法定代表人或授权代表签字或盖章，并加盖单位公章，公章不得以合同章或其他印章代替，并附法人身份证明。</w:t>
      </w:r>
    </w:p>
    <w:p w14:paraId="43902C22">
      <w:pPr>
        <w:widowControl/>
        <w:spacing w:line="360" w:lineRule="auto"/>
        <w:ind w:firstLine="489" w:firstLineChars="204"/>
        <w:rPr>
          <w:rFonts w:hAnsi="宋体" w:cs="宋体"/>
          <w:sz w:val="24"/>
        </w:rPr>
      </w:pPr>
      <w:r>
        <w:rPr>
          <w:rFonts w:hint="eastAsia" w:hAnsi="宋体" w:cs="宋体"/>
          <w:sz w:val="24"/>
        </w:rPr>
        <w:t>（3）质疑函提交方式：由自然人本人或法定代表人或者主要负责人书面形式提交（可以也委托他人代交，但必须出具授权委托书原件，明确委托事宜。否则不予受理。</w:t>
      </w:r>
    </w:p>
    <w:p w14:paraId="01282F06">
      <w:pPr>
        <w:widowControl/>
        <w:spacing w:line="360" w:lineRule="auto"/>
        <w:ind w:firstLine="489" w:firstLineChars="204"/>
        <w:rPr>
          <w:rFonts w:hAnsi="宋体" w:cs="宋体"/>
          <w:sz w:val="24"/>
        </w:rPr>
      </w:pPr>
      <w:r>
        <w:rPr>
          <w:rFonts w:hint="eastAsia" w:hAnsi="宋体" w:cs="宋体"/>
          <w:sz w:val="24"/>
        </w:rPr>
        <w:t>（4）质疑函范本格式在中国政府采购网站（http://www.ccgp.gov.cn）自行下载。</w:t>
      </w:r>
    </w:p>
    <w:p w14:paraId="42BEE05C">
      <w:pPr>
        <w:widowControl/>
        <w:spacing w:line="360" w:lineRule="auto"/>
        <w:ind w:firstLine="489" w:firstLineChars="204"/>
        <w:rPr>
          <w:rFonts w:hAnsi="宋体" w:cs="宋体"/>
          <w:sz w:val="24"/>
        </w:rPr>
      </w:pPr>
      <w:r>
        <w:rPr>
          <w:rFonts w:hint="eastAsia" w:hAnsi="宋体" w:cs="宋体"/>
          <w:sz w:val="24"/>
        </w:rPr>
        <w:t>（5）接收质疑函的联系部门、联系电话和通讯地址同采购公告。</w:t>
      </w:r>
    </w:p>
    <w:p w14:paraId="7B15FE90">
      <w:pPr>
        <w:widowControl/>
        <w:spacing w:line="360" w:lineRule="auto"/>
        <w:ind w:firstLine="489" w:firstLineChars="204"/>
        <w:rPr>
          <w:rFonts w:hAnsi="宋体" w:cs="宋体"/>
          <w:sz w:val="24"/>
        </w:rPr>
      </w:pPr>
      <w:r>
        <w:rPr>
          <w:rFonts w:hint="eastAsia" w:hAnsi="宋体" w:cs="宋体"/>
          <w:sz w:val="24"/>
        </w:rPr>
        <w:t>（6）供应商必须在法定质疑期内一次性提出针对同一采购程序环节的质疑。</w:t>
      </w:r>
    </w:p>
    <w:p w14:paraId="4AF7B10C">
      <w:pPr>
        <w:widowControl/>
        <w:spacing w:line="360" w:lineRule="auto"/>
        <w:ind w:firstLine="480" w:firstLineChars="200"/>
        <w:rPr>
          <w:rFonts w:hAnsi="宋体" w:cs="宋体"/>
          <w:sz w:val="24"/>
        </w:rPr>
      </w:pPr>
      <w:r>
        <w:rPr>
          <w:rFonts w:hint="eastAsia" w:hAnsi="宋体" w:cs="宋体"/>
          <w:sz w:val="24"/>
          <w:lang w:val="en-US" w:eastAsia="zh-CN"/>
        </w:rPr>
        <w:t>1</w:t>
      </w:r>
      <w:r>
        <w:rPr>
          <w:rFonts w:hint="eastAsia" w:hAnsi="宋体" w:cs="宋体"/>
          <w:sz w:val="24"/>
        </w:rPr>
        <w:t>.3 有下列情形之一的，属于无效质疑，采购代理机构和采购人不予受理：</w:t>
      </w:r>
    </w:p>
    <w:p w14:paraId="4EC14948">
      <w:pPr>
        <w:widowControl/>
        <w:spacing w:line="360" w:lineRule="auto"/>
        <w:ind w:firstLine="489" w:firstLineChars="204"/>
        <w:rPr>
          <w:rFonts w:hAnsi="宋体" w:cs="宋体"/>
          <w:sz w:val="24"/>
        </w:rPr>
      </w:pPr>
      <w:r>
        <w:rPr>
          <w:rFonts w:hint="eastAsia" w:hAnsi="宋体" w:cs="宋体"/>
          <w:sz w:val="24"/>
        </w:rPr>
        <w:t>（1）质疑人不是参与本次政府采购项目的</w:t>
      </w:r>
      <w:r>
        <w:rPr>
          <w:rFonts w:hint="eastAsia" w:hAnsi="宋体" w:cs="宋体"/>
          <w:sz w:val="24"/>
          <w:lang w:eastAsia="zh-CN"/>
        </w:rPr>
        <w:t>供应商</w:t>
      </w:r>
      <w:r>
        <w:rPr>
          <w:rFonts w:hint="eastAsia" w:hAnsi="宋体" w:cs="宋体"/>
          <w:sz w:val="24"/>
        </w:rPr>
        <w:t>；</w:t>
      </w:r>
    </w:p>
    <w:p w14:paraId="62B86F23">
      <w:pPr>
        <w:widowControl/>
        <w:spacing w:line="360" w:lineRule="auto"/>
        <w:ind w:firstLine="489" w:firstLineChars="204"/>
        <w:rPr>
          <w:rFonts w:hAnsi="宋体" w:cs="宋体"/>
          <w:sz w:val="24"/>
        </w:rPr>
      </w:pPr>
      <w:r>
        <w:rPr>
          <w:rFonts w:hint="eastAsia" w:hAnsi="宋体" w:cs="宋体"/>
          <w:sz w:val="24"/>
        </w:rPr>
        <w:t>（2）质疑人与质疑事项不存在利害关系的；</w:t>
      </w:r>
    </w:p>
    <w:p w14:paraId="0DBEFD2A">
      <w:pPr>
        <w:widowControl/>
        <w:spacing w:line="360" w:lineRule="auto"/>
        <w:ind w:firstLine="489" w:firstLineChars="204"/>
        <w:rPr>
          <w:rFonts w:hAnsi="宋体" w:cs="宋体"/>
          <w:sz w:val="24"/>
        </w:rPr>
      </w:pPr>
      <w:r>
        <w:rPr>
          <w:rFonts w:hint="eastAsia" w:hAnsi="宋体" w:cs="宋体"/>
          <w:sz w:val="24"/>
        </w:rPr>
        <w:t>（3）未在法定期限内提出质疑的；</w:t>
      </w:r>
    </w:p>
    <w:p w14:paraId="2FCE098E">
      <w:pPr>
        <w:widowControl/>
        <w:spacing w:line="360" w:lineRule="auto"/>
        <w:ind w:firstLine="489" w:firstLineChars="204"/>
        <w:rPr>
          <w:rFonts w:hAnsi="宋体" w:cs="宋体"/>
          <w:sz w:val="24"/>
        </w:rPr>
      </w:pPr>
      <w:r>
        <w:rPr>
          <w:rFonts w:hint="eastAsia" w:hAnsi="宋体" w:cs="宋体"/>
          <w:sz w:val="24"/>
        </w:rPr>
        <w:t>（4）质疑未按质疑函范本格式提出的；</w:t>
      </w:r>
    </w:p>
    <w:p w14:paraId="529E7682">
      <w:pPr>
        <w:widowControl/>
        <w:spacing w:line="360" w:lineRule="auto"/>
        <w:ind w:firstLine="489" w:firstLineChars="204"/>
        <w:rPr>
          <w:rFonts w:hAnsi="宋体" w:cs="宋体"/>
          <w:sz w:val="24"/>
        </w:rPr>
      </w:pPr>
      <w:r>
        <w:rPr>
          <w:rFonts w:hint="eastAsia" w:hAnsi="宋体" w:cs="宋体"/>
          <w:sz w:val="24"/>
        </w:rPr>
        <w:t>（5）质疑函主要内容构成不完整的；</w:t>
      </w:r>
    </w:p>
    <w:p w14:paraId="2E3120AC">
      <w:pPr>
        <w:widowControl/>
        <w:spacing w:line="360" w:lineRule="auto"/>
        <w:ind w:firstLine="489" w:firstLineChars="204"/>
        <w:rPr>
          <w:rFonts w:hAnsi="宋体" w:cs="宋体"/>
          <w:sz w:val="24"/>
        </w:rPr>
      </w:pPr>
      <w:r>
        <w:rPr>
          <w:rFonts w:hint="eastAsia" w:hAnsi="宋体" w:cs="宋体"/>
          <w:sz w:val="24"/>
        </w:rPr>
        <w:t>（6）质疑函没有合法有效的签字、盖章或授权的；</w:t>
      </w:r>
    </w:p>
    <w:p w14:paraId="52D03E98">
      <w:pPr>
        <w:widowControl/>
        <w:spacing w:line="360" w:lineRule="auto"/>
        <w:ind w:firstLine="489" w:firstLineChars="204"/>
        <w:rPr>
          <w:rFonts w:hAnsi="宋体" w:cs="宋体"/>
          <w:sz w:val="24"/>
        </w:rPr>
      </w:pPr>
      <w:r>
        <w:rPr>
          <w:rFonts w:hint="eastAsia" w:hAnsi="宋体" w:cs="宋体"/>
          <w:sz w:val="24"/>
        </w:rPr>
        <w:t>（7）以非法手段取得证据、材料的；</w:t>
      </w:r>
    </w:p>
    <w:p w14:paraId="0EF61D74">
      <w:pPr>
        <w:widowControl/>
        <w:spacing w:line="360" w:lineRule="auto"/>
        <w:ind w:firstLine="489" w:firstLineChars="204"/>
        <w:rPr>
          <w:rFonts w:hAnsi="宋体" w:cs="宋体"/>
          <w:sz w:val="24"/>
        </w:rPr>
      </w:pPr>
      <w:r>
        <w:rPr>
          <w:rFonts w:hint="eastAsia" w:hAnsi="宋体" w:cs="宋体"/>
          <w:sz w:val="24"/>
        </w:rPr>
        <w:t>（8）质疑答复后，同一质疑人就同一事项再次提出质疑的；</w:t>
      </w:r>
    </w:p>
    <w:p w14:paraId="299382FA">
      <w:pPr>
        <w:widowControl/>
        <w:spacing w:line="360" w:lineRule="auto"/>
        <w:ind w:firstLine="489" w:firstLineChars="204"/>
        <w:rPr>
          <w:rFonts w:hAnsi="宋体" w:cs="宋体"/>
          <w:sz w:val="24"/>
        </w:rPr>
      </w:pPr>
      <w:r>
        <w:rPr>
          <w:rFonts w:hint="eastAsia" w:hAnsi="宋体" w:cs="宋体"/>
          <w:sz w:val="24"/>
        </w:rPr>
        <w:t>（9）不符合法律、法规、规章和政府采购监管机构规定的其他条件的。</w:t>
      </w:r>
    </w:p>
    <w:p w14:paraId="17DA9829">
      <w:pPr>
        <w:widowControl/>
        <w:spacing w:line="360" w:lineRule="auto"/>
        <w:ind w:firstLine="489" w:firstLineChars="204"/>
        <w:rPr>
          <w:rFonts w:hAnsi="宋体" w:cs="宋体"/>
          <w:sz w:val="24"/>
        </w:rPr>
      </w:pPr>
      <w:r>
        <w:rPr>
          <w:rFonts w:hint="eastAsia" w:hAnsi="宋体" w:cs="宋体"/>
          <w:sz w:val="24"/>
          <w:lang w:val="en-US" w:eastAsia="zh-CN"/>
        </w:rPr>
        <w:t>1</w:t>
      </w:r>
      <w:r>
        <w:rPr>
          <w:rFonts w:hint="eastAsia" w:hAnsi="宋体" w:cs="宋体"/>
          <w:sz w:val="24"/>
        </w:rPr>
        <w:t>.4 采购代理机构或采购人将在收到书面质疑后7个工作日内做出答复，并以书面形式通知质疑人和其他有关供应商。</w:t>
      </w:r>
    </w:p>
    <w:p w14:paraId="0737513F">
      <w:pPr>
        <w:pStyle w:val="7"/>
        <w:keepNext w:val="0"/>
        <w:keepLines w:val="0"/>
        <w:numPr>
          <w:ilvl w:val="4"/>
          <w:numId w:val="0"/>
        </w:numPr>
        <w:spacing w:before="0" w:after="0" w:line="360" w:lineRule="auto"/>
        <w:ind w:firstLine="492" w:firstLineChars="204"/>
        <w:rPr>
          <w:rFonts w:ascii="宋体" w:hAnsi="宋体" w:cs="宋体"/>
          <w:sz w:val="24"/>
        </w:rPr>
      </w:pPr>
      <w:r>
        <w:rPr>
          <w:rFonts w:hint="eastAsia" w:ascii="宋体" w:hAnsi="宋体" w:cs="宋体"/>
          <w:sz w:val="24"/>
          <w:lang w:val="en-US" w:eastAsia="zh-CN"/>
        </w:rPr>
        <w:t>2</w:t>
      </w:r>
      <w:r>
        <w:rPr>
          <w:rFonts w:hint="eastAsia" w:ascii="宋体" w:hAnsi="宋体" w:cs="宋体"/>
          <w:sz w:val="24"/>
        </w:rPr>
        <w:t>.投诉</w:t>
      </w:r>
    </w:p>
    <w:p w14:paraId="68DC7AA5">
      <w:pPr>
        <w:spacing w:line="360" w:lineRule="auto"/>
        <w:ind w:firstLine="489" w:firstLineChars="204"/>
        <w:jc w:val="left"/>
        <w:rPr>
          <w:rFonts w:hAnsi="宋体" w:cs="宋体"/>
          <w:sz w:val="24"/>
        </w:rPr>
      </w:pPr>
      <w:r>
        <w:rPr>
          <w:rFonts w:hint="eastAsia" w:hAnsi="宋体" w:cs="宋体"/>
          <w:sz w:val="24"/>
          <w:lang w:val="en-US" w:eastAsia="zh-CN"/>
        </w:rPr>
        <w:t>2</w:t>
      </w:r>
      <w:r>
        <w:rPr>
          <w:rFonts w:hint="eastAsia" w:hAnsi="宋体" w:cs="宋体"/>
          <w:sz w:val="24"/>
        </w:rPr>
        <w:t>.1 供应商和其他利害关系人认为本次招标采购活动违反法律、法规和规章规定的，有权向有关行政监督机构投诉。</w:t>
      </w:r>
    </w:p>
    <w:p w14:paraId="769F9C2A">
      <w:pPr>
        <w:spacing w:line="360" w:lineRule="auto"/>
        <w:ind w:firstLine="489" w:firstLineChars="204"/>
        <w:jc w:val="left"/>
        <w:rPr>
          <w:rFonts w:hAnsi="宋体" w:cs="宋体"/>
          <w:sz w:val="24"/>
        </w:rPr>
      </w:pPr>
      <w:r>
        <w:rPr>
          <w:rFonts w:hint="eastAsia" w:hAnsi="宋体" w:cs="宋体"/>
          <w:sz w:val="24"/>
        </w:rPr>
        <w:t>（1）质疑人对采购代理机构或采购人的答复不满意，以及采购代理机构或采购人未在规定时间内做出答复的，可以在答复期满后15个工作日内向政府采购监管机构提出投诉。</w:t>
      </w:r>
    </w:p>
    <w:p w14:paraId="42916B92">
      <w:pPr>
        <w:spacing w:line="360" w:lineRule="auto"/>
        <w:ind w:firstLine="489" w:firstLineChars="204"/>
        <w:jc w:val="left"/>
        <w:rPr>
          <w:rFonts w:hAnsi="宋体" w:cs="宋体"/>
          <w:sz w:val="24"/>
        </w:rPr>
      </w:pPr>
      <w:r>
        <w:rPr>
          <w:rFonts w:hint="eastAsia" w:hAnsi="宋体" w:cs="宋体"/>
          <w:sz w:val="24"/>
        </w:rPr>
        <w:t>（2）供应商投诉的事项不得超出已质疑事项的范围。</w:t>
      </w:r>
    </w:p>
    <w:p w14:paraId="01F57BAB">
      <w:pPr>
        <w:spacing w:line="360" w:lineRule="auto"/>
        <w:ind w:firstLine="489" w:firstLineChars="204"/>
        <w:jc w:val="left"/>
        <w:rPr>
          <w:rFonts w:hAnsi="宋体" w:cs="宋体"/>
          <w:sz w:val="24"/>
        </w:rPr>
      </w:pPr>
      <w:r>
        <w:rPr>
          <w:rFonts w:hint="eastAsia" w:hAnsi="宋体" w:cs="宋体"/>
          <w:sz w:val="24"/>
        </w:rPr>
        <w:t>（3）投诉书范本格式在中国政府采购网站（http://www.ccgp.gov.cn）自行下载。</w:t>
      </w:r>
    </w:p>
    <w:p w14:paraId="650AE6A3">
      <w:pPr>
        <w:widowControl/>
        <w:adjustRightInd w:val="0"/>
        <w:snapToGrid w:val="0"/>
        <w:spacing w:line="360" w:lineRule="auto"/>
        <w:ind w:firstLine="489" w:firstLineChars="204"/>
        <w:rPr>
          <w:rFonts w:hAnsi="宋体" w:cs="宋体"/>
          <w:sz w:val="24"/>
        </w:rPr>
      </w:pPr>
      <w:bookmarkStart w:id="108" w:name="_Toc15969"/>
      <w:r>
        <w:rPr>
          <w:rFonts w:hint="eastAsia" w:hAnsi="宋体" w:cs="宋体"/>
          <w:sz w:val="24"/>
          <w:lang w:val="en-US" w:eastAsia="zh-CN"/>
        </w:rPr>
        <w:t>2</w:t>
      </w:r>
      <w:r>
        <w:rPr>
          <w:rFonts w:hint="eastAsia" w:hAnsi="宋体" w:cs="宋体"/>
          <w:sz w:val="24"/>
        </w:rPr>
        <w:t>.2依据《中华人民共和国政府采购法》及其实施条例、《政府采购供应商投诉处理办法》等法律法规的规定，供应商质疑、投诉应当有明确的请求和必要的证明材料。</w:t>
      </w:r>
    </w:p>
    <w:p w14:paraId="292C2439">
      <w:pPr>
        <w:widowControl/>
        <w:adjustRightInd w:val="0"/>
        <w:snapToGrid w:val="0"/>
        <w:spacing w:line="360" w:lineRule="auto"/>
        <w:ind w:firstLine="489" w:firstLineChars="204"/>
        <w:rPr>
          <w:rFonts w:hAnsi="宋体" w:cs="宋体"/>
          <w:sz w:val="24"/>
        </w:rPr>
      </w:pPr>
      <w:r>
        <w:rPr>
          <w:rFonts w:hint="eastAsia" w:hAnsi="宋体" w:cs="宋体"/>
          <w:sz w:val="24"/>
        </w:rPr>
        <w:t>投诉人有下列行为之一的，属于虚假、恶意投诉，由财政部门列入不良行为记录名单，禁止其1至3年内参加政府采购活动：</w:t>
      </w:r>
    </w:p>
    <w:p w14:paraId="0F154C40">
      <w:pPr>
        <w:widowControl/>
        <w:adjustRightInd w:val="0"/>
        <w:snapToGrid w:val="0"/>
        <w:spacing w:line="360" w:lineRule="auto"/>
        <w:ind w:firstLine="489" w:firstLineChars="204"/>
        <w:rPr>
          <w:rFonts w:hAnsi="宋体" w:cs="宋体"/>
          <w:sz w:val="24"/>
        </w:rPr>
      </w:pPr>
      <w:r>
        <w:rPr>
          <w:rFonts w:hint="eastAsia" w:hAnsi="宋体" w:cs="宋体"/>
          <w:sz w:val="24"/>
        </w:rPr>
        <w:t>（一）捏造事实；</w:t>
      </w:r>
    </w:p>
    <w:p w14:paraId="6EBA5E7C">
      <w:pPr>
        <w:widowControl/>
        <w:adjustRightInd w:val="0"/>
        <w:snapToGrid w:val="0"/>
        <w:spacing w:line="360" w:lineRule="auto"/>
        <w:ind w:firstLine="489" w:firstLineChars="204"/>
        <w:rPr>
          <w:rFonts w:hAnsi="宋体" w:cs="宋体"/>
          <w:sz w:val="24"/>
        </w:rPr>
      </w:pPr>
      <w:r>
        <w:rPr>
          <w:rFonts w:hint="eastAsia" w:hAnsi="宋体" w:cs="宋体"/>
          <w:sz w:val="24"/>
        </w:rPr>
        <w:t>（二）提供虚假材料；</w:t>
      </w:r>
    </w:p>
    <w:p w14:paraId="28A06AB9">
      <w:pPr>
        <w:widowControl/>
        <w:adjustRightInd w:val="0"/>
        <w:snapToGrid w:val="0"/>
        <w:spacing w:line="360" w:lineRule="auto"/>
        <w:ind w:firstLine="489" w:firstLineChars="204"/>
        <w:rPr>
          <w:rFonts w:hAnsi="宋体" w:cs="宋体"/>
          <w:sz w:val="24"/>
        </w:rPr>
      </w:pPr>
      <w:r>
        <w:rPr>
          <w:rFonts w:hint="eastAsia" w:hAnsi="宋体" w:cs="宋体"/>
          <w:sz w:val="24"/>
        </w:rPr>
        <w:t>（三）以非法手段取得证明材料。证据来源的合法性存在明显疑问，投诉人无法证明其取得方式合法的，视为以非法手段取得证明材料。</w:t>
      </w:r>
    </w:p>
    <w:p w14:paraId="014DF7BC">
      <w:pPr>
        <w:widowControl/>
        <w:adjustRightInd w:val="0"/>
        <w:snapToGrid w:val="0"/>
        <w:spacing w:line="360" w:lineRule="auto"/>
        <w:ind w:firstLine="489" w:firstLineChars="204"/>
        <w:rPr>
          <w:rFonts w:hAnsi="宋体" w:cs="宋体"/>
          <w:sz w:val="24"/>
        </w:rPr>
      </w:pPr>
      <w:r>
        <w:rPr>
          <w:rFonts w:hint="eastAsia" w:hAnsi="宋体" w:cs="宋体"/>
          <w:sz w:val="24"/>
          <w:lang w:val="en-US" w:eastAsia="zh-CN"/>
        </w:rPr>
        <w:t>2</w:t>
      </w:r>
      <w:r>
        <w:rPr>
          <w:rFonts w:hint="eastAsia" w:hAnsi="宋体" w:cs="宋体"/>
          <w:sz w:val="24"/>
        </w:rPr>
        <w:t>.3供应商投诉的事项不得超出已质疑事项的范围。</w:t>
      </w:r>
    </w:p>
    <w:p w14:paraId="3289333C">
      <w:pPr>
        <w:pStyle w:val="7"/>
        <w:keepNext w:val="0"/>
        <w:keepLines w:val="0"/>
        <w:numPr>
          <w:ilvl w:val="4"/>
          <w:numId w:val="0"/>
        </w:numPr>
        <w:spacing w:before="0" w:after="0" w:line="360" w:lineRule="auto"/>
        <w:ind w:firstLine="492" w:firstLineChars="204"/>
        <w:rPr>
          <w:rFonts w:ascii="宋体" w:hAnsi="宋体" w:cs="宋体"/>
          <w:sz w:val="24"/>
        </w:rPr>
      </w:pPr>
      <w:r>
        <w:rPr>
          <w:rFonts w:hint="eastAsia" w:ascii="宋体" w:hAnsi="宋体" w:cs="宋体"/>
          <w:sz w:val="24"/>
          <w:lang w:val="en-US" w:eastAsia="zh-CN"/>
        </w:rPr>
        <w:t>3</w:t>
      </w:r>
      <w:r>
        <w:rPr>
          <w:rFonts w:hint="eastAsia" w:ascii="宋体" w:hAnsi="宋体" w:cs="宋体"/>
          <w:sz w:val="24"/>
        </w:rPr>
        <w:t>.其他</w:t>
      </w:r>
    </w:p>
    <w:p w14:paraId="357AC2FA">
      <w:pPr>
        <w:widowControl/>
        <w:adjustRightInd w:val="0"/>
        <w:snapToGrid w:val="0"/>
        <w:spacing w:line="360" w:lineRule="auto"/>
        <w:ind w:firstLine="489" w:firstLineChars="204"/>
        <w:rPr>
          <w:rFonts w:hAnsi="宋体" w:cs="宋体"/>
          <w:sz w:val="24"/>
        </w:rPr>
      </w:pPr>
      <w:r>
        <w:rPr>
          <w:rFonts w:hint="eastAsia" w:hAnsi="宋体" w:cs="宋体"/>
          <w:sz w:val="24"/>
          <w:lang w:val="en-US" w:eastAsia="zh-CN"/>
        </w:rPr>
        <w:t>3</w:t>
      </w:r>
      <w:r>
        <w:rPr>
          <w:rFonts w:hint="eastAsia" w:hAnsi="宋体" w:cs="宋体"/>
          <w:sz w:val="24"/>
        </w:rPr>
        <w:t>.1对捏造事实、提供虚假材料进行质疑、投诉的行为予以严肃处理：</w:t>
      </w:r>
    </w:p>
    <w:p w14:paraId="73607727">
      <w:pPr>
        <w:widowControl/>
        <w:adjustRightInd w:val="0"/>
        <w:snapToGrid w:val="0"/>
        <w:spacing w:line="360" w:lineRule="auto"/>
        <w:ind w:firstLine="489" w:firstLineChars="204"/>
        <w:rPr>
          <w:rFonts w:hAnsi="宋体" w:cs="宋体"/>
          <w:sz w:val="24"/>
        </w:rPr>
      </w:pPr>
      <w:r>
        <w:rPr>
          <w:rFonts w:hint="eastAsia" w:hAnsi="宋体" w:cs="宋体"/>
          <w:sz w:val="24"/>
        </w:rPr>
        <w:t>依据《政府采购质疑和投诉办法》（财政部94号令）有关规定，投诉供应商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0F147F0">
      <w:pPr>
        <w:widowControl/>
        <w:adjustRightInd w:val="0"/>
        <w:snapToGrid w:val="0"/>
        <w:spacing w:line="360" w:lineRule="auto"/>
        <w:ind w:firstLine="489" w:firstLineChars="204"/>
        <w:rPr>
          <w:rFonts w:hAnsi="宋体" w:cs="宋体"/>
          <w:sz w:val="24"/>
        </w:rPr>
      </w:pPr>
      <w:r>
        <w:rPr>
          <w:rFonts w:hint="eastAsia" w:hAnsi="宋体" w:cs="宋体"/>
          <w:sz w:val="24"/>
          <w:lang w:val="en-US" w:eastAsia="zh-CN"/>
        </w:rPr>
        <w:t>3</w:t>
      </w:r>
      <w:r>
        <w:rPr>
          <w:rFonts w:hint="eastAsia" w:hAnsi="宋体" w:cs="宋体"/>
          <w:sz w:val="24"/>
        </w:rPr>
        <w:t>.2对捏造事实诬告陷害他人、诽谤他人的法律适用：</w:t>
      </w:r>
    </w:p>
    <w:p w14:paraId="62CB00E8">
      <w:pPr>
        <w:widowControl/>
        <w:adjustRightInd w:val="0"/>
        <w:snapToGrid w:val="0"/>
        <w:spacing w:line="360" w:lineRule="auto"/>
        <w:ind w:firstLine="489" w:firstLineChars="204"/>
        <w:rPr>
          <w:rFonts w:hAnsi="宋体" w:cs="宋体"/>
          <w:sz w:val="24"/>
        </w:rPr>
      </w:pPr>
      <w:r>
        <w:rPr>
          <w:rFonts w:hint="eastAsia" w:hAnsi="宋体" w:cs="宋体"/>
          <w:sz w:val="24"/>
          <w:lang w:val="en-US" w:eastAsia="zh-CN"/>
        </w:rPr>
        <w:t>3</w:t>
      </w:r>
      <w:r>
        <w:rPr>
          <w:rFonts w:hint="eastAsia" w:hAnsi="宋体" w:cs="宋体"/>
          <w:sz w:val="24"/>
        </w:rPr>
        <w:t>.2.1《中华人民共和国刑法》第243条【诬告陷害罪】捏造事实诬告陷害他人，意图使他人受刑事追究，情节严重的，处三年以下有期徒刑、拘役或者管制；造成严重后果的，处三年以上十年以下有期徒刑。</w:t>
      </w:r>
    </w:p>
    <w:p w14:paraId="3C19D7DB">
      <w:pPr>
        <w:widowControl/>
        <w:adjustRightInd w:val="0"/>
        <w:snapToGrid w:val="0"/>
        <w:spacing w:line="360" w:lineRule="auto"/>
        <w:ind w:firstLine="489" w:firstLineChars="204"/>
        <w:rPr>
          <w:rFonts w:hAnsi="宋体" w:cs="宋体"/>
          <w:sz w:val="24"/>
        </w:rPr>
      </w:pPr>
      <w:r>
        <w:rPr>
          <w:rFonts w:hint="eastAsia" w:hAnsi="宋体" w:cs="宋体"/>
          <w:sz w:val="24"/>
          <w:lang w:val="en-US" w:eastAsia="zh-CN"/>
        </w:rPr>
        <w:t>3</w:t>
      </w:r>
      <w:r>
        <w:rPr>
          <w:rFonts w:hint="eastAsia" w:hAnsi="宋体" w:cs="宋体"/>
          <w:sz w:val="24"/>
        </w:rPr>
        <w:t>.2.2《中华人民共和国刑法》第246条【侮辱罪、诽谤罪】以暴力或者其他方法公然侮辱他人或者捏造事实诽谤他人，情节严重的，处三年以下有期徒刑、拘役、管制或者剥夺政治权利。</w:t>
      </w:r>
    </w:p>
    <w:bookmarkEnd w:id="108"/>
    <w:p w14:paraId="2EABC772">
      <w:pPr>
        <w:pStyle w:val="3"/>
        <w:spacing w:line="360" w:lineRule="auto"/>
        <w:ind w:firstLine="721" w:firstLineChars="164"/>
        <w:rPr>
          <w:rFonts w:hAnsi="宋体" w:cs="宋体"/>
          <w:sz w:val="24"/>
          <w:szCs w:val="24"/>
        </w:rPr>
      </w:pPr>
      <w:r>
        <w:rPr>
          <w:rFonts w:hint="eastAsia" w:ascii="宋体" w:hAnsi="宋体" w:cs="宋体"/>
          <w:sz w:val="44"/>
          <w:szCs w:val="44"/>
        </w:rPr>
        <w:br w:type="page"/>
      </w:r>
      <w:bookmarkStart w:id="109" w:name="_Toc217446093"/>
    </w:p>
    <w:bookmarkEnd w:id="109"/>
    <w:p w14:paraId="621A86FA">
      <w:pPr>
        <w:numPr>
          <w:ilvl w:val="0"/>
          <w:numId w:val="0"/>
        </w:numPr>
        <w:bidi w:val="0"/>
        <w:spacing w:line="360" w:lineRule="auto"/>
        <w:jc w:val="center"/>
        <w:rPr>
          <w:b/>
          <w:bCs/>
          <w:sz w:val="28"/>
          <w:szCs w:val="16"/>
        </w:rPr>
      </w:pPr>
      <w:bookmarkStart w:id="110" w:name="_Toc23487"/>
      <w:bookmarkStart w:id="111" w:name="_Toc8107"/>
      <w:bookmarkStart w:id="112" w:name="_Toc4449"/>
      <w:r>
        <w:rPr>
          <w:rFonts w:hint="eastAsia"/>
          <w:b/>
          <w:bCs/>
          <w:sz w:val="28"/>
          <w:szCs w:val="16"/>
          <w:lang w:val="en-US" w:eastAsia="zh-CN"/>
        </w:rPr>
        <w:t xml:space="preserve">第三章  </w:t>
      </w:r>
      <w:r>
        <w:rPr>
          <w:rFonts w:hint="eastAsia"/>
          <w:b/>
          <w:bCs/>
          <w:sz w:val="28"/>
          <w:szCs w:val="16"/>
        </w:rPr>
        <w:t>商务条款</w:t>
      </w:r>
      <w:bookmarkEnd w:id="110"/>
      <w:bookmarkEnd w:id="111"/>
      <w:bookmarkEnd w:id="112"/>
    </w:p>
    <w:p w14:paraId="6BF3C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一、服务期限： 合同签订之日起至 2026年5月</w:t>
      </w:r>
    </w:p>
    <w:p w14:paraId="1450BA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二、服务地点：在曾家镇、牛头店镇、城关镇、上竹镇、曙坪镇、钟宝镇、华坪镇和镇坪县国有林场区域内。</w:t>
      </w:r>
    </w:p>
    <w:p w14:paraId="66B26F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三、服务质量要求：按照国家该行业相关标准和合同约定的相关要求。</w:t>
      </w:r>
    </w:p>
    <w:p w14:paraId="7D03DB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四、付款方式：</w:t>
      </w:r>
    </w:p>
    <w:p w14:paraId="2696C2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合同签订后预付30%为施工启动资金，乙方施工结束后书面申请甲方组织检查验收，经跟班作业人员确认,并经甲乙双方组织财政等相关人员组成验收小组进行实地验收施工质量，经验收，质量合格后一次性付清下余70%项目款。</w:t>
      </w:r>
    </w:p>
    <w:p w14:paraId="1D2CDC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sz w:val="24"/>
          <w:szCs w:val="24"/>
        </w:rPr>
        <w:t>五、</w:t>
      </w:r>
      <w:r>
        <w:rPr>
          <w:rFonts w:hint="eastAsia" w:ascii="宋体" w:hAnsi="宋体" w:eastAsia="宋体" w:cs="宋体"/>
          <w:b w:val="0"/>
          <w:bCs w:val="0"/>
          <w:sz w:val="24"/>
          <w:szCs w:val="24"/>
          <w:lang w:eastAsia="zh-CN"/>
        </w:rPr>
        <w:t>验收及决算</w:t>
      </w:r>
    </w:p>
    <w:p w14:paraId="6F9798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工程施工完成后，乙方向甲方提交书面请验报告，甲方收到乙方请验报告后，及时组织相关单位按照技术要求进行验收，并在验收后给予验收结论，或提出整改意见，乙方应按要求整改，并承担由自身原因造成的费用。</w:t>
      </w:r>
    </w:p>
    <w:p w14:paraId="23E9C3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六、</w:t>
      </w:r>
      <w:r>
        <w:rPr>
          <w:rFonts w:hint="eastAsia" w:ascii="宋体" w:hAnsi="宋体" w:eastAsia="宋体" w:cs="宋体"/>
          <w:b w:val="0"/>
          <w:bCs w:val="0"/>
          <w:sz w:val="24"/>
          <w:szCs w:val="24"/>
          <w:lang w:eastAsia="zh-CN"/>
        </w:rPr>
        <w:t>其他要求：</w:t>
      </w:r>
    </w:p>
    <w:p w14:paraId="642AA2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）乙方应严格按照合同约定时限完工及申请验收；</w:t>
      </w:r>
    </w:p>
    <w:p w14:paraId="016D045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）非经甲方书面同意乙方不得转包</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否则甲方有权终止本合同拒付项目款；</w:t>
      </w:r>
    </w:p>
    <w:p w14:paraId="3EC2785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（三）乙方施工未达到甲方要求的，甲方有权</w:t>
      </w:r>
      <w:r>
        <w:rPr>
          <w:rFonts w:hint="eastAsia" w:ascii="宋体" w:hAnsi="宋体" w:eastAsia="宋体" w:cs="宋体"/>
          <w:b w:val="0"/>
          <w:bCs w:val="0"/>
          <w:sz w:val="24"/>
          <w:szCs w:val="24"/>
          <w:lang w:eastAsia="zh-CN"/>
        </w:rPr>
        <w:t>终止本合同拒付项目款。</w:t>
      </w:r>
    </w:p>
    <w:p w14:paraId="25D59A3D">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、安全责任</w:t>
      </w:r>
    </w:p>
    <w:p w14:paraId="76E3F931">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投标人在施工前，必须与采购人签订安全责任书，明确投标人施工作业安全责任； 在项目施工期间所发生的一切安全责任和事故等均由投标人负责，与采购人无关。</w:t>
      </w:r>
    </w:p>
    <w:p w14:paraId="06C1C590">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、违约责任</w:t>
      </w:r>
    </w:p>
    <w:p w14:paraId="55F4ECF7">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1、按《中华人民共和国民典法》中的相关条款执行。</w:t>
      </w:r>
    </w:p>
    <w:p w14:paraId="40D459E2">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2、未按合同要求提供服务或服务质量不能满足采购人要求，采购人有权终止合同， 同时报请政府采购管理部门对其违约行为进行追究。</w:t>
      </w:r>
    </w:p>
    <w:p w14:paraId="33A7CF4F">
      <w:pPr>
        <w:bidi w:val="0"/>
        <w:spacing w:line="360" w:lineRule="auto"/>
        <w:rPr>
          <w:rFonts w:hint="eastAsia" w:ascii="宋体" w:hAnsi="宋体" w:eastAsia="宋体" w:cs="宋体"/>
          <w:b w:val="0"/>
          <w:bCs/>
          <w:sz w:val="24"/>
          <w:szCs w:val="24"/>
        </w:rPr>
        <w:sectPr>
          <w:footerReference r:id="rId5" w:type="default"/>
          <w:pgSz w:w="11906" w:h="16839"/>
          <w:pgMar w:top="1393" w:right="1349" w:bottom="1065" w:left="1441" w:header="0" w:footer="903" w:gutter="0"/>
          <w:pgNumType w:fmt="decimal"/>
          <w:cols w:space="720" w:num="1"/>
        </w:sectPr>
      </w:pPr>
    </w:p>
    <w:p w14:paraId="27C1C971">
      <w:pPr>
        <w:pStyle w:val="2"/>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ascii="宋体" w:hAnsi="宋体" w:cs="宋体"/>
          <w:sz w:val="28"/>
          <w:szCs w:val="28"/>
        </w:rPr>
      </w:pPr>
      <w:bookmarkStart w:id="113" w:name="_Toc27142"/>
      <w:bookmarkStart w:id="114" w:name="_Toc15384"/>
      <w:bookmarkStart w:id="115" w:name="_Toc15463"/>
      <w:r>
        <w:rPr>
          <w:rFonts w:hint="eastAsia" w:ascii="宋体" w:hAnsi="宋体" w:cs="宋体"/>
          <w:sz w:val="28"/>
          <w:szCs w:val="28"/>
        </w:rPr>
        <w:t>第</w:t>
      </w:r>
      <w:r>
        <w:rPr>
          <w:rFonts w:hint="eastAsia" w:ascii="宋体" w:hAnsi="宋体" w:cs="宋体"/>
          <w:sz w:val="28"/>
          <w:szCs w:val="28"/>
          <w:lang w:val="en-US" w:eastAsia="zh-CN"/>
        </w:rPr>
        <w:t>四</w:t>
      </w:r>
      <w:r>
        <w:rPr>
          <w:rFonts w:hint="eastAsia" w:ascii="宋体" w:hAnsi="宋体" w:cs="宋体"/>
          <w:sz w:val="28"/>
          <w:szCs w:val="28"/>
        </w:rPr>
        <w:t>章 采购需求</w:t>
      </w:r>
      <w:bookmarkEnd w:id="113"/>
      <w:bookmarkEnd w:id="114"/>
    </w:p>
    <w:bookmarkEnd w:id="115"/>
    <w:p w14:paraId="7BBD03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一、技术要求</w:t>
      </w:r>
    </w:p>
    <w:p w14:paraId="54860D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松材线虫病疫情普查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对全县范围内8.45万亩</w:t>
      </w:r>
      <w:r>
        <w:rPr>
          <w:rFonts w:hint="eastAsia" w:ascii="宋体" w:hAnsi="宋体" w:eastAsia="宋体" w:cs="宋体"/>
          <w:b w:val="0"/>
          <w:bCs w:val="0"/>
          <w:sz w:val="24"/>
          <w:szCs w:val="24"/>
        </w:rPr>
        <w:t>松林面积逐小班、逐地块开展秋季松材线虫病普查，调查是否出现松树枯死、松针变色等异常情况，取样鉴定是否发生松材线虫病。若发现</w:t>
      </w:r>
      <w:r>
        <w:rPr>
          <w:rFonts w:hint="eastAsia" w:ascii="宋体" w:hAnsi="宋体" w:eastAsia="宋体" w:cs="宋体"/>
          <w:b w:val="0"/>
          <w:bCs w:val="0"/>
          <w:sz w:val="24"/>
          <w:szCs w:val="24"/>
          <w:lang w:val="en-US" w:eastAsia="zh-CN"/>
        </w:rPr>
        <w:t>松树</w:t>
      </w:r>
      <w:r>
        <w:rPr>
          <w:rFonts w:hint="eastAsia" w:ascii="宋体" w:hAnsi="宋体" w:eastAsia="宋体" w:cs="宋体"/>
          <w:b w:val="0"/>
          <w:bCs w:val="0"/>
          <w:spacing w:val="6"/>
          <w:sz w:val="24"/>
          <w:szCs w:val="24"/>
          <w:lang w:val="en-US" w:eastAsia="zh-CN"/>
        </w:rPr>
        <w:t>针叶呈现红色、红褐色、黄色、黄褐色、淡黄色并成束下垂，松针不易脱落的整株</w:t>
      </w:r>
      <w:r>
        <w:rPr>
          <w:rFonts w:hint="eastAsia" w:ascii="宋体" w:hAnsi="宋体" w:eastAsia="宋体" w:cs="宋体"/>
          <w:b w:val="0"/>
          <w:bCs w:val="0"/>
          <w:sz w:val="24"/>
          <w:szCs w:val="24"/>
        </w:rPr>
        <w:t>枯死、</w:t>
      </w:r>
      <w:r>
        <w:rPr>
          <w:rFonts w:hint="eastAsia" w:ascii="宋体" w:hAnsi="宋体" w:eastAsia="宋体" w:cs="宋体"/>
          <w:b w:val="0"/>
          <w:bCs w:val="0"/>
          <w:sz w:val="24"/>
          <w:szCs w:val="24"/>
          <w:lang w:val="en-US" w:eastAsia="zh-CN"/>
        </w:rPr>
        <w:t>濒</w:t>
      </w:r>
      <w:r>
        <w:rPr>
          <w:rFonts w:hint="eastAsia" w:ascii="宋体" w:hAnsi="宋体" w:eastAsia="宋体" w:cs="宋体"/>
          <w:b w:val="0"/>
          <w:bCs w:val="0"/>
          <w:sz w:val="24"/>
          <w:szCs w:val="24"/>
        </w:rPr>
        <w:t>死松树</w:t>
      </w:r>
      <w:r>
        <w:rPr>
          <w:rFonts w:hint="eastAsia" w:ascii="宋体" w:hAnsi="宋体" w:eastAsia="宋体" w:cs="宋体"/>
          <w:b w:val="0"/>
          <w:bCs w:val="0"/>
          <w:sz w:val="24"/>
          <w:szCs w:val="24"/>
          <w:lang w:val="en-US" w:eastAsia="zh-CN"/>
        </w:rPr>
        <w:t>或者部分枝条萎蔫的松树</w:t>
      </w:r>
      <w:r>
        <w:rPr>
          <w:rFonts w:hint="eastAsia" w:ascii="宋体" w:hAnsi="宋体" w:eastAsia="宋体" w:cs="宋体"/>
          <w:b w:val="0"/>
          <w:bCs w:val="0"/>
          <w:sz w:val="24"/>
          <w:szCs w:val="24"/>
        </w:rPr>
        <w:t>进行取样检测，取样方法：对于整株表现出典型症状的，在树干下部（胸高处，约1.5米）取样，5米以上高大松树，或即死即清的松树增加中、上部位取样；对于部分枝条表现症状的，在萎蔫、枯死的枝条或树干上部（主干与主侧枝交界处）取样。对于树干内发现媒介昆虫蛹的，优先在蛹室周围取样</w:t>
      </w:r>
      <w:r>
        <w:rPr>
          <w:rFonts w:hint="eastAsia" w:ascii="宋体" w:hAnsi="宋体" w:eastAsia="宋体" w:cs="宋体"/>
          <w:b w:val="0"/>
          <w:bCs w:val="0"/>
          <w:sz w:val="24"/>
          <w:szCs w:val="24"/>
          <w:lang w:eastAsia="zh-CN"/>
        </w:rPr>
        <w:t>。</w:t>
      </w:r>
    </w:p>
    <w:p w14:paraId="147F87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取样方法。在取样部位剥净树皮，用砍刀或者斧头直接砍取或使用专用取样钻直接钻取100</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200克木片或木屑；或者将枯死松树伐倒，在取样部位截取2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3厘米厚的圆盘。取样时应避开采脂、环剥或其它原因导致机械损伤的部位。所取样品应当用封口袋等包装，长距离运输需留出透气孔（圆盘的长距离运输要做好防止天牛逃逸措施），并及时贴上标签，标明样品号、取样地点（需标明地理坐标）、树种、树龄、取样 部位、取样时间、取样人和联系电话等信息。</w:t>
      </w:r>
    </w:p>
    <w:p w14:paraId="39461A0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取样数量。日常监测发现有异常死亡松树的小班，死亡松树数量不足5株的，全部取样检测；死亡松树数量超过5株的，先选择5株具有典型症状的松树进行检测。如检测到松材线虫，可不再取样；如未检测出松材线虫，但在日常监测过程中发现异常死亡松树数量增加的，应继续取样检测。重点预防区可视情况增加取样数量。对已经确认疫情的乡镇，可根据实际工作需要进行取样。采集的样品应当妥善保管并及时分离鉴定，样品分离鉴定后须及时销毁。样品若需短期保存，可将样品装入塑料袋内，扎紧袋口，在袋上扎若干小孔（若为圆盘无 需装入塑料袋，但要做好防护措施，防止天牛羽化逃逸），放入4℃冰箱，若需较长时间保存，要定期在样品上喷水保湿。</w:t>
      </w:r>
    </w:p>
    <w:p w14:paraId="0BCC333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2"/>
        <w:rPr>
          <w:rFonts w:hint="eastAsia" w:ascii="宋体" w:hAnsi="宋体" w:eastAsia="宋体" w:cs="宋体"/>
          <w:b w:val="0"/>
          <w:bCs w:val="0"/>
          <w:sz w:val="24"/>
          <w:szCs w:val="24"/>
        </w:rPr>
      </w:pPr>
      <w:bookmarkStart w:id="116" w:name="_Toc28694"/>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虫害松木的清理</w:t>
      </w:r>
      <w:bookmarkEnd w:id="116"/>
    </w:p>
    <w:p w14:paraId="3DABF8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清除方式：择伐清理。对华山松大小蠹危害致死的松树进行清理。采伐的松木和直径超过1厘米的枝丫应在林区内就地就近及时进行除害处理。</w:t>
      </w:r>
    </w:p>
    <w:p w14:paraId="352DE7B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xml:space="preserve">清除时间与作业要求：集中清除。在冬春季华山松大小蠹非羽化期内（一般是当年10月至次年4月）采伐清理死亡松树并进行除害处理。 </w:t>
      </w:r>
    </w:p>
    <w:p w14:paraId="3E874F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烧毁处理：就地烧毁采伐清理的虫害松木及直径超过1厘米的枝丫，焚烧现场实行全过程旁站式监管，确保用火安全。</w:t>
      </w:r>
    </w:p>
    <w:p w14:paraId="2B326E8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乙方须严格按照采购内容及甲方要求进行作业，并接受甲方的技术指导和监督。</w:t>
      </w:r>
      <w:r>
        <w:rPr>
          <w:rFonts w:hint="eastAsia" w:ascii="宋体" w:hAnsi="宋体" w:eastAsia="宋体" w:cs="宋体"/>
          <w:b w:val="0"/>
          <w:bCs w:val="0"/>
          <w:sz w:val="24"/>
          <w:szCs w:val="24"/>
          <w:lang w:val="en-US" w:eastAsia="zh-CN"/>
        </w:rPr>
        <w:t>清理处置</w:t>
      </w:r>
      <w:r>
        <w:rPr>
          <w:rFonts w:hint="eastAsia" w:ascii="宋体" w:hAnsi="宋体" w:eastAsia="宋体" w:cs="宋体"/>
          <w:b w:val="0"/>
          <w:bCs w:val="0"/>
          <w:sz w:val="24"/>
          <w:szCs w:val="24"/>
        </w:rPr>
        <w:t>过程中要严格执行国家林业和草原局修订</w:t>
      </w:r>
      <w:r>
        <w:rPr>
          <w:rFonts w:hint="eastAsia" w:ascii="宋体" w:hAnsi="宋体" w:eastAsia="宋体" w:cs="宋体"/>
          <w:b w:val="0"/>
          <w:bCs w:val="0"/>
          <w:sz w:val="24"/>
          <w:szCs w:val="24"/>
          <w:lang w:val="en-US" w:eastAsia="zh-CN"/>
        </w:rPr>
        <w:t>《松材线虫病防治技术方案（2024年版）》</w:t>
      </w:r>
      <w:r>
        <w:rPr>
          <w:rFonts w:hint="eastAsia" w:ascii="宋体" w:hAnsi="宋体" w:eastAsia="宋体" w:cs="宋体"/>
          <w:b w:val="0"/>
          <w:bCs w:val="0"/>
          <w:sz w:val="24"/>
          <w:szCs w:val="24"/>
        </w:rPr>
        <w:t>的技术标准</w:t>
      </w:r>
      <w:r>
        <w:rPr>
          <w:rFonts w:hint="eastAsia" w:ascii="宋体" w:hAnsi="宋体" w:eastAsia="宋体" w:cs="宋体"/>
          <w:b w:val="0"/>
          <w:bCs w:val="0"/>
          <w:sz w:val="24"/>
          <w:szCs w:val="24"/>
          <w:lang w:val="en-US" w:eastAsia="zh-CN"/>
        </w:rPr>
        <w:t>进行清理处置</w:t>
      </w:r>
      <w:r>
        <w:rPr>
          <w:rFonts w:hint="eastAsia" w:ascii="宋体" w:hAnsi="宋体" w:eastAsia="宋体" w:cs="宋体"/>
          <w:b w:val="0"/>
          <w:bCs w:val="0"/>
          <w:sz w:val="24"/>
          <w:szCs w:val="24"/>
        </w:rPr>
        <w:t>，确保实效。</w:t>
      </w:r>
    </w:p>
    <w:p w14:paraId="0366428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质量要求：①对树桩进行药物处理、覆膜伐桩，烧毁清理枯死木及枝丫（碳化），做到无枯死松树</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通过各级检查验收合格。</w:t>
      </w:r>
      <w:r>
        <w:rPr>
          <w:rFonts w:hint="eastAsia" w:ascii="宋体" w:hAnsi="宋体" w:eastAsia="宋体" w:cs="宋体"/>
          <w:b w:val="0"/>
          <w:bCs w:val="0"/>
          <w:sz w:val="24"/>
          <w:szCs w:val="24"/>
        </w:rPr>
        <w:t>②所有清理砍伐的松树枝桠及主干一律在清理范围内就地烧毁，枯死木伐桩低于5cm，枯死松树的伐桩全部在伐桩上放置磷化铝片，再加套0.8毫米以上厚度的塑料农膜覆盖并在四周用土压实措施，保持密闭，并按除治小地名或小班标</w:t>
      </w:r>
      <w:r>
        <w:rPr>
          <w:rFonts w:hint="eastAsia" w:ascii="宋体" w:hAnsi="宋体" w:eastAsia="宋体" w:cs="宋体"/>
          <w:b w:val="0"/>
          <w:bCs w:val="0"/>
          <w:sz w:val="24"/>
          <w:szCs w:val="24"/>
          <w:lang w:eastAsia="zh-CN"/>
        </w:rPr>
        <w:t>注伐桩编</w:t>
      </w:r>
      <w:r>
        <w:rPr>
          <w:rFonts w:hint="eastAsia" w:ascii="宋体" w:hAnsi="宋体" w:eastAsia="宋体" w:cs="宋体"/>
          <w:b w:val="0"/>
          <w:bCs w:val="0"/>
          <w:sz w:val="24"/>
          <w:szCs w:val="24"/>
        </w:rPr>
        <w:t>号，以便检查验收。③除治山场必须每日清理干净，不保留1cm以上（厚或粗）木屑和枝丫。④除治区域</w:t>
      </w:r>
      <w:r>
        <w:rPr>
          <w:rFonts w:hint="eastAsia" w:ascii="宋体" w:hAnsi="宋体" w:eastAsia="宋体" w:cs="宋体"/>
          <w:b w:val="0"/>
          <w:bCs w:val="0"/>
          <w:sz w:val="24"/>
          <w:szCs w:val="24"/>
          <w:lang w:eastAsia="zh-CN"/>
        </w:rPr>
        <w:t>内所除治疫木无流失</w:t>
      </w:r>
      <w:r>
        <w:rPr>
          <w:rFonts w:hint="eastAsia" w:ascii="宋体" w:hAnsi="宋体" w:eastAsia="宋体" w:cs="宋体"/>
          <w:b w:val="0"/>
          <w:bCs w:val="0"/>
          <w:sz w:val="24"/>
          <w:szCs w:val="24"/>
        </w:rPr>
        <w:t>。除治成</w:t>
      </w:r>
      <w:r>
        <w:rPr>
          <w:rFonts w:hint="eastAsia" w:ascii="宋体" w:hAnsi="宋体" w:eastAsia="宋体" w:cs="宋体"/>
          <w:b w:val="0"/>
          <w:bCs w:val="0"/>
          <w:sz w:val="24"/>
          <w:szCs w:val="24"/>
          <w:lang w:eastAsia="zh-CN"/>
        </w:rPr>
        <w:t>效</w:t>
      </w:r>
      <w:r>
        <w:rPr>
          <w:rFonts w:hint="eastAsia" w:ascii="宋体" w:hAnsi="宋体" w:eastAsia="宋体" w:cs="宋体"/>
          <w:b w:val="0"/>
          <w:bCs w:val="0"/>
          <w:sz w:val="24"/>
          <w:szCs w:val="24"/>
        </w:rPr>
        <w:t>及所使用的药物必须完全符合招标文件及有关国家标准所规定的质量、规格和要求，如达不到质量标准要求的不予验收。</w:t>
      </w:r>
    </w:p>
    <w:p w14:paraId="42AC6CF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烧毁处理：</w:t>
      </w:r>
      <w:r>
        <w:rPr>
          <w:rFonts w:hint="eastAsia" w:ascii="宋体" w:hAnsi="宋体" w:eastAsia="宋体" w:cs="宋体"/>
          <w:b w:val="0"/>
          <w:bCs w:val="0"/>
          <w:sz w:val="24"/>
          <w:szCs w:val="24"/>
          <w:lang w:eastAsia="zh-CN"/>
        </w:rPr>
        <w:t>乙方除治施工前向县森林防火指挥部办公室进行野外用火报备，在施工期间每日向属地镇政府报备施工地点；疫木烧毁应</w:t>
      </w:r>
      <w:r>
        <w:rPr>
          <w:rFonts w:hint="eastAsia" w:ascii="宋体" w:hAnsi="宋体" w:eastAsia="宋体" w:cs="宋体"/>
          <w:b w:val="0"/>
          <w:bCs w:val="0"/>
          <w:sz w:val="24"/>
          <w:szCs w:val="24"/>
        </w:rPr>
        <w:t>选取远离居民区、建筑物且安全的地点进行烧毁，烧毁枯死木时要清理周围可燃物，</w:t>
      </w:r>
      <w:r>
        <w:rPr>
          <w:rFonts w:hint="eastAsia" w:ascii="宋体" w:hAnsi="宋体" w:eastAsia="宋体" w:cs="宋体"/>
          <w:b w:val="0"/>
          <w:bCs w:val="0"/>
          <w:sz w:val="24"/>
          <w:szCs w:val="24"/>
          <w:lang w:eastAsia="zh-CN"/>
        </w:rPr>
        <w:t>加强森林防火管理，</w:t>
      </w:r>
      <w:r>
        <w:rPr>
          <w:rFonts w:hint="eastAsia" w:ascii="宋体" w:hAnsi="宋体" w:eastAsia="宋体" w:cs="宋体"/>
          <w:b w:val="0"/>
          <w:bCs w:val="0"/>
          <w:sz w:val="24"/>
          <w:szCs w:val="24"/>
        </w:rPr>
        <w:t>严</w:t>
      </w:r>
      <w:r>
        <w:rPr>
          <w:rFonts w:hint="eastAsia" w:ascii="宋体" w:hAnsi="宋体" w:eastAsia="宋体" w:cs="宋体"/>
          <w:b w:val="0"/>
          <w:bCs w:val="0"/>
          <w:sz w:val="24"/>
          <w:szCs w:val="24"/>
          <w:lang w:eastAsia="zh-CN"/>
        </w:rPr>
        <w:t>防</w:t>
      </w:r>
      <w:r>
        <w:rPr>
          <w:rFonts w:hint="eastAsia" w:ascii="宋体" w:hAnsi="宋体" w:eastAsia="宋体" w:cs="宋体"/>
          <w:b w:val="0"/>
          <w:bCs w:val="0"/>
          <w:sz w:val="24"/>
          <w:szCs w:val="24"/>
        </w:rPr>
        <w:t>森林火灾</w:t>
      </w:r>
      <w:r>
        <w:rPr>
          <w:rFonts w:hint="eastAsia" w:ascii="宋体" w:hAnsi="宋体" w:eastAsia="宋体" w:cs="宋体"/>
          <w:b w:val="0"/>
          <w:bCs w:val="0"/>
          <w:sz w:val="24"/>
          <w:szCs w:val="24"/>
          <w:lang w:eastAsia="zh-CN"/>
        </w:rPr>
        <w:t>发生</w:t>
      </w:r>
      <w:r>
        <w:rPr>
          <w:rFonts w:hint="eastAsia" w:ascii="宋体" w:hAnsi="宋体" w:eastAsia="宋体" w:cs="宋体"/>
          <w:b w:val="0"/>
          <w:bCs w:val="0"/>
          <w:sz w:val="24"/>
          <w:szCs w:val="24"/>
        </w:rPr>
        <w:t>。</w:t>
      </w:r>
    </w:p>
    <w:p w14:paraId="63B23CE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安全责任：施工单位应充分考虑施工作业过程中的安全因素，按照安全生产的</w:t>
      </w:r>
      <w:r>
        <w:rPr>
          <w:rFonts w:hint="eastAsia" w:ascii="宋体" w:hAnsi="宋体" w:eastAsia="宋体" w:cs="宋体"/>
          <w:b w:val="0"/>
          <w:bCs w:val="0"/>
          <w:sz w:val="24"/>
          <w:szCs w:val="24"/>
          <w:lang w:eastAsia="zh-CN"/>
        </w:rPr>
        <w:t>有关</w:t>
      </w:r>
      <w:r>
        <w:rPr>
          <w:rFonts w:hint="eastAsia" w:ascii="宋体" w:hAnsi="宋体" w:eastAsia="宋体" w:cs="宋体"/>
          <w:b w:val="0"/>
          <w:bCs w:val="0"/>
          <w:sz w:val="24"/>
          <w:szCs w:val="24"/>
        </w:rPr>
        <w:t>要求规范作业，</w:t>
      </w:r>
      <w:r>
        <w:rPr>
          <w:rFonts w:hint="eastAsia" w:ascii="宋体" w:hAnsi="宋体" w:eastAsia="宋体" w:cs="宋体"/>
          <w:b w:val="0"/>
          <w:bCs w:val="0"/>
          <w:sz w:val="24"/>
          <w:szCs w:val="24"/>
          <w:lang w:eastAsia="zh-CN"/>
        </w:rPr>
        <w:t>施工期间发生的安全事故</w:t>
      </w:r>
      <w:r>
        <w:rPr>
          <w:rFonts w:hint="eastAsia" w:ascii="宋体" w:hAnsi="宋体" w:eastAsia="宋体" w:cs="宋体"/>
          <w:b w:val="0"/>
          <w:bCs w:val="0"/>
          <w:sz w:val="24"/>
          <w:szCs w:val="24"/>
        </w:rPr>
        <w:t>由乙方自行承担一切安全责任（含施工人员人身安全</w:t>
      </w:r>
      <w:r>
        <w:rPr>
          <w:rFonts w:hint="eastAsia" w:ascii="宋体" w:hAnsi="宋体" w:eastAsia="宋体" w:cs="宋体"/>
          <w:b w:val="0"/>
          <w:bCs w:val="0"/>
          <w:sz w:val="24"/>
          <w:szCs w:val="24"/>
          <w:lang w:eastAsia="zh-CN"/>
        </w:rPr>
        <w:t>、森林防火安全</w:t>
      </w:r>
      <w:r>
        <w:rPr>
          <w:rFonts w:hint="eastAsia" w:ascii="宋体" w:hAnsi="宋体" w:eastAsia="宋体" w:cs="宋体"/>
          <w:b w:val="0"/>
          <w:bCs w:val="0"/>
          <w:sz w:val="24"/>
          <w:szCs w:val="24"/>
        </w:rPr>
        <w:t>责任，乙方需给施工人员购买保险）。如不按要求施工对环境造成严重后果的由乙方自行承担一切责任。</w:t>
      </w:r>
    </w:p>
    <w:p w14:paraId="449D1AE2">
      <w:pPr>
        <w:pStyle w:val="3"/>
        <w:rPr>
          <w:rFonts w:hint="eastAsia" w:eastAsia="宋体"/>
          <w:sz w:val="18"/>
          <w:szCs w:val="18"/>
          <w:lang w:val="en-US" w:eastAsia="zh-CN"/>
        </w:rPr>
      </w:pPr>
    </w:p>
    <w:p w14:paraId="24685701">
      <w:pPr>
        <w:pStyle w:val="3"/>
        <w:rPr>
          <w:rFonts w:hint="eastAsia"/>
          <w:sz w:val="18"/>
          <w:szCs w:val="18"/>
        </w:rPr>
      </w:pPr>
    </w:p>
    <w:p w14:paraId="358083AA">
      <w:pPr>
        <w:rPr>
          <w:rFonts w:hint="eastAsia" w:hAnsi="宋体" w:cs="宋体"/>
          <w:b/>
          <w:sz w:val="32"/>
          <w:szCs w:val="32"/>
        </w:rPr>
        <w:sectPr>
          <w:headerReference r:id="rId6" w:type="default"/>
          <w:footerReference r:id="rId7" w:type="default"/>
          <w:pgSz w:w="11906" w:h="16838"/>
          <w:pgMar w:top="1135" w:right="1133" w:bottom="1135" w:left="1418" w:header="850" w:footer="737" w:gutter="0"/>
          <w:pgNumType w:fmt="decimal"/>
          <w:cols w:space="720" w:num="1"/>
          <w:docGrid w:linePitch="462" w:charSpace="0"/>
        </w:sectPr>
      </w:pPr>
      <w:bookmarkStart w:id="117" w:name="_Toc14496"/>
      <w:bookmarkStart w:id="118" w:name="_Toc32292"/>
    </w:p>
    <w:p w14:paraId="1836A717">
      <w:pPr>
        <w:tabs>
          <w:tab w:val="left" w:pos="2101"/>
        </w:tabs>
        <w:spacing w:line="360" w:lineRule="auto"/>
        <w:rPr>
          <w:rFonts w:hAnsi="宋体" w:cs="宋体"/>
          <w:b/>
          <w:bCs w:val="0"/>
          <w:sz w:val="28"/>
          <w:szCs w:val="28"/>
        </w:rPr>
      </w:pPr>
      <w:r>
        <w:rPr>
          <w:rFonts w:hint="eastAsia" w:hAnsi="宋体" w:cs="宋体"/>
          <w:b/>
          <w:sz w:val="32"/>
          <w:szCs w:val="32"/>
          <w:lang w:eastAsia="zh-CN"/>
        </w:rPr>
        <w:tab/>
      </w:r>
      <w:r>
        <w:rPr>
          <w:rFonts w:hint="eastAsia" w:hAnsi="宋体" w:cs="宋体"/>
          <w:b/>
          <w:bCs w:val="0"/>
          <w:sz w:val="28"/>
          <w:szCs w:val="28"/>
        </w:rPr>
        <w:t>第</w:t>
      </w:r>
      <w:r>
        <w:rPr>
          <w:rFonts w:hint="eastAsia" w:hAnsi="宋体" w:cs="宋体"/>
          <w:b/>
          <w:bCs w:val="0"/>
          <w:sz w:val="28"/>
          <w:szCs w:val="28"/>
          <w:lang w:val="en-US" w:eastAsia="zh-CN"/>
        </w:rPr>
        <w:t>五</w:t>
      </w:r>
      <w:r>
        <w:rPr>
          <w:rFonts w:hint="eastAsia" w:hAnsi="宋体" w:cs="宋体"/>
          <w:b/>
          <w:bCs w:val="0"/>
          <w:sz w:val="28"/>
          <w:szCs w:val="28"/>
        </w:rPr>
        <w:t>章 签订的合同条款</w:t>
      </w:r>
      <w:bookmarkEnd w:id="117"/>
      <w:r>
        <w:rPr>
          <w:rFonts w:hint="eastAsia" w:hAnsi="宋体" w:cs="宋体"/>
          <w:b/>
          <w:bCs w:val="0"/>
          <w:sz w:val="28"/>
          <w:szCs w:val="28"/>
        </w:rPr>
        <w:t>（仅供参考）</w:t>
      </w:r>
    </w:p>
    <w:bookmarkEnd w:id="118"/>
    <w:p w14:paraId="41849EEC">
      <w:pPr>
        <w:pStyle w:val="15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依照《中华人民共和国合同法》及其他有关法律、法规，</w:t>
      </w:r>
      <w:r>
        <w:rPr>
          <w:rFonts w:hint="eastAsia" w:ascii="宋体" w:hAnsi="宋体" w:eastAsia="宋体" w:cs="宋体"/>
          <w:b w:val="0"/>
          <w:bCs w:val="0"/>
          <w:sz w:val="24"/>
          <w:szCs w:val="24"/>
        </w:rPr>
        <w:t>遵循平等、自愿、公平和诚实信用的原则，双方就</w:t>
      </w:r>
      <w:r>
        <w:rPr>
          <w:rFonts w:hint="eastAsia" w:ascii="宋体" w:hAnsi="宋体" w:eastAsia="宋体" w:cs="宋体"/>
          <w:b w:val="0"/>
          <w:bCs w:val="0"/>
          <w:sz w:val="24"/>
          <w:szCs w:val="24"/>
          <w:lang w:val="en-US" w:eastAsia="zh-CN"/>
        </w:rPr>
        <w:t>镇坪县</w:t>
      </w:r>
      <w:r>
        <w:rPr>
          <w:rFonts w:hint="eastAsia" w:ascii="宋体" w:hAnsi="宋体" w:eastAsia="宋体" w:cs="宋体"/>
          <w:b w:val="0"/>
          <w:bCs w:val="0"/>
          <w:sz w:val="24"/>
          <w:szCs w:val="24"/>
        </w:rPr>
        <w:t>林业有害生物防治项目</w:t>
      </w:r>
      <w:r>
        <w:rPr>
          <w:rFonts w:hint="eastAsia" w:ascii="宋体" w:hAnsi="宋体" w:eastAsia="宋体" w:cs="宋体"/>
          <w:b w:val="0"/>
          <w:bCs w:val="0"/>
          <w:sz w:val="24"/>
          <w:szCs w:val="24"/>
          <w:lang w:eastAsia="zh-CN"/>
        </w:rPr>
        <w:t>施工</w:t>
      </w:r>
      <w:r>
        <w:rPr>
          <w:rFonts w:hint="eastAsia" w:ascii="宋体" w:hAnsi="宋体" w:eastAsia="宋体" w:cs="宋体"/>
          <w:b w:val="0"/>
          <w:bCs w:val="0"/>
          <w:sz w:val="24"/>
          <w:szCs w:val="24"/>
        </w:rPr>
        <w:t>达成一致，并签订本合同</w:t>
      </w:r>
      <w:r>
        <w:rPr>
          <w:rFonts w:hint="eastAsia" w:ascii="宋体" w:hAnsi="宋体" w:eastAsia="宋体" w:cs="宋体"/>
          <w:b w:val="0"/>
          <w:bCs w:val="0"/>
          <w:sz w:val="24"/>
          <w:szCs w:val="24"/>
          <w:lang w:eastAsia="zh-CN"/>
        </w:rPr>
        <w:t>。</w:t>
      </w:r>
    </w:p>
    <w:p w14:paraId="058D201B">
      <w:pPr>
        <w:pStyle w:val="15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发包方（甲方）：</w:t>
      </w:r>
      <w:r>
        <w:rPr>
          <w:rFonts w:hint="eastAsia" w:ascii="宋体" w:hAnsi="宋体" w:eastAsia="宋体" w:cs="宋体"/>
          <w:b w:val="0"/>
          <w:bCs w:val="0"/>
          <w:sz w:val="24"/>
          <w:szCs w:val="24"/>
          <w:lang w:val="en-US" w:eastAsia="zh-CN"/>
        </w:rPr>
        <w:t>镇坪县农业林业和水利局</w:t>
      </w:r>
    </w:p>
    <w:p w14:paraId="26F0567A">
      <w:pPr>
        <w:pStyle w:val="15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承包方（乙方）：</w:t>
      </w:r>
    </w:p>
    <w:p w14:paraId="06EDE208">
      <w:pPr>
        <w:pStyle w:val="150"/>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一、项目概况</w:t>
      </w:r>
      <w:r>
        <w:rPr>
          <w:rFonts w:hint="eastAsia" w:ascii="宋体" w:hAnsi="宋体" w:eastAsia="宋体" w:cs="宋体"/>
          <w:b w:val="0"/>
          <w:bCs w:val="0"/>
          <w:sz w:val="24"/>
          <w:szCs w:val="24"/>
          <w:lang w:eastAsia="zh-CN"/>
        </w:rPr>
        <w:t>：</w:t>
      </w:r>
    </w:p>
    <w:p w14:paraId="5DF7BB41">
      <w:pPr>
        <w:pStyle w:val="150"/>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（一）镇坪</w:t>
      </w:r>
      <w:r>
        <w:rPr>
          <w:rFonts w:hint="eastAsia" w:ascii="宋体" w:hAnsi="宋体" w:eastAsia="宋体" w:cs="宋体"/>
          <w:b w:val="0"/>
          <w:bCs w:val="0"/>
          <w:sz w:val="24"/>
          <w:szCs w:val="24"/>
        </w:rPr>
        <w:t>县202</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年林业有害生物</w:t>
      </w:r>
      <w:r>
        <w:rPr>
          <w:rFonts w:hint="eastAsia" w:ascii="宋体" w:hAnsi="宋体" w:eastAsia="宋体" w:cs="宋体"/>
          <w:b w:val="0"/>
          <w:bCs w:val="0"/>
          <w:sz w:val="24"/>
          <w:szCs w:val="24"/>
          <w:lang w:val="en-US" w:eastAsia="zh-CN"/>
        </w:rPr>
        <w:t>防治</w:t>
      </w:r>
      <w:r>
        <w:rPr>
          <w:rFonts w:hint="eastAsia" w:ascii="宋体" w:hAnsi="宋体" w:eastAsia="宋体" w:cs="宋体"/>
          <w:b w:val="0"/>
          <w:bCs w:val="0"/>
          <w:sz w:val="24"/>
          <w:szCs w:val="24"/>
        </w:rPr>
        <w:t>项目</w:t>
      </w:r>
    </w:p>
    <w:p w14:paraId="7F65D4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（二）防</w:t>
      </w:r>
      <w:r>
        <w:rPr>
          <w:rFonts w:hint="eastAsia" w:ascii="宋体" w:hAnsi="宋体" w:eastAsia="宋体" w:cs="宋体"/>
          <w:b w:val="0"/>
          <w:bCs w:val="0"/>
          <w:sz w:val="24"/>
          <w:szCs w:val="24"/>
        </w:rPr>
        <w:t>治范围：</w:t>
      </w:r>
      <w:r>
        <w:rPr>
          <w:rFonts w:hint="eastAsia" w:ascii="宋体" w:hAnsi="宋体" w:eastAsia="宋体" w:cs="宋体"/>
          <w:b w:val="0"/>
          <w:bCs w:val="0"/>
          <w:sz w:val="24"/>
          <w:szCs w:val="24"/>
          <w:lang w:val="en-US" w:eastAsia="zh-CN"/>
        </w:rPr>
        <w:t>在曾家镇、牛头店镇、城关镇、上竹镇、曙坪镇、钟宝镇、华坪镇和镇坪县国有林场</w:t>
      </w:r>
      <w:r>
        <w:rPr>
          <w:rFonts w:hint="eastAsia" w:ascii="宋体" w:hAnsi="宋体" w:eastAsia="宋体" w:cs="宋体"/>
          <w:b w:val="0"/>
          <w:bCs w:val="0"/>
          <w:sz w:val="24"/>
          <w:szCs w:val="24"/>
        </w:rPr>
        <w:t>区域</w:t>
      </w:r>
      <w:r>
        <w:rPr>
          <w:rFonts w:hint="eastAsia" w:ascii="宋体" w:hAnsi="宋体" w:eastAsia="宋体" w:cs="宋体"/>
          <w:b w:val="0"/>
          <w:bCs w:val="0"/>
          <w:sz w:val="24"/>
          <w:szCs w:val="24"/>
          <w:lang w:val="en-US" w:eastAsia="zh-CN"/>
        </w:rPr>
        <w:t>内。</w:t>
      </w:r>
    </w:p>
    <w:p w14:paraId="6C35D8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项目内容：</w:t>
      </w:r>
      <w:r>
        <w:rPr>
          <w:rFonts w:hint="eastAsia" w:ascii="宋体" w:hAnsi="宋体" w:eastAsia="宋体" w:cs="宋体"/>
          <w:b w:val="0"/>
          <w:bCs w:val="0"/>
          <w:sz w:val="24"/>
          <w:szCs w:val="24"/>
          <w:lang w:val="en-US" w:eastAsia="zh-CN"/>
        </w:rPr>
        <w:t>2025年秋季在全县8.45万亩的松林面积中开展松材线虫病疫情专项普查监测，普查监测率达100%；清理处置华山松大小蠹危害的枯死濒死松树1000株。</w:t>
      </w:r>
    </w:p>
    <w:p w14:paraId="53DBF04D">
      <w:pPr>
        <w:pStyle w:val="31"/>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工期要求：</w:t>
      </w:r>
      <w:r>
        <w:rPr>
          <w:rFonts w:hint="eastAsia" w:ascii="宋体" w:hAnsi="宋体" w:eastAsia="宋体" w:cs="宋体"/>
          <w:b w:val="0"/>
          <w:bCs w:val="0"/>
          <w:kern w:val="0"/>
          <w:sz w:val="24"/>
          <w:szCs w:val="24"/>
          <w:lang w:val="en-US" w:eastAsia="zh-CN"/>
        </w:rPr>
        <w:t>2025年7月-2026年5月。</w:t>
      </w:r>
    </w:p>
    <w:p w14:paraId="1CD029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eastAsia="zh-CN"/>
        </w:rPr>
        <w:t>二、</w:t>
      </w:r>
      <w:r>
        <w:rPr>
          <w:rFonts w:hint="eastAsia" w:ascii="宋体" w:hAnsi="宋体" w:eastAsia="宋体" w:cs="宋体"/>
          <w:b w:val="0"/>
          <w:bCs w:val="0"/>
          <w:sz w:val="24"/>
          <w:szCs w:val="24"/>
        </w:rPr>
        <w:t>合同价款：</w:t>
      </w:r>
    </w:p>
    <w:p w14:paraId="5CF218E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合同总价包含所有施工、服务、质保、安全责任、</w:t>
      </w:r>
      <w:r>
        <w:rPr>
          <w:rFonts w:hint="eastAsia" w:ascii="宋体" w:hAnsi="宋体" w:eastAsia="宋体" w:cs="宋体"/>
          <w:b w:val="0"/>
          <w:bCs w:val="0"/>
          <w:sz w:val="24"/>
          <w:szCs w:val="24"/>
          <w:lang w:val="zh-CN"/>
        </w:rPr>
        <w:t>政策性文件规定及合同包含的所有责任、义务、风险等</w:t>
      </w:r>
      <w:r>
        <w:rPr>
          <w:rFonts w:hint="eastAsia" w:ascii="宋体" w:hAnsi="宋体" w:eastAsia="宋体" w:cs="宋体"/>
          <w:b w:val="0"/>
          <w:bCs w:val="0"/>
          <w:sz w:val="24"/>
          <w:szCs w:val="24"/>
        </w:rPr>
        <w:t>各项应有费用。</w:t>
      </w:r>
    </w:p>
    <w:p w14:paraId="0F6AA5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合同价款金额（大写）：</w:t>
      </w:r>
      <w:r>
        <w:rPr>
          <w:rFonts w:hint="eastAsia" w:ascii="宋体" w:hAnsi="宋体" w:eastAsia="宋体" w:cs="宋体"/>
          <w:b w:val="0"/>
          <w:bCs w:val="0"/>
          <w:sz w:val="24"/>
          <w:szCs w:val="24"/>
          <w:lang w:val="en-US" w:eastAsia="zh-CN"/>
        </w:rPr>
        <w:t>xxxxxxx</w:t>
      </w:r>
      <w:r>
        <w:rPr>
          <w:rFonts w:hint="eastAsia" w:ascii="宋体" w:hAnsi="宋体" w:eastAsia="宋体" w:cs="宋体"/>
          <w:b w:val="0"/>
          <w:bCs w:val="0"/>
          <w:sz w:val="24"/>
          <w:szCs w:val="24"/>
        </w:rPr>
        <w:t>（人民币）￥：</w:t>
      </w:r>
      <w:r>
        <w:rPr>
          <w:rFonts w:hint="eastAsia" w:ascii="宋体" w:hAnsi="宋体" w:eastAsia="宋体" w:cs="宋体"/>
          <w:b w:val="0"/>
          <w:bCs w:val="0"/>
          <w:sz w:val="24"/>
          <w:szCs w:val="24"/>
          <w:lang w:val="en-US" w:eastAsia="zh-CN"/>
        </w:rPr>
        <w:t>xxx</w:t>
      </w:r>
      <w:r>
        <w:rPr>
          <w:rFonts w:hint="eastAsia" w:ascii="宋体" w:hAnsi="宋体" w:eastAsia="宋体" w:cs="宋体"/>
          <w:b w:val="0"/>
          <w:bCs w:val="0"/>
          <w:sz w:val="24"/>
          <w:szCs w:val="24"/>
        </w:rPr>
        <w:t>元</w:t>
      </w:r>
    </w:p>
    <w:p w14:paraId="75AECA25">
      <w:pPr>
        <w:keepNext w:val="0"/>
        <w:keepLines w:val="0"/>
        <w:pageBreakBefore w:val="0"/>
        <w:numPr>
          <w:ilvl w:val="0"/>
          <w:numId w:val="5"/>
        </w:numPr>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付款方式</w:t>
      </w:r>
    </w:p>
    <w:p w14:paraId="6FBD65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乙方按甲方时限要求和指定处置范围进行</w:t>
      </w:r>
      <w:r>
        <w:rPr>
          <w:rFonts w:hint="eastAsia" w:ascii="宋体" w:hAnsi="宋体" w:eastAsia="宋体" w:cs="宋体"/>
          <w:b w:val="0"/>
          <w:bCs w:val="0"/>
          <w:sz w:val="24"/>
          <w:szCs w:val="24"/>
          <w:lang w:val="en-US" w:eastAsia="zh-CN"/>
        </w:rPr>
        <w:t>施工作业</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实行防治经费包干制</w:t>
      </w:r>
      <w:r>
        <w:rPr>
          <w:rFonts w:hint="eastAsia" w:ascii="宋体" w:hAnsi="宋体" w:eastAsia="宋体" w:cs="宋体"/>
          <w:b w:val="0"/>
          <w:bCs w:val="0"/>
          <w:sz w:val="24"/>
          <w:szCs w:val="24"/>
          <w:lang w:val="en-US" w:eastAsia="zh-CN"/>
        </w:rPr>
        <w:t>。防治经费结算按年度3:7</w:t>
      </w:r>
      <w:r>
        <w:rPr>
          <w:rFonts w:hint="eastAsia" w:ascii="宋体" w:hAnsi="宋体" w:eastAsia="宋体" w:cs="宋体"/>
          <w:b w:val="0"/>
          <w:bCs w:val="0"/>
          <w:sz w:val="24"/>
          <w:szCs w:val="24"/>
        </w:rPr>
        <w:t>比例拨付，施工合同签订后预付</w:t>
      </w:r>
      <w:r>
        <w:rPr>
          <w:rFonts w:hint="eastAsia" w:ascii="宋体" w:hAnsi="宋体" w:eastAsia="宋体" w:cs="宋体"/>
          <w:b w:val="0"/>
          <w:bCs w:val="0"/>
          <w:sz w:val="24"/>
          <w:szCs w:val="24"/>
          <w:lang w:val="en-US" w:eastAsia="zh-CN"/>
        </w:rPr>
        <w:t>30%金额xxx万元</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rPr>
        <w:t>施工启动资金，乙方施工结束</w:t>
      </w:r>
      <w:r>
        <w:rPr>
          <w:rFonts w:hint="eastAsia" w:ascii="宋体" w:hAnsi="宋体" w:eastAsia="宋体" w:cs="宋体"/>
          <w:b w:val="0"/>
          <w:bCs w:val="0"/>
          <w:sz w:val="24"/>
          <w:szCs w:val="24"/>
          <w:lang w:eastAsia="zh-CN"/>
        </w:rPr>
        <w:t>后</w:t>
      </w:r>
      <w:r>
        <w:rPr>
          <w:rFonts w:hint="eastAsia" w:ascii="宋体" w:hAnsi="宋体" w:eastAsia="宋体" w:cs="宋体"/>
          <w:b w:val="0"/>
          <w:bCs w:val="0"/>
          <w:sz w:val="24"/>
          <w:szCs w:val="24"/>
        </w:rPr>
        <w:t>书面申请甲方组织检查验收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经跟班作业人员确认</w:t>
      </w:r>
      <w:r>
        <w:rPr>
          <w:rFonts w:hint="eastAsia" w:ascii="宋体" w:hAnsi="宋体" w:eastAsia="宋体" w:cs="宋体"/>
          <w:b w:val="0"/>
          <w:bCs w:val="0"/>
          <w:sz w:val="24"/>
          <w:szCs w:val="24"/>
          <w:lang w:val="en-US" w:eastAsia="zh-CN"/>
        </w:rPr>
        <w:t>,并</w:t>
      </w:r>
      <w:r>
        <w:rPr>
          <w:rFonts w:hint="eastAsia" w:ascii="宋体" w:hAnsi="宋体" w:eastAsia="宋体" w:cs="宋体"/>
          <w:b w:val="0"/>
          <w:bCs w:val="0"/>
          <w:sz w:val="24"/>
          <w:szCs w:val="24"/>
        </w:rPr>
        <w:t>经甲乙双方组织财政等相关人员组成验收小组进行实地</w:t>
      </w:r>
      <w:r>
        <w:rPr>
          <w:rFonts w:hint="eastAsia" w:ascii="宋体" w:hAnsi="宋体" w:eastAsia="宋体" w:cs="宋体"/>
          <w:b w:val="0"/>
          <w:bCs w:val="0"/>
          <w:sz w:val="24"/>
          <w:szCs w:val="24"/>
          <w:lang w:eastAsia="zh-CN"/>
        </w:rPr>
        <w:t>验收</w:t>
      </w:r>
      <w:r>
        <w:rPr>
          <w:rFonts w:hint="eastAsia" w:ascii="宋体" w:hAnsi="宋体" w:eastAsia="宋体" w:cs="宋体"/>
          <w:b w:val="0"/>
          <w:bCs w:val="0"/>
          <w:sz w:val="24"/>
          <w:szCs w:val="24"/>
          <w:lang w:val="en-US" w:eastAsia="zh-CN"/>
        </w:rPr>
        <w:t>施工</w:t>
      </w:r>
      <w:r>
        <w:rPr>
          <w:rFonts w:hint="eastAsia" w:ascii="宋体" w:hAnsi="宋体" w:eastAsia="宋体" w:cs="宋体"/>
          <w:b w:val="0"/>
          <w:bCs w:val="0"/>
          <w:sz w:val="24"/>
          <w:szCs w:val="24"/>
        </w:rPr>
        <w:t>质量，经</w:t>
      </w:r>
      <w:r>
        <w:rPr>
          <w:rFonts w:hint="eastAsia" w:ascii="宋体" w:hAnsi="宋体" w:eastAsia="宋体" w:cs="宋体"/>
          <w:b w:val="0"/>
          <w:bCs w:val="0"/>
          <w:sz w:val="24"/>
          <w:szCs w:val="24"/>
          <w:lang w:eastAsia="zh-CN"/>
        </w:rPr>
        <w:t>验收，</w:t>
      </w:r>
      <w:r>
        <w:rPr>
          <w:rFonts w:hint="eastAsia" w:ascii="宋体" w:hAnsi="宋体" w:eastAsia="宋体" w:cs="宋体"/>
          <w:b w:val="0"/>
          <w:bCs w:val="0"/>
          <w:sz w:val="24"/>
          <w:szCs w:val="24"/>
        </w:rPr>
        <w:t>质量合格后一次性付清下余</w:t>
      </w:r>
      <w:r>
        <w:rPr>
          <w:rFonts w:hint="eastAsia" w:ascii="宋体" w:hAnsi="宋体" w:eastAsia="宋体" w:cs="宋体"/>
          <w:b w:val="0"/>
          <w:bCs w:val="0"/>
          <w:sz w:val="24"/>
          <w:szCs w:val="24"/>
          <w:lang w:val="en-US" w:eastAsia="zh-CN"/>
        </w:rPr>
        <w:t>70%项目款</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如未能按时完成施工的（除不可抗拒因素），按相关法律责任追究乙方责任。乙方必须在甲方当地税务部门开具真实有效的正式发票。</w:t>
      </w:r>
    </w:p>
    <w:p w14:paraId="4DAE9F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四、服务质量与安全责任：</w:t>
      </w:r>
    </w:p>
    <w:p w14:paraId="6C48EB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松材线虫病疫情普查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对全县范围内8.45万亩</w:t>
      </w:r>
      <w:r>
        <w:rPr>
          <w:rFonts w:hint="eastAsia" w:ascii="宋体" w:hAnsi="宋体" w:eastAsia="宋体" w:cs="宋体"/>
          <w:b w:val="0"/>
          <w:bCs w:val="0"/>
          <w:sz w:val="24"/>
          <w:szCs w:val="24"/>
        </w:rPr>
        <w:t>松林面积逐小班、逐地块开展秋季松材线虫病普查，调查是否出现松树枯死、松针变色等异常情况，取样鉴定是否发生松材线虫病。若发现</w:t>
      </w:r>
      <w:r>
        <w:rPr>
          <w:rFonts w:hint="eastAsia" w:ascii="宋体" w:hAnsi="宋体" w:eastAsia="宋体" w:cs="宋体"/>
          <w:b w:val="0"/>
          <w:bCs w:val="0"/>
          <w:sz w:val="24"/>
          <w:szCs w:val="24"/>
          <w:lang w:val="en-US" w:eastAsia="zh-CN"/>
        </w:rPr>
        <w:t>松树</w:t>
      </w:r>
      <w:r>
        <w:rPr>
          <w:rFonts w:hint="eastAsia" w:ascii="宋体" w:hAnsi="宋体" w:eastAsia="宋体" w:cs="宋体"/>
          <w:b w:val="0"/>
          <w:bCs w:val="0"/>
          <w:spacing w:val="6"/>
          <w:sz w:val="24"/>
          <w:szCs w:val="24"/>
          <w:lang w:val="en-US" w:eastAsia="zh-CN"/>
        </w:rPr>
        <w:t>针叶呈现红色、红褐色、黄色、黄褐色、淡黄色并成束下垂，松针不易脱落的整株</w:t>
      </w:r>
      <w:r>
        <w:rPr>
          <w:rFonts w:hint="eastAsia" w:ascii="宋体" w:hAnsi="宋体" w:eastAsia="宋体" w:cs="宋体"/>
          <w:b w:val="0"/>
          <w:bCs w:val="0"/>
          <w:sz w:val="24"/>
          <w:szCs w:val="24"/>
        </w:rPr>
        <w:t>枯死、</w:t>
      </w:r>
      <w:r>
        <w:rPr>
          <w:rFonts w:hint="eastAsia" w:ascii="宋体" w:hAnsi="宋体" w:eastAsia="宋体" w:cs="宋体"/>
          <w:b w:val="0"/>
          <w:bCs w:val="0"/>
          <w:sz w:val="24"/>
          <w:szCs w:val="24"/>
          <w:lang w:val="en-US" w:eastAsia="zh-CN"/>
        </w:rPr>
        <w:t>濒</w:t>
      </w:r>
      <w:r>
        <w:rPr>
          <w:rFonts w:hint="eastAsia" w:ascii="宋体" w:hAnsi="宋体" w:eastAsia="宋体" w:cs="宋体"/>
          <w:b w:val="0"/>
          <w:bCs w:val="0"/>
          <w:sz w:val="24"/>
          <w:szCs w:val="24"/>
        </w:rPr>
        <w:t>死松树</w:t>
      </w:r>
      <w:r>
        <w:rPr>
          <w:rFonts w:hint="eastAsia" w:ascii="宋体" w:hAnsi="宋体" w:eastAsia="宋体" w:cs="宋体"/>
          <w:b w:val="0"/>
          <w:bCs w:val="0"/>
          <w:sz w:val="24"/>
          <w:szCs w:val="24"/>
          <w:lang w:val="en-US" w:eastAsia="zh-CN"/>
        </w:rPr>
        <w:t>或者部分枝条萎蔫的松树</w:t>
      </w:r>
      <w:r>
        <w:rPr>
          <w:rFonts w:hint="eastAsia" w:ascii="宋体" w:hAnsi="宋体" w:eastAsia="宋体" w:cs="宋体"/>
          <w:b w:val="0"/>
          <w:bCs w:val="0"/>
          <w:sz w:val="24"/>
          <w:szCs w:val="24"/>
        </w:rPr>
        <w:t>进行取样检测，取样方法：对于整株表现出典型症状的，在树干下部（胸高处，约1.5米）取样，5米以上高大松树，或即死即清的松树增加中、上部位取样；对于部分枝条表现症状的，在萎蔫、枯死的枝条或树干上部（主干与主侧枝交界处）取样。对于树干内发现媒介昆虫蛹的，优先在蛹室周围取样</w:t>
      </w:r>
      <w:r>
        <w:rPr>
          <w:rFonts w:hint="eastAsia" w:ascii="宋体" w:hAnsi="宋体" w:eastAsia="宋体" w:cs="宋体"/>
          <w:b w:val="0"/>
          <w:bCs w:val="0"/>
          <w:sz w:val="24"/>
          <w:szCs w:val="24"/>
          <w:lang w:eastAsia="zh-CN"/>
        </w:rPr>
        <w:t>。</w:t>
      </w:r>
    </w:p>
    <w:p w14:paraId="24ED14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取样方法。在取样部位剥净树皮，用砍刀或者斧头直接砍取或使用专用取样钻直接钻取100</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200克木片或木屑；或者将枯死松树伐倒，在取样部位截取2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3厘米厚的圆盘。取样时应避开采脂、环剥或其它原因导致机械损伤的部位。所取样品应当用封口袋等包装，长距离运输需留出透气孔（圆盘的长距离运输要做好防止天牛逃逸措施），并及时贴上标签，标明样品号、取样地点（需标明地理坐标）、树种、树龄、取样 部位、取样时间、取样人和联系电话等信息。</w:t>
      </w:r>
    </w:p>
    <w:p w14:paraId="12128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取样数量。日常监测发现有异常死亡松树的小班，死亡松树数量不足5株的，全部取样检测；死亡松树数量超过5株的，先选择5株具有典型症状的松树进行检测。如检测到松材线虫，可不再取样；如未检测出松材线虫，但在日常监测过程中发现异常死亡松树数量增加的，应继续取样检测。重点预防区可视情况增加取样数量。对已经确认疫情的乡镇，可根据实际工作需要进行取样。采集的样品应当妥善保管并及时分离鉴定，样品分离鉴定后须及时销毁。样品若需短期保存，可将样品装入塑料袋内，扎紧袋口，在袋上扎若干小孔（若为圆盘无 需装入塑料袋，但要做好防护措施，防止天牛羽化逃逸），放入4℃冰箱，若需较长时间保存，要定期在样品上喷水保湿。</w:t>
      </w:r>
    </w:p>
    <w:p w14:paraId="26925E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虫害松木的清理</w:t>
      </w:r>
    </w:p>
    <w:p w14:paraId="3CEAB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清除方式：择伐清理。对华山松大小蠹危害致死的松树进行清理。采伐的松木和直径超过1厘米的枝丫应在林区内就地就近及时进行除害处理。</w:t>
      </w:r>
    </w:p>
    <w:p w14:paraId="20F568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xml:space="preserve">清除时间与作业要求：集中清除。在冬春季华山松大小蠹非羽化期内（一般是当年10月至次年4月）采伐清理死亡松树并进行除害处理。 </w:t>
      </w:r>
    </w:p>
    <w:p w14:paraId="0528F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烧毁处理：就地烧毁采伐清理的虫害松木及直径超过1厘米的枝丫，焚烧现场实行全过程旁站式监管，确保用火安全。</w:t>
      </w:r>
    </w:p>
    <w:p w14:paraId="2E6BE2D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乙方须严格按照采购内容及甲方要求进行作业，并接受甲方的技术指导和监督。</w:t>
      </w:r>
      <w:r>
        <w:rPr>
          <w:rFonts w:hint="eastAsia" w:ascii="宋体" w:hAnsi="宋体" w:eastAsia="宋体" w:cs="宋体"/>
          <w:b w:val="0"/>
          <w:bCs w:val="0"/>
          <w:sz w:val="24"/>
          <w:szCs w:val="24"/>
          <w:lang w:val="en-US" w:eastAsia="zh-CN"/>
        </w:rPr>
        <w:t>清理处置</w:t>
      </w:r>
      <w:r>
        <w:rPr>
          <w:rFonts w:hint="eastAsia" w:ascii="宋体" w:hAnsi="宋体" w:eastAsia="宋体" w:cs="宋体"/>
          <w:b w:val="0"/>
          <w:bCs w:val="0"/>
          <w:sz w:val="24"/>
          <w:szCs w:val="24"/>
        </w:rPr>
        <w:t>过程中要严格执行国家林业和草原局修订</w:t>
      </w:r>
      <w:r>
        <w:rPr>
          <w:rFonts w:hint="eastAsia" w:ascii="宋体" w:hAnsi="宋体" w:eastAsia="宋体" w:cs="宋体"/>
          <w:b w:val="0"/>
          <w:bCs w:val="0"/>
          <w:sz w:val="24"/>
          <w:szCs w:val="24"/>
          <w:lang w:val="en-US" w:eastAsia="zh-CN"/>
        </w:rPr>
        <w:t>《松材线虫病防治技术方案（2024年版）》</w:t>
      </w:r>
      <w:r>
        <w:rPr>
          <w:rFonts w:hint="eastAsia" w:ascii="宋体" w:hAnsi="宋体" w:eastAsia="宋体" w:cs="宋体"/>
          <w:b w:val="0"/>
          <w:bCs w:val="0"/>
          <w:sz w:val="24"/>
          <w:szCs w:val="24"/>
        </w:rPr>
        <w:t>的技术标准</w:t>
      </w:r>
      <w:r>
        <w:rPr>
          <w:rFonts w:hint="eastAsia" w:ascii="宋体" w:hAnsi="宋体" w:eastAsia="宋体" w:cs="宋体"/>
          <w:b w:val="0"/>
          <w:bCs w:val="0"/>
          <w:sz w:val="24"/>
          <w:szCs w:val="24"/>
          <w:lang w:val="en-US" w:eastAsia="zh-CN"/>
        </w:rPr>
        <w:t>进行清理处置</w:t>
      </w:r>
      <w:r>
        <w:rPr>
          <w:rFonts w:hint="eastAsia" w:ascii="宋体" w:hAnsi="宋体" w:eastAsia="宋体" w:cs="宋体"/>
          <w:b w:val="0"/>
          <w:bCs w:val="0"/>
          <w:sz w:val="24"/>
          <w:szCs w:val="24"/>
        </w:rPr>
        <w:t>，确保实效。</w:t>
      </w:r>
    </w:p>
    <w:p w14:paraId="7BECD5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质量要求：①对树桩进行药物处理、覆膜伐桩，烧毁清理枯死木及枝丫（碳化），做到无枯死松树</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通过各级检查验收合格。</w:t>
      </w:r>
      <w:r>
        <w:rPr>
          <w:rFonts w:hint="eastAsia" w:ascii="宋体" w:hAnsi="宋体" w:eastAsia="宋体" w:cs="宋体"/>
          <w:b w:val="0"/>
          <w:bCs w:val="0"/>
          <w:sz w:val="24"/>
          <w:szCs w:val="24"/>
        </w:rPr>
        <w:t>②所有清理砍伐的松树枝桠及主干一律在清理范围内就地烧毁，枯死木伐桩低于5cm，枯死松树的伐桩全部在伐桩上放置磷化铝片，再加套0.8毫米以上厚度的塑料农膜覆盖并在四周用土压实措施，保持密闭，并按除治小地名或小班标</w:t>
      </w:r>
      <w:r>
        <w:rPr>
          <w:rFonts w:hint="eastAsia" w:ascii="宋体" w:hAnsi="宋体" w:eastAsia="宋体" w:cs="宋体"/>
          <w:b w:val="0"/>
          <w:bCs w:val="0"/>
          <w:sz w:val="24"/>
          <w:szCs w:val="24"/>
          <w:lang w:eastAsia="zh-CN"/>
        </w:rPr>
        <w:t>注伐桩编</w:t>
      </w:r>
      <w:r>
        <w:rPr>
          <w:rFonts w:hint="eastAsia" w:ascii="宋体" w:hAnsi="宋体" w:eastAsia="宋体" w:cs="宋体"/>
          <w:b w:val="0"/>
          <w:bCs w:val="0"/>
          <w:sz w:val="24"/>
          <w:szCs w:val="24"/>
        </w:rPr>
        <w:t>号，以便检查验收。③除治山场必须每日清理干净，不保留1cm以上（厚或粗）木屑和枝丫。④除治区域</w:t>
      </w:r>
      <w:r>
        <w:rPr>
          <w:rFonts w:hint="eastAsia" w:ascii="宋体" w:hAnsi="宋体" w:eastAsia="宋体" w:cs="宋体"/>
          <w:b w:val="0"/>
          <w:bCs w:val="0"/>
          <w:sz w:val="24"/>
          <w:szCs w:val="24"/>
          <w:lang w:eastAsia="zh-CN"/>
        </w:rPr>
        <w:t>内所除治疫木无流失</w:t>
      </w:r>
      <w:r>
        <w:rPr>
          <w:rFonts w:hint="eastAsia" w:ascii="宋体" w:hAnsi="宋体" w:eastAsia="宋体" w:cs="宋体"/>
          <w:b w:val="0"/>
          <w:bCs w:val="0"/>
          <w:sz w:val="24"/>
          <w:szCs w:val="24"/>
        </w:rPr>
        <w:t>。除治成</w:t>
      </w:r>
      <w:r>
        <w:rPr>
          <w:rFonts w:hint="eastAsia" w:ascii="宋体" w:hAnsi="宋体" w:eastAsia="宋体" w:cs="宋体"/>
          <w:b w:val="0"/>
          <w:bCs w:val="0"/>
          <w:sz w:val="24"/>
          <w:szCs w:val="24"/>
          <w:lang w:eastAsia="zh-CN"/>
        </w:rPr>
        <w:t>效</w:t>
      </w:r>
      <w:r>
        <w:rPr>
          <w:rFonts w:hint="eastAsia" w:ascii="宋体" w:hAnsi="宋体" w:eastAsia="宋体" w:cs="宋体"/>
          <w:b w:val="0"/>
          <w:bCs w:val="0"/>
          <w:sz w:val="24"/>
          <w:szCs w:val="24"/>
        </w:rPr>
        <w:t>及所使用的药物必须完全符合招标文件及有关国家标准所规定的质量、规格和要求，如达不到质量标准要求的不予验收。</w:t>
      </w:r>
    </w:p>
    <w:p w14:paraId="520A9E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烧毁处理：</w:t>
      </w:r>
      <w:r>
        <w:rPr>
          <w:rFonts w:hint="eastAsia" w:ascii="宋体" w:hAnsi="宋体" w:eastAsia="宋体" w:cs="宋体"/>
          <w:b w:val="0"/>
          <w:bCs w:val="0"/>
          <w:sz w:val="24"/>
          <w:szCs w:val="24"/>
          <w:lang w:eastAsia="zh-CN"/>
        </w:rPr>
        <w:t>乙方除治施工前向县森林防火指挥部办公室进行野外用火报备，在施工期间每日向属地镇政府报备施工地点；疫木烧毁应</w:t>
      </w:r>
      <w:r>
        <w:rPr>
          <w:rFonts w:hint="eastAsia" w:ascii="宋体" w:hAnsi="宋体" w:eastAsia="宋体" w:cs="宋体"/>
          <w:b w:val="0"/>
          <w:bCs w:val="0"/>
          <w:sz w:val="24"/>
          <w:szCs w:val="24"/>
        </w:rPr>
        <w:t>选取远离居民区、建筑物且安全的地点进行烧毁，烧毁枯死木时要清理周围可燃物，</w:t>
      </w:r>
      <w:r>
        <w:rPr>
          <w:rFonts w:hint="eastAsia" w:ascii="宋体" w:hAnsi="宋体" w:eastAsia="宋体" w:cs="宋体"/>
          <w:b w:val="0"/>
          <w:bCs w:val="0"/>
          <w:sz w:val="24"/>
          <w:szCs w:val="24"/>
          <w:lang w:eastAsia="zh-CN"/>
        </w:rPr>
        <w:t>加强森林防火管理，</w:t>
      </w:r>
      <w:r>
        <w:rPr>
          <w:rFonts w:hint="eastAsia" w:ascii="宋体" w:hAnsi="宋体" w:eastAsia="宋体" w:cs="宋体"/>
          <w:b w:val="0"/>
          <w:bCs w:val="0"/>
          <w:sz w:val="24"/>
          <w:szCs w:val="24"/>
        </w:rPr>
        <w:t>严</w:t>
      </w:r>
      <w:r>
        <w:rPr>
          <w:rFonts w:hint="eastAsia" w:ascii="宋体" w:hAnsi="宋体" w:eastAsia="宋体" w:cs="宋体"/>
          <w:b w:val="0"/>
          <w:bCs w:val="0"/>
          <w:sz w:val="24"/>
          <w:szCs w:val="24"/>
          <w:lang w:eastAsia="zh-CN"/>
        </w:rPr>
        <w:t>防</w:t>
      </w:r>
      <w:r>
        <w:rPr>
          <w:rFonts w:hint="eastAsia" w:ascii="宋体" w:hAnsi="宋体" w:eastAsia="宋体" w:cs="宋体"/>
          <w:b w:val="0"/>
          <w:bCs w:val="0"/>
          <w:sz w:val="24"/>
          <w:szCs w:val="24"/>
        </w:rPr>
        <w:t>森林火灾</w:t>
      </w:r>
      <w:r>
        <w:rPr>
          <w:rFonts w:hint="eastAsia" w:ascii="宋体" w:hAnsi="宋体" w:eastAsia="宋体" w:cs="宋体"/>
          <w:b w:val="0"/>
          <w:bCs w:val="0"/>
          <w:sz w:val="24"/>
          <w:szCs w:val="24"/>
          <w:lang w:eastAsia="zh-CN"/>
        </w:rPr>
        <w:t>发生</w:t>
      </w:r>
      <w:r>
        <w:rPr>
          <w:rFonts w:hint="eastAsia" w:ascii="宋体" w:hAnsi="宋体" w:eastAsia="宋体" w:cs="宋体"/>
          <w:b w:val="0"/>
          <w:bCs w:val="0"/>
          <w:sz w:val="24"/>
          <w:szCs w:val="24"/>
        </w:rPr>
        <w:t>。</w:t>
      </w:r>
    </w:p>
    <w:p w14:paraId="09CFA1D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安全责任：施工单位应充分考虑施工作业过程中的安全因素，按照安全生产的</w:t>
      </w:r>
      <w:r>
        <w:rPr>
          <w:rFonts w:hint="eastAsia" w:ascii="宋体" w:hAnsi="宋体" w:eastAsia="宋体" w:cs="宋体"/>
          <w:b w:val="0"/>
          <w:bCs w:val="0"/>
          <w:sz w:val="24"/>
          <w:szCs w:val="24"/>
          <w:lang w:eastAsia="zh-CN"/>
        </w:rPr>
        <w:t>有关</w:t>
      </w:r>
      <w:r>
        <w:rPr>
          <w:rFonts w:hint="eastAsia" w:ascii="宋体" w:hAnsi="宋体" w:eastAsia="宋体" w:cs="宋体"/>
          <w:b w:val="0"/>
          <w:bCs w:val="0"/>
          <w:sz w:val="24"/>
          <w:szCs w:val="24"/>
        </w:rPr>
        <w:t>要求规范作业，</w:t>
      </w:r>
      <w:r>
        <w:rPr>
          <w:rFonts w:hint="eastAsia" w:ascii="宋体" w:hAnsi="宋体" w:eastAsia="宋体" w:cs="宋体"/>
          <w:b w:val="0"/>
          <w:bCs w:val="0"/>
          <w:sz w:val="24"/>
          <w:szCs w:val="24"/>
          <w:lang w:eastAsia="zh-CN"/>
        </w:rPr>
        <w:t>施工期间发生的安全事故</w:t>
      </w:r>
      <w:r>
        <w:rPr>
          <w:rFonts w:hint="eastAsia" w:ascii="宋体" w:hAnsi="宋体" w:eastAsia="宋体" w:cs="宋体"/>
          <w:b w:val="0"/>
          <w:bCs w:val="0"/>
          <w:sz w:val="24"/>
          <w:szCs w:val="24"/>
        </w:rPr>
        <w:t>由乙方自行承担一切安全责任（含施工人员人身安全</w:t>
      </w:r>
      <w:r>
        <w:rPr>
          <w:rFonts w:hint="eastAsia" w:ascii="宋体" w:hAnsi="宋体" w:eastAsia="宋体" w:cs="宋体"/>
          <w:b w:val="0"/>
          <w:bCs w:val="0"/>
          <w:sz w:val="24"/>
          <w:szCs w:val="24"/>
          <w:lang w:eastAsia="zh-CN"/>
        </w:rPr>
        <w:t>、森林防火安全</w:t>
      </w:r>
      <w:r>
        <w:rPr>
          <w:rFonts w:hint="eastAsia" w:ascii="宋体" w:hAnsi="宋体" w:eastAsia="宋体" w:cs="宋体"/>
          <w:b w:val="0"/>
          <w:bCs w:val="0"/>
          <w:sz w:val="24"/>
          <w:szCs w:val="24"/>
        </w:rPr>
        <w:t>责任，乙方需给施工人员购买保险）。如不按要求施工对环境造成严重后果的由乙方自行承担一切责任。</w:t>
      </w:r>
    </w:p>
    <w:p w14:paraId="61FC25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五、履约保证金</w:t>
      </w:r>
    </w:p>
    <w:p w14:paraId="42C1A6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乙方在签订合同前向甲方按年度缴纳</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履约保证金，甲方在乙方履约完成后无息退还乙方履约保证金。</w:t>
      </w:r>
    </w:p>
    <w:p w14:paraId="2C2D604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六、其他要求：</w:t>
      </w:r>
    </w:p>
    <w:p w14:paraId="4B94357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）乙方应严格按照合同约定时限完工及申请验收；</w:t>
      </w:r>
    </w:p>
    <w:p w14:paraId="5007AA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）非经甲方书面同意乙方不得转包</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否则甲方有权终止本合同拒付项目款；</w:t>
      </w:r>
    </w:p>
    <w:p w14:paraId="2A8214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（三）乙方施工未达到甲方要求的，甲方有权</w:t>
      </w:r>
      <w:r>
        <w:rPr>
          <w:rFonts w:hint="eastAsia" w:ascii="宋体" w:hAnsi="宋体" w:eastAsia="宋体" w:cs="宋体"/>
          <w:b w:val="0"/>
          <w:bCs w:val="0"/>
          <w:sz w:val="24"/>
          <w:szCs w:val="24"/>
          <w:lang w:eastAsia="zh-CN"/>
        </w:rPr>
        <w:t>终止本合同拒付项目款。</w:t>
      </w:r>
    </w:p>
    <w:p w14:paraId="361E97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七、验收及决算</w:t>
      </w:r>
    </w:p>
    <w:p w14:paraId="19EE337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工程施工完成后，乙方向甲方提交书面请验报告，甲方收到乙方请验报告后，及时组织相关单位按照技术要求进行验收，并在验收后给予验收结论，或提出整改意见，乙方应按要求整改，并承担由自身原因造成的费用。</w:t>
      </w:r>
    </w:p>
    <w:p w14:paraId="5E1638D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八、违约和争议</w:t>
      </w:r>
    </w:p>
    <w:p w14:paraId="3DADBE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（一）甲方违约</w:t>
      </w:r>
    </w:p>
    <w:p w14:paraId="1114F3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1、甲方在无正当理由情况下，不支付项目结算价款；</w:t>
      </w:r>
    </w:p>
    <w:p w14:paraId="540182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2、甲方不按照合同约定履行义务的其他情况;</w:t>
      </w:r>
    </w:p>
    <w:p w14:paraId="0E499C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当发生以上情况时，甲方承担违约责任，并赔偿因违约给乙方造成的经济损失，按合同法有关规定赔偿违约金。</w:t>
      </w:r>
    </w:p>
    <w:p w14:paraId="62A5A4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（二）乙方违约</w:t>
      </w:r>
    </w:p>
    <w:p w14:paraId="41E6E7F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1、因乙方原因不能按照本合同约定的时限、质量要求完工；</w:t>
      </w:r>
    </w:p>
    <w:p w14:paraId="25C7EE2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2、乙方不按照合同约定履行义务的其他情况；</w:t>
      </w:r>
    </w:p>
    <w:p w14:paraId="369F68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当发生以上情况时，乙方承担违约责任，并赔偿因违约给甲方造成的经济损失，按合同法有关规定赔偿违约金。</w:t>
      </w:r>
    </w:p>
    <w:p w14:paraId="2CF7AC7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（三）争议</w:t>
      </w:r>
      <w:r>
        <w:rPr>
          <w:rFonts w:hint="eastAsia" w:ascii="宋体" w:hAnsi="宋体" w:eastAsia="宋体" w:cs="宋体"/>
          <w:b w:val="0"/>
          <w:bCs w:val="0"/>
          <w:sz w:val="24"/>
          <w:szCs w:val="24"/>
          <w:lang w:eastAsia="zh-CN"/>
        </w:rPr>
        <w:tab/>
      </w:r>
    </w:p>
    <w:p w14:paraId="222CE7B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甲乙双方在履行合同时发生争议，可以协商解决或者要求有关主管部门调解，调解不成的，双方可以向甲方所在地人民法院起诉。</w:t>
      </w:r>
    </w:p>
    <w:p w14:paraId="5B64E3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九、合同生效与失效</w:t>
      </w:r>
    </w:p>
    <w:p w14:paraId="15C425F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合同订立时间：20</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lang w:eastAsia="zh-CN"/>
        </w:rPr>
        <w:t>年</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月</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日</w:t>
      </w:r>
    </w:p>
    <w:p w14:paraId="0E65E55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合同订立地点：</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 xml:space="preserve">                                             </w:t>
      </w:r>
    </w:p>
    <w:p w14:paraId="643A047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本合同一式</w:t>
      </w:r>
      <w:r>
        <w:rPr>
          <w:rFonts w:hint="eastAsia" w:ascii="宋体" w:hAnsi="宋体" w:eastAsia="宋体" w:cs="宋体"/>
          <w:b w:val="0"/>
          <w:bCs w:val="0"/>
          <w:sz w:val="24"/>
          <w:szCs w:val="24"/>
          <w:lang w:val="en-US" w:eastAsia="zh-CN"/>
        </w:rPr>
        <w:t>贰</w:t>
      </w:r>
      <w:r>
        <w:rPr>
          <w:rFonts w:hint="eastAsia" w:ascii="宋体" w:hAnsi="宋体" w:eastAsia="宋体" w:cs="宋体"/>
          <w:b w:val="0"/>
          <w:bCs w:val="0"/>
          <w:sz w:val="24"/>
          <w:szCs w:val="24"/>
          <w:lang w:eastAsia="zh-CN"/>
        </w:rPr>
        <w:t>份，甲乙双方各执壹份，经双方签字盖章后生效，待检查验收符合约定要求、项目价款结清后失效。</w:t>
      </w:r>
    </w:p>
    <w:p w14:paraId="4CF8B6A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十、其他未尽事宜，双方协商处理。</w:t>
      </w:r>
    </w:p>
    <w:p w14:paraId="1874E41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eastAsia="zh-CN"/>
        </w:rPr>
      </w:pPr>
    </w:p>
    <w:p w14:paraId="72EA623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eastAsia="zh-CN"/>
        </w:rPr>
      </w:pPr>
    </w:p>
    <w:p w14:paraId="0D2B17C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eastAsia="zh-CN"/>
        </w:rPr>
      </w:pPr>
    </w:p>
    <w:p w14:paraId="4C331CD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甲方（公章）：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 xml:space="preserve">乙方（公章）：            </w:t>
      </w:r>
    </w:p>
    <w:p w14:paraId="793B4E3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地址：                      地址：                   </w:t>
      </w:r>
    </w:p>
    <w:p w14:paraId="36069FD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法定（委托）代表人：</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 xml:space="preserve">法定（委托）代表人：             </w:t>
      </w:r>
    </w:p>
    <w:p w14:paraId="088E7D0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电话：                      电话：</w:t>
      </w:r>
    </w:p>
    <w:p w14:paraId="235A7310">
      <w:pPr>
        <w:pStyle w:val="3"/>
        <w:spacing w:before="120" w:beforeLines="50"/>
        <w:ind w:right="561" w:firstLine="0"/>
        <w:jc w:val="center"/>
        <w:outlineLvl w:val="0"/>
        <w:rPr>
          <w:rFonts w:hint="eastAsia" w:hAnsi="宋体" w:cs="宋体"/>
          <w:b/>
          <w:sz w:val="44"/>
          <w:szCs w:val="24"/>
        </w:rPr>
      </w:pPr>
      <w:r>
        <w:rPr>
          <w:rFonts w:hint="eastAsia" w:hAnsi="宋体" w:cs="宋体"/>
          <w:b/>
          <w:bCs/>
          <w:sz w:val="24"/>
        </w:rPr>
        <w:br w:type="page"/>
      </w:r>
      <w:bookmarkStart w:id="119" w:name="_Toc11000"/>
      <w:bookmarkStart w:id="120" w:name="_Toc31989"/>
    </w:p>
    <w:p w14:paraId="4BD72186">
      <w:pPr>
        <w:pStyle w:val="3"/>
        <w:spacing w:before="120" w:beforeLines="50"/>
        <w:ind w:right="561" w:firstLine="0"/>
        <w:jc w:val="center"/>
        <w:outlineLvl w:val="0"/>
        <w:rPr>
          <w:rFonts w:hint="eastAsia" w:hAnsi="宋体" w:cs="宋体"/>
          <w:b/>
          <w:sz w:val="21"/>
          <w:szCs w:val="21"/>
        </w:rPr>
      </w:pPr>
    </w:p>
    <w:p w14:paraId="0870417D">
      <w:pPr>
        <w:pStyle w:val="3"/>
        <w:spacing w:before="120" w:beforeLines="50"/>
        <w:ind w:right="561" w:firstLine="0"/>
        <w:jc w:val="center"/>
        <w:outlineLvl w:val="0"/>
        <w:rPr>
          <w:rFonts w:hAnsi="宋体" w:cs="宋体"/>
          <w:b/>
          <w:sz w:val="28"/>
          <w:szCs w:val="28"/>
        </w:rPr>
      </w:pPr>
      <w:r>
        <w:rPr>
          <w:rFonts w:hint="eastAsia" w:hAnsi="宋体" w:cs="宋体"/>
          <w:b/>
          <w:sz w:val="28"/>
          <w:szCs w:val="28"/>
        </w:rPr>
        <w:t>第</w:t>
      </w:r>
      <w:r>
        <w:rPr>
          <w:rFonts w:hint="eastAsia" w:hAnsi="宋体" w:cs="宋体"/>
          <w:b/>
          <w:sz w:val="28"/>
          <w:szCs w:val="28"/>
          <w:lang w:val="en-US" w:eastAsia="zh-CN"/>
        </w:rPr>
        <w:t>六</w:t>
      </w:r>
      <w:r>
        <w:rPr>
          <w:rFonts w:hint="eastAsia" w:hAnsi="宋体" w:cs="宋体"/>
          <w:b/>
          <w:sz w:val="28"/>
          <w:szCs w:val="28"/>
        </w:rPr>
        <w:t xml:space="preserve">章 </w:t>
      </w:r>
      <w:r>
        <w:rPr>
          <w:rFonts w:hint="eastAsia" w:hAnsi="宋体" w:cs="宋体"/>
          <w:b/>
          <w:sz w:val="28"/>
          <w:szCs w:val="28"/>
          <w:lang w:eastAsia="zh-CN"/>
        </w:rPr>
        <w:t>谈判</w:t>
      </w:r>
      <w:r>
        <w:rPr>
          <w:rFonts w:hint="eastAsia" w:hAnsi="宋体" w:cs="宋体"/>
          <w:b/>
          <w:sz w:val="28"/>
          <w:szCs w:val="28"/>
        </w:rPr>
        <w:t>响应文件格式</w:t>
      </w:r>
      <w:bookmarkEnd w:id="119"/>
      <w:bookmarkEnd w:id="120"/>
    </w:p>
    <w:p w14:paraId="6BFCF85F">
      <w:pPr>
        <w:keepNext w:val="0"/>
        <w:keepLines w:val="0"/>
        <w:widowControl/>
        <w:suppressLineNumbers w:val="0"/>
        <w:jc w:val="left"/>
        <w:rPr>
          <w:rFonts w:hint="eastAsia" w:ascii="仿宋" w:hAnsi="仿宋" w:eastAsia="仿宋" w:cs="仿宋"/>
          <w:b w:val="0"/>
          <w:bCs w:val="0"/>
          <w:color w:val="000000"/>
          <w:kern w:val="0"/>
          <w:sz w:val="24"/>
          <w:szCs w:val="24"/>
          <w:lang w:val="en-US" w:eastAsia="zh-CN" w:bidi="ar"/>
        </w:rPr>
      </w:pPr>
    </w:p>
    <w:p w14:paraId="31CA6E98">
      <w:pPr>
        <w:keepNext w:val="0"/>
        <w:keepLines w:val="0"/>
        <w:widowControl/>
        <w:suppressLineNumbers w:val="0"/>
        <w:jc w:val="center"/>
        <w:rPr>
          <w:rFonts w:hint="eastAsia" w:ascii="黑体" w:hAnsi="黑体" w:eastAsia="黑体" w:cs="黑体"/>
          <w:b w:val="0"/>
          <w:bCs w:val="0"/>
          <w:sz w:val="40"/>
          <w:szCs w:val="22"/>
        </w:rPr>
      </w:pPr>
      <w:r>
        <w:rPr>
          <w:rFonts w:hint="eastAsia" w:ascii="黑体" w:hAnsi="黑体" w:eastAsia="黑体" w:cs="黑体"/>
          <w:b w:val="0"/>
          <w:bCs w:val="0"/>
          <w:color w:val="000000"/>
          <w:kern w:val="0"/>
          <w:sz w:val="32"/>
          <w:szCs w:val="32"/>
          <w:lang w:val="en-US" w:eastAsia="zh-CN" w:bidi="ar"/>
        </w:rPr>
        <w:t>竞争性谈判响应文件编制说明</w:t>
      </w:r>
    </w:p>
    <w:p w14:paraId="5B6C329B">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7E73E1A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1 </w:t>
      </w:r>
      <w:r>
        <w:rPr>
          <w:rFonts w:hint="eastAsia" w:hAnsi="宋体" w:cs="宋体"/>
          <w:color w:val="auto"/>
          <w:kern w:val="0"/>
          <w:sz w:val="24"/>
          <w:szCs w:val="24"/>
          <w:lang w:val="en-US" w:eastAsia="zh-CN" w:bidi="ar"/>
        </w:rPr>
        <w:t xml:space="preserve">陕西安康天诚工程项目管理咨询有限公司 </w:t>
      </w:r>
      <w:r>
        <w:rPr>
          <w:rFonts w:hint="eastAsia" w:ascii="宋体" w:hAnsi="宋体" w:eastAsia="宋体" w:cs="宋体"/>
          <w:color w:val="auto"/>
          <w:kern w:val="0"/>
          <w:sz w:val="24"/>
          <w:szCs w:val="24"/>
          <w:lang w:val="en-US" w:eastAsia="zh-CN" w:bidi="ar"/>
        </w:rPr>
        <w:t>提供的竞争性</w:t>
      </w:r>
      <w:r>
        <w:rPr>
          <w:rFonts w:hint="eastAsia" w:hAnsi="宋体" w:cs="宋体"/>
          <w:color w:val="auto"/>
          <w:kern w:val="0"/>
          <w:sz w:val="24"/>
          <w:szCs w:val="24"/>
          <w:lang w:val="en-US" w:eastAsia="zh-CN" w:bidi="ar"/>
        </w:rPr>
        <w:t>谈判</w:t>
      </w:r>
      <w:r>
        <w:rPr>
          <w:rFonts w:hint="eastAsia" w:ascii="宋体" w:hAnsi="宋体" w:eastAsia="宋体" w:cs="宋体"/>
          <w:color w:val="auto"/>
          <w:kern w:val="0"/>
          <w:sz w:val="24"/>
          <w:szCs w:val="24"/>
          <w:lang w:val="en-US" w:eastAsia="zh-CN" w:bidi="ar"/>
        </w:rPr>
        <w:t>文件格式，编制竞争性</w:t>
      </w:r>
      <w:r>
        <w:rPr>
          <w:rFonts w:hint="eastAsia" w:hAnsi="宋体" w:cs="宋体"/>
          <w:color w:val="auto"/>
          <w:kern w:val="0"/>
          <w:sz w:val="24"/>
          <w:szCs w:val="24"/>
          <w:lang w:val="en-US" w:eastAsia="zh-CN" w:bidi="ar"/>
        </w:rPr>
        <w:t>谈判</w:t>
      </w:r>
      <w:r>
        <w:rPr>
          <w:rFonts w:hint="eastAsia" w:ascii="宋体" w:hAnsi="宋体" w:eastAsia="宋体" w:cs="宋体"/>
          <w:color w:val="auto"/>
          <w:kern w:val="0"/>
          <w:sz w:val="24"/>
          <w:szCs w:val="24"/>
          <w:lang w:val="en-US" w:eastAsia="zh-CN" w:bidi="ar"/>
        </w:rPr>
        <w:t>响应 文件前，请详细阅读竞争性</w:t>
      </w:r>
      <w:r>
        <w:rPr>
          <w:rFonts w:hint="eastAsia" w:hAnsi="宋体" w:cs="宋体"/>
          <w:color w:val="auto"/>
          <w:kern w:val="0"/>
          <w:sz w:val="24"/>
          <w:szCs w:val="24"/>
          <w:lang w:val="en-US" w:eastAsia="zh-CN" w:bidi="ar"/>
        </w:rPr>
        <w:t>谈判</w:t>
      </w:r>
      <w:r>
        <w:rPr>
          <w:rFonts w:hint="eastAsia" w:ascii="宋体" w:hAnsi="宋体" w:eastAsia="宋体" w:cs="宋体"/>
          <w:color w:val="auto"/>
          <w:kern w:val="0"/>
          <w:sz w:val="24"/>
          <w:szCs w:val="24"/>
          <w:lang w:val="en-US" w:eastAsia="zh-CN" w:bidi="ar"/>
        </w:rPr>
        <w:t xml:space="preserve">文件，理解文件中的每一项要求。 </w:t>
      </w:r>
    </w:p>
    <w:p w14:paraId="68BC160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 竞争性</w:t>
      </w:r>
      <w:r>
        <w:rPr>
          <w:rFonts w:hint="eastAsia" w:hAnsi="宋体" w:cs="宋体"/>
          <w:color w:val="auto"/>
          <w:kern w:val="0"/>
          <w:sz w:val="24"/>
          <w:szCs w:val="24"/>
          <w:lang w:val="en-US" w:eastAsia="zh-CN" w:bidi="ar"/>
        </w:rPr>
        <w:t>谈判</w:t>
      </w:r>
      <w:r>
        <w:rPr>
          <w:rFonts w:hint="eastAsia" w:ascii="宋体" w:hAnsi="宋体" w:eastAsia="宋体" w:cs="宋体"/>
          <w:color w:val="auto"/>
          <w:kern w:val="0"/>
          <w:sz w:val="24"/>
          <w:szCs w:val="24"/>
          <w:lang w:val="en-US" w:eastAsia="zh-CN" w:bidi="ar"/>
        </w:rPr>
        <w:t xml:space="preserve">响应文件的编制应按照样本格式提供的内容（包括但不限于），作 </w:t>
      </w:r>
    </w:p>
    <w:p w14:paraId="6364299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 xml:space="preserve">出逐一明确的答复；供应商认为有必要，还可以做其它补充说明。 </w:t>
      </w:r>
    </w:p>
    <w:p w14:paraId="7D573B98">
      <w:pPr>
        <w:pStyle w:val="16"/>
      </w:pPr>
      <w:r>
        <w:rPr>
          <w:rFonts w:hint="eastAsia"/>
          <w:bCs/>
          <w:sz w:val="24"/>
        </w:rPr>
        <w:br w:type="page"/>
      </w:r>
      <w:bookmarkEnd w:id="103"/>
    </w:p>
    <w:p w14:paraId="5C51FE3B">
      <w:pPr>
        <w:pStyle w:val="3"/>
        <w:spacing w:before="120" w:beforeLines="50"/>
        <w:ind w:right="561" w:firstLine="0"/>
        <w:jc w:val="left"/>
        <w:rPr>
          <w:rFonts w:hint="eastAsia" w:hAnsi="宋体" w:cs="宋体"/>
          <w:b/>
          <w:sz w:val="28"/>
          <w:szCs w:val="28"/>
        </w:rPr>
      </w:pPr>
      <w:bookmarkStart w:id="121" w:name="_Toc531253660"/>
    </w:p>
    <w:p w14:paraId="5364A147">
      <w:pPr>
        <w:pStyle w:val="3"/>
        <w:spacing w:before="120" w:beforeLines="50"/>
        <w:ind w:right="561" w:firstLine="0"/>
        <w:jc w:val="left"/>
        <w:rPr>
          <w:rFonts w:hint="eastAsia" w:hAnsi="宋体" w:cs="宋体"/>
          <w:b/>
          <w:sz w:val="28"/>
          <w:szCs w:val="28"/>
        </w:rPr>
      </w:pPr>
    </w:p>
    <w:p w14:paraId="0160A443">
      <w:pPr>
        <w:pStyle w:val="3"/>
        <w:spacing w:before="120" w:beforeLines="50"/>
        <w:ind w:right="561" w:firstLine="0"/>
        <w:jc w:val="left"/>
        <w:rPr>
          <w:rFonts w:ascii="黑体" w:hAnsi="黑体" w:eastAsia="黑体" w:cs="宋体"/>
          <w:b/>
          <w:sz w:val="44"/>
          <w:szCs w:val="44"/>
        </w:rPr>
      </w:pPr>
      <w:r>
        <w:rPr>
          <w:rFonts w:hint="eastAsia" w:hAnsi="宋体" w:cs="宋体"/>
          <w:b/>
          <w:sz w:val="28"/>
          <w:szCs w:val="28"/>
        </w:rPr>
        <w:t xml:space="preserve">                                          </w:t>
      </w:r>
      <w:bookmarkEnd w:id="121"/>
    </w:p>
    <w:p w14:paraId="5179E98D">
      <w:pPr>
        <w:ind w:firstLine="979" w:firstLineChars="204"/>
        <w:rPr>
          <w:rFonts w:hAnsi="宋体" w:cs="宋体"/>
          <w:bCs/>
          <w:sz w:val="48"/>
          <w:szCs w:val="48"/>
        </w:rPr>
      </w:pPr>
    </w:p>
    <w:p w14:paraId="33E505CC">
      <w:pPr>
        <w:pStyle w:val="3"/>
      </w:pPr>
    </w:p>
    <w:p w14:paraId="61C1D0D6">
      <w:pPr>
        <w:pStyle w:val="20"/>
        <w:adjustRightInd w:val="0"/>
        <w:snapToGrid w:val="0"/>
        <w:spacing w:line="360" w:lineRule="auto"/>
        <w:jc w:val="center"/>
        <w:rPr>
          <w:rFonts w:hAnsi="宋体" w:cs="宋体"/>
          <w:b/>
          <w:spacing w:val="-20"/>
          <w:sz w:val="56"/>
          <w:szCs w:val="56"/>
        </w:rPr>
      </w:pPr>
      <w:bookmarkStart w:id="122" w:name="_Toc217446082"/>
      <w:r>
        <w:rPr>
          <w:rFonts w:hint="eastAsia" w:hAnsi="宋体" w:cs="宋体"/>
          <w:b/>
          <w:spacing w:val="-20"/>
          <w:sz w:val="56"/>
          <w:szCs w:val="56"/>
          <w:lang w:val="en-US" w:eastAsia="zh-CN"/>
        </w:rPr>
        <w:t xml:space="preserve"> </w:t>
      </w:r>
      <w:r>
        <w:rPr>
          <w:rFonts w:hint="eastAsia" w:hAnsi="宋体" w:cs="宋体"/>
          <w:b/>
          <w:spacing w:val="-20"/>
          <w:sz w:val="56"/>
          <w:szCs w:val="56"/>
          <w:u w:val="single"/>
          <w:lang w:val="en-US" w:eastAsia="zh-CN"/>
        </w:rPr>
        <w:t xml:space="preserve">                         </w:t>
      </w:r>
      <w:r>
        <w:rPr>
          <w:rFonts w:hint="eastAsia" w:hAnsi="宋体" w:cs="宋体"/>
          <w:b/>
          <w:spacing w:val="-20"/>
          <w:sz w:val="56"/>
          <w:szCs w:val="56"/>
        </w:rPr>
        <w:t>项目</w:t>
      </w:r>
    </w:p>
    <w:p w14:paraId="19176824">
      <w:pPr>
        <w:pStyle w:val="20"/>
        <w:adjustRightInd w:val="0"/>
        <w:snapToGrid w:val="0"/>
        <w:spacing w:line="360" w:lineRule="auto"/>
        <w:jc w:val="center"/>
        <w:rPr>
          <w:rFonts w:hAnsi="宋体" w:cs="宋体"/>
          <w:b/>
          <w:sz w:val="96"/>
          <w:szCs w:val="44"/>
        </w:rPr>
      </w:pPr>
      <w:r>
        <w:rPr>
          <w:rFonts w:hint="eastAsia" w:hAnsi="宋体" w:cs="宋体"/>
          <w:b/>
          <w:sz w:val="96"/>
          <w:szCs w:val="44"/>
          <w:lang w:eastAsia="zh-CN"/>
        </w:rPr>
        <w:t>谈判</w:t>
      </w:r>
      <w:r>
        <w:rPr>
          <w:rFonts w:hint="eastAsia" w:hAnsi="宋体" w:cs="宋体"/>
          <w:b/>
          <w:sz w:val="96"/>
          <w:szCs w:val="44"/>
        </w:rPr>
        <w:t>响应文件</w:t>
      </w:r>
    </w:p>
    <w:p w14:paraId="71440965">
      <w:pPr>
        <w:pStyle w:val="3"/>
        <w:ind w:firstLine="714" w:firstLineChars="255"/>
        <w:rPr>
          <w:rFonts w:hAnsi="宋体" w:cs="宋体"/>
          <w:sz w:val="28"/>
          <w:szCs w:val="28"/>
        </w:rPr>
      </w:pPr>
    </w:p>
    <w:p w14:paraId="77218F6B">
      <w:pPr>
        <w:pStyle w:val="3"/>
        <w:ind w:firstLine="714" w:firstLineChars="255"/>
        <w:rPr>
          <w:rFonts w:hAnsi="宋体" w:cs="宋体"/>
          <w:sz w:val="28"/>
          <w:szCs w:val="28"/>
        </w:rPr>
      </w:pPr>
    </w:p>
    <w:p w14:paraId="5DD2EDD2">
      <w:pPr>
        <w:pStyle w:val="3"/>
        <w:ind w:firstLine="714" w:firstLineChars="255"/>
        <w:rPr>
          <w:rFonts w:hAnsi="宋体" w:cs="宋体"/>
          <w:sz w:val="28"/>
          <w:szCs w:val="28"/>
        </w:rPr>
      </w:pPr>
    </w:p>
    <w:p w14:paraId="29AD9898">
      <w:pPr>
        <w:pStyle w:val="3"/>
        <w:spacing w:before="120" w:beforeLines="50"/>
        <w:ind w:firstLine="717" w:firstLineChars="255"/>
        <w:rPr>
          <w:rFonts w:hAnsi="宋体" w:cs="宋体"/>
          <w:b/>
          <w:sz w:val="28"/>
          <w:szCs w:val="28"/>
        </w:rPr>
      </w:pPr>
    </w:p>
    <w:p w14:paraId="6CD65E93">
      <w:pPr>
        <w:pStyle w:val="3"/>
        <w:spacing w:before="120" w:beforeLines="50"/>
        <w:ind w:firstLine="717" w:firstLineChars="255"/>
        <w:rPr>
          <w:rFonts w:hAnsi="宋体" w:cs="宋体"/>
          <w:b/>
          <w:sz w:val="28"/>
          <w:szCs w:val="28"/>
        </w:rPr>
      </w:pPr>
    </w:p>
    <w:p w14:paraId="319A5442">
      <w:pPr>
        <w:pStyle w:val="3"/>
        <w:spacing w:before="120" w:beforeLines="50"/>
        <w:ind w:firstLine="717" w:firstLineChars="255"/>
        <w:rPr>
          <w:rFonts w:hAnsi="宋体" w:cs="宋体"/>
          <w:b/>
          <w:sz w:val="28"/>
          <w:szCs w:val="28"/>
        </w:rPr>
      </w:pPr>
    </w:p>
    <w:p w14:paraId="335DADF1">
      <w:pPr>
        <w:pStyle w:val="3"/>
        <w:spacing w:before="120" w:beforeLines="50"/>
        <w:ind w:firstLine="717" w:firstLineChars="255"/>
        <w:rPr>
          <w:rFonts w:hAnsi="宋体" w:cs="宋体"/>
          <w:b/>
          <w:sz w:val="28"/>
          <w:szCs w:val="28"/>
        </w:rPr>
      </w:pPr>
    </w:p>
    <w:p w14:paraId="72FF9D5E">
      <w:pPr>
        <w:pStyle w:val="3"/>
        <w:spacing w:before="120" w:beforeLines="50"/>
        <w:ind w:firstLine="717" w:firstLineChars="255"/>
        <w:rPr>
          <w:rFonts w:hAnsi="宋体" w:cs="宋体"/>
          <w:b/>
          <w:sz w:val="28"/>
          <w:szCs w:val="28"/>
        </w:rPr>
      </w:pPr>
    </w:p>
    <w:p w14:paraId="150D24F6">
      <w:pPr>
        <w:pStyle w:val="3"/>
        <w:spacing w:before="120" w:beforeLines="50"/>
        <w:ind w:firstLine="717" w:firstLineChars="255"/>
        <w:rPr>
          <w:rFonts w:hAnsi="宋体" w:cs="宋体"/>
          <w:b/>
          <w:sz w:val="28"/>
          <w:szCs w:val="28"/>
        </w:rPr>
      </w:pPr>
    </w:p>
    <w:p w14:paraId="3DCBFAF6">
      <w:pPr>
        <w:pStyle w:val="3"/>
        <w:snapToGrid w:val="0"/>
        <w:spacing w:line="360" w:lineRule="auto"/>
        <w:ind w:firstLine="1470" w:firstLineChars="523"/>
        <w:rPr>
          <w:rFonts w:hint="default" w:hAnsi="宋体" w:cs="宋体"/>
          <w:b w:val="0"/>
          <w:bCs w:val="0"/>
          <w:i w:val="0"/>
          <w:iCs w:val="0"/>
          <w:sz w:val="28"/>
          <w:szCs w:val="28"/>
          <w:u w:val="single"/>
          <w:lang w:val="en-US" w:eastAsia="zh-CN"/>
        </w:rPr>
      </w:pPr>
      <w:r>
        <w:rPr>
          <w:rFonts w:hint="eastAsia" w:hAnsi="宋体" w:cs="宋体"/>
          <w:b/>
          <w:bCs/>
          <w:sz w:val="28"/>
          <w:szCs w:val="28"/>
          <w:lang w:val="en-US" w:eastAsia="zh-CN"/>
        </w:rPr>
        <w:t xml:space="preserve"> 项目编号：</w:t>
      </w:r>
      <w:r>
        <w:rPr>
          <w:rFonts w:hint="eastAsia" w:hAnsi="宋体" w:cs="宋体"/>
          <w:b/>
          <w:bCs/>
          <w:sz w:val="28"/>
          <w:szCs w:val="28"/>
          <w:u w:val="single"/>
          <w:lang w:val="en-US" w:eastAsia="zh-CN"/>
        </w:rPr>
        <w:t xml:space="preserve"> </w:t>
      </w:r>
      <w:r>
        <w:rPr>
          <w:rFonts w:hint="eastAsia" w:hAnsi="宋体" w:cs="宋体"/>
          <w:b w:val="0"/>
          <w:bCs w:val="0"/>
          <w:i w:val="0"/>
          <w:iCs w:val="0"/>
          <w:sz w:val="28"/>
          <w:szCs w:val="28"/>
          <w:u w:val="single"/>
          <w:lang w:val="en-US" w:eastAsia="zh-CN"/>
        </w:rPr>
        <w:t xml:space="preserve">                         </w:t>
      </w:r>
    </w:p>
    <w:p w14:paraId="06D5A55A">
      <w:pPr>
        <w:pStyle w:val="3"/>
        <w:snapToGrid w:val="0"/>
        <w:spacing w:line="360" w:lineRule="auto"/>
        <w:ind w:firstLine="1554" w:firstLineChars="553"/>
        <w:rPr>
          <w:rFonts w:hAnsi="宋体" w:cs="宋体"/>
          <w:b/>
          <w:bCs/>
          <w:sz w:val="28"/>
          <w:szCs w:val="28"/>
        </w:rPr>
      </w:pPr>
      <w:r>
        <w:rPr>
          <w:rFonts w:hint="eastAsia" w:hAnsi="宋体" w:cs="宋体"/>
          <w:b/>
          <w:bCs/>
          <w:sz w:val="28"/>
          <w:szCs w:val="28"/>
        </w:rPr>
        <w:t>供 应 商：</w:t>
      </w:r>
      <w:r>
        <w:rPr>
          <w:rFonts w:hint="eastAsia" w:hAnsi="宋体" w:cs="宋体"/>
          <w:b/>
          <w:bCs/>
          <w:sz w:val="28"/>
          <w:szCs w:val="28"/>
          <w:u w:val="single"/>
        </w:rPr>
        <w:t xml:space="preserve">                         </w:t>
      </w:r>
      <w:r>
        <w:rPr>
          <w:rFonts w:hint="eastAsia" w:hAnsi="宋体" w:cs="宋体"/>
          <w:b/>
          <w:bCs/>
          <w:sz w:val="28"/>
          <w:szCs w:val="28"/>
        </w:rPr>
        <w:t>（公章）</w:t>
      </w:r>
    </w:p>
    <w:p w14:paraId="59897531">
      <w:pPr>
        <w:pStyle w:val="3"/>
        <w:snapToGrid w:val="0"/>
        <w:spacing w:line="360" w:lineRule="auto"/>
        <w:ind w:firstLine="1560" w:firstLineChars="555"/>
        <w:rPr>
          <w:rFonts w:hAnsi="宋体" w:cs="宋体"/>
          <w:b/>
          <w:bCs/>
          <w:sz w:val="28"/>
          <w:szCs w:val="28"/>
        </w:rPr>
      </w:pPr>
      <w:r>
        <w:rPr>
          <w:rFonts w:hint="eastAsia" w:hAnsi="宋体" w:cs="宋体"/>
          <w:b/>
          <w:sz w:val="28"/>
          <w:szCs w:val="28"/>
        </w:rPr>
        <w:t>法定代表人或授权代表：</w:t>
      </w:r>
      <w:r>
        <w:rPr>
          <w:rFonts w:hint="eastAsia" w:hAnsi="宋体" w:cs="宋体"/>
          <w:b/>
          <w:sz w:val="28"/>
          <w:szCs w:val="28"/>
          <w:u w:val="single"/>
        </w:rPr>
        <w:t xml:space="preserve">             </w:t>
      </w:r>
      <w:r>
        <w:rPr>
          <w:rFonts w:hint="eastAsia" w:hAnsi="宋体" w:cs="宋体"/>
          <w:b/>
          <w:bCs/>
          <w:sz w:val="28"/>
          <w:szCs w:val="28"/>
        </w:rPr>
        <w:t>（签字）</w:t>
      </w:r>
    </w:p>
    <w:p w14:paraId="451798EC">
      <w:pPr>
        <w:pStyle w:val="3"/>
        <w:snapToGrid w:val="0"/>
        <w:spacing w:line="360" w:lineRule="auto"/>
        <w:ind w:firstLine="1560" w:firstLineChars="555"/>
        <w:jc w:val="left"/>
        <w:rPr>
          <w:rFonts w:hAnsi="宋体" w:cs="宋体"/>
          <w:b/>
          <w:bCs/>
          <w:sz w:val="28"/>
          <w:szCs w:val="28"/>
        </w:rPr>
      </w:pPr>
      <w:r>
        <w:rPr>
          <w:rFonts w:hint="eastAsia" w:hAnsi="宋体" w:cs="宋体"/>
          <w:b/>
          <w:bCs/>
          <w:sz w:val="28"/>
          <w:szCs w:val="28"/>
        </w:rPr>
        <w:t xml:space="preserve">日    期：        </w:t>
      </w:r>
      <w:r>
        <w:rPr>
          <w:rFonts w:hint="eastAsia" w:hAnsi="宋体" w:cs="宋体"/>
          <w:b/>
          <w:bCs/>
          <w:sz w:val="28"/>
          <w:szCs w:val="28"/>
          <w:u w:val="single"/>
        </w:rPr>
        <w:t xml:space="preserve">       </w:t>
      </w:r>
      <w:r>
        <w:rPr>
          <w:rFonts w:hint="eastAsia" w:hAnsi="宋体" w:cs="宋体"/>
          <w:b/>
          <w:bCs/>
          <w:sz w:val="28"/>
          <w:szCs w:val="28"/>
        </w:rPr>
        <w:t>年</w:t>
      </w:r>
      <w:r>
        <w:rPr>
          <w:rFonts w:hint="eastAsia" w:hAnsi="宋体" w:cs="宋体"/>
          <w:b/>
          <w:bCs/>
          <w:sz w:val="28"/>
          <w:szCs w:val="28"/>
          <w:u w:val="single"/>
        </w:rPr>
        <w:t xml:space="preserve">   </w:t>
      </w:r>
      <w:r>
        <w:rPr>
          <w:rFonts w:hint="eastAsia" w:hAnsi="宋体" w:cs="宋体"/>
          <w:b/>
          <w:bCs/>
          <w:sz w:val="28"/>
          <w:szCs w:val="28"/>
        </w:rPr>
        <w:t>月</w:t>
      </w:r>
      <w:r>
        <w:rPr>
          <w:rFonts w:hint="eastAsia" w:hAnsi="宋体" w:cs="宋体"/>
          <w:b/>
          <w:bCs/>
          <w:sz w:val="28"/>
          <w:szCs w:val="28"/>
          <w:u w:val="single"/>
        </w:rPr>
        <w:t xml:space="preserve">   </w:t>
      </w:r>
      <w:r>
        <w:rPr>
          <w:rFonts w:hint="eastAsia" w:hAnsi="宋体" w:cs="宋体"/>
          <w:b/>
          <w:bCs/>
          <w:sz w:val="28"/>
          <w:szCs w:val="28"/>
        </w:rPr>
        <w:t>日</w:t>
      </w:r>
    </w:p>
    <w:bookmarkEnd w:id="122"/>
    <w:p w14:paraId="6DF2A492">
      <w:pPr>
        <w:pStyle w:val="3"/>
        <w:spacing w:before="120" w:beforeLines="50"/>
        <w:ind w:firstLine="0"/>
        <w:rPr>
          <w:rFonts w:hAnsi="宋体" w:cs="宋体"/>
          <w:b/>
          <w:sz w:val="44"/>
          <w:szCs w:val="44"/>
        </w:rPr>
      </w:pPr>
    </w:p>
    <w:p w14:paraId="68D1EBF4">
      <w:pPr>
        <w:pStyle w:val="3"/>
        <w:spacing w:before="120" w:beforeLines="50"/>
        <w:ind w:firstLine="0"/>
        <w:jc w:val="center"/>
        <w:rPr>
          <w:rFonts w:hAnsi="宋体" w:cs="宋体"/>
          <w:b/>
          <w:sz w:val="44"/>
          <w:szCs w:val="44"/>
        </w:rPr>
      </w:pPr>
      <w:r>
        <w:rPr>
          <w:rFonts w:hAnsi="宋体" w:cs="宋体"/>
          <w:b/>
          <w:sz w:val="44"/>
          <w:szCs w:val="44"/>
        </w:rPr>
        <w:br w:type="page"/>
      </w:r>
      <w:r>
        <w:rPr>
          <w:rFonts w:hint="eastAsia" w:hAnsi="宋体" w:cs="宋体"/>
          <w:b/>
          <w:sz w:val="44"/>
          <w:szCs w:val="44"/>
        </w:rPr>
        <w:t>目  录</w:t>
      </w:r>
    </w:p>
    <w:p w14:paraId="2430FF8B">
      <w:pPr>
        <w:spacing w:line="360" w:lineRule="auto"/>
        <w:ind w:firstLine="614" w:firstLineChars="255"/>
        <w:rPr>
          <w:rFonts w:hAnsi="宋体" w:cs="宋体"/>
          <w:b/>
          <w:sz w:val="24"/>
        </w:rPr>
      </w:pPr>
    </w:p>
    <w:p w14:paraId="2B771ED4">
      <w:pPr>
        <w:adjustRightInd w:val="0"/>
        <w:snapToGrid w:val="0"/>
        <w:spacing w:line="480" w:lineRule="auto"/>
        <w:ind w:firstLine="717" w:firstLineChars="255"/>
        <w:rPr>
          <w:rFonts w:hAnsi="宋体" w:cs="宋体"/>
          <w:b/>
          <w:sz w:val="28"/>
          <w:szCs w:val="28"/>
        </w:rPr>
      </w:pPr>
      <w:bookmarkStart w:id="123" w:name="_Toc3319"/>
      <w:bookmarkStart w:id="124" w:name="_Toc26447"/>
      <w:bookmarkStart w:id="125" w:name="_Toc29979"/>
      <w:bookmarkStart w:id="126" w:name="_Toc30608"/>
      <w:r>
        <w:rPr>
          <w:rFonts w:hint="eastAsia" w:hAnsi="宋体" w:cs="宋体"/>
          <w:b/>
          <w:sz w:val="28"/>
          <w:szCs w:val="28"/>
        </w:rPr>
        <w:t>一、</w:t>
      </w:r>
      <w:r>
        <w:rPr>
          <w:rFonts w:hint="eastAsia" w:hAnsi="宋体" w:cs="宋体"/>
          <w:b/>
          <w:sz w:val="28"/>
          <w:szCs w:val="28"/>
          <w:lang w:eastAsia="zh-CN"/>
        </w:rPr>
        <w:t>谈判</w:t>
      </w:r>
      <w:r>
        <w:rPr>
          <w:rFonts w:hint="eastAsia" w:hAnsi="宋体" w:cs="宋体"/>
          <w:b/>
          <w:sz w:val="28"/>
          <w:szCs w:val="28"/>
        </w:rPr>
        <w:t>响应函</w:t>
      </w:r>
    </w:p>
    <w:p w14:paraId="5C49FD4A">
      <w:pPr>
        <w:adjustRightInd w:val="0"/>
        <w:snapToGrid w:val="0"/>
        <w:spacing w:line="480" w:lineRule="auto"/>
        <w:ind w:firstLine="717" w:firstLineChars="255"/>
        <w:rPr>
          <w:rFonts w:hAnsi="宋体" w:cs="宋体"/>
          <w:b/>
          <w:sz w:val="28"/>
          <w:szCs w:val="28"/>
        </w:rPr>
      </w:pPr>
      <w:r>
        <w:rPr>
          <w:rFonts w:hint="eastAsia" w:hAnsi="宋体" w:cs="宋体"/>
          <w:b/>
          <w:sz w:val="28"/>
          <w:szCs w:val="28"/>
        </w:rPr>
        <w:t>二、第一次</w:t>
      </w:r>
      <w:r>
        <w:rPr>
          <w:rFonts w:hint="eastAsia" w:hAnsi="宋体" w:cs="宋体"/>
          <w:b/>
          <w:sz w:val="28"/>
          <w:szCs w:val="28"/>
          <w:lang w:eastAsia="zh-CN"/>
        </w:rPr>
        <w:t>谈判</w:t>
      </w:r>
      <w:r>
        <w:rPr>
          <w:rFonts w:hint="eastAsia" w:hAnsi="宋体" w:cs="宋体"/>
          <w:b/>
          <w:sz w:val="28"/>
          <w:szCs w:val="28"/>
        </w:rPr>
        <w:t>报价表</w:t>
      </w:r>
      <w:bookmarkStart w:id="127" w:name="_Toc2536"/>
      <w:bookmarkEnd w:id="127"/>
    </w:p>
    <w:p w14:paraId="153F374C">
      <w:pPr>
        <w:adjustRightInd w:val="0"/>
        <w:snapToGrid w:val="0"/>
        <w:spacing w:line="480" w:lineRule="auto"/>
        <w:ind w:firstLine="717" w:firstLineChars="255"/>
        <w:rPr>
          <w:sz w:val="28"/>
          <w:szCs w:val="28"/>
        </w:rPr>
      </w:pPr>
      <w:r>
        <w:rPr>
          <w:rFonts w:hint="eastAsia" w:hAnsi="宋体" w:cs="宋体"/>
          <w:b/>
          <w:sz w:val="28"/>
          <w:szCs w:val="28"/>
        </w:rPr>
        <w:t>三、</w:t>
      </w:r>
      <w:r>
        <w:rPr>
          <w:rFonts w:ascii="宋体" w:hAnsi="宋体" w:eastAsia="宋体" w:cs="宋体"/>
          <w:b/>
          <w:bCs/>
          <w:spacing w:val="-3"/>
          <w:sz w:val="28"/>
          <w:szCs w:val="28"/>
        </w:rPr>
        <w:t>资格证明文件</w:t>
      </w:r>
    </w:p>
    <w:p w14:paraId="047B1701">
      <w:pPr>
        <w:adjustRightInd w:val="0"/>
        <w:snapToGrid w:val="0"/>
        <w:spacing w:line="480" w:lineRule="auto"/>
        <w:ind w:firstLine="717" w:firstLineChars="255"/>
        <w:rPr>
          <w:rFonts w:hAnsi="宋体" w:cs="宋体"/>
          <w:b/>
          <w:sz w:val="28"/>
          <w:szCs w:val="28"/>
        </w:rPr>
      </w:pPr>
      <w:r>
        <w:rPr>
          <w:rFonts w:hint="eastAsia" w:hAnsi="宋体" w:cs="宋体"/>
          <w:b/>
          <w:sz w:val="28"/>
          <w:szCs w:val="28"/>
          <w:lang w:eastAsia="zh-CN"/>
        </w:rPr>
        <w:t>四</w:t>
      </w:r>
      <w:r>
        <w:rPr>
          <w:rFonts w:hint="eastAsia" w:hAnsi="宋体" w:cs="宋体"/>
          <w:b/>
          <w:sz w:val="28"/>
          <w:szCs w:val="28"/>
        </w:rPr>
        <w:t>、</w:t>
      </w:r>
      <w:bookmarkEnd w:id="123"/>
      <w:bookmarkEnd w:id="124"/>
      <w:bookmarkEnd w:id="125"/>
      <w:bookmarkStart w:id="128" w:name="_Toc23933"/>
      <w:bookmarkStart w:id="129" w:name="_Toc9850"/>
      <w:bookmarkStart w:id="130" w:name="_Toc12970"/>
      <w:r>
        <w:rPr>
          <w:rFonts w:hint="eastAsia" w:hAnsi="宋体" w:cs="宋体"/>
          <w:b/>
          <w:sz w:val="28"/>
          <w:szCs w:val="28"/>
        </w:rPr>
        <w:t>商务条款响应偏离</w:t>
      </w:r>
      <w:bookmarkEnd w:id="126"/>
      <w:bookmarkEnd w:id="128"/>
      <w:bookmarkEnd w:id="129"/>
      <w:bookmarkEnd w:id="130"/>
      <w:r>
        <w:rPr>
          <w:rFonts w:hint="eastAsia" w:hAnsi="宋体" w:cs="宋体"/>
          <w:b/>
          <w:sz w:val="28"/>
          <w:szCs w:val="28"/>
        </w:rPr>
        <w:t>表</w:t>
      </w:r>
    </w:p>
    <w:p w14:paraId="4964F4FA">
      <w:pPr>
        <w:adjustRightInd w:val="0"/>
        <w:snapToGrid w:val="0"/>
        <w:spacing w:line="480" w:lineRule="auto"/>
        <w:ind w:firstLine="717" w:firstLineChars="255"/>
        <w:rPr>
          <w:rFonts w:hAnsi="宋体" w:cs="宋体"/>
          <w:b/>
          <w:sz w:val="28"/>
          <w:szCs w:val="28"/>
        </w:rPr>
      </w:pPr>
      <w:bookmarkStart w:id="131" w:name="_Toc20946"/>
      <w:bookmarkStart w:id="132" w:name="_Toc14507"/>
      <w:bookmarkStart w:id="133" w:name="_Toc7735"/>
      <w:bookmarkStart w:id="134" w:name="_Toc32639"/>
      <w:r>
        <w:rPr>
          <w:rFonts w:hint="eastAsia" w:hAnsi="宋体" w:cs="宋体"/>
          <w:b/>
          <w:sz w:val="28"/>
          <w:szCs w:val="28"/>
          <w:lang w:eastAsia="zh-CN"/>
        </w:rPr>
        <w:t>五</w:t>
      </w:r>
      <w:r>
        <w:rPr>
          <w:rFonts w:hint="eastAsia" w:hAnsi="宋体" w:cs="宋体"/>
          <w:b/>
          <w:sz w:val="28"/>
          <w:szCs w:val="28"/>
        </w:rPr>
        <w:t>、</w:t>
      </w:r>
      <w:r>
        <w:rPr>
          <w:rFonts w:hint="eastAsia" w:ascii="宋体" w:hAnsi="宋体" w:eastAsia="宋体" w:cs="宋体"/>
          <w:b/>
          <w:bCs/>
          <w:sz w:val="28"/>
          <w:szCs w:val="28"/>
        </w:rPr>
        <w:t>技术规格响应偏离表</w:t>
      </w:r>
    </w:p>
    <w:p w14:paraId="036F017A">
      <w:pPr>
        <w:adjustRightInd w:val="0"/>
        <w:snapToGrid w:val="0"/>
        <w:spacing w:line="480" w:lineRule="auto"/>
        <w:ind w:firstLine="717" w:firstLineChars="255"/>
        <w:rPr>
          <w:rFonts w:hAnsi="宋体" w:cs="宋体"/>
          <w:b/>
          <w:sz w:val="28"/>
          <w:szCs w:val="28"/>
        </w:rPr>
      </w:pPr>
      <w:r>
        <w:rPr>
          <w:rFonts w:hint="eastAsia" w:hAnsi="宋体" w:cs="宋体"/>
          <w:b/>
          <w:sz w:val="28"/>
          <w:szCs w:val="28"/>
          <w:lang w:eastAsia="zh-CN"/>
        </w:rPr>
        <w:t>六</w:t>
      </w:r>
      <w:r>
        <w:rPr>
          <w:rFonts w:hint="eastAsia" w:hAnsi="宋体" w:cs="宋体"/>
          <w:b/>
          <w:sz w:val="28"/>
          <w:szCs w:val="28"/>
        </w:rPr>
        <w:t>、</w:t>
      </w:r>
      <w:r>
        <w:rPr>
          <w:rFonts w:hint="eastAsia" w:ascii="宋体" w:hAnsi="Times New Roman" w:eastAsia="宋体" w:cs="Times New Roman"/>
          <w:b/>
          <w:bCs/>
          <w:spacing w:val="-2"/>
          <w:sz w:val="28"/>
          <w:szCs w:val="28"/>
          <w:lang w:val="en-US" w:eastAsia="zh-CN" w:bidi="ar-SA"/>
        </w:rPr>
        <w:t>谈判响应方案</w:t>
      </w:r>
    </w:p>
    <w:p w14:paraId="3C7D7199">
      <w:pPr>
        <w:adjustRightInd w:val="0"/>
        <w:snapToGrid w:val="0"/>
        <w:spacing w:line="480" w:lineRule="auto"/>
        <w:ind w:firstLine="717" w:firstLineChars="255"/>
        <w:rPr>
          <w:rFonts w:hAnsi="宋体" w:cs="宋体"/>
          <w:b/>
          <w:sz w:val="28"/>
          <w:szCs w:val="28"/>
        </w:rPr>
      </w:pPr>
      <w:r>
        <w:rPr>
          <w:rFonts w:hint="eastAsia" w:hAnsi="宋体" w:cs="宋体"/>
          <w:b/>
          <w:sz w:val="28"/>
          <w:szCs w:val="28"/>
          <w:lang w:eastAsia="zh-CN"/>
        </w:rPr>
        <w:t>七</w:t>
      </w:r>
      <w:r>
        <w:rPr>
          <w:rFonts w:hint="eastAsia" w:hAnsi="宋体" w:cs="宋体"/>
          <w:b/>
          <w:sz w:val="28"/>
          <w:szCs w:val="28"/>
        </w:rPr>
        <w:t>、</w:t>
      </w:r>
      <w:r>
        <w:rPr>
          <w:rFonts w:hint="eastAsia" w:ascii="宋体" w:hAnsi="宋体" w:eastAsia="宋体" w:cs="宋体"/>
          <w:b/>
          <w:color w:val="000000" w:themeColor="text1"/>
          <w:sz w:val="28"/>
          <w:szCs w:val="28"/>
          <w14:textFill>
            <w14:solidFill>
              <w14:schemeClr w14:val="tx1"/>
            </w14:solidFill>
          </w14:textFill>
        </w:rPr>
        <w:t>供应商承诺书</w:t>
      </w:r>
    </w:p>
    <w:p w14:paraId="563ABC79">
      <w:pPr>
        <w:adjustRightInd w:val="0"/>
        <w:snapToGrid w:val="0"/>
        <w:spacing w:line="480" w:lineRule="auto"/>
        <w:ind w:firstLine="717" w:firstLineChars="255"/>
        <w:rPr>
          <w:rFonts w:hAnsi="宋体" w:cs="宋体"/>
          <w:b/>
          <w:sz w:val="28"/>
          <w:szCs w:val="28"/>
        </w:rPr>
      </w:pPr>
      <w:r>
        <w:rPr>
          <w:rFonts w:hint="eastAsia" w:hAnsi="宋体" w:cs="宋体"/>
          <w:b/>
          <w:sz w:val="28"/>
          <w:szCs w:val="28"/>
          <w:lang w:eastAsia="zh-CN"/>
        </w:rPr>
        <w:t>八</w:t>
      </w:r>
      <w:r>
        <w:rPr>
          <w:rFonts w:hint="eastAsia" w:hAnsi="宋体" w:cs="宋体"/>
          <w:b/>
          <w:sz w:val="28"/>
          <w:szCs w:val="28"/>
        </w:rPr>
        <w:t>、</w:t>
      </w:r>
      <w:r>
        <w:rPr>
          <w:rFonts w:hint="eastAsia" w:ascii="宋体" w:cs="宋体"/>
          <w:b/>
          <w:bCs/>
          <w:color w:val="000000" w:themeColor="text1"/>
          <w:sz w:val="28"/>
          <w:szCs w:val="28"/>
          <w14:textFill>
            <w14:solidFill>
              <w14:schemeClr w14:val="tx1"/>
            </w14:solidFill>
          </w14:textFill>
        </w:rPr>
        <w:t>其他证明资料</w:t>
      </w:r>
    </w:p>
    <w:bookmarkEnd w:id="131"/>
    <w:bookmarkEnd w:id="132"/>
    <w:bookmarkEnd w:id="133"/>
    <w:bookmarkEnd w:id="134"/>
    <w:p w14:paraId="17C0AAF8">
      <w:pPr>
        <w:spacing w:after="100" w:afterAutospacing="1"/>
        <w:ind w:firstLine="612" w:firstLineChars="255"/>
        <w:jc w:val="center"/>
        <w:outlineLvl w:val="1"/>
        <w:rPr>
          <w:rFonts w:hAnsi="宋体"/>
          <w:b/>
          <w:bCs/>
          <w:sz w:val="28"/>
          <w:szCs w:val="18"/>
        </w:rPr>
      </w:pPr>
      <w:r>
        <w:rPr>
          <w:rFonts w:hAnsi="宋体" w:cs="宋体"/>
          <w:bCs/>
          <w:sz w:val="24"/>
          <w:szCs w:val="24"/>
        </w:rPr>
        <w:br w:type="page"/>
      </w:r>
      <w:bookmarkStart w:id="135" w:name="_Toc12889"/>
      <w:bookmarkStart w:id="136" w:name="_Toc14419"/>
      <w:r>
        <w:rPr>
          <w:rFonts w:hint="eastAsia" w:hAnsi="宋体"/>
          <w:b/>
          <w:bCs/>
          <w:sz w:val="28"/>
          <w:szCs w:val="18"/>
        </w:rPr>
        <w:t>一、</w:t>
      </w:r>
      <w:r>
        <w:rPr>
          <w:rFonts w:hint="eastAsia" w:hAnsi="宋体"/>
          <w:b/>
          <w:bCs/>
          <w:sz w:val="28"/>
          <w:szCs w:val="18"/>
          <w:lang w:eastAsia="zh-CN"/>
        </w:rPr>
        <w:t>谈判</w:t>
      </w:r>
      <w:r>
        <w:rPr>
          <w:rFonts w:hint="eastAsia" w:hAnsi="宋体"/>
          <w:b/>
          <w:bCs/>
          <w:sz w:val="28"/>
          <w:szCs w:val="18"/>
        </w:rPr>
        <w:t>响应函</w:t>
      </w:r>
      <w:bookmarkEnd w:id="135"/>
      <w:bookmarkEnd w:id="136"/>
    </w:p>
    <w:p w14:paraId="4DC1A00C">
      <w:pPr>
        <w:autoSpaceDE w:val="0"/>
        <w:autoSpaceDN w:val="0"/>
        <w:adjustRightInd w:val="0"/>
        <w:spacing w:line="400" w:lineRule="exact"/>
        <w:rPr>
          <w:rFonts w:hAnsi="宋体" w:cs="宋体"/>
          <w:b/>
          <w:bCs/>
          <w:sz w:val="24"/>
        </w:rPr>
      </w:pPr>
      <w:r>
        <w:rPr>
          <w:rFonts w:hint="eastAsia" w:hAnsi="宋体" w:cs="宋体"/>
          <w:b/>
          <w:bCs/>
          <w:sz w:val="24"/>
          <w:lang w:eastAsia="zh-CN"/>
        </w:rPr>
        <w:t xml:space="preserve">陕西安康天诚工程项目管理咨询有限公司 </w:t>
      </w:r>
      <w:r>
        <w:rPr>
          <w:rFonts w:hint="eastAsia" w:hAnsi="宋体" w:cs="宋体"/>
          <w:b/>
          <w:bCs/>
          <w:sz w:val="24"/>
        </w:rPr>
        <w:t>：</w:t>
      </w:r>
    </w:p>
    <w:p w14:paraId="24AF2EC0">
      <w:pPr>
        <w:autoSpaceDE w:val="0"/>
        <w:autoSpaceDN w:val="0"/>
        <w:adjustRightInd w:val="0"/>
        <w:spacing w:line="400" w:lineRule="exact"/>
        <w:ind w:firstLine="513" w:firstLineChars="214"/>
        <w:rPr>
          <w:rFonts w:hAnsi="宋体" w:cs="宋体"/>
          <w:sz w:val="24"/>
        </w:rPr>
      </w:pPr>
      <w:r>
        <w:rPr>
          <w:rFonts w:hint="eastAsia" w:hAnsi="宋体" w:cs="宋体"/>
          <w:sz w:val="24"/>
        </w:rPr>
        <w:t>我单位收到贵公司关于</w:t>
      </w:r>
      <w:r>
        <w:rPr>
          <w:rFonts w:hint="eastAsia" w:hAnsi="宋体" w:cs="宋体"/>
          <w:sz w:val="24"/>
          <w:u w:val="single"/>
        </w:rPr>
        <w:t xml:space="preserve">                        项目</w:t>
      </w:r>
      <w:r>
        <w:rPr>
          <w:rFonts w:hint="eastAsia" w:hAnsi="宋体" w:cs="宋体"/>
          <w:sz w:val="24"/>
        </w:rPr>
        <w:t>，项目编号为</w:t>
      </w:r>
      <w:r>
        <w:rPr>
          <w:rFonts w:hint="eastAsia" w:hAnsi="宋体" w:cs="宋体"/>
          <w:sz w:val="24"/>
          <w:u w:val="single"/>
        </w:rPr>
        <w:t xml:space="preserve">           </w:t>
      </w:r>
      <w:r>
        <w:rPr>
          <w:rFonts w:hint="eastAsia" w:hAnsi="宋体" w:cs="宋体"/>
          <w:sz w:val="24"/>
        </w:rPr>
        <w:t>的</w:t>
      </w:r>
      <w:r>
        <w:rPr>
          <w:rFonts w:hint="eastAsia" w:hAnsi="宋体" w:cs="宋体"/>
          <w:sz w:val="24"/>
          <w:lang w:eastAsia="zh-CN"/>
        </w:rPr>
        <w:t>谈判</w:t>
      </w:r>
      <w:r>
        <w:rPr>
          <w:rFonts w:hint="eastAsia" w:hAnsi="宋体" w:cs="宋体"/>
          <w:sz w:val="24"/>
        </w:rPr>
        <w:t>文件，经详细研究，我们决定参加本次竞争性</w:t>
      </w:r>
      <w:r>
        <w:rPr>
          <w:rFonts w:hint="eastAsia" w:hAnsi="宋体" w:cs="宋体"/>
          <w:sz w:val="24"/>
          <w:lang w:eastAsia="zh-CN"/>
        </w:rPr>
        <w:t>谈判</w:t>
      </w:r>
      <w:r>
        <w:rPr>
          <w:rFonts w:hint="eastAsia" w:hAnsi="宋体" w:cs="宋体"/>
          <w:sz w:val="24"/>
        </w:rPr>
        <w:t>活动并响应。为此，我方郑重声明以下诸点，并负法律责任。</w:t>
      </w:r>
    </w:p>
    <w:p w14:paraId="2FDECBD4">
      <w:pPr>
        <w:autoSpaceDE w:val="0"/>
        <w:autoSpaceDN w:val="0"/>
        <w:adjustRightInd w:val="0"/>
        <w:spacing w:line="400" w:lineRule="exact"/>
        <w:ind w:firstLine="513" w:firstLineChars="214"/>
        <w:rPr>
          <w:rFonts w:hAnsi="宋体" w:cs="宋体"/>
          <w:sz w:val="24"/>
        </w:rPr>
      </w:pPr>
      <w:r>
        <w:rPr>
          <w:rFonts w:hint="eastAsia" w:hAnsi="宋体" w:cs="宋体"/>
          <w:sz w:val="24"/>
        </w:rPr>
        <w:t>一、愿意按照</w:t>
      </w:r>
      <w:r>
        <w:rPr>
          <w:rFonts w:hint="eastAsia" w:hAnsi="宋体" w:cs="宋体"/>
          <w:sz w:val="24"/>
          <w:lang w:eastAsia="zh-CN"/>
        </w:rPr>
        <w:t>谈判</w:t>
      </w:r>
      <w:r>
        <w:rPr>
          <w:rFonts w:hint="eastAsia" w:hAnsi="宋体" w:cs="宋体"/>
          <w:sz w:val="24"/>
        </w:rPr>
        <w:t>文件中的一切要求，向采购人提供所需所有服务及货物。</w:t>
      </w:r>
    </w:p>
    <w:p w14:paraId="2E3B2F59">
      <w:pPr>
        <w:autoSpaceDE w:val="0"/>
        <w:autoSpaceDN w:val="0"/>
        <w:adjustRightInd w:val="0"/>
        <w:spacing w:line="400" w:lineRule="exact"/>
        <w:ind w:firstLine="513" w:firstLineChars="214"/>
        <w:jc w:val="left"/>
        <w:rPr>
          <w:rFonts w:hAnsi="宋体" w:cs="宋体"/>
          <w:sz w:val="24"/>
        </w:rPr>
      </w:pPr>
      <w:r>
        <w:rPr>
          <w:rFonts w:hint="eastAsia" w:hAnsi="宋体" w:cs="宋体"/>
          <w:sz w:val="24"/>
        </w:rPr>
        <w:t>二、按</w:t>
      </w:r>
      <w:r>
        <w:rPr>
          <w:rFonts w:hint="eastAsia" w:hAnsi="宋体" w:cs="宋体"/>
          <w:sz w:val="24"/>
          <w:lang w:eastAsia="zh-CN"/>
        </w:rPr>
        <w:t>谈判</w:t>
      </w:r>
      <w:r>
        <w:rPr>
          <w:rFonts w:hint="eastAsia" w:hAnsi="宋体" w:cs="宋体"/>
          <w:sz w:val="24"/>
        </w:rPr>
        <w:t>文件的规定，我公司的第一次</w:t>
      </w:r>
      <w:r>
        <w:rPr>
          <w:rFonts w:hint="eastAsia" w:hAnsi="宋体" w:cs="宋体"/>
          <w:sz w:val="24"/>
          <w:lang w:eastAsia="zh-CN"/>
        </w:rPr>
        <w:t>谈判</w:t>
      </w:r>
      <w:r>
        <w:rPr>
          <w:rFonts w:hint="eastAsia" w:hAnsi="宋体" w:cs="宋体"/>
          <w:sz w:val="24"/>
        </w:rPr>
        <w:t>总报价为：人民币（大写）：</w:t>
      </w:r>
      <w:r>
        <w:rPr>
          <w:rFonts w:hint="eastAsia" w:hAnsi="宋体" w:cs="宋体"/>
          <w:sz w:val="24"/>
          <w:u w:val="single"/>
        </w:rPr>
        <w:t xml:space="preserve">           </w:t>
      </w:r>
      <w:r>
        <w:rPr>
          <w:rFonts w:hint="eastAsia" w:hAnsi="宋体" w:cs="宋体"/>
          <w:sz w:val="24"/>
        </w:rPr>
        <w:t xml:space="preserve"> （￥</w:t>
      </w:r>
      <w:r>
        <w:rPr>
          <w:rFonts w:hint="eastAsia" w:hAnsi="宋体" w:cs="宋体"/>
          <w:sz w:val="24"/>
          <w:u w:val="single"/>
        </w:rPr>
        <w:t xml:space="preserve">         </w:t>
      </w:r>
      <w:r>
        <w:rPr>
          <w:rFonts w:hint="eastAsia" w:hAnsi="宋体" w:cs="宋体"/>
          <w:sz w:val="24"/>
        </w:rPr>
        <w:t>元），并对其后的</w:t>
      </w:r>
      <w:r>
        <w:rPr>
          <w:rFonts w:hint="eastAsia" w:hAnsi="宋体" w:cs="宋体"/>
          <w:sz w:val="24"/>
          <w:lang w:eastAsia="zh-CN"/>
        </w:rPr>
        <w:t>谈判</w:t>
      </w:r>
      <w:r>
        <w:rPr>
          <w:rFonts w:hint="eastAsia" w:hAnsi="宋体" w:cs="宋体"/>
          <w:sz w:val="24"/>
        </w:rPr>
        <w:t xml:space="preserve">报价负法律责任。 </w:t>
      </w:r>
    </w:p>
    <w:p w14:paraId="2A0CC123">
      <w:pPr>
        <w:autoSpaceDE w:val="0"/>
        <w:autoSpaceDN w:val="0"/>
        <w:adjustRightInd w:val="0"/>
        <w:spacing w:line="400" w:lineRule="exact"/>
        <w:ind w:firstLine="513" w:firstLineChars="214"/>
        <w:rPr>
          <w:rFonts w:hAnsi="宋体" w:cs="宋体"/>
          <w:sz w:val="24"/>
        </w:rPr>
      </w:pPr>
      <w:r>
        <w:rPr>
          <w:rFonts w:hint="eastAsia" w:hAnsi="宋体" w:cs="宋体"/>
          <w:sz w:val="24"/>
        </w:rPr>
        <w:t>三、我方提交的</w:t>
      </w:r>
      <w:r>
        <w:rPr>
          <w:rFonts w:hint="eastAsia" w:hAnsi="宋体" w:cs="宋体"/>
          <w:sz w:val="24"/>
          <w:lang w:eastAsia="zh-CN"/>
        </w:rPr>
        <w:t>谈判</w:t>
      </w:r>
      <w:r>
        <w:rPr>
          <w:rFonts w:hint="eastAsia" w:hAnsi="宋体" w:cs="宋体"/>
          <w:sz w:val="24"/>
        </w:rPr>
        <w:t>响应文件电子版一份，保证</w:t>
      </w:r>
      <w:r>
        <w:rPr>
          <w:rFonts w:hint="eastAsia" w:hAnsi="宋体" w:cs="宋体"/>
          <w:sz w:val="24"/>
          <w:lang w:eastAsia="zh-CN"/>
        </w:rPr>
        <w:t>谈判</w:t>
      </w:r>
      <w:r>
        <w:rPr>
          <w:rFonts w:hint="eastAsia" w:hAnsi="宋体" w:cs="宋体"/>
          <w:sz w:val="24"/>
        </w:rPr>
        <w:t>响应文件提供的数据和材料真实、准确。否则，愿承担相关的法律责任。</w:t>
      </w:r>
    </w:p>
    <w:p w14:paraId="317108FA">
      <w:pPr>
        <w:autoSpaceDE w:val="0"/>
        <w:autoSpaceDN w:val="0"/>
        <w:adjustRightInd w:val="0"/>
        <w:spacing w:line="400" w:lineRule="exact"/>
        <w:ind w:firstLine="513" w:firstLineChars="214"/>
        <w:rPr>
          <w:rFonts w:hAnsi="宋体" w:cs="宋体"/>
          <w:sz w:val="24"/>
        </w:rPr>
      </w:pPr>
      <w:r>
        <w:rPr>
          <w:rFonts w:hint="eastAsia" w:hAnsi="宋体" w:cs="宋体"/>
          <w:sz w:val="24"/>
        </w:rPr>
        <w:t>四、我方已详细阅读了</w:t>
      </w:r>
      <w:r>
        <w:rPr>
          <w:rFonts w:hint="eastAsia" w:hAnsi="宋体" w:cs="宋体"/>
          <w:sz w:val="24"/>
          <w:lang w:eastAsia="zh-CN"/>
        </w:rPr>
        <w:t>谈判</w:t>
      </w:r>
      <w:r>
        <w:rPr>
          <w:rFonts w:hint="eastAsia" w:hAnsi="宋体" w:cs="宋体"/>
          <w:sz w:val="24"/>
        </w:rPr>
        <w:t>文件，完全理解并放弃提出含糊不清或易形成歧义的表述和资料。</w:t>
      </w:r>
    </w:p>
    <w:p w14:paraId="03BE1A15">
      <w:pPr>
        <w:autoSpaceDE w:val="0"/>
        <w:autoSpaceDN w:val="0"/>
        <w:adjustRightInd w:val="0"/>
        <w:spacing w:line="400" w:lineRule="exact"/>
        <w:ind w:firstLine="513" w:firstLineChars="214"/>
        <w:rPr>
          <w:rFonts w:hAnsi="宋体" w:cs="宋体"/>
          <w:sz w:val="24"/>
        </w:rPr>
      </w:pPr>
      <w:r>
        <w:rPr>
          <w:rFonts w:hint="eastAsia" w:hAnsi="宋体" w:cs="宋体"/>
          <w:sz w:val="24"/>
        </w:rPr>
        <w:t>五、我方愿意向贵方提供任何与本次</w:t>
      </w:r>
      <w:r>
        <w:rPr>
          <w:rFonts w:hint="eastAsia" w:hAnsi="宋体" w:cs="宋体"/>
          <w:sz w:val="24"/>
          <w:lang w:eastAsia="zh-CN"/>
        </w:rPr>
        <w:t>谈判</w:t>
      </w:r>
      <w:r>
        <w:rPr>
          <w:rFonts w:hint="eastAsia" w:hAnsi="宋体" w:cs="宋体"/>
          <w:sz w:val="24"/>
        </w:rPr>
        <w:t>有关的数据、情况和技术资料，若贵方需要，我方愿意提供我方作出的一切承诺的证明材料。</w:t>
      </w:r>
    </w:p>
    <w:p w14:paraId="5EA34C38">
      <w:pPr>
        <w:autoSpaceDE w:val="0"/>
        <w:autoSpaceDN w:val="0"/>
        <w:adjustRightInd w:val="0"/>
        <w:spacing w:line="400" w:lineRule="exact"/>
        <w:ind w:firstLine="513" w:firstLineChars="214"/>
        <w:rPr>
          <w:rFonts w:hAnsi="宋体" w:cs="宋体"/>
          <w:sz w:val="24"/>
        </w:rPr>
      </w:pPr>
      <w:r>
        <w:rPr>
          <w:rFonts w:hint="eastAsia" w:hAnsi="宋体" w:cs="宋体"/>
          <w:sz w:val="24"/>
        </w:rPr>
        <w:t>六、我方的</w:t>
      </w:r>
      <w:r>
        <w:rPr>
          <w:rFonts w:hint="eastAsia" w:hAnsi="宋体" w:cs="宋体"/>
          <w:sz w:val="24"/>
          <w:lang w:eastAsia="zh-CN"/>
        </w:rPr>
        <w:t>谈判</w:t>
      </w:r>
      <w:r>
        <w:rPr>
          <w:rFonts w:hint="eastAsia" w:hAnsi="宋体" w:cs="宋体"/>
          <w:sz w:val="24"/>
        </w:rPr>
        <w:t>响应文件有效期为自</w:t>
      </w:r>
      <w:r>
        <w:rPr>
          <w:rFonts w:hint="eastAsia" w:hAnsi="宋体" w:cs="宋体"/>
          <w:sz w:val="24"/>
          <w:lang w:eastAsia="zh-CN"/>
        </w:rPr>
        <w:t>谈判</w:t>
      </w:r>
      <w:r>
        <w:rPr>
          <w:rFonts w:hint="eastAsia" w:hAnsi="宋体" w:cs="宋体"/>
          <w:sz w:val="24"/>
        </w:rPr>
        <w:t>截止之日起</w:t>
      </w:r>
      <w:r>
        <w:rPr>
          <w:rFonts w:hint="eastAsia" w:hAnsi="宋体" w:cs="宋体"/>
          <w:sz w:val="24"/>
          <w:u w:val="single"/>
        </w:rPr>
        <w:t xml:space="preserve">      </w:t>
      </w:r>
      <w:r>
        <w:rPr>
          <w:rFonts w:hint="eastAsia" w:hAnsi="宋体" w:cs="宋体"/>
          <w:sz w:val="24"/>
        </w:rPr>
        <w:t>个日历日，</w:t>
      </w:r>
      <w:r>
        <w:rPr>
          <w:rFonts w:hint="eastAsia" w:hAnsi="宋体" w:cs="宋体"/>
          <w:sz w:val="24"/>
          <w:lang w:eastAsia="zh-CN"/>
        </w:rPr>
        <w:t>谈判</w:t>
      </w:r>
      <w:r>
        <w:rPr>
          <w:rFonts w:hint="eastAsia" w:hAnsi="宋体" w:cs="宋体"/>
          <w:sz w:val="24"/>
        </w:rPr>
        <w:t>后在规定的</w:t>
      </w:r>
      <w:r>
        <w:rPr>
          <w:rFonts w:hint="eastAsia" w:hAnsi="宋体" w:cs="宋体"/>
          <w:sz w:val="24"/>
          <w:lang w:eastAsia="zh-CN"/>
        </w:rPr>
        <w:t>谈判</w:t>
      </w:r>
      <w:r>
        <w:rPr>
          <w:rFonts w:hint="eastAsia" w:hAnsi="宋体" w:cs="宋体"/>
          <w:sz w:val="24"/>
        </w:rPr>
        <w:t>有效期内撤回</w:t>
      </w:r>
      <w:r>
        <w:rPr>
          <w:rFonts w:hint="eastAsia" w:hAnsi="宋体" w:cs="宋体"/>
          <w:sz w:val="24"/>
          <w:lang w:eastAsia="zh-CN"/>
        </w:rPr>
        <w:t>谈判</w:t>
      </w:r>
      <w:r>
        <w:rPr>
          <w:rFonts w:hint="eastAsia" w:hAnsi="宋体" w:cs="宋体"/>
          <w:sz w:val="24"/>
        </w:rPr>
        <w:t>，我们愿接受政府采购的有关处罚决定。</w:t>
      </w:r>
    </w:p>
    <w:p w14:paraId="48182F3B">
      <w:pPr>
        <w:autoSpaceDE w:val="0"/>
        <w:autoSpaceDN w:val="0"/>
        <w:adjustRightInd w:val="0"/>
        <w:spacing w:line="400" w:lineRule="exact"/>
        <w:ind w:firstLine="513" w:firstLineChars="214"/>
        <w:rPr>
          <w:rFonts w:hAnsi="宋体" w:cs="宋体"/>
          <w:sz w:val="24"/>
        </w:rPr>
      </w:pPr>
      <w:r>
        <w:rPr>
          <w:rFonts w:hint="eastAsia" w:hAnsi="宋体" w:cs="宋体"/>
          <w:sz w:val="24"/>
        </w:rPr>
        <w:t>七、我方承诺遵守《中华人民共和国政府采购法》及其实施条例的有关规定，保证在获得成交资格后：</w:t>
      </w:r>
    </w:p>
    <w:p w14:paraId="5E8F4893">
      <w:pPr>
        <w:autoSpaceDE w:val="0"/>
        <w:autoSpaceDN w:val="0"/>
        <w:adjustRightInd w:val="0"/>
        <w:spacing w:line="400" w:lineRule="exact"/>
        <w:ind w:firstLine="513" w:firstLineChars="214"/>
        <w:rPr>
          <w:rFonts w:hAnsi="宋体" w:cs="宋体"/>
          <w:sz w:val="24"/>
        </w:rPr>
      </w:pPr>
      <w:r>
        <w:rPr>
          <w:rFonts w:hint="eastAsia" w:hAnsi="宋体" w:cs="宋体"/>
          <w:sz w:val="24"/>
        </w:rPr>
        <w:t>（1）按照</w:t>
      </w:r>
      <w:r>
        <w:rPr>
          <w:rFonts w:hint="eastAsia" w:hAnsi="宋体" w:cs="宋体"/>
          <w:sz w:val="24"/>
          <w:lang w:eastAsia="zh-CN"/>
        </w:rPr>
        <w:t>谈判</w:t>
      </w:r>
      <w:r>
        <w:rPr>
          <w:rFonts w:hint="eastAsia" w:hAnsi="宋体" w:cs="宋体"/>
          <w:sz w:val="24"/>
        </w:rPr>
        <w:t>文件确定的事项签订合同，履行双方所签订的合同，并承担合同规定的责任和义务；</w:t>
      </w:r>
    </w:p>
    <w:p w14:paraId="499D6151">
      <w:pPr>
        <w:autoSpaceDE w:val="0"/>
        <w:autoSpaceDN w:val="0"/>
        <w:adjustRightInd w:val="0"/>
        <w:spacing w:line="400" w:lineRule="exact"/>
        <w:ind w:firstLine="513" w:firstLineChars="214"/>
        <w:rPr>
          <w:rFonts w:hAnsi="宋体" w:cs="宋体"/>
          <w:sz w:val="24"/>
        </w:rPr>
      </w:pPr>
      <w:r>
        <w:rPr>
          <w:rFonts w:hint="eastAsia" w:hAnsi="宋体" w:cs="宋体"/>
          <w:sz w:val="24"/>
        </w:rPr>
        <w:t>（2）我方保证按规定和标准向贵方缴纳成交服务费；</w:t>
      </w:r>
    </w:p>
    <w:p w14:paraId="6B93776F">
      <w:pPr>
        <w:autoSpaceDE w:val="0"/>
        <w:autoSpaceDN w:val="0"/>
        <w:adjustRightInd w:val="0"/>
        <w:spacing w:line="400" w:lineRule="exact"/>
        <w:ind w:firstLine="513" w:firstLineChars="214"/>
        <w:rPr>
          <w:rFonts w:hAnsi="宋体" w:cs="宋体"/>
          <w:sz w:val="24"/>
        </w:rPr>
      </w:pPr>
      <w:r>
        <w:rPr>
          <w:rFonts w:hint="eastAsia" w:hAnsi="宋体" w:cs="宋体"/>
          <w:sz w:val="24"/>
        </w:rPr>
        <w:t>（3）</w:t>
      </w:r>
      <w:r>
        <w:rPr>
          <w:rFonts w:hint="eastAsia" w:hAnsi="宋体" w:cs="宋体"/>
          <w:sz w:val="24"/>
          <w:lang w:eastAsia="zh-CN"/>
        </w:rPr>
        <w:t>谈判</w:t>
      </w:r>
      <w:r>
        <w:rPr>
          <w:rFonts w:hint="eastAsia" w:hAnsi="宋体" w:cs="宋体"/>
          <w:sz w:val="24"/>
        </w:rPr>
        <w:t>响应文件有效期延长至合同履行完毕。</w:t>
      </w:r>
    </w:p>
    <w:p w14:paraId="55138DB8">
      <w:pPr>
        <w:autoSpaceDE w:val="0"/>
        <w:autoSpaceDN w:val="0"/>
        <w:adjustRightInd w:val="0"/>
        <w:spacing w:line="400" w:lineRule="exact"/>
        <w:ind w:firstLine="513" w:firstLineChars="214"/>
        <w:rPr>
          <w:rFonts w:hAnsi="宋体" w:cs="宋体"/>
          <w:sz w:val="24"/>
        </w:rPr>
      </w:pPr>
      <w:r>
        <w:rPr>
          <w:rFonts w:hint="eastAsia" w:hAnsi="宋体" w:cs="宋体"/>
          <w:sz w:val="24"/>
        </w:rPr>
        <w:t>八、我方完全理解最低报价不是成交的唯一条件，并尊重</w:t>
      </w:r>
      <w:r>
        <w:rPr>
          <w:rFonts w:hint="eastAsia" w:hAnsi="宋体" w:cs="宋体"/>
          <w:sz w:val="24"/>
          <w:lang w:eastAsia="zh-CN"/>
        </w:rPr>
        <w:t>谈判</w:t>
      </w:r>
      <w:r>
        <w:rPr>
          <w:rFonts w:hint="eastAsia" w:hAnsi="宋体" w:cs="宋体"/>
          <w:sz w:val="24"/>
        </w:rPr>
        <w:t>小组的评审结论和成交结果。</w:t>
      </w:r>
    </w:p>
    <w:p w14:paraId="342E275E">
      <w:pPr>
        <w:autoSpaceDE w:val="0"/>
        <w:autoSpaceDN w:val="0"/>
        <w:adjustRightInd w:val="0"/>
        <w:spacing w:line="400" w:lineRule="exact"/>
        <w:ind w:firstLine="513" w:firstLineChars="214"/>
        <w:rPr>
          <w:rFonts w:hAnsi="宋体" w:cs="宋体"/>
          <w:sz w:val="24"/>
        </w:rPr>
      </w:pPr>
      <w:r>
        <w:rPr>
          <w:rFonts w:hint="eastAsia" w:hAnsi="宋体" w:cs="宋体"/>
          <w:sz w:val="24"/>
        </w:rPr>
        <w:t>九、有关于本</w:t>
      </w:r>
      <w:r>
        <w:rPr>
          <w:rFonts w:hint="eastAsia" w:hAnsi="宋体" w:cs="宋体"/>
          <w:sz w:val="24"/>
          <w:lang w:eastAsia="zh-CN"/>
        </w:rPr>
        <w:t>谈判</w:t>
      </w:r>
      <w:r>
        <w:rPr>
          <w:rFonts w:hint="eastAsia" w:hAnsi="宋体" w:cs="宋体"/>
          <w:sz w:val="24"/>
        </w:rPr>
        <w:t>响应文件的函电，请按下列地址联系:</w:t>
      </w:r>
    </w:p>
    <w:p w14:paraId="4B443EB9">
      <w:pPr>
        <w:autoSpaceDE w:val="0"/>
        <w:autoSpaceDN w:val="0"/>
        <w:adjustRightInd w:val="0"/>
        <w:spacing w:line="400" w:lineRule="exact"/>
        <w:ind w:firstLine="513" w:firstLineChars="214"/>
        <w:rPr>
          <w:rFonts w:hAnsi="宋体" w:cs="宋体"/>
          <w:sz w:val="24"/>
        </w:rPr>
      </w:pPr>
      <w:r>
        <w:rPr>
          <w:rFonts w:hint="eastAsia" w:hAnsi="宋体" w:cs="宋体"/>
          <w:sz w:val="24"/>
        </w:rPr>
        <w:t>供应商全称（公章）：</w:t>
      </w:r>
      <w:r>
        <w:rPr>
          <w:rFonts w:hint="eastAsia" w:hAnsi="宋体" w:cs="宋体"/>
          <w:sz w:val="24"/>
          <w:u w:val="single"/>
        </w:rPr>
        <w:t xml:space="preserve">                                </w:t>
      </w:r>
      <w:r>
        <w:rPr>
          <w:rFonts w:hint="eastAsia" w:hAnsi="宋体" w:cs="宋体"/>
          <w:sz w:val="24"/>
        </w:rPr>
        <w:t xml:space="preserve"> </w:t>
      </w:r>
    </w:p>
    <w:p w14:paraId="721BC621">
      <w:pPr>
        <w:autoSpaceDE w:val="0"/>
        <w:autoSpaceDN w:val="0"/>
        <w:adjustRightInd w:val="0"/>
        <w:spacing w:line="400" w:lineRule="exact"/>
        <w:ind w:firstLine="513" w:firstLineChars="214"/>
        <w:rPr>
          <w:rFonts w:hAnsi="宋体" w:cs="宋体"/>
          <w:sz w:val="24"/>
        </w:rPr>
      </w:pPr>
      <w:r>
        <w:rPr>
          <w:rFonts w:hint="eastAsia" w:hAnsi="宋体" w:cs="宋体"/>
          <w:sz w:val="24"/>
        </w:rPr>
        <w:t>法定代表人或授权代表（签字）：</w:t>
      </w:r>
      <w:r>
        <w:rPr>
          <w:rFonts w:hint="eastAsia" w:hAnsi="宋体" w:cs="宋体"/>
          <w:sz w:val="24"/>
          <w:u w:val="single"/>
        </w:rPr>
        <w:t xml:space="preserve">                      </w:t>
      </w:r>
      <w:r>
        <w:rPr>
          <w:rFonts w:hint="eastAsia" w:hAnsi="宋体" w:cs="宋体"/>
          <w:sz w:val="24"/>
        </w:rPr>
        <w:t xml:space="preserve"> </w:t>
      </w:r>
    </w:p>
    <w:p w14:paraId="5E48535C">
      <w:pPr>
        <w:autoSpaceDE w:val="0"/>
        <w:autoSpaceDN w:val="0"/>
        <w:adjustRightInd w:val="0"/>
        <w:spacing w:line="400" w:lineRule="exact"/>
        <w:ind w:firstLine="513" w:firstLineChars="214"/>
        <w:rPr>
          <w:rFonts w:hAnsi="宋体" w:cs="宋体"/>
          <w:sz w:val="24"/>
        </w:rPr>
      </w:pPr>
      <w:r>
        <w:rPr>
          <w:rFonts w:hint="eastAsia" w:hAnsi="宋体" w:cs="宋体"/>
          <w:sz w:val="24"/>
        </w:rPr>
        <w:t>地    址：</w:t>
      </w:r>
      <w:r>
        <w:rPr>
          <w:rFonts w:hint="eastAsia" w:hAnsi="宋体" w:cs="宋体"/>
          <w:b/>
          <w:bCs/>
          <w:sz w:val="24"/>
          <w:u w:val="single"/>
        </w:rPr>
        <w:t xml:space="preserve">                                          </w:t>
      </w:r>
    </w:p>
    <w:p w14:paraId="6002C83D">
      <w:pPr>
        <w:autoSpaceDE w:val="0"/>
        <w:autoSpaceDN w:val="0"/>
        <w:adjustRightInd w:val="0"/>
        <w:spacing w:line="400" w:lineRule="exact"/>
        <w:ind w:firstLine="513" w:firstLineChars="214"/>
        <w:rPr>
          <w:rFonts w:hAnsi="宋体" w:cs="宋体"/>
          <w:sz w:val="24"/>
        </w:rPr>
      </w:pPr>
      <w:r>
        <w:rPr>
          <w:rFonts w:hint="eastAsia" w:hAnsi="宋体" w:cs="宋体"/>
          <w:sz w:val="24"/>
        </w:rPr>
        <w:t>开户银行：</w:t>
      </w:r>
      <w:r>
        <w:rPr>
          <w:rFonts w:hint="eastAsia" w:hAnsi="宋体" w:cs="宋体"/>
          <w:b/>
          <w:bCs/>
          <w:sz w:val="24"/>
          <w:u w:val="single"/>
        </w:rPr>
        <w:t xml:space="preserve">                                          </w:t>
      </w:r>
    </w:p>
    <w:p w14:paraId="42E75B26">
      <w:pPr>
        <w:autoSpaceDE w:val="0"/>
        <w:autoSpaceDN w:val="0"/>
        <w:adjustRightInd w:val="0"/>
        <w:spacing w:line="400" w:lineRule="exact"/>
        <w:ind w:firstLine="513" w:firstLineChars="214"/>
        <w:rPr>
          <w:rFonts w:hAnsi="宋体" w:cs="宋体"/>
          <w:sz w:val="24"/>
        </w:rPr>
      </w:pPr>
      <w:r>
        <w:rPr>
          <w:rFonts w:hint="eastAsia" w:hAnsi="宋体" w:cs="宋体"/>
          <w:sz w:val="24"/>
        </w:rPr>
        <w:t>帐    号：</w:t>
      </w:r>
      <w:r>
        <w:rPr>
          <w:rFonts w:hint="eastAsia" w:hAnsi="宋体" w:cs="宋体"/>
          <w:b/>
          <w:bCs/>
          <w:sz w:val="24"/>
          <w:u w:val="single"/>
        </w:rPr>
        <w:t xml:space="preserve">                                          </w:t>
      </w:r>
    </w:p>
    <w:p w14:paraId="6E012EF9">
      <w:pPr>
        <w:autoSpaceDE w:val="0"/>
        <w:autoSpaceDN w:val="0"/>
        <w:adjustRightInd w:val="0"/>
        <w:spacing w:line="400" w:lineRule="exact"/>
        <w:ind w:firstLine="513" w:firstLineChars="214"/>
        <w:rPr>
          <w:rFonts w:hAnsi="宋体" w:cs="宋体"/>
          <w:sz w:val="24"/>
        </w:rPr>
      </w:pPr>
      <w:r>
        <w:rPr>
          <w:rFonts w:hint="eastAsia" w:hAnsi="宋体" w:cs="宋体"/>
          <w:sz w:val="24"/>
        </w:rPr>
        <w:t>电    话：</w:t>
      </w:r>
      <w:r>
        <w:rPr>
          <w:rFonts w:hint="eastAsia" w:hAnsi="宋体" w:cs="宋体"/>
          <w:b/>
          <w:bCs/>
          <w:sz w:val="24"/>
          <w:u w:val="single"/>
        </w:rPr>
        <w:t xml:space="preserve">                                          </w:t>
      </w:r>
    </w:p>
    <w:p w14:paraId="6ACBBDC5">
      <w:pPr>
        <w:autoSpaceDE w:val="0"/>
        <w:autoSpaceDN w:val="0"/>
        <w:adjustRightInd w:val="0"/>
        <w:spacing w:line="400" w:lineRule="exact"/>
        <w:ind w:firstLine="513" w:firstLineChars="214"/>
        <w:rPr>
          <w:rFonts w:hAnsi="宋体" w:cs="宋体"/>
          <w:sz w:val="24"/>
        </w:rPr>
      </w:pPr>
      <w:r>
        <w:rPr>
          <w:rFonts w:hint="eastAsia" w:hAnsi="宋体" w:cs="宋体"/>
          <w:sz w:val="24"/>
        </w:rPr>
        <w:t>邮    编：</w:t>
      </w:r>
      <w:r>
        <w:rPr>
          <w:rFonts w:hint="eastAsia" w:hAnsi="宋体" w:cs="宋体"/>
          <w:b/>
          <w:bCs/>
          <w:sz w:val="24"/>
          <w:u w:val="single"/>
        </w:rPr>
        <w:t xml:space="preserve">                                          </w:t>
      </w:r>
    </w:p>
    <w:p w14:paraId="432EEFE6">
      <w:pPr>
        <w:autoSpaceDE w:val="0"/>
        <w:autoSpaceDN w:val="0"/>
        <w:adjustRightInd w:val="0"/>
        <w:spacing w:line="400" w:lineRule="exact"/>
        <w:ind w:firstLine="513" w:firstLineChars="214"/>
        <w:jc w:val="center"/>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6E1170AD">
      <w:pPr>
        <w:pStyle w:val="4"/>
        <w:keepNext w:val="0"/>
        <w:keepLines w:val="0"/>
        <w:spacing w:before="0" w:after="120" w:afterLines="50" w:line="360" w:lineRule="auto"/>
        <w:jc w:val="center"/>
        <w:rPr>
          <w:rFonts w:ascii="宋体" w:hAnsi="宋体" w:eastAsia="宋体" w:cs="宋体"/>
          <w:bCs/>
          <w:kern w:val="2"/>
          <w:szCs w:val="32"/>
        </w:rPr>
      </w:pPr>
      <w:bookmarkStart w:id="137" w:name="_Toc28494"/>
      <w:bookmarkEnd w:id="137"/>
      <w:bookmarkStart w:id="138" w:name="_Toc16265264"/>
      <w:bookmarkStart w:id="139" w:name="_Toc495913697"/>
      <w:bookmarkStart w:id="140" w:name="_Toc29659"/>
      <w:r>
        <w:rPr>
          <w:rFonts w:hint="eastAsia" w:ascii="宋体" w:hAnsi="宋体" w:eastAsia="宋体" w:cs="宋体"/>
          <w:bCs/>
          <w:kern w:val="2"/>
          <w:sz w:val="32"/>
          <w:szCs w:val="32"/>
        </w:rPr>
        <w:br w:type="page"/>
      </w:r>
      <w:bookmarkStart w:id="141" w:name="_Toc14958"/>
      <w:bookmarkStart w:id="142" w:name="_Toc5480"/>
      <w:r>
        <w:rPr>
          <w:rFonts w:hint="eastAsia" w:ascii="宋体" w:hAnsi="宋体" w:eastAsia="宋体" w:cs="宋体"/>
          <w:bCs/>
          <w:kern w:val="2"/>
          <w:szCs w:val="32"/>
        </w:rPr>
        <w:t>二、第一次</w:t>
      </w:r>
      <w:r>
        <w:rPr>
          <w:rFonts w:hint="eastAsia" w:ascii="宋体" w:hAnsi="宋体" w:eastAsia="宋体" w:cs="宋体"/>
          <w:bCs/>
          <w:kern w:val="2"/>
          <w:szCs w:val="32"/>
          <w:lang w:eastAsia="zh-CN"/>
        </w:rPr>
        <w:t>谈判</w:t>
      </w:r>
      <w:r>
        <w:rPr>
          <w:rFonts w:hint="eastAsia" w:ascii="宋体" w:hAnsi="宋体" w:eastAsia="宋体" w:cs="宋体"/>
          <w:bCs/>
          <w:kern w:val="2"/>
          <w:szCs w:val="32"/>
        </w:rPr>
        <w:t>报价表</w:t>
      </w:r>
      <w:bookmarkEnd w:id="138"/>
      <w:bookmarkEnd w:id="139"/>
      <w:bookmarkEnd w:id="140"/>
      <w:bookmarkEnd w:id="141"/>
      <w:bookmarkEnd w:id="142"/>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7461"/>
      </w:tblGrid>
      <w:tr w14:paraId="4575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018" w:type="dxa"/>
            <w:vAlign w:val="center"/>
          </w:tcPr>
          <w:p w14:paraId="6D094474">
            <w:pPr>
              <w:ind w:firstLine="612" w:firstLineChars="255"/>
              <w:jc w:val="center"/>
              <w:rPr>
                <w:rFonts w:hAnsi="宋体" w:cs="宋体"/>
                <w:sz w:val="24"/>
              </w:rPr>
            </w:pPr>
            <w:r>
              <w:rPr>
                <w:rFonts w:hint="eastAsia" w:hAnsi="宋体" w:cs="宋体"/>
                <w:sz w:val="24"/>
              </w:rPr>
              <w:t>项目名称</w:t>
            </w:r>
          </w:p>
        </w:tc>
        <w:tc>
          <w:tcPr>
            <w:tcW w:w="7461" w:type="dxa"/>
            <w:vAlign w:val="center"/>
          </w:tcPr>
          <w:p w14:paraId="58E43BF6">
            <w:pPr>
              <w:ind w:firstLine="612" w:firstLineChars="255"/>
              <w:jc w:val="center"/>
              <w:rPr>
                <w:rFonts w:hAnsi="宋体" w:cs="宋体"/>
                <w:bCs/>
                <w:sz w:val="24"/>
              </w:rPr>
            </w:pPr>
          </w:p>
        </w:tc>
      </w:tr>
      <w:tr w14:paraId="412C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018" w:type="dxa"/>
            <w:vAlign w:val="center"/>
          </w:tcPr>
          <w:p w14:paraId="736B5379">
            <w:pPr>
              <w:ind w:firstLine="612" w:firstLineChars="255"/>
              <w:jc w:val="center"/>
              <w:rPr>
                <w:rFonts w:hAnsi="宋体" w:cs="宋体"/>
                <w:sz w:val="24"/>
              </w:rPr>
            </w:pPr>
            <w:r>
              <w:rPr>
                <w:rFonts w:hint="eastAsia" w:hAnsi="宋体" w:cs="宋体"/>
                <w:sz w:val="24"/>
              </w:rPr>
              <w:t>项目编号</w:t>
            </w:r>
          </w:p>
        </w:tc>
        <w:tc>
          <w:tcPr>
            <w:tcW w:w="7461" w:type="dxa"/>
            <w:vAlign w:val="center"/>
          </w:tcPr>
          <w:p w14:paraId="56FFA1F4">
            <w:pPr>
              <w:ind w:firstLine="612" w:firstLineChars="255"/>
              <w:jc w:val="center"/>
              <w:rPr>
                <w:rFonts w:hAnsi="宋体" w:cs="宋体"/>
                <w:sz w:val="24"/>
              </w:rPr>
            </w:pPr>
          </w:p>
        </w:tc>
      </w:tr>
      <w:tr w14:paraId="10F7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2018" w:type="dxa"/>
            <w:vAlign w:val="center"/>
          </w:tcPr>
          <w:p w14:paraId="73CA7CC2">
            <w:pPr>
              <w:jc w:val="both"/>
              <w:rPr>
                <w:rFonts w:hAnsi="宋体" w:cs="宋体"/>
              </w:rPr>
            </w:pPr>
            <w:r>
              <w:rPr>
                <w:rFonts w:hint="eastAsia" w:hAnsi="宋体" w:cs="宋体"/>
                <w:sz w:val="24"/>
                <w:lang w:eastAsia="zh-CN"/>
              </w:rPr>
              <w:t>谈判</w:t>
            </w:r>
            <w:r>
              <w:rPr>
                <w:rFonts w:hint="eastAsia" w:hAnsi="宋体" w:cs="宋体"/>
                <w:sz w:val="24"/>
              </w:rPr>
              <w:t>总报价（元）</w:t>
            </w:r>
          </w:p>
        </w:tc>
        <w:tc>
          <w:tcPr>
            <w:tcW w:w="7461" w:type="dxa"/>
            <w:vAlign w:val="center"/>
          </w:tcPr>
          <w:p w14:paraId="105E5062">
            <w:pPr>
              <w:widowControl/>
              <w:ind w:firstLine="612" w:firstLineChars="255"/>
              <w:jc w:val="left"/>
              <w:rPr>
                <w:rFonts w:hAnsi="宋体" w:cs="宋体"/>
                <w:sz w:val="24"/>
              </w:rPr>
            </w:pPr>
            <w:r>
              <w:rPr>
                <w:rFonts w:hint="eastAsia" w:hAnsi="宋体" w:cs="宋体"/>
                <w:sz w:val="24"/>
              </w:rPr>
              <w:t>大写：</w:t>
            </w:r>
          </w:p>
          <w:p w14:paraId="54E2CAB0">
            <w:pPr>
              <w:widowControl/>
              <w:ind w:firstLine="612" w:firstLineChars="255"/>
              <w:jc w:val="left"/>
              <w:rPr>
                <w:rFonts w:hAnsi="宋体" w:cs="宋体"/>
                <w:sz w:val="24"/>
              </w:rPr>
            </w:pPr>
          </w:p>
          <w:p w14:paraId="1096A162">
            <w:pPr>
              <w:ind w:firstLine="612" w:firstLineChars="255"/>
              <w:rPr>
                <w:rFonts w:hAnsi="宋体" w:cs="宋体"/>
                <w:sz w:val="24"/>
              </w:rPr>
            </w:pPr>
            <w:r>
              <w:rPr>
                <w:rFonts w:hint="eastAsia" w:hAnsi="宋体" w:cs="宋体"/>
                <w:sz w:val="24"/>
              </w:rPr>
              <w:t>小写：</w:t>
            </w:r>
          </w:p>
        </w:tc>
      </w:tr>
      <w:tr w14:paraId="4FB7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9479" w:type="dxa"/>
            <w:gridSpan w:val="2"/>
            <w:vAlign w:val="center"/>
          </w:tcPr>
          <w:p w14:paraId="30D1B958">
            <w:pPr>
              <w:ind w:firstLine="612" w:firstLineChars="255"/>
              <w:jc w:val="left"/>
              <w:rPr>
                <w:rFonts w:hAnsi="宋体" w:cs="宋体"/>
                <w:sz w:val="24"/>
              </w:rPr>
            </w:pPr>
            <w:r>
              <w:rPr>
                <w:rFonts w:hint="eastAsia" w:hAnsi="宋体" w:cs="宋体"/>
                <w:sz w:val="24"/>
              </w:rPr>
              <w:t>说明：</w:t>
            </w:r>
          </w:p>
          <w:p w14:paraId="7028D510">
            <w:pPr>
              <w:ind w:firstLine="612" w:firstLineChars="255"/>
              <w:jc w:val="left"/>
              <w:rPr>
                <w:rFonts w:hAnsi="宋体" w:cs="宋体"/>
                <w:sz w:val="24"/>
              </w:rPr>
            </w:pPr>
            <w:r>
              <w:rPr>
                <w:rFonts w:hint="eastAsia" w:hAnsi="宋体" w:cs="宋体"/>
                <w:sz w:val="24"/>
              </w:rPr>
              <w:t>1.</w:t>
            </w:r>
            <w:r>
              <w:rPr>
                <w:rFonts w:hint="eastAsia" w:hAnsi="宋体" w:cs="宋体"/>
                <w:sz w:val="24"/>
                <w:lang w:eastAsia="zh-CN"/>
              </w:rPr>
              <w:t>谈判</w:t>
            </w:r>
            <w:r>
              <w:rPr>
                <w:rFonts w:hint="eastAsia" w:hAnsi="宋体" w:cs="宋体"/>
                <w:sz w:val="24"/>
              </w:rPr>
              <w:t>总报价以元为单位，大小写不一致时，以大写为准</w:t>
            </w:r>
          </w:p>
          <w:p w14:paraId="7BE4A907">
            <w:pPr>
              <w:ind w:firstLine="612" w:firstLineChars="255"/>
              <w:jc w:val="left"/>
            </w:pPr>
            <w:r>
              <w:rPr>
                <w:rFonts w:hint="eastAsia" w:hAnsi="宋体" w:cs="宋体"/>
                <w:sz w:val="24"/>
              </w:rPr>
              <w:t>2.除可填报项目外对本第一次</w:t>
            </w:r>
            <w:r>
              <w:rPr>
                <w:rFonts w:hint="eastAsia" w:hAnsi="宋体" w:cs="宋体"/>
                <w:sz w:val="24"/>
                <w:lang w:eastAsia="zh-CN"/>
              </w:rPr>
              <w:t>谈判</w:t>
            </w:r>
            <w:r>
              <w:rPr>
                <w:rFonts w:hint="eastAsia" w:hAnsi="宋体" w:cs="宋体"/>
                <w:sz w:val="24"/>
              </w:rPr>
              <w:t>报价表的任何修改将被视为非实质性响应从而导致该</w:t>
            </w:r>
            <w:r>
              <w:rPr>
                <w:rFonts w:hint="eastAsia" w:hAnsi="宋体" w:cs="宋体"/>
                <w:sz w:val="24"/>
                <w:lang w:eastAsia="zh-CN"/>
              </w:rPr>
              <w:t>谈判</w:t>
            </w:r>
            <w:r>
              <w:rPr>
                <w:rFonts w:hint="eastAsia" w:hAnsi="宋体" w:cs="宋体"/>
                <w:sz w:val="24"/>
              </w:rPr>
              <w:t>被拒绝。</w:t>
            </w:r>
          </w:p>
        </w:tc>
      </w:tr>
    </w:tbl>
    <w:p w14:paraId="673AEB3C">
      <w:pPr>
        <w:autoSpaceDE w:val="0"/>
        <w:autoSpaceDN w:val="0"/>
        <w:adjustRightInd w:val="0"/>
        <w:snapToGrid w:val="0"/>
        <w:spacing w:line="360" w:lineRule="auto"/>
        <w:ind w:firstLine="612" w:firstLineChars="255"/>
        <w:jc w:val="left"/>
        <w:rPr>
          <w:rFonts w:hAnsi="宋体" w:cs="宋体"/>
          <w:sz w:val="24"/>
        </w:rPr>
      </w:pPr>
      <w:r>
        <w:rPr>
          <w:rFonts w:hint="eastAsia" w:hAnsi="宋体" w:cs="宋体"/>
          <w:sz w:val="24"/>
        </w:rPr>
        <w:t xml:space="preserve">  </w:t>
      </w:r>
      <w:r>
        <w:rPr>
          <w:rFonts w:hint="eastAsia" w:hAnsi="宋体" w:cs="宋体"/>
          <w:b/>
          <w:bCs/>
          <w:sz w:val="24"/>
        </w:rPr>
        <w:t xml:space="preserve">                                           </w:t>
      </w:r>
    </w:p>
    <w:p w14:paraId="0EAD3983">
      <w:pPr>
        <w:pStyle w:val="116"/>
        <w:ind w:firstLine="663" w:firstLineChars="255"/>
        <w:rPr>
          <w:rFonts w:ascii="宋体" w:hAnsi="宋体" w:cs="宋体"/>
        </w:rPr>
      </w:pPr>
    </w:p>
    <w:p w14:paraId="5647E71A">
      <w:pPr>
        <w:pStyle w:val="116"/>
        <w:ind w:firstLine="663" w:firstLineChars="255"/>
        <w:rPr>
          <w:rFonts w:ascii="宋体" w:hAnsi="宋体" w:cs="宋体"/>
        </w:rPr>
      </w:pPr>
    </w:p>
    <w:p w14:paraId="7A386A30">
      <w:pPr>
        <w:pStyle w:val="116"/>
        <w:ind w:firstLine="663" w:firstLineChars="255"/>
        <w:rPr>
          <w:rFonts w:ascii="宋体" w:hAnsi="宋体" w:cs="宋体"/>
        </w:rPr>
      </w:pPr>
    </w:p>
    <w:p w14:paraId="0F85FFB6">
      <w:pPr>
        <w:pStyle w:val="116"/>
        <w:ind w:firstLine="663" w:firstLineChars="255"/>
        <w:rPr>
          <w:rFonts w:ascii="宋体" w:hAnsi="宋体" w:cs="宋体"/>
        </w:rPr>
      </w:pPr>
    </w:p>
    <w:p w14:paraId="6FCCB90A">
      <w:pPr>
        <w:pStyle w:val="116"/>
        <w:ind w:firstLine="663" w:firstLineChars="255"/>
        <w:rPr>
          <w:rFonts w:ascii="宋体" w:hAnsi="宋体" w:cs="宋体"/>
        </w:rPr>
      </w:pPr>
    </w:p>
    <w:p w14:paraId="1224159F">
      <w:pPr>
        <w:spacing w:line="360" w:lineRule="auto"/>
        <w:ind w:firstLine="612" w:firstLineChars="255"/>
        <w:jc w:val="left"/>
        <w:rPr>
          <w:rFonts w:hAnsi="宋体" w:cs="宋体"/>
          <w:sz w:val="24"/>
        </w:rPr>
      </w:pPr>
    </w:p>
    <w:p w14:paraId="050BCBBE">
      <w:pPr>
        <w:adjustRightInd w:val="0"/>
        <w:snapToGrid w:val="0"/>
        <w:spacing w:line="360" w:lineRule="auto"/>
        <w:jc w:val="left"/>
      </w:pPr>
      <w:r>
        <w:rPr>
          <w:rFonts w:hint="eastAsia" w:hAnsi="宋体" w:cs="宋体"/>
          <w:sz w:val="24"/>
        </w:rPr>
        <w:t>供应商（公章）：</w:t>
      </w:r>
      <w:r>
        <w:rPr>
          <w:rFonts w:hint="eastAsia" w:hAnsi="宋体" w:cs="宋体"/>
          <w:sz w:val="24"/>
          <w:u w:val="single"/>
        </w:rPr>
        <w:t xml:space="preserve">                         </w:t>
      </w:r>
    </w:p>
    <w:p w14:paraId="252800BB">
      <w:pPr>
        <w:adjustRightInd w:val="0"/>
        <w:snapToGrid w:val="0"/>
        <w:spacing w:line="360" w:lineRule="auto"/>
        <w:jc w:val="left"/>
        <w:rPr>
          <w:rFonts w:hAnsi="宋体" w:cs="宋体"/>
          <w:sz w:val="24"/>
          <w:u w:val="single"/>
        </w:rPr>
      </w:pPr>
      <w:r>
        <w:rPr>
          <w:rFonts w:hint="eastAsia" w:hAnsi="宋体" w:cs="宋体"/>
          <w:sz w:val="24"/>
        </w:rPr>
        <w:t>法定代表人或授权代表（签字</w:t>
      </w:r>
      <w:r>
        <w:rPr>
          <w:rFonts w:hint="eastAsia" w:hAnsi="宋体" w:cs="宋体"/>
          <w:sz w:val="24"/>
          <w:lang w:val="en-US" w:eastAsia="zh-CN"/>
        </w:rPr>
        <w:t>或盖章</w:t>
      </w:r>
      <w:r>
        <w:rPr>
          <w:rFonts w:hint="eastAsia" w:hAnsi="宋体" w:cs="宋体"/>
          <w:sz w:val="24"/>
        </w:rPr>
        <w:t>）：</w:t>
      </w:r>
      <w:r>
        <w:rPr>
          <w:rFonts w:hint="eastAsia" w:hAnsi="宋体" w:cs="宋体"/>
          <w:sz w:val="24"/>
          <w:u w:val="single"/>
        </w:rPr>
        <w:t xml:space="preserve">           </w:t>
      </w:r>
    </w:p>
    <w:p w14:paraId="46EDDCE2">
      <w:pPr>
        <w:adjustRightInd w:val="0"/>
        <w:snapToGrid w:val="0"/>
        <w:spacing w:line="360" w:lineRule="auto"/>
        <w:jc w:val="left"/>
        <w:rPr>
          <w:rFonts w:hAnsi="宋体" w:cs="宋体"/>
          <w:b/>
          <w:bCs/>
          <w:sz w:val="32"/>
          <w:szCs w:val="32"/>
        </w:rPr>
      </w:pPr>
      <w:r>
        <w:rPr>
          <w:rFonts w:hint="eastAsia" w:hAnsi="宋体" w:cs="宋体"/>
          <w:sz w:val="24"/>
        </w:rPr>
        <w:t>日    期：</w:t>
      </w:r>
      <w:r>
        <w:rPr>
          <w:rFonts w:hint="eastAsia" w:hAnsi="宋体" w:cs="宋体"/>
          <w:sz w:val="24"/>
          <w:u w:val="single"/>
        </w:rPr>
        <w:t xml:space="preserve">                               </w:t>
      </w:r>
      <w:bookmarkStart w:id="143" w:name="_Toc22273"/>
    </w:p>
    <w:p w14:paraId="1FD0D06C">
      <w:pPr>
        <w:spacing w:line="360" w:lineRule="auto"/>
        <w:ind w:firstLine="4995" w:firstLineChars="1555"/>
        <w:rPr>
          <w:rFonts w:hAnsi="宋体" w:cs="宋体"/>
          <w:sz w:val="24"/>
          <w:u w:val="single"/>
        </w:rPr>
      </w:pPr>
      <w:r>
        <w:rPr>
          <w:rFonts w:hint="eastAsia" w:hAnsi="宋体" w:cs="宋体"/>
          <w:b/>
          <w:bCs/>
          <w:sz w:val="32"/>
          <w:szCs w:val="32"/>
        </w:rPr>
        <w:br w:type="page"/>
      </w:r>
      <w:bookmarkEnd w:id="143"/>
      <w:bookmarkStart w:id="144" w:name="_Toc16172447"/>
      <w:bookmarkStart w:id="145" w:name="_Toc16265267"/>
      <w:bookmarkStart w:id="146" w:name="_Toc11292"/>
      <w:bookmarkStart w:id="147" w:name="_Toc1304"/>
      <w:bookmarkStart w:id="148" w:name="_Toc9564"/>
      <w:bookmarkStart w:id="149" w:name="_Toc495913701"/>
    </w:p>
    <w:p w14:paraId="7A04C0D0">
      <w:pPr>
        <w:spacing w:before="94" w:line="219" w:lineRule="auto"/>
        <w:ind w:left="3799"/>
        <w:rPr>
          <w:rFonts w:ascii="宋体" w:hAnsi="宋体" w:eastAsia="宋体" w:cs="宋体"/>
          <w:sz w:val="24"/>
          <w:szCs w:val="24"/>
        </w:rPr>
      </w:pPr>
      <w:bookmarkStart w:id="150" w:name="_Toc32724"/>
      <w:bookmarkStart w:id="151" w:name="_Toc23976"/>
      <w:r>
        <w:rPr>
          <w:rFonts w:ascii="宋体" w:hAnsi="宋体" w:eastAsia="宋体" w:cs="宋体"/>
          <w:b/>
          <w:bCs/>
          <w:spacing w:val="-3"/>
          <w:sz w:val="24"/>
          <w:szCs w:val="24"/>
        </w:rPr>
        <w:t>三、资格证明文件</w:t>
      </w:r>
    </w:p>
    <w:p w14:paraId="574ED70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供应商应具有独立承担民事责任的能力：提供营业执照、税务登记证、组织机构代码证或登载有统一社会信用代码的营业执照（或《事业单位法人证书》或其他合法组织登记证书、自然人只须提交身份证)；   </w:t>
      </w:r>
    </w:p>
    <w:p w14:paraId="3DFE42E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供应商应授权合法的人员参加投标：其中法定代表人直接参加投标，须出具法人身份证复印件，并与营业执照上信息一致，法定代表人授权代表参加投标，须出具法定代表人授权书及授权代表身份证复印件；</w:t>
      </w:r>
    </w:p>
    <w:p w14:paraId="78CBFB9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供应商具有陕西省林业有害生物防治</w:t>
      </w:r>
      <w:r>
        <w:rPr>
          <w:rFonts w:hint="eastAsia" w:ascii="宋体" w:hAnsi="宋体" w:eastAsia="宋体" w:cs="宋体"/>
          <w:color w:val="000000" w:themeColor="text1"/>
          <w:sz w:val="24"/>
          <w:szCs w:val="24"/>
          <w:lang w:val="en-US" w:eastAsia="zh-CN"/>
          <w14:textFill>
            <w14:solidFill>
              <w14:schemeClr w14:val="tx1"/>
            </w14:solidFill>
          </w14:textFill>
        </w:rPr>
        <w:t>丙</w:t>
      </w:r>
      <w:r>
        <w:rPr>
          <w:rFonts w:hint="eastAsia" w:ascii="宋体" w:hAnsi="宋体" w:eastAsia="宋体" w:cs="宋体"/>
          <w:color w:val="000000" w:themeColor="text1"/>
          <w:sz w:val="24"/>
          <w:szCs w:val="24"/>
          <w14:textFill>
            <w14:solidFill>
              <w14:schemeClr w14:val="tx1"/>
            </w14:solidFill>
          </w14:textFill>
        </w:rPr>
        <w:t>级及以上资质；</w:t>
      </w:r>
    </w:p>
    <w:p w14:paraId="11F124D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投标供应商具有良好的商业信誉和健全的财务会计制度（提供或2024年财务审计报告或开户银行出具的近半年资信证明）；</w:t>
      </w:r>
    </w:p>
    <w:p w14:paraId="35DC6B3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依法缴纳税收和社会保障资金的良好记录【供应商提供开标截止时间前6个月内至少已缴存1个月的完税证明（依法免税的供应商应提供相关文件证明）和社保缴纳证明（专用收据或社会保险缴纳清单或参保缴费证明，依法不需要缴纳社会保障资金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  （6）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p>
    <w:p w14:paraId="0DEDD80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参加政府采购活动近3年内在经营活动中没有重大违法记录的书面声明（供应商自行出具声明书并加盖公章）；</w:t>
      </w:r>
    </w:p>
    <w:p w14:paraId="4C4775D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本项目专门面向中小企业采购，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4030139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（9）具备履行合同所必须的设备和专业技术能力的书面声明。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（10）本项目不接受联合体投标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提供声明函</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10FD27C">
      <w:pPr>
        <w:rPr>
          <w:sz w:val="24"/>
          <w:szCs w:val="24"/>
        </w:rPr>
      </w:pPr>
    </w:p>
    <w:p w14:paraId="694987B2">
      <w:pPr>
        <w:pStyle w:val="4"/>
        <w:keepNext w:val="0"/>
        <w:keepLines w:val="0"/>
        <w:jc w:val="center"/>
        <w:rPr>
          <w:rFonts w:hint="eastAsia" w:ascii="宋体" w:hAnsi="宋体" w:eastAsia="宋体" w:cs="宋体"/>
          <w:bCs/>
          <w:kern w:val="2"/>
          <w:szCs w:val="28"/>
          <w:lang w:eastAsia="zh-CN"/>
        </w:rPr>
      </w:pPr>
    </w:p>
    <w:p w14:paraId="72AE09EB">
      <w:pPr>
        <w:rPr>
          <w:rFonts w:hint="eastAsia"/>
          <w:lang w:eastAsia="zh-CN"/>
        </w:rPr>
      </w:pPr>
    </w:p>
    <w:p w14:paraId="7B59E7B8">
      <w:pPr>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附件1               </w:t>
      </w:r>
    </w:p>
    <w:p w14:paraId="16BDEAA8">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法定代表人身份证明书</w:t>
      </w:r>
    </w:p>
    <w:p w14:paraId="7539405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2B1E774D">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B5C7DB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BE29BF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i w:val="0"/>
          <w:iCs w:val="0"/>
          <w:sz w:val="24"/>
          <w:szCs w:val="24"/>
          <w:u w:val="single"/>
        </w:rPr>
        <w:t xml:space="preserve">        </w:t>
      </w:r>
      <w:r>
        <w:rPr>
          <w:rFonts w:hint="eastAsia" w:ascii="宋体" w:hAnsi="宋体" w:eastAsia="宋体" w:cs="宋体"/>
          <w:sz w:val="24"/>
          <w:szCs w:val="24"/>
        </w:rPr>
        <w:t>日</w:t>
      </w:r>
    </w:p>
    <w:p w14:paraId="1025A57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C9EC322">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0B02383">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系 </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 的法定代表人。</w:t>
      </w:r>
    </w:p>
    <w:p w14:paraId="28B6652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4B0419A">
      <w:pPr>
        <w:bidi w:val="0"/>
        <w:rPr>
          <w:rFonts w:hint="eastAsia" w:ascii="宋体" w:hAnsi="宋体" w:eastAsia="宋体" w:cs="宋体"/>
          <w:sz w:val="24"/>
          <w:szCs w:val="24"/>
        </w:rPr>
      </w:pPr>
      <w:r>
        <w:rPr>
          <w:rFonts w:hint="eastAsia" w:ascii="宋体" w:hAnsi="宋体" w:eastAsia="宋体" w:cs="宋体"/>
          <w:sz w:val="24"/>
          <w:szCs w:val="24"/>
        </w:rPr>
        <w:t>附法人身份证正反面复印件</w:t>
      </w:r>
    </w:p>
    <w:tbl>
      <w:tblPr>
        <w:tblStyle w:val="138"/>
        <w:tblW w:w="88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50"/>
        <w:gridCol w:w="4369"/>
      </w:tblGrid>
      <w:tr w14:paraId="71F26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7" w:hRule="atLeast"/>
        </w:trPr>
        <w:tc>
          <w:tcPr>
            <w:tcW w:w="4450" w:type="dxa"/>
            <w:vAlign w:val="top"/>
          </w:tcPr>
          <w:p w14:paraId="68FAE67D">
            <w:pPr>
              <w:bidi w:val="0"/>
              <w:jc w:val="center"/>
              <w:rPr>
                <w:rFonts w:hint="eastAsia" w:ascii="宋体" w:hAnsi="宋体" w:eastAsia="宋体" w:cs="宋体"/>
                <w:sz w:val="24"/>
                <w:szCs w:val="24"/>
              </w:rPr>
            </w:pPr>
          </w:p>
          <w:p w14:paraId="0C11D4CC">
            <w:pPr>
              <w:bidi w:val="0"/>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5133CCF7">
            <w:pPr>
              <w:bidi w:val="0"/>
              <w:jc w:val="center"/>
              <w:rPr>
                <w:rFonts w:hint="eastAsia" w:ascii="宋体" w:hAnsi="宋体" w:eastAsia="宋体" w:cs="宋体"/>
                <w:sz w:val="24"/>
                <w:szCs w:val="24"/>
              </w:rPr>
            </w:pPr>
            <w:r>
              <w:rPr>
                <w:rFonts w:hint="eastAsia" w:ascii="宋体" w:hAnsi="宋体" w:eastAsia="宋体" w:cs="宋体"/>
                <w:sz w:val="24"/>
                <w:szCs w:val="24"/>
              </w:rPr>
              <w:t>(正面：国徽)</w:t>
            </w:r>
          </w:p>
        </w:tc>
        <w:tc>
          <w:tcPr>
            <w:tcW w:w="4369" w:type="dxa"/>
            <w:vAlign w:val="top"/>
          </w:tcPr>
          <w:p w14:paraId="2E3DD8B0">
            <w:pPr>
              <w:bidi w:val="0"/>
              <w:jc w:val="center"/>
              <w:rPr>
                <w:rFonts w:hint="eastAsia" w:ascii="宋体" w:hAnsi="宋体" w:eastAsia="宋体" w:cs="宋体"/>
                <w:sz w:val="24"/>
                <w:szCs w:val="24"/>
              </w:rPr>
            </w:pPr>
          </w:p>
          <w:p w14:paraId="052D8AE4">
            <w:pPr>
              <w:bidi w:val="0"/>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4214734D">
            <w:pPr>
              <w:bidi w:val="0"/>
              <w:jc w:val="center"/>
              <w:rPr>
                <w:rFonts w:hint="eastAsia" w:ascii="宋体" w:hAnsi="宋体" w:eastAsia="宋体" w:cs="宋体"/>
                <w:sz w:val="24"/>
                <w:szCs w:val="24"/>
              </w:rPr>
            </w:pPr>
            <w:r>
              <w:rPr>
                <w:rFonts w:hint="eastAsia" w:ascii="宋体" w:hAnsi="宋体" w:eastAsia="宋体" w:cs="宋体"/>
                <w:sz w:val="24"/>
                <w:szCs w:val="24"/>
              </w:rPr>
              <w:t>(反面：身份信息)</w:t>
            </w:r>
          </w:p>
        </w:tc>
      </w:tr>
    </w:tbl>
    <w:p w14:paraId="0DC8AEAF">
      <w:pPr>
        <w:adjustRightInd w:val="0"/>
        <w:snapToGrid w:val="0"/>
        <w:spacing w:line="400" w:lineRule="exact"/>
        <w:rPr>
          <w:rFonts w:hint="eastAsia" w:ascii="宋体" w:hAnsi="宋体" w:cs="宋体"/>
          <w:b/>
          <w:color w:val="000000" w:themeColor="text1"/>
          <w:kern w:val="0"/>
          <w:sz w:val="24"/>
          <w:szCs w:val="24"/>
          <w14:textFill>
            <w14:solidFill>
              <w14:schemeClr w14:val="tx1"/>
            </w14:solidFill>
          </w14:textFill>
        </w:rPr>
      </w:pPr>
    </w:p>
    <w:p w14:paraId="14C43CCF">
      <w:pPr>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：（盖章）</w:t>
      </w:r>
    </w:p>
    <w:p w14:paraId="5342A509">
      <w:pPr>
        <w:ind w:firstLine="240" w:firstLineChars="1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法定代表人或代理人：（签字</w:t>
      </w:r>
      <w:r>
        <w:rPr>
          <w:rFonts w:hint="eastAsia" w:ascii="宋体" w:hAnsi="宋体"/>
          <w:color w:val="000000" w:themeColor="text1"/>
          <w:sz w:val="24"/>
          <w:szCs w:val="24"/>
          <w:lang w:eastAsia="zh-CN"/>
          <w14:textFill>
            <w14:solidFill>
              <w14:schemeClr w14:val="tx1"/>
            </w14:solidFill>
          </w14:textFill>
        </w:rPr>
        <w:t>或</w:t>
      </w:r>
      <w:r>
        <w:rPr>
          <w:rFonts w:hint="eastAsia" w:ascii="宋体" w:hAnsi="宋体"/>
          <w:color w:val="000000" w:themeColor="text1"/>
          <w:sz w:val="24"/>
          <w:szCs w:val="24"/>
          <w14:textFill>
            <w14:solidFill>
              <w14:schemeClr w14:val="tx1"/>
            </w14:solidFill>
          </w14:textFill>
        </w:rPr>
        <w:t>盖章）</w:t>
      </w:r>
      <w:r>
        <w:rPr>
          <w:rFonts w:ascii="宋体" w:hAnsi="宋体"/>
          <w:color w:val="000000" w:themeColor="text1"/>
          <w:sz w:val="24"/>
          <w:szCs w:val="24"/>
          <w14:textFill>
            <w14:solidFill>
              <w14:schemeClr w14:val="tx1"/>
            </w14:solidFill>
          </w14:textFill>
        </w:rPr>
        <w:t xml:space="preserve">   </w:t>
      </w:r>
    </w:p>
    <w:p w14:paraId="3C69C1CF">
      <w:pPr>
        <w:pStyle w:val="17"/>
        <w:kinsoku w:val="0"/>
        <w:autoSpaceDE w:val="0"/>
        <w:autoSpaceDN w:val="0"/>
        <w:adjustRightInd w:val="0"/>
        <w:spacing w:line="500" w:lineRule="exact"/>
        <w:ind w:firstLine="560"/>
        <w:jc w:val="righ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日期：</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年</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月</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47AE7BDF">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0DC9730E">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78506DE2">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588BC56D">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5419DD21">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56EE7983">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0296B404">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7D5A099A">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34D652E1">
      <w:pPr>
        <w:pStyle w:val="35"/>
        <w:rPr>
          <w:rFonts w:hint="eastAsia" w:ascii="宋体" w:hAnsi="宋体" w:cs="宋体"/>
          <w:b/>
          <w:color w:val="000000" w:themeColor="text1"/>
          <w:kern w:val="0"/>
          <w:sz w:val="28"/>
          <w:szCs w:val="28"/>
          <w14:textFill>
            <w14:solidFill>
              <w14:schemeClr w14:val="tx1"/>
            </w14:solidFill>
          </w14:textFill>
        </w:rPr>
      </w:pPr>
    </w:p>
    <w:p w14:paraId="5D372351">
      <w:pPr>
        <w:pStyle w:val="16"/>
        <w:rPr>
          <w:rFonts w:hint="eastAsia" w:ascii="宋体" w:hAnsi="宋体" w:cs="宋体"/>
          <w:b/>
          <w:color w:val="000000" w:themeColor="text1"/>
          <w:kern w:val="0"/>
          <w:sz w:val="28"/>
          <w:szCs w:val="28"/>
          <w14:textFill>
            <w14:solidFill>
              <w14:schemeClr w14:val="tx1"/>
            </w14:solidFill>
          </w14:textFill>
        </w:rPr>
      </w:pPr>
    </w:p>
    <w:p w14:paraId="49DB30A9">
      <w:pPr>
        <w:rPr>
          <w:rFonts w:hint="eastAsia"/>
        </w:rPr>
      </w:pPr>
    </w:p>
    <w:p w14:paraId="69DE04D0">
      <w:pPr>
        <w:adjustRightInd w:val="0"/>
        <w:snapToGrid w:val="0"/>
        <w:spacing w:line="400" w:lineRule="exact"/>
        <w:rPr>
          <w:rFonts w:hint="eastAsia" w:ascii="宋体" w:hAnsi="宋体" w:cs="宋体"/>
          <w:b/>
          <w:bCs/>
          <w:color w:val="000000" w:themeColor="text1"/>
          <w:sz w:val="28"/>
          <w:szCs w:val="28"/>
          <w14:textFill>
            <w14:solidFill>
              <w14:schemeClr w14:val="tx1"/>
            </w14:solidFill>
          </w14:textFill>
        </w:rPr>
      </w:pPr>
    </w:p>
    <w:p w14:paraId="117F8C8C">
      <w:pPr>
        <w:adjustRightInd w:val="0"/>
        <w:snapToGrid w:val="0"/>
        <w:spacing w:line="400" w:lineRule="exact"/>
        <w:rPr>
          <w:rFonts w:hint="eastAsia" w:ascii="宋体" w:eastAsia="宋体" w:cs="宋体"/>
          <w:b/>
          <w:color w:val="000000" w:themeColor="text1"/>
          <w:kern w:val="0"/>
          <w:sz w:val="28"/>
          <w:szCs w:val="28"/>
          <w:lang w:val="en-US"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hint="eastAsia" w:ascii="宋体" w:hAnsi="宋体" w:cs="宋体"/>
          <w:b/>
          <w:bCs/>
          <w:color w:val="000000" w:themeColor="text1"/>
          <w:sz w:val="28"/>
          <w:szCs w:val="28"/>
          <w:lang w:val="en-US" w:eastAsia="zh-CN"/>
          <w14:textFill>
            <w14:solidFill>
              <w14:schemeClr w14:val="tx1"/>
            </w14:solidFill>
          </w14:textFill>
        </w:rPr>
        <w:t>2</w:t>
      </w:r>
    </w:p>
    <w:p w14:paraId="408951FF">
      <w:pPr>
        <w:adjustRightInd w:val="0"/>
        <w:snapToGrid w:val="0"/>
        <w:spacing w:line="400" w:lineRule="exact"/>
        <w:jc w:val="center"/>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法定代表人授权书</w:t>
      </w:r>
    </w:p>
    <w:p w14:paraId="7F6A8137">
      <w:pPr>
        <w:bidi w:val="0"/>
        <w:spacing w:line="360" w:lineRule="auto"/>
        <w:rPr>
          <w:rFonts w:ascii="宋体"/>
          <w:color w:val="000000" w:themeColor="text1"/>
          <w:sz w:val="24"/>
          <w:szCs w:val="24"/>
          <w14:textFill>
            <w14:solidFill>
              <w14:schemeClr w14:val="tx1"/>
            </w14:solidFill>
          </w14:textFill>
        </w:rPr>
      </w:pPr>
      <w:r>
        <w:rPr>
          <w:rFonts w:hint="eastAsia"/>
          <w:sz w:val="24"/>
          <w:szCs w:val="24"/>
          <w:lang w:val="zh-CN"/>
        </w:rPr>
        <w:t>陕西安康天诚工程项目管理咨询有限公司</w:t>
      </w:r>
      <w:r>
        <w:rPr>
          <w:rFonts w:hint="eastAsia"/>
          <w:sz w:val="24"/>
          <w:szCs w:val="24"/>
        </w:rPr>
        <w:t>：</w:t>
      </w:r>
    </w:p>
    <w:p w14:paraId="0142A684">
      <w:pPr>
        <w:spacing w:after="156" w:afterLines="50" w:line="360" w:lineRule="auto"/>
        <w:ind w:firstLine="480" w:firstLineChars="200"/>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本授权书声明：注册于中华人民共和国的</w:t>
      </w:r>
      <w:r>
        <w:rPr>
          <w:rFonts w:hint="eastAsia" w:ascii="宋体" w:hAnsi="宋体" w:cs="宋体"/>
          <w:b w:val="0"/>
          <w:bCs/>
          <w:color w:val="000000" w:themeColor="text1"/>
          <w:sz w:val="24"/>
          <w:szCs w:val="24"/>
          <w:u w:val="single"/>
          <w:lang w:val="zh-CN"/>
          <w14:textFill>
            <w14:solidFill>
              <w14:schemeClr w14:val="tx1"/>
            </w14:solidFill>
          </w14:textFill>
        </w:rPr>
        <w:t>（供应商名称）</w:t>
      </w:r>
      <w:r>
        <w:rPr>
          <w:rFonts w:hint="eastAsia" w:ascii="宋体" w:hAnsi="宋体" w:cs="宋体"/>
          <w:b w:val="0"/>
          <w:bCs/>
          <w:color w:val="000000" w:themeColor="text1"/>
          <w:sz w:val="24"/>
          <w:szCs w:val="24"/>
          <w:lang w:val="zh-CN"/>
          <w14:textFill>
            <w14:solidFill>
              <w14:schemeClr w14:val="tx1"/>
            </w14:solidFill>
          </w14:textFill>
        </w:rPr>
        <w:t>的在下面签字的</w:t>
      </w:r>
      <w:r>
        <w:rPr>
          <w:rFonts w:hint="eastAsia" w:ascii="宋体" w:hAnsi="宋体" w:cs="宋体"/>
          <w:b w:val="0"/>
          <w:bCs/>
          <w:color w:val="000000" w:themeColor="text1"/>
          <w:sz w:val="24"/>
          <w:szCs w:val="24"/>
          <w:u w:val="single"/>
          <w:lang w:val="zh-CN"/>
          <w14:textFill>
            <w14:solidFill>
              <w14:schemeClr w14:val="tx1"/>
            </w14:solidFill>
          </w14:textFill>
        </w:rPr>
        <w:t>（法定代表人姓名、职务）</w:t>
      </w:r>
      <w:r>
        <w:rPr>
          <w:rFonts w:hint="eastAsia" w:ascii="宋体" w:hAnsi="宋体" w:cs="宋体"/>
          <w:b w:val="0"/>
          <w:bCs/>
          <w:color w:val="000000" w:themeColor="text1"/>
          <w:sz w:val="24"/>
          <w:szCs w:val="24"/>
          <w:lang w:val="zh-CN"/>
          <w14:textFill>
            <w14:solidFill>
              <w14:schemeClr w14:val="tx1"/>
            </w14:solidFill>
          </w14:textFill>
        </w:rPr>
        <w:t>代表本公司授权的在下面签字的</w:t>
      </w:r>
      <w:r>
        <w:rPr>
          <w:rFonts w:hint="eastAsia" w:ascii="宋体" w:hAnsi="宋体" w:cs="宋体"/>
          <w:b w:val="0"/>
          <w:bCs/>
          <w:color w:val="000000" w:themeColor="text1"/>
          <w:sz w:val="24"/>
          <w:szCs w:val="24"/>
          <w:u w:val="single"/>
          <w:lang w:val="zh-CN"/>
          <w14:textFill>
            <w14:solidFill>
              <w14:schemeClr w14:val="tx1"/>
            </w14:solidFill>
          </w14:textFill>
        </w:rPr>
        <w:t>（被授权人的姓名、职务）</w:t>
      </w:r>
      <w:r>
        <w:rPr>
          <w:rFonts w:hint="eastAsia" w:ascii="宋体" w:hAnsi="宋体" w:cs="宋体"/>
          <w:b w:val="0"/>
          <w:bCs/>
          <w:color w:val="000000" w:themeColor="text1"/>
          <w:sz w:val="24"/>
          <w:szCs w:val="24"/>
          <w:lang w:val="zh-CN"/>
          <w14:textFill>
            <w14:solidFill>
              <w14:schemeClr w14:val="tx1"/>
            </w14:solidFill>
          </w14:textFill>
        </w:rPr>
        <w:t>为本公司的合法代理人，就项目编号为</w:t>
      </w:r>
      <w:r>
        <w:rPr>
          <w:rFonts w:hint="eastAsia" w:ascii="宋体" w:hAnsi="宋体" w:cs="宋体"/>
          <w:b w:val="0"/>
          <w:bCs/>
          <w:color w:val="000000" w:themeColor="text1"/>
          <w:sz w:val="24"/>
          <w:szCs w:val="24"/>
          <w:u w:val="single"/>
          <w:lang w:val="zh-CN"/>
          <w14:textFill>
            <w14:solidFill>
              <w14:schemeClr w14:val="tx1"/>
            </w14:solidFill>
          </w14:textFill>
        </w:rPr>
        <w:t>（项目编号）</w:t>
      </w:r>
      <w:r>
        <w:rPr>
          <w:rFonts w:hint="eastAsia" w:ascii="宋体" w:hAnsi="宋体" w:cs="宋体"/>
          <w:b w:val="0"/>
          <w:bCs/>
          <w:color w:val="000000" w:themeColor="text1"/>
          <w:sz w:val="24"/>
          <w:szCs w:val="24"/>
          <w:lang w:val="zh-CN"/>
          <w14:textFill>
            <w14:solidFill>
              <w14:schemeClr w14:val="tx1"/>
            </w14:solidFill>
          </w14:textFill>
        </w:rPr>
        <w:t>的</w:t>
      </w:r>
      <w:r>
        <w:rPr>
          <w:rFonts w:hint="eastAsia" w:ascii="宋体" w:hAnsi="宋体" w:cs="宋体"/>
          <w:b w:val="0"/>
          <w:bCs/>
          <w:color w:val="000000" w:themeColor="text1"/>
          <w:sz w:val="24"/>
          <w:szCs w:val="24"/>
          <w:u w:val="single"/>
          <w:lang w:val="zh-CN"/>
          <w14:textFill>
            <w14:solidFill>
              <w14:schemeClr w14:val="tx1"/>
            </w14:solidFill>
          </w14:textFill>
        </w:rPr>
        <w:t xml:space="preserve">  (招标项目名称)  </w:t>
      </w:r>
      <w:r>
        <w:rPr>
          <w:rFonts w:hint="eastAsia" w:ascii="宋体" w:hAnsi="宋体" w:cs="宋体"/>
          <w:b w:val="0"/>
          <w:bCs/>
          <w:color w:val="000000" w:themeColor="text1"/>
          <w:sz w:val="24"/>
          <w:szCs w:val="24"/>
          <w:lang w:val="zh-CN"/>
          <w14:textFill>
            <w14:solidFill>
              <w14:schemeClr w14:val="tx1"/>
            </w14:solidFill>
          </w14:textFill>
        </w:rPr>
        <w:t>的投标，以本公司名义处理一切与之有关的事务。</w:t>
      </w:r>
    </w:p>
    <w:p w14:paraId="19B10F6C">
      <w:pPr>
        <w:spacing w:after="156" w:afterLines="50" w:line="360" w:lineRule="auto"/>
        <w:ind w:firstLine="480" w:firstLineChars="200"/>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本授权书于</w:t>
      </w:r>
      <w:r>
        <w:rPr>
          <w:rFonts w:hint="eastAsia" w:ascii="宋体" w:hAnsi="宋体" w:cs="宋体"/>
          <w:b w:val="0"/>
          <w:bCs/>
          <w:color w:val="000000" w:themeColor="text1"/>
          <w:sz w:val="24"/>
          <w:szCs w:val="24"/>
          <w:u w:val="single"/>
          <w:lang w:val="zh-CN"/>
          <w14:textFill>
            <w14:solidFill>
              <w14:schemeClr w14:val="tx1"/>
            </w14:solidFill>
          </w14:textFill>
        </w:rPr>
        <w:t xml:space="preserve"> </w:t>
      </w:r>
      <w:r>
        <w:rPr>
          <w:rFonts w:hint="eastAsia" w:ascii="宋体" w:hAnsi="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 w:val="0"/>
          <w:bCs/>
          <w:color w:val="000000" w:themeColor="text1"/>
          <w:sz w:val="24"/>
          <w:szCs w:val="24"/>
          <w:u w:val="single"/>
          <w:lang w:val="zh-CN"/>
          <w14:textFill>
            <w14:solidFill>
              <w14:schemeClr w14:val="tx1"/>
            </w14:solidFill>
          </w14:textFill>
        </w:rPr>
        <w:t xml:space="preserve"> </w:t>
      </w:r>
      <w:r>
        <w:rPr>
          <w:rFonts w:hint="eastAsia" w:ascii="宋体" w:hAnsi="宋体" w:cs="宋体"/>
          <w:b w:val="0"/>
          <w:bCs/>
          <w:color w:val="000000" w:themeColor="text1"/>
          <w:sz w:val="24"/>
          <w:szCs w:val="24"/>
          <w:lang w:val="zh-CN"/>
          <w14:textFill>
            <w14:solidFill>
              <w14:schemeClr w14:val="tx1"/>
            </w14:solidFill>
          </w14:textFill>
        </w:rPr>
        <w:t>年</w:t>
      </w:r>
      <w:r>
        <w:rPr>
          <w:rFonts w:hint="eastAsia" w:ascii="宋体" w:hAnsi="宋体" w:cs="宋体"/>
          <w:b w:val="0"/>
          <w:bCs/>
          <w:color w:val="000000" w:themeColor="text1"/>
          <w:sz w:val="24"/>
          <w:szCs w:val="24"/>
          <w:u w:val="single"/>
          <w:lang w:val="zh-CN"/>
          <w14:textFill>
            <w14:solidFill>
              <w14:schemeClr w14:val="tx1"/>
            </w14:solidFill>
          </w14:textFill>
        </w:rPr>
        <w:t xml:space="preserve"> </w:t>
      </w:r>
      <w:r>
        <w:rPr>
          <w:rFonts w:hint="eastAsia" w:ascii="宋体" w:hAnsi="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 w:val="0"/>
          <w:bCs/>
          <w:color w:val="000000" w:themeColor="text1"/>
          <w:sz w:val="24"/>
          <w:szCs w:val="24"/>
          <w:u w:val="single"/>
          <w:lang w:val="zh-CN"/>
          <w14:textFill>
            <w14:solidFill>
              <w14:schemeClr w14:val="tx1"/>
            </w14:solidFill>
          </w14:textFill>
        </w:rPr>
        <w:t xml:space="preserve"> </w:t>
      </w:r>
      <w:r>
        <w:rPr>
          <w:rFonts w:hint="eastAsia" w:ascii="宋体" w:hAnsi="宋体" w:cs="宋体"/>
          <w:b w:val="0"/>
          <w:bCs/>
          <w:color w:val="000000" w:themeColor="text1"/>
          <w:sz w:val="24"/>
          <w:szCs w:val="24"/>
          <w:lang w:val="zh-CN"/>
          <w14:textFill>
            <w14:solidFill>
              <w14:schemeClr w14:val="tx1"/>
            </w14:solidFill>
          </w14:textFill>
        </w:rPr>
        <w:t>月</w:t>
      </w:r>
      <w:r>
        <w:rPr>
          <w:rFonts w:hint="eastAsia" w:ascii="宋体" w:hAnsi="宋体" w:cs="宋体"/>
          <w:b w:val="0"/>
          <w:bCs/>
          <w:color w:val="000000" w:themeColor="text1"/>
          <w:sz w:val="24"/>
          <w:szCs w:val="24"/>
          <w:u w:val="single"/>
          <w:lang w:val="zh-CN"/>
          <w14:textFill>
            <w14:solidFill>
              <w14:schemeClr w14:val="tx1"/>
            </w14:solidFill>
          </w14:textFill>
        </w:rPr>
        <w:t xml:space="preserve"> </w:t>
      </w:r>
      <w:r>
        <w:rPr>
          <w:rFonts w:hint="eastAsia" w:ascii="宋体" w:hAnsi="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val="zh-CN"/>
          <w14:textFill>
            <w14:solidFill>
              <w14:schemeClr w14:val="tx1"/>
            </w14:solidFill>
          </w14:textFill>
        </w:rPr>
        <w:t>日签字生效，特此声明。</w:t>
      </w:r>
    </w:p>
    <w:p w14:paraId="13E95630">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p>
    <w:tbl>
      <w:tblPr>
        <w:tblStyle w:val="3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F05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4516CEBA">
            <w:pPr>
              <w:spacing w:line="440" w:lineRule="exact"/>
              <w:rPr>
                <w:rFonts w:hint="eastAsia" w:ascii="宋体" w:hAnsi="宋体" w:eastAsia="宋体" w:cs="宋体"/>
                <w:color w:val="000000" w:themeColor="text1"/>
                <w:sz w:val="24"/>
                <w:szCs w:val="24"/>
                <w14:textFill>
                  <w14:solidFill>
                    <w14:schemeClr w14:val="tx1"/>
                  </w14:solidFill>
                </w14:textFill>
              </w:rPr>
            </w:pPr>
          </w:p>
          <w:p w14:paraId="523DDD62">
            <w:pPr>
              <w:spacing w:line="44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法人代表</w:t>
            </w:r>
            <w:r>
              <w:rPr>
                <w:rFonts w:hint="eastAsia" w:ascii="宋体" w:hAnsi="宋体" w:eastAsia="宋体" w:cs="宋体"/>
                <w:color w:val="000000" w:themeColor="text1"/>
                <w:sz w:val="24"/>
                <w:szCs w:val="24"/>
                <w:lang w:eastAsia="zh-CN"/>
                <w14:textFill>
                  <w14:solidFill>
                    <w14:schemeClr w14:val="tx1"/>
                  </w14:solidFill>
                </w14:textFill>
              </w:rPr>
              <w:t>（签字）</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A870BB7">
            <w:pPr>
              <w:spacing w:line="440" w:lineRule="exact"/>
              <w:rPr>
                <w:rFonts w:hint="eastAsia" w:ascii="宋体" w:hAnsi="宋体" w:eastAsia="宋体" w:cs="宋体"/>
                <w:color w:val="000000" w:themeColor="text1"/>
                <w:sz w:val="24"/>
                <w:szCs w:val="24"/>
                <w14:textFill>
                  <w14:solidFill>
                    <w14:schemeClr w14:val="tx1"/>
                  </w14:solidFill>
                </w14:textFill>
              </w:rPr>
            </w:pPr>
          </w:p>
          <w:p w14:paraId="327905AC">
            <w:pPr>
              <w:spacing w:line="44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（公章）：</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4A28EB0">
            <w:pPr>
              <w:spacing w:line="440" w:lineRule="exact"/>
              <w:rPr>
                <w:rFonts w:hint="eastAsia" w:ascii="宋体" w:hAnsi="宋体" w:eastAsia="宋体" w:cs="宋体"/>
                <w:color w:val="000000" w:themeColor="text1"/>
                <w:sz w:val="24"/>
                <w:szCs w:val="24"/>
                <w14:textFill>
                  <w14:solidFill>
                    <w14:schemeClr w14:val="tx1"/>
                  </w14:solidFill>
                </w14:textFill>
              </w:rPr>
            </w:pPr>
          </w:p>
          <w:p w14:paraId="2D18BB62">
            <w:pPr>
              <w:spacing w:line="440" w:lineRule="exact"/>
              <w:ind w:firstLine="2280" w:firstLineChars="9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c>
          <w:tcPr>
            <w:tcW w:w="4371" w:type="dxa"/>
            <w:vAlign w:val="center"/>
          </w:tcPr>
          <w:p w14:paraId="287D9957">
            <w:pPr>
              <w:spacing w:line="440" w:lineRule="exact"/>
              <w:jc w:val="center"/>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（法人代表身份证复印件）</w:t>
            </w:r>
          </w:p>
        </w:tc>
      </w:tr>
    </w:tbl>
    <w:p w14:paraId="258DF438">
      <w:pPr>
        <w:autoSpaceDE w:val="0"/>
        <w:autoSpaceDN w:val="0"/>
        <w:spacing w:line="360" w:lineRule="auto"/>
        <w:rPr>
          <w:rFonts w:hint="eastAsia" w:ascii="宋体" w:hAnsi="宋体" w:eastAsia="宋体" w:cs="宋体"/>
          <w:color w:val="000000" w:themeColor="text1"/>
          <w:sz w:val="24"/>
          <w:szCs w:val="24"/>
          <w14:textFill>
            <w14:solidFill>
              <w14:schemeClr w14:val="tx1"/>
            </w14:solidFill>
          </w14:textFill>
        </w:rPr>
      </w:pPr>
    </w:p>
    <w:tbl>
      <w:tblPr>
        <w:tblStyle w:val="3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778E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A2E46DB">
            <w:pPr>
              <w:spacing w:line="440" w:lineRule="exact"/>
              <w:rPr>
                <w:rFonts w:hint="eastAsia" w:ascii="宋体" w:hAnsi="宋体" w:eastAsia="宋体" w:cs="宋体"/>
                <w:color w:val="000000" w:themeColor="text1"/>
                <w:sz w:val="24"/>
                <w:szCs w:val="24"/>
                <w14:textFill>
                  <w14:solidFill>
                    <w14:schemeClr w14:val="tx1"/>
                  </w14:solidFill>
                </w14:textFill>
              </w:rPr>
            </w:pPr>
          </w:p>
          <w:p w14:paraId="67E8770B">
            <w:pPr>
              <w:spacing w:line="44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w:t>
            </w:r>
            <w:r>
              <w:rPr>
                <w:rFonts w:hint="eastAsia" w:ascii="宋体" w:hAnsi="宋体" w:eastAsia="宋体" w:cs="宋体"/>
                <w:color w:val="000000" w:themeColor="text1"/>
                <w:sz w:val="24"/>
                <w:szCs w:val="24"/>
                <w:lang w:eastAsia="zh-CN"/>
                <w14:textFill>
                  <w14:solidFill>
                    <w14:schemeClr w14:val="tx1"/>
                  </w14:solidFill>
                </w14:textFill>
              </w:rPr>
              <w:t>（签字）</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5BCD650">
            <w:pPr>
              <w:spacing w:line="440" w:lineRule="exact"/>
              <w:rPr>
                <w:rFonts w:hint="eastAsia" w:ascii="宋体" w:hAnsi="宋体" w:eastAsia="宋体" w:cs="宋体"/>
                <w:color w:val="000000" w:themeColor="text1"/>
                <w:sz w:val="24"/>
                <w:szCs w:val="24"/>
                <w14:textFill>
                  <w14:solidFill>
                    <w14:schemeClr w14:val="tx1"/>
                  </w14:solidFill>
                </w14:textFill>
              </w:rPr>
            </w:pPr>
          </w:p>
          <w:p w14:paraId="05425F96">
            <w:pPr>
              <w:spacing w:line="44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959D9AE">
            <w:pPr>
              <w:spacing w:line="440" w:lineRule="exact"/>
              <w:rPr>
                <w:rFonts w:hint="eastAsia" w:ascii="宋体" w:hAnsi="宋体" w:eastAsia="宋体" w:cs="宋体"/>
                <w:color w:val="000000" w:themeColor="text1"/>
                <w:sz w:val="24"/>
                <w:szCs w:val="24"/>
                <w:u w:val="single"/>
                <w14:textFill>
                  <w14:solidFill>
                    <w14:schemeClr w14:val="tx1"/>
                  </w14:solidFill>
                </w14:textFill>
              </w:rPr>
            </w:pPr>
          </w:p>
          <w:p w14:paraId="368DCF86">
            <w:pPr>
              <w:spacing w:line="440" w:lineRule="exact"/>
              <w:ind w:firstLine="2280" w:firstLineChars="9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c>
          <w:tcPr>
            <w:tcW w:w="4371" w:type="dxa"/>
            <w:vAlign w:val="center"/>
          </w:tcPr>
          <w:p w14:paraId="09DD6D1D">
            <w:pPr>
              <w:spacing w:line="440" w:lineRule="exact"/>
              <w:jc w:val="center"/>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（被授权人身份证复印件）</w:t>
            </w:r>
          </w:p>
        </w:tc>
      </w:tr>
    </w:tbl>
    <w:p w14:paraId="0B99A860">
      <w:pPr>
        <w:spacing w:line="5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说明：本授权有效期自开标之日起不得少于</w:t>
      </w:r>
      <w:r>
        <w:rPr>
          <w:rFonts w:hint="eastAsia" w:ascii="宋体" w:hAnsi="宋体" w:eastAsia="宋体" w:cs="宋体"/>
          <w:b/>
          <w:color w:val="000000" w:themeColor="text1"/>
          <w:sz w:val="24"/>
          <w:szCs w:val="24"/>
          <w14:textFill>
            <w14:solidFill>
              <w14:schemeClr w14:val="tx1"/>
            </w14:solidFill>
          </w14:textFill>
        </w:rPr>
        <w:t>90</w:t>
      </w:r>
      <w:r>
        <w:rPr>
          <w:rFonts w:hint="eastAsia" w:ascii="宋体" w:hAnsi="宋体" w:eastAsia="宋体" w:cs="宋体"/>
          <w:b/>
          <w:color w:val="000000" w:themeColor="text1"/>
          <w:sz w:val="24"/>
          <w:szCs w:val="24"/>
          <w:lang w:val="zh-CN"/>
          <w14:textFill>
            <w14:solidFill>
              <w14:schemeClr w14:val="tx1"/>
            </w14:solidFill>
          </w14:textFill>
        </w:rPr>
        <w:t>天，仅限授权代表参加投标时提供。</w:t>
      </w:r>
    </w:p>
    <w:p w14:paraId="525BFFBE">
      <w:pPr>
        <w:pStyle w:val="4"/>
        <w:keepNext w:val="0"/>
        <w:keepLines w:val="0"/>
        <w:jc w:val="center"/>
        <w:rPr>
          <w:rFonts w:hint="eastAsia" w:ascii="宋体" w:hAnsi="宋体" w:eastAsia="宋体" w:cs="宋体"/>
          <w:bCs/>
          <w:kern w:val="2"/>
          <w:szCs w:val="28"/>
          <w:lang w:eastAsia="zh-CN"/>
        </w:rPr>
      </w:pPr>
    </w:p>
    <w:p w14:paraId="36F5903B">
      <w:pPr>
        <w:pStyle w:val="4"/>
        <w:keepNext w:val="0"/>
        <w:keepLines w:val="0"/>
        <w:jc w:val="center"/>
        <w:rPr>
          <w:rFonts w:hint="eastAsia" w:ascii="宋体" w:hAnsi="宋体" w:eastAsia="宋体" w:cs="宋体"/>
          <w:bCs/>
          <w:kern w:val="2"/>
          <w:szCs w:val="28"/>
          <w:lang w:eastAsia="zh-CN"/>
        </w:rPr>
      </w:pPr>
    </w:p>
    <w:p w14:paraId="1F8FBFAA">
      <w:pPr>
        <w:pStyle w:val="4"/>
        <w:keepNext w:val="0"/>
        <w:keepLines w:val="0"/>
        <w:jc w:val="center"/>
        <w:rPr>
          <w:rFonts w:hint="eastAsia" w:ascii="宋体" w:hAnsi="宋体" w:eastAsia="宋体" w:cs="宋体"/>
          <w:bCs/>
          <w:kern w:val="2"/>
          <w:szCs w:val="28"/>
          <w:lang w:eastAsia="zh-CN"/>
        </w:rPr>
      </w:pPr>
    </w:p>
    <w:p w14:paraId="06EAACA5">
      <w:pPr>
        <w:pStyle w:val="4"/>
        <w:keepNext w:val="0"/>
        <w:keepLines w:val="0"/>
        <w:jc w:val="center"/>
        <w:rPr>
          <w:rFonts w:hint="eastAsia" w:ascii="宋体" w:hAnsi="宋体" w:eastAsia="宋体" w:cs="宋体"/>
          <w:bCs/>
          <w:kern w:val="2"/>
          <w:szCs w:val="28"/>
          <w:lang w:eastAsia="zh-CN"/>
        </w:rPr>
      </w:pPr>
    </w:p>
    <w:p w14:paraId="2D5369DC">
      <w:pPr>
        <w:pStyle w:val="4"/>
        <w:keepNext w:val="0"/>
        <w:keepLines w:val="0"/>
        <w:jc w:val="center"/>
        <w:rPr>
          <w:rFonts w:hAnsi="宋体" w:cs="宋体"/>
          <w:szCs w:val="28"/>
        </w:rPr>
      </w:pPr>
      <w:r>
        <w:rPr>
          <w:rFonts w:hint="eastAsia" w:ascii="宋体" w:hAnsi="宋体" w:eastAsia="宋体" w:cs="宋体"/>
          <w:bCs/>
          <w:kern w:val="2"/>
          <w:szCs w:val="28"/>
          <w:lang w:eastAsia="zh-CN"/>
        </w:rPr>
        <w:t>四</w:t>
      </w:r>
      <w:r>
        <w:rPr>
          <w:rFonts w:hint="eastAsia" w:ascii="宋体" w:hAnsi="宋体" w:eastAsia="宋体" w:cs="宋体"/>
          <w:bCs/>
          <w:kern w:val="2"/>
          <w:szCs w:val="28"/>
        </w:rPr>
        <w:t>、商务条款响应偏离表</w:t>
      </w:r>
      <w:bookmarkEnd w:id="150"/>
      <w:bookmarkEnd w:id="151"/>
    </w:p>
    <w:tbl>
      <w:tblPr>
        <w:tblStyle w:val="37"/>
        <w:tblW w:w="9518" w:type="dxa"/>
        <w:tblInd w:w="0" w:type="dxa"/>
        <w:tblLayout w:type="fixed"/>
        <w:tblCellMar>
          <w:top w:w="0" w:type="dxa"/>
          <w:left w:w="28" w:type="dxa"/>
          <w:bottom w:w="0" w:type="dxa"/>
          <w:right w:w="28" w:type="dxa"/>
        </w:tblCellMar>
      </w:tblPr>
      <w:tblGrid>
        <w:gridCol w:w="831"/>
        <w:gridCol w:w="2432"/>
        <w:gridCol w:w="2964"/>
        <w:gridCol w:w="1346"/>
        <w:gridCol w:w="1945"/>
      </w:tblGrid>
      <w:tr w14:paraId="16C0BBCD">
        <w:tblPrEx>
          <w:tblCellMar>
            <w:top w:w="0" w:type="dxa"/>
            <w:left w:w="28" w:type="dxa"/>
            <w:bottom w:w="0" w:type="dxa"/>
            <w:right w:w="28" w:type="dxa"/>
          </w:tblCellMar>
        </w:tblPrEx>
        <w:trPr>
          <w:trHeight w:val="653" w:hRule="atLeast"/>
        </w:trPr>
        <w:tc>
          <w:tcPr>
            <w:tcW w:w="831" w:type="dxa"/>
            <w:tcBorders>
              <w:top w:val="single" w:color="auto" w:sz="4" w:space="0"/>
              <w:left w:val="single" w:color="auto" w:sz="4" w:space="0"/>
              <w:bottom w:val="single" w:color="auto" w:sz="4" w:space="0"/>
              <w:right w:val="single" w:color="000000" w:sz="6" w:space="0"/>
            </w:tcBorders>
            <w:vAlign w:val="center"/>
          </w:tcPr>
          <w:p w14:paraId="68BDD0D5">
            <w:pPr>
              <w:adjustRightInd w:val="0"/>
              <w:snapToGrid w:val="0"/>
              <w:jc w:val="center"/>
              <w:rPr>
                <w:rFonts w:hAnsi="宋体" w:cs="宋体"/>
                <w:sz w:val="24"/>
              </w:rPr>
            </w:pPr>
            <w:r>
              <w:rPr>
                <w:rFonts w:hint="eastAsia" w:hAnsi="宋体" w:cs="宋体"/>
                <w:sz w:val="24"/>
              </w:rPr>
              <w:t>序号</w:t>
            </w:r>
          </w:p>
        </w:tc>
        <w:tc>
          <w:tcPr>
            <w:tcW w:w="2432" w:type="dxa"/>
            <w:tcBorders>
              <w:top w:val="single" w:color="000000" w:sz="6" w:space="0"/>
              <w:left w:val="nil"/>
              <w:bottom w:val="single" w:color="000000" w:sz="6" w:space="0"/>
              <w:right w:val="single" w:color="000000" w:sz="6" w:space="0"/>
            </w:tcBorders>
            <w:vAlign w:val="center"/>
          </w:tcPr>
          <w:p w14:paraId="0CB5B463">
            <w:pPr>
              <w:adjustRightInd w:val="0"/>
              <w:snapToGrid w:val="0"/>
              <w:jc w:val="center"/>
              <w:rPr>
                <w:rFonts w:hAnsi="宋体" w:cs="宋体"/>
                <w:sz w:val="24"/>
              </w:rPr>
            </w:pPr>
            <w:r>
              <w:rPr>
                <w:rFonts w:hint="eastAsia" w:hAnsi="宋体" w:cs="宋体"/>
                <w:sz w:val="24"/>
                <w:lang w:eastAsia="zh-CN"/>
              </w:rPr>
              <w:t>谈判</w:t>
            </w:r>
            <w:r>
              <w:rPr>
                <w:rFonts w:hint="eastAsia" w:hAnsi="宋体" w:cs="宋体"/>
                <w:sz w:val="24"/>
              </w:rPr>
              <w:t>文件主要商务条款要求</w:t>
            </w:r>
          </w:p>
        </w:tc>
        <w:tc>
          <w:tcPr>
            <w:tcW w:w="2964" w:type="dxa"/>
            <w:tcBorders>
              <w:top w:val="single" w:color="000000" w:sz="6" w:space="0"/>
              <w:left w:val="nil"/>
              <w:bottom w:val="single" w:color="000000" w:sz="6" w:space="0"/>
              <w:right w:val="single" w:color="000000" w:sz="6" w:space="0"/>
            </w:tcBorders>
            <w:vAlign w:val="center"/>
          </w:tcPr>
          <w:p w14:paraId="1697959C">
            <w:pPr>
              <w:adjustRightInd w:val="0"/>
              <w:snapToGrid w:val="0"/>
              <w:jc w:val="center"/>
              <w:rPr>
                <w:rFonts w:hAnsi="宋体" w:cs="宋体"/>
                <w:sz w:val="24"/>
              </w:rPr>
            </w:pPr>
            <w:r>
              <w:rPr>
                <w:rFonts w:hint="eastAsia" w:hAnsi="宋体" w:cs="宋体"/>
                <w:sz w:val="24"/>
              </w:rPr>
              <w:t>响应文件商务响应</w:t>
            </w:r>
          </w:p>
        </w:tc>
        <w:tc>
          <w:tcPr>
            <w:tcW w:w="1346" w:type="dxa"/>
            <w:tcBorders>
              <w:top w:val="single" w:color="000000" w:sz="6" w:space="0"/>
              <w:left w:val="nil"/>
              <w:bottom w:val="single" w:color="000000" w:sz="6" w:space="0"/>
              <w:right w:val="single" w:color="000000" w:sz="6" w:space="0"/>
            </w:tcBorders>
            <w:vAlign w:val="center"/>
          </w:tcPr>
          <w:p w14:paraId="5CDD3D28">
            <w:pPr>
              <w:adjustRightInd w:val="0"/>
              <w:snapToGrid w:val="0"/>
              <w:jc w:val="center"/>
              <w:rPr>
                <w:rFonts w:hAnsi="宋体" w:cs="宋体"/>
                <w:sz w:val="24"/>
              </w:rPr>
            </w:pPr>
            <w:r>
              <w:rPr>
                <w:rFonts w:hint="eastAsia" w:hAnsi="宋体" w:cs="宋体"/>
                <w:sz w:val="24"/>
              </w:rPr>
              <w:t>偏离</w:t>
            </w:r>
          </w:p>
        </w:tc>
        <w:tc>
          <w:tcPr>
            <w:tcW w:w="1945" w:type="dxa"/>
            <w:tcBorders>
              <w:top w:val="single" w:color="000000" w:sz="6" w:space="0"/>
              <w:left w:val="nil"/>
              <w:bottom w:val="single" w:color="000000" w:sz="6" w:space="0"/>
              <w:right w:val="single" w:color="000000" w:sz="6" w:space="0"/>
            </w:tcBorders>
            <w:vAlign w:val="center"/>
          </w:tcPr>
          <w:p w14:paraId="0C57CE6D">
            <w:pPr>
              <w:adjustRightInd w:val="0"/>
              <w:snapToGrid w:val="0"/>
              <w:jc w:val="center"/>
              <w:rPr>
                <w:rFonts w:hAnsi="宋体" w:cs="宋体"/>
                <w:sz w:val="24"/>
              </w:rPr>
            </w:pPr>
            <w:r>
              <w:rPr>
                <w:rFonts w:hint="eastAsia" w:hAnsi="宋体" w:cs="宋体"/>
                <w:sz w:val="24"/>
              </w:rPr>
              <w:t>偏离说明</w:t>
            </w:r>
          </w:p>
        </w:tc>
      </w:tr>
      <w:tr w14:paraId="10BEBB4D">
        <w:tblPrEx>
          <w:tblCellMar>
            <w:top w:w="0" w:type="dxa"/>
            <w:left w:w="28" w:type="dxa"/>
            <w:bottom w:w="0" w:type="dxa"/>
            <w:right w:w="28" w:type="dxa"/>
          </w:tblCellMar>
        </w:tblPrEx>
        <w:trPr>
          <w:cantSplit/>
          <w:trHeight w:val="638" w:hRule="atLeast"/>
        </w:trPr>
        <w:tc>
          <w:tcPr>
            <w:tcW w:w="831" w:type="dxa"/>
            <w:tcBorders>
              <w:top w:val="single" w:color="auto" w:sz="4" w:space="0"/>
              <w:left w:val="single" w:color="auto" w:sz="4" w:space="0"/>
              <w:bottom w:val="single" w:color="auto" w:sz="4" w:space="0"/>
              <w:right w:val="single" w:color="000000" w:sz="6" w:space="0"/>
            </w:tcBorders>
            <w:vAlign w:val="center"/>
          </w:tcPr>
          <w:p w14:paraId="7C1B1E7B">
            <w:pPr>
              <w:adjustRightInd w:val="0"/>
              <w:snapToGrid w:val="0"/>
              <w:ind w:firstLine="612" w:firstLineChars="255"/>
              <w:jc w:val="center"/>
              <w:rPr>
                <w:rFonts w:hAnsi="宋体" w:cs="宋体"/>
                <w:sz w:val="24"/>
              </w:rPr>
            </w:pPr>
          </w:p>
        </w:tc>
        <w:tc>
          <w:tcPr>
            <w:tcW w:w="2432" w:type="dxa"/>
            <w:tcBorders>
              <w:top w:val="single" w:color="000000" w:sz="6" w:space="0"/>
              <w:left w:val="nil"/>
              <w:bottom w:val="single" w:color="000000" w:sz="6" w:space="0"/>
              <w:right w:val="single" w:color="000000" w:sz="6" w:space="0"/>
            </w:tcBorders>
          </w:tcPr>
          <w:p w14:paraId="1D412643">
            <w:pPr>
              <w:adjustRightInd w:val="0"/>
              <w:snapToGrid w:val="0"/>
              <w:spacing w:line="360" w:lineRule="auto"/>
              <w:ind w:firstLine="612" w:firstLineChars="255"/>
              <w:jc w:val="center"/>
              <w:rPr>
                <w:rFonts w:hAnsi="宋体" w:cs="宋体"/>
                <w:sz w:val="24"/>
              </w:rPr>
            </w:pPr>
          </w:p>
        </w:tc>
        <w:tc>
          <w:tcPr>
            <w:tcW w:w="2964" w:type="dxa"/>
            <w:tcBorders>
              <w:top w:val="single" w:color="000000" w:sz="6" w:space="0"/>
              <w:left w:val="nil"/>
              <w:bottom w:val="single" w:color="000000" w:sz="6" w:space="0"/>
              <w:right w:val="single" w:color="000000" w:sz="6" w:space="0"/>
            </w:tcBorders>
          </w:tcPr>
          <w:p w14:paraId="6EA6174C">
            <w:pPr>
              <w:adjustRightInd w:val="0"/>
              <w:snapToGrid w:val="0"/>
              <w:spacing w:line="360" w:lineRule="auto"/>
              <w:ind w:firstLine="612" w:firstLineChars="255"/>
              <w:jc w:val="center"/>
              <w:rPr>
                <w:rFonts w:hAnsi="宋体" w:cs="宋体"/>
                <w:sz w:val="24"/>
              </w:rPr>
            </w:pPr>
          </w:p>
        </w:tc>
        <w:tc>
          <w:tcPr>
            <w:tcW w:w="1346" w:type="dxa"/>
            <w:tcBorders>
              <w:top w:val="single" w:color="000000" w:sz="6" w:space="0"/>
              <w:left w:val="nil"/>
              <w:bottom w:val="single" w:color="000000" w:sz="6" w:space="0"/>
              <w:right w:val="single" w:color="000000" w:sz="6" w:space="0"/>
            </w:tcBorders>
          </w:tcPr>
          <w:p w14:paraId="13C0767D">
            <w:pPr>
              <w:adjustRightInd w:val="0"/>
              <w:snapToGrid w:val="0"/>
              <w:spacing w:line="360" w:lineRule="auto"/>
              <w:ind w:firstLine="612" w:firstLineChars="255"/>
              <w:jc w:val="center"/>
              <w:rPr>
                <w:rFonts w:hAnsi="宋体" w:cs="宋体"/>
                <w:sz w:val="24"/>
              </w:rPr>
            </w:pPr>
          </w:p>
        </w:tc>
        <w:tc>
          <w:tcPr>
            <w:tcW w:w="1945" w:type="dxa"/>
            <w:tcBorders>
              <w:top w:val="single" w:color="000000" w:sz="6" w:space="0"/>
              <w:left w:val="nil"/>
              <w:bottom w:val="single" w:color="000000" w:sz="6" w:space="0"/>
              <w:right w:val="single" w:color="000000" w:sz="6" w:space="0"/>
            </w:tcBorders>
          </w:tcPr>
          <w:p w14:paraId="49E04A77">
            <w:pPr>
              <w:adjustRightInd w:val="0"/>
              <w:snapToGrid w:val="0"/>
              <w:spacing w:line="360" w:lineRule="auto"/>
              <w:ind w:firstLine="612" w:firstLineChars="255"/>
              <w:jc w:val="center"/>
              <w:rPr>
                <w:rFonts w:hAnsi="宋体" w:cs="宋体"/>
                <w:sz w:val="24"/>
              </w:rPr>
            </w:pPr>
          </w:p>
        </w:tc>
      </w:tr>
      <w:tr w14:paraId="4B1DFF0B">
        <w:tblPrEx>
          <w:tblCellMar>
            <w:top w:w="0" w:type="dxa"/>
            <w:left w:w="28" w:type="dxa"/>
            <w:bottom w:w="0" w:type="dxa"/>
            <w:right w:w="28" w:type="dxa"/>
          </w:tblCellMar>
        </w:tblPrEx>
        <w:trPr>
          <w:cantSplit/>
          <w:trHeight w:val="639" w:hRule="atLeast"/>
        </w:trPr>
        <w:tc>
          <w:tcPr>
            <w:tcW w:w="831" w:type="dxa"/>
            <w:tcBorders>
              <w:top w:val="single" w:color="auto" w:sz="4" w:space="0"/>
              <w:left w:val="single" w:color="auto" w:sz="4" w:space="0"/>
              <w:bottom w:val="single" w:color="auto" w:sz="4" w:space="0"/>
              <w:right w:val="single" w:color="000000" w:sz="6" w:space="0"/>
            </w:tcBorders>
            <w:vAlign w:val="center"/>
          </w:tcPr>
          <w:p w14:paraId="005B75BF">
            <w:pPr>
              <w:adjustRightInd w:val="0"/>
              <w:snapToGrid w:val="0"/>
              <w:ind w:firstLine="612" w:firstLineChars="255"/>
              <w:jc w:val="center"/>
              <w:rPr>
                <w:rFonts w:hAnsi="宋体" w:cs="宋体"/>
                <w:sz w:val="24"/>
              </w:rPr>
            </w:pPr>
          </w:p>
        </w:tc>
        <w:tc>
          <w:tcPr>
            <w:tcW w:w="2432" w:type="dxa"/>
            <w:tcBorders>
              <w:top w:val="single" w:color="000000" w:sz="6" w:space="0"/>
              <w:left w:val="nil"/>
              <w:bottom w:val="single" w:color="000000" w:sz="6" w:space="0"/>
              <w:right w:val="single" w:color="000000" w:sz="6" w:space="0"/>
            </w:tcBorders>
          </w:tcPr>
          <w:p w14:paraId="45226645">
            <w:pPr>
              <w:adjustRightInd w:val="0"/>
              <w:snapToGrid w:val="0"/>
              <w:spacing w:line="360" w:lineRule="auto"/>
              <w:ind w:firstLine="612" w:firstLineChars="255"/>
              <w:jc w:val="center"/>
              <w:rPr>
                <w:rFonts w:hAnsi="宋体" w:cs="宋体"/>
                <w:sz w:val="24"/>
              </w:rPr>
            </w:pPr>
          </w:p>
        </w:tc>
        <w:tc>
          <w:tcPr>
            <w:tcW w:w="2964" w:type="dxa"/>
            <w:tcBorders>
              <w:top w:val="single" w:color="000000" w:sz="6" w:space="0"/>
              <w:left w:val="nil"/>
              <w:bottom w:val="single" w:color="000000" w:sz="6" w:space="0"/>
              <w:right w:val="single" w:color="000000" w:sz="6" w:space="0"/>
            </w:tcBorders>
          </w:tcPr>
          <w:p w14:paraId="20E76021">
            <w:pPr>
              <w:adjustRightInd w:val="0"/>
              <w:snapToGrid w:val="0"/>
              <w:spacing w:line="360" w:lineRule="auto"/>
              <w:ind w:firstLine="612" w:firstLineChars="255"/>
              <w:jc w:val="center"/>
              <w:rPr>
                <w:rFonts w:hAnsi="宋体" w:cs="宋体"/>
                <w:sz w:val="24"/>
              </w:rPr>
            </w:pPr>
          </w:p>
        </w:tc>
        <w:tc>
          <w:tcPr>
            <w:tcW w:w="1346" w:type="dxa"/>
            <w:tcBorders>
              <w:top w:val="single" w:color="000000" w:sz="6" w:space="0"/>
              <w:left w:val="nil"/>
              <w:bottom w:val="single" w:color="000000" w:sz="6" w:space="0"/>
              <w:right w:val="single" w:color="000000" w:sz="6" w:space="0"/>
            </w:tcBorders>
          </w:tcPr>
          <w:p w14:paraId="1E381864">
            <w:pPr>
              <w:adjustRightInd w:val="0"/>
              <w:snapToGrid w:val="0"/>
              <w:spacing w:line="360" w:lineRule="auto"/>
              <w:ind w:firstLine="612" w:firstLineChars="255"/>
              <w:jc w:val="center"/>
              <w:rPr>
                <w:rFonts w:hAnsi="宋体" w:cs="宋体"/>
                <w:sz w:val="24"/>
              </w:rPr>
            </w:pPr>
          </w:p>
        </w:tc>
        <w:tc>
          <w:tcPr>
            <w:tcW w:w="1945" w:type="dxa"/>
            <w:tcBorders>
              <w:top w:val="single" w:color="000000" w:sz="6" w:space="0"/>
              <w:left w:val="nil"/>
              <w:bottom w:val="single" w:color="000000" w:sz="6" w:space="0"/>
              <w:right w:val="single" w:color="000000" w:sz="6" w:space="0"/>
            </w:tcBorders>
          </w:tcPr>
          <w:p w14:paraId="7E6CD252">
            <w:pPr>
              <w:adjustRightInd w:val="0"/>
              <w:snapToGrid w:val="0"/>
              <w:spacing w:line="360" w:lineRule="auto"/>
              <w:ind w:firstLine="612" w:firstLineChars="255"/>
              <w:jc w:val="center"/>
              <w:rPr>
                <w:rFonts w:hAnsi="宋体" w:cs="宋体"/>
                <w:sz w:val="24"/>
              </w:rPr>
            </w:pPr>
          </w:p>
        </w:tc>
      </w:tr>
      <w:tr w14:paraId="5FB93F62">
        <w:tblPrEx>
          <w:tblCellMar>
            <w:top w:w="0" w:type="dxa"/>
            <w:left w:w="28" w:type="dxa"/>
            <w:bottom w:w="0" w:type="dxa"/>
            <w:right w:w="28" w:type="dxa"/>
          </w:tblCellMar>
        </w:tblPrEx>
        <w:trPr>
          <w:cantSplit/>
          <w:trHeight w:val="638" w:hRule="atLeast"/>
        </w:trPr>
        <w:tc>
          <w:tcPr>
            <w:tcW w:w="831" w:type="dxa"/>
            <w:tcBorders>
              <w:top w:val="single" w:color="auto" w:sz="4" w:space="0"/>
              <w:left w:val="single" w:color="auto" w:sz="4" w:space="0"/>
              <w:bottom w:val="single" w:color="auto" w:sz="4" w:space="0"/>
              <w:right w:val="single" w:color="000000" w:sz="6" w:space="0"/>
            </w:tcBorders>
            <w:vAlign w:val="center"/>
          </w:tcPr>
          <w:p w14:paraId="030394C8">
            <w:pPr>
              <w:adjustRightInd w:val="0"/>
              <w:snapToGrid w:val="0"/>
              <w:ind w:firstLine="612" w:firstLineChars="255"/>
              <w:jc w:val="center"/>
              <w:rPr>
                <w:rFonts w:hAnsi="宋体" w:cs="宋体"/>
                <w:sz w:val="24"/>
              </w:rPr>
            </w:pPr>
          </w:p>
        </w:tc>
        <w:tc>
          <w:tcPr>
            <w:tcW w:w="2432" w:type="dxa"/>
            <w:tcBorders>
              <w:top w:val="single" w:color="000000" w:sz="6" w:space="0"/>
              <w:left w:val="nil"/>
              <w:bottom w:val="single" w:color="000000" w:sz="6" w:space="0"/>
              <w:right w:val="single" w:color="000000" w:sz="6" w:space="0"/>
            </w:tcBorders>
          </w:tcPr>
          <w:p w14:paraId="14AE0174">
            <w:pPr>
              <w:adjustRightInd w:val="0"/>
              <w:snapToGrid w:val="0"/>
              <w:spacing w:line="360" w:lineRule="auto"/>
              <w:ind w:firstLine="612" w:firstLineChars="255"/>
              <w:jc w:val="center"/>
              <w:rPr>
                <w:rFonts w:hAnsi="宋体" w:cs="宋体"/>
                <w:sz w:val="24"/>
              </w:rPr>
            </w:pPr>
          </w:p>
        </w:tc>
        <w:tc>
          <w:tcPr>
            <w:tcW w:w="2964" w:type="dxa"/>
            <w:tcBorders>
              <w:top w:val="single" w:color="000000" w:sz="6" w:space="0"/>
              <w:left w:val="nil"/>
              <w:bottom w:val="single" w:color="000000" w:sz="6" w:space="0"/>
              <w:right w:val="single" w:color="000000" w:sz="6" w:space="0"/>
            </w:tcBorders>
          </w:tcPr>
          <w:p w14:paraId="75B31DB7">
            <w:pPr>
              <w:adjustRightInd w:val="0"/>
              <w:snapToGrid w:val="0"/>
              <w:spacing w:line="360" w:lineRule="auto"/>
              <w:ind w:firstLine="612" w:firstLineChars="255"/>
              <w:jc w:val="center"/>
              <w:rPr>
                <w:rFonts w:hAnsi="宋体" w:cs="宋体"/>
                <w:sz w:val="24"/>
              </w:rPr>
            </w:pPr>
          </w:p>
        </w:tc>
        <w:tc>
          <w:tcPr>
            <w:tcW w:w="1346" w:type="dxa"/>
            <w:tcBorders>
              <w:top w:val="single" w:color="000000" w:sz="6" w:space="0"/>
              <w:left w:val="nil"/>
              <w:bottom w:val="single" w:color="000000" w:sz="6" w:space="0"/>
              <w:right w:val="single" w:color="000000" w:sz="6" w:space="0"/>
            </w:tcBorders>
          </w:tcPr>
          <w:p w14:paraId="2425ADFF">
            <w:pPr>
              <w:adjustRightInd w:val="0"/>
              <w:snapToGrid w:val="0"/>
              <w:spacing w:line="360" w:lineRule="auto"/>
              <w:ind w:firstLine="612" w:firstLineChars="255"/>
              <w:jc w:val="center"/>
              <w:rPr>
                <w:rFonts w:hAnsi="宋体" w:cs="宋体"/>
                <w:sz w:val="24"/>
              </w:rPr>
            </w:pPr>
          </w:p>
        </w:tc>
        <w:tc>
          <w:tcPr>
            <w:tcW w:w="1945" w:type="dxa"/>
            <w:tcBorders>
              <w:top w:val="single" w:color="000000" w:sz="6" w:space="0"/>
              <w:left w:val="nil"/>
              <w:bottom w:val="single" w:color="000000" w:sz="6" w:space="0"/>
              <w:right w:val="single" w:color="000000" w:sz="6" w:space="0"/>
            </w:tcBorders>
          </w:tcPr>
          <w:p w14:paraId="4DAA9870">
            <w:pPr>
              <w:adjustRightInd w:val="0"/>
              <w:snapToGrid w:val="0"/>
              <w:spacing w:line="360" w:lineRule="auto"/>
              <w:ind w:firstLine="612" w:firstLineChars="255"/>
              <w:jc w:val="center"/>
              <w:rPr>
                <w:rFonts w:hAnsi="宋体" w:cs="宋体"/>
                <w:sz w:val="24"/>
              </w:rPr>
            </w:pPr>
          </w:p>
        </w:tc>
      </w:tr>
      <w:tr w14:paraId="18EB5048">
        <w:tblPrEx>
          <w:tblCellMar>
            <w:top w:w="0" w:type="dxa"/>
            <w:left w:w="28" w:type="dxa"/>
            <w:bottom w:w="0" w:type="dxa"/>
            <w:right w:w="28" w:type="dxa"/>
          </w:tblCellMar>
        </w:tblPrEx>
        <w:trPr>
          <w:cantSplit/>
          <w:trHeight w:val="639" w:hRule="atLeast"/>
        </w:trPr>
        <w:tc>
          <w:tcPr>
            <w:tcW w:w="831" w:type="dxa"/>
            <w:tcBorders>
              <w:top w:val="single" w:color="auto" w:sz="4" w:space="0"/>
              <w:left w:val="single" w:color="auto" w:sz="4" w:space="0"/>
              <w:bottom w:val="single" w:color="auto" w:sz="4" w:space="0"/>
              <w:right w:val="single" w:color="000000" w:sz="6" w:space="0"/>
            </w:tcBorders>
            <w:vAlign w:val="center"/>
          </w:tcPr>
          <w:p w14:paraId="71074FC4">
            <w:pPr>
              <w:adjustRightInd w:val="0"/>
              <w:snapToGrid w:val="0"/>
              <w:ind w:firstLine="612" w:firstLineChars="255"/>
              <w:jc w:val="center"/>
              <w:rPr>
                <w:rFonts w:hAnsi="宋体" w:cs="宋体"/>
                <w:sz w:val="24"/>
              </w:rPr>
            </w:pPr>
          </w:p>
        </w:tc>
        <w:tc>
          <w:tcPr>
            <w:tcW w:w="2432" w:type="dxa"/>
            <w:tcBorders>
              <w:top w:val="single" w:color="000000" w:sz="6" w:space="0"/>
              <w:left w:val="nil"/>
              <w:bottom w:val="single" w:color="000000" w:sz="6" w:space="0"/>
              <w:right w:val="single" w:color="000000" w:sz="6" w:space="0"/>
            </w:tcBorders>
          </w:tcPr>
          <w:p w14:paraId="19AC4441">
            <w:pPr>
              <w:adjustRightInd w:val="0"/>
              <w:snapToGrid w:val="0"/>
              <w:spacing w:line="360" w:lineRule="auto"/>
              <w:ind w:firstLine="612" w:firstLineChars="255"/>
              <w:jc w:val="center"/>
              <w:rPr>
                <w:rFonts w:hAnsi="宋体" w:cs="宋体"/>
                <w:sz w:val="24"/>
              </w:rPr>
            </w:pPr>
          </w:p>
        </w:tc>
        <w:tc>
          <w:tcPr>
            <w:tcW w:w="2964" w:type="dxa"/>
            <w:tcBorders>
              <w:top w:val="single" w:color="000000" w:sz="6" w:space="0"/>
              <w:left w:val="nil"/>
              <w:bottom w:val="single" w:color="000000" w:sz="6" w:space="0"/>
              <w:right w:val="single" w:color="000000" w:sz="6" w:space="0"/>
            </w:tcBorders>
          </w:tcPr>
          <w:p w14:paraId="7ABB6186">
            <w:pPr>
              <w:adjustRightInd w:val="0"/>
              <w:snapToGrid w:val="0"/>
              <w:spacing w:line="360" w:lineRule="auto"/>
              <w:ind w:firstLine="612" w:firstLineChars="255"/>
              <w:jc w:val="center"/>
              <w:rPr>
                <w:rFonts w:hAnsi="宋体" w:cs="宋体"/>
                <w:sz w:val="24"/>
              </w:rPr>
            </w:pPr>
          </w:p>
        </w:tc>
        <w:tc>
          <w:tcPr>
            <w:tcW w:w="1346" w:type="dxa"/>
            <w:tcBorders>
              <w:top w:val="single" w:color="000000" w:sz="6" w:space="0"/>
              <w:left w:val="nil"/>
              <w:bottom w:val="single" w:color="000000" w:sz="6" w:space="0"/>
              <w:right w:val="single" w:color="000000" w:sz="6" w:space="0"/>
            </w:tcBorders>
          </w:tcPr>
          <w:p w14:paraId="2158712C">
            <w:pPr>
              <w:adjustRightInd w:val="0"/>
              <w:snapToGrid w:val="0"/>
              <w:spacing w:line="360" w:lineRule="auto"/>
              <w:ind w:firstLine="612" w:firstLineChars="255"/>
              <w:jc w:val="center"/>
              <w:rPr>
                <w:rFonts w:hAnsi="宋体" w:cs="宋体"/>
                <w:sz w:val="24"/>
              </w:rPr>
            </w:pPr>
          </w:p>
        </w:tc>
        <w:tc>
          <w:tcPr>
            <w:tcW w:w="1945" w:type="dxa"/>
            <w:tcBorders>
              <w:top w:val="single" w:color="000000" w:sz="6" w:space="0"/>
              <w:left w:val="nil"/>
              <w:bottom w:val="single" w:color="000000" w:sz="6" w:space="0"/>
              <w:right w:val="single" w:color="000000" w:sz="6" w:space="0"/>
            </w:tcBorders>
          </w:tcPr>
          <w:p w14:paraId="5F395E9F">
            <w:pPr>
              <w:adjustRightInd w:val="0"/>
              <w:snapToGrid w:val="0"/>
              <w:spacing w:line="360" w:lineRule="auto"/>
              <w:ind w:firstLine="612" w:firstLineChars="255"/>
              <w:jc w:val="center"/>
              <w:rPr>
                <w:rFonts w:hAnsi="宋体" w:cs="宋体"/>
                <w:sz w:val="24"/>
              </w:rPr>
            </w:pPr>
          </w:p>
        </w:tc>
      </w:tr>
      <w:tr w14:paraId="5DA0485C">
        <w:tblPrEx>
          <w:tblCellMar>
            <w:top w:w="0" w:type="dxa"/>
            <w:left w:w="28" w:type="dxa"/>
            <w:bottom w:w="0" w:type="dxa"/>
            <w:right w:w="28" w:type="dxa"/>
          </w:tblCellMar>
        </w:tblPrEx>
        <w:trPr>
          <w:cantSplit/>
          <w:trHeight w:val="638" w:hRule="atLeast"/>
        </w:trPr>
        <w:tc>
          <w:tcPr>
            <w:tcW w:w="831" w:type="dxa"/>
            <w:tcBorders>
              <w:top w:val="single" w:color="auto" w:sz="4" w:space="0"/>
              <w:left w:val="single" w:color="auto" w:sz="4" w:space="0"/>
              <w:bottom w:val="single" w:color="auto" w:sz="4" w:space="0"/>
              <w:right w:val="single" w:color="000000" w:sz="6" w:space="0"/>
            </w:tcBorders>
            <w:vAlign w:val="center"/>
          </w:tcPr>
          <w:p w14:paraId="3FD37DE2">
            <w:pPr>
              <w:adjustRightInd w:val="0"/>
              <w:snapToGrid w:val="0"/>
              <w:ind w:firstLine="612" w:firstLineChars="255"/>
              <w:jc w:val="center"/>
              <w:rPr>
                <w:rFonts w:hAnsi="宋体" w:cs="宋体"/>
                <w:sz w:val="24"/>
              </w:rPr>
            </w:pPr>
          </w:p>
        </w:tc>
        <w:tc>
          <w:tcPr>
            <w:tcW w:w="2432" w:type="dxa"/>
            <w:tcBorders>
              <w:top w:val="single" w:color="000000" w:sz="6" w:space="0"/>
              <w:left w:val="nil"/>
              <w:bottom w:val="single" w:color="000000" w:sz="6" w:space="0"/>
              <w:right w:val="single" w:color="000000" w:sz="6" w:space="0"/>
            </w:tcBorders>
          </w:tcPr>
          <w:p w14:paraId="35B3E4CA">
            <w:pPr>
              <w:adjustRightInd w:val="0"/>
              <w:snapToGrid w:val="0"/>
              <w:spacing w:line="360" w:lineRule="auto"/>
              <w:ind w:firstLine="612" w:firstLineChars="255"/>
              <w:jc w:val="center"/>
              <w:rPr>
                <w:rFonts w:hAnsi="宋体" w:cs="宋体"/>
                <w:sz w:val="24"/>
              </w:rPr>
            </w:pPr>
          </w:p>
        </w:tc>
        <w:tc>
          <w:tcPr>
            <w:tcW w:w="2964" w:type="dxa"/>
            <w:tcBorders>
              <w:top w:val="single" w:color="000000" w:sz="6" w:space="0"/>
              <w:left w:val="nil"/>
              <w:bottom w:val="single" w:color="000000" w:sz="6" w:space="0"/>
              <w:right w:val="single" w:color="000000" w:sz="6" w:space="0"/>
            </w:tcBorders>
          </w:tcPr>
          <w:p w14:paraId="3871FD22">
            <w:pPr>
              <w:adjustRightInd w:val="0"/>
              <w:snapToGrid w:val="0"/>
              <w:spacing w:line="360" w:lineRule="auto"/>
              <w:ind w:firstLine="612" w:firstLineChars="255"/>
              <w:jc w:val="center"/>
              <w:rPr>
                <w:rFonts w:hAnsi="宋体" w:cs="宋体"/>
                <w:sz w:val="24"/>
              </w:rPr>
            </w:pPr>
          </w:p>
        </w:tc>
        <w:tc>
          <w:tcPr>
            <w:tcW w:w="1346" w:type="dxa"/>
            <w:tcBorders>
              <w:top w:val="single" w:color="000000" w:sz="6" w:space="0"/>
              <w:left w:val="nil"/>
              <w:bottom w:val="single" w:color="000000" w:sz="6" w:space="0"/>
              <w:right w:val="single" w:color="000000" w:sz="6" w:space="0"/>
            </w:tcBorders>
          </w:tcPr>
          <w:p w14:paraId="0C952FF8">
            <w:pPr>
              <w:adjustRightInd w:val="0"/>
              <w:snapToGrid w:val="0"/>
              <w:spacing w:line="360" w:lineRule="auto"/>
              <w:ind w:firstLine="612" w:firstLineChars="255"/>
              <w:jc w:val="center"/>
              <w:rPr>
                <w:rFonts w:hAnsi="宋体" w:cs="宋体"/>
                <w:sz w:val="24"/>
              </w:rPr>
            </w:pPr>
          </w:p>
        </w:tc>
        <w:tc>
          <w:tcPr>
            <w:tcW w:w="1945" w:type="dxa"/>
            <w:tcBorders>
              <w:top w:val="single" w:color="000000" w:sz="6" w:space="0"/>
              <w:left w:val="nil"/>
              <w:bottom w:val="single" w:color="000000" w:sz="6" w:space="0"/>
              <w:right w:val="single" w:color="000000" w:sz="6" w:space="0"/>
            </w:tcBorders>
          </w:tcPr>
          <w:p w14:paraId="2972CC81">
            <w:pPr>
              <w:adjustRightInd w:val="0"/>
              <w:snapToGrid w:val="0"/>
              <w:spacing w:line="360" w:lineRule="auto"/>
              <w:ind w:firstLine="612" w:firstLineChars="255"/>
              <w:jc w:val="center"/>
              <w:rPr>
                <w:rFonts w:hAnsi="宋体" w:cs="宋体"/>
                <w:sz w:val="24"/>
              </w:rPr>
            </w:pPr>
          </w:p>
        </w:tc>
      </w:tr>
      <w:tr w14:paraId="0FDC1978">
        <w:tblPrEx>
          <w:tblCellMar>
            <w:top w:w="0" w:type="dxa"/>
            <w:left w:w="28" w:type="dxa"/>
            <w:bottom w:w="0" w:type="dxa"/>
            <w:right w:w="28" w:type="dxa"/>
          </w:tblCellMar>
        </w:tblPrEx>
        <w:trPr>
          <w:cantSplit/>
          <w:trHeight w:val="639" w:hRule="atLeast"/>
        </w:trPr>
        <w:tc>
          <w:tcPr>
            <w:tcW w:w="831" w:type="dxa"/>
            <w:tcBorders>
              <w:top w:val="single" w:color="auto" w:sz="4" w:space="0"/>
              <w:left w:val="single" w:color="auto" w:sz="4" w:space="0"/>
              <w:bottom w:val="single" w:color="auto" w:sz="4" w:space="0"/>
              <w:right w:val="single" w:color="000000" w:sz="6" w:space="0"/>
            </w:tcBorders>
            <w:vAlign w:val="center"/>
          </w:tcPr>
          <w:p w14:paraId="61B8BBAD">
            <w:pPr>
              <w:adjustRightInd w:val="0"/>
              <w:snapToGrid w:val="0"/>
              <w:ind w:firstLine="612" w:firstLineChars="255"/>
              <w:jc w:val="center"/>
              <w:rPr>
                <w:rFonts w:hAnsi="宋体" w:cs="宋体"/>
                <w:sz w:val="24"/>
              </w:rPr>
            </w:pPr>
          </w:p>
        </w:tc>
        <w:tc>
          <w:tcPr>
            <w:tcW w:w="2432" w:type="dxa"/>
            <w:tcBorders>
              <w:top w:val="single" w:color="000000" w:sz="6" w:space="0"/>
              <w:left w:val="nil"/>
              <w:bottom w:val="single" w:color="000000" w:sz="6" w:space="0"/>
              <w:right w:val="single" w:color="000000" w:sz="6" w:space="0"/>
            </w:tcBorders>
          </w:tcPr>
          <w:p w14:paraId="08466B47">
            <w:pPr>
              <w:adjustRightInd w:val="0"/>
              <w:snapToGrid w:val="0"/>
              <w:spacing w:line="360" w:lineRule="auto"/>
              <w:ind w:firstLine="612" w:firstLineChars="255"/>
              <w:jc w:val="center"/>
              <w:rPr>
                <w:rFonts w:hAnsi="宋体" w:cs="宋体"/>
                <w:sz w:val="24"/>
              </w:rPr>
            </w:pPr>
          </w:p>
        </w:tc>
        <w:tc>
          <w:tcPr>
            <w:tcW w:w="2964" w:type="dxa"/>
            <w:tcBorders>
              <w:top w:val="single" w:color="000000" w:sz="6" w:space="0"/>
              <w:left w:val="nil"/>
              <w:bottom w:val="single" w:color="000000" w:sz="6" w:space="0"/>
              <w:right w:val="single" w:color="000000" w:sz="6" w:space="0"/>
            </w:tcBorders>
          </w:tcPr>
          <w:p w14:paraId="2077BC68">
            <w:pPr>
              <w:adjustRightInd w:val="0"/>
              <w:snapToGrid w:val="0"/>
              <w:spacing w:line="360" w:lineRule="auto"/>
              <w:ind w:firstLine="612" w:firstLineChars="255"/>
              <w:jc w:val="center"/>
              <w:rPr>
                <w:rFonts w:hAnsi="宋体" w:cs="宋体"/>
                <w:sz w:val="24"/>
              </w:rPr>
            </w:pPr>
          </w:p>
        </w:tc>
        <w:tc>
          <w:tcPr>
            <w:tcW w:w="1346" w:type="dxa"/>
            <w:tcBorders>
              <w:top w:val="single" w:color="000000" w:sz="6" w:space="0"/>
              <w:left w:val="nil"/>
              <w:bottom w:val="single" w:color="000000" w:sz="6" w:space="0"/>
              <w:right w:val="single" w:color="000000" w:sz="6" w:space="0"/>
            </w:tcBorders>
          </w:tcPr>
          <w:p w14:paraId="64220FD0">
            <w:pPr>
              <w:adjustRightInd w:val="0"/>
              <w:snapToGrid w:val="0"/>
              <w:spacing w:line="360" w:lineRule="auto"/>
              <w:ind w:firstLine="612" w:firstLineChars="255"/>
              <w:jc w:val="center"/>
              <w:rPr>
                <w:rFonts w:hAnsi="宋体" w:cs="宋体"/>
                <w:sz w:val="24"/>
              </w:rPr>
            </w:pPr>
          </w:p>
        </w:tc>
        <w:tc>
          <w:tcPr>
            <w:tcW w:w="1945" w:type="dxa"/>
            <w:tcBorders>
              <w:top w:val="single" w:color="000000" w:sz="6" w:space="0"/>
              <w:left w:val="nil"/>
              <w:bottom w:val="single" w:color="000000" w:sz="6" w:space="0"/>
              <w:right w:val="single" w:color="000000" w:sz="6" w:space="0"/>
            </w:tcBorders>
          </w:tcPr>
          <w:p w14:paraId="65D9FE2A">
            <w:pPr>
              <w:adjustRightInd w:val="0"/>
              <w:snapToGrid w:val="0"/>
              <w:spacing w:line="360" w:lineRule="auto"/>
              <w:ind w:firstLine="612" w:firstLineChars="255"/>
              <w:jc w:val="center"/>
              <w:rPr>
                <w:rFonts w:hAnsi="宋体" w:cs="宋体"/>
                <w:sz w:val="24"/>
              </w:rPr>
            </w:pPr>
          </w:p>
        </w:tc>
      </w:tr>
      <w:tr w14:paraId="2E0477AA">
        <w:tblPrEx>
          <w:tblCellMar>
            <w:top w:w="0" w:type="dxa"/>
            <w:left w:w="28" w:type="dxa"/>
            <w:bottom w:w="0" w:type="dxa"/>
            <w:right w:w="28" w:type="dxa"/>
          </w:tblCellMar>
        </w:tblPrEx>
        <w:trPr>
          <w:cantSplit/>
          <w:trHeight w:val="638" w:hRule="atLeast"/>
        </w:trPr>
        <w:tc>
          <w:tcPr>
            <w:tcW w:w="831" w:type="dxa"/>
            <w:tcBorders>
              <w:top w:val="single" w:color="auto" w:sz="4" w:space="0"/>
              <w:left w:val="single" w:color="auto" w:sz="4" w:space="0"/>
              <w:bottom w:val="single" w:color="auto" w:sz="4" w:space="0"/>
              <w:right w:val="single" w:color="000000" w:sz="6" w:space="0"/>
            </w:tcBorders>
            <w:vAlign w:val="center"/>
          </w:tcPr>
          <w:p w14:paraId="0BB79342">
            <w:pPr>
              <w:adjustRightInd w:val="0"/>
              <w:snapToGrid w:val="0"/>
              <w:ind w:firstLine="612" w:firstLineChars="255"/>
              <w:jc w:val="center"/>
              <w:rPr>
                <w:rFonts w:hAnsi="宋体" w:cs="宋体"/>
                <w:sz w:val="24"/>
              </w:rPr>
            </w:pPr>
          </w:p>
        </w:tc>
        <w:tc>
          <w:tcPr>
            <w:tcW w:w="2432" w:type="dxa"/>
            <w:tcBorders>
              <w:top w:val="single" w:color="000000" w:sz="6" w:space="0"/>
              <w:left w:val="nil"/>
              <w:bottom w:val="single" w:color="000000" w:sz="6" w:space="0"/>
              <w:right w:val="single" w:color="000000" w:sz="6" w:space="0"/>
            </w:tcBorders>
          </w:tcPr>
          <w:p w14:paraId="6A82ADDB">
            <w:pPr>
              <w:adjustRightInd w:val="0"/>
              <w:snapToGrid w:val="0"/>
              <w:spacing w:line="360" w:lineRule="auto"/>
              <w:ind w:firstLine="612" w:firstLineChars="255"/>
              <w:jc w:val="center"/>
              <w:rPr>
                <w:rFonts w:hAnsi="宋体" w:cs="宋体"/>
                <w:sz w:val="24"/>
              </w:rPr>
            </w:pPr>
          </w:p>
        </w:tc>
        <w:tc>
          <w:tcPr>
            <w:tcW w:w="2964" w:type="dxa"/>
            <w:tcBorders>
              <w:top w:val="single" w:color="000000" w:sz="6" w:space="0"/>
              <w:left w:val="nil"/>
              <w:bottom w:val="single" w:color="000000" w:sz="6" w:space="0"/>
              <w:right w:val="single" w:color="000000" w:sz="6" w:space="0"/>
            </w:tcBorders>
          </w:tcPr>
          <w:p w14:paraId="447EC6B4">
            <w:pPr>
              <w:adjustRightInd w:val="0"/>
              <w:snapToGrid w:val="0"/>
              <w:spacing w:line="360" w:lineRule="auto"/>
              <w:ind w:firstLine="612" w:firstLineChars="255"/>
              <w:jc w:val="center"/>
              <w:rPr>
                <w:rFonts w:hAnsi="宋体" w:cs="宋体"/>
                <w:sz w:val="24"/>
              </w:rPr>
            </w:pPr>
          </w:p>
        </w:tc>
        <w:tc>
          <w:tcPr>
            <w:tcW w:w="1346" w:type="dxa"/>
            <w:tcBorders>
              <w:top w:val="single" w:color="000000" w:sz="6" w:space="0"/>
              <w:left w:val="nil"/>
              <w:bottom w:val="single" w:color="000000" w:sz="6" w:space="0"/>
              <w:right w:val="single" w:color="000000" w:sz="6" w:space="0"/>
            </w:tcBorders>
          </w:tcPr>
          <w:p w14:paraId="6399D956">
            <w:pPr>
              <w:adjustRightInd w:val="0"/>
              <w:snapToGrid w:val="0"/>
              <w:spacing w:line="360" w:lineRule="auto"/>
              <w:ind w:firstLine="612" w:firstLineChars="255"/>
              <w:jc w:val="center"/>
              <w:rPr>
                <w:rFonts w:hAnsi="宋体" w:cs="宋体"/>
                <w:sz w:val="24"/>
              </w:rPr>
            </w:pPr>
          </w:p>
        </w:tc>
        <w:tc>
          <w:tcPr>
            <w:tcW w:w="1945" w:type="dxa"/>
            <w:tcBorders>
              <w:top w:val="single" w:color="000000" w:sz="6" w:space="0"/>
              <w:left w:val="nil"/>
              <w:bottom w:val="single" w:color="000000" w:sz="6" w:space="0"/>
              <w:right w:val="single" w:color="000000" w:sz="6" w:space="0"/>
            </w:tcBorders>
          </w:tcPr>
          <w:p w14:paraId="040F45C6">
            <w:pPr>
              <w:adjustRightInd w:val="0"/>
              <w:snapToGrid w:val="0"/>
              <w:spacing w:line="360" w:lineRule="auto"/>
              <w:ind w:firstLine="612" w:firstLineChars="255"/>
              <w:jc w:val="center"/>
              <w:rPr>
                <w:rFonts w:hAnsi="宋体" w:cs="宋体"/>
                <w:sz w:val="24"/>
              </w:rPr>
            </w:pPr>
          </w:p>
        </w:tc>
      </w:tr>
      <w:tr w14:paraId="0AE617B3">
        <w:tblPrEx>
          <w:tblCellMar>
            <w:top w:w="0" w:type="dxa"/>
            <w:left w:w="28" w:type="dxa"/>
            <w:bottom w:w="0" w:type="dxa"/>
            <w:right w:w="28" w:type="dxa"/>
          </w:tblCellMar>
        </w:tblPrEx>
        <w:trPr>
          <w:cantSplit/>
          <w:trHeight w:val="696" w:hRule="atLeast"/>
        </w:trPr>
        <w:tc>
          <w:tcPr>
            <w:tcW w:w="831" w:type="dxa"/>
            <w:tcBorders>
              <w:top w:val="single" w:color="auto" w:sz="4" w:space="0"/>
              <w:left w:val="single" w:color="auto" w:sz="4" w:space="0"/>
              <w:bottom w:val="single" w:color="auto" w:sz="4" w:space="0"/>
              <w:right w:val="single" w:color="000000" w:sz="6" w:space="0"/>
            </w:tcBorders>
            <w:vAlign w:val="center"/>
          </w:tcPr>
          <w:p w14:paraId="1D17B3AA">
            <w:pPr>
              <w:adjustRightInd w:val="0"/>
              <w:snapToGrid w:val="0"/>
              <w:ind w:firstLine="612" w:firstLineChars="255"/>
              <w:jc w:val="center"/>
              <w:rPr>
                <w:rFonts w:hAnsi="宋体" w:cs="宋体"/>
                <w:sz w:val="24"/>
              </w:rPr>
            </w:pPr>
          </w:p>
        </w:tc>
        <w:tc>
          <w:tcPr>
            <w:tcW w:w="2432" w:type="dxa"/>
            <w:tcBorders>
              <w:top w:val="single" w:color="000000" w:sz="6" w:space="0"/>
              <w:left w:val="nil"/>
              <w:bottom w:val="single" w:color="000000" w:sz="6" w:space="0"/>
              <w:right w:val="single" w:color="000000" w:sz="6" w:space="0"/>
            </w:tcBorders>
          </w:tcPr>
          <w:p w14:paraId="384B1589">
            <w:pPr>
              <w:adjustRightInd w:val="0"/>
              <w:snapToGrid w:val="0"/>
              <w:spacing w:line="360" w:lineRule="auto"/>
              <w:ind w:firstLine="612" w:firstLineChars="255"/>
              <w:jc w:val="center"/>
              <w:rPr>
                <w:rFonts w:hAnsi="宋体" w:cs="宋体"/>
                <w:sz w:val="24"/>
              </w:rPr>
            </w:pPr>
          </w:p>
        </w:tc>
        <w:tc>
          <w:tcPr>
            <w:tcW w:w="2964" w:type="dxa"/>
            <w:tcBorders>
              <w:top w:val="single" w:color="000000" w:sz="6" w:space="0"/>
              <w:left w:val="nil"/>
              <w:bottom w:val="single" w:color="000000" w:sz="6" w:space="0"/>
              <w:right w:val="single" w:color="000000" w:sz="6" w:space="0"/>
            </w:tcBorders>
          </w:tcPr>
          <w:p w14:paraId="63CAF2B0">
            <w:pPr>
              <w:adjustRightInd w:val="0"/>
              <w:snapToGrid w:val="0"/>
              <w:spacing w:line="360" w:lineRule="auto"/>
              <w:ind w:firstLine="612" w:firstLineChars="255"/>
              <w:jc w:val="center"/>
              <w:rPr>
                <w:rFonts w:hAnsi="宋体" w:cs="宋体"/>
                <w:sz w:val="24"/>
              </w:rPr>
            </w:pPr>
          </w:p>
        </w:tc>
        <w:tc>
          <w:tcPr>
            <w:tcW w:w="1346" w:type="dxa"/>
            <w:tcBorders>
              <w:top w:val="single" w:color="000000" w:sz="6" w:space="0"/>
              <w:left w:val="nil"/>
              <w:bottom w:val="single" w:color="000000" w:sz="6" w:space="0"/>
              <w:right w:val="single" w:color="000000" w:sz="6" w:space="0"/>
            </w:tcBorders>
          </w:tcPr>
          <w:p w14:paraId="1B5852A6">
            <w:pPr>
              <w:adjustRightInd w:val="0"/>
              <w:snapToGrid w:val="0"/>
              <w:spacing w:line="360" w:lineRule="auto"/>
              <w:ind w:firstLine="612" w:firstLineChars="255"/>
              <w:jc w:val="center"/>
              <w:rPr>
                <w:rFonts w:hAnsi="宋体" w:cs="宋体"/>
                <w:sz w:val="24"/>
              </w:rPr>
            </w:pPr>
          </w:p>
        </w:tc>
        <w:tc>
          <w:tcPr>
            <w:tcW w:w="1945" w:type="dxa"/>
            <w:tcBorders>
              <w:top w:val="single" w:color="000000" w:sz="6" w:space="0"/>
              <w:left w:val="nil"/>
              <w:bottom w:val="single" w:color="000000" w:sz="6" w:space="0"/>
              <w:right w:val="single" w:color="000000" w:sz="6" w:space="0"/>
            </w:tcBorders>
          </w:tcPr>
          <w:p w14:paraId="192C9EE5">
            <w:pPr>
              <w:adjustRightInd w:val="0"/>
              <w:snapToGrid w:val="0"/>
              <w:spacing w:line="360" w:lineRule="auto"/>
              <w:ind w:firstLine="612" w:firstLineChars="255"/>
              <w:jc w:val="center"/>
              <w:rPr>
                <w:rFonts w:hAnsi="宋体" w:cs="宋体"/>
                <w:sz w:val="24"/>
              </w:rPr>
            </w:pPr>
          </w:p>
        </w:tc>
      </w:tr>
    </w:tbl>
    <w:p w14:paraId="5E2157C2">
      <w:pPr>
        <w:spacing w:line="360" w:lineRule="auto"/>
        <w:ind w:firstLine="516" w:firstLineChars="215"/>
        <w:jc w:val="left"/>
        <w:rPr>
          <w:rFonts w:hAnsi="宋体" w:cs="宋体"/>
          <w:sz w:val="24"/>
        </w:rPr>
      </w:pPr>
      <w:r>
        <w:rPr>
          <w:rFonts w:hint="eastAsia" w:hAnsi="宋体" w:cs="宋体"/>
          <w:sz w:val="24"/>
        </w:rPr>
        <w:t>说明：</w:t>
      </w:r>
    </w:p>
    <w:p w14:paraId="168B6BBB">
      <w:pPr>
        <w:spacing w:line="360" w:lineRule="auto"/>
        <w:ind w:firstLine="516" w:firstLineChars="215"/>
        <w:jc w:val="left"/>
        <w:rPr>
          <w:rFonts w:hAnsi="宋体" w:cs="宋体"/>
          <w:sz w:val="24"/>
        </w:rPr>
      </w:pPr>
      <w:r>
        <w:rPr>
          <w:rFonts w:hint="eastAsia" w:hAnsi="宋体" w:cs="宋体"/>
          <w:sz w:val="24"/>
        </w:rPr>
        <w:t>1.偏离填写：正偏离、负偏离、无偏离。偏离说明对偏离情况做出详细说明。</w:t>
      </w:r>
    </w:p>
    <w:p w14:paraId="457BD6EE">
      <w:pPr>
        <w:spacing w:line="360" w:lineRule="auto"/>
        <w:ind w:firstLine="516" w:firstLineChars="215"/>
        <w:jc w:val="left"/>
        <w:rPr>
          <w:rFonts w:hAnsi="宋体" w:cs="宋体"/>
          <w:sz w:val="24"/>
        </w:rPr>
      </w:pPr>
      <w:r>
        <w:rPr>
          <w:rFonts w:hint="eastAsia" w:hAnsi="宋体" w:cs="宋体"/>
          <w:sz w:val="24"/>
        </w:rPr>
        <w:t>2.表格不够用，各供应商可按此表复制。</w:t>
      </w:r>
    </w:p>
    <w:p w14:paraId="0A041BCE">
      <w:pPr>
        <w:spacing w:line="360" w:lineRule="auto"/>
        <w:ind w:firstLine="516" w:firstLineChars="215"/>
        <w:jc w:val="left"/>
        <w:rPr>
          <w:rFonts w:hAnsi="宋体" w:cs="宋体"/>
          <w:sz w:val="24"/>
        </w:rPr>
      </w:pPr>
      <w:r>
        <w:rPr>
          <w:rFonts w:hint="eastAsia" w:hAnsi="宋体" w:cs="宋体"/>
          <w:sz w:val="24"/>
        </w:rPr>
        <w:t>3.</w:t>
      </w:r>
      <w:r>
        <w:rPr>
          <w:rFonts w:hint="eastAsia" w:hAnsi="宋体" w:cs="宋体"/>
          <w:sz w:val="24"/>
          <w:szCs w:val="21"/>
        </w:rPr>
        <w:t>本表须对</w:t>
      </w:r>
      <w:r>
        <w:rPr>
          <w:rFonts w:hint="eastAsia" w:hAnsi="宋体" w:cs="宋体"/>
          <w:sz w:val="24"/>
          <w:lang w:eastAsia="zh-CN"/>
        </w:rPr>
        <w:t>谈判</w:t>
      </w:r>
      <w:r>
        <w:rPr>
          <w:rFonts w:hint="eastAsia" w:hAnsi="宋体" w:cs="宋体"/>
          <w:sz w:val="24"/>
        </w:rPr>
        <w:t>文件“第</w:t>
      </w:r>
      <w:r>
        <w:rPr>
          <w:rFonts w:hint="eastAsia" w:hAnsi="宋体" w:cs="宋体"/>
          <w:sz w:val="24"/>
          <w:lang w:eastAsia="zh-CN"/>
        </w:rPr>
        <w:t>三</w:t>
      </w:r>
      <w:r>
        <w:rPr>
          <w:rFonts w:hint="eastAsia" w:hAnsi="宋体" w:cs="宋体"/>
          <w:sz w:val="24"/>
        </w:rPr>
        <w:t>章 主要商务条款”</w:t>
      </w:r>
      <w:r>
        <w:rPr>
          <w:rFonts w:hint="eastAsia" w:hAnsi="宋体" w:cs="宋体"/>
          <w:sz w:val="24"/>
          <w:szCs w:val="21"/>
        </w:rPr>
        <w:t>中的</w:t>
      </w:r>
      <w:r>
        <w:rPr>
          <w:rFonts w:hint="eastAsia" w:hAnsi="宋体" w:cs="宋体"/>
          <w:sz w:val="24"/>
        </w:rPr>
        <w:t>相关内容</w:t>
      </w:r>
      <w:r>
        <w:rPr>
          <w:rFonts w:hint="eastAsia" w:hAnsi="宋体" w:cs="宋体"/>
          <w:sz w:val="24"/>
          <w:szCs w:val="21"/>
        </w:rPr>
        <w:t>按照顺序逐项填写不得空缺。</w:t>
      </w:r>
    </w:p>
    <w:p w14:paraId="42869194">
      <w:pPr>
        <w:spacing w:line="360" w:lineRule="auto"/>
        <w:ind w:firstLine="516" w:firstLineChars="215"/>
        <w:jc w:val="left"/>
        <w:rPr>
          <w:rFonts w:hAnsi="宋体" w:cs="宋体"/>
          <w:sz w:val="24"/>
        </w:rPr>
      </w:pPr>
      <w:r>
        <w:rPr>
          <w:rFonts w:hint="eastAsia" w:hAnsi="宋体" w:cs="宋体"/>
          <w:sz w:val="24"/>
        </w:rPr>
        <w:t>4.供应商必须据实填写，不得虚假响应，否则将取消其</w:t>
      </w:r>
      <w:r>
        <w:rPr>
          <w:rFonts w:hint="eastAsia" w:hAnsi="宋体" w:cs="宋体"/>
          <w:sz w:val="24"/>
          <w:lang w:eastAsia="zh-CN"/>
        </w:rPr>
        <w:t>谈判</w:t>
      </w:r>
      <w:r>
        <w:rPr>
          <w:rFonts w:hint="eastAsia" w:hAnsi="宋体" w:cs="宋体"/>
          <w:sz w:val="24"/>
        </w:rPr>
        <w:t>或成交资格，并按有关规定进行处罚。</w:t>
      </w:r>
    </w:p>
    <w:p w14:paraId="0F5504B3">
      <w:pPr>
        <w:adjustRightInd w:val="0"/>
        <w:snapToGrid w:val="0"/>
        <w:spacing w:line="360" w:lineRule="auto"/>
        <w:jc w:val="left"/>
        <w:rPr>
          <w:rFonts w:hint="eastAsia" w:hAnsi="宋体" w:cs="宋体"/>
          <w:sz w:val="24"/>
        </w:rPr>
      </w:pPr>
    </w:p>
    <w:p w14:paraId="22FB8C02">
      <w:pPr>
        <w:adjustRightInd w:val="0"/>
        <w:snapToGrid w:val="0"/>
        <w:spacing w:line="360" w:lineRule="auto"/>
        <w:jc w:val="left"/>
      </w:pPr>
      <w:r>
        <w:rPr>
          <w:rFonts w:hint="eastAsia" w:hAnsi="宋体" w:cs="宋体"/>
          <w:sz w:val="24"/>
        </w:rPr>
        <w:t>供应商（公章）：</w:t>
      </w:r>
      <w:r>
        <w:rPr>
          <w:rFonts w:hint="eastAsia" w:hAnsi="宋体" w:cs="宋体"/>
          <w:sz w:val="24"/>
          <w:u w:val="single"/>
        </w:rPr>
        <w:t xml:space="preserve">                         </w:t>
      </w:r>
    </w:p>
    <w:p w14:paraId="54BED849">
      <w:pPr>
        <w:adjustRightInd w:val="0"/>
        <w:snapToGrid w:val="0"/>
        <w:spacing w:line="360" w:lineRule="auto"/>
        <w:jc w:val="left"/>
        <w:rPr>
          <w:rFonts w:hAnsi="宋体" w:cs="宋体"/>
          <w:sz w:val="24"/>
          <w:u w:val="single"/>
        </w:rPr>
      </w:pPr>
      <w:r>
        <w:rPr>
          <w:rFonts w:hint="eastAsia" w:hAnsi="宋体" w:cs="宋体"/>
          <w:sz w:val="24"/>
        </w:rPr>
        <w:t>法定代表人或授权代表（签字</w:t>
      </w:r>
      <w:r>
        <w:rPr>
          <w:rFonts w:hint="eastAsia" w:hAnsi="宋体" w:cs="宋体"/>
          <w:sz w:val="24"/>
          <w:lang w:val="en-US" w:eastAsia="zh-CN"/>
        </w:rPr>
        <w:t>或盖章</w:t>
      </w:r>
      <w:r>
        <w:rPr>
          <w:rFonts w:hint="eastAsia" w:hAnsi="宋体" w:cs="宋体"/>
          <w:sz w:val="24"/>
        </w:rPr>
        <w:t>）：</w:t>
      </w:r>
      <w:r>
        <w:rPr>
          <w:rFonts w:hint="eastAsia" w:hAnsi="宋体" w:cs="宋体"/>
          <w:sz w:val="24"/>
          <w:u w:val="single"/>
        </w:rPr>
        <w:t xml:space="preserve">           </w:t>
      </w:r>
    </w:p>
    <w:p w14:paraId="613DEA31">
      <w:pPr>
        <w:adjustRightInd w:val="0"/>
        <w:snapToGrid w:val="0"/>
        <w:spacing w:line="360" w:lineRule="auto"/>
        <w:jc w:val="left"/>
        <w:rPr>
          <w:rFonts w:hAnsi="宋体" w:cs="宋体"/>
          <w:b/>
          <w:bCs/>
          <w:sz w:val="32"/>
          <w:szCs w:val="32"/>
        </w:rPr>
      </w:pPr>
      <w:r>
        <w:rPr>
          <w:rFonts w:hint="eastAsia" w:hAnsi="宋体" w:cs="宋体"/>
          <w:sz w:val="24"/>
        </w:rPr>
        <w:t>日    期：</w:t>
      </w:r>
      <w:r>
        <w:rPr>
          <w:rFonts w:hint="eastAsia" w:hAnsi="宋体" w:cs="宋体"/>
          <w:sz w:val="24"/>
          <w:u w:val="single"/>
        </w:rPr>
        <w:t xml:space="preserve">                               </w:t>
      </w:r>
    </w:p>
    <w:p w14:paraId="38190D40">
      <w:pPr>
        <w:pStyle w:val="4"/>
        <w:keepNext w:val="0"/>
        <w:keepLines w:val="0"/>
        <w:spacing w:before="0" w:after="120" w:afterLines="50" w:line="360" w:lineRule="auto"/>
        <w:ind w:firstLine="614" w:firstLineChars="255"/>
        <w:jc w:val="center"/>
        <w:rPr>
          <w:rFonts w:hAnsi="宋体" w:cs="宋体"/>
          <w:bCs/>
          <w:sz w:val="24"/>
        </w:rPr>
      </w:pPr>
      <w:r>
        <w:rPr>
          <w:rFonts w:hAnsi="宋体" w:cs="宋体"/>
          <w:bCs/>
          <w:sz w:val="24"/>
        </w:rPr>
        <w:br w:type="page"/>
      </w:r>
      <w:bookmarkEnd w:id="144"/>
      <w:bookmarkEnd w:id="145"/>
      <w:bookmarkEnd w:id="146"/>
      <w:bookmarkEnd w:id="147"/>
      <w:bookmarkStart w:id="152" w:name="_Toc30346"/>
      <w:bookmarkStart w:id="153" w:name="_Toc9563"/>
    </w:p>
    <w:p w14:paraId="0A2EFF8D">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五、技术规格响应偏离表</w:t>
      </w:r>
    </w:p>
    <w:tbl>
      <w:tblPr>
        <w:tblStyle w:val="138"/>
        <w:tblW w:w="90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2874"/>
        <w:gridCol w:w="3228"/>
        <w:gridCol w:w="1139"/>
        <w:gridCol w:w="937"/>
      </w:tblGrid>
      <w:tr w14:paraId="1773A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48" w:type="dxa"/>
            <w:vAlign w:val="center"/>
          </w:tcPr>
          <w:p w14:paraId="1CD8ECFF">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74" w:type="dxa"/>
            <w:vAlign w:val="center"/>
          </w:tcPr>
          <w:p w14:paraId="6831C77B">
            <w:pPr>
              <w:bidi w:val="0"/>
              <w:jc w:val="center"/>
              <w:rPr>
                <w:rFonts w:hint="eastAsia" w:ascii="宋体" w:hAnsi="宋体" w:eastAsia="宋体" w:cs="宋体"/>
                <w:sz w:val="24"/>
                <w:szCs w:val="24"/>
              </w:rPr>
            </w:pPr>
            <w:r>
              <w:rPr>
                <w:rFonts w:hint="eastAsia" w:ascii="宋体" w:hAnsi="宋体" w:eastAsia="宋体" w:cs="宋体"/>
                <w:sz w:val="24"/>
                <w:szCs w:val="24"/>
              </w:rPr>
              <w:t>招标文件需求</w:t>
            </w:r>
          </w:p>
        </w:tc>
        <w:tc>
          <w:tcPr>
            <w:tcW w:w="3228" w:type="dxa"/>
            <w:vAlign w:val="center"/>
          </w:tcPr>
          <w:p w14:paraId="34807239">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rPr>
              <w:t>投标文件</w:t>
            </w:r>
            <w:r>
              <w:rPr>
                <w:rFonts w:hint="eastAsia" w:ascii="宋体" w:hAnsi="宋体" w:eastAsia="宋体" w:cs="宋体"/>
                <w:sz w:val="24"/>
                <w:szCs w:val="24"/>
                <w:lang w:val="en-US" w:eastAsia="zh-CN"/>
              </w:rPr>
              <w:t>响应技术要求</w:t>
            </w:r>
          </w:p>
        </w:tc>
        <w:tc>
          <w:tcPr>
            <w:tcW w:w="1139" w:type="dxa"/>
            <w:vAlign w:val="center"/>
          </w:tcPr>
          <w:p w14:paraId="5ECB7619">
            <w:pPr>
              <w:bidi w:val="0"/>
              <w:jc w:val="center"/>
              <w:rPr>
                <w:rFonts w:hint="eastAsia" w:ascii="宋体" w:hAnsi="宋体" w:eastAsia="宋体" w:cs="宋体"/>
                <w:sz w:val="24"/>
                <w:szCs w:val="24"/>
              </w:rPr>
            </w:pPr>
            <w:r>
              <w:rPr>
                <w:rFonts w:hint="eastAsia" w:ascii="宋体" w:hAnsi="宋体" w:eastAsia="宋体" w:cs="宋体"/>
                <w:sz w:val="24"/>
                <w:szCs w:val="24"/>
              </w:rPr>
              <w:t>偏差度</w:t>
            </w:r>
          </w:p>
        </w:tc>
        <w:tc>
          <w:tcPr>
            <w:tcW w:w="937" w:type="dxa"/>
            <w:vAlign w:val="center"/>
          </w:tcPr>
          <w:p w14:paraId="4F3E2DBA">
            <w:pPr>
              <w:bidi w:val="0"/>
              <w:jc w:val="center"/>
              <w:rPr>
                <w:rFonts w:hint="eastAsia" w:ascii="宋体" w:hAnsi="宋体" w:eastAsia="宋体" w:cs="宋体"/>
                <w:sz w:val="24"/>
                <w:szCs w:val="24"/>
              </w:rPr>
            </w:pPr>
            <w:r>
              <w:rPr>
                <w:rFonts w:hint="eastAsia" w:ascii="宋体" w:hAnsi="宋体" w:eastAsia="宋体" w:cs="宋体"/>
                <w:sz w:val="24"/>
                <w:szCs w:val="24"/>
              </w:rPr>
              <w:t>说明</w:t>
            </w:r>
          </w:p>
        </w:tc>
      </w:tr>
      <w:tr w14:paraId="4575B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8" w:type="dxa"/>
            <w:vAlign w:val="top"/>
          </w:tcPr>
          <w:p w14:paraId="64C2AF80">
            <w:pPr>
              <w:bidi w:val="0"/>
              <w:rPr>
                <w:rFonts w:hint="eastAsia" w:ascii="宋体" w:hAnsi="宋体" w:eastAsia="宋体" w:cs="宋体"/>
                <w:sz w:val="24"/>
                <w:szCs w:val="24"/>
              </w:rPr>
            </w:pPr>
          </w:p>
        </w:tc>
        <w:tc>
          <w:tcPr>
            <w:tcW w:w="2874" w:type="dxa"/>
            <w:vAlign w:val="top"/>
          </w:tcPr>
          <w:p w14:paraId="6B3D8C63">
            <w:pPr>
              <w:bidi w:val="0"/>
              <w:rPr>
                <w:rFonts w:hint="eastAsia" w:ascii="宋体" w:hAnsi="宋体" w:eastAsia="宋体" w:cs="宋体"/>
                <w:sz w:val="24"/>
                <w:szCs w:val="24"/>
              </w:rPr>
            </w:pPr>
          </w:p>
        </w:tc>
        <w:tc>
          <w:tcPr>
            <w:tcW w:w="3228" w:type="dxa"/>
            <w:vAlign w:val="top"/>
          </w:tcPr>
          <w:p w14:paraId="66ED2D68">
            <w:pPr>
              <w:bidi w:val="0"/>
              <w:rPr>
                <w:rFonts w:hint="eastAsia" w:ascii="宋体" w:hAnsi="宋体" w:eastAsia="宋体" w:cs="宋体"/>
                <w:sz w:val="24"/>
                <w:szCs w:val="24"/>
              </w:rPr>
            </w:pPr>
          </w:p>
        </w:tc>
        <w:tc>
          <w:tcPr>
            <w:tcW w:w="1139" w:type="dxa"/>
            <w:vAlign w:val="top"/>
          </w:tcPr>
          <w:p w14:paraId="40E2E807">
            <w:pPr>
              <w:bidi w:val="0"/>
              <w:rPr>
                <w:rFonts w:hint="eastAsia" w:ascii="宋体" w:hAnsi="宋体" w:eastAsia="宋体" w:cs="宋体"/>
                <w:sz w:val="24"/>
                <w:szCs w:val="24"/>
              </w:rPr>
            </w:pPr>
          </w:p>
        </w:tc>
        <w:tc>
          <w:tcPr>
            <w:tcW w:w="937" w:type="dxa"/>
            <w:vAlign w:val="top"/>
          </w:tcPr>
          <w:p w14:paraId="720F0AA9">
            <w:pPr>
              <w:bidi w:val="0"/>
              <w:rPr>
                <w:rFonts w:hint="eastAsia" w:ascii="宋体" w:hAnsi="宋体" w:eastAsia="宋体" w:cs="宋体"/>
                <w:sz w:val="24"/>
                <w:szCs w:val="24"/>
              </w:rPr>
            </w:pPr>
          </w:p>
        </w:tc>
      </w:tr>
      <w:tr w14:paraId="1F95D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8" w:type="dxa"/>
            <w:vAlign w:val="top"/>
          </w:tcPr>
          <w:p w14:paraId="767B6875">
            <w:pPr>
              <w:bidi w:val="0"/>
              <w:rPr>
                <w:rFonts w:hint="eastAsia" w:ascii="宋体" w:hAnsi="宋体" w:eastAsia="宋体" w:cs="宋体"/>
                <w:sz w:val="24"/>
                <w:szCs w:val="24"/>
              </w:rPr>
            </w:pPr>
          </w:p>
        </w:tc>
        <w:tc>
          <w:tcPr>
            <w:tcW w:w="2874" w:type="dxa"/>
            <w:vAlign w:val="top"/>
          </w:tcPr>
          <w:p w14:paraId="37DE2E52">
            <w:pPr>
              <w:bidi w:val="0"/>
              <w:rPr>
                <w:rFonts w:hint="eastAsia" w:ascii="宋体" w:hAnsi="宋体" w:eastAsia="宋体" w:cs="宋体"/>
                <w:sz w:val="24"/>
                <w:szCs w:val="24"/>
              </w:rPr>
            </w:pPr>
          </w:p>
        </w:tc>
        <w:tc>
          <w:tcPr>
            <w:tcW w:w="3228" w:type="dxa"/>
            <w:vAlign w:val="top"/>
          </w:tcPr>
          <w:p w14:paraId="1213BA24">
            <w:pPr>
              <w:bidi w:val="0"/>
              <w:rPr>
                <w:rFonts w:hint="eastAsia" w:ascii="宋体" w:hAnsi="宋体" w:eastAsia="宋体" w:cs="宋体"/>
                <w:sz w:val="24"/>
                <w:szCs w:val="24"/>
              </w:rPr>
            </w:pPr>
          </w:p>
        </w:tc>
        <w:tc>
          <w:tcPr>
            <w:tcW w:w="1139" w:type="dxa"/>
            <w:vAlign w:val="top"/>
          </w:tcPr>
          <w:p w14:paraId="366F60DC">
            <w:pPr>
              <w:bidi w:val="0"/>
              <w:rPr>
                <w:rFonts w:hint="eastAsia" w:ascii="宋体" w:hAnsi="宋体" w:eastAsia="宋体" w:cs="宋体"/>
                <w:sz w:val="24"/>
                <w:szCs w:val="24"/>
              </w:rPr>
            </w:pPr>
          </w:p>
        </w:tc>
        <w:tc>
          <w:tcPr>
            <w:tcW w:w="937" w:type="dxa"/>
            <w:vAlign w:val="top"/>
          </w:tcPr>
          <w:p w14:paraId="5610D830">
            <w:pPr>
              <w:bidi w:val="0"/>
              <w:rPr>
                <w:rFonts w:hint="eastAsia" w:ascii="宋体" w:hAnsi="宋体" w:eastAsia="宋体" w:cs="宋体"/>
                <w:sz w:val="24"/>
                <w:szCs w:val="24"/>
              </w:rPr>
            </w:pPr>
          </w:p>
        </w:tc>
      </w:tr>
      <w:tr w14:paraId="6538C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8" w:type="dxa"/>
            <w:vAlign w:val="top"/>
          </w:tcPr>
          <w:p w14:paraId="7F5154DD">
            <w:pPr>
              <w:bidi w:val="0"/>
              <w:rPr>
                <w:rFonts w:hint="eastAsia" w:ascii="宋体" w:hAnsi="宋体" w:eastAsia="宋体" w:cs="宋体"/>
                <w:sz w:val="24"/>
                <w:szCs w:val="24"/>
              </w:rPr>
            </w:pPr>
          </w:p>
        </w:tc>
        <w:tc>
          <w:tcPr>
            <w:tcW w:w="2874" w:type="dxa"/>
            <w:vAlign w:val="top"/>
          </w:tcPr>
          <w:p w14:paraId="7FDBED4E">
            <w:pPr>
              <w:bidi w:val="0"/>
              <w:rPr>
                <w:rFonts w:hint="eastAsia" w:ascii="宋体" w:hAnsi="宋体" w:eastAsia="宋体" w:cs="宋体"/>
                <w:sz w:val="24"/>
                <w:szCs w:val="24"/>
              </w:rPr>
            </w:pPr>
          </w:p>
        </w:tc>
        <w:tc>
          <w:tcPr>
            <w:tcW w:w="3228" w:type="dxa"/>
            <w:vAlign w:val="top"/>
          </w:tcPr>
          <w:p w14:paraId="6A840821">
            <w:pPr>
              <w:bidi w:val="0"/>
              <w:rPr>
                <w:rFonts w:hint="eastAsia" w:ascii="宋体" w:hAnsi="宋体" w:eastAsia="宋体" w:cs="宋体"/>
                <w:sz w:val="24"/>
                <w:szCs w:val="24"/>
              </w:rPr>
            </w:pPr>
          </w:p>
        </w:tc>
        <w:tc>
          <w:tcPr>
            <w:tcW w:w="1139" w:type="dxa"/>
            <w:vAlign w:val="top"/>
          </w:tcPr>
          <w:p w14:paraId="231DD349">
            <w:pPr>
              <w:bidi w:val="0"/>
              <w:rPr>
                <w:rFonts w:hint="eastAsia" w:ascii="宋体" w:hAnsi="宋体" w:eastAsia="宋体" w:cs="宋体"/>
                <w:sz w:val="24"/>
                <w:szCs w:val="24"/>
              </w:rPr>
            </w:pPr>
          </w:p>
        </w:tc>
        <w:tc>
          <w:tcPr>
            <w:tcW w:w="937" w:type="dxa"/>
            <w:vAlign w:val="top"/>
          </w:tcPr>
          <w:p w14:paraId="690D6069">
            <w:pPr>
              <w:bidi w:val="0"/>
              <w:rPr>
                <w:rFonts w:hint="eastAsia" w:ascii="宋体" w:hAnsi="宋体" w:eastAsia="宋体" w:cs="宋体"/>
                <w:sz w:val="24"/>
                <w:szCs w:val="24"/>
              </w:rPr>
            </w:pPr>
          </w:p>
        </w:tc>
      </w:tr>
      <w:tr w14:paraId="3AE8C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8" w:type="dxa"/>
            <w:vAlign w:val="top"/>
          </w:tcPr>
          <w:p w14:paraId="4500C525">
            <w:pPr>
              <w:bidi w:val="0"/>
              <w:rPr>
                <w:rFonts w:hint="eastAsia" w:ascii="宋体" w:hAnsi="宋体" w:eastAsia="宋体" w:cs="宋体"/>
                <w:sz w:val="24"/>
                <w:szCs w:val="24"/>
              </w:rPr>
            </w:pPr>
          </w:p>
        </w:tc>
        <w:tc>
          <w:tcPr>
            <w:tcW w:w="2874" w:type="dxa"/>
            <w:vAlign w:val="top"/>
          </w:tcPr>
          <w:p w14:paraId="7FE0D382">
            <w:pPr>
              <w:bidi w:val="0"/>
              <w:rPr>
                <w:rFonts w:hint="eastAsia" w:ascii="宋体" w:hAnsi="宋体" w:eastAsia="宋体" w:cs="宋体"/>
                <w:sz w:val="24"/>
                <w:szCs w:val="24"/>
              </w:rPr>
            </w:pPr>
          </w:p>
        </w:tc>
        <w:tc>
          <w:tcPr>
            <w:tcW w:w="3228" w:type="dxa"/>
            <w:vAlign w:val="top"/>
          </w:tcPr>
          <w:p w14:paraId="4788AF88">
            <w:pPr>
              <w:bidi w:val="0"/>
              <w:rPr>
                <w:rFonts w:hint="eastAsia" w:ascii="宋体" w:hAnsi="宋体" w:eastAsia="宋体" w:cs="宋体"/>
                <w:sz w:val="24"/>
                <w:szCs w:val="24"/>
              </w:rPr>
            </w:pPr>
          </w:p>
        </w:tc>
        <w:tc>
          <w:tcPr>
            <w:tcW w:w="1139" w:type="dxa"/>
            <w:vAlign w:val="top"/>
          </w:tcPr>
          <w:p w14:paraId="2FF99403">
            <w:pPr>
              <w:bidi w:val="0"/>
              <w:rPr>
                <w:rFonts w:hint="eastAsia" w:ascii="宋体" w:hAnsi="宋体" w:eastAsia="宋体" w:cs="宋体"/>
                <w:sz w:val="24"/>
                <w:szCs w:val="24"/>
              </w:rPr>
            </w:pPr>
          </w:p>
        </w:tc>
        <w:tc>
          <w:tcPr>
            <w:tcW w:w="937" w:type="dxa"/>
            <w:vAlign w:val="top"/>
          </w:tcPr>
          <w:p w14:paraId="687270DB">
            <w:pPr>
              <w:bidi w:val="0"/>
              <w:rPr>
                <w:rFonts w:hint="eastAsia" w:ascii="宋体" w:hAnsi="宋体" w:eastAsia="宋体" w:cs="宋体"/>
                <w:sz w:val="24"/>
                <w:szCs w:val="24"/>
              </w:rPr>
            </w:pPr>
          </w:p>
        </w:tc>
      </w:tr>
      <w:tr w14:paraId="43632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vAlign w:val="top"/>
          </w:tcPr>
          <w:p w14:paraId="4BC0A4B5">
            <w:pPr>
              <w:bidi w:val="0"/>
              <w:rPr>
                <w:rFonts w:hint="eastAsia" w:ascii="宋体" w:hAnsi="宋体" w:eastAsia="宋体" w:cs="宋体"/>
                <w:sz w:val="24"/>
                <w:szCs w:val="24"/>
              </w:rPr>
            </w:pPr>
          </w:p>
        </w:tc>
        <w:tc>
          <w:tcPr>
            <w:tcW w:w="2874" w:type="dxa"/>
            <w:vAlign w:val="top"/>
          </w:tcPr>
          <w:p w14:paraId="0CCF92C8">
            <w:pPr>
              <w:bidi w:val="0"/>
              <w:rPr>
                <w:rFonts w:hint="eastAsia" w:ascii="宋体" w:hAnsi="宋体" w:eastAsia="宋体" w:cs="宋体"/>
                <w:sz w:val="24"/>
                <w:szCs w:val="24"/>
              </w:rPr>
            </w:pPr>
          </w:p>
        </w:tc>
        <w:tc>
          <w:tcPr>
            <w:tcW w:w="3228" w:type="dxa"/>
            <w:vAlign w:val="top"/>
          </w:tcPr>
          <w:p w14:paraId="1B0370A9">
            <w:pPr>
              <w:bidi w:val="0"/>
              <w:rPr>
                <w:rFonts w:hint="eastAsia" w:ascii="宋体" w:hAnsi="宋体" w:eastAsia="宋体" w:cs="宋体"/>
                <w:sz w:val="24"/>
                <w:szCs w:val="24"/>
              </w:rPr>
            </w:pPr>
          </w:p>
        </w:tc>
        <w:tc>
          <w:tcPr>
            <w:tcW w:w="1139" w:type="dxa"/>
            <w:vAlign w:val="top"/>
          </w:tcPr>
          <w:p w14:paraId="36895DEA">
            <w:pPr>
              <w:bidi w:val="0"/>
              <w:rPr>
                <w:rFonts w:hint="eastAsia" w:ascii="宋体" w:hAnsi="宋体" w:eastAsia="宋体" w:cs="宋体"/>
                <w:sz w:val="24"/>
                <w:szCs w:val="24"/>
              </w:rPr>
            </w:pPr>
          </w:p>
        </w:tc>
        <w:tc>
          <w:tcPr>
            <w:tcW w:w="937" w:type="dxa"/>
            <w:vAlign w:val="top"/>
          </w:tcPr>
          <w:p w14:paraId="65D120C6">
            <w:pPr>
              <w:bidi w:val="0"/>
              <w:rPr>
                <w:rFonts w:hint="eastAsia" w:ascii="宋体" w:hAnsi="宋体" w:eastAsia="宋体" w:cs="宋体"/>
                <w:sz w:val="24"/>
                <w:szCs w:val="24"/>
              </w:rPr>
            </w:pPr>
          </w:p>
        </w:tc>
      </w:tr>
      <w:tr w14:paraId="5CF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vAlign w:val="top"/>
          </w:tcPr>
          <w:p w14:paraId="1BC3CCC1">
            <w:pPr>
              <w:bidi w:val="0"/>
              <w:rPr>
                <w:rFonts w:hint="eastAsia" w:ascii="宋体" w:hAnsi="宋体" w:eastAsia="宋体" w:cs="宋体"/>
                <w:sz w:val="24"/>
                <w:szCs w:val="24"/>
              </w:rPr>
            </w:pPr>
          </w:p>
        </w:tc>
        <w:tc>
          <w:tcPr>
            <w:tcW w:w="2874" w:type="dxa"/>
            <w:vAlign w:val="top"/>
          </w:tcPr>
          <w:p w14:paraId="4183A117">
            <w:pPr>
              <w:bidi w:val="0"/>
              <w:rPr>
                <w:rFonts w:hint="eastAsia" w:ascii="宋体" w:hAnsi="宋体" w:eastAsia="宋体" w:cs="宋体"/>
                <w:sz w:val="24"/>
                <w:szCs w:val="24"/>
              </w:rPr>
            </w:pPr>
          </w:p>
        </w:tc>
        <w:tc>
          <w:tcPr>
            <w:tcW w:w="3228" w:type="dxa"/>
            <w:vAlign w:val="top"/>
          </w:tcPr>
          <w:p w14:paraId="1D1D2AF2">
            <w:pPr>
              <w:bidi w:val="0"/>
              <w:rPr>
                <w:rFonts w:hint="eastAsia" w:ascii="宋体" w:hAnsi="宋体" w:eastAsia="宋体" w:cs="宋体"/>
                <w:sz w:val="24"/>
                <w:szCs w:val="24"/>
              </w:rPr>
            </w:pPr>
          </w:p>
        </w:tc>
        <w:tc>
          <w:tcPr>
            <w:tcW w:w="1139" w:type="dxa"/>
            <w:vAlign w:val="top"/>
          </w:tcPr>
          <w:p w14:paraId="0D0F996A">
            <w:pPr>
              <w:bidi w:val="0"/>
              <w:rPr>
                <w:rFonts w:hint="eastAsia" w:ascii="宋体" w:hAnsi="宋体" w:eastAsia="宋体" w:cs="宋体"/>
                <w:sz w:val="24"/>
                <w:szCs w:val="24"/>
              </w:rPr>
            </w:pPr>
          </w:p>
        </w:tc>
        <w:tc>
          <w:tcPr>
            <w:tcW w:w="937" w:type="dxa"/>
            <w:vAlign w:val="top"/>
          </w:tcPr>
          <w:p w14:paraId="0AAB229E">
            <w:pPr>
              <w:bidi w:val="0"/>
              <w:rPr>
                <w:rFonts w:hint="eastAsia" w:ascii="宋体" w:hAnsi="宋体" w:eastAsia="宋体" w:cs="宋体"/>
                <w:sz w:val="24"/>
                <w:szCs w:val="24"/>
              </w:rPr>
            </w:pPr>
          </w:p>
        </w:tc>
      </w:tr>
      <w:tr w14:paraId="583BE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vAlign w:val="top"/>
          </w:tcPr>
          <w:p w14:paraId="0597ACAE">
            <w:pPr>
              <w:bidi w:val="0"/>
              <w:rPr>
                <w:rFonts w:hint="eastAsia" w:ascii="宋体" w:hAnsi="宋体" w:eastAsia="宋体" w:cs="宋体"/>
                <w:sz w:val="24"/>
                <w:szCs w:val="24"/>
              </w:rPr>
            </w:pPr>
          </w:p>
        </w:tc>
        <w:tc>
          <w:tcPr>
            <w:tcW w:w="2874" w:type="dxa"/>
            <w:vAlign w:val="top"/>
          </w:tcPr>
          <w:p w14:paraId="0061562B">
            <w:pPr>
              <w:bidi w:val="0"/>
              <w:rPr>
                <w:rFonts w:hint="eastAsia" w:ascii="宋体" w:hAnsi="宋体" w:eastAsia="宋体" w:cs="宋体"/>
                <w:sz w:val="24"/>
                <w:szCs w:val="24"/>
              </w:rPr>
            </w:pPr>
          </w:p>
        </w:tc>
        <w:tc>
          <w:tcPr>
            <w:tcW w:w="3228" w:type="dxa"/>
            <w:vAlign w:val="top"/>
          </w:tcPr>
          <w:p w14:paraId="744F123D">
            <w:pPr>
              <w:bidi w:val="0"/>
              <w:rPr>
                <w:rFonts w:hint="eastAsia" w:ascii="宋体" w:hAnsi="宋体" w:eastAsia="宋体" w:cs="宋体"/>
                <w:sz w:val="24"/>
                <w:szCs w:val="24"/>
              </w:rPr>
            </w:pPr>
          </w:p>
        </w:tc>
        <w:tc>
          <w:tcPr>
            <w:tcW w:w="1139" w:type="dxa"/>
            <w:vAlign w:val="top"/>
          </w:tcPr>
          <w:p w14:paraId="5466A18C">
            <w:pPr>
              <w:bidi w:val="0"/>
              <w:rPr>
                <w:rFonts w:hint="eastAsia" w:ascii="宋体" w:hAnsi="宋体" w:eastAsia="宋体" w:cs="宋体"/>
                <w:sz w:val="24"/>
                <w:szCs w:val="24"/>
              </w:rPr>
            </w:pPr>
          </w:p>
        </w:tc>
        <w:tc>
          <w:tcPr>
            <w:tcW w:w="937" w:type="dxa"/>
            <w:vAlign w:val="top"/>
          </w:tcPr>
          <w:p w14:paraId="64FADEEF">
            <w:pPr>
              <w:bidi w:val="0"/>
              <w:rPr>
                <w:rFonts w:hint="eastAsia" w:ascii="宋体" w:hAnsi="宋体" w:eastAsia="宋体" w:cs="宋体"/>
                <w:sz w:val="24"/>
                <w:szCs w:val="24"/>
              </w:rPr>
            </w:pPr>
          </w:p>
        </w:tc>
      </w:tr>
      <w:tr w14:paraId="4258C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vAlign w:val="top"/>
          </w:tcPr>
          <w:p w14:paraId="100AFAF9">
            <w:pPr>
              <w:bidi w:val="0"/>
              <w:rPr>
                <w:rFonts w:hint="eastAsia" w:ascii="宋体" w:hAnsi="宋体" w:eastAsia="宋体" w:cs="宋体"/>
                <w:sz w:val="24"/>
                <w:szCs w:val="24"/>
              </w:rPr>
            </w:pPr>
          </w:p>
        </w:tc>
        <w:tc>
          <w:tcPr>
            <w:tcW w:w="2874" w:type="dxa"/>
            <w:vAlign w:val="top"/>
          </w:tcPr>
          <w:p w14:paraId="76AF51A9">
            <w:pPr>
              <w:bidi w:val="0"/>
              <w:rPr>
                <w:rFonts w:hint="eastAsia" w:ascii="宋体" w:hAnsi="宋体" w:eastAsia="宋体" w:cs="宋体"/>
                <w:sz w:val="24"/>
                <w:szCs w:val="24"/>
              </w:rPr>
            </w:pPr>
          </w:p>
        </w:tc>
        <w:tc>
          <w:tcPr>
            <w:tcW w:w="3228" w:type="dxa"/>
            <w:vAlign w:val="top"/>
          </w:tcPr>
          <w:p w14:paraId="568635BA">
            <w:pPr>
              <w:bidi w:val="0"/>
              <w:rPr>
                <w:rFonts w:hint="eastAsia" w:ascii="宋体" w:hAnsi="宋体" w:eastAsia="宋体" w:cs="宋体"/>
                <w:sz w:val="24"/>
                <w:szCs w:val="24"/>
              </w:rPr>
            </w:pPr>
          </w:p>
        </w:tc>
        <w:tc>
          <w:tcPr>
            <w:tcW w:w="1139" w:type="dxa"/>
            <w:vAlign w:val="top"/>
          </w:tcPr>
          <w:p w14:paraId="7B9433A6">
            <w:pPr>
              <w:bidi w:val="0"/>
              <w:rPr>
                <w:rFonts w:hint="eastAsia" w:ascii="宋体" w:hAnsi="宋体" w:eastAsia="宋体" w:cs="宋体"/>
                <w:sz w:val="24"/>
                <w:szCs w:val="24"/>
              </w:rPr>
            </w:pPr>
          </w:p>
        </w:tc>
        <w:tc>
          <w:tcPr>
            <w:tcW w:w="937" w:type="dxa"/>
            <w:vAlign w:val="top"/>
          </w:tcPr>
          <w:p w14:paraId="1F73758C">
            <w:pPr>
              <w:bidi w:val="0"/>
              <w:rPr>
                <w:rFonts w:hint="eastAsia" w:ascii="宋体" w:hAnsi="宋体" w:eastAsia="宋体" w:cs="宋体"/>
                <w:sz w:val="24"/>
                <w:szCs w:val="24"/>
              </w:rPr>
            </w:pPr>
          </w:p>
        </w:tc>
      </w:tr>
      <w:tr w14:paraId="10F45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vAlign w:val="top"/>
          </w:tcPr>
          <w:p w14:paraId="03F6D04B">
            <w:pPr>
              <w:bidi w:val="0"/>
              <w:rPr>
                <w:rFonts w:hint="eastAsia" w:ascii="宋体" w:hAnsi="宋体" w:eastAsia="宋体" w:cs="宋体"/>
                <w:sz w:val="24"/>
                <w:szCs w:val="24"/>
              </w:rPr>
            </w:pPr>
          </w:p>
        </w:tc>
        <w:tc>
          <w:tcPr>
            <w:tcW w:w="2874" w:type="dxa"/>
            <w:vAlign w:val="top"/>
          </w:tcPr>
          <w:p w14:paraId="792A1117">
            <w:pPr>
              <w:bidi w:val="0"/>
              <w:rPr>
                <w:rFonts w:hint="eastAsia" w:ascii="宋体" w:hAnsi="宋体" w:eastAsia="宋体" w:cs="宋体"/>
                <w:sz w:val="24"/>
                <w:szCs w:val="24"/>
              </w:rPr>
            </w:pPr>
          </w:p>
        </w:tc>
        <w:tc>
          <w:tcPr>
            <w:tcW w:w="3228" w:type="dxa"/>
            <w:vAlign w:val="top"/>
          </w:tcPr>
          <w:p w14:paraId="773C9B8C">
            <w:pPr>
              <w:bidi w:val="0"/>
              <w:rPr>
                <w:rFonts w:hint="eastAsia" w:ascii="宋体" w:hAnsi="宋体" w:eastAsia="宋体" w:cs="宋体"/>
                <w:sz w:val="24"/>
                <w:szCs w:val="24"/>
              </w:rPr>
            </w:pPr>
          </w:p>
        </w:tc>
        <w:tc>
          <w:tcPr>
            <w:tcW w:w="1139" w:type="dxa"/>
            <w:vAlign w:val="top"/>
          </w:tcPr>
          <w:p w14:paraId="57B0472C">
            <w:pPr>
              <w:bidi w:val="0"/>
              <w:rPr>
                <w:rFonts w:hint="eastAsia" w:ascii="宋体" w:hAnsi="宋体" w:eastAsia="宋体" w:cs="宋体"/>
                <w:sz w:val="24"/>
                <w:szCs w:val="24"/>
              </w:rPr>
            </w:pPr>
          </w:p>
        </w:tc>
        <w:tc>
          <w:tcPr>
            <w:tcW w:w="937" w:type="dxa"/>
            <w:vAlign w:val="top"/>
          </w:tcPr>
          <w:p w14:paraId="78C0FA14">
            <w:pPr>
              <w:bidi w:val="0"/>
              <w:rPr>
                <w:rFonts w:hint="eastAsia" w:ascii="宋体" w:hAnsi="宋体" w:eastAsia="宋体" w:cs="宋体"/>
                <w:sz w:val="24"/>
                <w:szCs w:val="24"/>
              </w:rPr>
            </w:pPr>
          </w:p>
        </w:tc>
      </w:tr>
      <w:tr w14:paraId="54DA8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vAlign w:val="top"/>
          </w:tcPr>
          <w:p w14:paraId="7A34F8DC">
            <w:pPr>
              <w:bidi w:val="0"/>
              <w:rPr>
                <w:rFonts w:hint="eastAsia" w:ascii="宋体" w:hAnsi="宋体" w:eastAsia="宋体" w:cs="宋体"/>
                <w:sz w:val="24"/>
                <w:szCs w:val="24"/>
              </w:rPr>
            </w:pPr>
          </w:p>
        </w:tc>
        <w:tc>
          <w:tcPr>
            <w:tcW w:w="2874" w:type="dxa"/>
            <w:vAlign w:val="top"/>
          </w:tcPr>
          <w:p w14:paraId="3BFF7ABB">
            <w:pPr>
              <w:bidi w:val="0"/>
              <w:rPr>
                <w:rFonts w:hint="eastAsia" w:ascii="宋体" w:hAnsi="宋体" w:eastAsia="宋体" w:cs="宋体"/>
                <w:sz w:val="24"/>
                <w:szCs w:val="24"/>
              </w:rPr>
            </w:pPr>
          </w:p>
        </w:tc>
        <w:tc>
          <w:tcPr>
            <w:tcW w:w="3228" w:type="dxa"/>
            <w:vAlign w:val="top"/>
          </w:tcPr>
          <w:p w14:paraId="21EABB8E">
            <w:pPr>
              <w:bidi w:val="0"/>
              <w:rPr>
                <w:rFonts w:hint="eastAsia" w:ascii="宋体" w:hAnsi="宋体" w:eastAsia="宋体" w:cs="宋体"/>
                <w:sz w:val="24"/>
                <w:szCs w:val="24"/>
              </w:rPr>
            </w:pPr>
          </w:p>
        </w:tc>
        <w:tc>
          <w:tcPr>
            <w:tcW w:w="1139" w:type="dxa"/>
            <w:vAlign w:val="top"/>
          </w:tcPr>
          <w:p w14:paraId="3D6783D8">
            <w:pPr>
              <w:bidi w:val="0"/>
              <w:rPr>
                <w:rFonts w:hint="eastAsia" w:ascii="宋体" w:hAnsi="宋体" w:eastAsia="宋体" w:cs="宋体"/>
                <w:sz w:val="24"/>
                <w:szCs w:val="24"/>
              </w:rPr>
            </w:pPr>
          </w:p>
        </w:tc>
        <w:tc>
          <w:tcPr>
            <w:tcW w:w="937" w:type="dxa"/>
            <w:vAlign w:val="top"/>
          </w:tcPr>
          <w:p w14:paraId="5E9AD2EB">
            <w:pPr>
              <w:bidi w:val="0"/>
              <w:rPr>
                <w:rFonts w:hint="eastAsia" w:ascii="宋体" w:hAnsi="宋体" w:eastAsia="宋体" w:cs="宋体"/>
                <w:sz w:val="24"/>
                <w:szCs w:val="24"/>
              </w:rPr>
            </w:pPr>
          </w:p>
        </w:tc>
      </w:tr>
      <w:tr w14:paraId="48CA2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vAlign w:val="top"/>
          </w:tcPr>
          <w:p w14:paraId="19D4FCD1">
            <w:pPr>
              <w:bidi w:val="0"/>
              <w:rPr>
                <w:rFonts w:hint="eastAsia" w:ascii="宋体" w:hAnsi="宋体" w:eastAsia="宋体" w:cs="宋体"/>
                <w:sz w:val="24"/>
                <w:szCs w:val="24"/>
              </w:rPr>
            </w:pPr>
          </w:p>
        </w:tc>
        <w:tc>
          <w:tcPr>
            <w:tcW w:w="2874" w:type="dxa"/>
            <w:vAlign w:val="top"/>
          </w:tcPr>
          <w:p w14:paraId="3B7C61DD">
            <w:pPr>
              <w:bidi w:val="0"/>
              <w:rPr>
                <w:rFonts w:hint="eastAsia" w:ascii="宋体" w:hAnsi="宋体" w:eastAsia="宋体" w:cs="宋体"/>
                <w:sz w:val="24"/>
                <w:szCs w:val="24"/>
              </w:rPr>
            </w:pPr>
          </w:p>
        </w:tc>
        <w:tc>
          <w:tcPr>
            <w:tcW w:w="3228" w:type="dxa"/>
            <w:vAlign w:val="top"/>
          </w:tcPr>
          <w:p w14:paraId="22938C8C">
            <w:pPr>
              <w:bidi w:val="0"/>
              <w:rPr>
                <w:rFonts w:hint="eastAsia" w:ascii="宋体" w:hAnsi="宋体" w:eastAsia="宋体" w:cs="宋体"/>
                <w:sz w:val="24"/>
                <w:szCs w:val="24"/>
              </w:rPr>
            </w:pPr>
          </w:p>
        </w:tc>
        <w:tc>
          <w:tcPr>
            <w:tcW w:w="1139" w:type="dxa"/>
            <w:vAlign w:val="top"/>
          </w:tcPr>
          <w:p w14:paraId="19D8106F">
            <w:pPr>
              <w:bidi w:val="0"/>
              <w:rPr>
                <w:rFonts w:hint="eastAsia" w:ascii="宋体" w:hAnsi="宋体" w:eastAsia="宋体" w:cs="宋体"/>
                <w:sz w:val="24"/>
                <w:szCs w:val="24"/>
              </w:rPr>
            </w:pPr>
          </w:p>
        </w:tc>
        <w:tc>
          <w:tcPr>
            <w:tcW w:w="937" w:type="dxa"/>
            <w:vAlign w:val="top"/>
          </w:tcPr>
          <w:p w14:paraId="4E9E1A4F">
            <w:pPr>
              <w:bidi w:val="0"/>
              <w:rPr>
                <w:rFonts w:hint="eastAsia" w:ascii="宋体" w:hAnsi="宋体" w:eastAsia="宋体" w:cs="宋体"/>
                <w:sz w:val="24"/>
                <w:szCs w:val="24"/>
              </w:rPr>
            </w:pPr>
          </w:p>
        </w:tc>
      </w:tr>
      <w:tr w14:paraId="19B2A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vAlign w:val="top"/>
          </w:tcPr>
          <w:p w14:paraId="7076B6C1">
            <w:pPr>
              <w:bidi w:val="0"/>
              <w:rPr>
                <w:rFonts w:hint="eastAsia" w:ascii="宋体" w:hAnsi="宋体" w:eastAsia="宋体" w:cs="宋体"/>
                <w:sz w:val="24"/>
                <w:szCs w:val="24"/>
              </w:rPr>
            </w:pPr>
          </w:p>
        </w:tc>
        <w:tc>
          <w:tcPr>
            <w:tcW w:w="2874" w:type="dxa"/>
            <w:vAlign w:val="top"/>
          </w:tcPr>
          <w:p w14:paraId="2D11D015">
            <w:pPr>
              <w:bidi w:val="0"/>
              <w:rPr>
                <w:rFonts w:hint="eastAsia" w:ascii="宋体" w:hAnsi="宋体" w:eastAsia="宋体" w:cs="宋体"/>
                <w:sz w:val="24"/>
                <w:szCs w:val="24"/>
              </w:rPr>
            </w:pPr>
          </w:p>
        </w:tc>
        <w:tc>
          <w:tcPr>
            <w:tcW w:w="3228" w:type="dxa"/>
            <w:vAlign w:val="top"/>
          </w:tcPr>
          <w:p w14:paraId="279BE4B4">
            <w:pPr>
              <w:bidi w:val="0"/>
              <w:rPr>
                <w:rFonts w:hint="eastAsia" w:ascii="宋体" w:hAnsi="宋体" w:eastAsia="宋体" w:cs="宋体"/>
                <w:sz w:val="24"/>
                <w:szCs w:val="24"/>
              </w:rPr>
            </w:pPr>
          </w:p>
        </w:tc>
        <w:tc>
          <w:tcPr>
            <w:tcW w:w="1139" w:type="dxa"/>
            <w:vAlign w:val="top"/>
          </w:tcPr>
          <w:p w14:paraId="2EE3A698">
            <w:pPr>
              <w:bidi w:val="0"/>
              <w:rPr>
                <w:rFonts w:hint="eastAsia" w:ascii="宋体" w:hAnsi="宋体" w:eastAsia="宋体" w:cs="宋体"/>
                <w:sz w:val="24"/>
                <w:szCs w:val="24"/>
              </w:rPr>
            </w:pPr>
          </w:p>
        </w:tc>
        <w:tc>
          <w:tcPr>
            <w:tcW w:w="937" w:type="dxa"/>
            <w:vAlign w:val="top"/>
          </w:tcPr>
          <w:p w14:paraId="0F9E9278">
            <w:pPr>
              <w:bidi w:val="0"/>
              <w:rPr>
                <w:rFonts w:hint="eastAsia" w:ascii="宋体" w:hAnsi="宋体" w:eastAsia="宋体" w:cs="宋体"/>
                <w:sz w:val="24"/>
                <w:szCs w:val="24"/>
              </w:rPr>
            </w:pPr>
          </w:p>
        </w:tc>
      </w:tr>
      <w:tr w14:paraId="3A9F6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vAlign w:val="top"/>
          </w:tcPr>
          <w:p w14:paraId="10719138">
            <w:pPr>
              <w:bidi w:val="0"/>
              <w:rPr>
                <w:rFonts w:hint="eastAsia" w:ascii="宋体" w:hAnsi="宋体" w:eastAsia="宋体" w:cs="宋体"/>
                <w:sz w:val="24"/>
                <w:szCs w:val="24"/>
              </w:rPr>
            </w:pPr>
          </w:p>
        </w:tc>
        <w:tc>
          <w:tcPr>
            <w:tcW w:w="2874" w:type="dxa"/>
            <w:vAlign w:val="top"/>
          </w:tcPr>
          <w:p w14:paraId="5C0FEC8A">
            <w:pPr>
              <w:bidi w:val="0"/>
              <w:rPr>
                <w:rFonts w:hint="eastAsia" w:ascii="宋体" w:hAnsi="宋体" w:eastAsia="宋体" w:cs="宋体"/>
                <w:sz w:val="24"/>
                <w:szCs w:val="24"/>
              </w:rPr>
            </w:pPr>
          </w:p>
        </w:tc>
        <w:tc>
          <w:tcPr>
            <w:tcW w:w="3228" w:type="dxa"/>
            <w:vAlign w:val="top"/>
          </w:tcPr>
          <w:p w14:paraId="187226CA">
            <w:pPr>
              <w:bidi w:val="0"/>
              <w:rPr>
                <w:rFonts w:hint="eastAsia" w:ascii="宋体" w:hAnsi="宋体" w:eastAsia="宋体" w:cs="宋体"/>
                <w:sz w:val="24"/>
                <w:szCs w:val="24"/>
              </w:rPr>
            </w:pPr>
          </w:p>
        </w:tc>
        <w:tc>
          <w:tcPr>
            <w:tcW w:w="1139" w:type="dxa"/>
            <w:vAlign w:val="top"/>
          </w:tcPr>
          <w:p w14:paraId="11A07B30">
            <w:pPr>
              <w:bidi w:val="0"/>
              <w:rPr>
                <w:rFonts w:hint="eastAsia" w:ascii="宋体" w:hAnsi="宋体" w:eastAsia="宋体" w:cs="宋体"/>
                <w:sz w:val="24"/>
                <w:szCs w:val="24"/>
              </w:rPr>
            </w:pPr>
          </w:p>
        </w:tc>
        <w:tc>
          <w:tcPr>
            <w:tcW w:w="937" w:type="dxa"/>
            <w:vAlign w:val="top"/>
          </w:tcPr>
          <w:p w14:paraId="53780046">
            <w:pPr>
              <w:bidi w:val="0"/>
              <w:rPr>
                <w:rFonts w:hint="eastAsia" w:ascii="宋体" w:hAnsi="宋体" w:eastAsia="宋体" w:cs="宋体"/>
                <w:sz w:val="24"/>
                <w:szCs w:val="24"/>
              </w:rPr>
            </w:pPr>
          </w:p>
        </w:tc>
      </w:tr>
      <w:tr w14:paraId="2A676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vAlign w:val="top"/>
          </w:tcPr>
          <w:p w14:paraId="32B22C77">
            <w:pPr>
              <w:bidi w:val="0"/>
              <w:rPr>
                <w:rFonts w:hint="eastAsia" w:ascii="宋体" w:hAnsi="宋体" w:eastAsia="宋体" w:cs="宋体"/>
                <w:sz w:val="24"/>
                <w:szCs w:val="24"/>
              </w:rPr>
            </w:pPr>
          </w:p>
        </w:tc>
        <w:tc>
          <w:tcPr>
            <w:tcW w:w="2874" w:type="dxa"/>
            <w:vAlign w:val="top"/>
          </w:tcPr>
          <w:p w14:paraId="32A53F6F">
            <w:pPr>
              <w:bidi w:val="0"/>
              <w:rPr>
                <w:rFonts w:hint="eastAsia" w:ascii="宋体" w:hAnsi="宋体" w:eastAsia="宋体" w:cs="宋体"/>
                <w:sz w:val="24"/>
                <w:szCs w:val="24"/>
              </w:rPr>
            </w:pPr>
          </w:p>
        </w:tc>
        <w:tc>
          <w:tcPr>
            <w:tcW w:w="3228" w:type="dxa"/>
            <w:vAlign w:val="top"/>
          </w:tcPr>
          <w:p w14:paraId="4B6F0FA5">
            <w:pPr>
              <w:bidi w:val="0"/>
              <w:rPr>
                <w:rFonts w:hint="eastAsia" w:ascii="宋体" w:hAnsi="宋体" w:eastAsia="宋体" w:cs="宋体"/>
                <w:sz w:val="24"/>
                <w:szCs w:val="24"/>
              </w:rPr>
            </w:pPr>
          </w:p>
        </w:tc>
        <w:tc>
          <w:tcPr>
            <w:tcW w:w="1139" w:type="dxa"/>
            <w:vAlign w:val="top"/>
          </w:tcPr>
          <w:p w14:paraId="5BE8C45A">
            <w:pPr>
              <w:bidi w:val="0"/>
              <w:rPr>
                <w:rFonts w:hint="eastAsia" w:ascii="宋体" w:hAnsi="宋体" w:eastAsia="宋体" w:cs="宋体"/>
                <w:sz w:val="24"/>
                <w:szCs w:val="24"/>
              </w:rPr>
            </w:pPr>
          </w:p>
        </w:tc>
        <w:tc>
          <w:tcPr>
            <w:tcW w:w="937" w:type="dxa"/>
            <w:vAlign w:val="top"/>
          </w:tcPr>
          <w:p w14:paraId="5ED43B35">
            <w:pPr>
              <w:bidi w:val="0"/>
              <w:rPr>
                <w:rFonts w:hint="eastAsia" w:ascii="宋体" w:hAnsi="宋体" w:eastAsia="宋体" w:cs="宋体"/>
                <w:sz w:val="24"/>
                <w:szCs w:val="24"/>
              </w:rPr>
            </w:pPr>
          </w:p>
        </w:tc>
      </w:tr>
      <w:tr w14:paraId="65054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vAlign w:val="top"/>
          </w:tcPr>
          <w:p w14:paraId="2103C491">
            <w:pPr>
              <w:bidi w:val="0"/>
              <w:rPr>
                <w:rFonts w:hint="eastAsia" w:ascii="宋体" w:hAnsi="宋体" w:eastAsia="宋体" w:cs="宋体"/>
                <w:sz w:val="24"/>
                <w:szCs w:val="24"/>
              </w:rPr>
            </w:pPr>
          </w:p>
        </w:tc>
        <w:tc>
          <w:tcPr>
            <w:tcW w:w="2874" w:type="dxa"/>
            <w:vAlign w:val="top"/>
          </w:tcPr>
          <w:p w14:paraId="7B4A35EE">
            <w:pPr>
              <w:bidi w:val="0"/>
              <w:rPr>
                <w:rFonts w:hint="eastAsia" w:ascii="宋体" w:hAnsi="宋体" w:eastAsia="宋体" w:cs="宋体"/>
                <w:sz w:val="24"/>
                <w:szCs w:val="24"/>
              </w:rPr>
            </w:pPr>
          </w:p>
        </w:tc>
        <w:tc>
          <w:tcPr>
            <w:tcW w:w="3228" w:type="dxa"/>
            <w:vAlign w:val="top"/>
          </w:tcPr>
          <w:p w14:paraId="0802EDDD">
            <w:pPr>
              <w:bidi w:val="0"/>
              <w:rPr>
                <w:rFonts w:hint="eastAsia" w:ascii="宋体" w:hAnsi="宋体" w:eastAsia="宋体" w:cs="宋体"/>
                <w:sz w:val="24"/>
                <w:szCs w:val="24"/>
              </w:rPr>
            </w:pPr>
          </w:p>
        </w:tc>
        <w:tc>
          <w:tcPr>
            <w:tcW w:w="1139" w:type="dxa"/>
            <w:vAlign w:val="top"/>
          </w:tcPr>
          <w:p w14:paraId="0375B397">
            <w:pPr>
              <w:bidi w:val="0"/>
              <w:rPr>
                <w:rFonts w:hint="eastAsia" w:ascii="宋体" w:hAnsi="宋体" w:eastAsia="宋体" w:cs="宋体"/>
                <w:sz w:val="24"/>
                <w:szCs w:val="24"/>
              </w:rPr>
            </w:pPr>
          </w:p>
        </w:tc>
        <w:tc>
          <w:tcPr>
            <w:tcW w:w="937" w:type="dxa"/>
            <w:vAlign w:val="top"/>
          </w:tcPr>
          <w:p w14:paraId="1D87A630">
            <w:pPr>
              <w:bidi w:val="0"/>
              <w:rPr>
                <w:rFonts w:hint="eastAsia" w:ascii="宋体" w:hAnsi="宋体" w:eastAsia="宋体" w:cs="宋体"/>
                <w:sz w:val="24"/>
                <w:szCs w:val="24"/>
              </w:rPr>
            </w:pPr>
          </w:p>
        </w:tc>
      </w:tr>
      <w:tr w14:paraId="78052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48" w:type="dxa"/>
            <w:vAlign w:val="top"/>
          </w:tcPr>
          <w:p w14:paraId="707EF52A">
            <w:pPr>
              <w:bidi w:val="0"/>
              <w:rPr>
                <w:rFonts w:hint="eastAsia" w:ascii="宋体" w:hAnsi="宋体" w:eastAsia="宋体" w:cs="宋体"/>
                <w:sz w:val="24"/>
                <w:szCs w:val="24"/>
              </w:rPr>
            </w:pPr>
          </w:p>
        </w:tc>
        <w:tc>
          <w:tcPr>
            <w:tcW w:w="2874" w:type="dxa"/>
            <w:vAlign w:val="top"/>
          </w:tcPr>
          <w:p w14:paraId="2970464C">
            <w:pPr>
              <w:bidi w:val="0"/>
              <w:rPr>
                <w:rFonts w:hint="eastAsia" w:ascii="宋体" w:hAnsi="宋体" w:eastAsia="宋体" w:cs="宋体"/>
                <w:sz w:val="24"/>
                <w:szCs w:val="24"/>
              </w:rPr>
            </w:pPr>
          </w:p>
        </w:tc>
        <w:tc>
          <w:tcPr>
            <w:tcW w:w="3228" w:type="dxa"/>
            <w:vAlign w:val="top"/>
          </w:tcPr>
          <w:p w14:paraId="166282AE">
            <w:pPr>
              <w:bidi w:val="0"/>
              <w:rPr>
                <w:rFonts w:hint="eastAsia" w:ascii="宋体" w:hAnsi="宋体" w:eastAsia="宋体" w:cs="宋体"/>
                <w:sz w:val="24"/>
                <w:szCs w:val="24"/>
              </w:rPr>
            </w:pPr>
          </w:p>
        </w:tc>
        <w:tc>
          <w:tcPr>
            <w:tcW w:w="1139" w:type="dxa"/>
            <w:vAlign w:val="top"/>
          </w:tcPr>
          <w:p w14:paraId="52C61DC5">
            <w:pPr>
              <w:bidi w:val="0"/>
              <w:rPr>
                <w:rFonts w:hint="eastAsia" w:ascii="宋体" w:hAnsi="宋体" w:eastAsia="宋体" w:cs="宋体"/>
                <w:sz w:val="24"/>
                <w:szCs w:val="24"/>
              </w:rPr>
            </w:pPr>
          </w:p>
        </w:tc>
        <w:tc>
          <w:tcPr>
            <w:tcW w:w="937" w:type="dxa"/>
            <w:vAlign w:val="top"/>
          </w:tcPr>
          <w:p w14:paraId="0F90C3CE">
            <w:pPr>
              <w:bidi w:val="0"/>
              <w:rPr>
                <w:rFonts w:hint="eastAsia" w:ascii="宋体" w:hAnsi="宋体" w:eastAsia="宋体" w:cs="宋体"/>
                <w:sz w:val="24"/>
                <w:szCs w:val="24"/>
              </w:rPr>
            </w:pPr>
          </w:p>
        </w:tc>
      </w:tr>
    </w:tbl>
    <w:p w14:paraId="43E3814A">
      <w:pPr>
        <w:bidi w:val="0"/>
        <w:rPr>
          <w:rFonts w:hint="eastAsia" w:ascii="宋体" w:hAnsi="宋体" w:eastAsia="宋体" w:cs="宋体"/>
          <w:sz w:val="24"/>
          <w:szCs w:val="24"/>
        </w:rPr>
      </w:pPr>
      <w:r>
        <w:rPr>
          <w:rFonts w:hint="eastAsia" w:ascii="宋体" w:hAnsi="宋体" w:eastAsia="宋体" w:cs="宋体"/>
          <w:sz w:val="24"/>
          <w:szCs w:val="24"/>
        </w:rPr>
        <w:t>注：逐条对应招标文件第五章采购内容与服务要求，认真填写本表。偏离度说 明填写：优于、等于、低于。此表在不改变表式的情况下可自行制作。</w:t>
      </w:r>
    </w:p>
    <w:p w14:paraId="0C64B29C">
      <w:pPr>
        <w:pStyle w:val="4"/>
        <w:keepNext w:val="0"/>
        <w:keepLines w:val="0"/>
        <w:spacing w:before="0" w:after="120" w:afterLines="50" w:line="360" w:lineRule="auto"/>
        <w:ind w:firstLine="614" w:firstLineChars="255"/>
        <w:jc w:val="center"/>
        <w:rPr>
          <w:rFonts w:hAnsi="宋体" w:cs="宋体"/>
          <w:bCs/>
          <w:sz w:val="24"/>
        </w:rPr>
      </w:pPr>
    </w:p>
    <w:p w14:paraId="63E91A72">
      <w:pPr>
        <w:adjustRightInd w:val="0"/>
        <w:snapToGrid w:val="0"/>
        <w:spacing w:line="360" w:lineRule="auto"/>
        <w:jc w:val="left"/>
      </w:pPr>
      <w:r>
        <w:rPr>
          <w:rFonts w:hint="eastAsia" w:hAnsi="宋体" w:cs="宋体"/>
          <w:sz w:val="24"/>
        </w:rPr>
        <w:t>供应商（公章）：</w:t>
      </w:r>
      <w:r>
        <w:rPr>
          <w:rFonts w:hint="eastAsia" w:hAnsi="宋体" w:cs="宋体"/>
          <w:sz w:val="24"/>
          <w:u w:val="single"/>
        </w:rPr>
        <w:t xml:space="preserve">                         </w:t>
      </w:r>
    </w:p>
    <w:p w14:paraId="30CCD99D">
      <w:pPr>
        <w:adjustRightInd w:val="0"/>
        <w:snapToGrid w:val="0"/>
        <w:spacing w:line="360" w:lineRule="auto"/>
        <w:jc w:val="left"/>
        <w:rPr>
          <w:rFonts w:hAnsi="宋体" w:cs="宋体"/>
          <w:sz w:val="24"/>
          <w:u w:val="single"/>
        </w:rPr>
      </w:pPr>
      <w:r>
        <w:rPr>
          <w:rFonts w:hint="eastAsia" w:hAnsi="宋体" w:cs="宋体"/>
          <w:sz w:val="24"/>
        </w:rPr>
        <w:t>法定代表人或授权代表（签字</w:t>
      </w:r>
      <w:r>
        <w:rPr>
          <w:rFonts w:hint="eastAsia" w:hAnsi="宋体" w:cs="宋体"/>
          <w:sz w:val="24"/>
          <w:lang w:val="en-US" w:eastAsia="zh-CN"/>
        </w:rPr>
        <w:t>或盖章</w:t>
      </w:r>
      <w:r>
        <w:rPr>
          <w:rFonts w:hint="eastAsia" w:hAnsi="宋体" w:cs="宋体"/>
          <w:sz w:val="24"/>
        </w:rPr>
        <w:t>）：</w:t>
      </w:r>
      <w:r>
        <w:rPr>
          <w:rFonts w:hint="eastAsia" w:hAnsi="宋体" w:cs="宋体"/>
          <w:sz w:val="24"/>
          <w:u w:val="single"/>
        </w:rPr>
        <w:t xml:space="preserve">           </w:t>
      </w:r>
    </w:p>
    <w:p w14:paraId="5F962064">
      <w:pPr>
        <w:adjustRightInd w:val="0"/>
        <w:snapToGrid w:val="0"/>
        <w:spacing w:line="360" w:lineRule="auto"/>
        <w:jc w:val="left"/>
        <w:rPr>
          <w:rFonts w:hAnsi="宋体" w:cs="宋体"/>
          <w:b/>
          <w:bCs/>
          <w:sz w:val="32"/>
          <w:szCs w:val="32"/>
        </w:rPr>
      </w:pPr>
      <w:r>
        <w:rPr>
          <w:rFonts w:hint="eastAsia" w:hAnsi="宋体" w:cs="宋体"/>
          <w:sz w:val="24"/>
        </w:rPr>
        <w:t>日    期：</w:t>
      </w:r>
      <w:r>
        <w:rPr>
          <w:rFonts w:hint="eastAsia" w:hAnsi="宋体" w:cs="宋体"/>
          <w:sz w:val="24"/>
          <w:u w:val="single"/>
        </w:rPr>
        <w:t xml:space="preserve">                               </w:t>
      </w:r>
    </w:p>
    <w:p w14:paraId="3C720049">
      <w:pPr>
        <w:pStyle w:val="4"/>
        <w:keepNext w:val="0"/>
        <w:keepLines w:val="0"/>
        <w:spacing w:before="0" w:after="120" w:afterLines="50" w:line="360" w:lineRule="auto"/>
        <w:ind w:firstLine="614" w:firstLineChars="255"/>
        <w:jc w:val="center"/>
        <w:rPr>
          <w:rFonts w:hAnsi="宋体" w:cs="宋体"/>
          <w:bCs/>
          <w:sz w:val="24"/>
        </w:rPr>
      </w:pPr>
    </w:p>
    <w:p w14:paraId="0978C2A8">
      <w:pPr>
        <w:pStyle w:val="4"/>
        <w:keepNext w:val="0"/>
        <w:keepLines w:val="0"/>
        <w:spacing w:before="0" w:after="120" w:afterLines="50" w:line="360" w:lineRule="auto"/>
        <w:ind w:firstLine="614" w:firstLineChars="255"/>
        <w:jc w:val="center"/>
        <w:rPr>
          <w:rFonts w:hAnsi="宋体" w:cs="宋体"/>
          <w:bCs/>
          <w:sz w:val="24"/>
        </w:rPr>
      </w:pPr>
    </w:p>
    <w:p w14:paraId="50DFD421">
      <w:pPr>
        <w:pStyle w:val="4"/>
        <w:keepNext w:val="0"/>
        <w:keepLines w:val="0"/>
        <w:spacing w:before="0" w:after="120" w:afterLines="50" w:line="360" w:lineRule="auto"/>
        <w:ind w:firstLine="614" w:firstLineChars="255"/>
        <w:jc w:val="center"/>
        <w:rPr>
          <w:rFonts w:hAnsi="宋体" w:cs="宋体"/>
          <w:bCs/>
          <w:sz w:val="24"/>
        </w:rPr>
      </w:pPr>
    </w:p>
    <w:p w14:paraId="04E1F998">
      <w:pPr>
        <w:pStyle w:val="4"/>
        <w:keepNext w:val="0"/>
        <w:keepLines w:val="0"/>
        <w:spacing w:before="0" w:after="120" w:afterLines="50" w:line="360" w:lineRule="auto"/>
        <w:ind w:firstLine="614" w:firstLineChars="255"/>
        <w:jc w:val="center"/>
        <w:rPr>
          <w:rFonts w:hAnsi="宋体" w:cs="宋体"/>
          <w:bCs/>
          <w:sz w:val="24"/>
        </w:rPr>
      </w:pPr>
    </w:p>
    <w:p w14:paraId="1ACB548B">
      <w:pPr>
        <w:pStyle w:val="4"/>
        <w:keepNext w:val="0"/>
        <w:keepLines w:val="0"/>
        <w:spacing w:before="0" w:after="120" w:afterLines="50" w:line="360" w:lineRule="auto"/>
        <w:ind w:firstLine="614" w:firstLineChars="255"/>
        <w:jc w:val="center"/>
        <w:rPr>
          <w:rFonts w:hAnsi="宋体" w:cs="宋体"/>
          <w:bCs/>
          <w:sz w:val="24"/>
        </w:rPr>
      </w:pPr>
    </w:p>
    <w:p w14:paraId="3697C5FB">
      <w:pPr>
        <w:pStyle w:val="4"/>
        <w:keepNext w:val="0"/>
        <w:keepLines w:val="0"/>
        <w:spacing w:before="0" w:after="120" w:afterLines="50" w:line="360" w:lineRule="auto"/>
        <w:ind w:firstLine="614" w:firstLineChars="255"/>
        <w:jc w:val="center"/>
        <w:rPr>
          <w:rFonts w:hAnsi="宋体" w:cs="宋体"/>
          <w:bCs/>
          <w:sz w:val="24"/>
        </w:rPr>
      </w:pPr>
    </w:p>
    <w:p w14:paraId="59A64CF0">
      <w:pPr>
        <w:pStyle w:val="4"/>
        <w:keepNext w:val="0"/>
        <w:keepLines w:val="0"/>
        <w:spacing w:before="0" w:after="120" w:afterLines="50" w:line="360" w:lineRule="auto"/>
        <w:ind w:firstLine="707" w:firstLineChars="255"/>
        <w:jc w:val="center"/>
        <w:rPr>
          <w:rFonts w:hint="eastAsia" w:ascii="宋体" w:hAnsi="Times New Roman" w:eastAsia="宋体" w:cs="Times New Roman"/>
          <w:b w:val="0"/>
          <w:spacing w:val="-2"/>
          <w:sz w:val="28"/>
          <w:szCs w:val="28"/>
          <w:lang w:val="en-US" w:eastAsia="zh-CN" w:bidi="ar-SA"/>
        </w:rPr>
      </w:pPr>
      <w:r>
        <w:rPr>
          <w:rFonts w:hint="eastAsia" w:ascii="宋体" w:hAnsi="Times New Roman" w:eastAsia="宋体" w:cs="Times New Roman"/>
          <w:b/>
          <w:bCs/>
          <w:spacing w:val="-2"/>
          <w:sz w:val="28"/>
          <w:szCs w:val="28"/>
          <w:lang w:val="en-US" w:eastAsia="zh-CN" w:bidi="ar-SA"/>
        </w:rPr>
        <w:t>六、</w:t>
      </w:r>
      <w:bookmarkEnd w:id="148"/>
      <w:bookmarkEnd w:id="149"/>
      <w:bookmarkStart w:id="154" w:name="_Toc9364"/>
      <w:r>
        <w:rPr>
          <w:rFonts w:hint="eastAsia" w:ascii="宋体" w:hAnsi="Times New Roman" w:eastAsia="宋体" w:cs="Times New Roman"/>
          <w:b/>
          <w:bCs/>
          <w:spacing w:val="-2"/>
          <w:sz w:val="28"/>
          <w:szCs w:val="28"/>
          <w:lang w:val="en-US" w:eastAsia="zh-CN" w:bidi="ar-SA"/>
        </w:rPr>
        <w:t>谈判响应方案</w:t>
      </w:r>
      <w:bookmarkEnd w:id="152"/>
      <w:bookmarkEnd w:id="153"/>
      <w:bookmarkEnd w:id="154"/>
    </w:p>
    <w:p w14:paraId="283618B4">
      <w:pPr>
        <w:ind w:firstLine="472" w:firstLineChars="200"/>
        <w:jc w:val="left"/>
        <w:outlineLvl w:val="0"/>
        <w:rPr>
          <w:rFonts w:hint="eastAsia" w:ascii="宋体" w:hAnsi="Times New Roman" w:eastAsia="宋体" w:cs="Times New Roman"/>
          <w:spacing w:val="-2"/>
          <w:sz w:val="24"/>
          <w:szCs w:val="24"/>
          <w:lang w:val="en-US" w:eastAsia="zh-CN"/>
        </w:rPr>
      </w:pPr>
      <w:r>
        <w:rPr>
          <w:rFonts w:hint="eastAsia" w:ascii="宋体" w:hAnsi="Times New Roman" w:eastAsia="宋体" w:cs="Times New Roman"/>
          <w:spacing w:val="-2"/>
          <w:sz w:val="24"/>
          <w:szCs w:val="24"/>
          <w:lang w:val="en-US" w:eastAsia="zh-CN"/>
        </w:rPr>
        <w:t>1、按照工作内容和要求，制定详细的项目实施方案（包括但不限于以下内容）。</w:t>
      </w:r>
    </w:p>
    <w:p w14:paraId="42E5E33C">
      <w:pPr>
        <w:ind w:firstLine="472" w:firstLineChars="200"/>
        <w:jc w:val="left"/>
        <w:outlineLvl w:val="0"/>
        <w:rPr>
          <w:rFonts w:hint="default" w:ascii="宋体" w:hAnsi="Times New Roman" w:eastAsia="宋体" w:cs="Times New Roman"/>
          <w:spacing w:val="-2"/>
          <w:sz w:val="24"/>
          <w:szCs w:val="24"/>
          <w:lang w:val="en-US" w:eastAsia="zh-CN"/>
        </w:rPr>
      </w:pPr>
      <w:r>
        <w:rPr>
          <w:rFonts w:hint="eastAsia" w:ascii="宋体" w:hAnsi="Times New Roman" w:eastAsia="宋体" w:cs="Times New Roman"/>
          <w:spacing w:val="-2"/>
          <w:sz w:val="24"/>
          <w:szCs w:val="24"/>
          <w:lang w:val="en-US" w:eastAsia="zh-CN"/>
        </w:rPr>
        <w:t>2、除治作业方案（包括质量管理措施及环保管理措施）。</w:t>
      </w:r>
    </w:p>
    <w:p w14:paraId="60B582B1">
      <w:pPr>
        <w:ind w:firstLine="472" w:firstLineChars="200"/>
        <w:jc w:val="left"/>
        <w:outlineLvl w:val="0"/>
        <w:rPr>
          <w:rFonts w:hint="eastAsia" w:ascii="宋体" w:hAnsi="Times New Roman" w:eastAsia="宋体" w:cs="Times New Roman"/>
          <w:spacing w:val="-2"/>
          <w:sz w:val="24"/>
          <w:szCs w:val="24"/>
          <w:lang w:val="en-US" w:eastAsia="zh-CN"/>
        </w:rPr>
      </w:pPr>
      <w:r>
        <w:rPr>
          <w:rFonts w:hint="eastAsia" w:ascii="宋体" w:hAnsi="Times New Roman" w:eastAsia="宋体" w:cs="Times New Roman"/>
          <w:spacing w:val="-2"/>
          <w:sz w:val="24"/>
          <w:szCs w:val="24"/>
          <w:lang w:val="en-US" w:eastAsia="zh-CN"/>
        </w:rPr>
        <w:t>2、</w:t>
      </w:r>
      <w:r>
        <w:rPr>
          <w:rFonts w:ascii="宋体" w:hAnsi="Times New Roman" w:eastAsia="宋体" w:cs="Times New Roman"/>
          <w:spacing w:val="-2"/>
          <w:sz w:val="24"/>
          <w:szCs w:val="24"/>
        </w:rPr>
        <w:t>进度计划</w:t>
      </w:r>
      <w:r>
        <w:rPr>
          <w:rFonts w:hint="eastAsia" w:ascii="宋体" w:hAnsi="Times New Roman" w:eastAsia="宋体" w:cs="Times New Roman"/>
          <w:spacing w:val="-2"/>
          <w:sz w:val="24"/>
          <w:szCs w:val="24"/>
          <w:lang w:val="en-US" w:eastAsia="zh-CN"/>
        </w:rPr>
        <w:t>。</w:t>
      </w:r>
    </w:p>
    <w:p w14:paraId="7479B090">
      <w:pPr>
        <w:ind w:firstLine="472" w:firstLineChars="200"/>
        <w:jc w:val="left"/>
        <w:outlineLvl w:val="0"/>
        <w:rPr>
          <w:rFonts w:hint="eastAsia" w:ascii="宋体" w:hAnsi="Times New Roman" w:eastAsia="宋体" w:cs="Times New Roman"/>
          <w:spacing w:val="-2"/>
          <w:sz w:val="24"/>
          <w:szCs w:val="24"/>
          <w:lang w:val="en-US" w:eastAsia="zh-CN"/>
        </w:rPr>
      </w:pPr>
      <w:r>
        <w:rPr>
          <w:rFonts w:hint="eastAsia" w:ascii="宋体" w:hAnsi="Times New Roman" w:eastAsia="宋体" w:cs="Times New Roman"/>
          <w:spacing w:val="-2"/>
          <w:sz w:val="24"/>
          <w:szCs w:val="24"/>
          <w:lang w:val="en-US" w:eastAsia="zh-CN"/>
        </w:rPr>
        <w:t>3、配送方案。</w:t>
      </w:r>
    </w:p>
    <w:p w14:paraId="01126765">
      <w:pPr>
        <w:ind w:firstLine="472" w:firstLineChars="200"/>
        <w:jc w:val="left"/>
        <w:outlineLvl w:val="0"/>
        <w:rPr>
          <w:rFonts w:hint="eastAsia" w:ascii="宋体" w:hAnsi="Times New Roman" w:eastAsia="宋体" w:cs="Times New Roman"/>
          <w:spacing w:val="-2"/>
          <w:sz w:val="24"/>
          <w:szCs w:val="24"/>
          <w:lang w:val="en-US" w:eastAsia="zh-CN"/>
        </w:rPr>
      </w:pPr>
      <w:r>
        <w:rPr>
          <w:rFonts w:hint="eastAsia" w:ascii="宋体" w:hAnsi="Times New Roman" w:eastAsia="宋体" w:cs="Times New Roman"/>
          <w:spacing w:val="-2"/>
          <w:sz w:val="24"/>
          <w:szCs w:val="24"/>
          <w:lang w:val="en-US" w:eastAsia="zh-CN"/>
        </w:rPr>
        <w:t>4、</w:t>
      </w:r>
      <w:r>
        <w:rPr>
          <w:rFonts w:ascii="宋体" w:hAnsi="Times New Roman" w:eastAsia="宋体" w:cs="Times New Roman"/>
          <w:spacing w:val="-2"/>
          <w:sz w:val="24"/>
          <w:szCs w:val="24"/>
        </w:rPr>
        <w:t>人员配备及安排方案</w:t>
      </w:r>
      <w:r>
        <w:rPr>
          <w:rFonts w:hint="eastAsia" w:ascii="宋体" w:hAnsi="Times New Roman" w:eastAsia="宋体" w:cs="Times New Roman"/>
          <w:spacing w:val="-2"/>
          <w:sz w:val="24"/>
          <w:szCs w:val="24"/>
          <w:lang w:val="en-US" w:eastAsia="zh-CN"/>
        </w:rPr>
        <w:t>。</w:t>
      </w:r>
    </w:p>
    <w:p w14:paraId="30D6D92A">
      <w:pPr>
        <w:ind w:firstLine="472" w:firstLineChars="200"/>
        <w:jc w:val="left"/>
        <w:outlineLvl w:val="0"/>
        <w:rPr>
          <w:rFonts w:hint="eastAsia" w:ascii="宋体" w:hAnsi="Times New Roman" w:eastAsia="宋体" w:cs="Times New Roman"/>
          <w:spacing w:val="-2"/>
          <w:sz w:val="24"/>
          <w:szCs w:val="24"/>
          <w:lang w:val="en-US" w:eastAsia="zh-CN"/>
        </w:rPr>
      </w:pPr>
      <w:r>
        <w:rPr>
          <w:rFonts w:hint="eastAsia" w:ascii="宋体" w:hAnsi="Times New Roman" w:eastAsia="宋体" w:cs="Times New Roman"/>
          <w:spacing w:val="-2"/>
          <w:sz w:val="24"/>
          <w:szCs w:val="24"/>
          <w:lang w:val="en-US" w:eastAsia="zh-CN"/>
        </w:rPr>
        <w:t>5、</w:t>
      </w:r>
      <w:r>
        <w:rPr>
          <w:rFonts w:ascii="宋体" w:hAnsi="Times New Roman" w:eastAsia="宋体" w:cs="Times New Roman"/>
          <w:spacing w:val="-2"/>
          <w:sz w:val="24"/>
          <w:szCs w:val="24"/>
        </w:rPr>
        <w:t>安全保证措施</w:t>
      </w:r>
      <w:r>
        <w:rPr>
          <w:rFonts w:hint="eastAsia" w:ascii="宋体" w:hAnsi="Times New Roman" w:eastAsia="宋体" w:cs="Times New Roman"/>
          <w:spacing w:val="-2"/>
          <w:sz w:val="24"/>
          <w:szCs w:val="24"/>
          <w:lang w:val="en-US" w:eastAsia="zh-CN"/>
        </w:rPr>
        <w:t>及</w:t>
      </w:r>
      <w:r>
        <w:rPr>
          <w:spacing w:val="-4"/>
          <w:sz w:val="24"/>
          <w:szCs w:val="24"/>
        </w:rPr>
        <w:t>重难点</w:t>
      </w:r>
      <w:r>
        <w:rPr>
          <w:spacing w:val="-7"/>
          <w:sz w:val="24"/>
          <w:szCs w:val="24"/>
        </w:rPr>
        <w:t>分析</w:t>
      </w:r>
      <w:r>
        <w:rPr>
          <w:rFonts w:hint="eastAsia" w:ascii="宋体" w:hAnsi="Times New Roman" w:eastAsia="宋体" w:cs="Times New Roman"/>
          <w:spacing w:val="-2"/>
          <w:sz w:val="24"/>
          <w:szCs w:val="24"/>
          <w:lang w:val="en-US" w:eastAsia="zh-CN"/>
        </w:rPr>
        <w:t>。</w:t>
      </w:r>
    </w:p>
    <w:p w14:paraId="6D22FD49">
      <w:pPr>
        <w:ind w:firstLine="472" w:firstLineChars="200"/>
        <w:jc w:val="left"/>
        <w:outlineLvl w:val="0"/>
        <w:rPr>
          <w:rFonts w:hint="default" w:ascii="宋体" w:hAnsi="Times New Roman" w:eastAsia="宋体" w:cs="Times New Roman"/>
          <w:spacing w:val="-2"/>
          <w:sz w:val="24"/>
          <w:szCs w:val="24"/>
          <w:lang w:val="en-US" w:eastAsia="zh-CN"/>
        </w:rPr>
      </w:pPr>
      <w:r>
        <w:rPr>
          <w:rFonts w:hint="eastAsia" w:ascii="宋体" w:hAnsi="Times New Roman" w:eastAsia="宋体" w:cs="Times New Roman"/>
          <w:spacing w:val="-2"/>
          <w:sz w:val="24"/>
          <w:szCs w:val="24"/>
          <w:lang w:val="en-US" w:eastAsia="zh-CN"/>
        </w:rPr>
        <w:t>6、售后服务方案。</w:t>
      </w:r>
    </w:p>
    <w:p w14:paraId="64E818B5">
      <w:pPr>
        <w:ind w:firstLine="612" w:firstLineChars="255"/>
        <w:rPr>
          <w:rFonts w:hAnsi="宋体" w:cs="宋体"/>
        </w:rPr>
      </w:pPr>
      <w:r>
        <w:rPr>
          <w:rFonts w:ascii="仿宋" w:hAnsi="仿宋"/>
          <w:sz w:val="24"/>
          <w:szCs w:val="24"/>
        </w:rPr>
        <w:br w:type="page"/>
      </w:r>
    </w:p>
    <w:p w14:paraId="4A8F5095">
      <w:pPr>
        <w:pStyle w:val="20"/>
        <w:spacing w:line="360" w:lineRule="auto"/>
        <w:jc w:val="both"/>
        <w:rPr>
          <w:rFonts w:hint="eastAsia" w:hAnsi="宋体"/>
          <w:b/>
          <w:sz w:val="24"/>
          <w:szCs w:val="24"/>
          <w:lang w:val="en-US" w:eastAsia="zh-CN"/>
        </w:rPr>
      </w:pPr>
      <w:r>
        <w:rPr>
          <w:rFonts w:hint="eastAsia" w:hAnsi="宋体"/>
          <w:b/>
          <w:sz w:val="24"/>
          <w:szCs w:val="24"/>
          <w:lang w:val="en-US" w:eastAsia="zh-CN"/>
        </w:rPr>
        <w:t>附件1：人员配备一览表</w:t>
      </w:r>
    </w:p>
    <w:tbl>
      <w:tblPr>
        <w:tblStyle w:val="3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63"/>
        <w:gridCol w:w="1260"/>
        <w:gridCol w:w="1208"/>
        <w:gridCol w:w="1121"/>
        <w:gridCol w:w="1346"/>
        <w:gridCol w:w="1069"/>
        <w:gridCol w:w="1069"/>
      </w:tblGrid>
      <w:tr w14:paraId="4E77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bottom"/>
          </w:tcPr>
          <w:p w14:paraId="0196EBB2">
            <w:pPr>
              <w:pStyle w:val="20"/>
              <w:spacing w:line="360" w:lineRule="auto"/>
              <w:jc w:val="center"/>
              <w:rPr>
                <w:rFonts w:hint="eastAsia" w:hAnsi="宋体"/>
                <w:b/>
                <w:sz w:val="24"/>
                <w:szCs w:val="24"/>
                <w:vertAlign w:val="baseline"/>
                <w:lang w:val="en-US" w:eastAsia="zh-CN"/>
              </w:rPr>
            </w:pPr>
            <w:r>
              <w:rPr>
                <w:rFonts w:hint="eastAsia" w:hAnsi="宋体"/>
                <w:b/>
                <w:sz w:val="24"/>
                <w:szCs w:val="24"/>
                <w:vertAlign w:val="baseline"/>
                <w:lang w:val="en-US" w:eastAsia="zh-CN"/>
              </w:rPr>
              <w:t>序号</w:t>
            </w:r>
          </w:p>
        </w:tc>
        <w:tc>
          <w:tcPr>
            <w:tcW w:w="1363" w:type="dxa"/>
            <w:vAlign w:val="bottom"/>
          </w:tcPr>
          <w:p w14:paraId="4DFE9BA5">
            <w:pPr>
              <w:pStyle w:val="20"/>
              <w:spacing w:line="360" w:lineRule="auto"/>
              <w:jc w:val="center"/>
              <w:rPr>
                <w:rFonts w:hint="eastAsia" w:hAnsi="宋体"/>
                <w:b/>
                <w:sz w:val="24"/>
                <w:szCs w:val="24"/>
                <w:vertAlign w:val="baseline"/>
                <w:lang w:val="en-US" w:eastAsia="zh-CN"/>
              </w:rPr>
            </w:pPr>
            <w:r>
              <w:rPr>
                <w:rFonts w:hint="eastAsia" w:hAnsi="宋体"/>
                <w:b/>
                <w:sz w:val="24"/>
                <w:szCs w:val="24"/>
                <w:vertAlign w:val="baseline"/>
                <w:lang w:val="en-US" w:eastAsia="zh-CN"/>
              </w:rPr>
              <w:t>姓名</w:t>
            </w:r>
          </w:p>
        </w:tc>
        <w:tc>
          <w:tcPr>
            <w:tcW w:w="1260" w:type="dxa"/>
            <w:vAlign w:val="bottom"/>
          </w:tcPr>
          <w:p w14:paraId="2E90507A">
            <w:pPr>
              <w:pStyle w:val="20"/>
              <w:spacing w:line="360" w:lineRule="auto"/>
              <w:jc w:val="center"/>
              <w:rPr>
                <w:rFonts w:hint="eastAsia" w:hAnsi="宋体"/>
                <w:b/>
                <w:sz w:val="24"/>
                <w:szCs w:val="24"/>
                <w:vertAlign w:val="baseline"/>
                <w:lang w:val="en-US" w:eastAsia="zh-CN"/>
              </w:rPr>
            </w:pPr>
            <w:r>
              <w:rPr>
                <w:rFonts w:hint="eastAsia" w:hAnsi="宋体"/>
                <w:b/>
                <w:sz w:val="24"/>
                <w:szCs w:val="24"/>
                <w:vertAlign w:val="baseline"/>
                <w:lang w:val="en-US" w:eastAsia="zh-CN"/>
              </w:rPr>
              <w:t>性别</w:t>
            </w:r>
          </w:p>
        </w:tc>
        <w:tc>
          <w:tcPr>
            <w:tcW w:w="1208" w:type="dxa"/>
            <w:vAlign w:val="bottom"/>
          </w:tcPr>
          <w:p w14:paraId="14E0D590">
            <w:pPr>
              <w:pStyle w:val="20"/>
              <w:spacing w:line="360" w:lineRule="auto"/>
              <w:jc w:val="center"/>
              <w:rPr>
                <w:rFonts w:hint="eastAsia" w:hAnsi="宋体"/>
                <w:b/>
                <w:sz w:val="24"/>
                <w:szCs w:val="24"/>
                <w:vertAlign w:val="baseline"/>
                <w:lang w:val="en-US" w:eastAsia="zh-CN"/>
              </w:rPr>
            </w:pPr>
            <w:r>
              <w:rPr>
                <w:rFonts w:hint="eastAsia" w:hAnsi="宋体"/>
                <w:b/>
                <w:sz w:val="24"/>
                <w:szCs w:val="24"/>
                <w:vertAlign w:val="baseline"/>
                <w:lang w:val="en-US" w:eastAsia="zh-CN"/>
              </w:rPr>
              <w:t>年龄</w:t>
            </w:r>
          </w:p>
        </w:tc>
        <w:tc>
          <w:tcPr>
            <w:tcW w:w="1121" w:type="dxa"/>
            <w:vAlign w:val="bottom"/>
          </w:tcPr>
          <w:p w14:paraId="4C4E98AA">
            <w:pPr>
              <w:pStyle w:val="20"/>
              <w:spacing w:line="360" w:lineRule="auto"/>
              <w:jc w:val="center"/>
              <w:rPr>
                <w:rFonts w:hint="eastAsia" w:hAnsi="宋体"/>
                <w:b/>
                <w:sz w:val="24"/>
                <w:szCs w:val="24"/>
                <w:vertAlign w:val="baseline"/>
                <w:lang w:val="en-US" w:eastAsia="zh-CN"/>
              </w:rPr>
            </w:pPr>
            <w:r>
              <w:rPr>
                <w:rFonts w:hint="eastAsia" w:hAnsi="宋体"/>
                <w:b/>
                <w:sz w:val="24"/>
                <w:szCs w:val="24"/>
                <w:vertAlign w:val="baseline"/>
                <w:lang w:val="en-US" w:eastAsia="zh-CN"/>
              </w:rPr>
              <w:t>学历</w:t>
            </w:r>
          </w:p>
        </w:tc>
        <w:tc>
          <w:tcPr>
            <w:tcW w:w="1346" w:type="dxa"/>
            <w:vAlign w:val="bottom"/>
          </w:tcPr>
          <w:p w14:paraId="610AEAE6">
            <w:pPr>
              <w:pStyle w:val="20"/>
              <w:spacing w:line="360" w:lineRule="auto"/>
              <w:jc w:val="center"/>
              <w:rPr>
                <w:rFonts w:hint="eastAsia" w:hAnsi="宋体"/>
                <w:b/>
                <w:sz w:val="24"/>
                <w:szCs w:val="24"/>
                <w:vertAlign w:val="baseline"/>
                <w:lang w:val="en-US" w:eastAsia="zh-CN"/>
              </w:rPr>
            </w:pPr>
            <w:r>
              <w:rPr>
                <w:rFonts w:hint="eastAsia" w:hAnsi="宋体"/>
                <w:b/>
                <w:sz w:val="24"/>
                <w:szCs w:val="24"/>
                <w:vertAlign w:val="baseline"/>
                <w:lang w:val="en-US" w:eastAsia="zh-CN"/>
              </w:rPr>
              <w:t>资质证书</w:t>
            </w:r>
          </w:p>
        </w:tc>
        <w:tc>
          <w:tcPr>
            <w:tcW w:w="1069" w:type="dxa"/>
            <w:vAlign w:val="bottom"/>
          </w:tcPr>
          <w:p w14:paraId="6AB6FA9F">
            <w:pPr>
              <w:pStyle w:val="20"/>
              <w:spacing w:line="360" w:lineRule="auto"/>
              <w:jc w:val="center"/>
              <w:rPr>
                <w:rFonts w:hint="eastAsia" w:hAnsi="宋体"/>
                <w:b/>
                <w:sz w:val="24"/>
                <w:szCs w:val="24"/>
                <w:vertAlign w:val="baseline"/>
                <w:lang w:val="en-US" w:eastAsia="zh-CN"/>
              </w:rPr>
            </w:pPr>
            <w:r>
              <w:rPr>
                <w:rFonts w:hint="eastAsia" w:hAnsi="宋体"/>
                <w:b/>
                <w:sz w:val="24"/>
                <w:szCs w:val="24"/>
                <w:vertAlign w:val="baseline"/>
                <w:lang w:val="en-US" w:eastAsia="zh-CN"/>
              </w:rPr>
              <w:t>职称</w:t>
            </w:r>
          </w:p>
        </w:tc>
        <w:tc>
          <w:tcPr>
            <w:tcW w:w="1069" w:type="dxa"/>
            <w:vAlign w:val="bottom"/>
          </w:tcPr>
          <w:p w14:paraId="3BB99202">
            <w:pPr>
              <w:pStyle w:val="20"/>
              <w:spacing w:line="360" w:lineRule="auto"/>
              <w:jc w:val="center"/>
              <w:rPr>
                <w:rFonts w:hint="eastAsia" w:hAnsi="宋体"/>
                <w:b/>
                <w:sz w:val="24"/>
                <w:szCs w:val="24"/>
                <w:vertAlign w:val="baseline"/>
                <w:lang w:val="en-US" w:eastAsia="zh-CN"/>
              </w:rPr>
            </w:pPr>
            <w:r>
              <w:rPr>
                <w:rFonts w:hint="eastAsia" w:hAnsi="宋体"/>
                <w:b/>
                <w:sz w:val="24"/>
                <w:szCs w:val="24"/>
                <w:vertAlign w:val="baseline"/>
                <w:lang w:val="en-US" w:eastAsia="zh-CN"/>
              </w:rPr>
              <w:t>备注</w:t>
            </w:r>
          </w:p>
        </w:tc>
      </w:tr>
      <w:tr w14:paraId="5527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7411163">
            <w:pPr>
              <w:pStyle w:val="20"/>
              <w:spacing w:line="360" w:lineRule="auto"/>
              <w:jc w:val="center"/>
              <w:rPr>
                <w:rFonts w:hint="eastAsia" w:hAnsi="宋体"/>
                <w:b/>
                <w:sz w:val="24"/>
                <w:szCs w:val="24"/>
                <w:vertAlign w:val="baseline"/>
                <w:lang w:val="en-US" w:eastAsia="zh-CN"/>
              </w:rPr>
            </w:pPr>
          </w:p>
        </w:tc>
        <w:tc>
          <w:tcPr>
            <w:tcW w:w="1363" w:type="dxa"/>
          </w:tcPr>
          <w:p w14:paraId="4A100BFE">
            <w:pPr>
              <w:pStyle w:val="20"/>
              <w:spacing w:line="360" w:lineRule="auto"/>
              <w:jc w:val="center"/>
              <w:rPr>
                <w:rFonts w:hint="eastAsia" w:hAnsi="宋体"/>
                <w:b/>
                <w:sz w:val="24"/>
                <w:szCs w:val="24"/>
                <w:vertAlign w:val="baseline"/>
                <w:lang w:val="en-US" w:eastAsia="zh-CN"/>
              </w:rPr>
            </w:pPr>
          </w:p>
        </w:tc>
        <w:tc>
          <w:tcPr>
            <w:tcW w:w="1260" w:type="dxa"/>
          </w:tcPr>
          <w:p w14:paraId="25C7B79D">
            <w:pPr>
              <w:pStyle w:val="20"/>
              <w:spacing w:line="360" w:lineRule="auto"/>
              <w:jc w:val="center"/>
              <w:rPr>
                <w:rFonts w:hint="eastAsia" w:hAnsi="宋体"/>
                <w:b/>
                <w:sz w:val="24"/>
                <w:szCs w:val="24"/>
                <w:vertAlign w:val="baseline"/>
                <w:lang w:val="en-US" w:eastAsia="zh-CN"/>
              </w:rPr>
            </w:pPr>
          </w:p>
        </w:tc>
        <w:tc>
          <w:tcPr>
            <w:tcW w:w="1208" w:type="dxa"/>
          </w:tcPr>
          <w:p w14:paraId="61486821">
            <w:pPr>
              <w:pStyle w:val="20"/>
              <w:spacing w:line="360" w:lineRule="auto"/>
              <w:jc w:val="center"/>
              <w:rPr>
                <w:rFonts w:hint="eastAsia" w:hAnsi="宋体"/>
                <w:b/>
                <w:sz w:val="24"/>
                <w:szCs w:val="24"/>
                <w:vertAlign w:val="baseline"/>
                <w:lang w:val="en-US" w:eastAsia="zh-CN"/>
              </w:rPr>
            </w:pPr>
          </w:p>
        </w:tc>
        <w:tc>
          <w:tcPr>
            <w:tcW w:w="1121" w:type="dxa"/>
          </w:tcPr>
          <w:p w14:paraId="1EE06675">
            <w:pPr>
              <w:pStyle w:val="20"/>
              <w:spacing w:line="360" w:lineRule="auto"/>
              <w:jc w:val="center"/>
              <w:rPr>
                <w:rFonts w:hint="eastAsia" w:hAnsi="宋体"/>
                <w:b/>
                <w:sz w:val="24"/>
                <w:szCs w:val="24"/>
                <w:vertAlign w:val="baseline"/>
                <w:lang w:val="en-US" w:eastAsia="zh-CN"/>
              </w:rPr>
            </w:pPr>
          </w:p>
        </w:tc>
        <w:tc>
          <w:tcPr>
            <w:tcW w:w="1346" w:type="dxa"/>
          </w:tcPr>
          <w:p w14:paraId="35F2D821">
            <w:pPr>
              <w:pStyle w:val="20"/>
              <w:spacing w:line="360" w:lineRule="auto"/>
              <w:jc w:val="center"/>
              <w:rPr>
                <w:rFonts w:hint="eastAsia" w:hAnsi="宋体"/>
                <w:b/>
                <w:sz w:val="24"/>
                <w:szCs w:val="24"/>
                <w:vertAlign w:val="baseline"/>
                <w:lang w:val="en-US" w:eastAsia="zh-CN"/>
              </w:rPr>
            </w:pPr>
          </w:p>
        </w:tc>
        <w:tc>
          <w:tcPr>
            <w:tcW w:w="1069" w:type="dxa"/>
          </w:tcPr>
          <w:p w14:paraId="606D7DE7">
            <w:pPr>
              <w:pStyle w:val="20"/>
              <w:spacing w:line="360" w:lineRule="auto"/>
              <w:jc w:val="center"/>
              <w:rPr>
                <w:rFonts w:hint="eastAsia" w:hAnsi="宋体"/>
                <w:b/>
                <w:sz w:val="24"/>
                <w:szCs w:val="24"/>
                <w:vertAlign w:val="baseline"/>
                <w:lang w:val="en-US" w:eastAsia="zh-CN"/>
              </w:rPr>
            </w:pPr>
          </w:p>
        </w:tc>
        <w:tc>
          <w:tcPr>
            <w:tcW w:w="1069" w:type="dxa"/>
          </w:tcPr>
          <w:p w14:paraId="4430F44E">
            <w:pPr>
              <w:pStyle w:val="20"/>
              <w:spacing w:line="360" w:lineRule="auto"/>
              <w:jc w:val="center"/>
              <w:rPr>
                <w:rFonts w:hint="eastAsia" w:hAnsi="宋体"/>
                <w:b/>
                <w:sz w:val="24"/>
                <w:szCs w:val="24"/>
                <w:vertAlign w:val="baseline"/>
                <w:lang w:val="en-US" w:eastAsia="zh-CN"/>
              </w:rPr>
            </w:pPr>
          </w:p>
        </w:tc>
      </w:tr>
      <w:tr w14:paraId="4012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F7FE961">
            <w:pPr>
              <w:pStyle w:val="20"/>
              <w:spacing w:line="360" w:lineRule="auto"/>
              <w:jc w:val="center"/>
              <w:rPr>
                <w:rFonts w:hint="eastAsia" w:hAnsi="宋体"/>
                <w:b/>
                <w:sz w:val="24"/>
                <w:szCs w:val="24"/>
                <w:vertAlign w:val="baseline"/>
                <w:lang w:val="en-US" w:eastAsia="zh-CN"/>
              </w:rPr>
            </w:pPr>
          </w:p>
        </w:tc>
        <w:tc>
          <w:tcPr>
            <w:tcW w:w="1363" w:type="dxa"/>
          </w:tcPr>
          <w:p w14:paraId="7086746A">
            <w:pPr>
              <w:pStyle w:val="20"/>
              <w:spacing w:line="360" w:lineRule="auto"/>
              <w:jc w:val="center"/>
              <w:rPr>
                <w:rFonts w:hint="eastAsia" w:hAnsi="宋体"/>
                <w:b/>
                <w:sz w:val="24"/>
                <w:szCs w:val="24"/>
                <w:vertAlign w:val="baseline"/>
                <w:lang w:val="en-US" w:eastAsia="zh-CN"/>
              </w:rPr>
            </w:pPr>
          </w:p>
        </w:tc>
        <w:tc>
          <w:tcPr>
            <w:tcW w:w="1260" w:type="dxa"/>
          </w:tcPr>
          <w:p w14:paraId="6A787CFB">
            <w:pPr>
              <w:pStyle w:val="20"/>
              <w:spacing w:line="360" w:lineRule="auto"/>
              <w:jc w:val="center"/>
              <w:rPr>
                <w:rFonts w:hint="eastAsia" w:hAnsi="宋体"/>
                <w:b/>
                <w:sz w:val="24"/>
                <w:szCs w:val="24"/>
                <w:vertAlign w:val="baseline"/>
                <w:lang w:val="en-US" w:eastAsia="zh-CN"/>
              </w:rPr>
            </w:pPr>
          </w:p>
        </w:tc>
        <w:tc>
          <w:tcPr>
            <w:tcW w:w="1208" w:type="dxa"/>
          </w:tcPr>
          <w:p w14:paraId="3842C317">
            <w:pPr>
              <w:pStyle w:val="20"/>
              <w:spacing w:line="360" w:lineRule="auto"/>
              <w:jc w:val="center"/>
              <w:rPr>
                <w:rFonts w:hint="eastAsia" w:hAnsi="宋体"/>
                <w:b/>
                <w:sz w:val="24"/>
                <w:szCs w:val="24"/>
                <w:vertAlign w:val="baseline"/>
                <w:lang w:val="en-US" w:eastAsia="zh-CN"/>
              </w:rPr>
            </w:pPr>
          </w:p>
        </w:tc>
        <w:tc>
          <w:tcPr>
            <w:tcW w:w="1121" w:type="dxa"/>
          </w:tcPr>
          <w:p w14:paraId="4597F071">
            <w:pPr>
              <w:pStyle w:val="20"/>
              <w:spacing w:line="360" w:lineRule="auto"/>
              <w:jc w:val="center"/>
              <w:rPr>
                <w:rFonts w:hint="eastAsia" w:hAnsi="宋体"/>
                <w:b/>
                <w:sz w:val="24"/>
                <w:szCs w:val="24"/>
                <w:vertAlign w:val="baseline"/>
                <w:lang w:val="en-US" w:eastAsia="zh-CN"/>
              </w:rPr>
            </w:pPr>
          </w:p>
        </w:tc>
        <w:tc>
          <w:tcPr>
            <w:tcW w:w="1346" w:type="dxa"/>
          </w:tcPr>
          <w:p w14:paraId="64F097C3">
            <w:pPr>
              <w:pStyle w:val="20"/>
              <w:spacing w:line="360" w:lineRule="auto"/>
              <w:jc w:val="center"/>
              <w:rPr>
                <w:rFonts w:hint="eastAsia" w:hAnsi="宋体"/>
                <w:b/>
                <w:sz w:val="24"/>
                <w:szCs w:val="24"/>
                <w:vertAlign w:val="baseline"/>
                <w:lang w:val="en-US" w:eastAsia="zh-CN"/>
              </w:rPr>
            </w:pPr>
          </w:p>
        </w:tc>
        <w:tc>
          <w:tcPr>
            <w:tcW w:w="1069" w:type="dxa"/>
          </w:tcPr>
          <w:p w14:paraId="0ABCE30E">
            <w:pPr>
              <w:pStyle w:val="20"/>
              <w:spacing w:line="360" w:lineRule="auto"/>
              <w:jc w:val="center"/>
              <w:rPr>
                <w:rFonts w:hint="eastAsia" w:hAnsi="宋体"/>
                <w:b/>
                <w:sz w:val="24"/>
                <w:szCs w:val="24"/>
                <w:vertAlign w:val="baseline"/>
                <w:lang w:val="en-US" w:eastAsia="zh-CN"/>
              </w:rPr>
            </w:pPr>
          </w:p>
        </w:tc>
        <w:tc>
          <w:tcPr>
            <w:tcW w:w="1069" w:type="dxa"/>
          </w:tcPr>
          <w:p w14:paraId="3744EAA0">
            <w:pPr>
              <w:pStyle w:val="20"/>
              <w:spacing w:line="360" w:lineRule="auto"/>
              <w:jc w:val="center"/>
              <w:rPr>
                <w:rFonts w:hint="eastAsia" w:hAnsi="宋体"/>
                <w:b/>
                <w:sz w:val="24"/>
                <w:szCs w:val="24"/>
                <w:vertAlign w:val="baseline"/>
                <w:lang w:val="en-US" w:eastAsia="zh-CN"/>
              </w:rPr>
            </w:pPr>
          </w:p>
        </w:tc>
      </w:tr>
      <w:tr w14:paraId="12AC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06FCE83">
            <w:pPr>
              <w:pStyle w:val="20"/>
              <w:spacing w:line="360" w:lineRule="auto"/>
              <w:jc w:val="center"/>
              <w:rPr>
                <w:rFonts w:hint="eastAsia" w:hAnsi="宋体"/>
                <w:b/>
                <w:sz w:val="24"/>
                <w:szCs w:val="24"/>
                <w:vertAlign w:val="baseline"/>
                <w:lang w:val="en-US" w:eastAsia="zh-CN"/>
              </w:rPr>
            </w:pPr>
          </w:p>
        </w:tc>
        <w:tc>
          <w:tcPr>
            <w:tcW w:w="1363" w:type="dxa"/>
          </w:tcPr>
          <w:p w14:paraId="0E575997">
            <w:pPr>
              <w:pStyle w:val="20"/>
              <w:spacing w:line="360" w:lineRule="auto"/>
              <w:jc w:val="center"/>
              <w:rPr>
                <w:rFonts w:hint="eastAsia" w:hAnsi="宋体"/>
                <w:b/>
                <w:sz w:val="24"/>
                <w:szCs w:val="24"/>
                <w:vertAlign w:val="baseline"/>
                <w:lang w:val="en-US" w:eastAsia="zh-CN"/>
              </w:rPr>
            </w:pPr>
          </w:p>
        </w:tc>
        <w:tc>
          <w:tcPr>
            <w:tcW w:w="1260" w:type="dxa"/>
          </w:tcPr>
          <w:p w14:paraId="3BCDC066">
            <w:pPr>
              <w:pStyle w:val="20"/>
              <w:spacing w:line="360" w:lineRule="auto"/>
              <w:jc w:val="center"/>
              <w:rPr>
                <w:rFonts w:hint="eastAsia" w:hAnsi="宋体"/>
                <w:b/>
                <w:sz w:val="24"/>
                <w:szCs w:val="24"/>
                <w:vertAlign w:val="baseline"/>
                <w:lang w:val="en-US" w:eastAsia="zh-CN"/>
              </w:rPr>
            </w:pPr>
          </w:p>
        </w:tc>
        <w:tc>
          <w:tcPr>
            <w:tcW w:w="1208" w:type="dxa"/>
          </w:tcPr>
          <w:p w14:paraId="09493F2F">
            <w:pPr>
              <w:pStyle w:val="20"/>
              <w:spacing w:line="360" w:lineRule="auto"/>
              <w:jc w:val="center"/>
              <w:rPr>
                <w:rFonts w:hint="eastAsia" w:hAnsi="宋体"/>
                <w:b/>
                <w:sz w:val="24"/>
                <w:szCs w:val="24"/>
                <w:vertAlign w:val="baseline"/>
                <w:lang w:val="en-US" w:eastAsia="zh-CN"/>
              </w:rPr>
            </w:pPr>
          </w:p>
        </w:tc>
        <w:tc>
          <w:tcPr>
            <w:tcW w:w="1121" w:type="dxa"/>
          </w:tcPr>
          <w:p w14:paraId="5AE8A310">
            <w:pPr>
              <w:pStyle w:val="20"/>
              <w:spacing w:line="360" w:lineRule="auto"/>
              <w:jc w:val="center"/>
              <w:rPr>
                <w:rFonts w:hint="eastAsia" w:hAnsi="宋体"/>
                <w:b/>
                <w:sz w:val="24"/>
                <w:szCs w:val="24"/>
                <w:vertAlign w:val="baseline"/>
                <w:lang w:val="en-US" w:eastAsia="zh-CN"/>
              </w:rPr>
            </w:pPr>
          </w:p>
        </w:tc>
        <w:tc>
          <w:tcPr>
            <w:tcW w:w="1346" w:type="dxa"/>
          </w:tcPr>
          <w:p w14:paraId="3573E400">
            <w:pPr>
              <w:pStyle w:val="20"/>
              <w:spacing w:line="360" w:lineRule="auto"/>
              <w:jc w:val="center"/>
              <w:rPr>
                <w:rFonts w:hint="eastAsia" w:hAnsi="宋体"/>
                <w:b/>
                <w:sz w:val="24"/>
                <w:szCs w:val="24"/>
                <w:vertAlign w:val="baseline"/>
                <w:lang w:val="en-US" w:eastAsia="zh-CN"/>
              </w:rPr>
            </w:pPr>
          </w:p>
        </w:tc>
        <w:tc>
          <w:tcPr>
            <w:tcW w:w="1069" w:type="dxa"/>
          </w:tcPr>
          <w:p w14:paraId="23F44048">
            <w:pPr>
              <w:pStyle w:val="20"/>
              <w:spacing w:line="360" w:lineRule="auto"/>
              <w:jc w:val="center"/>
              <w:rPr>
                <w:rFonts w:hint="eastAsia" w:hAnsi="宋体"/>
                <w:b/>
                <w:sz w:val="24"/>
                <w:szCs w:val="24"/>
                <w:vertAlign w:val="baseline"/>
                <w:lang w:val="en-US" w:eastAsia="zh-CN"/>
              </w:rPr>
            </w:pPr>
          </w:p>
        </w:tc>
        <w:tc>
          <w:tcPr>
            <w:tcW w:w="1069" w:type="dxa"/>
          </w:tcPr>
          <w:p w14:paraId="115D447F">
            <w:pPr>
              <w:pStyle w:val="20"/>
              <w:spacing w:line="360" w:lineRule="auto"/>
              <w:jc w:val="center"/>
              <w:rPr>
                <w:rFonts w:hint="eastAsia" w:hAnsi="宋体"/>
                <w:b/>
                <w:sz w:val="24"/>
                <w:szCs w:val="24"/>
                <w:vertAlign w:val="baseline"/>
                <w:lang w:val="en-US" w:eastAsia="zh-CN"/>
              </w:rPr>
            </w:pPr>
          </w:p>
        </w:tc>
      </w:tr>
      <w:tr w14:paraId="7C8B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04F91ED">
            <w:pPr>
              <w:pStyle w:val="20"/>
              <w:spacing w:line="360" w:lineRule="auto"/>
              <w:jc w:val="center"/>
              <w:rPr>
                <w:rFonts w:hint="eastAsia" w:hAnsi="宋体"/>
                <w:b/>
                <w:sz w:val="24"/>
                <w:szCs w:val="24"/>
                <w:vertAlign w:val="baseline"/>
                <w:lang w:val="en-US" w:eastAsia="zh-CN"/>
              </w:rPr>
            </w:pPr>
          </w:p>
        </w:tc>
        <w:tc>
          <w:tcPr>
            <w:tcW w:w="1363" w:type="dxa"/>
          </w:tcPr>
          <w:p w14:paraId="182BCF3D">
            <w:pPr>
              <w:pStyle w:val="20"/>
              <w:spacing w:line="360" w:lineRule="auto"/>
              <w:jc w:val="center"/>
              <w:rPr>
                <w:rFonts w:hint="eastAsia" w:hAnsi="宋体"/>
                <w:b/>
                <w:sz w:val="24"/>
                <w:szCs w:val="24"/>
                <w:vertAlign w:val="baseline"/>
                <w:lang w:val="en-US" w:eastAsia="zh-CN"/>
              </w:rPr>
            </w:pPr>
          </w:p>
        </w:tc>
        <w:tc>
          <w:tcPr>
            <w:tcW w:w="1260" w:type="dxa"/>
          </w:tcPr>
          <w:p w14:paraId="0BBB15F9">
            <w:pPr>
              <w:pStyle w:val="20"/>
              <w:spacing w:line="360" w:lineRule="auto"/>
              <w:jc w:val="center"/>
              <w:rPr>
                <w:rFonts w:hint="eastAsia" w:hAnsi="宋体"/>
                <w:b/>
                <w:sz w:val="24"/>
                <w:szCs w:val="24"/>
                <w:vertAlign w:val="baseline"/>
                <w:lang w:val="en-US" w:eastAsia="zh-CN"/>
              </w:rPr>
            </w:pPr>
          </w:p>
        </w:tc>
        <w:tc>
          <w:tcPr>
            <w:tcW w:w="1208" w:type="dxa"/>
          </w:tcPr>
          <w:p w14:paraId="4025A080">
            <w:pPr>
              <w:pStyle w:val="20"/>
              <w:spacing w:line="360" w:lineRule="auto"/>
              <w:jc w:val="center"/>
              <w:rPr>
                <w:rFonts w:hint="eastAsia" w:hAnsi="宋体"/>
                <w:b/>
                <w:sz w:val="24"/>
                <w:szCs w:val="24"/>
                <w:vertAlign w:val="baseline"/>
                <w:lang w:val="en-US" w:eastAsia="zh-CN"/>
              </w:rPr>
            </w:pPr>
          </w:p>
        </w:tc>
        <w:tc>
          <w:tcPr>
            <w:tcW w:w="1121" w:type="dxa"/>
          </w:tcPr>
          <w:p w14:paraId="0A496AF3">
            <w:pPr>
              <w:pStyle w:val="20"/>
              <w:spacing w:line="360" w:lineRule="auto"/>
              <w:jc w:val="center"/>
              <w:rPr>
                <w:rFonts w:hint="eastAsia" w:hAnsi="宋体"/>
                <w:b/>
                <w:sz w:val="24"/>
                <w:szCs w:val="24"/>
                <w:vertAlign w:val="baseline"/>
                <w:lang w:val="en-US" w:eastAsia="zh-CN"/>
              </w:rPr>
            </w:pPr>
          </w:p>
        </w:tc>
        <w:tc>
          <w:tcPr>
            <w:tcW w:w="1346" w:type="dxa"/>
          </w:tcPr>
          <w:p w14:paraId="6FAC3A28">
            <w:pPr>
              <w:pStyle w:val="20"/>
              <w:spacing w:line="360" w:lineRule="auto"/>
              <w:jc w:val="center"/>
              <w:rPr>
                <w:rFonts w:hint="eastAsia" w:hAnsi="宋体"/>
                <w:b/>
                <w:sz w:val="24"/>
                <w:szCs w:val="24"/>
                <w:vertAlign w:val="baseline"/>
                <w:lang w:val="en-US" w:eastAsia="zh-CN"/>
              </w:rPr>
            </w:pPr>
          </w:p>
        </w:tc>
        <w:tc>
          <w:tcPr>
            <w:tcW w:w="1069" w:type="dxa"/>
          </w:tcPr>
          <w:p w14:paraId="6566A663">
            <w:pPr>
              <w:pStyle w:val="20"/>
              <w:spacing w:line="360" w:lineRule="auto"/>
              <w:jc w:val="center"/>
              <w:rPr>
                <w:rFonts w:hint="eastAsia" w:hAnsi="宋体"/>
                <w:b/>
                <w:sz w:val="24"/>
                <w:szCs w:val="24"/>
                <w:vertAlign w:val="baseline"/>
                <w:lang w:val="en-US" w:eastAsia="zh-CN"/>
              </w:rPr>
            </w:pPr>
          </w:p>
        </w:tc>
        <w:tc>
          <w:tcPr>
            <w:tcW w:w="1069" w:type="dxa"/>
          </w:tcPr>
          <w:p w14:paraId="11D08291">
            <w:pPr>
              <w:pStyle w:val="20"/>
              <w:spacing w:line="360" w:lineRule="auto"/>
              <w:jc w:val="center"/>
              <w:rPr>
                <w:rFonts w:hint="eastAsia" w:hAnsi="宋体"/>
                <w:b/>
                <w:sz w:val="24"/>
                <w:szCs w:val="24"/>
                <w:vertAlign w:val="baseline"/>
                <w:lang w:val="en-US" w:eastAsia="zh-CN"/>
              </w:rPr>
            </w:pPr>
          </w:p>
        </w:tc>
      </w:tr>
      <w:tr w14:paraId="17C8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453DEBE">
            <w:pPr>
              <w:pStyle w:val="20"/>
              <w:spacing w:line="360" w:lineRule="auto"/>
              <w:jc w:val="center"/>
              <w:rPr>
                <w:rFonts w:hint="eastAsia" w:hAnsi="宋体"/>
                <w:b/>
                <w:sz w:val="24"/>
                <w:szCs w:val="24"/>
                <w:vertAlign w:val="baseline"/>
                <w:lang w:val="en-US" w:eastAsia="zh-CN"/>
              </w:rPr>
            </w:pPr>
          </w:p>
        </w:tc>
        <w:tc>
          <w:tcPr>
            <w:tcW w:w="1363" w:type="dxa"/>
          </w:tcPr>
          <w:p w14:paraId="770DCD50">
            <w:pPr>
              <w:pStyle w:val="20"/>
              <w:spacing w:line="360" w:lineRule="auto"/>
              <w:jc w:val="center"/>
              <w:rPr>
                <w:rFonts w:hint="eastAsia" w:hAnsi="宋体"/>
                <w:b/>
                <w:sz w:val="24"/>
                <w:szCs w:val="24"/>
                <w:vertAlign w:val="baseline"/>
                <w:lang w:val="en-US" w:eastAsia="zh-CN"/>
              </w:rPr>
            </w:pPr>
          </w:p>
        </w:tc>
        <w:tc>
          <w:tcPr>
            <w:tcW w:w="1260" w:type="dxa"/>
          </w:tcPr>
          <w:p w14:paraId="0A040DF2">
            <w:pPr>
              <w:pStyle w:val="20"/>
              <w:spacing w:line="360" w:lineRule="auto"/>
              <w:jc w:val="center"/>
              <w:rPr>
                <w:rFonts w:hint="eastAsia" w:hAnsi="宋体"/>
                <w:b/>
                <w:sz w:val="24"/>
                <w:szCs w:val="24"/>
                <w:vertAlign w:val="baseline"/>
                <w:lang w:val="en-US" w:eastAsia="zh-CN"/>
              </w:rPr>
            </w:pPr>
          </w:p>
        </w:tc>
        <w:tc>
          <w:tcPr>
            <w:tcW w:w="1208" w:type="dxa"/>
          </w:tcPr>
          <w:p w14:paraId="33A8AE5B">
            <w:pPr>
              <w:pStyle w:val="20"/>
              <w:spacing w:line="360" w:lineRule="auto"/>
              <w:jc w:val="center"/>
              <w:rPr>
                <w:rFonts w:hint="eastAsia" w:hAnsi="宋体"/>
                <w:b/>
                <w:sz w:val="24"/>
                <w:szCs w:val="24"/>
                <w:vertAlign w:val="baseline"/>
                <w:lang w:val="en-US" w:eastAsia="zh-CN"/>
              </w:rPr>
            </w:pPr>
          </w:p>
        </w:tc>
        <w:tc>
          <w:tcPr>
            <w:tcW w:w="1121" w:type="dxa"/>
          </w:tcPr>
          <w:p w14:paraId="79EAF294">
            <w:pPr>
              <w:pStyle w:val="20"/>
              <w:spacing w:line="360" w:lineRule="auto"/>
              <w:jc w:val="center"/>
              <w:rPr>
                <w:rFonts w:hint="eastAsia" w:hAnsi="宋体"/>
                <w:b/>
                <w:sz w:val="24"/>
                <w:szCs w:val="24"/>
                <w:vertAlign w:val="baseline"/>
                <w:lang w:val="en-US" w:eastAsia="zh-CN"/>
              </w:rPr>
            </w:pPr>
          </w:p>
        </w:tc>
        <w:tc>
          <w:tcPr>
            <w:tcW w:w="1346" w:type="dxa"/>
          </w:tcPr>
          <w:p w14:paraId="0C6AB948">
            <w:pPr>
              <w:pStyle w:val="20"/>
              <w:spacing w:line="360" w:lineRule="auto"/>
              <w:jc w:val="center"/>
              <w:rPr>
                <w:rFonts w:hint="eastAsia" w:hAnsi="宋体"/>
                <w:b/>
                <w:sz w:val="24"/>
                <w:szCs w:val="24"/>
                <w:vertAlign w:val="baseline"/>
                <w:lang w:val="en-US" w:eastAsia="zh-CN"/>
              </w:rPr>
            </w:pPr>
          </w:p>
        </w:tc>
        <w:tc>
          <w:tcPr>
            <w:tcW w:w="1069" w:type="dxa"/>
          </w:tcPr>
          <w:p w14:paraId="5D28169A">
            <w:pPr>
              <w:pStyle w:val="20"/>
              <w:spacing w:line="360" w:lineRule="auto"/>
              <w:jc w:val="center"/>
              <w:rPr>
                <w:rFonts w:hint="eastAsia" w:hAnsi="宋体"/>
                <w:b/>
                <w:sz w:val="24"/>
                <w:szCs w:val="24"/>
                <w:vertAlign w:val="baseline"/>
                <w:lang w:val="en-US" w:eastAsia="zh-CN"/>
              </w:rPr>
            </w:pPr>
          </w:p>
        </w:tc>
        <w:tc>
          <w:tcPr>
            <w:tcW w:w="1069" w:type="dxa"/>
          </w:tcPr>
          <w:p w14:paraId="4B698063">
            <w:pPr>
              <w:pStyle w:val="20"/>
              <w:spacing w:line="360" w:lineRule="auto"/>
              <w:jc w:val="center"/>
              <w:rPr>
                <w:rFonts w:hint="eastAsia" w:hAnsi="宋体"/>
                <w:b/>
                <w:sz w:val="24"/>
                <w:szCs w:val="24"/>
                <w:vertAlign w:val="baseline"/>
                <w:lang w:val="en-US" w:eastAsia="zh-CN"/>
              </w:rPr>
            </w:pPr>
          </w:p>
        </w:tc>
      </w:tr>
      <w:tr w14:paraId="3BBE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9324603">
            <w:pPr>
              <w:pStyle w:val="20"/>
              <w:spacing w:line="360" w:lineRule="auto"/>
              <w:jc w:val="center"/>
              <w:rPr>
                <w:rFonts w:hint="eastAsia" w:hAnsi="宋体"/>
                <w:b/>
                <w:sz w:val="24"/>
                <w:szCs w:val="24"/>
                <w:vertAlign w:val="baseline"/>
                <w:lang w:val="en-US" w:eastAsia="zh-CN"/>
              </w:rPr>
            </w:pPr>
          </w:p>
        </w:tc>
        <w:tc>
          <w:tcPr>
            <w:tcW w:w="1363" w:type="dxa"/>
          </w:tcPr>
          <w:p w14:paraId="04463B3F">
            <w:pPr>
              <w:pStyle w:val="20"/>
              <w:spacing w:line="360" w:lineRule="auto"/>
              <w:jc w:val="center"/>
              <w:rPr>
                <w:rFonts w:hint="eastAsia" w:hAnsi="宋体"/>
                <w:b/>
                <w:sz w:val="24"/>
                <w:szCs w:val="24"/>
                <w:vertAlign w:val="baseline"/>
                <w:lang w:val="en-US" w:eastAsia="zh-CN"/>
              </w:rPr>
            </w:pPr>
          </w:p>
        </w:tc>
        <w:tc>
          <w:tcPr>
            <w:tcW w:w="1260" w:type="dxa"/>
          </w:tcPr>
          <w:p w14:paraId="6E61BBE4">
            <w:pPr>
              <w:pStyle w:val="20"/>
              <w:spacing w:line="360" w:lineRule="auto"/>
              <w:jc w:val="center"/>
              <w:rPr>
                <w:rFonts w:hint="eastAsia" w:hAnsi="宋体"/>
                <w:b/>
                <w:sz w:val="24"/>
                <w:szCs w:val="24"/>
                <w:vertAlign w:val="baseline"/>
                <w:lang w:val="en-US" w:eastAsia="zh-CN"/>
              </w:rPr>
            </w:pPr>
          </w:p>
        </w:tc>
        <w:tc>
          <w:tcPr>
            <w:tcW w:w="1208" w:type="dxa"/>
          </w:tcPr>
          <w:p w14:paraId="0947FA6C">
            <w:pPr>
              <w:pStyle w:val="20"/>
              <w:spacing w:line="360" w:lineRule="auto"/>
              <w:jc w:val="center"/>
              <w:rPr>
                <w:rFonts w:hint="eastAsia" w:hAnsi="宋体"/>
                <w:b/>
                <w:sz w:val="24"/>
                <w:szCs w:val="24"/>
                <w:vertAlign w:val="baseline"/>
                <w:lang w:val="en-US" w:eastAsia="zh-CN"/>
              </w:rPr>
            </w:pPr>
          </w:p>
        </w:tc>
        <w:tc>
          <w:tcPr>
            <w:tcW w:w="1121" w:type="dxa"/>
          </w:tcPr>
          <w:p w14:paraId="34451AD8">
            <w:pPr>
              <w:pStyle w:val="20"/>
              <w:spacing w:line="360" w:lineRule="auto"/>
              <w:jc w:val="center"/>
              <w:rPr>
                <w:rFonts w:hint="eastAsia" w:hAnsi="宋体"/>
                <w:b/>
                <w:sz w:val="24"/>
                <w:szCs w:val="24"/>
                <w:vertAlign w:val="baseline"/>
                <w:lang w:val="en-US" w:eastAsia="zh-CN"/>
              </w:rPr>
            </w:pPr>
          </w:p>
        </w:tc>
        <w:tc>
          <w:tcPr>
            <w:tcW w:w="1346" w:type="dxa"/>
          </w:tcPr>
          <w:p w14:paraId="68F9DD7D">
            <w:pPr>
              <w:pStyle w:val="20"/>
              <w:spacing w:line="360" w:lineRule="auto"/>
              <w:jc w:val="center"/>
              <w:rPr>
                <w:rFonts w:hint="eastAsia" w:hAnsi="宋体"/>
                <w:b/>
                <w:sz w:val="24"/>
                <w:szCs w:val="24"/>
                <w:vertAlign w:val="baseline"/>
                <w:lang w:val="en-US" w:eastAsia="zh-CN"/>
              </w:rPr>
            </w:pPr>
          </w:p>
        </w:tc>
        <w:tc>
          <w:tcPr>
            <w:tcW w:w="1069" w:type="dxa"/>
          </w:tcPr>
          <w:p w14:paraId="1FF590EF">
            <w:pPr>
              <w:pStyle w:val="20"/>
              <w:spacing w:line="360" w:lineRule="auto"/>
              <w:jc w:val="center"/>
              <w:rPr>
                <w:rFonts w:hint="eastAsia" w:hAnsi="宋体"/>
                <w:b/>
                <w:sz w:val="24"/>
                <w:szCs w:val="24"/>
                <w:vertAlign w:val="baseline"/>
                <w:lang w:val="en-US" w:eastAsia="zh-CN"/>
              </w:rPr>
            </w:pPr>
          </w:p>
        </w:tc>
        <w:tc>
          <w:tcPr>
            <w:tcW w:w="1069" w:type="dxa"/>
          </w:tcPr>
          <w:p w14:paraId="186964D1">
            <w:pPr>
              <w:pStyle w:val="20"/>
              <w:spacing w:line="360" w:lineRule="auto"/>
              <w:jc w:val="center"/>
              <w:rPr>
                <w:rFonts w:hint="eastAsia" w:hAnsi="宋体"/>
                <w:b/>
                <w:sz w:val="24"/>
                <w:szCs w:val="24"/>
                <w:vertAlign w:val="baseline"/>
                <w:lang w:val="en-US" w:eastAsia="zh-CN"/>
              </w:rPr>
            </w:pPr>
          </w:p>
        </w:tc>
      </w:tr>
      <w:tr w14:paraId="2E48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6A68243">
            <w:pPr>
              <w:pStyle w:val="20"/>
              <w:spacing w:line="360" w:lineRule="auto"/>
              <w:jc w:val="center"/>
              <w:rPr>
                <w:rFonts w:hint="eastAsia" w:hAnsi="宋体"/>
                <w:b/>
                <w:sz w:val="24"/>
                <w:szCs w:val="24"/>
                <w:vertAlign w:val="baseline"/>
                <w:lang w:val="en-US" w:eastAsia="zh-CN"/>
              </w:rPr>
            </w:pPr>
          </w:p>
        </w:tc>
        <w:tc>
          <w:tcPr>
            <w:tcW w:w="1363" w:type="dxa"/>
          </w:tcPr>
          <w:p w14:paraId="6A14371E">
            <w:pPr>
              <w:pStyle w:val="20"/>
              <w:spacing w:line="360" w:lineRule="auto"/>
              <w:jc w:val="center"/>
              <w:rPr>
                <w:rFonts w:hint="eastAsia" w:hAnsi="宋体"/>
                <w:b/>
                <w:sz w:val="24"/>
                <w:szCs w:val="24"/>
                <w:vertAlign w:val="baseline"/>
                <w:lang w:val="en-US" w:eastAsia="zh-CN"/>
              </w:rPr>
            </w:pPr>
          </w:p>
        </w:tc>
        <w:tc>
          <w:tcPr>
            <w:tcW w:w="1260" w:type="dxa"/>
          </w:tcPr>
          <w:p w14:paraId="5588AAB1">
            <w:pPr>
              <w:pStyle w:val="20"/>
              <w:spacing w:line="360" w:lineRule="auto"/>
              <w:jc w:val="center"/>
              <w:rPr>
                <w:rFonts w:hint="eastAsia" w:hAnsi="宋体"/>
                <w:b/>
                <w:sz w:val="24"/>
                <w:szCs w:val="24"/>
                <w:vertAlign w:val="baseline"/>
                <w:lang w:val="en-US" w:eastAsia="zh-CN"/>
              </w:rPr>
            </w:pPr>
          </w:p>
        </w:tc>
        <w:tc>
          <w:tcPr>
            <w:tcW w:w="1208" w:type="dxa"/>
          </w:tcPr>
          <w:p w14:paraId="2592D477">
            <w:pPr>
              <w:pStyle w:val="20"/>
              <w:spacing w:line="360" w:lineRule="auto"/>
              <w:jc w:val="center"/>
              <w:rPr>
                <w:rFonts w:hint="eastAsia" w:hAnsi="宋体"/>
                <w:b/>
                <w:sz w:val="24"/>
                <w:szCs w:val="24"/>
                <w:vertAlign w:val="baseline"/>
                <w:lang w:val="en-US" w:eastAsia="zh-CN"/>
              </w:rPr>
            </w:pPr>
          </w:p>
        </w:tc>
        <w:tc>
          <w:tcPr>
            <w:tcW w:w="1121" w:type="dxa"/>
          </w:tcPr>
          <w:p w14:paraId="3579C9CE">
            <w:pPr>
              <w:pStyle w:val="20"/>
              <w:spacing w:line="360" w:lineRule="auto"/>
              <w:jc w:val="center"/>
              <w:rPr>
                <w:rFonts w:hint="eastAsia" w:hAnsi="宋体"/>
                <w:b/>
                <w:sz w:val="24"/>
                <w:szCs w:val="24"/>
                <w:vertAlign w:val="baseline"/>
                <w:lang w:val="en-US" w:eastAsia="zh-CN"/>
              </w:rPr>
            </w:pPr>
          </w:p>
        </w:tc>
        <w:tc>
          <w:tcPr>
            <w:tcW w:w="1346" w:type="dxa"/>
          </w:tcPr>
          <w:p w14:paraId="152B85E2">
            <w:pPr>
              <w:pStyle w:val="20"/>
              <w:spacing w:line="360" w:lineRule="auto"/>
              <w:jc w:val="center"/>
              <w:rPr>
                <w:rFonts w:hint="eastAsia" w:hAnsi="宋体"/>
                <w:b/>
                <w:sz w:val="24"/>
                <w:szCs w:val="24"/>
                <w:vertAlign w:val="baseline"/>
                <w:lang w:val="en-US" w:eastAsia="zh-CN"/>
              </w:rPr>
            </w:pPr>
          </w:p>
        </w:tc>
        <w:tc>
          <w:tcPr>
            <w:tcW w:w="1069" w:type="dxa"/>
          </w:tcPr>
          <w:p w14:paraId="2CE27F37">
            <w:pPr>
              <w:pStyle w:val="20"/>
              <w:spacing w:line="360" w:lineRule="auto"/>
              <w:jc w:val="center"/>
              <w:rPr>
                <w:rFonts w:hint="eastAsia" w:hAnsi="宋体"/>
                <w:b/>
                <w:sz w:val="24"/>
                <w:szCs w:val="24"/>
                <w:vertAlign w:val="baseline"/>
                <w:lang w:val="en-US" w:eastAsia="zh-CN"/>
              </w:rPr>
            </w:pPr>
          </w:p>
        </w:tc>
        <w:tc>
          <w:tcPr>
            <w:tcW w:w="1069" w:type="dxa"/>
          </w:tcPr>
          <w:p w14:paraId="1A7B8A67">
            <w:pPr>
              <w:pStyle w:val="20"/>
              <w:spacing w:line="360" w:lineRule="auto"/>
              <w:jc w:val="center"/>
              <w:rPr>
                <w:rFonts w:hint="eastAsia" w:hAnsi="宋体"/>
                <w:b/>
                <w:sz w:val="24"/>
                <w:szCs w:val="24"/>
                <w:vertAlign w:val="baseline"/>
                <w:lang w:val="en-US" w:eastAsia="zh-CN"/>
              </w:rPr>
            </w:pPr>
          </w:p>
        </w:tc>
      </w:tr>
      <w:tr w14:paraId="126A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8027FFC">
            <w:pPr>
              <w:pStyle w:val="20"/>
              <w:spacing w:line="360" w:lineRule="auto"/>
              <w:jc w:val="center"/>
              <w:rPr>
                <w:rFonts w:hint="eastAsia" w:hAnsi="宋体"/>
                <w:b/>
                <w:sz w:val="24"/>
                <w:szCs w:val="24"/>
                <w:vertAlign w:val="baseline"/>
                <w:lang w:val="en-US" w:eastAsia="zh-CN"/>
              </w:rPr>
            </w:pPr>
          </w:p>
        </w:tc>
        <w:tc>
          <w:tcPr>
            <w:tcW w:w="1363" w:type="dxa"/>
          </w:tcPr>
          <w:p w14:paraId="4D279851">
            <w:pPr>
              <w:pStyle w:val="20"/>
              <w:spacing w:line="360" w:lineRule="auto"/>
              <w:jc w:val="center"/>
              <w:rPr>
                <w:rFonts w:hint="eastAsia" w:hAnsi="宋体"/>
                <w:b/>
                <w:sz w:val="24"/>
                <w:szCs w:val="24"/>
                <w:vertAlign w:val="baseline"/>
                <w:lang w:val="en-US" w:eastAsia="zh-CN"/>
              </w:rPr>
            </w:pPr>
          </w:p>
        </w:tc>
        <w:tc>
          <w:tcPr>
            <w:tcW w:w="1260" w:type="dxa"/>
          </w:tcPr>
          <w:p w14:paraId="202DCA3E">
            <w:pPr>
              <w:pStyle w:val="20"/>
              <w:spacing w:line="360" w:lineRule="auto"/>
              <w:jc w:val="center"/>
              <w:rPr>
                <w:rFonts w:hint="eastAsia" w:hAnsi="宋体"/>
                <w:b/>
                <w:sz w:val="24"/>
                <w:szCs w:val="24"/>
                <w:vertAlign w:val="baseline"/>
                <w:lang w:val="en-US" w:eastAsia="zh-CN"/>
              </w:rPr>
            </w:pPr>
          </w:p>
        </w:tc>
        <w:tc>
          <w:tcPr>
            <w:tcW w:w="1208" w:type="dxa"/>
          </w:tcPr>
          <w:p w14:paraId="1FA07C84">
            <w:pPr>
              <w:pStyle w:val="20"/>
              <w:spacing w:line="360" w:lineRule="auto"/>
              <w:jc w:val="center"/>
              <w:rPr>
                <w:rFonts w:hint="eastAsia" w:hAnsi="宋体"/>
                <w:b/>
                <w:sz w:val="24"/>
                <w:szCs w:val="24"/>
                <w:vertAlign w:val="baseline"/>
                <w:lang w:val="en-US" w:eastAsia="zh-CN"/>
              </w:rPr>
            </w:pPr>
          </w:p>
        </w:tc>
        <w:tc>
          <w:tcPr>
            <w:tcW w:w="1121" w:type="dxa"/>
          </w:tcPr>
          <w:p w14:paraId="2B66228D">
            <w:pPr>
              <w:pStyle w:val="20"/>
              <w:spacing w:line="360" w:lineRule="auto"/>
              <w:jc w:val="center"/>
              <w:rPr>
                <w:rFonts w:hint="eastAsia" w:hAnsi="宋体"/>
                <w:b/>
                <w:sz w:val="24"/>
                <w:szCs w:val="24"/>
                <w:vertAlign w:val="baseline"/>
                <w:lang w:val="en-US" w:eastAsia="zh-CN"/>
              </w:rPr>
            </w:pPr>
          </w:p>
        </w:tc>
        <w:tc>
          <w:tcPr>
            <w:tcW w:w="1346" w:type="dxa"/>
          </w:tcPr>
          <w:p w14:paraId="21DC4420">
            <w:pPr>
              <w:pStyle w:val="20"/>
              <w:spacing w:line="360" w:lineRule="auto"/>
              <w:jc w:val="center"/>
              <w:rPr>
                <w:rFonts w:hint="eastAsia" w:hAnsi="宋体"/>
                <w:b/>
                <w:sz w:val="24"/>
                <w:szCs w:val="24"/>
                <w:vertAlign w:val="baseline"/>
                <w:lang w:val="en-US" w:eastAsia="zh-CN"/>
              </w:rPr>
            </w:pPr>
          </w:p>
        </w:tc>
        <w:tc>
          <w:tcPr>
            <w:tcW w:w="1069" w:type="dxa"/>
          </w:tcPr>
          <w:p w14:paraId="73C1A184">
            <w:pPr>
              <w:pStyle w:val="20"/>
              <w:spacing w:line="360" w:lineRule="auto"/>
              <w:jc w:val="center"/>
              <w:rPr>
                <w:rFonts w:hint="eastAsia" w:hAnsi="宋体"/>
                <w:b/>
                <w:sz w:val="24"/>
                <w:szCs w:val="24"/>
                <w:vertAlign w:val="baseline"/>
                <w:lang w:val="en-US" w:eastAsia="zh-CN"/>
              </w:rPr>
            </w:pPr>
          </w:p>
        </w:tc>
        <w:tc>
          <w:tcPr>
            <w:tcW w:w="1069" w:type="dxa"/>
          </w:tcPr>
          <w:p w14:paraId="3E2BD52B">
            <w:pPr>
              <w:pStyle w:val="20"/>
              <w:spacing w:line="360" w:lineRule="auto"/>
              <w:jc w:val="center"/>
              <w:rPr>
                <w:rFonts w:hint="eastAsia" w:hAnsi="宋体"/>
                <w:b/>
                <w:sz w:val="24"/>
                <w:szCs w:val="24"/>
                <w:vertAlign w:val="baseline"/>
                <w:lang w:val="en-US" w:eastAsia="zh-CN"/>
              </w:rPr>
            </w:pPr>
          </w:p>
        </w:tc>
      </w:tr>
      <w:tr w14:paraId="3FDA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5FE44C2">
            <w:pPr>
              <w:pStyle w:val="20"/>
              <w:spacing w:line="360" w:lineRule="auto"/>
              <w:jc w:val="center"/>
              <w:rPr>
                <w:rFonts w:hint="eastAsia" w:hAnsi="宋体"/>
                <w:b/>
                <w:sz w:val="24"/>
                <w:szCs w:val="24"/>
                <w:vertAlign w:val="baseline"/>
                <w:lang w:val="en-US" w:eastAsia="zh-CN"/>
              </w:rPr>
            </w:pPr>
          </w:p>
        </w:tc>
        <w:tc>
          <w:tcPr>
            <w:tcW w:w="1363" w:type="dxa"/>
          </w:tcPr>
          <w:p w14:paraId="6C9CA1C9">
            <w:pPr>
              <w:pStyle w:val="20"/>
              <w:spacing w:line="360" w:lineRule="auto"/>
              <w:jc w:val="center"/>
              <w:rPr>
                <w:rFonts w:hint="eastAsia" w:hAnsi="宋体"/>
                <w:b/>
                <w:sz w:val="24"/>
                <w:szCs w:val="24"/>
                <w:vertAlign w:val="baseline"/>
                <w:lang w:val="en-US" w:eastAsia="zh-CN"/>
              </w:rPr>
            </w:pPr>
          </w:p>
        </w:tc>
        <w:tc>
          <w:tcPr>
            <w:tcW w:w="1260" w:type="dxa"/>
          </w:tcPr>
          <w:p w14:paraId="29570950">
            <w:pPr>
              <w:pStyle w:val="20"/>
              <w:spacing w:line="360" w:lineRule="auto"/>
              <w:jc w:val="center"/>
              <w:rPr>
                <w:rFonts w:hint="eastAsia" w:hAnsi="宋体"/>
                <w:b/>
                <w:sz w:val="24"/>
                <w:szCs w:val="24"/>
                <w:vertAlign w:val="baseline"/>
                <w:lang w:val="en-US" w:eastAsia="zh-CN"/>
              </w:rPr>
            </w:pPr>
          </w:p>
        </w:tc>
        <w:tc>
          <w:tcPr>
            <w:tcW w:w="1208" w:type="dxa"/>
          </w:tcPr>
          <w:p w14:paraId="79CF6F99">
            <w:pPr>
              <w:pStyle w:val="20"/>
              <w:spacing w:line="360" w:lineRule="auto"/>
              <w:jc w:val="center"/>
              <w:rPr>
                <w:rFonts w:hint="eastAsia" w:hAnsi="宋体"/>
                <w:b/>
                <w:sz w:val="24"/>
                <w:szCs w:val="24"/>
                <w:vertAlign w:val="baseline"/>
                <w:lang w:val="en-US" w:eastAsia="zh-CN"/>
              </w:rPr>
            </w:pPr>
          </w:p>
        </w:tc>
        <w:tc>
          <w:tcPr>
            <w:tcW w:w="1121" w:type="dxa"/>
          </w:tcPr>
          <w:p w14:paraId="65443EC4">
            <w:pPr>
              <w:pStyle w:val="20"/>
              <w:spacing w:line="360" w:lineRule="auto"/>
              <w:jc w:val="center"/>
              <w:rPr>
                <w:rFonts w:hint="eastAsia" w:hAnsi="宋体"/>
                <w:b/>
                <w:sz w:val="24"/>
                <w:szCs w:val="24"/>
                <w:vertAlign w:val="baseline"/>
                <w:lang w:val="en-US" w:eastAsia="zh-CN"/>
              </w:rPr>
            </w:pPr>
          </w:p>
        </w:tc>
        <w:tc>
          <w:tcPr>
            <w:tcW w:w="1346" w:type="dxa"/>
          </w:tcPr>
          <w:p w14:paraId="29F8BAC7">
            <w:pPr>
              <w:pStyle w:val="20"/>
              <w:spacing w:line="360" w:lineRule="auto"/>
              <w:jc w:val="center"/>
              <w:rPr>
                <w:rFonts w:hint="eastAsia" w:hAnsi="宋体"/>
                <w:b/>
                <w:sz w:val="24"/>
                <w:szCs w:val="24"/>
                <w:vertAlign w:val="baseline"/>
                <w:lang w:val="en-US" w:eastAsia="zh-CN"/>
              </w:rPr>
            </w:pPr>
          </w:p>
        </w:tc>
        <w:tc>
          <w:tcPr>
            <w:tcW w:w="1069" w:type="dxa"/>
          </w:tcPr>
          <w:p w14:paraId="70CD78A2">
            <w:pPr>
              <w:pStyle w:val="20"/>
              <w:spacing w:line="360" w:lineRule="auto"/>
              <w:jc w:val="center"/>
              <w:rPr>
                <w:rFonts w:hint="eastAsia" w:hAnsi="宋体"/>
                <w:b/>
                <w:sz w:val="24"/>
                <w:szCs w:val="24"/>
                <w:vertAlign w:val="baseline"/>
                <w:lang w:val="en-US" w:eastAsia="zh-CN"/>
              </w:rPr>
            </w:pPr>
          </w:p>
        </w:tc>
        <w:tc>
          <w:tcPr>
            <w:tcW w:w="1069" w:type="dxa"/>
          </w:tcPr>
          <w:p w14:paraId="2D836198">
            <w:pPr>
              <w:pStyle w:val="20"/>
              <w:spacing w:line="360" w:lineRule="auto"/>
              <w:jc w:val="center"/>
              <w:rPr>
                <w:rFonts w:hint="eastAsia" w:hAnsi="宋体"/>
                <w:b/>
                <w:sz w:val="24"/>
                <w:szCs w:val="24"/>
                <w:vertAlign w:val="baseline"/>
                <w:lang w:val="en-US" w:eastAsia="zh-CN"/>
              </w:rPr>
            </w:pPr>
          </w:p>
        </w:tc>
      </w:tr>
      <w:tr w14:paraId="5859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38B8490">
            <w:pPr>
              <w:pStyle w:val="20"/>
              <w:spacing w:line="360" w:lineRule="auto"/>
              <w:jc w:val="center"/>
              <w:rPr>
                <w:rFonts w:hint="eastAsia" w:hAnsi="宋体"/>
                <w:b/>
                <w:sz w:val="24"/>
                <w:szCs w:val="24"/>
                <w:vertAlign w:val="baseline"/>
                <w:lang w:val="en-US" w:eastAsia="zh-CN"/>
              </w:rPr>
            </w:pPr>
          </w:p>
        </w:tc>
        <w:tc>
          <w:tcPr>
            <w:tcW w:w="1363" w:type="dxa"/>
          </w:tcPr>
          <w:p w14:paraId="5F799637">
            <w:pPr>
              <w:pStyle w:val="20"/>
              <w:spacing w:line="360" w:lineRule="auto"/>
              <w:jc w:val="center"/>
              <w:rPr>
                <w:rFonts w:hint="eastAsia" w:hAnsi="宋体"/>
                <w:b/>
                <w:sz w:val="24"/>
                <w:szCs w:val="24"/>
                <w:vertAlign w:val="baseline"/>
                <w:lang w:val="en-US" w:eastAsia="zh-CN"/>
              </w:rPr>
            </w:pPr>
          </w:p>
        </w:tc>
        <w:tc>
          <w:tcPr>
            <w:tcW w:w="1260" w:type="dxa"/>
          </w:tcPr>
          <w:p w14:paraId="1FE9B3D7">
            <w:pPr>
              <w:pStyle w:val="20"/>
              <w:spacing w:line="360" w:lineRule="auto"/>
              <w:jc w:val="center"/>
              <w:rPr>
                <w:rFonts w:hint="eastAsia" w:hAnsi="宋体"/>
                <w:b/>
                <w:sz w:val="24"/>
                <w:szCs w:val="24"/>
                <w:vertAlign w:val="baseline"/>
                <w:lang w:val="en-US" w:eastAsia="zh-CN"/>
              </w:rPr>
            </w:pPr>
          </w:p>
        </w:tc>
        <w:tc>
          <w:tcPr>
            <w:tcW w:w="1208" w:type="dxa"/>
          </w:tcPr>
          <w:p w14:paraId="2DA695BA">
            <w:pPr>
              <w:pStyle w:val="20"/>
              <w:spacing w:line="360" w:lineRule="auto"/>
              <w:jc w:val="center"/>
              <w:rPr>
                <w:rFonts w:hint="eastAsia" w:hAnsi="宋体"/>
                <w:b/>
                <w:sz w:val="24"/>
                <w:szCs w:val="24"/>
                <w:vertAlign w:val="baseline"/>
                <w:lang w:val="en-US" w:eastAsia="zh-CN"/>
              </w:rPr>
            </w:pPr>
          </w:p>
        </w:tc>
        <w:tc>
          <w:tcPr>
            <w:tcW w:w="1121" w:type="dxa"/>
          </w:tcPr>
          <w:p w14:paraId="4EA6FFD8">
            <w:pPr>
              <w:pStyle w:val="20"/>
              <w:spacing w:line="360" w:lineRule="auto"/>
              <w:jc w:val="center"/>
              <w:rPr>
                <w:rFonts w:hint="eastAsia" w:hAnsi="宋体"/>
                <w:b/>
                <w:sz w:val="24"/>
                <w:szCs w:val="24"/>
                <w:vertAlign w:val="baseline"/>
                <w:lang w:val="en-US" w:eastAsia="zh-CN"/>
              </w:rPr>
            </w:pPr>
          </w:p>
        </w:tc>
        <w:tc>
          <w:tcPr>
            <w:tcW w:w="1346" w:type="dxa"/>
          </w:tcPr>
          <w:p w14:paraId="73B58FE3">
            <w:pPr>
              <w:pStyle w:val="20"/>
              <w:spacing w:line="360" w:lineRule="auto"/>
              <w:jc w:val="center"/>
              <w:rPr>
                <w:rFonts w:hint="eastAsia" w:hAnsi="宋体"/>
                <w:b/>
                <w:sz w:val="24"/>
                <w:szCs w:val="24"/>
                <w:vertAlign w:val="baseline"/>
                <w:lang w:val="en-US" w:eastAsia="zh-CN"/>
              </w:rPr>
            </w:pPr>
          </w:p>
        </w:tc>
        <w:tc>
          <w:tcPr>
            <w:tcW w:w="1069" w:type="dxa"/>
          </w:tcPr>
          <w:p w14:paraId="6D10D6C0">
            <w:pPr>
              <w:pStyle w:val="20"/>
              <w:spacing w:line="360" w:lineRule="auto"/>
              <w:jc w:val="center"/>
              <w:rPr>
                <w:rFonts w:hint="eastAsia" w:hAnsi="宋体"/>
                <w:b/>
                <w:sz w:val="24"/>
                <w:szCs w:val="24"/>
                <w:vertAlign w:val="baseline"/>
                <w:lang w:val="en-US" w:eastAsia="zh-CN"/>
              </w:rPr>
            </w:pPr>
          </w:p>
        </w:tc>
        <w:tc>
          <w:tcPr>
            <w:tcW w:w="1069" w:type="dxa"/>
          </w:tcPr>
          <w:p w14:paraId="4123C6A5">
            <w:pPr>
              <w:pStyle w:val="20"/>
              <w:spacing w:line="360" w:lineRule="auto"/>
              <w:jc w:val="center"/>
              <w:rPr>
                <w:rFonts w:hint="eastAsia" w:hAnsi="宋体"/>
                <w:b/>
                <w:sz w:val="24"/>
                <w:szCs w:val="24"/>
                <w:vertAlign w:val="baseline"/>
                <w:lang w:val="en-US" w:eastAsia="zh-CN"/>
              </w:rPr>
            </w:pPr>
          </w:p>
        </w:tc>
      </w:tr>
    </w:tbl>
    <w:p w14:paraId="06559D29">
      <w:pPr>
        <w:pStyle w:val="20"/>
        <w:spacing w:line="360" w:lineRule="auto"/>
        <w:jc w:val="both"/>
        <w:rPr>
          <w:rFonts w:hint="eastAsia" w:hAnsi="宋体"/>
          <w:b/>
          <w:sz w:val="24"/>
          <w:szCs w:val="24"/>
          <w:lang w:val="en-US" w:eastAsia="zh-CN"/>
        </w:rPr>
      </w:pPr>
      <w:r>
        <w:rPr>
          <w:rFonts w:hint="eastAsia" w:hAnsi="宋体"/>
          <w:b/>
          <w:sz w:val="24"/>
          <w:szCs w:val="24"/>
          <w:lang w:val="en-US" w:eastAsia="zh-CN"/>
        </w:rPr>
        <w:t>注：附人员资质证书、职称及劳动合同或社保、身份证、学历证及其他证明资料。</w:t>
      </w:r>
    </w:p>
    <w:p w14:paraId="7B1FB8E8">
      <w:pPr>
        <w:ind w:firstLine="866" w:firstLineChars="255"/>
        <w:rPr>
          <w:rFonts w:hAnsi="宋体" w:cs="宋体"/>
        </w:rPr>
      </w:pPr>
    </w:p>
    <w:p w14:paraId="69993577">
      <w:pPr>
        <w:ind w:firstLine="866" w:firstLineChars="255"/>
        <w:rPr>
          <w:rFonts w:hAnsi="宋体" w:cs="宋体"/>
        </w:rPr>
      </w:pPr>
    </w:p>
    <w:p w14:paraId="7DBD9368">
      <w:pPr>
        <w:ind w:firstLine="866" w:firstLineChars="255"/>
        <w:rPr>
          <w:rFonts w:hAnsi="宋体" w:cs="宋体"/>
        </w:rPr>
      </w:pPr>
    </w:p>
    <w:p w14:paraId="55414FC5">
      <w:pPr>
        <w:ind w:firstLine="866" w:firstLineChars="255"/>
        <w:rPr>
          <w:rFonts w:hAnsi="宋体" w:cs="宋体"/>
        </w:rPr>
      </w:pPr>
    </w:p>
    <w:p w14:paraId="17958E0C">
      <w:pPr>
        <w:pStyle w:val="35"/>
        <w:rPr>
          <w:rFonts w:hAnsi="宋体" w:cs="宋体"/>
        </w:rPr>
      </w:pPr>
    </w:p>
    <w:p w14:paraId="09F9DF0B">
      <w:pPr>
        <w:pStyle w:val="16"/>
        <w:rPr>
          <w:rFonts w:hAnsi="宋体" w:cs="宋体"/>
        </w:rPr>
      </w:pPr>
    </w:p>
    <w:p w14:paraId="45107649">
      <w:pPr>
        <w:rPr>
          <w:rFonts w:hAnsi="宋体" w:cs="宋体"/>
        </w:rPr>
      </w:pPr>
    </w:p>
    <w:p w14:paraId="226404BF">
      <w:pPr>
        <w:pStyle w:val="35"/>
        <w:rPr>
          <w:rFonts w:hAnsi="宋体" w:cs="宋体"/>
        </w:rPr>
      </w:pPr>
    </w:p>
    <w:p w14:paraId="1D689FBE">
      <w:pPr>
        <w:pStyle w:val="16"/>
        <w:rPr>
          <w:rFonts w:hAnsi="宋体" w:cs="宋体"/>
        </w:rPr>
      </w:pPr>
    </w:p>
    <w:p w14:paraId="65C22D50">
      <w:pPr>
        <w:rPr>
          <w:rFonts w:hAnsi="宋体" w:cs="宋体"/>
        </w:rPr>
      </w:pPr>
    </w:p>
    <w:p w14:paraId="260F151E">
      <w:pPr>
        <w:pStyle w:val="35"/>
        <w:rPr>
          <w:rFonts w:hAnsi="宋体" w:cs="宋体"/>
        </w:rPr>
      </w:pPr>
    </w:p>
    <w:p w14:paraId="0A9A86F8">
      <w:pPr>
        <w:pStyle w:val="16"/>
        <w:rPr>
          <w:rFonts w:hAnsi="宋体" w:cs="宋体"/>
        </w:rPr>
      </w:pPr>
    </w:p>
    <w:p w14:paraId="3D3833DF">
      <w:pPr>
        <w:rPr>
          <w:rFonts w:hAnsi="宋体" w:cs="宋体"/>
        </w:rPr>
      </w:pPr>
    </w:p>
    <w:p w14:paraId="0B6495CA">
      <w:pPr>
        <w:pStyle w:val="35"/>
        <w:rPr>
          <w:rFonts w:hAnsi="宋体" w:cs="宋体"/>
        </w:rPr>
      </w:pPr>
    </w:p>
    <w:p w14:paraId="5AEA8370">
      <w:pPr>
        <w:pStyle w:val="16"/>
        <w:rPr>
          <w:rFonts w:hAnsi="宋体" w:cs="宋体"/>
        </w:rPr>
      </w:pPr>
    </w:p>
    <w:p w14:paraId="0357F2A7">
      <w:pPr>
        <w:rPr>
          <w:rFonts w:hAnsi="宋体" w:cs="宋体"/>
        </w:rPr>
      </w:pPr>
    </w:p>
    <w:p w14:paraId="39732D47">
      <w:pPr>
        <w:pStyle w:val="35"/>
      </w:pPr>
    </w:p>
    <w:p w14:paraId="27087264">
      <w:pPr>
        <w:pStyle w:val="20"/>
        <w:spacing w:line="360" w:lineRule="auto"/>
        <w:jc w:val="left"/>
        <w:rPr>
          <w:rFonts w:hAnsi="宋体"/>
          <w:b/>
          <w:color w:val="000000"/>
          <w:sz w:val="24"/>
          <w:szCs w:val="24"/>
        </w:rPr>
      </w:pPr>
      <w:r>
        <w:rPr>
          <w:rFonts w:hint="eastAsia" w:ascii="宋体" w:hAnsi="宋体" w:eastAsia="宋体" w:cs="宋体"/>
          <w:b/>
          <w:sz w:val="24"/>
          <w:szCs w:val="24"/>
          <w:lang w:val="en-US" w:eastAsia="zh-CN"/>
        </w:rPr>
        <w:t>附件2：</w:t>
      </w:r>
      <w:r>
        <w:rPr>
          <w:rFonts w:hint="eastAsia" w:ascii="宋体" w:hAnsi="宋体" w:eastAsia="宋体" w:cs="宋体"/>
          <w:b/>
          <w:sz w:val="24"/>
          <w:szCs w:val="24"/>
          <w:lang w:eastAsia="zh-CN"/>
        </w:rPr>
        <w:t>业绩证明材料</w:t>
      </w:r>
    </w:p>
    <w:tbl>
      <w:tblPr>
        <w:tblStyle w:val="37"/>
        <w:tblW w:w="95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0"/>
        <w:gridCol w:w="1417"/>
        <w:gridCol w:w="1500"/>
        <w:gridCol w:w="1350"/>
        <w:gridCol w:w="1500"/>
        <w:gridCol w:w="1226"/>
        <w:gridCol w:w="1831"/>
      </w:tblGrid>
      <w:tr w14:paraId="6C81E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700" w:type="dxa"/>
            <w:vAlign w:val="center"/>
          </w:tcPr>
          <w:p w14:paraId="329EDFAC">
            <w:pPr>
              <w:pStyle w:val="20"/>
              <w:spacing w:line="360" w:lineRule="auto"/>
              <w:jc w:val="center"/>
              <w:rPr>
                <w:rFonts w:hint="eastAsia" w:hAnsi="宋体"/>
                <w:color w:val="000000"/>
                <w:sz w:val="24"/>
                <w:szCs w:val="24"/>
              </w:rPr>
            </w:pPr>
            <w:r>
              <w:rPr>
                <w:rFonts w:hint="eastAsia" w:hAnsi="宋体"/>
                <w:color w:val="000000"/>
                <w:sz w:val="24"/>
                <w:szCs w:val="24"/>
              </w:rPr>
              <w:t>序号</w:t>
            </w:r>
          </w:p>
        </w:tc>
        <w:tc>
          <w:tcPr>
            <w:tcW w:w="1417" w:type="dxa"/>
            <w:vAlign w:val="center"/>
          </w:tcPr>
          <w:p w14:paraId="51C9D953">
            <w:pPr>
              <w:pStyle w:val="20"/>
              <w:spacing w:line="360" w:lineRule="auto"/>
              <w:jc w:val="center"/>
              <w:rPr>
                <w:rFonts w:hint="eastAsia" w:hAnsi="宋体"/>
                <w:color w:val="000000"/>
                <w:sz w:val="24"/>
                <w:szCs w:val="24"/>
              </w:rPr>
            </w:pPr>
            <w:r>
              <w:rPr>
                <w:rFonts w:hint="eastAsia" w:hAnsi="宋体"/>
                <w:color w:val="000000"/>
                <w:sz w:val="24"/>
                <w:szCs w:val="24"/>
              </w:rPr>
              <w:t>用户名称</w:t>
            </w:r>
          </w:p>
        </w:tc>
        <w:tc>
          <w:tcPr>
            <w:tcW w:w="1500" w:type="dxa"/>
            <w:vAlign w:val="center"/>
          </w:tcPr>
          <w:p w14:paraId="6CD51AE7">
            <w:pPr>
              <w:pStyle w:val="20"/>
              <w:spacing w:line="360" w:lineRule="auto"/>
              <w:jc w:val="center"/>
              <w:rPr>
                <w:rFonts w:hint="eastAsia" w:hAnsi="宋体"/>
                <w:color w:val="000000"/>
                <w:sz w:val="24"/>
                <w:szCs w:val="24"/>
              </w:rPr>
            </w:pPr>
            <w:r>
              <w:rPr>
                <w:rFonts w:hint="eastAsia" w:hAnsi="宋体"/>
                <w:color w:val="000000"/>
                <w:sz w:val="24"/>
                <w:szCs w:val="24"/>
              </w:rPr>
              <w:t>项目名称</w:t>
            </w:r>
          </w:p>
        </w:tc>
        <w:tc>
          <w:tcPr>
            <w:tcW w:w="1350" w:type="dxa"/>
            <w:tcBorders>
              <w:right w:val="single" w:color="auto" w:sz="4" w:space="0"/>
            </w:tcBorders>
            <w:vAlign w:val="center"/>
          </w:tcPr>
          <w:p w14:paraId="184B0D47">
            <w:pPr>
              <w:pStyle w:val="20"/>
              <w:spacing w:line="360" w:lineRule="auto"/>
              <w:jc w:val="center"/>
              <w:rPr>
                <w:rFonts w:hint="eastAsia" w:hAnsi="宋体"/>
                <w:color w:val="000000"/>
                <w:sz w:val="24"/>
                <w:szCs w:val="24"/>
              </w:rPr>
            </w:pPr>
            <w:r>
              <w:rPr>
                <w:rFonts w:hint="eastAsia" w:hAnsi="宋体"/>
                <w:color w:val="000000"/>
                <w:sz w:val="24"/>
                <w:szCs w:val="24"/>
              </w:rPr>
              <w:t>项目规模</w:t>
            </w:r>
          </w:p>
        </w:tc>
        <w:tc>
          <w:tcPr>
            <w:tcW w:w="1500" w:type="dxa"/>
            <w:tcBorders>
              <w:left w:val="single" w:color="auto" w:sz="4" w:space="0"/>
              <w:right w:val="single" w:color="auto" w:sz="4" w:space="0"/>
            </w:tcBorders>
            <w:vAlign w:val="center"/>
          </w:tcPr>
          <w:p w14:paraId="6A4A4759">
            <w:pPr>
              <w:pStyle w:val="20"/>
              <w:spacing w:line="360" w:lineRule="auto"/>
              <w:jc w:val="center"/>
              <w:rPr>
                <w:rFonts w:hint="eastAsia" w:hAnsi="宋体"/>
                <w:color w:val="000000"/>
                <w:sz w:val="24"/>
                <w:szCs w:val="24"/>
              </w:rPr>
            </w:pPr>
            <w:r>
              <w:rPr>
                <w:rFonts w:hint="eastAsia" w:hAnsi="宋体"/>
                <w:color w:val="000000"/>
                <w:sz w:val="24"/>
                <w:szCs w:val="24"/>
              </w:rPr>
              <w:t>合同金额</w:t>
            </w:r>
          </w:p>
          <w:p w14:paraId="47B1C58B">
            <w:pPr>
              <w:pStyle w:val="20"/>
              <w:spacing w:line="360" w:lineRule="auto"/>
              <w:jc w:val="center"/>
              <w:rPr>
                <w:rFonts w:hint="eastAsia" w:hAnsi="宋体"/>
                <w:color w:val="000000"/>
                <w:sz w:val="24"/>
                <w:szCs w:val="24"/>
              </w:rPr>
            </w:pPr>
            <w:r>
              <w:rPr>
                <w:rFonts w:hint="eastAsia" w:hAnsi="宋体"/>
                <w:color w:val="000000"/>
                <w:sz w:val="24"/>
                <w:szCs w:val="24"/>
              </w:rPr>
              <w:t>（万元）</w:t>
            </w:r>
          </w:p>
        </w:tc>
        <w:tc>
          <w:tcPr>
            <w:tcW w:w="1226" w:type="dxa"/>
            <w:tcBorders>
              <w:left w:val="single" w:color="auto" w:sz="4" w:space="0"/>
            </w:tcBorders>
            <w:vAlign w:val="center"/>
          </w:tcPr>
          <w:p w14:paraId="3AA58BEC">
            <w:pPr>
              <w:pStyle w:val="20"/>
              <w:spacing w:line="360" w:lineRule="auto"/>
              <w:jc w:val="center"/>
              <w:rPr>
                <w:rFonts w:hint="eastAsia" w:hAnsi="宋体"/>
                <w:color w:val="000000"/>
                <w:sz w:val="24"/>
                <w:szCs w:val="24"/>
              </w:rPr>
            </w:pPr>
            <w:r>
              <w:rPr>
                <w:rFonts w:hint="eastAsia" w:hAnsi="宋体"/>
                <w:color w:val="000000"/>
                <w:sz w:val="24"/>
                <w:szCs w:val="24"/>
              </w:rPr>
              <w:t>时间</w:t>
            </w:r>
          </w:p>
        </w:tc>
        <w:tc>
          <w:tcPr>
            <w:tcW w:w="1831" w:type="dxa"/>
            <w:vAlign w:val="center"/>
          </w:tcPr>
          <w:p w14:paraId="4D360315">
            <w:pPr>
              <w:pStyle w:val="20"/>
              <w:spacing w:line="360" w:lineRule="auto"/>
              <w:jc w:val="center"/>
              <w:rPr>
                <w:rFonts w:hint="eastAsia" w:hAnsi="宋体"/>
                <w:color w:val="000000"/>
                <w:sz w:val="24"/>
                <w:szCs w:val="24"/>
              </w:rPr>
            </w:pPr>
            <w:r>
              <w:rPr>
                <w:rFonts w:hint="eastAsia" w:hAnsi="宋体"/>
                <w:color w:val="000000"/>
                <w:sz w:val="24"/>
                <w:szCs w:val="24"/>
              </w:rPr>
              <w:t>内容</w:t>
            </w:r>
          </w:p>
        </w:tc>
      </w:tr>
      <w:tr w14:paraId="055ED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700" w:type="dxa"/>
            <w:vAlign w:val="center"/>
          </w:tcPr>
          <w:p w14:paraId="0BC3C094">
            <w:pPr>
              <w:pStyle w:val="20"/>
              <w:spacing w:line="360" w:lineRule="auto"/>
              <w:jc w:val="center"/>
              <w:rPr>
                <w:rFonts w:hAnsi="宋体"/>
                <w:color w:val="000000"/>
                <w:sz w:val="24"/>
                <w:szCs w:val="24"/>
              </w:rPr>
            </w:pPr>
            <w:r>
              <w:rPr>
                <w:rFonts w:hint="eastAsia" w:hAnsi="宋体"/>
                <w:color w:val="000000"/>
                <w:sz w:val="24"/>
                <w:szCs w:val="24"/>
              </w:rPr>
              <w:t>1</w:t>
            </w:r>
          </w:p>
        </w:tc>
        <w:tc>
          <w:tcPr>
            <w:tcW w:w="1417" w:type="dxa"/>
            <w:vAlign w:val="center"/>
          </w:tcPr>
          <w:p w14:paraId="720AB6E2">
            <w:pPr>
              <w:pStyle w:val="20"/>
              <w:spacing w:line="360" w:lineRule="auto"/>
              <w:jc w:val="center"/>
              <w:rPr>
                <w:rFonts w:hint="eastAsia" w:hAnsi="宋体"/>
                <w:color w:val="000000"/>
                <w:sz w:val="24"/>
                <w:szCs w:val="24"/>
              </w:rPr>
            </w:pPr>
          </w:p>
        </w:tc>
        <w:tc>
          <w:tcPr>
            <w:tcW w:w="1500" w:type="dxa"/>
            <w:vAlign w:val="center"/>
          </w:tcPr>
          <w:p w14:paraId="20E849CC">
            <w:pPr>
              <w:pStyle w:val="20"/>
              <w:spacing w:line="360" w:lineRule="auto"/>
              <w:jc w:val="center"/>
              <w:rPr>
                <w:rFonts w:hAnsi="宋体"/>
                <w:color w:val="000000"/>
                <w:sz w:val="24"/>
                <w:szCs w:val="24"/>
              </w:rPr>
            </w:pPr>
          </w:p>
        </w:tc>
        <w:tc>
          <w:tcPr>
            <w:tcW w:w="1350" w:type="dxa"/>
            <w:tcBorders>
              <w:right w:val="single" w:color="auto" w:sz="4" w:space="0"/>
            </w:tcBorders>
            <w:vAlign w:val="center"/>
          </w:tcPr>
          <w:p w14:paraId="29816F8B">
            <w:pPr>
              <w:pStyle w:val="20"/>
              <w:spacing w:line="360" w:lineRule="auto"/>
              <w:jc w:val="center"/>
              <w:rPr>
                <w:rFonts w:hAnsi="宋体"/>
                <w:color w:val="000000"/>
                <w:sz w:val="24"/>
                <w:szCs w:val="24"/>
              </w:rPr>
            </w:pPr>
          </w:p>
        </w:tc>
        <w:tc>
          <w:tcPr>
            <w:tcW w:w="1500" w:type="dxa"/>
            <w:tcBorders>
              <w:left w:val="single" w:color="auto" w:sz="4" w:space="0"/>
              <w:right w:val="single" w:color="auto" w:sz="4" w:space="0"/>
            </w:tcBorders>
            <w:vAlign w:val="center"/>
          </w:tcPr>
          <w:p w14:paraId="3386A463">
            <w:pPr>
              <w:pStyle w:val="20"/>
              <w:spacing w:line="360" w:lineRule="auto"/>
              <w:jc w:val="center"/>
              <w:rPr>
                <w:rFonts w:hAnsi="宋体"/>
                <w:color w:val="000000"/>
                <w:sz w:val="24"/>
                <w:szCs w:val="24"/>
              </w:rPr>
            </w:pPr>
          </w:p>
        </w:tc>
        <w:tc>
          <w:tcPr>
            <w:tcW w:w="1226" w:type="dxa"/>
            <w:tcBorders>
              <w:left w:val="single" w:color="auto" w:sz="4" w:space="0"/>
            </w:tcBorders>
            <w:vAlign w:val="center"/>
          </w:tcPr>
          <w:p w14:paraId="6D46D61A">
            <w:pPr>
              <w:pStyle w:val="20"/>
              <w:spacing w:line="360" w:lineRule="auto"/>
              <w:jc w:val="center"/>
              <w:rPr>
                <w:rFonts w:hAnsi="宋体"/>
                <w:color w:val="000000"/>
                <w:sz w:val="24"/>
                <w:szCs w:val="24"/>
              </w:rPr>
            </w:pPr>
          </w:p>
        </w:tc>
        <w:tc>
          <w:tcPr>
            <w:tcW w:w="1831" w:type="dxa"/>
            <w:vAlign w:val="center"/>
          </w:tcPr>
          <w:p w14:paraId="700DA25A">
            <w:pPr>
              <w:pStyle w:val="20"/>
              <w:spacing w:line="360" w:lineRule="auto"/>
              <w:jc w:val="center"/>
              <w:rPr>
                <w:rFonts w:hAnsi="宋体"/>
                <w:color w:val="000000"/>
                <w:sz w:val="24"/>
                <w:szCs w:val="24"/>
              </w:rPr>
            </w:pPr>
          </w:p>
        </w:tc>
      </w:tr>
      <w:tr w14:paraId="0D9EF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700" w:type="dxa"/>
            <w:vAlign w:val="center"/>
          </w:tcPr>
          <w:p w14:paraId="1E8BCB04">
            <w:pPr>
              <w:pStyle w:val="20"/>
              <w:spacing w:line="360" w:lineRule="auto"/>
              <w:jc w:val="center"/>
              <w:rPr>
                <w:rFonts w:hAnsi="宋体"/>
                <w:color w:val="000000"/>
                <w:sz w:val="24"/>
                <w:szCs w:val="24"/>
              </w:rPr>
            </w:pPr>
            <w:r>
              <w:rPr>
                <w:rFonts w:hint="eastAsia" w:hAnsi="宋体"/>
                <w:color w:val="000000"/>
                <w:sz w:val="24"/>
                <w:szCs w:val="24"/>
              </w:rPr>
              <w:t>2</w:t>
            </w:r>
          </w:p>
        </w:tc>
        <w:tc>
          <w:tcPr>
            <w:tcW w:w="1417" w:type="dxa"/>
            <w:vAlign w:val="center"/>
          </w:tcPr>
          <w:p w14:paraId="2517233A">
            <w:pPr>
              <w:pStyle w:val="20"/>
              <w:spacing w:line="360" w:lineRule="auto"/>
              <w:jc w:val="center"/>
              <w:rPr>
                <w:rFonts w:hint="eastAsia" w:hAnsi="宋体"/>
                <w:color w:val="000000"/>
                <w:sz w:val="24"/>
                <w:szCs w:val="24"/>
              </w:rPr>
            </w:pPr>
          </w:p>
        </w:tc>
        <w:tc>
          <w:tcPr>
            <w:tcW w:w="1500" w:type="dxa"/>
            <w:vAlign w:val="center"/>
          </w:tcPr>
          <w:p w14:paraId="0C080D87">
            <w:pPr>
              <w:pStyle w:val="20"/>
              <w:spacing w:line="360" w:lineRule="auto"/>
              <w:jc w:val="center"/>
              <w:rPr>
                <w:rFonts w:hAnsi="宋体"/>
                <w:color w:val="000000"/>
                <w:sz w:val="24"/>
                <w:szCs w:val="24"/>
              </w:rPr>
            </w:pPr>
          </w:p>
        </w:tc>
        <w:tc>
          <w:tcPr>
            <w:tcW w:w="1350" w:type="dxa"/>
            <w:tcBorders>
              <w:right w:val="single" w:color="auto" w:sz="4" w:space="0"/>
            </w:tcBorders>
            <w:vAlign w:val="center"/>
          </w:tcPr>
          <w:p w14:paraId="2317DEE5">
            <w:pPr>
              <w:pStyle w:val="20"/>
              <w:spacing w:line="360" w:lineRule="auto"/>
              <w:jc w:val="center"/>
              <w:rPr>
                <w:rFonts w:hAnsi="宋体"/>
                <w:color w:val="000000"/>
                <w:sz w:val="24"/>
                <w:szCs w:val="24"/>
              </w:rPr>
            </w:pPr>
          </w:p>
        </w:tc>
        <w:tc>
          <w:tcPr>
            <w:tcW w:w="1500" w:type="dxa"/>
            <w:tcBorders>
              <w:left w:val="single" w:color="auto" w:sz="4" w:space="0"/>
              <w:right w:val="single" w:color="auto" w:sz="4" w:space="0"/>
            </w:tcBorders>
            <w:vAlign w:val="center"/>
          </w:tcPr>
          <w:p w14:paraId="5B79444B">
            <w:pPr>
              <w:pStyle w:val="20"/>
              <w:spacing w:line="360" w:lineRule="auto"/>
              <w:jc w:val="center"/>
              <w:rPr>
                <w:rFonts w:hAnsi="宋体"/>
                <w:color w:val="000000"/>
                <w:sz w:val="24"/>
                <w:szCs w:val="24"/>
              </w:rPr>
            </w:pPr>
          </w:p>
        </w:tc>
        <w:tc>
          <w:tcPr>
            <w:tcW w:w="1226" w:type="dxa"/>
            <w:tcBorders>
              <w:left w:val="single" w:color="auto" w:sz="4" w:space="0"/>
            </w:tcBorders>
            <w:vAlign w:val="center"/>
          </w:tcPr>
          <w:p w14:paraId="38B95AAA">
            <w:pPr>
              <w:pStyle w:val="20"/>
              <w:spacing w:line="360" w:lineRule="auto"/>
              <w:jc w:val="center"/>
              <w:rPr>
                <w:rFonts w:hAnsi="宋体"/>
                <w:color w:val="000000"/>
                <w:sz w:val="24"/>
                <w:szCs w:val="24"/>
              </w:rPr>
            </w:pPr>
          </w:p>
        </w:tc>
        <w:tc>
          <w:tcPr>
            <w:tcW w:w="1831" w:type="dxa"/>
            <w:vAlign w:val="center"/>
          </w:tcPr>
          <w:p w14:paraId="43349EEE">
            <w:pPr>
              <w:pStyle w:val="20"/>
              <w:spacing w:line="360" w:lineRule="auto"/>
              <w:jc w:val="center"/>
              <w:rPr>
                <w:rFonts w:hAnsi="宋体"/>
                <w:color w:val="000000"/>
                <w:sz w:val="24"/>
                <w:szCs w:val="24"/>
              </w:rPr>
            </w:pPr>
          </w:p>
        </w:tc>
      </w:tr>
      <w:tr w14:paraId="7BD5B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700" w:type="dxa"/>
            <w:vAlign w:val="center"/>
          </w:tcPr>
          <w:p w14:paraId="7FF970D1">
            <w:pPr>
              <w:pStyle w:val="20"/>
              <w:spacing w:line="360" w:lineRule="auto"/>
              <w:jc w:val="center"/>
              <w:rPr>
                <w:rFonts w:hAnsi="宋体"/>
                <w:color w:val="000000"/>
                <w:sz w:val="24"/>
                <w:szCs w:val="24"/>
              </w:rPr>
            </w:pPr>
            <w:r>
              <w:rPr>
                <w:rFonts w:hint="eastAsia" w:hAnsi="宋体"/>
                <w:color w:val="000000"/>
                <w:sz w:val="24"/>
                <w:szCs w:val="24"/>
              </w:rPr>
              <w:t>3</w:t>
            </w:r>
          </w:p>
        </w:tc>
        <w:tc>
          <w:tcPr>
            <w:tcW w:w="1417" w:type="dxa"/>
            <w:vAlign w:val="center"/>
          </w:tcPr>
          <w:p w14:paraId="04C19429">
            <w:pPr>
              <w:pStyle w:val="20"/>
              <w:spacing w:line="360" w:lineRule="auto"/>
              <w:jc w:val="center"/>
              <w:rPr>
                <w:rFonts w:hint="eastAsia" w:hAnsi="宋体"/>
                <w:color w:val="000000"/>
                <w:sz w:val="24"/>
                <w:szCs w:val="24"/>
              </w:rPr>
            </w:pPr>
          </w:p>
        </w:tc>
        <w:tc>
          <w:tcPr>
            <w:tcW w:w="1500" w:type="dxa"/>
            <w:vAlign w:val="center"/>
          </w:tcPr>
          <w:p w14:paraId="72226E15">
            <w:pPr>
              <w:pStyle w:val="20"/>
              <w:spacing w:line="360" w:lineRule="auto"/>
              <w:jc w:val="center"/>
              <w:rPr>
                <w:rFonts w:hAnsi="宋体"/>
                <w:color w:val="000000"/>
                <w:sz w:val="24"/>
                <w:szCs w:val="24"/>
              </w:rPr>
            </w:pPr>
          </w:p>
        </w:tc>
        <w:tc>
          <w:tcPr>
            <w:tcW w:w="1350" w:type="dxa"/>
            <w:tcBorders>
              <w:right w:val="single" w:color="auto" w:sz="4" w:space="0"/>
            </w:tcBorders>
            <w:vAlign w:val="center"/>
          </w:tcPr>
          <w:p w14:paraId="4E76DD66">
            <w:pPr>
              <w:pStyle w:val="20"/>
              <w:spacing w:line="360" w:lineRule="auto"/>
              <w:jc w:val="center"/>
              <w:rPr>
                <w:rFonts w:hAnsi="宋体"/>
                <w:color w:val="000000"/>
                <w:sz w:val="24"/>
                <w:szCs w:val="24"/>
              </w:rPr>
            </w:pPr>
          </w:p>
        </w:tc>
        <w:tc>
          <w:tcPr>
            <w:tcW w:w="1500" w:type="dxa"/>
            <w:tcBorders>
              <w:left w:val="single" w:color="auto" w:sz="4" w:space="0"/>
              <w:right w:val="single" w:color="auto" w:sz="4" w:space="0"/>
            </w:tcBorders>
            <w:vAlign w:val="center"/>
          </w:tcPr>
          <w:p w14:paraId="3D270C0F">
            <w:pPr>
              <w:pStyle w:val="20"/>
              <w:spacing w:line="360" w:lineRule="auto"/>
              <w:jc w:val="center"/>
              <w:rPr>
                <w:rFonts w:hAnsi="宋体"/>
                <w:color w:val="000000"/>
                <w:sz w:val="24"/>
                <w:szCs w:val="24"/>
              </w:rPr>
            </w:pPr>
          </w:p>
        </w:tc>
        <w:tc>
          <w:tcPr>
            <w:tcW w:w="1226" w:type="dxa"/>
            <w:tcBorders>
              <w:left w:val="single" w:color="auto" w:sz="4" w:space="0"/>
            </w:tcBorders>
            <w:vAlign w:val="center"/>
          </w:tcPr>
          <w:p w14:paraId="66D2AD9E">
            <w:pPr>
              <w:pStyle w:val="20"/>
              <w:spacing w:line="360" w:lineRule="auto"/>
              <w:jc w:val="center"/>
              <w:rPr>
                <w:rFonts w:hAnsi="宋体"/>
                <w:color w:val="000000"/>
                <w:sz w:val="24"/>
                <w:szCs w:val="24"/>
              </w:rPr>
            </w:pPr>
          </w:p>
        </w:tc>
        <w:tc>
          <w:tcPr>
            <w:tcW w:w="1831" w:type="dxa"/>
            <w:vAlign w:val="center"/>
          </w:tcPr>
          <w:p w14:paraId="2C4238F7">
            <w:pPr>
              <w:pStyle w:val="20"/>
              <w:spacing w:line="360" w:lineRule="auto"/>
              <w:jc w:val="center"/>
              <w:rPr>
                <w:rFonts w:hAnsi="宋体"/>
                <w:color w:val="000000"/>
                <w:sz w:val="24"/>
                <w:szCs w:val="24"/>
              </w:rPr>
            </w:pPr>
          </w:p>
        </w:tc>
      </w:tr>
      <w:tr w14:paraId="0CA00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700" w:type="dxa"/>
            <w:vAlign w:val="center"/>
          </w:tcPr>
          <w:p w14:paraId="2F5B53EA">
            <w:pPr>
              <w:pStyle w:val="20"/>
              <w:spacing w:line="360" w:lineRule="auto"/>
              <w:jc w:val="center"/>
              <w:rPr>
                <w:rFonts w:hAnsi="宋体"/>
                <w:color w:val="000000"/>
                <w:sz w:val="24"/>
                <w:szCs w:val="24"/>
              </w:rPr>
            </w:pPr>
            <w:r>
              <w:rPr>
                <w:rFonts w:hint="eastAsia" w:hAnsi="宋体"/>
                <w:color w:val="000000"/>
                <w:sz w:val="24"/>
                <w:szCs w:val="24"/>
              </w:rPr>
              <w:t>4</w:t>
            </w:r>
          </w:p>
        </w:tc>
        <w:tc>
          <w:tcPr>
            <w:tcW w:w="1417" w:type="dxa"/>
            <w:vAlign w:val="center"/>
          </w:tcPr>
          <w:p w14:paraId="289CCBA8">
            <w:pPr>
              <w:pStyle w:val="20"/>
              <w:spacing w:line="360" w:lineRule="auto"/>
              <w:jc w:val="center"/>
              <w:rPr>
                <w:rFonts w:hint="eastAsia" w:hAnsi="宋体"/>
                <w:color w:val="000000"/>
                <w:sz w:val="24"/>
                <w:szCs w:val="24"/>
              </w:rPr>
            </w:pPr>
          </w:p>
        </w:tc>
        <w:tc>
          <w:tcPr>
            <w:tcW w:w="1500" w:type="dxa"/>
            <w:vAlign w:val="center"/>
          </w:tcPr>
          <w:p w14:paraId="4645AA69">
            <w:pPr>
              <w:pStyle w:val="20"/>
              <w:spacing w:line="360" w:lineRule="auto"/>
              <w:jc w:val="center"/>
              <w:rPr>
                <w:rFonts w:hAnsi="宋体"/>
                <w:color w:val="000000"/>
                <w:sz w:val="24"/>
                <w:szCs w:val="24"/>
              </w:rPr>
            </w:pPr>
          </w:p>
        </w:tc>
        <w:tc>
          <w:tcPr>
            <w:tcW w:w="1350" w:type="dxa"/>
            <w:tcBorders>
              <w:right w:val="single" w:color="auto" w:sz="4" w:space="0"/>
            </w:tcBorders>
            <w:vAlign w:val="center"/>
          </w:tcPr>
          <w:p w14:paraId="3C60CFAA">
            <w:pPr>
              <w:pStyle w:val="20"/>
              <w:spacing w:line="360" w:lineRule="auto"/>
              <w:jc w:val="center"/>
              <w:rPr>
                <w:rFonts w:hAnsi="宋体"/>
                <w:color w:val="000000"/>
                <w:sz w:val="24"/>
                <w:szCs w:val="24"/>
              </w:rPr>
            </w:pPr>
          </w:p>
        </w:tc>
        <w:tc>
          <w:tcPr>
            <w:tcW w:w="1500" w:type="dxa"/>
            <w:tcBorders>
              <w:left w:val="single" w:color="auto" w:sz="4" w:space="0"/>
              <w:right w:val="single" w:color="auto" w:sz="4" w:space="0"/>
            </w:tcBorders>
            <w:vAlign w:val="center"/>
          </w:tcPr>
          <w:p w14:paraId="2E75BE39">
            <w:pPr>
              <w:pStyle w:val="20"/>
              <w:spacing w:line="360" w:lineRule="auto"/>
              <w:jc w:val="center"/>
              <w:rPr>
                <w:rFonts w:hAnsi="宋体"/>
                <w:color w:val="000000"/>
                <w:sz w:val="24"/>
                <w:szCs w:val="24"/>
              </w:rPr>
            </w:pPr>
          </w:p>
        </w:tc>
        <w:tc>
          <w:tcPr>
            <w:tcW w:w="1226" w:type="dxa"/>
            <w:tcBorders>
              <w:left w:val="single" w:color="auto" w:sz="4" w:space="0"/>
            </w:tcBorders>
            <w:vAlign w:val="center"/>
          </w:tcPr>
          <w:p w14:paraId="68D958BD">
            <w:pPr>
              <w:pStyle w:val="20"/>
              <w:spacing w:line="360" w:lineRule="auto"/>
              <w:jc w:val="center"/>
              <w:rPr>
                <w:rFonts w:hAnsi="宋体"/>
                <w:color w:val="000000"/>
                <w:sz w:val="24"/>
                <w:szCs w:val="24"/>
              </w:rPr>
            </w:pPr>
          </w:p>
        </w:tc>
        <w:tc>
          <w:tcPr>
            <w:tcW w:w="1831" w:type="dxa"/>
            <w:vAlign w:val="center"/>
          </w:tcPr>
          <w:p w14:paraId="3580848A">
            <w:pPr>
              <w:pStyle w:val="20"/>
              <w:spacing w:line="360" w:lineRule="auto"/>
              <w:jc w:val="center"/>
              <w:rPr>
                <w:rFonts w:hAnsi="宋体"/>
                <w:color w:val="000000"/>
                <w:sz w:val="24"/>
                <w:szCs w:val="24"/>
              </w:rPr>
            </w:pPr>
          </w:p>
        </w:tc>
      </w:tr>
      <w:tr w14:paraId="558B8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700" w:type="dxa"/>
            <w:vAlign w:val="center"/>
          </w:tcPr>
          <w:p w14:paraId="2E7667B2">
            <w:pPr>
              <w:pStyle w:val="20"/>
              <w:spacing w:line="360" w:lineRule="auto"/>
              <w:jc w:val="center"/>
              <w:rPr>
                <w:rFonts w:hAnsi="宋体"/>
                <w:color w:val="000000"/>
                <w:sz w:val="24"/>
                <w:szCs w:val="24"/>
              </w:rPr>
            </w:pPr>
            <w:r>
              <w:rPr>
                <w:rFonts w:hint="eastAsia" w:hAnsi="宋体"/>
                <w:color w:val="000000"/>
                <w:sz w:val="24"/>
                <w:szCs w:val="24"/>
              </w:rPr>
              <w:t>5</w:t>
            </w:r>
          </w:p>
        </w:tc>
        <w:tc>
          <w:tcPr>
            <w:tcW w:w="1417" w:type="dxa"/>
            <w:vAlign w:val="center"/>
          </w:tcPr>
          <w:p w14:paraId="2F1EC8B3">
            <w:pPr>
              <w:pStyle w:val="20"/>
              <w:spacing w:line="360" w:lineRule="auto"/>
              <w:jc w:val="center"/>
              <w:rPr>
                <w:rFonts w:hint="eastAsia" w:hAnsi="宋体"/>
                <w:color w:val="000000"/>
                <w:sz w:val="24"/>
                <w:szCs w:val="24"/>
              </w:rPr>
            </w:pPr>
          </w:p>
        </w:tc>
        <w:tc>
          <w:tcPr>
            <w:tcW w:w="1500" w:type="dxa"/>
            <w:vAlign w:val="center"/>
          </w:tcPr>
          <w:p w14:paraId="61199348">
            <w:pPr>
              <w:pStyle w:val="20"/>
              <w:spacing w:line="360" w:lineRule="auto"/>
              <w:jc w:val="center"/>
              <w:rPr>
                <w:rFonts w:hAnsi="宋体"/>
                <w:color w:val="000000"/>
                <w:sz w:val="24"/>
                <w:szCs w:val="24"/>
              </w:rPr>
            </w:pPr>
          </w:p>
        </w:tc>
        <w:tc>
          <w:tcPr>
            <w:tcW w:w="1350" w:type="dxa"/>
            <w:tcBorders>
              <w:right w:val="single" w:color="auto" w:sz="4" w:space="0"/>
            </w:tcBorders>
            <w:vAlign w:val="center"/>
          </w:tcPr>
          <w:p w14:paraId="13B14869">
            <w:pPr>
              <w:pStyle w:val="20"/>
              <w:spacing w:line="360" w:lineRule="auto"/>
              <w:jc w:val="center"/>
              <w:rPr>
                <w:rFonts w:hAnsi="宋体"/>
                <w:color w:val="000000"/>
                <w:sz w:val="24"/>
                <w:szCs w:val="24"/>
              </w:rPr>
            </w:pPr>
          </w:p>
        </w:tc>
        <w:tc>
          <w:tcPr>
            <w:tcW w:w="1500" w:type="dxa"/>
            <w:tcBorders>
              <w:left w:val="single" w:color="auto" w:sz="4" w:space="0"/>
              <w:right w:val="single" w:color="auto" w:sz="4" w:space="0"/>
            </w:tcBorders>
            <w:vAlign w:val="center"/>
          </w:tcPr>
          <w:p w14:paraId="1628719F">
            <w:pPr>
              <w:pStyle w:val="20"/>
              <w:spacing w:line="360" w:lineRule="auto"/>
              <w:jc w:val="center"/>
              <w:rPr>
                <w:rFonts w:hAnsi="宋体"/>
                <w:color w:val="000000"/>
                <w:sz w:val="24"/>
                <w:szCs w:val="24"/>
              </w:rPr>
            </w:pPr>
          </w:p>
        </w:tc>
        <w:tc>
          <w:tcPr>
            <w:tcW w:w="1226" w:type="dxa"/>
            <w:tcBorders>
              <w:left w:val="single" w:color="auto" w:sz="4" w:space="0"/>
            </w:tcBorders>
            <w:vAlign w:val="center"/>
          </w:tcPr>
          <w:p w14:paraId="051F51BC">
            <w:pPr>
              <w:pStyle w:val="20"/>
              <w:spacing w:line="360" w:lineRule="auto"/>
              <w:jc w:val="center"/>
              <w:rPr>
                <w:rFonts w:hAnsi="宋体"/>
                <w:color w:val="000000"/>
                <w:sz w:val="24"/>
                <w:szCs w:val="24"/>
              </w:rPr>
            </w:pPr>
          </w:p>
        </w:tc>
        <w:tc>
          <w:tcPr>
            <w:tcW w:w="1831" w:type="dxa"/>
            <w:vAlign w:val="center"/>
          </w:tcPr>
          <w:p w14:paraId="03BBE5FF">
            <w:pPr>
              <w:pStyle w:val="20"/>
              <w:spacing w:line="360" w:lineRule="auto"/>
              <w:jc w:val="center"/>
              <w:rPr>
                <w:rFonts w:hAnsi="宋体"/>
                <w:color w:val="000000"/>
                <w:sz w:val="24"/>
                <w:szCs w:val="24"/>
              </w:rPr>
            </w:pPr>
          </w:p>
        </w:tc>
      </w:tr>
      <w:tr w14:paraId="35162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700" w:type="dxa"/>
            <w:vAlign w:val="center"/>
          </w:tcPr>
          <w:p w14:paraId="23EEBAC2">
            <w:pPr>
              <w:pStyle w:val="20"/>
              <w:spacing w:line="360" w:lineRule="auto"/>
              <w:jc w:val="center"/>
              <w:rPr>
                <w:rFonts w:hAnsi="宋体"/>
                <w:color w:val="000000"/>
                <w:sz w:val="24"/>
                <w:szCs w:val="24"/>
              </w:rPr>
            </w:pPr>
            <w:r>
              <w:rPr>
                <w:rFonts w:hint="eastAsia" w:hAnsi="宋体"/>
                <w:color w:val="000000"/>
                <w:sz w:val="24"/>
                <w:szCs w:val="24"/>
              </w:rPr>
              <w:t>…</w:t>
            </w:r>
          </w:p>
        </w:tc>
        <w:tc>
          <w:tcPr>
            <w:tcW w:w="1417" w:type="dxa"/>
            <w:vAlign w:val="center"/>
          </w:tcPr>
          <w:p w14:paraId="5AFD4F2B">
            <w:pPr>
              <w:pStyle w:val="20"/>
              <w:spacing w:line="360" w:lineRule="auto"/>
              <w:jc w:val="center"/>
              <w:rPr>
                <w:rFonts w:hint="eastAsia" w:hAnsi="宋体"/>
                <w:color w:val="000000"/>
                <w:sz w:val="24"/>
                <w:szCs w:val="24"/>
              </w:rPr>
            </w:pPr>
          </w:p>
        </w:tc>
        <w:tc>
          <w:tcPr>
            <w:tcW w:w="1500" w:type="dxa"/>
            <w:vAlign w:val="center"/>
          </w:tcPr>
          <w:p w14:paraId="1BBC3CA4">
            <w:pPr>
              <w:pStyle w:val="20"/>
              <w:spacing w:line="360" w:lineRule="auto"/>
              <w:jc w:val="center"/>
              <w:rPr>
                <w:rFonts w:hAnsi="宋体"/>
                <w:color w:val="000000"/>
                <w:sz w:val="24"/>
                <w:szCs w:val="24"/>
              </w:rPr>
            </w:pPr>
          </w:p>
        </w:tc>
        <w:tc>
          <w:tcPr>
            <w:tcW w:w="1350" w:type="dxa"/>
            <w:tcBorders>
              <w:right w:val="single" w:color="auto" w:sz="4" w:space="0"/>
            </w:tcBorders>
            <w:vAlign w:val="center"/>
          </w:tcPr>
          <w:p w14:paraId="2ACECB2E">
            <w:pPr>
              <w:pStyle w:val="20"/>
              <w:spacing w:line="360" w:lineRule="auto"/>
              <w:jc w:val="center"/>
              <w:rPr>
                <w:rFonts w:hAnsi="宋体"/>
                <w:color w:val="000000"/>
                <w:sz w:val="24"/>
                <w:szCs w:val="24"/>
              </w:rPr>
            </w:pPr>
          </w:p>
        </w:tc>
        <w:tc>
          <w:tcPr>
            <w:tcW w:w="1500" w:type="dxa"/>
            <w:tcBorders>
              <w:left w:val="single" w:color="auto" w:sz="4" w:space="0"/>
              <w:right w:val="single" w:color="auto" w:sz="4" w:space="0"/>
            </w:tcBorders>
            <w:vAlign w:val="center"/>
          </w:tcPr>
          <w:p w14:paraId="1B14ADB0">
            <w:pPr>
              <w:pStyle w:val="20"/>
              <w:spacing w:line="360" w:lineRule="auto"/>
              <w:jc w:val="center"/>
              <w:rPr>
                <w:rFonts w:hAnsi="宋体"/>
                <w:color w:val="000000"/>
                <w:sz w:val="24"/>
                <w:szCs w:val="24"/>
              </w:rPr>
            </w:pPr>
          </w:p>
        </w:tc>
        <w:tc>
          <w:tcPr>
            <w:tcW w:w="1226" w:type="dxa"/>
            <w:tcBorders>
              <w:left w:val="single" w:color="auto" w:sz="4" w:space="0"/>
            </w:tcBorders>
            <w:vAlign w:val="center"/>
          </w:tcPr>
          <w:p w14:paraId="188EFE1C">
            <w:pPr>
              <w:pStyle w:val="20"/>
              <w:spacing w:line="360" w:lineRule="auto"/>
              <w:jc w:val="center"/>
              <w:rPr>
                <w:rFonts w:hAnsi="宋体"/>
                <w:color w:val="000000"/>
                <w:sz w:val="24"/>
                <w:szCs w:val="24"/>
              </w:rPr>
            </w:pPr>
          </w:p>
        </w:tc>
        <w:tc>
          <w:tcPr>
            <w:tcW w:w="1831" w:type="dxa"/>
            <w:vAlign w:val="center"/>
          </w:tcPr>
          <w:p w14:paraId="0D9E7D60">
            <w:pPr>
              <w:pStyle w:val="20"/>
              <w:spacing w:line="360" w:lineRule="auto"/>
              <w:jc w:val="center"/>
              <w:rPr>
                <w:rFonts w:hAnsi="宋体"/>
                <w:color w:val="000000"/>
                <w:sz w:val="24"/>
                <w:szCs w:val="24"/>
              </w:rPr>
            </w:pPr>
          </w:p>
        </w:tc>
      </w:tr>
      <w:tr w14:paraId="10CCF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700" w:type="dxa"/>
            <w:vAlign w:val="center"/>
          </w:tcPr>
          <w:p w14:paraId="5A71BDB8">
            <w:pPr>
              <w:pStyle w:val="20"/>
              <w:spacing w:line="360" w:lineRule="auto"/>
              <w:jc w:val="center"/>
              <w:rPr>
                <w:rFonts w:hAnsi="宋体"/>
                <w:color w:val="000000"/>
                <w:sz w:val="24"/>
                <w:szCs w:val="24"/>
              </w:rPr>
            </w:pPr>
          </w:p>
        </w:tc>
        <w:tc>
          <w:tcPr>
            <w:tcW w:w="1417" w:type="dxa"/>
            <w:vAlign w:val="center"/>
          </w:tcPr>
          <w:p w14:paraId="31A2F7FC">
            <w:pPr>
              <w:pStyle w:val="20"/>
              <w:spacing w:line="360" w:lineRule="auto"/>
              <w:jc w:val="center"/>
              <w:rPr>
                <w:rFonts w:hAnsi="宋体"/>
                <w:color w:val="000000"/>
                <w:sz w:val="24"/>
                <w:szCs w:val="24"/>
              </w:rPr>
            </w:pPr>
          </w:p>
        </w:tc>
        <w:tc>
          <w:tcPr>
            <w:tcW w:w="1500" w:type="dxa"/>
            <w:vAlign w:val="center"/>
          </w:tcPr>
          <w:p w14:paraId="5CB6F5BA">
            <w:pPr>
              <w:pStyle w:val="20"/>
              <w:spacing w:line="360" w:lineRule="auto"/>
              <w:jc w:val="center"/>
              <w:rPr>
                <w:rFonts w:hAnsi="宋体"/>
                <w:color w:val="000000"/>
                <w:sz w:val="24"/>
                <w:szCs w:val="24"/>
              </w:rPr>
            </w:pPr>
          </w:p>
        </w:tc>
        <w:tc>
          <w:tcPr>
            <w:tcW w:w="1350" w:type="dxa"/>
            <w:tcBorders>
              <w:right w:val="single" w:color="auto" w:sz="4" w:space="0"/>
            </w:tcBorders>
            <w:vAlign w:val="center"/>
          </w:tcPr>
          <w:p w14:paraId="35818C0D">
            <w:pPr>
              <w:pStyle w:val="20"/>
              <w:spacing w:line="360" w:lineRule="auto"/>
              <w:jc w:val="center"/>
              <w:rPr>
                <w:rFonts w:hAnsi="宋体"/>
                <w:color w:val="000000"/>
                <w:sz w:val="24"/>
                <w:szCs w:val="24"/>
              </w:rPr>
            </w:pPr>
          </w:p>
        </w:tc>
        <w:tc>
          <w:tcPr>
            <w:tcW w:w="1500" w:type="dxa"/>
            <w:tcBorders>
              <w:left w:val="single" w:color="auto" w:sz="4" w:space="0"/>
              <w:right w:val="single" w:color="auto" w:sz="4" w:space="0"/>
            </w:tcBorders>
            <w:vAlign w:val="center"/>
          </w:tcPr>
          <w:p w14:paraId="5D2715B4">
            <w:pPr>
              <w:pStyle w:val="20"/>
              <w:spacing w:line="360" w:lineRule="auto"/>
              <w:jc w:val="center"/>
              <w:rPr>
                <w:rFonts w:hAnsi="宋体"/>
                <w:color w:val="000000"/>
                <w:sz w:val="24"/>
                <w:szCs w:val="24"/>
              </w:rPr>
            </w:pPr>
          </w:p>
        </w:tc>
        <w:tc>
          <w:tcPr>
            <w:tcW w:w="1226" w:type="dxa"/>
            <w:tcBorders>
              <w:left w:val="single" w:color="auto" w:sz="4" w:space="0"/>
            </w:tcBorders>
            <w:vAlign w:val="center"/>
          </w:tcPr>
          <w:p w14:paraId="6C4931CB">
            <w:pPr>
              <w:pStyle w:val="20"/>
              <w:spacing w:line="360" w:lineRule="auto"/>
              <w:jc w:val="center"/>
              <w:rPr>
                <w:rFonts w:hAnsi="宋体"/>
                <w:color w:val="000000"/>
                <w:sz w:val="24"/>
                <w:szCs w:val="24"/>
              </w:rPr>
            </w:pPr>
          </w:p>
        </w:tc>
        <w:tc>
          <w:tcPr>
            <w:tcW w:w="1831" w:type="dxa"/>
            <w:vAlign w:val="center"/>
          </w:tcPr>
          <w:p w14:paraId="7AC8AF9A">
            <w:pPr>
              <w:pStyle w:val="20"/>
              <w:spacing w:line="360" w:lineRule="auto"/>
              <w:jc w:val="center"/>
              <w:rPr>
                <w:rFonts w:hAnsi="宋体"/>
                <w:color w:val="000000"/>
                <w:sz w:val="24"/>
                <w:szCs w:val="24"/>
              </w:rPr>
            </w:pPr>
          </w:p>
        </w:tc>
      </w:tr>
      <w:tr w14:paraId="5B876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0" w:hRule="atLeast"/>
          <w:jc w:val="center"/>
        </w:trPr>
        <w:tc>
          <w:tcPr>
            <w:tcW w:w="700" w:type="dxa"/>
            <w:vAlign w:val="center"/>
          </w:tcPr>
          <w:p w14:paraId="5701C9B3">
            <w:pPr>
              <w:pStyle w:val="20"/>
              <w:spacing w:line="360" w:lineRule="auto"/>
              <w:jc w:val="center"/>
              <w:rPr>
                <w:rFonts w:hAnsi="宋体"/>
                <w:color w:val="000000"/>
                <w:sz w:val="24"/>
                <w:szCs w:val="24"/>
              </w:rPr>
            </w:pPr>
          </w:p>
        </w:tc>
        <w:tc>
          <w:tcPr>
            <w:tcW w:w="1417" w:type="dxa"/>
            <w:vAlign w:val="center"/>
          </w:tcPr>
          <w:p w14:paraId="48455181">
            <w:pPr>
              <w:pStyle w:val="20"/>
              <w:spacing w:line="360" w:lineRule="auto"/>
              <w:jc w:val="center"/>
              <w:rPr>
                <w:rFonts w:hAnsi="宋体"/>
                <w:color w:val="000000"/>
                <w:sz w:val="24"/>
                <w:szCs w:val="24"/>
              </w:rPr>
            </w:pPr>
          </w:p>
        </w:tc>
        <w:tc>
          <w:tcPr>
            <w:tcW w:w="1500" w:type="dxa"/>
            <w:vAlign w:val="center"/>
          </w:tcPr>
          <w:p w14:paraId="584507DA">
            <w:pPr>
              <w:pStyle w:val="20"/>
              <w:spacing w:line="360" w:lineRule="auto"/>
              <w:jc w:val="center"/>
              <w:rPr>
                <w:rFonts w:hAnsi="宋体"/>
                <w:color w:val="000000"/>
                <w:sz w:val="24"/>
                <w:szCs w:val="24"/>
              </w:rPr>
            </w:pPr>
          </w:p>
        </w:tc>
        <w:tc>
          <w:tcPr>
            <w:tcW w:w="1350" w:type="dxa"/>
            <w:tcBorders>
              <w:right w:val="single" w:color="auto" w:sz="4" w:space="0"/>
            </w:tcBorders>
            <w:vAlign w:val="center"/>
          </w:tcPr>
          <w:p w14:paraId="21C913FA">
            <w:pPr>
              <w:pStyle w:val="20"/>
              <w:spacing w:line="360" w:lineRule="auto"/>
              <w:jc w:val="center"/>
              <w:rPr>
                <w:rFonts w:hAnsi="宋体"/>
                <w:color w:val="000000"/>
                <w:sz w:val="24"/>
                <w:szCs w:val="24"/>
              </w:rPr>
            </w:pPr>
          </w:p>
        </w:tc>
        <w:tc>
          <w:tcPr>
            <w:tcW w:w="1500" w:type="dxa"/>
            <w:tcBorders>
              <w:left w:val="single" w:color="auto" w:sz="4" w:space="0"/>
              <w:right w:val="single" w:color="auto" w:sz="4" w:space="0"/>
            </w:tcBorders>
            <w:vAlign w:val="center"/>
          </w:tcPr>
          <w:p w14:paraId="5DC02727">
            <w:pPr>
              <w:pStyle w:val="20"/>
              <w:spacing w:line="360" w:lineRule="auto"/>
              <w:jc w:val="center"/>
              <w:rPr>
                <w:rFonts w:hAnsi="宋体"/>
                <w:color w:val="000000"/>
                <w:sz w:val="24"/>
                <w:szCs w:val="24"/>
              </w:rPr>
            </w:pPr>
          </w:p>
        </w:tc>
        <w:tc>
          <w:tcPr>
            <w:tcW w:w="1226" w:type="dxa"/>
            <w:tcBorders>
              <w:left w:val="single" w:color="auto" w:sz="4" w:space="0"/>
            </w:tcBorders>
            <w:vAlign w:val="center"/>
          </w:tcPr>
          <w:p w14:paraId="4B9BC407">
            <w:pPr>
              <w:pStyle w:val="20"/>
              <w:spacing w:line="360" w:lineRule="auto"/>
              <w:jc w:val="center"/>
              <w:rPr>
                <w:rFonts w:hAnsi="宋体"/>
                <w:color w:val="000000"/>
                <w:sz w:val="24"/>
                <w:szCs w:val="24"/>
              </w:rPr>
            </w:pPr>
          </w:p>
        </w:tc>
        <w:tc>
          <w:tcPr>
            <w:tcW w:w="1831" w:type="dxa"/>
            <w:vAlign w:val="center"/>
          </w:tcPr>
          <w:p w14:paraId="4D39CAA1">
            <w:pPr>
              <w:pStyle w:val="20"/>
              <w:spacing w:line="360" w:lineRule="auto"/>
              <w:jc w:val="center"/>
              <w:rPr>
                <w:rFonts w:hAnsi="宋体"/>
                <w:color w:val="000000"/>
                <w:sz w:val="24"/>
                <w:szCs w:val="24"/>
              </w:rPr>
            </w:pPr>
          </w:p>
        </w:tc>
      </w:tr>
      <w:tr w14:paraId="4885D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6" w:hRule="atLeast"/>
          <w:jc w:val="center"/>
        </w:trPr>
        <w:tc>
          <w:tcPr>
            <w:tcW w:w="700" w:type="dxa"/>
            <w:vAlign w:val="center"/>
          </w:tcPr>
          <w:p w14:paraId="62C93934">
            <w:pPr>
              <w:pStyle w:val="20"/>
              <w:spacing w:line="360" w:lineRule="auto"/>
              <w:jc w:val="center"/>
              <w:rPr>
                <w:rFonts w:hAnsi="宋体"/>
                <w:color w:val="000000"/>
                <w:sz w:val="24"/>
                <w:szCs w:val="24"/>
              </w:rPr>
            </w:pPr>
          </w:p>
        </w:tc>
        <w:tc>
          <w:tcPr>
            <w:tcW w:w="1417" w:type="dxa"/>
            <w:vAlign w:val="center"/>
          </w:tcPr>
          <w:p w14:paraId="54DE61CB">
            <w:pPr>
              <w:pStyle w:val="20"/>
              <w:spacing w:line="360" w:lineRule="auto"/>
              <w:jc w:val="center"/>
              <w:rPr>
                <w:rFonts w:hAnsi="宋体"/>
                <w:color w:val="000000"/>
                <w:sz w:val="24"/>
                <w:szCs w:val="24"/>
              </w:rPr>
            </w:pPr>
          </w:p>
        </w:tc>
        <w:tc>
          <w:tcPr>
            <w:tcW w:w="1500" w:type="dxa"/>
            <w:vAlign w:val="center"/>
          </w:tcPr>
          <w:p w14:paraId="00CB869C">
            <w:pPr>
              <w:pStyle w:val="20"/>
              <w:spacing w:line="360" w:lineRule="auto"/>
              <w:jc w:val="center"/>
              <w:rPr>
                <w:rFonts w:hAnsi="宋体"/>
                <w:color w:val="000000"/>
                <w:sz w:val="24"/>
                <w:szCs w:val="24"/>
              </w:rPr>
            </w:pPr>
          </w:p>
        </w:tc>
        <w:tc>
          <w:tcPr>
            <w:tcW w:w="1350" w:type="dxa"/>
            <w:tcBorders>
              <w:right w:val="single" w:color="auto" w:sz="4" w:space="0"/>
            </w:tcBorders>
            <w:vAlign w:val="center"/>
          </w:tcPr>
          <w:p w14:paraId="07D43FDD">
            <w:pPr>
              <w:pStyle w:val="20"/>
              <w:spacing w:line="360" w:lineRule="auto"/>
              <w:jc w:val="center"/>
              <w:rPr>
                <w:rFonts w:hAnsi="宋体"/>
                <w:color w:val="000000"/>
                <w:sz w:val="24"/>
                <w:szCs w:val="24"/>
              </w:rPr>
            </w:pPr>
          </w:p>
        </w:tc>
        <w:tc>
          <w:tcPr>
            <w:tcW w:w="1500" w:type="dxa"/>
            <w:tcBorders>
              <w:left w:val="single" w:color="auto" w:sz="4" w:space="0"/>
              <w:right w:val="single" w:color="auto" w:sz="4" w:space="0"/>
            </w:tcBorders>
            <w:vAlign w:val="center"/>
          </w:tcPr>
          <w:p w14:paraId="05F187BD">
            <w:pPr>
              <w:pStyle w:val="20"/>
              <w:spacing w:line="360" w:lineRule="auto"/>
              <w:jc w:val="center"/>
              <w:rPr>
                <w:rFonts w:hAnsi="宋体"/>
                <w:color w:val="000000"/>
                <w:sz w:val="24"/>
                <w:szCs w:val="24"/>
              </w:rPr>
            </w:pPr>
          </w:p>
        </w:tc>
        <w:tc>
          <w:tcPr>
            <w:tcW w:w="1226" w:type="dxa"/>
            <w:tcBorders>
              <w:left w:val="single" w:color="auto" w:sz="4" w:space="0"/>
            </w:tcBorders>
            <w:vAlign w:val="center"/>
          </w:tcPr>
          <w:p w14:paraId="07AE5FDA">
            <w:pPr>
              <w:pStyle w:val="20"/>
              <w:spacing w:line="360" w:lineRule="auto"/>
              <w:jc w:val="center"/>
              <w:rPr>
                <w:rFonts w:hAnsi="宋体"/>
                <w:color w:val="000000"/>
                <w:sz w:val="24"/>
                <w:szCs w:val="24"/>
              </w:rPr>
            </w:pPr>
          </w:p>
        </w:tc>
        <w:tc>
          <w:tcPr>
            <w:tcW w:w="1831" w:type="dxa"/>
            <w:vAlign w:val="center"/>
          </w:tcPr>
          <w:p w14:paraId="6B74C93E">
            <w:pPr>
              <w:pStyle w:val="20"/>
              <w:spacing w:line="360" w:lineRule="auto"/>
              <w:jc w:val="center"/>
              <w:rPr>
                <w:rFonts w:hAnsi="宋体"/>
                <w:color w:val="000000"/>
                <w:sz w:val="24"/>
                <w:szCs w:val="24"/>
              </w:rPr>
            </w:pPr>
          </w:p>
        </w:tc>
      </w:tr>
    </w:tbl>
    <w:p w14:paraId="3E400F8D">
      <w:pPr>
        <w:spacing w:line="360" w:lineRule="auto"/>
        <w:ind w:firstLine="482" w:firstLineChars="200"/>
        <w:rPr>
          <w:rFonts w:hint="eastAsia" w:ascii="楷体" w:hAnsi="楷体" w:eastAsia="楷体" w:cs="楷体"/>
          <w:sz w:val="24"/>
          <w:szCs w:val="24"/>
        </w:rPr>
      </w:pPr>
      <w:r>
        <w:rPr>
          <w:rFonts w:hint="eastAsia" w:ascii="宋体" w:hAnsi="宋体" w:eastAsia="宋体" w:cs="宋体"/>
          <w:b/>
          <w:bCs/>
          <w:color w:val="000000"/>
          <w:sz w:val="24"/>
          <w:szCs w:val="24"/>
          <w:lang w:eastAsia="zh-CN"/>
        </w:rPr>
        <w:t>备注</w:t>
      </w:r>
      <w:r>
        <w:rPr>
          <w:rFonts w:hint="eastAsia" w:ascii="宋体" w:hAnsi="宋体" w:cs="宋体"/>
          <w:b/>
          <w:bCs/>
          <w:color w:val="000000"/>
          <w:sz w:val="24"/>
          <w:szCs w:val="24"/>
          <w:lang w:val="en-US" w:eastAsia="zh-CN"/>
        </w:rPr>
        <w:t>:</w:t>
      </w: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cs="宋体"/>
          <w:color w:val="000000" w:themeColor="text1"/>
          <w:sz w:val="24"/>
          <w:szCs w:val="24"/>
          <w:lang w:val="en-US" w:eastAsia="zh-CN"/>
          <w14:textFill>
            <w14:solidFill>
              <w14:schemeClr w14:val="tx1"/>
            </w14:solidFill>
          </w14:textFill>
        </w:rPr>
        <w:t>2022年8月</w:t>
      </w:r>
      <w:r>
        <w:rPr>
          <w:rFonts w:hint="eastAsia" w:ascii="宋体" w:hAnsi="宋体" w:eastAsia="宋体" w:cs="宋体"/>
          <w:color w:val="000000" w:themeColor="text1"/>
          <w:sz w:val="24"/>
          <w:szCs w:val="24"/>
          <w14:textFill>
            <w14:solidFill>
              <w14:schemeClr w14:val="tx1"/>
            </w14:solidFill>
          </w14:textFill>
        </w:rPr>
        <w:t>至今类似业绩</w:t>
      </w:r>
      <w:r>
        <w:rPr>
          <w:rFonts w:hint="eastAsia" w:ascii="宋体" w:hAnsi="宋体" w:cs="宋体"/>
          <w:color w:val="000000" w:themeColor="text1"/>
          <w:sz w:val="24"/>
          <w:szCs w:val="24"/>
          <w:lang w:val="en-US" w:eastAsia="zh-CN"/>
          <w14:textFill>
            <w14:solidFill>
              <w14:schemeClr w14:val="tx1"/>
            </w14:solidFill>
          </w14:textFill>
        </w:rPr>
        <w:t>(至少3份业绩）</w:t>
      </w:r>
      <w:r>
        <w:rPr>
          <w:rFonts w:hint="eastAsia" w:ascii="宋体" w:hAnsi="宋体" w:eastAsia="宋体" w:cs="宋体"/>
          <w:color w:val="000000" w:themeColor="text1"/>
          <w:sz w:val="24"/>
          <w:szCs w:val="24"/>
          <w14:textFill>
            <w14:solidFill>
              <w14:schemeClr w14:val="tx1"/>
            </w14:solidFill>
          </w14:textFill>
        </w:rPr>
        <w:t>，以</w:t>
      </w:r>
      <w:r>
        <w:rPr>
          <w:rFonts w:hint="eastAsia" w:ascii="宋体" w:hAnsi="宋体" w:eastAsia="宋体" w:cs="宋体"/>
          <w:color w:val="000000" w:themeColor="text1"/>
          <w:sz w:val="24"/>
          <w:szCs w:val="24"/>
          <w:lang w:eastAsia="zh-CN"/>
          <w14:textFill>
            <w14:solidFill>
              <w14:schemeClr w14:val="tx1"/>
            </w14:solidFill>
          </w14:textFill>
        </w:rPr>
        <w:t>中标通知书或</w:t>
      </w:r>
      <w:r>
        <w:rPr>
          <w:rFonts w:hint="eastAsia" w:ascii="宋体" w:hAnsi="宋体" w:eastAsia="宋体" w:cs="宋体"/>
          <w:color w:val="000000" w:themeColor="text1"/>
          <w:sz w:val="24"/>
          <w:szCs w:val="24"/>
          <w14:textFill>
            <w14:solidFill>
              <w14:schemeClr w14:val="tx1"/>
            </w14:solidFill>
          </w14:textFill>
        </w:rPr>
        <w:t>合同为准。招标方有与相关甲方核对查验合同真实性的权利。</w:t>
      </w:r>
    </w:p>
    <w:p w14:paraId="51193F07">
      <w:pPr>
        <w:spacing w:line="640" w:lineRule="exact"/>
        <w:jc w:val="center"/>
        <w:rPr>
          <w:rFonts w:hint="eastAsia" w:hAnsi="宋体" w:cs="宋体"/>
          <w:b/>
          <w:sz w:val="44"/>
          <w:szCs w:val="44"/>
        </w:rPr>
      </w:pPr>
    </w:p>
    <w:p w14:paraId="75E87098">
      <w:pPr>
        <w:spacing w:line="640" w:lineRule="exact"/>
        <w:jc w:val="center"/>
        <w:rPr>
          <w:rFonts w:hint="eastAsia" w:hAnsi="宋体" w:cs="宋体"/>
          <w:b/>
          <w:sz w:val="44"/>
          <w:szCs w:val="44"/>
        </w:rPr>
      </w:pPr>
    </w:p>
    <w:p w14:paraId="200BCA2A">
      <w:pPr>
        <w:spacing w:line="640" w:lineRule="exact"/>
        <w:jc w:val="center"/>
        <w:rPr>
          <w:rFonts w:hint="eastAsia" w:hAnsi="宋体" w:cs="宋体"/>
          <w:b/>
          <w:sz w:val="44"/>
          <w:szCs w:val="44"/>
        </w:rPr>
      </w:pPr>
    </w:p>
    <w:p w14:paraId="3B88E93A">
      <w:pPr>
        <w:spacing w:line="640" w:lineRule="exact"/>
        <w:jc w:val="center"/>
        <w:rPr>
          <w:rFonts w:hint="eastAsia" w:hAnsi="宋体" w:cs="宋体"/>
          <w:b/>
          <w:sz w:val="44"/>
          <w:szCs w:val="44"/>
        </w:rPr>
      </w:pPr>
    </w:p>
    <w:p w14:paraId="61D9E1AD">
      <w:pPr>
        <w:spacing w:line="640" w:lineRule="exact"/>
        <w:jc w:val="center"/>
        <w:rPr>
          <w:rFonts w:hint="eastAsia" w:hAnsi="宋体" w:cs="宋体"/>
          <w:b/>
          <w:sz w:val="44"/>
          <w:szCs w:val="44"/>
        </w:rPr>
      </w:pPr>
    </w:p>
    <w:p w14:paraId="10423C5E">
      <w:pPr>
        <w:spacing w:line="640" w:lineRule="exact"/>
        <w:jc w:val="center"/>
        <w:rPr>
          <w:rFonts w:hint="eastAsia" w:hAnsi="宋体" w:cs="宋体"/>
          <w:b/>
          <w:sz w:val="44"/>
          <w:szCs w:val="44"/>
        </w:rPr>
      </w:pPr>
    </w:p>
    <w:p w14:paraId="76C2C7AD">
      <w:pPr>
        <w:spacing w:line="640" w:lineRule="exact"/>
        <w:jc w:val="center"/>
        <w:rPr>
          <w:rFonts w:hint="eastAsia" w:hAnsi="宋体" w:cs="宋体"/>
          <w:b/>
          <w:sz w:val="44"/>
          <w:szCs w:val="44"/>
        </w:rPr>
      </w:pPr>
    </w:p>
    <w:p w14:paraId="775C04B2">
      <w:pPr>
        <w:spacing w:line="360" w:lineRule="auto"/>
        <w:jc w:val="center"/>
        <w:outlineLvl w:val="0"/>
        <w:rPr>
          <w:rFonts w:hint="eastAsia" w:ascii="宋体" w:hAnsi="宋体"/>
          <w:b/>
          <w:color w:val="000000" w:themeColor="text1"/>
          <w:sz w:val="32"/>
          <w:szCs w:val="32"/>
          <w:lang w:eastAsia="zh-CN"/>
          <w14:textFill>
            <w14:solidFill>
              <w14:schemeClr w14:val="tx1"/>
            </w14:solidFill>
          </w14:textFill>
        </w:rPr>
      </w:pPr>
    </w:p>
    <w:p w14:paraId="0DB40D7C">
      <w:pPr>
        <w:spacing w:line="360" w:lineRule="auto"/>
        <w:jc w:val="center"/>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、供应商承诺书</w:t>
      </w:r>
    </w:p>
    <w:p w14:paraId="7C4031DE">
      <w:pPr>
        <w:spacing w:line="440" w:lineRule="exact"/>
        <w:jc w:val="center"/>
        <w:outlineLvl w:val="1"/>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w:t>
      </w:r>
      <w:r>
        <w:rPr>
          <w:rFonts w:hint="eastAsia" w:ascii="宋体" w:hAnsi="宋体" w:eastAsia="宋体" w:cs="宋体"/>
          <w:b/>
          <w:bCs/>
          <w:color w:val="000000" w:themeColor="text1"/>
          <w:kern w:val="0"/>
          <w:sz w:val="24"/>
          <w:szCs w:val="24"/>
          <w14:textFill>
            <w14:solidFill>
              <w14:schemeClr w14:val="tx1"/>
            </w14:solidFill>
          </w14:textFill>
        </w:rPr>
        <w:t>拒绝政府采购领域商业贿赂承诺书（一）</w:t>
      </w:r>
    </w:p>
    <w:p w14:paraId="15E249C6">
      <w:pPr>
        <w:widowControl/>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为响应党中央、国务院关于治理政府采购领域商业贿赂行为的号召，我单位在此庄严承诺： </w:t>
      </w:r>
    </w:p>
    <w:p w14:paraId="16743EA6">
      <w:pPr>
        <w:widowControl/>
        <w:numPr>
          <w:ilvl w:val="0"/>
          <w:numId w:val="0"/>
        </w:numPr>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 xml:space="preserve">在参与政府采购活动中遵纪守法、诚信经营、公平竞标。 </w:t>
      </w:r>
    </w:p>
    <w:p w14:paraId="296C18CD">
      <w:pPr>
        <w:widowControl/>
        <w:numPr>
          <w:ilvl w:val="0"/>
          <w:numId w:val="0"/>
        </w:numPr>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2.不向政府采购人、采购代理机构和政府采购评审专家进行任何形式的商业贿赂以谋取交易机会。 </w:t>
      </w:r>
    </w:p>
    <w:p w14:paraId="714E5443">
      <w:pPr>
        <w:widowControl/>
        <w:numPr>
          <w:ilvl w:val="0"/>
          <w:numId w:val="0"/>
        </w:numPr>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3.不向政府采购代理机构和采购人提供虚假资质文件或采用虚假应标方式参与政府采购市场竞争并谋取成交、成交。 </w:t>
      </w:r>
    </w:p>
    <w:p w14:paraId="24A388F5">
      <w:pPr>
        <w:widowControl/>
        <w:numPr>
          <w:ilvl w:val="0"/>
          <w:numId w:val="0"/>
        </w:numPr>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4.不采取“围标、陪标”等商业欺诈手段获得政府采购定单。 </w:t>
      </w:r>
    </w:p>
    <w:p w14:paraId="2F3AE109">
      <w:pPr>
        <w:widowControl/>
        <w:numPr>
          <w:ilvl w:val="0"/>
          <w:numId w:val="0"/>
        </w:numPr>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5.不采取不正当手段低毁、排挤其他供应商。 </w:t>
      </w:r>
    </w:p>
    <w:p w14:paraId="0AE15036">
      <w:pPr>
        <w:widowControl/>
        <w:numPr>
          <w:ilvl w:val="0"/>
          <w:numId w:val="0"/>
        </w:numPr>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6.不在提供商品和服务时“偷梁换柱、以次充好”损害采购人的合法权益。 </w:t>
      </w:r>
    </w:p>
    <w:p w14:paraId="2B5105D2">
      <w:pPr>
        <w:widowControl/>
        <w:numPr>
          <w:ilvl w:val="0"/>
          <w:numId w:val="0"/>
        </w:numPr>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7.不与采购人、采购代理机构政府采购评审专家或其它供应商恶意串通，进行质疑和投诉，维护政府采购市场秩序。 </w:t>
      </w:r>
    </w:p>
    <w:p w14:paraId="4DCBA08C">
      <w:pPr>
        <w:widowControl/>
        <w:numPr>
          <w:ilvl w:val="0"/>
          <w:numId w:val="0"/>
        </w:numPr>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8.尊重和接受政府采购监督管理部门的监督和政府采购代理机构招标采购要求，承担因违约行为给采购人造成的损失。 </w:t>
      </w:r>
    </w:p>
    <w:p w14:paraId="32EA4043">
      <w:pPr>
        <w:widowControl/>
        <w:numPr>
          <w:ilvl w:val="0"/>
          <w:numId w:val="0"/>
        </w:numPr>
        <w:spacing w:line="52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9.不发生其他有悖于政府采购公开、公平、公正和诚信原则的行为。 </w:t>
      </w:r>
    </w:p>
    <w:p w14:paraId="5C6F01D5">
      <w:pPr>
        <w:widowControl/>
        <w:spacing w:line="520" w:lineRule="exact"/>
        <w:ind w:firstLine="840" w:firstLineChars="350"/>
        <w:jc w:val="left"/>
        <w:rPr>
          <w:rFonts w:hint="eastAsia" w:ascii="宋体" w:hAnsi="宋体" w:eastAsia="宋体" w:cs="宋体"/>
          <w:color w:val="000000" w:themeColor="text1"/>
          <w:kern w:val="0"/>
          <w:sz w:val="24"/>
          <w:szCs w:val="24"/>
          <w14:textFill>
            <w14:solidFill>
              <w14:schemeClr w14:val="tx1"/>
            </w14:solidFill>
          </w14:textFill>
        </w:rPr>
      </w:pPr>
    </w:p>
    <w:p w14:paraId="571CC721">
      <w:pPr>
        <w:widowControl/>
        <w:spacing w:line="520" w:lineRule="exact"/>
        <w:ind w:firstLine="840" w:firstLineChars="3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承诺单位：</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（盖章）</w:t>
      </w:r>
    </w:p>
    <w:p w14:paraId="51632EF8">
      <w:pPr>
        <w:widowControl/>
        <w:spacing w:line="520" w:lineRule="exact"/>
        <w:ind w:firstLine="840" w:firstLineChars="3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全权代表：</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（签字）</w:t>
      </w:r>
    </w:p>
    <w:p w14:paraId="071BFC16">
      <w:pPr>
        <w:widowControl/>
        <w:spacing w:line="520" w:lineRule="exact"/>
        <w:ind w:firstLine="840" w:firstLineChars="350"/>
        <w:jc w:val="lef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21A7B1CF">
      <w:pPr>
        <w:widowControl/>
        <w:tabs>
          <w:tab w:val="left" w:pos="4680"/>
        </w:tabs>
        <w:spacing w:line="520" w:lineRule="exact"/>
        <w:ind w:firstLine="840" w:firstLineChars="350"/>
        <w:jc w:val="left"/>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    话：</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791453C2">
      <w:pPr>
        <w:spacing w:line="520" w:lineRule="exact"/>
        <w:ind w:firstLine="5280" w:firstLineChars="2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   月   日</w:t>
      </w:r>
    </w:p>
    <w:p w14:paraId="029BA763">
      <w:pPr>
        <w:rPr>
          <w:rFonts w:hint="eastAsia" w:ascii="宋体" w:hAnsi="宋体" w:eastAsia="宋体" w:cs="宋体"/>
          <w:b/>
          <w:color w:val="000000" w:themeColor="text1"/>
          <w:sz w:val="24"/>
          <w:szCs w:val="24"/>
          <w14:textFill>
            <w14:solidFill>
              <w14:schemeClr w14:val="tx1"/>
            </w14:solidFill>
          </w14:textFill>
        </w:rPr>
      </w:pPr>
    </w:p>
    <w:p w14:paraId="41BD5B1F">
      <w:pPr>
        <w:rPr>
          <w:rFonts w:hint="eastAsia" w:ascii="宋体" w:hAnsi="宋体" w:eastAsia="宋体" w:cs="宋体"/>
          <w:b/>
          <w:color w:val="000000" w:themeColor="text1"/>
          <w:sz w:val="24"/>
          <w:szCs w:val="24"/>
          <w14:textFill>
            <w14:solidFill>
              <w14:schemeClr w14:val="tx1"/>
            </w14:solidFill>
          </w14:textFill>
        </w:rPr>
      </w:pPr>
    </w:p>
    <w:p w14:paraId="0AA5D903">
      <w:pPr>
        <w:rPr>
          <w:rFonts w:hint="eastAsia" w:ascii="宋体" w:hAnsi="宋体" w:eastAsia="宋体" w:cs="宋体"/>
          <w:b/>
          <w:color w:val="000000" w:themeColor="text1"/>
          <w:sz w:val="24"/>
          <w:szCs w:val="24"/>
          <w14:textFill>
            <w14:solidFill>
              <w14:schemeClr w14:val="tx1"/>
            </w14:solidFill>
          </w14:textFill>
        </w:rPr>
      </w:pPr>
    </w:p>
    <w:p w14:paraId="6C834EFC">
      <w:pPr>
        <w:rPr>
          <w:rFonts w:hint="eastAsia" w:ascii="宋体" w:hAnsi="宋体" w:eastAsia="宋体" w:cs="宋体"/>
          <w:b/>
          <w:color w:val="000000" w:themeColor="text1"/>
          <w:sz w:val="24"/>
          <w:szCs w:val="24"/>
          <w14:textFill>
            <w14:solidFill>
              <w14:schemeClr w14:val="tx1"/>
            </w14:solidFill>
          </w14:textFill>
        </w:rPr>
      </w:pPr>
    </w:p>
    <w:p w14:paraId="152B2B12">
      <w:pPr>
        <w:rPr>
          <w:rFonts w:hint="eastAsia" w:ascii="宋体" w:hAnsi="宋体" w:eastAsia="宋体" w:cs="宋体"/>
          <w:b/>
          <w:color w:val="000000" w:themeColor="text1"/>
          <w:sz w:val="24"/>
          <w:szCs w:val="24"/>
          <w14:textFill>
            <w14:solidFill>
              <w14:schemeClr w14:val="tx1"/>
            </w14:solidFill>
          </w14:textFill>
        </w:rPr>
      </w:pPr>
    </w:p>
    <w:p w14:paraId="4C8D9A20">
      <w:pPr>
        <w:rPr>
          <w:rFonts w:hint="eastAsia" w:ascii="宋体" w:hAnsi="宋体" w:eastAsia="宋体" w:cs="宋体"/>
          <w:b/>
          <w:color w:val="000000" w:themeColor="text1"/>
          <w:sz w:val="24"/>
          <w:szCs w:val="24"/>
          <w14:textFill>
            <w14:solidFill>
              <w14:schemeClr w14:val="tx1"/>
            </w14:solidFill>
          </w14:textFill>
        </w:rPr>
      </w:pPr>
    </w:p>
    <w:p w14:paraId="45B432ED">
      <w:pPr>
        <w:rPr>
          <w:rFonts w:hint="eastAsia" w:ascii="宋体" w:hAnsi="宋体" w:eastAsia="宋体" w:cs="宋体"/>
          <w:b/>
          <w:color w:val="000000" w:themeColor="text1"/>
          <w:sz w:val="24"/>
          <w:szCs w:val="24"/>
          <w14:textFill>
            <w14:solidFill>
              <w14:schemeClr w14:val="tx1"/>
            </w14:solidFill>
          </w14:textFill>
        </w:rPr>
      </w:pPr>
    </w:p>
    <w:p w14:paraId="1B1870CE">
      <w:pPr>
        <w:jc w:val="center"/>
        <w:rPr>
          <w:rFonts w:hint="eastAsia" w:ascii="宋体" w:hAnsi="宋体" w:eastAsia="宋体" w:cs="宋体"/>
          <w:b/>
          <w:color w:val="000000" w:themeColor="text1"/>
          <w:sz w:val="24"/>
          <w:szCs w:val="24"/>
          <w14:textFill>
            <w14:solidFill>
              <w14:schemeClr w14:val="tx1"/>
            </w14:solidFill>
          </w14:textFill>
        </w:rPr>
      </w:pPr>
    </w:p>
    <w:p w14:paraId="048C3EF7">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承诺书（二）</w:t>
      </w:r>
    </w:p>
    <w:tbl>
      <w:tblPr>
        <w:tblStyle w:val="3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719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561FD510">
            <w:pPr>
              <w:spacing w:line="360" w:lineRule="atLeas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陕西安康天诚工程项目管理咨询有限公司</w:t>
            </w:r>
          </w:p>
        </w:tc>
      </w:tr>
      <w:tr w14:paraId="6425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78B20EEA">
            <w:pPr>
              <w:spacing w:line="36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作为参加贵公司组织的采购项目的供应商，本公司承诺：在参加本项目</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之前不存在被依法禁止经营行为、财产被接管或冻结的情况，如有隐瞒实情，愿承担一切责任及后果。</w:t>
            </w:r>
          </w:p>
        </w:tc>
      </w:tr>
      <w:tr w14:paraId="28DB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489A96E3">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3420" w:type="dxa"/>
            <w:vAlign w:val="center"/>
          </w:tcPr>
          <w:p w14:paraId="614CD12D">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340" w:type="dxa"/>
            <w:vAlign w:val="center"/>
          </w:tcPr>
          <w:p w14:paraId="4A90F45D">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2EB0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3240" w:type="dxa"/>
            <w:vAlign w:val="center"/>
          </w:tcPr>
          <w:p w14:paraId="3B27D8BC">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（公章）</w:t>
            </w:r>
          </w:p>
        </w:tc>
        <w:tc>
          <w:tcPr>
            <w:tcW w:w="3420" w:type="dxa"/>
            <w:vAlign w:val="center"/>
          </w:tcPr>
          <w:p w14:paraId="4720F993">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w:t>
            </w:r>
          </w:p>
        </w:tc>
        <w:tc>
          <w:tcPr>
            <w:tcW w:w="2340" w:type="dxa"/>
            <w:vAlign w:val="center"/>
          </w:tcPr>
          <w:p w14:paraId="5036DA12">
            <w:pPr>
              <w:spacing w:line="360" w:lineRule="atLeast"/>
              <w:ind w:firstLine="240" w:firstLineChars="1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648969D1">
      <w:pPr>
        <w:spacing w:line="360" w:lineRule="atLeast"/>
        <w:jc w:val="center"/>
        <w:rPr>
          <w:rFonts w:hint="eastAsia" w:ascii="宋体" w:hAnsi="宋体" w:eastAsia="宋体" w:cs="宋体"/>
          <w:b/>
          <w:color w:val="000000" w:themeColor="text1"/>
          <w:sz w:val="24"/>
          <w:szCs w:val="24"/>
          <w14:textFill>
            <w14:solidFill>
              <w14:schemeClr w14:val="tx1"/>
            </w14:solidFill>
          </w14:textFill>
        </w:rPr>
      </w:pPr>
    </w:p>
    <w:p w14:paraId="7A31C657">
      <w:pPr>
        <w:spacing w:line="360" w:lineRule="atLeas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承诺书（三）</w:t>
      </w:r>
    </w:p>
    <w:tbl>
      <w:tblPr>
        <w:tblStyle w:val="3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599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30B8BB04">
            <w:pPr>
              <w:spacing w:line="360" w:lineRule="atLeas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陕西安康天诚工程项目管理咨询有限公司</w:t>
            </w:r>
          </w:p>
        </w:tc>
      </w:tr>
      <w:tr w14:paraId="04F0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1DB6AD47">
            <w:pPr>
              <w:spacing w:line="36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作为参加贵公司组织的采购项目的供应商，本公司郑重申告并承诺：近三年受到有关行政主管部门的行政处理、不良行为记录为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次（没有填零），如有隐瞒实情，愿承担一切责任及后果。</w:t>
            </w:r>
          </w:p>
        </w:tc>
      </w:tr>
      <w:tr w14:paraId="01FA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9305ED0">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3420" w:type="dxa"/>
            <w:vAlign w:val="center"/>
          </w:tcPr>
          <w:p w14:paraId="7346F3CE">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340" w:type="dxa"/>
            <w:vAlign w:val="center"/>
          </w:tcPr>
          <w:p w14:paraId="494AE057">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12C2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3240" w:type="dxa"/>
            <w:vAlign w:val="center"/>
          </w:tcPr>
          <w:p w14:paraId="0002F3AA">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（公章）</w:t>
            </w:r>
          </w:p>
        </w:tc>
        <w:tc>
          <w:tcPr>
            <w:tcW w:w="3420" w:type="dxa"/>
            <w:vAlign w:val="center"/>
          </w:tcPr>
          <w:p w14:paraId="27AC1446">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w:t>
            </w:r>
          </w:p>
        </w:tc>
        <w:tc>
          <w:tcPr>
            <w:tcW w:w="2340" w:type="dxa"/>
            <w:vAlign w:val="center"/>
          </w:tcPr>
          <w:p w14:paraId="0C7147DC">
            <w:pPr>
              <w:spacing w:line="360" w:lineRule="atLeast"/>
              <w:ind w:firstLine="240" w:firstLineChars="1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71994E48">
      <w:pPr>
        <w:spacing w:line="360" w:lineRule="atLeast"/>
        <w:rPr>
          <w:rFonts w:hint="eastAsia" w:ascii="宋体" w:hAnsi="宋体" w:eastAsia="宋体" w:cs="宋体"/>
          <w:b/>
          <w:color w:val="000000" w:themeColor="text1"/>
          <w:sz w:val="24"/>
          <w:szCs w:val="24"/>
          <w14:textFill>
            <w14:solidFill>
              <w14:schemeClr w14:val="tx1"/>
            </w14:solidFill>
          </w14:textFill>
        </w:rPr>
      </w:pPr>
    </w:p>
    <w:p w14:paraId="79CFC8C2">
      <w:pPr>
        <w:spacing w:line="360" w:lineRule="atLeast"/>
        <w:rPr>
          <w:rFonts w:hint="eastAsia" w:ascii="宋体" w:hAnsi="宋体" w:eastAsia="宋体" w:cs="宋体"/>
          <w:b/>
          <w:color w:val="000000" w:themeColor="text1"/>
          <w:sz w:val="24"/>
          <w:szCs w:val="24"/>
          <w14:textFill>
            <w14:solidFill>
              <w14:schemeClr w14:val="tx1"/>
            </w14:solidFill>
          </w14:textFill>
        </w:rPr>
      </w:pPr>
    </w:p>
    <w:p w14:paraId="3A9777BA">
      <w:pPr>
        <w:spacing w:line="360" w:lineRule="atLeast"/>
        <w:rPr>
          <w:rFonts w:hint="eastAsia" w:ascii="宋体" w:hAnsi="宋体" w:eastAsia="宋体" w:cs="宋体"/>
          <w:b/>
          <w:color w:val="000000" w:themeColor="text1"/>
          <w:sz w:val="24"/>
          <w:szCs w:val="24"/>
          <w14:textFill>
            <w14:solidFill>
              <w14:schemeClr w14:val="tx1"/>
            </w14:solidFill>
          </w14:textFill>
        </w:rPr>
      </w:pPr>
    </w:p>
    <w:p w14:paraId="5634B021">
      <w:pPr>
        <w:spacing w:line="360" w:lineRule="atLeast"/>
        <w:rPr>
          <w:rFonts w:hint="eastAsia" w:ascii="宋体" w:hAnsi="宋体" w:eastAsia="宋体" w:cs="宋体"/>
          <w:b/>
          <w:color w:val="000000" w:themeColor="text1"/>
          <w:sz w:val="24"/>
          <w:szCs w:val="24"/>
          <w14:textFill>
            <w14:solidFill>
              <w14:schemeClr w14:val="tx1"/>
            </w14:solidFill>
          </w14:textFill>
        </w:rPr>
      </w:pPr>
    </w:p>
    <w:p w14:paraId="1D2FA885">
      <w:pPr>
        <w:spacing w:line="360" w:lineRule="atLeast"/>
        <w:rPr>
          <w:rFonts w:hint="eastAsia" w:ascii="宋体" w:hAnsi="宋体" w:eastAsia="宋体" w:cs="宋体"/>
          <w:b/>
          <w:color w:val="000000" w:themeColor="text1"/>
          <w:sz w:val="24"/>
          <w:szCs w:val="24"/>
          <w14:textFill>
            <w14:solidFill>
              <w14:schemeClr w14:val="tx1"/>
            </w14:solidFill>
          </w14:textFill>
        </w:rPr>
      </w:pPr>
    </w:p>
    <w:p w14:paraId="793D2E87">
      <w:pPr>
        <w:spacing w:line="360" w:lineRule="atLeast"/>
        <w:rPr>
          <w:rFonts w:hint="eastAsia" w:ascii="宋体" w:hAnsi="宋体" w:eastAsia="宋体" w:cs="宋体"/>
          <w:b/>
          <w:color w:val="000000" w:themeColor="text1"/>
          <w:sz w:val="24"/>
          <w:szCs w:val="24"/>
          <w14:textFill>
            <w14:solidFill>
              <w14:schemeClr w14:val="tx1"/>
            </w14:solidFill>
          </w14:textFill>
        </w:rPr>
      </w:pPr>
    </w:p>
    <w:p w14:paraId="3A1EAD44">
      <w:pPr>
        <w:spacing w:line="360" w:lineRule="atLeast"/>
        <w:rPr>
          <w:rFonts w:hint="eastAsia" w:ascii="宋体" w:hAnsi="宋体" w:eastAsia="宋体" w:cs="宋体"/>
          <w:b/>
          <w:color w:val="000000" w:themeColor="text1"/>
          <w:sz w:val="24"/>
          <w:szCs w:val="24"/>
          <w14:textFill>
            <w14:solidFill>
              <w14:schemeClr w14:val="tx1"/>
            </w14:solidFill>
          </w14:textFill>
        </w:rPr>
      </w:pPr>
    </w:p>
    <w:p w14:paraId="4BB44980">
      <w:pPr>
        <w:spacing w:line="360" w:lineRule="atLeast"/>
        <w:rPr>
          <w:rFonts w:hint="eastAsia" w:ascii="宋体" w:hAnsi="宋体" w:eastAsia="宋体" w:cs="宋体"/>
          <w:b/>
          <w:color w:val="000000" w:themeColor="text1"/>
          <w:sz w:val="24"/>
          <w:szCs w:val="24"/>
          <w14:textFill>
            <w14:solidFill>
              <w14:schemeClr w14:val="tx1"/>
            </w14:solidFill>
          </w14:textFill>
        </w:rPr>
      </w:pPr>
    </w:p>
    <w:p w14:paraId="58704096">
      <w:pPr>
        <w:spacing w:line="360" w:lineRule="atLeast"/>
        <w:jc w:val="center"/>
        <w:rPr>
          <w:rFonts w:hint="eastAsia" w:ascii="宋体" w:hAnsi="宋体" w:eastAsia="宋体" w:cs="宋体"/>
          <w:b/>
          <w:color w:val="000000" w:themeColor="text1"/>
          <w:sz w:val="24"/>
          <w:szCs w:val="24"/>
          <w14:textFill>
            <w14:solidFill>
              <w14:schemeClr w14:val="tx1"/>
            </w14:solidFill>
          </w14:textFill>
        </w:rPr>
      </w:pPr>
    </w:p>
    <w:p w14:paraId="19CC2949">
      <w:pPr>
        <w:spacing w:line="360" w:lineRule="atLeast"/>
        <w:jc w:val="center"/>
        <w:rPr>
          <w:rFonts w:hint="eastAsia" w:ascii="宋体" w:hAnsi="宋体" w:eastAsia="宋体" w:cs="宋体"/>
          <w:b/>
          <w:color w:val="000000" w:themeColor="text1"/>
          <w:sz w:val="24"/>
          <w:szCs w:val="24"/>
          <w14:textFill>
            <w14:solidFill>
              <w14:schemeClr w14:val="tx1"/>
            </w14:solidFill>
          </w14:textFill>
        </w:rPr>
      </w:pPr>
    </w:p>
    <w:p w14:paraId="3013E3A2">
      <w:pPr>
        <w:spacing w:line="360" w:lineRule="atLeas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承诺书（四）</w:t>
      </w:r>
    </w:p>
    <w:tbl>
      <w:tblPr>
        <w:tblStyle w:val="3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FF7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6C04B79E">
            <w:pPr>
              <w:spacing w:line="360" w:lineRule="atLeas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陕西安康天诚工程项目管理咨询有限公司</w:t>
            </w:r>
          </w:p>
        </w:tc>
      </w:tr>
      <w:tr w14:paraId="29D2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2ADBCC3E">
            <w:pPr>
              <w:spacing w:line="36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作为参加贵公司组织的采购项目的谈判供应商，本公司郑重申告：近三年因产品供货问题（水货、替代品、次品、翻新品等）的不法行为记录为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次（没有填零），如有隐瞒实情，愿承担一切责任及后果。</w:t>
            </w:r>
          </w:p>
          <w:p w14:paraId="765F0F4E">
            <w:pPr>
              <w:spacing w:line="36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本公司承诺：本次谈判标的物为正品行货。</w:t>
            </w:r>
          </w:p>
        </w:tc>
      </w:tr>
      <w:tr w14:paraId="1CF5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D1BCF73">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3420" w:type="dxa"/>
            <w:vAlign w:val="center"/>
          </w:tcPr>
          <w:p w14:paraId="462B3736">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340" w:type="dxa"/>
            <w:vAlign w:val="center"/>
          </w:tcPr>
          <w:p w14:paraId="0771E634">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45DA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3240" w:type="dxa"/>
            <w:vAlign w:val="center"/>
          </w:tcPr>
          <w:p w14:paraId="06A0ACF5">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（公章）</w:t>
            </w:r>
          </w:p>
        </w:tc>
        <w:tc>
          <w:tcPr>
            <w:tcW w:w="3420" w:type="dxa"/>
            <w:vAlign w:val="center"/>
          </w:tcPr>
          <w:p w14:paraId="09749063">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w:t>
            </w:r>
          </w:p>
        </w:tc>
        <w:tc>
          <w:tcPr>
            <w:tcW w:w="2340" w:type="dxa"/>
            <w:vAlign w:val="center"/>
          </w:tcPr>
          <w:p w14:paraId="24E779B2">
            <w:pPr>
              <w:spacing w:line="360" w:lineRule="atLeast"/>
              <w:ind w:firstLine="240" w:firstLineChars="1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5BC073E1">
      <w:pPr>
        <w:spacing w:line="360" w:lineRule="atLeast"/>
        <w:rPr>
          <w:rFonts w:hint="eastAsia" w:ascii="宋体" w:hAnsi="宋体" w:eastAsia="宋体" w:cs="宋体"/>
          <w:b/>
          <w:color w:val="000000" w:themeColor="text1"/>
          <w:sz w:val="24"/>
          <w:szCs w:val="24"/>
          <w14:textFill>
            <w14:solidFill>
              <w14:schemeClr w14:val="tx1"/>
            </w14:solidFill>
          </w14:textFill>
        </w:rPr>
      </w:pPr>
    </w:p>
    <w:p w14:paraId="1FB67BDE">
      <w:pPr>
        <w:spacing w:line="360" w:lineRule="atLeas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承诺书（五）</w:t>
      </w:r>
    </w:p>
    <w:tbl>
      <w:tblPr>
        <w:tblStyle w:val="3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08B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6D524188">
            <w:pPr>
              <w:spacing w:line="360" w:lineRule="atLeas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陕西安康天诚工程项目管理咨询有限公司</w:t>
            </w:r>
          </w:p>
        </w:tc>
      </w:tr>
      <w:tr w14:paraId="5A7C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15DF294A">
            <w:pPr>
              <w:spacing w:line="36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作为参加贵公司组织的采购项目的供应商，本公司承诺：参加本次谈判提交的所有资质证明文件及业绩证明文件是真实的、有效的，如有隐瞒实情，愿承担一切责任及后果。</w:t>
            </w:r>
          </w:p>
        </w:tc>
      </w:tr>
      <w:tr w14:paraId="0311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338991CE">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3420" w:type="dxa"/>
            <w:vAlign w:val="center"/>
          </w:tcPr>
          <w:p w14:paraId="5D8A3681">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340" w:type="dxa"/>
            <w:vAlign w:val="center"/>
          </w:tcPr>
          <w:p w14:paraId="4431FBE5">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0BF8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3240" w:type="dxa"/>
            <w:vAlign w:val="center"/>
          </w:tcPr>
          <w:p w14:paraId="07ABBD25">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（公章）</w:t>
            </w:r>
          </w:p>
        </w:tc>
        <w:tc>
          <w:tcPr>
            <w:tcW w:w="3420" w:type="dxa"/>
            <w:vAlign w:val="center"/>
          </w:tcPr>
          <w:p w14:paraId="418901E2">
            <w:pPr>
              <w:spacing w:line="36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w:t>
            </w:r>
          </w:p>
        </w:tc>
        <w:tc>
          <w:tcPr>
            <w:tcW w:w="2340" w:type="dxa"/>
            <w:vAlign w:val="center"/>
          </w:tcPr>
          <w:p w14:paraId="2DD9B7D2">
            <w:pPr>
              <w:spacing w:line="360" w:lineRule="atLeast"/>
              <w:ind w:firstLine="240" w:firstLineChars="1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9D148F0">
      <w:pPr>
        <w:pStyle w:val="35"/>
        <w:ind w:firstLine="0" w:firstLineChars="0"/>
        <w:rPr>
          <w:rFonts w:ascii="宋体" w:cs="宋体"/>
          <w:color w:val="000000" w:themeColor="text1"/>
          <w:sz w:val="24"/>
          <w14:textFill>
            <w14:solidFill>
              <w14:schemeClr w14:val="tx1"/>
            </w14:solidFill>
          </w14:textFill>
        </w:rPr>
      </w:pPr>
    </w:p>
    <w:p w14:paraId="58F8F099">
      <w:pPr>
        <w:pStyle w:val="35"/>
        <w:ind w:firstLine="0" w:firstLineChars="0"/>
        <w:jc w:val="center"/>
        <w:rPr>
          <w:rFonts w:hint="eastAsia" w:ascii="宋体" w:cs="宋体"/>
          <w:b/>
          <w:bCs/>
          <w:color w:val="000000" w:themeColor="text1"/>
          <w:sz w:val="32"/>
          <w:szCs w:val="21"/>
          <w:lang w:eastAsia="zh-CN"/>
          <w14:textFill>
            <w14:solidFill>
              <w14:schemeClr w14:val="tx1"/>
            </w14:solidFill>
          </w14:textFill>
        </w:rPr>
      </w:pPr>
    </w:p>
    <w:p w14:paraId="452E18B7">
      <w:pPr>
        <w:pStyle w:val="16"/>
        <w:rPr>
          <w:rFonts w:hint="eastAsia" w:ascii="宋体" w:cs="宋体"/>
          <w:b/>
          <w:bCs/>
          <w:color w:val="000000" w:themeColor="text1"/>
          <w:sz w:val="32"/>
          <w:szCs w:val="21"/>
          <w:lang w:eastAsia="zh-CN"/>
          <w14:textFill>
            <w14:solidFill>
              <w14:schemeClr w14:val="tx1"/>
            </w14:solidFill>
          </w14:textFill>
        </w:rPr>
      </w:pPr>
    </w:p>
    <w:p w14:paraId="7516C56E">
      <w:pPr>
        <w:rPr>
          <w:rFonts w:hint="eastAsia" w:ascii="宋体" w:cs="宋体"/>
          <w:b/>
          <w:bCs/>
          <w:color w:val="000000" w:themeColor="text1"/>
          <w:sz w:val="32"/>
          <w:szCs w:val="21"/>
          <w:lang w:eastAsia="zh-CN"/>
          <w14:textFill>
            <w14:solidFill>
              <w14:schemeClr w14:val="tx1"/>
            </w14:solidFill>
          </w14:textFill>
        </w:rPr>
      </w:pPr>
    </w:p>
    <w:p w14:paraId="560D2693">
      <w:pPr>
        <w:rPr>
          <w:rFonts w:hint="eastAsia" w:ascii="宋体" w:cs="宋体"/>
          <w:b/>
          <w:bCs/>
          <w:color w:val="000000" w:themeColor="text1"/>
          <w:sz w:val="32"/>
          <w:szCs w:val="21"/>
          <w:lang w:eastAsia="zh-CN"/>
          <w14:textFill>
            <w14:solidFill>
              <w14:schemeClr w14:val="tx1"/>
            </w14:solidFill>
          </w14:textFill>
        </w:rPr>
      </w:pPr>
    </w:p>
    <w:p w14:paraId="0888F3CC">
      <w:pPr>
        <w:rPr>
          <w:rFonts w:hint="eastAsia" w:ascii="宋体" w:cs="宋体"/>
          <w:b/>
          <w:bCs/>
          <w:color w:val="000000" w:themeColor="text1"/>
          <w:sz w:val="32"/>
          <w:szCs w:val="21"/>
          <w:lang w:eastAsia="zh-CN"/>
          <w14:textFill>
            <w14:solidFill>
              <w14:schemeClr w14:val="tx1"/>
            </w14:solidFill>
          </w14:textFill>
        </w:rPr>
      </w:pPr>
    </w:p>
    <w:p w14:paraId="5170D650">
      <w:pPr>
        <w:rPr>
          <w:rFonts w:hint="eastAsia" w:ascii="宋体" w:cs="宋体"/>
          <w:b/>
          <w:bCs/>
          <w:color w:val="000000" w:themeColor="text1"/>
          <w:sz w:val="32"/>
          <w:szCs w:val="21"/>
          <w:lang w:eastAsia="zh-CN"/>
          <w14:textFill>
            <w14:solidFill>
              <w14:schemeClr w14:val="tx1"/>
            </w14:solidFill>
          </w14:textFill>
        </w:rPr>
      </w:pPr>
    </w:p>
    <w:p w14:paraId="47ABB2B0">
      <w:pPr>
        <w:rPr>
          <w:rFonts w:hint="eastAsia" w:ascii="宋体" w:cs="宋体"/>
          <w:b/>
          <w:bCs/>
          <w:color w:val="000000" w:themeColor="text1"/>
          <w:sz w:val="32"/>
          <w:szCs w:val="21"/>
          <w:lang w:eastAsia="zh-CN"/>
          <w14:textFill>
            <w14:solidFill>
              <w14:schemeClr w14:val="tx1"/>
            </w14:solidFill>
          </w14:textFill>
        </w:rPr>
      </w:pPr>
    </w:p>
    <w:p w14:paraId="0E749C61">
      <w:pPr>
        <w:rPr>
          <w:rFonts w:hint="eastAsia" w:ascii="宋体" w:cs="宋体"/>
          <w:b/>
          <w:bCs/>
          <w:color w:val="000000" w:themeColor="text1"/>
          <w:sz w:val="32"/>
          <w:szCs w:val="21"/>
          <w:lang w:eastAsia="zh-CN"/>
          <w14:textFill>
            <w14:solidFill>
              <w14:schemeClr w14:val="tx1"/>
            </w14:solidFill>
          </w14:textFill>
        </w:rPr>
      </w:pPr>
    </w:p>
    <w:p w14:paraId="7A62F0E1">
      <w:pPr>
        <w:pStyle w:val="35"/>
        <w:ind w:firstLine="0" w:firstLineChars="0"/>
        <w:jc w:val="center"/>
        <w:rPr>
          <w:rFonts w:ascii="宋体" w:cs="宋体"/>
          <w:b/>
          <w:bCs/>
          <w:color w:val="000000" w:themeColor="text1"/>
          <w:sz w:val="24"/>
          <w:szCs w:val="24"/>
          <w14:textFill>
            <w14:solidFill>
              <w14:schemeClr w14:val="tx1"/>
            </w14:solidFill>
          </w14:textFill>
        </w:rPr>
      </w:pPr>
      <w:r>
        <w:rPr>
          <w:rFonts w:hint="eastAsia" w:ascii="宋体" w:cs="宋体"/>
          <w:b/>
          <w:bCs/>
          <w:color w:val="000000" w:themeColor="text1"/>
          <w:sz w:val="24"/>
          <w:szCs w:val="24"/>
          <w:lang w:eastAsia="zh-CN"/>
          <w14:textFill>
            <w14:solidFill>
              <w14:schemeClr w14:val="tx1"/>
            </w14:solidFill>
          </w14:textFill>
        </w:rPr>
        <w:t>八</w:t>
      </w:r>
      <w:r>
        <w:rPr>
          <w:rFonts w:hint="eastAsia" w:ascii="宋体" w:cs="宋体"/>
          <w:b/>
          <w:bCs/>
          <w:color w:val="000000" w:themeColor="text1"/>
          <w:sz w:val="24"/>
          <w:szCs w:val="24"/>
          <w14:textFill>
            <w14:solidFill>
              <w14:schemeClr w14:val="tx1"/>
            </w14:solidFill>
          </w14:textFill>
        </w:rPr>
        <w:t>、其他证明资料</w:t>
      </w:r>
    </w:p>
    <w:p w14:paraId="2854BFE4">
      <w:pPr>
        <w:spacing w:line="400" w:lineRule="exact"/>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（供应商认为对其有利的）</w:t>
      </w:r>
    </w:p>
    <w:p w14:paraId="306FDB85">
      <w:pPr>
        <w:tabs>
          <w:tab w:val="left" w:pos="1755"/>
        </w:tabs>
        <w:spacing w:line="500" w:lineRule="atLeast"/>
        <w:outlineLvl w:val="1"/>
        <w:rPr>
          <w:rFonts w:ascii="宋体" w:hAns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附件</w:t>
      </w:r>
      <w:r>
        <w:rPr>
          <w:rFonts w:hint="eastAsia" w:ascii="宋体" w:hAnsi="宋体" w:cs="仿宋"/>
          <w:b/>
          <w:bCs/>
          <w:color w:val="000000" w:themeColor="text1"/>
          <w:sz w:val="28"/>
          <w:szCs w:val="28"/>
          <w:lang w:val="en-US" w:eastAsia="zh-CN"/>
          <w14:textFill>
            <w14:solidFill>
              <w14:schemeClr w14:val="tx1"/>
            </w14:solidFill>
          </w14:textFill>
        </w:rPr>
        <w:t>1</w:t>
      </w:r>
      <w:r>
        <w:rPr>
          <w:rFonts w:hint="eastAsia" w:ascii="宋体" w:hAnsi="宋体" w:cs="仿宋"/>
          <w:b/>
          <w:bCs/>
          <w:color w:val="000000" w:themeColor="text1"/>
          <w:sz w:val="28"/>
          <w:szCs w:val="28"/>
          <w14:textFill>
            <w14:solidFill>
              <w14:schemeClr w14:val="tx1"/>
            </w14:solidFill>
          </w14:textFill>
        </w:rPr>
        <w:t>：</w:t>
      </w:r>
    </w:p>
    <w:p w14:paraId="6EF665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bookmarkStart w:id="155" w:name="_Toc20607"/>
      <w:bookmarkStart w:id="156" w:name="_Toc17249"/>
      <w:r>
        <w:rPr>
          <w:rFonts w:hint="eastAsia" w:ascii="宋体" w:hAnsi="宋体" w:eastAsia="宋体" w:cs="宋体"/>
          <w:b/>
          <w:bCs/>
          <w:color w:val="000000" w:themeColor="text1"/>
          <w:kern w:val="0"/>
          <w:sz w:val="28"/>
          <w:szCs w:val="28"/>
          <w14:textFill>
            <w14:solidFill>
              <w14:schemeClr w14:val="tx1"/>
            </w14:solidFill>
          </w14:textFill>
        </w:rPr>
        <w:t>一.</w:t>
      </w:r>
      <w:bookmarkEnd w:id="155"/>
      <w:bookmarkEnd w:id="156"/>
      <w:r>
        <w:rPr>
          <w:rFonts w:hint="eastAsia" w:ascii="宋体" w:hAnsi="宋体" w:eastAsia="宋体" w:cs="宋体"/>
          <w:b/>
          <w:bCs/>
          <w:color w:val="000000" w:themeColor="text1"/>
          <w:sz w:val="28"/>
          <w:szCs w:val="28"/>
          <w14:textFill>
            <w14:solidFill>
              <w14:schemeClr w14:val="tx1"/>
            </w14:solidFill>
          </w14:textFill>
        </w:rPr>
        <w:t>中小企业声明函(工程、服务)</w:t>
      </w:r>
    </w:p>
    <w:p w14:paraId="39F76E1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本公司(联合体)郑重声明,根据《政府采购促进中小企业发展管理办法》(财库(2020)46号)的规定,本公司 (联合体)参加</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 w:val="28"/>
          <w:szCs w:val="28"/>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(项目</w:t>
      </w:r>
      <w:bookmarkStart w:id="159" w:name="_GoBack"/>
      <w:bookmarkEnd w:id="159"/>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名称)</w:t>
      </w:r>
      <w:r>
        <w:rPr>
          <w:rFonts w:hint="eastAsia" w:asciiTheme="minorEastAsia" w:hAnsiTheme="minorEastAsia" w:eastAsiaTheme="minorEastAsia" w:cstheme="minorEastAsia"/>
          <w:color w:val="000000" w:themeColor="text1"/>
          <w:sz w:val="28"/>
          <w:szCs w:val="28"/>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A2885B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标的名称 )</w:t>
      </w:r>
      <w:r>
        <w:rPr>
          <w:rFonts w:hint="eastAsia" w:asciiTheme="minorEastAsia" w:hAnsiTheme="minorEastAsia" w:eastAsiaTheme="minorEastAsia" w:cstheme="minorEastAsia"/>
          <w:color w:val="000000" w:themeColor="text1"/>
          <w:sz w:val="28"/>
          <w:szCs w:val="28"/>
          <w14:textFill>
            <w14:solidFill>
              <w14:schemeClr w14:val="tx1"/>
            </w14:solidFill>
          </w14:textFill>
        </w:rPr>
        <w:t>, 属于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(采购文件中</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明确</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的所属行业</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 承建(承接)企业为</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从业人员</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人 ,营业收入为</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万元 , 属于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p>
    <w:p w14:paraId="121A98B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标的名称 )</w:t>
      </w:r>
      <w:r>
        <w:rPr>
          <w:rFonts w:hint="eastAsia" w:asciiTheme="minorEastAsia" w:hAnsiTheme="minorEastAsia" w:eastAsiaTheme="minorEastAsia" w:cstheme="minorEastAsia"/>
          <w:color w:val="000000" w:themeColor="text1"/>
          <w:sz w:val="28"/>
          <w:szCs w:val="28"/>
          <w14:textFill>
            <w14:solidFill>
              <w14:schemeClr w14:val="tx1"/>
            </w14:solidFill>
          </w14:textFill>
        </w:rPr>
        <w:t>, 属于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(采购文件中</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明确</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的所属行业</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 承建(承接)企业为</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从业人员</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人 ,营业收入为</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万元 , 属于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p>
    <w:p w14:paraId="0A045A4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14:paraId="5C71174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以上企业,不属于大企业的分支机构,不存在控股股东 为大企业的情形，也不存在与大企业的负责人为同一人的情形。</w:t>
      </w:r>
    </w:p>
    <w:p w14:paraId="4AA0F50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本企业对上述声明内容的真实性负责。如有虚假,将依 法承担相应责任。</w:t>
      </w:r>
    </w:p>
    <w:p w14:paraId="11C04CD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themeColor="text1"/>
          <w:sz w:val="28"/>
          <w:szCs w:val="28"/>
          <w:lang w:eastAsia="zh-CN"/>
          <w14:textFill>
            <w14:solidFill>
              <w14:schemeClr w14:val="tx1"/>
            </w14:solidFill>
          </w14:textFill>
        </w:rPr>
      </w:pPr>
    </w:p>
    <w:p w14:paraId="024DE28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企业名称（盖章）：</w:t>
      </w:r>
    </w:p>
    <w:p w14:paraId="6FF9C8B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日期：</w:t>
      </w:r>
    </w:p>
    <w:p w14:paraId="618277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000000" w:themeColor="text1"/>
          <w:sz w:val="28"/>
          <w:szCs w:val="28"/>
          <w14:textFill>
            <w14:solidFill>
              <w14:schemeClr w14:val="tx1"/>
            </w14:solidFill>
          </w14:textFill>
        </w:rPr>
      </w:pPr>
      <w:r>
        <w:rPr>
          <w:color w:val="000000" w:themeColor="text1"/>
          <w:sz w:val="24"/>
          <w14:textFill>
            <w14:solidFill>
              <w14:schemeClr w14:val="tx1"/>
            </w14:solidFill>
          </w14:textFill>
        </w:rPr>
        <w:t>注：从业人员、营业收入、资产总额填报上一年度数据，无上一年度数据的新成立企业可不填报。</w:t>
      </w:r>
    </w:p>
    <w:p w14:paraId="3A78E15B">
      <w:pPr>
        <w:tabs>
          <w:tab w:val="left" w:pos="1755"/>
        </w:tabs>
        <w:spacing w:line="500" w:lineRule="atLeast"/>
        <w:jc w:val="center"/>
        <w:outlineLvl w:val="2"/>
        <w:rPr>
          <w:rFonts w:hint="eastAsia" w:ascii="宋体" w:hAnsi="宋体" w:cs="仿宋"/>
          <w:b/>
          <w:bCs/>
          <w:color w:val="000000" w:themeColor="text1"/>
          <w:sz w:val="28"/>
          <w:szCs w:val="28"/>
          <w14:textFill>
            <w14:solidFill>
              <w14:schemeClr w14:val="tx1"/>
            </w14:solidFill>
          </w14:textFill>
        </w:rPr>
      </w:pPr>
      <w:bookmarkStart w:id="157" w:name="_Toc26990"/>
      <w:bookmarkStart w:id="158" w:name="_Toc32499"/>
    </w:p>
    <w:p w14:paraId="72368C43">
      <w:pPr>
        <w:tabs>
          <w:tab w:val="left" w:pos="1755"/>
        </w:tabs>
        <w:spacing w:line="500" w:lineRule="atLeast"/>
        <w:jc w:val="center"/>
        <w:outlineLvl w:val="2"/>
        <w:rPr>
          <w:rFonts w:hint="eastAsia" w:ascii="宋体" w:hAnsi="宋体" w:cs="仿宋"/>
          <w:b/>
          <w:bCs/>
          <w:color w:val="000000" w:themeColor="text1"/>
          <w:sz w:val="28"/>
          <w:szCs w:val="28"/>
          <w14:textFill>
            <w14:solidFill>
              <w14:schemeClr w14:val="tx1"/>
            </w14:solidFill>
          </w14:textFill>
        </w:rPr>
      </w:pPr>
    </w:p>
    <w:p w14:paraId="09BF3AAF">
      <w:pPr>
        <w:tabs>
          <w:tab w:val="left" w:pos="1755"/>
        </w:tabs>
        <w:spacing w:line="500" w:lineRule="atLeast"/>
        <w:jc w:val="center"/>
        <w:outlineLvl w:val="2"/>
        <w:rPr>
          <w:rFonts w:hint="eastAsia" w:ascii="宋体" w:hAnsi="宋体" w:cs="仿宋"/>
          <w:b/>
          <w:bCs/>
          <w:color w:val="000000" w:themeColor="text1"/>
          <w:sz w:val="28"/>
          <w:szCs w:val="28"/>
          <w14:textFill>
            <w14:solidFill>
              <w14:schemeClr w14:val="tx1"/>
            </w14:solidFill>
          </w14:textFill>
        </w:rPr>
      </w:pPr>
    </w:p>
    <w:p w14:paraId="1A92DABA">
      <w:pPr>
        <w:pStyle w:val="35"/>
        <w:rPr>
          <w:rFonts w:hint="eastAsia"/>
        </w:rPr>
      </w:pPr>
    </w:p>
    <w:p w14:paraId="0806C615">
      <w:pPr>
        <w:tabs>
          <w:tab w:val="left" w:pos="1755"/>
        </w:tabs>
        <w:spacing w:line="500" w:lineRule="atLeast"/>
        <w:jc w:val="center"/>
        <w:outlineLvl w:val="2"/>
        <w:rPr>
          <w:rFonts w:hint="eastAsia" w:ascii="宋体" w:hAnsi="宋体" w:cs="仿宋"/>
          <w:b/>
          <w:bCs/>
          <w:color w:val="000000" w:themeColor="text1"/>
          <w:sz w:val="28"/>
          <w:szCs w:val="28"/>
          <w14:textFill>
            <w14:solidFill>
              <w14:schemeClr w14:val="tx1"/>
            </w14:solidFill>
          </w14:textFill>
        </w:rPr>
      </w:pPr>
    </w:p>
    <w:bookmarkEnd w:id="157"/>
    <w:bookmarkEnd w:id="158"/>
    <w:p w14:paraId="3B055E80">
      <w:pPr>
        <w:numPr>
          <w:ilvl w:val="0"/>
          <w:numId w:val="6"/>
        </w:numPr>
        <w:tabs>
          <w:tab w:val="left" w:pos="1755"/>
        </w:tabs>
        <w:spacing w:line="500" w:lineRule="atLeast"/>
        <w:jc w:val="center"/>
        <w:outlineLvl w:val="2"/>
        <w:rPr>
          <w:rFonts w:hint="eastAsia" w:ascii="宋体" w:hAns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监狱企业、福利企业相关资格证明材料</w:t>
      </w:r>
    </w:p>
    <w:p w14:paraId="1B73825A">
      <w:pPr>
        <w:bidi w:val="0"/>
        <w:rPr>
          <w:rFonts w:hint="eastAsia" w:ascii="宋体" w:hAnsi="宋体" w:eastAsia="宋体" w:cs="宋体"/>
          <w:b/>
          <w:bCs/>
          <w:sz w:val="28"/>
          <w:szCs w:val="28"/>
        </w:rPr>
      </w:pPr>
      <w:r>
        <w:rPr>
          <w:rFonts w:hint="eastAsia" w:ascii="宋体" w:hAnsi="宋体" w:eastAsia="宋体" w:cs="宋体"/>
          <w:b/>
          <w:bCs/>
          <w:sz w:val="28"/>
          <w:szCs w:val="28"/>
        </w:rPr>
        <w:t xml:space="preserve">附件 </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：（如有）</w:t>
      </w:r>
    </w:p>
    <w:p w14:paraId="1D0A851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残疾人福利性单位声明函</w:t>
      </w:r>
    </w:p>
    <w:p w14:paraId="67A011B7">
      <w:pPr>
        <w:keepNext w:val="0"/>
        <w:keepLines w:val="0"/>
        <w:pageBreakBefore w:val="0"/>
        <w:widowControl/>
        <w:kinsoku w:val="0"/>
        <w:wordWrap/>
        <w:overflowPunct/>
        <w:topLinePunct w:val="0"/>
        <w:autoSpaceDE w:val="0"/>
        <w:autoSpaceDN w:val="0"/>
        <w:bidi w:val="0"/>
        <w:adjustRightInd w:val="0"/>
        <w:snapToGrid w:val="0"/>
        <w:spacing w:before="78" w:line="480" w:lineRule="exact"/>
        <w:ind w:left="24" w:right="61" w:firstLine="487"/>
        <w:jc w:val="both"/>
        <w:textAlignment w:val="baseline"/>
        <w:rPr>
          <w:rFonts w:hint="eastAsia" w:ascii="宋体" w:hAnsi="宋体" w:eastAsia="宋体" w:cs="宋体"/>
          <w:sz w:val="28"/>
          <w:szCs w:val="28"/>
        </w:rPr>
      </w:pPr>
      <w:r>
        <w:rPr>
          <w:rFonts w:hint="eastAsia" w:ascii="宋体" w:hAnsi="宋体" w:eastAsia="宋体" w:cs="宋体"/>
          <w:spacing w:val="-6"/>
          <w:sz w:val="28"/>
          <w:szCs w:val="28"/>
        </w:rPr>
        <w:t>本单位郑重声明，根据《财政部</w:t>
      </w:r>
      <w:r>
        <w:rPr>
          <w:rFonts w:hint="eastAsia" w:ascii="宋体" w:hAnsi="宋体" w:eastAsia="宋体" w:cs="宋体"/>
          <w:spacing w:val="44"/>
          <w:sz w:val="28"/>
          <w:szCs w:val="28"/>
        </w:rPr>
        <w:t xml:space="preserve"> </w:t>
      </w:r>
      <w:r>
        <w:rPr>
          <w:rFonts w:hint="eastAsia" w:ascii="宋体" w:hAnsi="宋体" w:eastAsia="宋体" w:cs="宋体"/>
          <w:spacing w:val="-6"/>
          <w:sz w:val="28"/>
          <w:szCs w:val="28"/>
        </w:rPr>
        <w:t>民政部</w:t>
      </w:r>
      <w:r>
        <w:rPr>
          <w:rFonts w:hint="eastAsia" w:ascii="宋体" w:hAnsi="宋体" w:eastAsia="宋体" w:cs="宋体"/>
          <w:spacing w:val="37"/>
          <w:sz w:val="28"/>
          <w:szCs w:val="28"/>
        </w:rPr>
        <w:t xml:space="preserve"> </w:t>
      </w:r>
      <w:r>
        <w:rPr>
          <w:rFonts w:hint="eastAsia" w:ascii="宋体" w:hAnsi="宋体" w:eastAsia="宋体" w:cs="宋体"/>
          <w:spacing w:val="-6"/>
          <w:sz w:val="28"/>
          <w:szCs w:val="28"/>
        </w:rPr>
        <w:t>中国残疾人联合会关于促进残疾人</w:t>
      </w:r>
      <w:r>
        <w:rPr>
          <w:rFonts w:hint="eastAsia" w:ascii="宋体" w:hAnsi="宋体" w:eastAsia="宋体" w:cs="宋体"/>
          <w:sz w:val="28"/>
          <w:szCs w:val="28"/>
        </w:rPr>
        <w:t xml:space="preserve"> </w:t>
      </w:r>
      <w:r>
        <w:rPr>
          <w:rFonts w:hint="eastAsia" w:ascii="宋体" w:hAnsi="宋体" w:eastAsia="宋体" w:cs="宋体"/>
          <w:spacing w:val="-3"/>
          <w:sz w:val="28"/>
          <w:szCs w:val="28"/>
        </w:rPr>
        <w:t>就业政府采购政策的通知》（财库〔2017〕 141号）的规定，本单位为符合条件</w:t>
      </w:r>
      <w:r>
        <w:rPr>
          <w:rFonts w:hint="eastAsia" w:ascii="宋体" w:hAnsi="宋体" w:eastAsia="宋体" w:cs="宋体"/>
          <w:spacing w:val="12"/>
          <w:sz w:val="28"/>
          <w:szCs w:val="28"/>
        </w:rPr>
        <w:t xml:space="preserve"> </w:t>
      </w:r>
      <w:r>
        <w:rPr>
          <w:rFonts w:hint="eastAsia" w:ascii="宋体" w:hAnsi="宋体" w:eastAsia="宋体" w:cs="宋体"/>
          <w:spacing w:val="-3"/>
          <w:sz w:val="28"/>
          <w:szCs w:val="28"/>
        </w:rPr>
        <w:t>的残疾人福利性单位，且本单位参加</w:t>
      </w:r>
      <w:r>
        <w:rPr>
          <w:rFonts w:hint="eastAsia" w:ascii="宋体" w:hAnsi="宋体" w:eastAsia="宋体" w:cs="宋体"/>
          <w:spacing w:val="-3"/>
          <w:sz w:val="28"/>
          <w:szCs w:val="28"/>
          <w:u w:val="single" w:color="auto"/>
        </w:rPr>
        <w:t xml:space="preserve">           </w:t>
      </w:r>
      <w:r>
        <w:rPr>
          <w:rFonts w:hint="eastAsia" w:ascii="宋体" w:hAnsi="宋体" w:eastAsia="宋体" w:cs="宋体"/>
          <w:spacing w:val="-99"/>
          <w:sz w:val="28"/>
          <w:szCs w:val="28"/>
        </w:rPr>
        <w:t xml:space="preserve"> </w:t>
      </w:r>
      <w:r>
        <w:rPr>
          <w:rFonts w:hint="eastAsia" w:ascii="宋体" w:hAnsi="宋体" w:eastAsia="宋体" w:cs="宋体"/>
          <w:spacing w:val="-3"/>
          <w:sz w:val="28"/>
          <w:szCs w:val="28"/>
        </w:rPr>
        <w:t>单位的</w:t>
      </w:r>
      <w:r>
        <w:rPr>
          <w:rFonts w:hint="eastAsia" w:ascii="宋体" w:hAnsi="宋体" w:eastAsia="宋体" w:cs="宋体"/>
          <w:spacing w:val="-3"/>
          <w:sz w:val="28"/>
          <w:szCs w:val="28"/>
          <w:u w:val="single" w:color="auto"/>
        </w:rPr>
        <w:t xml:space="preserve">           </w:t>
      </w:r>
      <w:r>
        <w:rPr>
          <w:rFonts w:hint="eastAsia" w:ascii="宋体" w:hAnsi="宋体" w:eastAsia="宋体" w:cs="宋体"/>
          <w:spacing w:val="-108"/>
          <w:sz w:val="28"/>
          <w:szCs w:val="28"/>
        </w:rPr>
        <w:t xml:space="preserve"> </w:t>
      </w:r>
      <w:r>
        <w:rPr>
          <w:rFonts w:hint="eastAsia" w:ascii="宋体" w:hAnsi="宋体" w:eastAsia="宋体" w:cs="宋体"/>
          <w:spacing w:val="-3"/>
          <w:sz w:val="28"/>
          <w:szCs w:val="28"/>
        </w:rPr>
        <w:t>项目采购活</w:t>
      </w:r>
      <w:r>
        <w:rPr>
          <w:rFonts w:hint="eastAsia" w:ascii="宋体" w:hAnsi="宋体" w:eastAsia="宋体" w:cs="宋体"/>
          <w:sz w:val="28"/>
          <w:szCs w:val="28"/>
        </w:rPr>
        <w:t xml:space="preserve"> </w:t>
      </w:r>
      <w:r>
        <w:rPr>
          <w:rFonts w:hint="eastAsia" w:ascii="宋体" w:hAnsi="宋体" w:eastAsia="宋体" w:cs="宋体"/>
          <w:spacing w:val="-1"/>
          <w:sz w:val="28"/>
          <w:szCs w:val="28"/>
        </w:rPr>
        <w:t>动提供本单位制造的货物（由本单位承担工程/提供服务</w:t>
      </w:r>
      <w:r>
        <w:rPr>
          <w:rFonts w:hint="eastAsia" w:ascii="宋体" w:hAnsi="宋体" w:eastAsia="宋体" w:cs="宋体"/>
          <w:spacing w:val="10"/>
          <w:sz w:val="28"/>
          <w:szCs w:val="28"/>
        </w:rPr>
        <w:t>），</w:t>
      </w:r>
      <w:r>
        <w:rPr>
          <w:rFonts w:hint="eastAsia" w:ascii="宋体" w:hAnsi="宋体" w:eastAsia="宋体" w:cs="宋体"/>
          <w:spacing w:val="-1"/>
          <w:sz w:val="28"/>
          <w:szCs w:val="28"/>
        </w:rPr>
        <w:t>或者提供其他残疾人福利性单位制造的货物（不包括使用非残疾人福利性单位注册商</w:t>
      </w:r>
      <w:r>
        <w:rPr>
          <w:rFonts w:hint="eastAsia" w:ascii="宋体" w:hAnsi="宋体" w:eastAsia="宋体" w:cs="宋体"/>
          <w:spacing w:val="-2"/>
          <w:sz w:val="28"/>
          <w:szCs w:val="28"/>
        </w:rPr>
        <w:t>标的货物）。</w:t>
      </w:r>
    </w:p>
    <w:p w14:paraId="13328435">
      <w:pPr>
        <w:keepNext w:val="0"/>
        <w:keepLines w:val="0"/>
        <w:pageBreakBefore w:val="0"/>
        <w:widowControl/>
        <w:kinsoku w:val="0"/>
        <w:wordWrap/>
        <w:overflowPunct/>
        <w:topLinePunct w:val="0"/>
        <w:autoSpaceDE w:val="0"/>
        <w:autoSpaceDN w:val="0"/>
        <w:bidi w:val="0"/>
        <w:adjustRightInd w:val="0"/>
        <w:snapToGrid w:val="0"/>
        <w:spacing w:before="195" w:line="480" w:lineRule="exact"/>
        <w:ind w:firstLine="556" w:firstLineChars="200"/>
        <w:textAlignment w:val="baseline"/>
        <w:rPr>
          <w:rFonts w:hint="eastAsia" w:ascii="宋体" w:hAnsi="宋体" w:eastAsia="宋体" w:cs="宋体"/>
          <w:sz w:val="28"/>
          <w:szCs w:val="28"/>
        </w:rPr>
      </w:pPr>
      <w:r>
        <w:rPr>
          <w:rFonts w:hint="eastAsia" w:ascii="宋体" w:hAnsi="宋体" w:eastAsia="宋体" w:cs="宋体"/>
          <w:spacing w:val="-1"/>
          <w:sz w:val="28"/>
          <w:szCs w:val="28"/>
        </w:rPr>
        <w:t>本单位对上述声明的真实性负责。如有虚假，将依法承担相应责任。</w:t>
      </w:r>
    </w:p>
    <w:p w14:paraId="60F88626">
      <w:pPr>
        <w:pStyle w:val="16"/>
        <w:spacing w:line="275" w:lineRule="auto"/>
        <w:rPr>
          <w:rFonts w:hint="eastAsia" w:ascii="宋体" w:hAnsi="宋体" w:eastAsia="宋体" w:cs="宋体"/>
          <w:sz w:val="28"/>
          <w:szCs w:val="28"/>
        </w:rPr>
      </w:pPr>
    </w:p>
    <w:p w14:paraId="370FA973">
      <w:pPr>
        <w:spacing w:before="79" w:line="487" w:lineRule="exact"/>
        <w:ind w:left="3868"/>
        <w:rPr>
          <w:rFonts w:hint="eastAsia" w:ascii="宋体" w:hAnsi="宋体" w:eastAsia="宋体" w:cs="宋体"/>
          <w:sz w:val="28"/>
          <w:szCs w:val="28"/>
        </w:rPr>
      </w:pPr>
      <w:r>
        <w:rPr>
          <w:rFonts w:hint="eastAsia" w:ascii="宋体" w:hAnsi="宋体" w:eastAsia="宋体" w:cs="宋体"/>
          <w:spacing w:val="-3"/>
          <w:position w:val="18"/>
          <w:sz w:val="28"/>
          <w:szCs w:val="28"/>
        </w:rPr>
        <w:t>单位名称（盖章</w:t>
      </w:r>
      <w:r>
        <w:rPr>
          <w:rFonts w:hint="eastAsia" w:ascii="宋体" w:hAnsi="宋体" w:eastAsia="宋体" w:cs="宋体"/>
          <w:spacing w:val="2"/>
          <w:position w:val="18"/>
          <w:sz w:val="28"/>
          <w:szCs w:val="28"/>
        </w:rPr>
        <w:t>）：</w:t>
      </w:r>
    </w:p>
    <w:p w14:paraId="7DA05DE6">
      <w:pPr>
        <w:spacing w:before="1" w:line="224" w:lineRule="auto"/>
        <w:ind w:left="3914"/>
        <w:rPr>
          <w:rFonts w:hint="eastAsia" w:ascii="宋体" w:hAnsi="宋体" w:eastAsia="宋体" w:cs="宋体"/>
          <w:sz w:val="28"/>
          <w:szCs w:val="28"/>
        </w:rPr>
      </w:pPr>
      <w:r>
        <w:rPr>
          <w:rFonts w:hint="eastAsia" w:ascii="宋体" w:hAnsi="宋体" w:eastAsia="宋体" w:cs="宋体"/>
          <w:spacing w:val="-24"/>
          <w:sz w:val="28"/>
          <w:szCs w:val="28"/>
        </w:rPr>
        <w:t>日</w:t>
      </w:r>
      <w:r>
        <w:rPr>
          <w:rFonts w:hint="eastAsia" w:ascii="宋体" w:hAnsi="宋体" w:eastAsia="宋体" w:cs="宋体"/>
          <w:spacing w:val="5"/>
          <w:sz w:val="28"/>
          <w:szCs w:val="28"/>
        </w:rPr>
        <w:t xml:space="preserve">  </w:t>
      </w:r>
      <w:r>
        <w:rPr>
          <w:rFonts w:hint="eastAsia" w:ascii="宋体" w:hAnsi="宋体" w:eastAsia="宋体" w:cs="宋体"/>
          <w:spacing w:val="-24"/>
          <w:sz w:val="28"/>
          <w:szCs w:val="28"/>
        </w:rPr>
        <w:t>期：</w:t>
      </w:r>
    </w:p>
    <w:p w14:paraId="5C048A03">
      <w:pPr>
        <w:pStyle w:val="16"/>
        <w:spacing w:line="254" w:lineRule="auto"/>
        <w:rPr>
          <w:rFonts w:hint="eastAsia" w:ascii="宋体" w:hAnsi="宋体" w:eastAsia="宋体" w:cs="宋体"/>
          <w:sz w:val="28"/>
          <w:szCs w:val="28"/>
        </w:rPr>
      </w:pPr>
    </w:p>
    <w:p w14:paraId="67BB94C2">
      <w:pPr>
        <w:pStyle w:val="16"/>
        <w:spacing w:line="254" w:lineRule="auto"/>
        <w:rPr>
          <w:rFonts w:hint="eastAsia" w:ascii="宋体" w:hAnsi="宋体" w:eastAsia="宋体" w:cs="宋体"/>
          <w:sz w:val="28"/>
          <w:szCs w:val="28"/>
        </w:rPr>
      </w:pPr>
    </w:p>
    <w:p w14:paraId="3ADB4947">
      <w:pPr>
        <w:keepNext w:val="0"/>
        <w:keepLines w:val="0"/>
        <w:pageBreakBefore w:val="0"/>
        <w:widowControl w:val="0"/>
        <w:kinsoku/>
        <w:wordWrap/>
        <w:overflowPunct/>
        <w:topLinePunct w:val="0"/>
        <w:autoSpaceDE/>
        <w:autoSpaceDN/>
        <w:bidi w:val="0"/>
        <w:adjustRightInd/>
        <w:snapToGrid/>
        <w:spacing w:before="78" w:line="440" w:lineRule="exact"/>
        <w:ind w:left="34" w:right="62"/>
        <w:jc w:val="both"/>
        <w:textAlignment w:val="auto"/>
        <w:rPr>
          <w:rFonts w:hint="eastAsia" w:ascii="宋体" w:hAnsi="宋体" w:eastAsia="宋体" w:cs="宋体"/>
          <w:spacing w:val="-1"/>
          <w:sz w:val="24"/>
          <w:szCs w:val="24"/>
        </w:rPr>
      </w:pPr>
      <w:r>
        <w:rPr>
          <w:rFonts w:hint="eastAsia" w:ascii="宋体" w:hAnsi="宋体" w:eastAsia="宋体" w:cs="宋体"/>
          <w:spacing w:val="-6"/>
          <w:sz w:val="24"/>
          <w:szCs w:val="24"/>
        </w:rPr>
        <w:t>注：1.投标人应仔细阅读《财政部</w:t>
      </w:r>
      <w:r>
        <w:rPr>
          <w:rFonts w:hint="eastAsia" w:ascii="宋体" w:hAnsi="宋体" w:eastAsia="宋体" w:cs="宋体"/>
          <w:spacing w:val="56"/>
          <w:sz w:val="24"/>
          <w:szCs w:val="24"/>
        </w:rPr>
        <w:t xml:space="preserve"> </w:t>
      </w:r>
      <w:r>
        <w:rPr>
          <w:rFonts w:hint="eastAsia" w:ascii="宋体" w:hAnsi="宋体" w:eastAsia="宋体" w:cs="宋体"/>
          <w:spacing w:val="-6"/>
          <w:sz w:val="24"/>
          <w:szCs w:val="24"/>
        </w:rPr>
        <w:t>民政部</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中国残疾人联合会关于促进残疾人就</w:t>
      </w:r>
      <w:r>
        <w:rPr>
          <w:rFonts w:hint="eastAsia" w:ascii="宋体" w:hAnsi="宋体" w:eastAsia="宋体" w:cs="宋体"/>
          <w:sz w:val="24"/>
          <w:szCs w:val="24"/>
        </w:rPr>
        <w:t xml:space="preserve"> </w:t>
      </w:r>
      <w:r>
        <w:rPr>
          <w:rFonts w:hint="eastAsia" w:ascii="宋体" w:hAnsi="宋体" w:eastAsia="宋体" w:cs="宋体"/>
          <w:spacing w:val="-3"/>
          <w:sz w:val="24"/>
          <w:szCs w:val="24"/>
        </w:rPr>
        <w:t>业政府采购政策的通知》，并如实填写本表，符合条</w:t>
      </w:r>
      <w:r>
        <w:rPr>
          <w:rFonts w:hint="eastAsia" w:ascii="宋体" w:hAnsi="宋体" w:eastAsia="宋体" w:cs="宋体"/>
          <w:spacing w:val="-4"/>
          <w:sz w:val="24"/>
          <w:szCs w:val="24"/>
        </w:rPr>
        <w:t>件的投标人未按上述要求提</w:t>
      </w:r>
      <w:r>
        <w:rPr>
          <w:rFonts w:hint="eastAsia" w:ascii="宋体" w:hAnsi="宋体" w:eastAsia="宋体" w:cs="宋体"/>
          <w:spacing w:val="-1"/>
          <w:sz w:val="24"/>
          <w:szCs w:val="24"/>
        </w:rPr>
        <w:t>供、填写的，评审时不予以考虑。</w:t>
      </w:r>
    </w:p>
    <w:p w14:paraId="52D50F3B">
      <w:pPr>
        <w:keepNext w:val="0"/>
        <w:keepLines w:val="0"/>
        <w:pageBreakBefore w:val="0"/>
        <w:widowControl w:val="0"/>
        <w:kinsoku/>
        <w:wordWrap/>
        <w:overflowPunct/>
        <w:topLinePunct w:val="0"/>
        <w:autoSpaceDE/>
        <w:autoSpaceDN/>
        <w:bidi w:val="0"/>
        <w:adjustRightInd/>
        <w:snapToGrid/>
        <w:spacing w:before="78" w:line="440" w:lineRule="exact"/>
        <w:ind w:left="34" w:right="62"/>
        <w:jc w:val="both"/>
        <w:textAlignment w:val="auto"/>
        <w:rPr>
          <w:rFonts w:hint="eastAsia" w:ascii="宋体" w:hAnsi="宋体" w:eastAsia="宋体" w:cs="宋体"/>
          <w:sz w:val="24"/>
          <w:szCs w:val="24"/>
        </w:rPr>
      </w:pPr>
      <w:r>
        <w:rPr>
          <w:rFonts w:hint="eastAsia" w:ascii="宋体" w:hAnsi="宋体" w:eastAsia="宋体" w:cs="宋体"/>
          <w:spacing w:val="-8"/>
          <w:sz w:val="24"/>
          <w:szCs w:val="24"/>
        </w:rPr>
        <w:t>2.如不是该类企业则不需提供相关声明，若提供虚假材料谋取中标、成交的，</w:t>
      </w:r>
      <w:r>
        <w:rPr>
          <w:rFonts w:hint="eastAsia" w:ascii="宋体" w:hAnsi="宋体" w:eastAsia="宋体" w:cs="宋体"/>
          <w:spacing w:val="-3"/>
          <w:sz w:val="24"/>
          <w:szCs w:val="24"/>
        </w:rPr>
        <w:t>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w:t>
      </w:r>
      <w:r>
        <w:rPr>
          <w:rFonts w:hint="eastAsia" w:ascii="宋体" w:hAnsi="宋体" w:eastAsia="宋体" w:cs="宋体"/>
          <w:spacing w:val="-1"/>
          <w:sz w:val="24"/>
          <w:szCs w:val="24"/>
        </w:rPr>
        <w:t>管理机关吊销营业执照；构成犯罪的，依法追究刑事责任。</w:t>
      </w:r>
    </w:p>
    <w:p w14:paraId="11EA80D1">
      <w:pPr>
        <w:spacing w:before="97" w:line="225" w:lineRule="auto"/>
        <w:ind w:left="46"/>
        <w:rPr>
          <w:rFonts w:hint="eastAsia" w:ascii="宋体" w:hAnsi="宋体" w:eastAsia="宋体" w:cs="宋体"/>
          <w:spacing w:val="-1"/>
          <w:sz w:val="28"/>
          <w:szCs w:val="28"/>
          <w14:textOutline w14:w="5448" w14:cap="sq" w14:cmpd="sng">
            <w14:solidFill>
              <w14:srgbClr w14:val="000000"/>
            </w14:solidFill>
            <w14:prstDash w14:val="solid"/>
            <w14:bevel/>
          </w14:textOutline>
        </w:rPr>
      </w:pPr>
    </w:p>
    <w:p w14:paraId="138A30D7">
      <w:pPr>
        <w:bidi w:val="0"/>
        <w:rPr>
          <w:rFonts w:hint="eastAsia" w:ascii="宋体" w:hAnsi="宋体" w:eastAsia="宋体" w:cs="宋体"/>
          <w:b/>
          <w:bCs/>
          <w:sz w:val="28"/>
          <w:szCs w:val="28"/>
        </w:rPr>
      </w:pPr>
    </w:p>
    <w:p w14:paraId="19E0F195">
      <w:pPr>
        <w:bidi w:val="0"/>
        <w:rPr>
          <w:rFonts w:hint="eastAsia" w:ascii="宋体" w:hAnsi="宋体" w:eastAsia="宋体" w:cs="宋体"/>
          <w:b/>
          <w:bCs/>
          <w:sz w:val="28"/>
          <w:szCs w:val="28"/>
        </w:rPr>
      </w:pPr>
    </w:p>
    <w:p w14:paraId="537FA0CD">
      <w:pPr>
        <w:bidi w:val="0"/>
        <w:rPr>
          <w:rFonts w:hint="eastAsia" w:ascii="宋体" w:hAnsi="宋体" w:eastAsia="宋体" w:cs="宋体"/>
          <w:b/>
          <w:bCs/>
          <w:sz w:val="28"/>
          <w:szCs w:val="28"/>
        </w:rPr>
      </w:pPr>
    </w:p>
    <w:p w14:paraId="4EF41346">
      <w:pPr>
        <w:bidi w:val="0"/>
        <w:rPr>
          <w:rFonts w:hint="eastAsia" w:ascii="宋体" w:hAnsi="宋体" w:eastAsia="宋体" w:cs="宋体"/>
          <w:b/>
          <w:bCs/>
          <w:sz w:val="28"/>
          <w:szCs w:val="28"/>
        </w:rPr>
      </w:pPr>
    </w:p>
    <w:p w14:paraId="773B6564">
      <w:pPr>
        <w:bidi w:val="0"/>
        <w:rPr>
          <w:rFonts w:hint="eastAsia" w:ascii="宋体" w:hAnsi="宋体" w:eastAsia="宋体" w:cs="宋体"/>
          <w:b/>
          <w:bCs/>
          <w:sz w:val="28"/>
          <w:szCs w:val="28"/>
        </w:rPr>
      </w:pPr>
    </w:p>
    <w:p w14:paraId="28D3FE24">
      <w:pPr>
        <w:bidi w:val="0"/>
        <w:rPr>
          <w:rFonts w:hint="eastAsia" w:ascii="宋体" w:hAnsi="宋体" w:eastAsia="宋体" w:cs="宋体"/>
          <w:b/>
          <w:bCs/>
          <w:sz w:val="28"/>
          <w:szCs w:val="28"/>
        </w:rPr>
      </w:pPr>
    </w:p>
    <w:p w14:paraId="31DF1A1E">
      <w:pPr>
        <w:bidi w:val="0"/>
        <w:rPr>
          <w:rFonts w:hint="eastAsia" w:ascii="宋体" w:hAnsi="宋体" w:eastAsia="宋体" w:cs="宋体"/>
          <w:b/>
          <w:bCs/>
          <w:sz w:val="28"/>
          <w:szCs w:val="28"/>
        </w:rPr>
      </w:pPr>
    </w:p>
    <w:p w14:paraId="4CAC86CC">
      <w:pPr>
        <w:bidi w:val="0"/>
        <w:rPr>
          <w:rFonts w:hint="eastAsia" w:ascii="宋体" w:hAnsi="宋体" w:eastAsia="宋体" w:cs="宋体"/>
          <w:b/>
          <w:bCs/>
          <w:sz w:val="28"/>
          <w:szCs w:val="28"/>
        </w:rPr>
      </w:pPr>
    </w:p>
    <w:p w14:paraId="1D1E0B7E">
      <w:pPr>
        <w:bidi w:val="0"/>
        <w:rPr>
          <w:rFonts w:hint="eastAsia" w:ascii="宋体" w:hAnsi="宋体" w:eastAsia="宋体" w:cs="宋体"/>
          <w:b/>
          <w:bCs/>
          <w:sz w:val="28"/>
          <w:szCs w:val="28"/>
        </w:rPr>
      </w:pPr>
      <w:r>
        <w:rPr>
          <w:rFonts w:hint="eastAsia" w:ascii="宋体" w:hAnsi="宋体" w:eastAsia="宋体" w:cs="宋体"/>
          <w:b/>
          <w:bCs/>
          <w:sz w:val="28"/>
          <w:szCs w:val="28"/>
        </w:rPr>
        <w:t xml:space="preserve">附件 </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：（如有）</w:t>
      </w:r>
    </w:p>
    <w:p w14:paraId="31C9A953">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sz w:val="28"/>
          <w:szCs w:val="28"/>
        </w:rPr>
      </w:pPr>
      <w:r>
        <w:rPr>
          <w:rFonts w:hint="eastAsia" w:ascii="宋体" w:hAnsi="宋体" w:eastAsia="宋体" w:cs="宋体"/>
          <w:b/>
          <w:bCs/>
          <w:sz w:val="28"/>
          <w:szCs w:val="28"/>
        </w:rPr>
        <w:t>监狱企业证明文件</w:t>
      </w:r>
    </w:p>
    <w:p w14:paraId="1851332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根据财政部、司法部《关于政府采购支持监狱企业发展有关问题的通知》（财 库〔2014〕68 号）的规定，监狱企业是指由司法部认定的为罪犯、戒毒人员提  供生产项目和劳动对象，且全部产权属于司法部监狱管理局、戒毒管理局、直属 煤矿管理局，各省、自治区、直辖市监狱管理局、戒毒管理局，各地（设区的市） 监狱、强制隔离戒毒所、戒毒康复所，以及新疆生产建设兵团监狱管理局、戒毒</w:t>
      </w:r>
    </w:p>
    <w:p w14:paraId="07B5760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管理局的企业。</w:t>
      </w:r>
    </w:p>
    <w:p w14:paraId="4DA989B1">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监狱企业参加政府采购活动时，应当提供由省级以上监狱管理局、戒毒管理局（含新疆生产建设兵团）出具的属于监狱企业的证明文件。</w:t>
      </w:r>
    </w:p>
    <w:p w14:paraId="7525EAD5">
      <w:pPr>
        <w:pStyle w:val="16"/>
        <w:spacing w:line="241" w:lineRule="auto"/>
        <w:rPr>
          <w:rFonts w:hint="eastAsia" w:ascii="宋体" w:hAnsi="宋体" w:eastAsia="宋体" w:cs="宋体"/>
          <w:sz w:val="28"/>
          <w:szCs w:val="28"/>
        </w:rPr>
      </w:pPr>
    </w:p>
    <w:p w14:paraId="1BBBF5B8">
      <w:pPr>
        <w:spacing w:before="78" w:line="232" w:lineRule="auto"/>
        <w:ind w:left="19"/>
        <w:rPr>
          <w:rFonts w:hint="eastAsia" w:ascii="宋体" w:hAnsi="宋体" w:eastAsia="宋体" w:cs="宋体"/>
          <w:spacing w:val="-2"/>
          <w:sz w:val="24"/>
          <w:szCs w:val="24"/>
        </w:rPr>
      </w:pPr>
    </w:p>
    <w:p w14:paraId="2933D652">
      <w:pPr>
        <w:spacing w:before="78" w:line="232" w:lineRule="auto"/>
        <w:ind w:left="19"/>
        <w:rPr>
          <w:rFonts w:hint="eastAsia" w:ascii="宋体" w:hAnsi="宋体" w:eastAsia="宋体" w:cs="宋体"/>
          <w:spacing w:val="-2"/>
          <w:sz w:val="24"/>
          <w:szCs w:val="24"/>
        </w:rPr>
      </w:pPr>
    </w:p>
    <w:p w14:paraId="7F5F8B33">
      <w:pPr>
        <w:spacing w:before="78" w:line="232" w:lineRule="auto"/>
        <w:ind w:left="19"/>
        <w:rPr>
          <w:rFonts w:hint="eastAsia" w:ascii="宋体" w:hAnsi="宋体" w:eastAsia="宋体" w:cs="宋体"/>
          <w:spacing w:val="-2"/>
          <w:sz w:val="24"/>
          <w:szCs w:val="24"/>
        </w:rPr>
      </w:pPr>
    </w:p>
    <w:p w14:paraId="612BEBB2">
      <w:pPr>
        <w:spacing w:before="78" w:line="232" w:lineRule="auto"/>
        <w:ind w:left="19"/>
        <w:rPr>
          <w:rFonts w:hint="eastAsia" w:ascii="宋体" w:hAnsi="宋体" w:eastAsia="宋体" w:cs="宋体"/>
          <w:spacing w:val="-2"/>
          <w:sz w:val="24"/>
          <w:szCs w:val="24"/>
        </w:rPr>
      </w:pPr>
    </w:p>
    <w:p w14:paraId="02C61017">
      <w:pPr>
        <w:keepNext w:val="0"/>
        <w:keepLines w:val="0"/>
        <w:pageBreakBefore w:val="0"/>
        <w:widowControl w:val="0"/>
        <w:kinsoku/>
        <w:wordWrap/>
        <w:overflowPunct/>
        <w:topLinePunct w:val="0"/>
        <w:autoSpaceDE/>
        <w:autoSpaceDN/>
        <w:bidi w:val="0"/>
        <w:adjustRightInd/>
        <w:snapToGrid/>
        <w:spacing w:before="78" w:line="440" w:lineRule="exact"/>
        <w:ind w:left="19"/>
        <w:textAlignment w:val="auto"/>
        <w:rPr>
          <w:rFonts w:hint="eastAsia" w:ascii="宋体" w:hAnsi="宋体" w:eastAsia="宋体" w:cs="宋体"/>
          <w:sz w:val="24"/>
          <w:szCs w:val="24"/>
        </w:rPr>
      </w:pPr>
      <w:r>
        <w:rPr>
          <w:rFonts w:hint="eastAsia" w:ascii="宋体" w:hAnsi="宋体" w:eastAsia="宋体" w:cs="宋体"/>
          <w:spacing w:val="-2"/>
          <w:sz w:val="24"/>
          <w:szCs w:val="24"/>
        </w:rPr>
        <w:t>说明：</w:t>
      </w:r>
    </w:p>
    <w:p w14:paraId="21D87233">
      <w:pPr>
        <w:keepNext w:val="0"/>
        <w:keepLines w:val="0"/>
        <w:pageBreakBefore w:val="0"/>
        <w:widowControl w:val="0"/>
        <w:kinsoku/>
        <w:wordWrap/>
        <w:overflowPunct/>
        <w:topLinePunct w:val="0"/>
        <w:autoSpaceDE/>
        <w:autoSpaceDN/>
        <w:bidi w:val="0"/>
        <w:adjustRightInd/>
        <w:snapToGrid/>
        <w:spacing w:before="164" w:line="440" w:lineRule="exact"/>
        <w:ind w:left="561"/>
        <w:textAlignment w:val="auto"/>
        <w:rPr>
          <w:rFonts w:hint="eastAsia" w:ascii="宋体" w:hAnsi="宋体" w:eastAsia="宋体" w:cs="宋体"/>
          <w:sz w:val="24"/>
          <w:szCs w:val="24"/>
        </w:rPr>
      </w:pPr>
      <w:r>
        <w:rPr>
          <w:rFonts w:hint="eastAsia" w:ascii="宋体" w:hAnsi="宋体" w:eastAsia="宋体" w:cs="宋体"/>
          <w:spacing w:val="-1"/>
          <w:sz w:val="24"/>
          <w:szCs w:val="24"/>
        </w:rPr>
        <w:t>1.无格式要求，由出具监狱企业证明的单位自行拟定；</w:t>
      </w:r>
    </w:p>
    <w:p w14:paraId="5D9670C5">
      <w:pPr>
        <w:keepNext w:val="0"/>
        <w:keepLines w:val="0"/>
        <w:pageBreakBefore w:val="0"/>
        <w:widowControl w:val="0"/>
        <w:kinsoku/>
        <w:wordWrap/>
        <w:overflowPunct/>
        <w:topLinePunct w:val="0"/>
        <w:autoSpaceDE/>
        <w:autoSpaceDN/>
        <w:bidi w:val="0"/>
        <w:adjustRightInd/>
        <w:snapToGrid/>
        <w:spacing w:before="182" w:line="440" w:lineRule="exact"/>
        <w:ind w:left="16" w:right="88" w:firstLine="530"/>
        <w:textAlignment w:val="auto"/>
        <w:rPr>
          <w:rFonts w:hint="eastAsia" w:ascii="宋体" w:hAnsi="宋体" w:eastAsia="宋体" w:cs="宋体"/>
          <w:sz w:val="24"/>
          <w:szCs w:val="24"/>
        </w:rPr>
      </w:pPr>
      <w:r>
        <w:rPr>
          <w:rFonts w:hint="eastAsia" w:ascii="宋体" w:hAnsi="宋体" w:eastAsia="宋体" w:cs="宋体"/>
          <w:spacing w:val="3"/>
          <w:sz w:val="24"/>
          <w:szCs w:val="24"/>
        </w:rPr>
        <w:t>2.如不是该类企业则不需提供相关声明，若提供虚假材料</w:t>
      </w:r>
      <w:r>
        <w:rPr>
          <w:rFonts w:hint="eastAsia" w:ascii="宋体" w:hAnsi="宋体" w:eastAsia="宋体" w:cs="宋体"/>
          <w:spacing w:val="2"/>
          <w:sz w:val="24"/>
          <w:szCs w:val="24"/>
        </w:rPr>
        <w:t>谋取中标、成交</w:t>
      </w:r>
      <w:r>
        <w:rPr>
          <w:rFonts w:hint="eastAsia" w:ascii="宋体" w:hAnsi="宋体" w:eastAsia="宋体" w:cs="宋体"/>
          <w:sz w:val="24"/>
          <w:szCs w:val="24"/>
        </w:rPr>
        <w:t xml:space="preserve"> </w:t>
      </w:r>
      <w:r>
        <w:rPr>
          <w:rFonts w:hint="eastAsia" w:ascii="宋体" w:hAnsi="宋体" w:eastAsia="宋体" w:cs="宋体"/>
          <w:spacing w:val="-3"/>
          <w:sz w:val="24"/>
          <w:szCs w:val="24"/>
        </w:rPr>
        <w:t>的，将按照《中华人民共和国政府采购法》第七十七条规定对投标人处以采购金</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额千分之五以上千分之十以下的罚款，列入不良行为记录名单，在一至三年内禁</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止参加政府采购活动，有违法所得的，并处没收违法所得，情节严重的，由工商</w:t>
      </w:r>
      <w:r>
        <w:rPr>
          <w:rFonts w:hint="eastAsia" w:ascii="宋体" w:hAnsi="宋体" w:eastAsia="宋体" w:cs="宋体"/>
          <w:spacing w:val="-1"/>
          <w:sz w:val="24"/>
          <w:szCs w:val="24"/>
        </w:rPr>
        <w:t>行政管理机关吊销营业执照；构成犯罪的，依法追究刑事责任。</w:t>
      </w:r>
    </w:p>
    <w:p w14:paraId="3FD5C191">
      <w:pPr>
        <w:numPr>
          <w:ilvl w:val="0"/>
          <w:numId w:val="0"/>
        </w:numPr>
        <w:tabs>
          <w:tab w:val="left" w:pos="1755"/>
        </w:tabs>
        <w:spacing w:line="500" w:lineRule="atLeast"/>
        <w:jc w:val="both"/>
        <w:outlineLvl w:val="2"/>
        <w:rPr>
          <w:rFonts w:hint="eastAsia" w:ascii="宋体" w:hAnsi="宋体" w:cs="仿宋"/>
          <w:b/>
          <w:bCs/>
          <w:color w:val="000000" w:themeColor="text1"/>
          <w:sz w:val="28"/>
          <w:szCs w:val="28"/>
          <w14:textFill>
            <w14:solidFill>
              <w14:schemeClr w14:val="tx1"/>
            </w14:solidFill>
          </w14:textFill>
        </w:rPr>
      </w:pPr>
    </w:p>
    <w:p w14:paraId="63CD3A92">
      <w:pPr>
        <w:pStyle w:val="35"/>
        <w:rPr>
          <w:rFonts w:hint="eastAsia"/>
          <w:color w:val="000000" w:themeColor="text1"/>
          <w:sz w:val="28"/>
          <w:szCs w:val="36"/>
          <w14:textFill>
            <w14:solidFill>
              <w14:schemeClr w14:val="tx1"/>
            </w14:solidFill>
          </w14:textFill>
        </w:rPr>
      </w:pPr>
    </w:p>
    <w:p w14:paraId="06762B2E">
      <w:pPr>
        <w:spacing w:line="640" w:lineRule="exact"/>
        <w:jc w:val="center"/>
        <w:rPr>
          <w:rFonts w:hAnsi="宋体" w:cs="宋体"/>
          <w:b/>
          <w:sz w:val="44"/>
          <w:szCs w:val="44"/>
        </w:rPr>
      </w:pPr>
      <w:r>
        <w:rPr>
          <w:rFonts w:hint="eastAsia" w:hAnsi="宋体" w:cs="宋体"/>
          <w:b/>
          <w:sz w:val="44"/>
          <w:szCs w:val="44"/>
        </w:rPr>
        <w:t>本页以下无内容</w:t>
      </w:r>
    </w:p>
    <w:p w14:paraId="4B444B19">
      <w:pPr>
        <w:pBdr>
          <w:bottom w:val="single" w:color="auto" w:sz="6" w:space="12"/>
        </w:pBdr>
        <w:spacing w:line="640" w:lineRule="exact"/>
        <w:ind w:firstLine="1126" w:firstLineChars="255"/>
        <w:rPr>
          <w:rFonts w:hAnsi="宋体" w:cs="宋体"/>
          <w:b/>
          <w:sz w:val="44"/>
          <w:szCs w:val="44"/>
        </w:rPr>
      </w:pPr>
    </w:p>
    <w:p w14:paraId="1CBE7B3E">
      <w:pPr>
        <w:pBdr>
          <w:bottom w:val="single" w:color="auto" w:sz="6" w:space="12"/>
        </w:pBdr>
        <w:spacing w:line="640" w:lineRule="exact"/>
        <w:ind w:firstLine="1126" w:firstLineChars="255"/>
        <w:rPr>
          <w:rFonts w:hAnsi="宋体" w:cs="宋体"/>
          <w:b/>
          <w:sz w:val="44"/>
          <w:szCs w:val="44"/>
        </w:rPr>
      </w:pPr>
    </w:p>
    <w:p w14:paraId="34436EFE">
      <w:pPr>
        <w:pStyle w:val="126"/>
        <w:spacing w:line="340" w:lineRule="exact"/>
        <w:ind w:firstLine="866" w:firstLineChars="255"/>
        <w:rPr>
          <w:rFonts w:ascii="宋体" w:hAnsi="宋体" w:cs="宋体"/>
        </w:rPr>
      </w:pPr>
    </w:p>
    <w:sectPr>
      <w:headerReference r:id="rId8" w:type="default"/>
      <w:pgSz w:w="11906" w:h="16838"/>
      <w:pgMar w:top="1135" w:right="1133" w:bottom="1135" w:left="1418" w:header="850" w:footer="737"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7C39">
    <w:pPr>
      <w:pStyle w:val="24"/>
      <w:tabs>
        <w:tab w:val="left" w:pos="2822"/>
        <w:tab w:val="left" w:pos="5209"/>
        <w:tab w:val="clear" w:pos="4153"/>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1B273">
    <w:pPr>
      <w:pStyle w:val="24"/>
      <w:tabs>
        <w:tab w:val="left" w:pos="2822"/>
        <w:tab w:val="left" w:pos="5209"/>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8E287">
                          <w:pPr>
                            <w:pStyle w:val="2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E8E287">
                    <w:pPr>
                      <w:pStyle w:val="2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047E2">
    <w:pPr>
      <w:spacing w:line="176" w:lineRule="auto"/>
      <w:ind w:left="46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7F3ED">
                          <w:pPr>
                            <w:pStyle w:val="2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B7F3ED">
                    <w:pPr>
                      <w:pStyle w:val="2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r>
      <w:rPr>
        <w:rFonts w:ascii="Times New Roman" w:hAnsi="Times New Roman" w:eastAsia="Times New Roman" w:cs="Times New Roman"/>
        <w:spacing w:val="-4"/>
        <w:sz w:val="18"/>
        <w:szCs w:val="18"/>
      </w:rPr>
      <w:t>30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ABBB">
    <w:pPr>
      <w:pStyle w:val="24"/>
      <w:tabs>
        <w:tab w:val="left" w:pos="2822"/>
        <w:tab w:val="clear" w:pos="4153"/>
      </w:tabs>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0F21E">
                          <w:pPr>
                            <w:pStyle w:val="2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20F21E">
                    <w:pPr>
                      <w:pStyle w:val="2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608A60AC">
    <w:pPr>
      <w:pStyle w:val="24"/>
      <w:tabs>
        <w:tab w:val="left" w:pos="2822"/>
        <w:tab w:val="clear" w:pos="4153"/>
      </w:tabs>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F1DF">
    <w:pPr>
      <w:pStyle w:val="16"/>
      <w:pBdr>
        <w:bottom w:val="none" w:color="auto" w:sz="0" w:space="0"/>
      </w:pBdr>
      <w:rPr>
        <w:rFonts w:hint="eastAsia" w:eastAsia="宋体"/>
        <w:sz w:val="20"/>
        <w:szCs w:val="20"/>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35A64">
    <w:pPr>
      <w:pStyle w:val="26"/>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53FD4"/>
    <w:multiLevelType w:val="singleLevel"/>
    <w:tmpl w:val="88153FD4"/>
    <w:lvl w:ilvl="0" w:tentative="0">
      <w:start w:val="1"/>
      <w:numFmt w:val="decimal"/>
      <w:lvlText w:val="(%1)"/>
      <w:lvlJc w:val="left"/>
      <w:pPr>
        <w:tabs>
          <w:tab w:val="left" w:pos="420"/>
        </w:tabs>
        <w:ind w:left="845" w:hanging="425"/>
      </w:pPr>
      <w:rPr>
        <w:rFonts w:hint="default"/>
      </w:rPr>
    </w:lvl>
  </w:abstractNum>
  <w:abstractNum w:abstractNumId="1">
    <w:nsid w:val="99358FF8"/>
    <w:multiLevelType w:val="singleLevel"/>
    <w:tmpl w:val="99358FF8"/>
    <w:lvl w:ilvl="0" w:tentative="0">
      <w:start w:val="2"/>
      <w:numFmt w:val="chineseCounting"/>
      <w:suff w:val="nothing"/>
      <w:lvlText w:val="%1、"/>
      <w:lvlJc w:val="left"/>
      <w:rPr>
        <w:rFonts w:hint="eastAsia"/>
      </w:rPr>
    </w:lvl>
  </w:abstractNum>
  <w:abstractNum w:abstractNumId="2">
    <w:nsid w:val="E1556ABB"/>
    <w:multiLevelType w:val="singleLevel"/>
    <w:tmpl w:val="E1556ABB"/>
    <w:lvl w:ilvl="0" w:tentative="0">
      <w:start w:val="4"/>
      <w:numFmt w:val="decimal"/>
      <w:lvlText w:val="%1."/>
      <w:lvlJc w:val="left"/>
      <w:pPr>
        <w:tabs>
          <w:tab w:val="left" w:pos="312"/>
        </w:tabs>
      </w:pPr>
    </w:lvl>
  </w:abstractNum>
  <w:abstractNum w:abstractNumId="3">
    <w:nsid w:val="00000006"/>
    <w:multiLevelType w:val="multilevel"/>
    <w:tmpl w:val="00000006"/>
    <w:lvl w:ilvl="0" w:tentative="0">
      <w:start w:val="1"/>
      <w:numFmt w:val="chineseCountingThousand"/>
      <w:suff w:val="nothing"/>
      <w:lvlText w:val="第%1章"/>
      <w:lvlJc w:val="left"/>
      <w:pPr>
        <w:tabs>
          <w:tab w:val="left" w:pos="0"/>
        </w:tabs>
        <w:ind w:left="0" w:firstLine="0"/>
      </w:pPr>
      <w:rPr>
        <w:rFonts w:hint="eastAsia" w:ascii="方正楷体_GB2312" w:hAnsi="方正楷体_GB2312" w:eastAsia="方正楷体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
    <w:nsid w:val="340A5EAE"/>
    <w:multiLevelType w:val="singleLevel"/>
    <w:tmpl w:val="340A5EAE"/>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5">
    <w:nsid w:val="5133D8F7"/>
    <w:multiLevelType w:val="singleLevel"/>
    <w:tmpl w:val="5133D8F7"/>
    <w:lvl w:ilvl="0" w:tentative="0">
      <w:start w:val="3"/>
      <w:numFmt w:val="chineseCounting"/>
      <w:suff w:val="nothing"/>
      <w:lvlText w:val="%1、"/>
      <w:lvlJc w:val="left"/>
      <w:rPr>
        <w:rFonts w:hint="eastAsia"/>
      </w:rPr>
    </w:lvl>
  </w:abstractNum>
  <w:num w:numId="1">
    <w:abstractNumId w:val="3"/>
    <w:lvlOverride w:ilvl="0">
      <w:startOverride w:val="1"/>
      <w:lvl w:ilvl="0" w:tentative="1">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suff w:val="nothing"/>
        <w:lvlText w:val=""/>
        <w:lvlJc w:val="left"/>
        <w:pPr>
          <w:tabs>
            <w:tab w:val="left" w:pos="0"/>
          </w:tabs>
          <w:ind w:left="0" w:firstLine="0"/>
        </w:pPr>
      </w:lvl>
    </w:lvlOverride>
    <w:lvlOverride w:ilvl="2">
      <w:startOverride w:val="1"/>
      <w:lvl w:ilvl="2" w:tentative="1">
        <w:start w:val="1"/>
        <w:numFmt w:val="none"/>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7"/>
        <w:suff w:val="nothing"/>
        <w:lvlText w:val=""/>
        <w:lvlJc w:val="left"/>
        <w:pPr>
          <w:tabs>
            <w:tab w:val="left" w:pos="0"/>
          </w:tabs>
          <w:ind w:left="0" w:firstLine="0"/>
        </w:pPr>
      </w:lvl>
    </w:lvlOverride>
    <w:lvlOverride w:ilvl="5">
      <w:startOverride w:val="1"/>
      <w:lvl w:ilvl="5" w:tentative="1">
        <w:start w:val="1"/>
        <w:numFmt w:val="none"/>
        <w:pStyle w:val="8"/>
        <w:suff w:val="nothing"/>
        <w:lvlText w:val=""/>
        <w:lvlJc w:val="left"/>
        <w:pPr>
          <w:tabs>
            <w:tab w:val="left" w:pos="0"/>
          </w:tabs>
          <w:ind w:left="0" w:firstLine="0"/>
        </w:pPr>
      </w:lvl>
    </w:lvlOverride>
    <w:lvlOverride w:ilvl="6">
      <w:startOverride w:val="1"/>
      <w:lvl w:ilvl="6" w:tentative="1">
        <w:start w:val="1"/>
        <w:numFmt w:val="none"/>
        <w:pStyle w:val="9"/>
        <w:suff w:val="nothing"/>
        <w:lvlText w:val=""/>
        <w:lvlJc w:val="left"/>
        <w:pPr>
          <w:tabs>
            <w:tab w:val="left" w:pos="0"/>
          </w:tabs>
          <w:ind w:left="0" w:firstLine="0"/>
        </w:pPr>
      </w:lvl>
    </w:lvlOverride>
    <w:lvlOverride w:ilvl="7">
      <w:startOverride w:val="1"/>
      <w:lvl w:ilvl="7" w:tentative="1">
        <w:start w:val="1"/>
        <w:numFmt w:val="none"/>
        <w:pStyle w:val="10"/>
        <w:suff w:val="nothing"/>
        <w:lvlText w:val=""/>
        <w:lvlJc w:val="left"/>
        <w:pPr>
          <w:tabs>
            <w:tab w:val="left" w:pos="0"/>
          </w:tabs>
          <w:ind w:left="0" w:firstLine="0"/>
        </w:pPr>
      </w:lvl>
    </w:lvlOverride>
    <w:lvlOverride w:ilvl="8">
      <w:startOverride w:val="1"/>
      <w:lvl w:ilvl="8" w:tentative="1">
        <w:start w:val="1"/>
        <w:numFmt w:val="none"/>
        <w:pStyle w:val="11"/>
        <w:suff w:val="nothing"/>
        <w:lvlText w:val=""/>
        <w:lvlJc w:val="left"/>
        <w:pPr>
          <w:tabs>
            <w:tab w:val="left" w:pos="0"/>
          </w:tabs>
          <w:ind w:left="0" w:firstLine="0"/>
        </w:pPr>
      </w:lvl>
    </w:lvlOverride>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jc3YmE4NWFjY2M5OGEwZTFhODAzMjUwOGVjMDMifQ=="/>
  </w:docVars>
  <w:rsids>
    <w:rsidRoot w:val="00172A27"/>
    <w:rsid w:val="00002354"/>
    <w:rsid w:val="00022DC1"/>
    <w:rsid w:val="0002487E"/>
    <w:rsid w:val="00033610"/>
    <w:rsid w:val="000417D8"/>
    <w:rsid w:val="00041E84"/>
    <w:rsid w:val="00055EDE"/>
    <w:rsid w:val="0008492C"/>
    <w:rsid w:val="00090881"/>
    <w:rsid w:val="000916E1"/>
    <w:rsid w:val="000A002F"/>
    <w:rsid w:val="000A1692"/>
    <w:rsid w:val="000A2733"/>
    <w:rsid w:val="000A59C6"/>
    <w:rsid w:val="000B4700"/>
    <w:rsid w:val="000B58D2"/>
    <w:rsid w:val="000B76DD"/>
    <w:rsid w:val="000C07C7"/>
    <w:rsid w:val="000C18BA"/>
    <w:rsid w:val="000D34A7"/>
    <w:rsid w:val="000E0719"/>
    <w:rsid w:val="000E15B7"/>
    <w:rsid w:val="000F2D5F"/>
    <w:rsid w:val="000F3205"/>
    <w:rsid w:val="00125F38"/>
    <w:rsid w:val="001411FB"/>
    <w:rsid w:val="00142592"/>
    <w:rsid w:val="0015625A"/>
    <w:rsid w:val="00160CE3"/>
    <w:rsid w:val="00161028"/>
    <w:rsid w:val="00172A27"/>
    <w:rsid w:val="00172E78"/>
    <w:rsid w:val="00177B68"/>
    <w:rsid w:val="00193B5F"/>
    <w:rsid w:val="001A33C9"/>
    <w:rsid w:val="001C3A96"/>
    <w:rsid w:val="001C7CA9"/>
    <w:rsid w:val="001D7490"/>
    <w:rsid w:val="001E38EF"/>
    <w:rsid w:val="001E469F"/>
    <w:rsid w:val="001E5879"/>
    <w:rsid w:val="00202D33"/>
    <w:rsid w:val="0020441E"/>
    <w:rsid w:val="00222721"/>
    <w:rsid w:val="002244F1"/>
    <w:rsid w:val="00265DA8"/>
    <w:rsid w:val="0029679E"/>
    <w:rsid w:val="002B3F09"/>
    <w:rsid w:val="002C1843"/>
    <w:rsid w:val="002C6204"/>
    <w:rsid w:val="002D2ECD"/>
    <w:rsid w:val="002D3528"/>
    <w:rsid w:val="002D560A"/>
    <w:rsid w:val="002D692A"/>
    <w:rsid w:val="002E2953"/>
    <w:rsid w:val="002E7D3E"/>
    <w:rsid w:val="00315A3B"/>
    <w:rsid w:val="00324F90"/>
    <w:rsid w:val="0033051F"/>
    <w:rsid w:val="00333488"/>
    <w:rsid w:val="00336005"/>
    <w:rsid w:val="00351875"/>
    <w:rsid w:val="00373C91"/>
    <w:rsid w:val="00383BA2"/>
    <w:rsid w:val="00385DEF"/>
    <w:rsid w:val="00391231"/>
    <w:rsid w:val="003A23CF"/>
    <w:rsid w:val="003A59DE"/>
    <w:rsid w:val="003B6310"/>
    <w:rsid w:val="003B719C"/>
    <w:rsid w:val="003C6689"/>
    <w:rsid w:val="003D1FCC"/>
    <w:rsid w:val="003D73A1"/>
    <w:rsid w:val="003E17C6"/>
    <w:rsid w:val="003E2850"/>
    <w:rsid w:val="003E2922"/>
    <w:rsid w:val="003F0034"/>
    <w:rsid w:val="00404489"/>
    <w:rsid w:val="00415960"/>
    <w:rsid w:val="004243FC"/>
    <w:rsid w:val="00427AA5"/>
    <w:rsid w:val="00437505"/>
    <w:rsid w:val="0046302B"/>
    <w:rsid w:val="00472662"/>
    <w:rsid w:val="004B13EA"/>
    <w:rsid w:val="004B32C4"/>
    <w:rsid w:val="004C5F72"/>
    <w:rsid w:val="004D06EB"/>
    <w:rsid w:val="004D2411"/>
    <w:rsid w:val="004E41D9"/>
    <w:rsid w:val="004F1EC3"/>
    <w:rsid w:val="00506AF3"/>
    <w:rsid w:val="00531625"/>
    <w:rsid w:val="0053557D"/>
    <w:rsid w:val="00535850"/>
    <w:rsid w:val="0053699D"/>
    <w:rsid w:val="0056770C"/>
    <w:rsid w:val="00572467"/>
    <w:rsid w:val="005854C3"/>
    <w:rsid w:val="00594285"/>
    <w:rsid w:val="005A2801"/>
    <w:rsid w:val="005C7D75"/>
    <w:rsid w:val="005D0374"/>
    <w:rsid w:val="005D2BBC"/>
    <w:rsid w:val="005F481F"/>
    <w:rsid w:val="006052E2"/>
    <w:rsid w:val="00607DA8"/>
    <w:rsid w:val="00615367"/>
    <w:rsid w:val="006166D2"/>
    <w:rsid w:val="006229FF"/>
    <w:rsid w:val="006236BB"/>
    <w:rsid w:val="00636F3D"/>
    <w:rsid w:val="00641E35"/>
    <w:rsid w:val="00643CE8"/>
    <w:rsid w:val="00646AC2"/>
    <w:rsid w:val="00657F4C"/>
    <w:rsid w:val="00680CE9"/>
    <w:rsid w:val="006A1A9D"/>
    <w:rsid w:val="006B0145"/>
    <w:rsid w:val="006B6F16"/>
    <w:rsid w:val="006C0394"/>
    <w:rsid w:val="006C6B26"/>
    <w:rsid w:val="006E2598"/>
    <w:rsid w:val="006F4A69"/>
    <w:rsid w:val="006F534D"/>
    <w:rsid w:val="006F6F6C"/>
    <w:rsid w:val="00711715"/>
    <w:rsid w:val="00722FF7"/>
    <w:rsid w:val="00723718"/>
    <w:rsid w:val="0072420F"/>
    <w:rsid w:val="00725BE4"/>
    <w:rsid w:val="007311C4"/>
    <w:rsid w:val="007467F9"/>
    <w:rsid w:val="0076561E"/>
    <w:rsid w:val="0076682F"/>
    <w:rsid w:val="00770929"/>
    <w:rsid w:val="00773916"/>
    <w:rsid w:val="00773ACE"/>
    <w:rsid w:val="0077558D"/>
    <w:rsid w:val="00780E9B"/>
    <w:rsid w:val="00782F3F"/>
    <w:rsid w:val="007A2921"/>
    <w:rsid w:val="007A30F6"/>
    <w:rsid w:val="007B72BD"/>
    <w:rsid w:val="007C2F6E"/>
    <w:rsid w:val="007C30F8"/>
    <w:rsid w:val="007E7199"/>
    <w:rsid w:val="007F14BB"/>
    <w:rsid w:val="007F5DD0"/>
    <w:rsid w:val="007F65AA"/>
    <w:rsid w:val="00804109"/>
    <w:rsid w:val="00805860"/>
    <w:rsid w:val="0081403C"/>
    <w:rsid w:val="00814B79"/>
    <w:rsid w:val="00832D2E"/>
    <w:rsid w:val="008448AB"/>
    <w:rsid w:val="008641DB"/>
    <w:rsid w:val="0087167F"/>
    <w:rsid w:val="00876C77"/>
    <w:rsid w:val="00886237"/>
    <w:rsid w:val="00894525"/>
    <w:rsid w:val="008B69FB"/>
    <w:rsid w:val="008B7454"/>
    <w:rsid w:val="008C497D"/>
    <w:rsid w:val="008D1C8D"/>
    <w:rsid w:val="008D31A4"/>
    <w:rsid w:val="008E6667"/>
    <w:rsid w:val="008E6A64"/>
    <w:rsid w:val="00906477"/>
    <w:rsid w:val="00913ABE"/>
    <w:rsid w:val="00923F7B"/>
    <w:rsid w:val="0092449D"/>
    <w:rsid w:val="00930024"/>
    <w:rsid w:val="009364DE"/>
    <w:rsid w:val="0094182D"/>
    <w:rsid w:val="009444C8"/>
    <w:rsid w:val="00955FC8"/>
    <w:rsid w:val="009646F6"/>
    <w:rsid w:val="00967DB5"/>
    <w:rsid w:val="009708C8"/>
    <w:rsid w:val="009B2BE5"/>
    <w:rsid w:val="009B5F3F"/>
    <w:rsid w:val="009C54F2"/>
    <w:rsid w:val="009D3F08"/>
    <w:rsid w:val="009E2308"/>
    <w:rsid w:val="009F2155"/>
    <w:rsid w:val="009F5355"/>
    <w:rsid w:val="00A03BEA"/>
    <w:rsid w:val="00A11925"/>
    <w:rsid w:val="00A2145F"/>
    <w:rsid w:val="00A33F91"/>
    <w:rsid w:val="00A50DF9"/>
    <w:rsid w:val="00A5438B"/>
    <w:rsid w:val="00A552BD"/>
    <w:rsid w:val="00A6198F"/>
    <w:rsid w:val="00A65C3D"/>
    <w:rsid w:val="00A83B2C"/>
    <w:rsid w:val="00A8702D"/>
    <w:rsid w:val="00A9490A"/>
    <w:rsid w:val="00AD223A"/>
    <w:rsid w:val="00AD2629"/>
    <w:rsid w:val="00AD4540"/>
    <w:rsid w:val="00AF3F81"/>
    <w:rsid w:val="00AF7CED"/>
    <w:rsid w:val="00B03DFE"/>
    <w:rsid w:val="00B0493C"/>
    <w:rsid w:val="00B1688B"/>
    <w:rsid w:val="00B21162"/>
    <w:rsid w:val="00B22CAC"/>
    <w:rsid w:val="00B45792"/>
    <w:rsid w:val="00B70D04"/>
    <w:rsid w:val="00B96194"/>
    <w:rsid w:val="00BB1591"/>
    <w:rsid w:val="00BB249C"/>
    <w:rsid w:val="00BC0A3A"/>
    <w:rsid w:val="00BC1978"/>
    <w:rsid w:val="00BE033E"/>
    <w:rsid w:val="00BF3468"/>
    <w:rsid w:val="00BF4F2A"/>
    <w:rsid w:val="00BF7AC9"/>
    <w:rsid w:val="00C0775B"/>
    <w:rsid w:val="00C1110E"/>
    <w:rsid w:val="00C34A53"/>
    <w:rsid w:val="00C34DAD"/>
    <w:rsid w:val="00C35A98"/>
    <w:rsid w:val="00C45693"/>
    <w:rsid w:val="00C50259"/>
    <w:rsid w:val="00C51AAA"/>
    <w:rsid w:val="00C52725"/>
    <w:rsid w:val="00C61490"/>
    <w:rsid w:val="00C71EE0"/>
    <w:rsid w:val="00C73CF9"/>
    <w:rsid w:val="00C870EF"/>
    <w:rsid w:val="00C90760"/>
    <w:rsid w:val="00C93D37"/>
    <w:rsid w:val="00CA7552"/>
    <w:rsid w:val="00CB3C62"/>
    <w:rsid w:val="00D03EDD"/>
    <w:rsid w:val="00D055EB"/>
    <w:rsid w:val="00D22948"/>
    <w:rsid w:val="00D311D6"/>
    <w:rsid w:val="00D322A0"/>
    <w:rsid w:val="00D33C2D"/>
    <w:rsid w:val="00D3714A"/>
    <w:rsid w:val="00D44D81"/>
    <w:rsid w:val="00D46A4C"/>
    <w:rsid w:val="00D70875"/>
    <w:rsid w:val="00DA0C51"/>
    <w:rsid w:val="00DB4A77"/>
    <w:rsid w:val="00DB7E55"/>
    <w:rsid w:val="00DE1BE7"/>
    <w:rsid w:val="00DF1441"/>
    <w:rsid w:val="00DF33C6"/>
    <w:rsid w:val="00E010B1"/>
    <w:rsid w:val="00E1199B"/>
    <w:rsid w:val="00E22B96"/>
    <w:rsid w:val="00E26A32"/>
    <w:rsid w:val="00E56C37"/>
    <w:rsid w:val="00E60A9C"/>
    <w:rsid w:val="00E6289E"/>
    <w:rsid w:val="00E6319D"/>
    <w:rsid w:val="00E66163"/>
    <w:rsid w:val="00E85E26"/>
    <w:rsid w:val="00E8638A"/>
    <w:rsid w:val="00E90517"/>
    <w:rsid w:val="00E91D61"/>
    <w:rsid w:val="00E92238"/>
    <w:rsid w:val="00E92C5F"/>
    <w:rsid w:val="00E96EAE"/>
    <w:rsid w:val="00E96EE4"/>
    <w:rsid w:val="00EA40E8"/>
    <w:rsid w:val="00EB7EF9"/>
    <w:rsid w:val="00EC10F2"/>
    <w:rsid w:val="00EC7D60"/>
    <w:rsid w:val="00ED32D3"/>
    <w:rsid w:val="00EE073F"/>
    <w:rsid w:val="00EE2E46"/>
    <w:rsid w:val="00EE4548"/>
    <w:rsid w:val="00F11165"/>
    <w:rsid w:val="00F15EBF"/>
    <w:rsid w:val="00F24A5E"/>
    <w:rsid w:val="00F27403"/>
    <w:rsid w:val="00F35328"/>
    <w:rsid w:val="00F433B3"/>
    <w:rsid w:val="00F441A8"/>
    <w:rsid w:val="00F44973"/>
    <w:rsid w:val="00F52266"/>
    <w:rsid w:val="00F62B03"/>
    <w:rsid w:val="00F66B54"/>
    <w:rsid w:val="00F7034E"/>
    <w:rsid w:val="00F82FE4"/>
    <w:rsid w:val="00F86ECA"/>
    <w:rsid w:val="00FA3E80"/>
    <w:rsid w:val="00FA499E"/>
    <w:rsid w:val="00FB240B"/>
    <w:rsid w:val="00FB7D06"/>
    <w:rsid w:val="00FD011C"/>
    <w:rsid w:val="00FE2423"/>
    <w:rsid w:val="00FE2A84"/>
    <w:rsid w:val="00FF2217"/>
    <w:rsid w:val="00FF43EF"/>
    <w:rsid w:val="010F1DA1"/>
    <w:rsid w:val="011375A8"/>
    <w:rsid w:val="01145092"/>
    <w:rsid w:val="012A4E2C"/>
    <w:rsid w:val="01346CE8"/>
    <w:rsid w:val="01453A14"/>
    <w:rsid w:val="01685D6E"/>
    <w:rsid w:val="01735121"/>
    <w:rsid w:val="01A050EF"/>
    <w:rsid w:val="01A324E9"/>
    <w:rsid w:val="01C0309B"/>
    <w:rsid w:val="01CA3260"/>
    <w:rsid w:val="01D57D31"/>
    <w:rsid w:val="01DD1E9F"/>
    <w:rsid w:val="01E570D0"/>
    <w:rsid w:val="023B482B"/>
    <w:rsid w:val="023D293E"/>
    <w:rsid w:val="023D7B59"/>
    <w:rsid w:val="02415800"/>
    <w:rsid w:val="028110F0"/>
    <w:rsid w:val="02A429BD"/>
    <w:rsid w:val="02B06584"/>
    <w:rsid w:val="02B14890"/>
    <w:rsid w:val="02B16FED"/>
    <w:rsid w:val="02C33F28"/>
    <w:rsid w:val="02C71291"/>
    <w:rsid w:val="02CE6C90"/>
    <w:rsid w:val="02D50DC8"/>
    <w:rsid w:val="02F73C38"/>
    <w:rsid w:val="02F73D97"/>
    <w:rsid w:val="02F76F90"/>
    <w:rsid w:val="031E7993"/>
    <w:rsid w:val="033679DA"/>
    <w:rsid w:val="03407271"/>
    <w:rsid w:val="0341020B"/>
    <w:rsid w:val="035F693C"/>
    <w:rsid w:val="03600692"/>
    <w:rsid w:val="037B196F"/>
    <w:rsid w:val="038720C2"/>
    <w:rsid w:val="03CA0201"/>
    <w:rsid w:val="03CB4643"/>
    <w:rsid w:val="03CF75C5"/>
    <w:rsid w:val="03D80B70"/>
    <w:rsid w:val="03E33071"/>
    <w:rsid w:val="03FC6CC1"/>
    <w:rsid w:val="040A2CF3"/>
    <w:rsid w:val="04227477"/>
    <w:rsid w:val="0448667A"/>
    <w:rsid w:val="044C1627"/>
    <w:rsid w:val="046445B1"/>
    <w:rsid w:val="04682F74"/>
    <w:rsid w:val="048A285D"/>
    <w:rsid w:val="049750CD"/>
    <w:rsid w:val="04A44EF6"/>
    <w:rsid w:val="04B0389B"/>
    <w:rsid w:val="04C74740"/>
    <w:rsid w:val="04C9670A"/>
    <w:rsid w:val="04CF4A83"/>
    <w:rsid w:val="04D067FA"/>
    <w:rsid w:val="04D330E5"/>
    <w:rsid w:val="04D73A71"/>
    <w:rsid w:val="04D812BA"/>
    <w:rsid w:val="04DE21B6"/>
    <w:rsid w:val="04FC618F"/>
    <w:rsid w:val="050F2D6D"/>
    <w:rsid w:val="05453FE3"/>
    <w:rsid w:val="05502988"/>
    <w:rsid w:val="05663145"/>
    <w:rsid w:val="056C1B70"/>
    <w:rsid w:val="057C7081"/>
    <w:rsid w:val="05880374"/>
    <w:rsid w:val="05946D18"/>
    <w:rsid w:val="05A831F6"/>
    <w:rsid w:val="05B20F4D"/>
    <w:rsid w:val="05BF39EE"/>
    <w:rsid w:val="05D73953"/>
    <w:rsid w:val="05E0254E"/>
    <w:rsid w:val="05E530D0"/>
    <w:rsid w:val="06064316"/>
    <w:rsid w:val="0607325A"/>
    <w:rsid w:val="061614DB"/>
    <w:rsid w:val="062830F1"/>
    <w:rsid w:val="06603CE4"/>
    <w:rsid w:val="06622973"/>
    <w:rsid w:val="0667442D"/>
    <w:rsid w:val="067D0F8A"/>
    <w:rsid w:val="06A905A2"/>
    <w:rsid w:val="06BD5FB2"/>
    <w:rsid w:val="06C76160"/>
    <w:rsid w:val="06CD24E2"/>
    <w:rsid w:val="06D870D9"/>
    <w:rsid w:val="06EC66E0"/>
    <w:rsid w:val="06ED6624"/>
    <w:rsid w:val="06F40028"/>
    <w:rsid w:val="06F55595"/>
    <w:rsid w:val="06FA2DA2"/>
    <w:rsid w:val="070D06B6"/>
    <w:rsid w:val="07151AAC"/>
    <w:rsid w:val="07195727"/>
    <w:rsid w:val="071D689A"/>
    <w:rsid w:val="071F2612"/>
    <w:rsid w:val="0728596A"/>
    <w:rsid w:val="07332DC6"/>
    <w:rsid w:val="076904CD"/>
    <w:rsid w:val="079923C4"/>
    <w:rsid w:val="07A86B99"/>
    <w:rsid w:val="07CA25FA"/>
    <w:rsid w:val="07DC7B44"/>
    <w:rsid w:val="07E85655"/>
    <w:rsid w:val="07F25F78"/>
    <w:rsid w:val="080611A3"/>
    <w:rsid w:val="080907AC"/>
    <w:rsid w:val="080B0092"/>
    <w:rsid w:val="081952B3"/>
    <w:rsid w:val="081E6051"/>
    <w:rsid w:val="082500FC"/>
    <w:rsid w:val="082C148A"/>
    <w:rsid w:val="08316AA1"/>
    <w:rsid w:val="08460C1D"/>
    <w:rsid w:val="08470072"/>
    <w:rsid w:val="084A1910"/>
    <w:rsid w:val="08513E96"/>
    <w:rsid w:val="0860699A"/>
    <w:rsid w:val="087714E4"/>
    <w:rsid w:val="087E3BC1"/>
    <w:rsid w:val="0882554E"/>
    <w:rsid w:val="08831612"/>
    <w:rsid w:val="088C1F29"/>
    <w:rsid w:val="08AF6F9A"/>
    <w:rsid w:val="08B616F7"/>
    <w:rsid w:val="08B97B9F"/>
    <w:rsid w:val="08C16076"/>
    <w:rsid w:val="08CF29CA"/>
    <w:rsid w:val="08DF54EB"/>
    <w:rsid w:val="08E138B2"/>
    <w:rsid w:val="08E40179"/>
    <w:rsid w:val="08F6426D"/>
    <w:rsid w:val="090B5543"/>
    <w:rsid w:val="0922735A"/>
    <w:rsid w:val="092A2DE9"/>
    <w:rsid w:val="092B50CE"/>
    <w:rsid w:val="093075DB"/>
    <w:rsid w:val="093232BE"/>
    <w:rsid w:val="094B3B92"/>
    <w:rsid w:val="094C3466"/>
    <w:rsid w:val="09622C8A"/>
    <w:rsid w:val="09624F26"/>
    <w:rsid w:val="0969226A"/>
    <w:rsid w:val="09723EBB"/>
    <w:rsid w:val="097F5FCE"/>
    <w:rsid w:val="098705F9"/>
    <w:rsid w:val="098A25EA"/>
    <w:rsid w:val="098C3CAA"/>
    <w:rsid w:val="09931095"/>
    <w:rsid w:val="099866AB"/>
    <w:rsid w:val="09A11A04"/>
    <w:rsid w:val="09C41CFE"/>
    <w:rsid w:val="09C86F91"/>
    <w:rsid w:val="09D21BBD"/>
    <w:rsid w:val="09D45935"/>
    <w:rsid w:val="09D678FF"/>
    <w:rsid w:val="09E72641"/>
    <w:rsid w:val="09F63AFE"/>
    <w:rsid w:val="09F67E30"/>
    <w:rsid w:val="09FB1114"/>
    <w:rsid w:val="0A0D4EA4"/>
    <w:rsid w:val="0A171CC6"/>
    <w:rsid w:val="0A1C108A"/>
    <w:rsid w:val="0A4B7FBF"/>
    <w:rsid w:val="0A4E53BA"/>
    <w:rsid w:val="0A6270BF"/>
    <w:rsid w:val="0AA3355A"/>
    <w:rsid w:val="0AA51080"/>
    <w:rsid w:val="0AAC0FAB"/>
    <w:rsid w:val="0ABA3FEC"/>
    <w:rsid w:val="0AC27E84"/>
    <w:rsid w:val="0AC41E4E"/>
    <w:rsid w:val="0AC77248"/>
    <w:rsid w:val="0ACB164F"/>
    <w:rsid w:val="0ACF221D"/>
    <w:rsid w:val="0AF35F57"/>
    <w:rsid w:val="0AF80698"/>
    <w:rsid w:val="0AF85654"/>
    <w:rsid w:val="0B293A5F"/>
    <w:rsid w:val="0B2D0853"/>
    <w:rsid w:val="0B4E7969"/>
    <w:rsid w:val="0B5666E9"/>
    <w:rsid w:val="0B604D13"/>
    <w:rsid w:val="0B732B93"/>
    <w:rsid w:val="0B753148"/>
    <w:rsid w:val="0B757401"/>
    <w:rsid w:val="0B7D1118"/>
    <w:rsid w:val="0B904BEB"/>
    <w:rsid w:val="0B941820"/>
    <w:rsid w:val="0B962613"/>
    <w:rsid w:val="0BB4166E"/>
    <w:rsid w:val="0BC47C2C"/>
    <w:rsid w:val="0BEF2EFA"/>
    <w:rsid w:val="0C164CDC"/>
    <w:rsid w:val="0C320371"/>
    <w:rsid w:val="0C567D4C"/>
    <w:rsid w:val="0C5B233E"/>
    <w:rsid w:val="0C6F381A"/>
    <w:rsid w:val="0C873133"/>
    <w:rsid w:val="0C8E1074"/>
    <w:rsid w:val="0C8E2713"/>
    <w:rsid w:val="0CB12AFA"/>
    <w:rsid w:val="0CD143AE"/>
    <w:rsid w:val="0CD353D7"/>
    <w:rsid w:val="0CE33D13"/>
    <w:rsid w:val="0CE95576"/>
    <w:rsid w:val="0CEC2E27"/>
    <w:rsid w:val="0CFD659C"/>
    <w:rsid w:val="0D0C0CD0"/>
    <w:rsid w:val="0D133FD7"/>
    <w:rsid w:val="0D1349C7"/>
    <w:rsid w:val="0D26294C"/>
    <w:rsid w:val="0D3559D9"/>
    <w:rsid w:val="0D374E91"/>
    <w:rsid w:val="0D466B4A"/>
    <w:rsid w:val="0D5667D6"/>
    <w:rsid w:val="0D5D70E8"/>
    <w:rsid w:val="0D6D5D30"/>
    <w:rsid w:val="0D734154"/>
    <w:rsid w:val="0D7A4A46"/>
    <w:rsid w:val="0D8C24A6"/>
    <w:rsid w:val="0DA20B06"/>
    <w:rsid w:val="0DA92A95"/>
    <w:rsid w:val="0DC61097"/>
    <w:rsid w:val="0DC9777B"/>
    <w:rsid w:val="0DD34156"/>
    <w:rsid w:val="0DDA3736"/>
    <w:rsid w:val="0DE17D54"/>
    <w:rsid w:val="0DE23708"/>
    <w:rsid w:val="0DE4410F"/>
    <w:rsid w:val="0E15476E"/>
    <w:rsid w:val="0E20551A"/>
    <w:rsid w:val="0E286688"/>
    <w:rsid w:val="0E294810"/>
    <w:rsid w:val="0E3C619F"/>
    <w:rsid w:val="0E664AB8"/>
    <w:rsid w:val="0E7636EE"/>
    <w:rsid w:val="0E876BD9"/>
    <w:rsid w:val="0E8B5269"/>
    <w:rsid w:val="0EA004DC"/>
    <w:rsid w:val="0EB977F0"/>
    <w:rsid w:val="0EBE73EF"/>
    <w:rsid w:val="0EC9610D"/>
    <w:rsid w:val="0ECD5125"/>
    <w:rsid w:val="0ED939EE"/>
    <w:rsid w:val="0EDE394F"/>
    <w:rsid w:val="0EE13405"/>
    <w:rsid w:val="0EEE0CCB"/>
    <w:rsid w:val="0EF9792C"/>
    <w:rsid w:val="0F192B9A"/>
    <w:rsid w:val="0F435D4B"/>
    <w:rsid w:val="0F5117D6"/>
    <w:rsid w:val="0F625078"/>
    <w:rsid w:val="0F7D7474"/>
    <w:rsid w:val="0F804BD0"/>
    <w:rsid w:val="0F87571C"/>
    <w:rsid w:val="0F8C0A60"/>
    <w:rsid w:val="0F8E47D8"/>
    <w:rsid w:val="0F913E44"/>
    <w:rsid w:val="0FB3237E"/>
    <w:rsid w:val="0FE64614"/>
    <w:rsid w:val="100F3B6B"/>
    <w:rsid w:val="10150A56"/>
    <w:rsid w:val="102869DB"/>
    <w:rsid w:val="10306B91"/>
    <w:rsid w:val="103F6233"/>
    <w:rsid w:val="104355C3"/>
    <w:rsid w:val="10455B4B"/>
    <w:rsid w:val="105477D0"/>
    <w:rsid w:val="105D642F"/>
    <w:rsid w:val="10671040"/>
    <w:rsid w:val="10726B00"/>
    <w:rsid w:val="1079634A"/>
    <w:rsid w:val="10817E99"/>
    <w:rsid w:val="108F6A5A"/>
    <w:rsid w:val="1090632E"/>
    <w:rsid w:val="10A87B1C"/>
    <w:rsid w:val="10B9011A"/>
    <w:rsid w:val="10BC5375"/>
    <w:rsid w:val="10BC6BDA"/>
    <w:rsid w:val="10C472A1"/>
    <w:rsid w:val="10CF50A9"/>
    <w:rsid w:val="10D64689"/>
    <w:rsid w:val="10DA12B9"/>
    <w:rsid w:val="10E16B8A"/>
    <w:rsid w:val="10E548CC"/>
    <w:rsid w:val="111F3561"/>
    <w:rsid w:val="112B0016"/>
    <w:rsid w:val="112E0CF6"/>
    <w:rsid w:val="112F5B47"/>
    <w:rsid w:val="11457119"/>
    <w:rsid w:val="114A6288"/>
    <w:rsid w:val="114C3211"/>
    <w:rsid w:val="11673533"/>
    <w:rsid w:val="11674179"/>
    <w:rsid w:val="117E1672"/>
    <w:rsid w:val="11812847"/>
    <w:rsid w:val="118E6D12"/>
    <w:rsid w:val="11902A8A"/>
    <w:rsid w:val="119500A0"/>
    <w:rsid w:val="119D6F55"/>
    <w:rsid w:val="119F4A7B"/>
    <w:rsid w:val="11A976A8"/>
    <w:rsid w:val="11AC36EA"/>
    <w:rsid w:val="11BA406F"/>
    <w:rsid w:val="11D635E8"/>
    <w:rsid w:val="11E04CE1"/>
    <w:rsid w:val="11E44B84"/>
    <w:rsid w:val="12086AC4"/>
    <w:rsid w:val="1209283C"/>
    <w:rsid w:val="120A1551"/>
    <w:rsid w:val="120D4E7F"/>
    <w:rsid w:val="120E79C7"/>
    <w:rsid w:val="120F4281"/>
    <w:rsid w:val="1222583F"/>
    <w:rsid w:val="122322A5"/>
    <w:rsid w:val="123406EC"/>
    <w:rsid w:val="12371A27"/>
    <w:rsid w:val="12374051"/>
    <w:rsid w:val="123C01CE"/>
    <w:rsid w:val="123C038E"/>
    <w:rsid w:val="124201A4"/>
    <w:rsid w:val="12435D4E"/>
    <w:rsid w:val="124B075F"/>
    <w:rsid w:val="124D590F"/>
    <w:rsid w:val="12655CC4"/>
    <w:rsid w:val="126C329A"/>
    <w:rsid w:val="126E5DE0"/>
    <w:rsid w:val="126F1C75"/>
    <w:rsid w:val="127479BC"/>
    <w:rsid w:val="12D90460"/>
    <w:rsid w:val="12DF78D1"/>
    <w:rsid w:val="12ED58CF"/>
    <w:rsid w:val="12F25439"/>
    <w:rsid w:val="12F64B6E"/>
    <w:rsid w:val="13034F86"/>
    <w:rsid w:val="13070B2A"/>
    <w:rsid w:val="13117BFA"/>
    <w:rsid w:val="1318762C"/>
    <w:rsid w:val="13225964"/>
    <w:rsid w:val="13267A57"/>
    <w:rsid w:val="13347445"/>
    <w:rsid w:val="133B4FCE"/>
    <w:rsid w:val="134C456B"/>
    <w:rsid w:val="1362625C"/>
    <w:rsid w:val="13645CEC"/>
    <w:rsid w:val="13773EE4"/>
    <w:rsid w:val="137D703E"/>
    <w:rsid w:val="137E75D7"/>
    <w:rsid w:val="13821BD9"/>
    <w:rsid w:val="13855EF2"/>
    <w:rsid w:val="138A5FE6"/>
    <w:rsid w:val="138C54D3"/>
    <w:rsid w:val="13AF4D1D"/>
    <w:rsid w:val="13BC2F65"/>
    <w:rsid w:val="13CE3758"/>
    <w:rsid w:val="13D33304"/>
    <w:rsid w:val="13F87D8A"/>
    <w:rsid w:val="14115D9E"/>
    <w:rsid w:val="14135B1F"/>
    <w:rsid w:val="14181E45"/>
    <w:rsid w:val="14327E28"/>
    <w:rsid w:val="14353DBB"/>
    <w:rsid w:val="143D55B7"/>
    <w:rsid w:val="143F0797"/>
    <w:rsid w:val="14527127"/>
    <w:rsid w:val="14592015"/>
    <w:rsid w:val="145A3A5C"/>
    <w:rsid w:val="145E6E6F"/>
    <w:rsid w:val="14733BE4"/>
    <w:rsid w:val="147C0703"/>
    <w:rsid w:val="147E4E1C"/>
    <w:rsid w:val="14902DA1"/>
    <w:rsid w:val="149A0599"/>
    <w:rsid w:val="149A59CD"/>
    <w:rsid w:val="14BE346A"/>
    <w:rsid w:val="14C26DEA"/>
    <w:rsid w:val="14C45C5A"/>
    <w:rsid w:val="14DC5FE6"/>
    <w:rsid w:val="14E36B24"/>
    <w:rsid w:val="14FE41AE"/>
    <w:rsid w:val="15115C90"/>
    <w:rsid w:val="151267AE"/>
    <w:rsid w:val="15225379"/>
    <w:rsid w:val="152754B3"/>
    <w:rsid w:val="15400323"/>
    <w:rsid w:val="156F0C08"/>
    <w:rsid w:val="15761F97"/>
    <w:rsid w:val="15790AB5"/>
    <w:rsid w:val="158D5EE5"/>
    <w:rsid w:val="15A01D96"/>
    <w:rsid w:val="15A22D8C"/>
    <w:rsid w:val="15A41986"/>
    <w:rsid w:val="15A5287C"/>
    <w:rsid w:val="15A66011"/>
    <w:rsid w:val="15AE6922"/>
    <w:rsid w:val="15F54CEA"/>
    <w:rsid w:val="15F555B1"/>
    <w:rsid w:val="16003686"/>
    <w:rsid w:val="16037877"/>
    <w:rsid w:val="16070E41"/>
    <w:rsid w:val="160A26DF"/>
    <w:rsid w:val="16332694"/>
    <w:rsid w:val="16572E99"/>
    <w:rsid w:val="16642BB5"/>
    <w:rsid w:val="166522C3"/>
    <w:rsid w:val="166C5E2D"/>
    <w:rsid w:val="16746F2A"/>
    <w:rsid w:val="16866209"/>
    <w:rsid w:val="16895CFA"/>
    <w:rsid w:val="168B1A72"/>
    <w:rsid w:val="16970417"/>
    <w:rsid w:val="169A7F07"/>
    <w:rsid w:val="16A73322"/>
    <w:rsid w:val="16AE4AC5"/>
    <w:rsid w:val="16B16D74"/>
    <w:rsid w:val="16CA540E"/>
    <w:rsid w:val="16D74CB7"/>
    <w:rsid w:val="17035AAC"/>
    <w:rsid w:val="171C2332"/>
    <w:rsid w:val="1725740C"/>
    <w:rsid w:val="17410382"/>
    <w:rsid w:val="175533DF"/>
    <w:rsid w:val="17614581"/>
    <w:rsid w:val="177E3384"/>
    <w:rsid w:val="178622EA"/>
    <w:rsid w:val="17875EB2"/>
    <w:rsid w:val="179D1A5D"/>
    <w:rsid w:val="17BA57E3"/>
    <w:rsid w:val="17F13B56"/>
    <w:rsid w:val="17F44BB0"/>
    <w:rsid w:val="17F66A2E"/>
    <w:rsid w:val="1811244B"/>
    <w:rsid w:val="18210087"/>
    <w:rsid w:val="182B350C"/>
    <w:rsid w:val="18316649"/>
    <w:rsid w:val="18317F4D"/>
    <w:rsid w:val="183E5A8F"/>
    <w:rsid w:val="1853036D"/>
    <w:rsid w:val="185760AF"/>
    <w:rsid w:val="185A5BA0"/>
    <w:rsid w:val="185A794E"/>
    <w:rsid w:val="185F6D12"/>
    <w:rsid w:val="18646F61"/>
    <w:rsid w:val="186B1EF2"/>
    <w:rsid w:val="18702CCD"/>
    <w:rsid w:val="187F287C"/>
    <w:rsid w:val="18932E60"/>
    <w:rsid w:val="18A43147"/>
    <w:rsid w:val="18AE7C99"/>
    <w:rsid w:val="18CD23AE"/>
    <w:rsid w:val="18DF42F7"/>
    <w:rsid w:val="18E4227A"/>
    <w:rsid w:val="19017DC9"/>
    <w:rsid w:val="191F40BA"/>
    <w:rsid w:val="1927569A"/>
    <w:rsid w:val="192E7E81"/>
    <w:rsid w:val="19304774"/>
    <w:rsid w:val="19355CC5"/>
    <w:rsid w:val="19423752"/>
    <w:rsid w:val="19706EA3"/>
    <w:rsid w:val="19721FC0"/>
    <w:rsid w:val="19834C82"/>
    <w:rsid w:val="198973F4"/>
    <w:rsid w:val="199B6470"/>
    <w:rsid w:val="19BB2256"/>
    <w:rsid w:val="19C661B6"/>
    <w:rsid w:val="19E349A4"/>
    <w:rsid w:val="19EA6AAF"/>
    <w:rsid w:val="19FA13E8"/>
    <w:rsid w:val="1A0538E9"/>
    <w:rsid w:val="1A0A5B18"/>
    <w:rsid w:val="1A13147F"/>
    <w:rsid w:val="1A250137"/>
    <w:rsid w:val="1A3A618A"/>
    <w:rsid w:val="1A3B37AF"/>
    <w:rsid w:val="1A4131B9"/>
    <w:rsid w:val="1A642D06"/>
    <w:rsid w:val="1A6C5716"/>
    <w:rsid w:val="1A7074DB"/>
    <w:rsid w:val="1A836F80"/>
    <w:rsid w:val="1AA94BBC"/>
    <w:rsid w:val="1AB07CF9"/>
    <w:rsid w:val="1AB238AA"/>
    <w:rsid w:val="1AC67940"/>
    <w:rsid w:val="1ACB068F"/>
    <w:rsid w:val="1AD453BB"/>
    <w:rsid w:val="1AD54A46"/>
    <w:rsid w:val="1AD75285"/>
    <w:rsid w:val="1B0167A6"/>
    <w:rsid w:val="1B146AEA"/>
    <w:rsid w:val="1B1530AE"/>
    <w:rsid w:val="1B1C0EEA"/>
    <w:rsid w:val="1B1C6D90"/>
    <w:rsid w:val="1B1E5236"/>
    <w:rsid w:val="1B34092A"/>
    <w:rsid w:val="1B486183"/>
    <w:rsid w:val="1B525B9B"/>
    <w:rsid w:val="1B5863E1"/>
    <w:rsid w:val="1B5E737A"/>
    <w:rsid w:val="1B652214"/>
    <w:rsid w:val="1B8C7AD8"/>
    <w:rsid w:val="1B9A3817"/>
    <w:rsid w:val="1BA34ABF"/>
    <w:rsid w:val="1BAD248A"/>
    <w:rsid w:val="1BB13D28"/>
    <w:rsid w:val="1BCA50B1"/>
    <w:rsid w:val="1BCC0B62"/>
    <w:rsid w:val="1BD21EF1"/>
    <w:rsid w:val="1BD97FBF"/>
    <w:rsid w:val="1BF9122C"/>
    <w:rsid w:val="1C024584"/>
    <w:rsid w:val="1C275D99"/>
    <w:rsid w:val="1C3404B6"/>
    <w:rsid w:val="1C406E5A"/>
    <w:rsid w:val="1C42376E"/>
    <w:rsid w:val="1C512E16"/>
    <w:rsid w:val="1C515110"/>
    <w:rsid w:val="1C7F7983"/>
    <w:rsid w:val="1C810138"/>
    <w:rsid w:val="1C930469"/>
    <w:rsid w:val="1C9D24FF"/>
    <w:rsid w:val="1C9D29E9"/>
    <w:rsid w:val="1CA8392D"/>
    <w:rsid w:val="1CAB69CA"/>
    <w:rsid w:val="1CB00042"/>
    <w:rsid w:val="1CBF4E5C"/>
    <w:rsid w:val="1CC21858"/>
    <w:rsid w:val="1CCB1C34"/>
    <w:rsid w:val="1CCC559E"/>
    <w:rsid w:val="1CCC6940"/>
    <w:rsid w:val="1CDC5F81"/>
    <w:rsid w:val="1CEE68B6"/>
    <w:rsid w:val="1D0B56BA"/>
    <w:rsid w:val="1D434E54"/>
    <w:rsid w:val="1D494C7C"/>
    <w:rsid w:val="1D57445C"/>
    <w:rsid w:val="1D894350"/>
    <w:rsid w:val="1DA022A7"/>
    <w:rsid w:val="1DB324AC"/>
    <w:rsid w:val="1DCF0F79"/>
    <w:rsid w:val="1DDB2344"/>
    <w:rsid w:val="1DE549CE"/>
    <w:rsid w:val="1DF76A55"/>
    <w:rsid w:val="1E0A2AF8"/>
    <w:rsid w:val="1E122A78"/>
    <w:rsid w:val="1E1759CE"/>
    <w:rsid w:val="1E2527AC"/>
    <w:rsid w:val="1E2B6BE7"/>
    <w:rsid w:val="1E2F5B38"/>
    <w:rsid w:val="1E3206EF"/>
    <w:rsid w:val="1E350BDD"/>
    <w:rsid w:val="1E360515"/>
    <w:rsid w:val="1E3E6C4D"/>
    <w:rsid w:val="1E4075E6"/>
    <w:rsid w:val="1E463DB1"/>
    <w:rsid w:val="1E5B5B86"/>
    <w:rsid w:val="1E640753"/>
    <w:rsid w:val="1E662E8D"/>
    <w:rsid w:val="1E6E4153"/>
    <w:rsid w:val="1E7352C5"/>
    <w:rsid w:val="1E756685"/>
    <w:rsid w:val="1E764DB5"/>
    <w:rsid w:val="1E8B4907"/>
    <w:rsid w:val="1E94348E"/>
    <w:rsid w:val="1E967206"/>
    <w:rsid w:val="1E9E62C9"/>
    <w:rsid w:val="1EA2572A"/>
    <w:rsid w:val="1EB55F58"/>
    <w:rsid w:val="1EBB6C6C"/>
    <w:rsid w:val="1EC816BC"/>
    <w:rsid w:val="1ED038BC"/>
    <w:rsid w:val="1EDA7E42"/>
    <w:rsid w:val="1EEB57A3"/>
    <w:rsid w:val="1EEE2B9E"/>
    <w:rsid w:val="1EF02DBA"/>
    <w:rsid w:val="1EF8349F"/>
    <w:rsid w:val="1F066D9E"/>
    <w:rsid w:val="1F197693"/>
    <w:rsid w:val="1F1C69A0"/>
    <w:rsid w:val="1F420031"/>
    <w:rsid w:val="1F4607A0"/>
    <w:rsid w:val="1F4E7A32"/>
    <w:rsid w:val="1F52137F"/>
    <w:rsid w:val="1F7A6B27"/>
    <w:rsid w:val="1F7C0829"/>
    <w:rsid w:val="1F817D02"/>
    <w:rsid w:val="1F8A42C3"/>
    <w:rsid w:val="1F8B2AE2"/>
    <w:rsid w:val="1FA0658E"/>
    <w:rsid w:val="1FAA6542"/>
    <w:rsid w:val="1FB04551"/>
    <w:rsid w:val="1FB049FB"/>
    <w:rsid w:val="1FC87893"/>
    <w:rsid w:val="1FD04999"/>
    <w:rsid w:val="1FD10619"/>
    <w:rsid w:val="1FD57812"/>
    <w:rsid w:val="1FE16BA6"/>
    <w:rsid w:val="1FEF3071"/>
    <w:rsid w:val="1FF70178"/>
    <w:rsid w:val="1FFA32AF"/>
    <w:rsid w:val="2000527E"/>
    <w:rsid w:val="20036B1D"/>
    <w:rsid w:val="200B6C9D"/>
    <w:rsid w:val="200D799B"/>
    <w:rsid w:val="202076CF"/>
    <w:rsid w:val="202B6874"/>
    <w:rsid w:val="2031368A"/>
    <w:rsid w:val="20326142"/>
    <w:rsid w:val="204A03FB"/>
    <w:rsid w:val="20653333"/>
    <w:rsid w:val="206F32FB"/>
    <w:rsid w:val="206F7D0E"/>
    <w:rsid w:val="207E43F5"/>
    <w:rsid w:val="20855784"/>
    <w:rsid w:val="20993D41"/>
    <w:rsid w:val="20CB6E6D"/>
    <w:rsid w:val="20E97AC1"/>
    <w:rsid w:val="20F45929"/>
    <w:rsid w:val="20F71528"/>
    <w:rsid w:val="2100305C"/>
    <w:rsid w:val="210B63F6"/>
    <w:rsid w:val="210E6A6D"/>
    <w:rsid w:val="211969F4"/>
    <w:rsid w:val="21244F9D"/>
    <w:rsid w:val="21502CCB"/>
    <w:rsid w:val="215A09BE"/>
    <w:rsid w:val="21871088"/>
    <w:rsid w:val="219C2D85"/>
    <w:rsid w:val="21A57F18"/>
    <w:rsid w:val="21AD0AEE"/>
    <w:rsid w:val="21BD3BAD"/>
    <w:rsid w:val="21D97B35"/>
    <w:rsid w:val="21EE401A"/>
    <w:rsid w:val="21FB1849"/>
    <w:rsid w:val="21FF25EC"/>
    <w:rsid w:val="222A0391"/>
    <w:rsid w:val="2237485C"/>
    <w:rsid w:val="22387D8C"/>
    <w:rsid w:val="22552F34"/>
    <w:rsid w:val="226F274B"/>
    <w:rsid w:val="22795BCA"/>
    <w:rsid w:val="228A5103"/>
    <w:rsid w:val="229A7524"/>
    <w:rsid w:val="229B128E"/>
    <w:rsid w:val="22A719E1"/>
    <w:rsid w:val="22AC00F2"/>
    <w:rsid w:val="22AE7EED"/>
    <w:rsid w:val="22B3608E"/>
    <w:rsid w:val="22C77C97"/>
    <w:rsid w:val="22CC1448"/>
    <w:rsid w:val="22CD7F91"/>
    <w:rsid w:val="22D67261"/>
    <w:rsid w:val="22DF73CD"/>
    <w:rsid w:val="22E04EF3"/>
    <w:rsid w:val="22F17100"/>
    <w:rsid w:val="230358E2"/>
    <w:rsid w:val="230461A2"/>
    <w:rsid w:val="231741C6"/>
    <w:rsid w:val="231B23CF"/>
    <w:rsid w:val="231B5F2B"/>
    <w:rsid w:val="23233817"/>
    <w:rsid w:val="23452FA8"/>
    <w:rsid w:val="237D30AD"/>
    <w:rsid w:val="238241FC"/>
    <w:rsid w:val="23981C47"/>
    <w:rsid w:val="23A44173"/>
    <w:rsid w:val="23AC6C1F"/>
    <w:rsid w:val="23B52D75"/>
    <w:rsid w:val="23B90077"/>
    <w:rsid w:val="23C12F77"/>
    <w:rsid w:val="23FA701A"/>
    <w:rsid w:val="23FC36AF"/>
    <w:rsid w:val="23FE7D27"/>
    <w:rsid w:val="240A4090"/>
    <w:rsid w:val="240C0D64"/>
    <w:rsid w:val="241327A3"/>
    <w:rsid w:val="241646BB"/>
    <w:rsid w:val="241E5CD3"/>
    <w:rsid w:val="24242F4A"/>
    <w:rsid w:val="24294678"/>
    <w:rsid w:val="2432177F"/>
    <w:rsid w:val="243B4AD7"/>
    <w:rsid w:val="244514B2"/>
    <w:rsid w:val="24604396"/>
    <w:rsid w:val="24661428"/>
    <w:rsid w:val="24724271"/>
    <w:rsid w:val="24764A75"/>
    <w:rsid w:val="24773635"/>
    <w:rsid w:val="247C6E9E"/>
    <w:rsid w:val="248A3369"/>
    <w:rsid w:val="24902614"/>
    <w:rsid w:val="24AB38B6"/>
    <w:rsid w:val="24C77E26"/>
    <w:rsid w:val="24CB55FC"/>
    <w:rsid w:val="24D339DB"/>
    <w:rsid w:val="24D90334"/>
    <w:rsid w:val="24E00113"/>
    <w:rsid w:val="24E52C95"/>
    <w:rsid w:val="24E76A0D"/>
    <w:rsid w:val="24EB25B6"/>
    <w:rsid w:val="24F9645C"/>
    <w:rsid w:val="25050C41"/>
    <w:rsid w:val="25203CCD"/>
    <w:rsid w:val="252217F3"/>
    <w:rsid w:val="252437BD"/>
    <w:rsid w:val="25284260"/>
    <w:rsid w:val="252B29EA"/>
    <w:rsid w:val="25317169"/>
    <w:rsid w:val="25324DCD"/>
    <w:rsid w:val="253432D4"/>
    <w:rsid w:val="25586BA8"/>
    <w:rsid w:val="25630360"/>
    <w:rsid w:val="2567101A"/>
    <w:rsid w:val="256F255E"/>
    <w:rsid w:val="25757B75"/>
    <w:rsid w:val="258450BE"/>
    <w:rsid w:val="258B4FC9"/>
    <w:rsid w:val="259D0E7A"/>
    <w:rsid w:val="259F2E44"/>
    <w:rsid w:val="25B42254"/>
    <w:rsid w:val="25C64874"/>
    <w:rsid w:val="25C72C63"/>
    <w:rsid w:val="25CA567D"/>
    <w:rsid w:val="25E35C8F"/>
    <w:rsid w:val="25EF0DCD"/>
    <w:rsid w:val="25F9033A"/>
    <w:rsid w:val="26046F4F"/>
    <w:rsid w:val="26064965"/>
    <w:rsid w:val="2618416A"/>
    <w:rsid w:val="261C26E6"/>
    <w:rsid w:val="26333447"/>
    <w:rsid w:val="26487955"/>
    <w:rsid w:val="264D7FBC"/>
    <w:rsid w:val="265979B6"/>
    <w:rsid w:val="26624B28"/>
    <w:rsid w:val="26727FA6"/>
    <w:rsid w:val="269621FC"/>
    <w:rsid w:val="26A54E2B"/>
    <w:rsid w:val="26BE72FA"/>
    <w:rsid w:val="26EC030B"/>
    <w:rsid w:val="271633BF"/>
    <w:rsid w:val="27341EBC"/>
    <w:rsid w:val="27705F78"/>
    <w:rsid w:val="27750FCE"/>
    <w:rsid w:val="277E0BE8"/>
    <w:rsid w:val="279B763B"/>
    <w:rsid w:val="27A80731"/>
    <w:rsid w:val="27B62A30"/>
    <w:rsid w:val="27B84691"/>
    <w:rsid w:val="27B9750B"/>
    <w:rsid w:val="27C923FA"/>
    <w:rsid w:val="27CB3C1A"/>
    <w:rsid w:val="27CB4D62"/>
    <w:rsid w:val="27D34CB5"/>
    <w:rsid w:val="27E005F3"/>
    <w:rsid w:val="27E772C5"/>
    <w:rsid w:val="282074C9"/>
    <w:rsid w:val="28392F77"/>
    <w:rsid w:val="284A1E5B"/>
    <w:rsid w:val="284F460E"/>
    <w:rsid w:val="285F2D5E"/>
    <w:rsid w:val="28697739"/>
    <w:rsid w:val="28791061"/>
    <w:rsid w:val="289522DC"/>
    <w:rsid w:val="289A78F2"/>
    <w:rsid w:val="289C366A"/>
    <w:rsid w:val="28A552E4"/>
    <w:rsid w:val="28B12FDA"/>
    <w:rsid w:val="28B45AEC"/>
    <w:rsid w:val="28B61295"/>
    <w:rsid w:val="28C122CB"/>
    <w:rsid w:val="28D01566"/>
    <w:rsid w:val="28D63020"/>
    <w:rsid w:val="28E514B5"/>
    <w:rsid w:val="29086F52"/>
    <w:rsid w:val="2909791D"/>
    <w:rsid w:val="291507CC"/>
    <w:rsid w:val="2916166F"/>
    <w:rsid w:val="2919115F"/>
    <w:rsid w:val="29561473"/>
    <w:rsid w:val="2959155B"/>
    <w:rsid w:val="295B52D4"/>
    <w:rsid w:val="29721304"/>
    <w:rsid w:val="297D524A"/>
    <w:rsid w:val="298B244B"/>
    <w:rsid w:val="2996107E"/>
    <w:rsid w:val="29B175E9"/>
    <w:rsid w:val="29B46EB6"/>
    <w:rsid w:val="29BE4A45"/>
    <w:rsid w:val="29DD03DE"/>
    <w:rsid w:val="29EC6282"/>
    <w:rsid w:val="2A010565"/>
    <w:rsid w:val="2A073501"/>
    <w:rsid w:val="2A1C2CB5"/>
    <w:rsid w:val="2A261D85"/>
    <w:rsid w:val="2A2D645F"/>
    <w:rsid w:val="2A36340D"/>
    <w:rsid w:val="2A4346E5"/>
    <w:rsid w:val="2A4C2E6E"/>
    <w:rsid w:val="2A704DAF"/>
    <w:rsid w:val="2A766D92"/>
    <w:rsid w:val="2A846AAC"/>
    <w:rsid w:val="2A944F41"/>
    <w:rsid w:val="2AB46E76"/>
    <w:rsid w:val="2AB575E5"/>
    <w:rsid w:val="2AD175D7"/>
    <w:rsid w:val="2AE54775"/>
    <w:rsid w:val="2AF668BE"/>
    <w:rsid w:val="2B0004D4"/>
    <w:rsid w:val="2B003462"/>
    <w:rsid w:val="2B0924F1"/>
    <w:rsid w:val="2B161227"/>
    <w:rsid w:val="2B2B6F28"/>
    <w:rsid w:val="2B3620EB"/>
    <w:rsid w:val="2B3C1135"/>
    <w:rsid w:val="2B4E6E21"/>
    <w:rsid w:val="2B4F6F07"/>
    <w:rsid w:val="2B530D68"/>
    <w:rsid w:val="2B5D601A"/>
    <w:rsid w:val="2B764038"/>
    <w:rsid w:val="2B7B7EAF"/>
    <w:rsid w:val="2B807273"/>
    <w:rsid w:val="2B905FB1"/>
    <w:rsid w:val="2B9E18C9"/>
    <w:rsid w:val="2B9E7BC3"/>
    <w:rsid w:val="2BA17E5E"/>
    <w:rsid w:val="2BC2163A"/>
    <w:rsid w:val="2BC453B2"/>
    <w:rsid w:val="2BC55BCA"/>
    <w:rsid w:val="2BDD3B36"/>
    <w:rsid w:val="2BE31B49"/>
    <w:rsid w:val="2BE34EEE"/>
    <w:rsid w:val="2BE5703C"/>
    <w:rsid w:val="2C020CA4"/>
    <w:rsid w:val="2C245E51"/>
    <w:rsid w:val="2C263A7D"/>
    <w:rsid w:val="2C315C20"/>
    <w:rsid w:val="2C386E4B"/>
    <w:rsid w:val="2C4B0FEE"/>
    <w:rsid w:val="2C4C307F"/>
    <w:rsid w:val="2C5D5CCA"/>
    <w:rsid w:val="2C5E66B5"/>
    <w:rsid w:val="2C6721E1"/>
    <w:rsid w:val="2C8114F5"/>
    <w:rsid w:val="2C865612"/>
    <w:rsid w:val="2CAC6D43"/>
    <w:rsid w:val="2CB86659"/>
    <w:rsid w:val="2CBA0563"/>
    <w:rsid w:val="2CCF6074"/>
    <w:rsid w:val="2CD167D5"/>
    <w:rsid w:val="2CE74468"/>
    <w:rsid w:val="2CFB0E85"/>
    <w:rsid w:val="2D094822"/>
    <w:rsid w:val="2D1F486A"/>
    <w:rsid w:val="2D2B320F"/>
    <w:rsid w:val="2D2F2CFF"/>
    <w:rsid w:val="2D387B5B"/>
    <w:rsid w:val="2D4D5DF5"/>
    <w:rsid w:val="2D506E9D"/>
    <w:rsid w:val="2D6230D5"/>
    <w:rsid w:val="2D8B2472"/>
    <w:rsid w:val="2D8E413A"/>
    <w:rsid w:val="2DAE631A"/>
    <w:rsid w:val="2DB1526B"/>
    <w:rsid w:val="2DB9081B"/>
    <w:rsid w:val="2DBA1557"/>
    <w:rsid w:val="2DC518B5"/>
    <w:rsid w:val="2DF763A8"/>
    <w:rsid w:val="2DFB4A23"/>
    <w:rsid w:val="2E013BD7"/>
    <w:rsid w:val="2E092B61"/>
    <w:rsid w:val="2E0C521D"/>
    <w:rsid w:val="2E0C6445"/>
    <w:rsid w:val="2E150147"/>
    <w:rsid w:val="2E163DD6"/>
    <w:rsid w:val="2E190967"/>
    <w:rsid w:val="2E255EB0"/>
    <w:rsid w:val="2E262354"/>
    <w:rsid w:val="2E2A095F"/>
    <w:rsid w:val="2E3163F7"/>
    <w:rsid w:val="2E3D144C"/>
    <w:rsid w:val="2E4619D0"/>
    <w:rsid w:val="2E6D7F83"/>
    <w:rsid w:val="2E756E38"/>
    <w:rsid w:val="2EB11617"/>
    <w:rsid w:val="2EB536D8"/>
    <w:rsid w:val="2EC22498"/>
    <w:rsid w:val="2ECA229B"/>
    <w:rsid w:val="2ED20B55"/>
    <w:rsid w:val="2ED466F6"/>
    <w:rsid w:val="2ED7364E"/>
    <w:rsid w:val="2EDB7AB7"/>
    <w:rsid w:val="2EE23DA1"/>
    <w:rsid w:val="2EF53AD4"/>
    <w:rsid w:val="2EF7784D"/>
    <w:rsid w:val="2F1E09F3"/>
    <w:rsid w:val="2F2D326E"/>
    <w:rsid w:val="2F3740ED"/>
    <w:rsid w:val="2F3960B7"/>
    <w:rsid w:val="2F434389"/>
    <w:rsid w:val="2F482877"/>
    <w:rsid w:val="2F6F3C06"/>
    <w:rsid w:val="2F9108B6"/>
    <w:rsid w:val="2F9342A8"/>
    <w:rsid w:val="2F9C03F4"/>
    <w:rsid w:val="2FAC3D7D"/>
    <w:rsid w:val="2FAC4BFE"/>
    <w:rsid w:val="2FB42A5C"/>
    <w:rsid w:val="2FB614B6"/>
    <w:rsid w:val="2FB67708"/>
    <w:rsid w:val="2FD14541"/>
    <w:rsid w:val="2FE14059"/>
    <w:rsid w:val="2FE34275"/>
    <w:rsid w:val="2FEA4E68"/>
    <w:rsid w:val="2FF355C4"/>
    <w:rsid w:val="30111188"/>
    <w:rsid w:val="3011493E"/>
    <w:rsid w:val="301B756B"/>
    <w:rsid w:val="302137DC"/>
    <w:rsid w:val="30306BEC"/>
    <w:rsid w:val="30314EF3"/>
    <w:rsid w:val="303C5E1A"/>
    <w:rsid w:val="30401E43"/>
    <w:rsid w:val="3050190A"/>
    <w:rsid w:val="305A5A36"/>
    <w:rsid w:val="305F1609"/>
    <w:rsid w:val="306233EC"/>
    <w:rsid w:val="30637055"/>
    <w:rsid w:val="30656A38"/>
    <w:rsid w:val="30772756"/>
    <w:rsid w:val="30970232"/>
    <w:rsid w:val="309E34D9"/>
    <w:rsid w:val="309F019C"/>
    <w:rsid w:val="30A06F5B"/>
    <w:rsid w:val="30A517F7"/>
    <w:rsid w:val="30A734F4"/>
    <w:rsid w:val="30AA3CF3"/>
    <w:rsid w:val="30D51E0F"/>
    <w:rsid w:val="30D934FA"/>
    <w:rsid w:val="30E028BC"/>
    <w:rsid w:val="30F76F00"/>
    <w:rsid w:val="30FA7AC8"/>
    <w:rsid w:val="3100481E"/>
    <w:rsid w:val="310307ED"/>
    <w:rsid w:val="310B6292"/>
    <w:rsid w:val="31181CFC"/>
    <w:rsid w:val="31234C31"/>
    <w:rsid w:val="31342080"/>
    <w:rsid w:val="313C1E8F"/>
    <w:rsid w:val="314B2260"/>
    <w:rsid w:val="31517C87"/>
    <w:rsid w:val="31543B01"/>
    <w:rsid w:val="315D201A"/>
    <w:rsid w:val="318473D5"/>
    <w:rsid w:val="319677F1"/>
    <w:rsid w:val="31A54EB0"/>
    <w:rsid w:val="31C8357A"/>
    <w:rsid w:val="31CD2AE7"/>
    <w:rsid w:val="31D203E4"/>
    <w:rsid w:val="31D32E7B"/>
    <w:rsid w:val="31D67BED"/>
    <w:rsid w:val="31E3055C"/>
    <w:rsid w:val="31EA513B"/>
    <w:rsid w:val="31F67038"/>
    <w:rsid w:val="321B7CF6"/>
    <w:rsid w:val="32247A26"/>
    <w:rsid w:val="322577D6"/>
    <w:rsid w:val="32295C5F"/>
    <w:rsid w:val="323E60BE"/>
    <w:rsid w:val="32553A33"/>
    <w:rsid w:val="32607DFF"/>
    <w:rsid w:val="32672F3B"/>
    <w:rsid w:val="32780CA4"/>
    <w:rsid w:val="32940AF2"/>
    <w:rsid w:val="32A816A9"/>
    <w:rsid w:val="32A90F5A"/>
    <w:rsid w:val="32C67919"/>
    <w:rsid w:val="32DD6CBB"/>
    <w:rsid w:val="330359F8"/>
    <w:rsid w:val="33051ACA"/>
    <w:rsid w:val="33092244"/>
    <w:rsid w:val="330C1DBF"/>
    <w:rsid w:val="33185FE3"/>
    <w:rsid w:val="335D355A"/>
    <w:rsid w:val="33613E2E"/>
    <w:rsid w:val="336456CD"/>
    <w:rsid w:val="33791178"/>
    <w:rsid w:val="337D297C"/>
    <w:rsid w:val="33872E2C"/>
    <w:rsid w:val="33953AD8"/>
    <w:rsid w:val="33AB6E58"/>
    <w:rsid w:val="33B83A73"/>
    <w:rsid w:val="33BE6B8B"/>
    <w:rsid w:val="33DE46BB"/>
    <w:rsid w:val="33E5480F"/>
    <w:rsid w:val="33EF143A"/>
    <w:rsid w:val="33F26DB8"/>
    <w:rsid w:val="33FC0937"/>
    <w:rsid w:val="33FC5905"/>
    <w:rsid w:val="3404280C"/>
    <w:rsid w:val="340E1F9D"/>
    <w:rsid w:val="341E2514"/>
    <w:rsid w:val="34220600"/>
    <w:rsid w:val="342A00DC"/>
    <w:rsid w:val="34452014"/>
    <w:rsid w:val="345E408F"/>
    <w:rsid w:val="346C65E7"/>
    <w:rsid w:val="34757B91"/>
    <w:rsid w:val="34763909"/>
    <w:rsid w:val="348A4CBF"/>
    <w:rsid w:val="34967B08"/>
    <w:rsid w:val="34AE30A3"/>
    <w:rsid w:val="34D4134F"/>
    <w:rsid w:val="34DC2E57"/>
    <w:rsid w:val="34E97A94"/>
    <w:rsid w:val="34FE7450"/>
    <w:rsid w:val="35024EE8"/>
    <w:rsid w:val="35081AF1"/>
    <w:rsid w:val="350B5E00"/>
    <w:rsid w:val="3511718E"/>
    <w:rsid w:val="352E1AEE"/>
    <w:rsid w:val="3546366F"/>
    <w:rsid w:val="35700359"/>
    <w:rsid w:val="3577485D"/>
    <w:rsid w:val="357862B2"/>
    <w:rsid w:val="357C7A47"/>
    <w:rsid w:val="358E07DF"/>
    <w:rsid w:val="35940434"/>
    <w:rsid w:val="35C4598D"/>
    <w:rsid w:val="35C5374C"/>
    <w:rsid w:val="35C6441D"/>
    <w:rsid w:val="35C92CA8"/>
    <w:rsid w:val="35CB027C"/>
    <w:rsid w:val="35CB394A"/>
    <w:rsid w:val="35D22DC1"/>
    <w:rsid w:val="360867E3"/>
    <w:rsid w:val="36194885"/>
    <w:rsid w:val="363648A1"/>
    <w:rsid w:val="364819E9"/>
    <w:rsid w:val="3659703F"/>
    <w:rsid w:val="3667350A"/>
    <w:rsid w:val="366B0335"/>
    <w:rsid w:val="367463D5"/>
    <w:rsid w:val="36772E7D"/>
    <w:rsid w:val="36792A4E"/>
    <w:rsid w:val="36AB2277"/>
    <w:rsid w:val="36BC203A"/>
    <w:rsid w:val="36C6336C"/>
    <w:rsid w:val="36E025F7"/>
    <w:rsid w:val="36E0506A"/>
    <w:rsid w:val="36E52680"/>
    <w:rsid w:val="36F823B4"/>
    <w:rsid w:val="37077ED7"/>
    <w:rsid w:val="370B658B"/>
    <w:rsid w:val="370E57E7"/>
    <w:rsid w:val="373032A8"/>
    <w:rsid w:val="374C0A6E"/>
    <w:rsid w:val="374F2AB8"/>
    <w:rsid w:val="3769770F"/>
    <w:rsid w:val="376B68E5"/>
    <w:rsid w:val="37785DC5"/>
    <w:rsid w:val="37797999"/>
    <w:rsid w:val="377F0D27"/>
    <w:rsid w:val="379C5435"/>
    <w:rsid w:val="37B409D1"/>
    <w:rsid w:val="37B67345"/>
    <w:rsid w:val="37C130EE"/>
    <w:rsid w:val="37DC3A83"/>
    <w:rsid w:val="37EB3CC7"/>
    <w:rsid w:val="37FF5FC9"/>
    <w:rsid w:val="38172D0E"/>
    <w:rsid w:val="38233460"/>
    <w:rsid w:val="38385538"/>
    <w:rsid w:val="38417D8A"/>
    <w:rsid w:val="38451629"/>
    <w:rsid w:val="38524F93"/>
    <w:rsid w:val="38575800"/>
    <w:rsid w:val="388A0BA2"/>
    <w:rsid w:val="3894435E"/>
    <w:rsid w:val="38953199"/>
    <w:rsid w:val="38AF73EA"/>
    <w:rsid w:val="38B4055C"/>
    <w:rsid w:val="38C77115"/>
    <w:rsid w:val="38DA4F60"/>
    <w:rsid w:val="38DD3D72"/>
    <w:rsid w:val="38EF5A38"/>
    <w:rsid w:val="38F3274A"/>
    <w:rsid w:val="39184EFD"/>
    <w:rsid w:val="39186D3D"/>
    <w:rsid w:val="392A6A70"/>
    <w:rsid w:val="392B4CC2"/>
    <w:rsid w:val="3930052B"/>
    <w:rsid w:val="39383CD2"/>
    <w:rsid w:val="394713D0"/>
    <w:rsid w:val="39487A70"/>
    <w:rsid w:val="39556E1F"/>
    <w:rsid w:val="39644270"/>
    <w:rsid w:val="39691347"/>
    <w:rsid w:val="396B1563"/>
    <w:rsid w:val="396F6BA3"/>
    <w:rsid w:val="397877DC"/>
    <w:rsid w:val="398B71EE"/>
    <w:rsid w:val="3995038E"/>
    <w:rsid w:val="399D7242"/>
    <w:rsid w:val="39A44A75"/>
    <w:rsid w:val="39AB2A00"/>
    <w:rsid w:val="39B12CEE"/>
    <w:rsid w:val="39D204D9"/>
    <w:rsid w:val="39D75563"/>
    <w:rsid w:val="39DF785B"/>
    <w:rsid w:val="39FA22AE"/>
    <w:rsid w:val="3A0530D4"/>
    <w:rsid w:val="3A053765"/>
    <w:rsid w:val="3A085004"/>
    <w:rsid w:val="3A1E57FF"/>
    <w:rsid w:val="3A3758E9"/>
    <w:rsid w:val="3A377BD2"/>
    <w:rsid w:val="3A4E1404"/>
    <w:rsid w:val="3A4F49E1"/>
    <w:rsid w:val="3A5C6D77"/>
    <w:rsid w:val="3A612C14"/>
    <w:rsid w:val="3A8541DD"/>
    <w:rsid w:val="3AA30888"/>
    <w:rsid w:val="3AC83C5D"/>
    <w:rsid w:val="3ACD3B57"/>
    <w:rsid w:val="3ADE6033"/>
    <w:rsid w:val="3AEA1D54"/>
    <w:rsid w:val="3AEC0481"/>
    <w:rsid w:val="3AF03C8D"/>
    <w:rsid w:val="3AF439F8"/>
    <w:rsid w:val="3AFC544C"/>
    <w:rsid w:val="3B082DE1"/>
    <w:rsid w:val="3B194FEF"/>
    <w:rsid w:val="3B1D4ADF"/>
    <w:rsid w:val="3B1D688D"/>
    <w:rsid w:val="3B2A2D58"/>
    <w:rsid w:val="3B2E1A16"/>
    <w:rsid w:val="3B437A46"/>
    <w:rsid w:val="3B514788"/>
    <w:rsid w:val="3B520655"/>
    <w:rsid w:val="3B7C5597"/>
    <w:rsid w:val="3B7F37DF"/>
    <w:rsid w:val="3B872D26"/>
    <w:rsid w:val="3B942A7E"/>
    <w:rsid w:val="3B9644AA"/>
    <w:rsid w:val="3B9D4D3F"/>
    <w:rsid w:val="3BA174BE"/>
    <w:rsid w:val="3BA7203F"/>
    <w:rsid w:val="3BA743A8"/>
    <w:rsid w:val="3BAE5737"/>
    <w:rsid w:val="3BC44F5A"/>
    <w:rsid w:val="3BD038FF"/>
    <w:rsid w:val="3BD50F16"/>
    <w:rsid w:val="3BD86C58"/>
    <w:rsid w:val="3C241E9D"/>
    <w:rsid w:val="3C2D0D52"/>
    <w:rsid w:val="3C2D113C"/>
    <w:rsid w:val="3C4A70F1"/>
    <w:rsid w:val="3C4E4972"/>
    <w:rsid w:val="3C5462DE"/>
    <w:rsid w:val="3C7626F9"/>
    <w:rsid w:val="3C77290D"/>
    <w:rsid w:val="3C8A1D00"/>
    <w:rsid w:val="3C940DD1"/>
    <w:rsid w:val="3C95441A"/>
    <w:rsid w:val="3C9D3D04"/>
    <w:rsid w:val="3CA2769A"/>
    <w:rsid w:val="3CA56B3A"/>
    <w:rsid w:val="3CAC611A"/>
    <w:rsid w:val="3CB6726B"/>
    <w:rsid w:val="3CB80156"/>
    <w:rsid w:val="3CBA0619"/>
    <w:rsid w:val="3CBB4A9A"/>
    <w:rsid w:val="3CC176EC"/>
    <w:rsid w:val="3CCA034E"/>
    <w:rsid w:val="3CE552DE"/>
    <w:rsid w:val="3CF34654"/>
    <w:rsid w:val="3CF415FC"/>
    <w:rsid w:val="3CFD4BC8"/>
    <w:rsid w:val="3D015D3A"/>
    <w:rsid w:val="3D0A4BEF"/>
    <w:rsid w:val="3D0F0457"/>
    <w:rsid w:val="3D167A38"/>
    <w:rsid w:val="3D2D1F51"/>
    <w:rsid w:val="3D3B6B8F"/>
    <w:rsid w:val="3D3F1524"/>
    <w:rsid w:val="3D4D5E40"/>
    <w:rsid w:val="3D50701F"/>
    <w:rsid w:val="3D5E72E1"/>
    <w:rsid w:val="3D687B67"/>
    <w:rsid w:val="3D713A88"/>
    <w:rsid w:val="3D79000C"/>
    <w:rsid w:val="3DA037A5"/>
    <w:rsid w:val="3DA07301"/>
    <w:rsid w:val="3DA2214A"/>
    <w:rsid w:val="3DA35CDE"/>
    <w:rsid w:val="3DA70690"/>
    <w:rsid w:val="3DBC540F"/>
    <w:rsid w:val="3DBD59A5"/>
    <w:rsid w:val="3DC76F84"/>
    <w:rsid w:val="3DDA6CB7"/>
    <w:rsid w:val="3DE36A7E"/>
    <w:rsid w:val="3DEB4A20"/>
    <w:rsid w:val="3DF07273"/>
    <w:rsid w:val="3E0B7C9A"/>
    <w:rsid w:val="3E1410C0"/>
    <w:rsid w:val="3E162B3C"/>
    <w:rsid w:val="3E171FDE"/>
    <w:rsid w:val="3E1C10CF"/>
    <w:rsid w:val="3E253EAF"/>
    <w:rsid w:val="3E2D328B"/>
    <w:rsid w:val="3E307431"/>
    <w:rsid w:val="3E344619"/>
    <w:rsid w:val="3E3778EE"/>
    <w:rsid w:val="3E553575"/>
    <w:rsid w:val="3E595E2E"/>
    <w:rsid w:val="3E6842C3"/>
    <w:rsid w:val="3E6A24AA"/>
    <w:rsid w:val="3E772758"/>
    <w:rsid w:val="3EA61C0D"/>
    <w:rsid w:val="3EA6303D"/>
    <w:rsid w:val="3EBC6E4B"/>
    <w:rsid w:val="3ECB6600"/>
    <w:rsid w:val="3ED5122D"/>
    <w:rsid w:val="3EDF3E59"/>
    <w:rsid w:val="3EFE672C"/>
    <w:rsid w:val="3F0833B0"/>
    <w:rsid w:val="3F110793"/>
    <w:rsid w:val="3F4033AD"/>
    <w:rsid w:val="3F443855"/>
    <w:rsid w:val="3F485313"/>
    <w:rsid w:val="3F6C1B91"/>
    <w:rsid w:val="3F942E96"/>
    <w:rsid w:val="3F977FFE"/>
    <w:rsid w:val="3FA532F5"/>
    <w:rsid w:val="3FAA090B"/>
    <w:rsid w:val="3FC714BD"/>
    <w:rsid w:val="3FCF2120"/>
    <w:rsid w:val="3FD37E62"/>
    <w:rsid w:val="3FDB2873"/>
    <w:rsid w:val="3FE058A8"/>
    <w:rsid w:val="40073668"/>
    <w:rsid w:val="400F2DD3"/>
    <w:rsid w:val="401503AE"/>
    <w:rsid w:val="40204729"/>
    <w:rsid w:val="40221574"/>
    <w:rsid w:val="403326AF"/>
    <w:rsid w:val="403F2E01"/>
    <w:rsid w:val="4040314F"/>
    <w:rsid w:val="40407749"/>
    <w:rsid w:val="404228F2"/>
    <w:rsid w:val="4071391F"/>
    <w:rsid w:val="407C4056"/>
    <w:rsid w:val="408178BE"/>
    <w:rsid w:val="409770CA"/>
    <w:rsid w:val="40A539A5"/>
    <w:rsid w:val="40AF61D9"/>
    <w:rsid w:val="40B6784C"/>
    <w:rsid w:val="40B7508E"/>
    <w:rsid w:val="40C17CBA"/>
    <w:rsid w:val="40C854ED"/>
    <w:rsid w:val="40DF3AC7"/>
    <w:rsid w:val="40E8793D"/>
    <w:rsid w:val="410C7E6D"/>
    <w:rsid w:val="41174EFF"/>
    <w:rsid w:val="411A73CB"/>
    <w:rsid w:val="411B493F"/>
    <w:rsid w:val="411C75E7"/>
    <w:rsid w:val="411F0144"/>
    <w:rsid w:val="412867B1"/>
    <w:rsid w:val="41390199"/>
    <w:rsid w:val="413B57C8"/>
    <w:rsid w:val="41453D85"/>
    <w:rsid w:val="414B3C09"/>
    <w:rsid w:val="414D77A0"/>
    <w:rsid w:val="416A181D"/>
    <w:rsid w:val="416E6762"/>
    <w:rsid w:val="416F3BBA"/>
    <w:rsid w:val="41717D56"/>
    <w:rsid w:val="41760AA5"/>
    <w:rsid w:val="419929D9"/>
    <w:rsid w:val="41A21A63"/>
    <w:rsid w:val="41A4102B"/>
    <w:rsid w:val="41AA788E"/>
    <w:rsid w:val="41B62169"/>
    <w:rsid w:val="41BB79EC"/>
    <w:rsid w:val="41BC7337"/>
    <w:rsid w:val="41CC707C"/>
    <w:rsid w:val="41E812E3"/>
    <w:rsid w:val="41F24503"/>
    <w:rsid w:val="41F52311"/>
    <w:rsid w:val="41FC67FE"/>
    <w:rsid w:val="41FF6CEC"/>
    <w:rsid w:val="4206074F"/>
    <w:rsid w:val="42092C8C"/>
    <w:rsid w:val="420B3C9D"/>
    <w:rsid w:val="4224159B"/>
    <w:rsid w:val="422E137F"/>
    <w:rsid w:val="42400F9A"/>
    <w:rsid w:val="424B0183"/>
    <w:rsid w:val="424B1F31"/>
    <w:rsid w:val="4261219F"/>
    <w:rsid w:val="426254CD"/>
    <w:rsid w:val="42817701"/>
    <w:rsid w:val="428471F1"/>
    <w:rsid w:val="42980EEF"/>
    <w:rsid w:val="42A31D6D"/>
    <w:rsid w:val="42B15CC8"/>
    <w:rsid w:val="42BB4FF4"/>
    <w:rsid w:val="42BE52E8"/>
    <w:rsid w:val="42C47ED0"/>
    <w:rsid w:val="42D02CC7"/>
    <w:rsid w:val="42EA468C"/>
    <w:rsid w:val="42F06635"/>
    <w:rsid w:val="42F901EA"/>
    <w:rsid w:val="430B0704"/>
    <w:rsid w:val="430C21F9"/>
    <w:rsid w:val="431C7671"/>
    <w:rsid w:val="4326474D"/>
    <w:rsid w:val="432B1D63"/>
    <w:rsid w:val="43301127"/>
    <w:rsid w:val="43355E73"/>
    <w:rsid w:val="433C13D1"/>
    <w:rsid w:val="434626F9"/>
    <w:rsid w:val="434A1AF8"/>
    <w:rsid w:val="43561181"/>
    <w:rsid w:val="43562841"/>
    <w:rsid w:val="43624289"/>
    <w:rsid w:val="436F39FE"/>
    <w:rsid w:val="43713C1A"/>
    <w:rsid w:val="43727992"/>
    <w:rsid w:val="43756C43"/>
    <w:rsid w:val="439E556A"/>
    <w:rsid w:val="43AE235F"/>
    <w:rsid w:val="43AF4742"/>
    <w:rsid w:val="43C239F6"/>
    <w:rsid w:val="43CD6976"/>
    <w:rsid w:val="43D5619A"/>
    <w:rsid w:val="43D971F8"/>
    <w:rsid w:val="43DD4E0B"/>
    <w:rsid w:val="43E04A33"/>
    <w:rsid w:val="43EF4C9B"/>
    <w:rsid w:val="43F03EB2"/>
    <w:rsid w:val="43F62371"/>
    <w:rsid w:val="43FB1735"/>
    <w:rsid w:val="44116474"/>
    <w:rsid w:val="44654E97"/>
    <w:rsid w:val="44692B43"/>
    <w:rsid w:val="446948F1"/>
    <w:rsid w:val="448160DE"/>
    <w:rsid w:val="449556E6"/>
    <w:rsid w:val="449C4CC6"/>
    <w:rsid w:val="44B777AE"/>
    <w:rsid w:val="44BD3521"/>
    <w:rsid w:val="44BE2E8F"/>
    <w:rsid w:val="44C24001"/>
    <w:rsid w:val="44ED5522"/>
    <w:rsid w:val="44FC7513"/>
    <w:rsid w:val="450665E4"/>
    <w:rsid w:val="452A021D"/>
    <w:rsid w:val="45454221"/>
    <w:rsid w:val="45470629"/>
    <w:rsid w:val="45571EEB"/>
    <w:rsid w:val="455730E8"/>
    <w:rsid w:val="456A6B72"/>
    <w:rsid w:val="456D60CD"/>
    <w:rsid w:val="45890159"/>
    <w:rsid w:val="45967968"/>
    <w:rsid w:val="45B20519"/>
    <w:rsid w:val="45C1615A"/>
    <w:rsid w:val="45C76B6B"/>
    <w:rsid w:val="45FD79E7"/>
    <w:rsid w:val="4608705C"/>
    <w:rsid w:val="462236E5"/>
    <w:rsid w:val="4628039F"/>
    <w:rsid w:val="46285ED1"/>
    <w:rsid w:val="462C1AB8"/>
    <w:rsid w:val="463158E2"/>
    <w:rsid w:val="463F3DA5"/>
    <w:rsid w:val="4645313C"/>
    <w:rsid w:val="464603E4"/>
    <w:rsid w:val="4651430D"/>
    <w:rsid w:val="465678DE"/>
    <w:rsid w:val="46671DF2"/>
    <w:rsid w:val="466F1F67"/>
    <w:rsid w:val="46744E00"/>
    <w:rsid w:val="467D4684"/>
    <w:rsid w:val="46A42944"/>
    <w:rsid w:val="46B57881"/>
    <w:rsid w:val="46C42537"/>
    <w:rsid w:val="46F12057"/>
    <w:rsid w:val="46F801AE"/>
    <w:rsid w:val="46FB7DC6"/>
    <w:rsid w:val="47044DA5"/>
    <w:rsid w:val="47280A93"/>
    <w:rsid w:val="47282841"/>
    <w:rsid w:val="47290B31"/>
    <w:rsid w:val="472C6CEC"/>
    <w:rsid w:val="47307948"/>
    <w:rsid w:val="47354F5E"/>
    <w:rsid w:val="47371340"/>
    <w:rsid w:val="47413903"/>
    <w:rsid w:val="474D04FA"/>
    <w:rsid w:val="475C24EB"/>
    <w:rsid w:val="476B4E24"/>
    <w:rsid w:val="47727F60"/>
    <w:rsid w:val="478B2DD0"/>
    <w:rsid w:val="47936A47"/>
    <w:rsid w:val="47946A38"/>
    <w:rsid w:val="47960F20"/>
    <w:rsid w:val="47A631F8"/>
    <w:rsid w:val="47B61379"/>
    <w:rsid w:val="47C4533D"/>
    <w:rsid w:val="47CF7161"/>
    <w:rsid w:val="47EA3F9B"/>
    <w:rsid w:val="48027536"/>
    <w:rsid w:val="48360F8E"/>
    <w:rsid w:val="484713ED"/>
    <w:rsid w:val="486C0E54"/>
    <w:rsid w:val="48700927"/>
    <w:rsid w:val="487206FB"/>
    <w:rsid w:val="487A3847"/>
    <w:rsid w:val="487B4D91"/>
    <w:rsid w:val="488167FD"/>
    <w:rsid w:val="488A12DA"/>
    <w:rsid w:val="48941B6B"/>
    <w:rsid w:val="48B545A9"/>
    <w:rsid w:val="48CE7418"/>
    <w:rsid w:val="48D64C2B"/>
    <w:rsid w:val="48F6670E"/>
    <w:rsid w:val="49162333"/>
    <w:rsid w:val="49172B6D"/>
    <w:rsid w:val="49226CE1"/>
    <w:rsid w:val="494B796A"/>
    <w:rsid w:val="495B3BA4"/>
    <w:rsid w:val="495C7115"/>
    <w:rsid w:val="49635DB3"/>
    <w:rsid w:val="49823EC1"/>
    <w:rsid w:val="49865F45"/>
    <w:rsid w:val="499C3784"/>
    <w:rsid w:val="49C12AD9"/>
    <w:rsid w:val="49C41575"/>
    <w:rsid w:val="49D405DA"/>
    <w:rsid w:val="49D547D7"/>
    <w:rsid w:val="49F55989"/>
    <w:rsid w:val="4A121587"/>
    <w:rsid w:val="4A192915"/>
    <w:rsid w:val="4A253068"/>
    <w:rsid w:val="4A2D04D2"/>
    <w:rsid w:val="4A317C5F"/>
    <w:rsid w:val="4A3E0041"/>
    <w:rsid w:val="4A403CEB"/>
    <w:rsid w:val="4A4738F8"/>
    <w:rsid w:val="4A5B40F1"/>
    <w:rsid w:val="4A6D7D10"/>
    <w:rsid w:val="4A742241"/>
    <w:rsid w:val="4AA20B5D"/>
    <w:rsid w:val="4AB4263E"/>
    <w:rsid w:val="4AB653E5"/>
    <w:rsid w:val="4AC7211E"/>
    <w:rsid w:val="4ADF76BB"/>
    <w:rsid w:val="4AE77B61"/>
    <w:rsid w:val="4AEB6216"/>
    <w:rsid w:val="4AF173EE"/>
    <w:rsid w:val="4AF313B8"/>
    <w:rsid w:val="4AFA64FE"/>
    <w:rsid w:val="4B007631"/>
    <w:rsid w:val="4B0901EE"/>
    <w:rsid w:val="4B1A05AF"/>
    <w:rsid w:val="4B292F79"/>
    <w:rsid w:val="4B4B4D7A"/>
    <w:rsid w:val="4B6A6880"/>
    <w:rsid w:val="4B8A1D1C"/>
    <w:rsid w:val="4B92472D"/>
    <w:rsid w:val="4B9C55AC"/>
    <w:rsid w:val="4B9D5F03"/>
    <w:rsid w:val="4BA32DDE"/>
    <w:rsid w:val="4BB5666E"/>
    <w:rsid w:val="4BB64C9F"/>
    <w:rsid w:val="4BBF129A"/>
    <w:rsid w:val="4BE07B8E"/>
    <w:rsid w:val="4BE3005B"/>
    <w:rsid w:val="4BF2341E"/>
    <w:rsid w:val="4C036742"/>
    <w:rsid w:val="4C123AC0"/>
    <w:rsid w:val="4C1406C9"/>
    <w:rsid w:val="4C1415E6"/>
    <w:rsid w:val="4C143394"/>
    <w:rsid w:val="4C147838"/>
    <w:rsid w:val="4C1543E6"/>
    <w:rsid w:val="4C15710C"/>
    <w:rsid w:val="4C177328"/>
    <w:rsid w:val="4C267466"/>
    <w:rsid w:val="4C27385D"/>
    <w:rsid w:val="4C383BA7"/>
    <w:rsid w:val="4C39729F"/>
    <w:rsid w:val="4C656C6E"/>
    <w:rsid w:val="4C6836E0"/>
    <w:rsid w:val="4C702002"/>
    <w:rsid w:val="4C7107E7"/>
    <w:rsid w:val="4C716A38"/>
    <w:rsid w:val="4C8524E4"/>
    <w:rsid w:val="4C8865FF"/>
    <w:rsid w:val="4C917AF2"/>
    <w:rsid w:val="4C942727"/>
    <w:rsid w:val="4CAE1A3B"/>
    <w:rsid w:val="4CB6269D"/>
    <w:rsid w:val="4CB630C7"/>
    <w:rsid w:val="4CC34DBA"/>
    <w:rsid w:val="4CDA2830"/>
    <w:rsid w:val="4CDD7C2A"/>
    <w:rsid w:val="4CF25395"/>
    <w:rsid w:val="4CFA0392"/>
    <w:rsid w:val="4D072EF9"/>
    <w:rsid w:val="4D1F46E6"/>
    <w:rsid w:val="4D1F6494"/>
    <w:rsid w:val="4D2E492A"/>
    <w:rsid w:val="4D311F8B"/>
    <w:rsid w:val="4D357A66"/>
    <w:rsid w:val="4D6B3488"/>
    <w:rsid w:val="4D6E2F80"/>
    <w:rsid w:val="4D73058E"/>
    <w:rsid w:val="4D7762D0"/>
    <w:rsid w:val="4D8C4113"/>
    <w:rsid w:val="4D924EB8"/>
    <w:rsid w:val="4D9847DF"/>
    <w:rsid w:val="4DA63711"/>
    <w:rsid w:val="4DB21566"/>
    <w:rsid w:val="4DC14069"/>
    <w:rsid w:val="4DD94895"/>
    <w:rsid w:val="4DDA615C"/>
    <w:rsid w:val="4DF63713"/>
    <w:rsid w:val="4DFF6D77"/>
    <w:rsid w:val="4E164AB2"/>
    <w:rsid w:val="4E3715BC"/>
    <w:rsid w:val="4E3917D8"/>
    <w:rsid w:val="4E481A1B"/>
    <w:rsid w:val="4E6A7BE3"/>
    <w:rsid w:val="4E760336"/>
    <w:rsid w:val="4E8307C4"/>
    <w:rsid w:val="4E984750"/>
    <w:rsid w:val="4EB86BA1"/>
    <w:rsid w:val="4EC96A44"/>
    <w:rsid w:val="4ECC43FA"/>
    <w:rsid w:val="4ED76C0D"/>
    <w:rsid w:val="4EEA0D24"/>
    <w:rsid w:val="4EF471A8"/>
    <w:rsid w:val="4EFF56E1"/>
    <w:rsid w:val="4F1722F7"/>
    <w:rsid w:val="4F1F5B32"/>
    <w:rsid w:val="4F24022D"/>
    <w:rsid w:val="4F245FE4"/>
    <w:rsid w:val="4F390EE0"/>
    <w:rsid w:val="4F4C23F8"/>
    <w:rsid w:val="4F5254E8"/>
    <w:rsid w:val="4F536069"/>
    <w:rsid w:val="4F604B42"/>
    <w:rsid w:val="4F625EE3"/>
    <w:rsid w:val="4F692A56"/>
    <w:rsid w:val="4F6939F7"/>
    <w:rsid w:val="4F7505EE"/>
    <w:rsid w:val="4F88143C"/>
    <w:rsid w:val="4F8923D9"/>
    <w:rsid w:val="4FA2515B"/>
    <w:rsid w:val="4FA669F9"/>
    <w:rsid w:val="4FB8672C"/>
    <w:rsid w:val="4FC9093A"/>
    <w:rsid w:val="4FCC4A71"/>
    <w:rsid w:val="4FD52F5D"/>
    <w:rsid w:val="4FD620C8"/>
    <w:rsid w:val="4FF0236A"/>
    <w:rsid w:val="4FF66A1B"/>
    <w:rsid w:val="50063D54"/>
    <w:rsid w:val="501E0C85"/>
    <w:rsid w:val="50210776"/>
    <w:rsid w:val="50304850"/>
    <w:rsid w:val="50357D7D"/>
    <w:rsid w:val="503C4278"/>
    <w:rsid w:val="50403236"/>
    <w:rsid w:val="504D156B"/>
    <w:rsid w:val="505226DD"/>
    <w:rsid w:val="50586D12"/>
    <w:rsid w:val="50592E34"/>
    <w:rsid w:val="505E48BE"/>
    <w:rsid w:val="50715259"/>
    <w:rsid w:val="50770396"/>
    <w:rsid w:val="50772144"/>
    <w:rsid w:val="508E54FF"/>
    <w:rsid w:val="50903205"/>
    <w:rsid w:val="50AE138D"/>
    <w:rsid w:val="50BC0A5F"/>
    <w:rsid w:val="50C6566D"/>
    <w:rsid w:val="50CD4025"/>
    <w:rsid w:val="50CD4459"/>
    <w:rsid w:val="50EC2B32"/>
    <w:rsid w:val="50FD6AED"/>
    <w:rsid w:val="5107141D"/>
    <w:rsid w:val="51133ABD"/>
    <w:rsid w:val="51134562"/>
    <w:rsid w:val="51143E36"/>
    <w:rsid w:val="511E28E3"/>
    <w:rsid w:val="5131145D"/>
    <w:rsid w:val="513232D3"/>
    <w:rsid w:val="513B13C3"/>
    <w:rsid w:val="513C04F4"/>
    <w:rsid w:val="517B5710"/>
    <w:rsid w:val="518046CD"/>
    <w:rsid w:val="51997FE4"/>
    <w:rsid w:val="519D5BDA"/>
    <w:rsid w:val="51A435DC"/>
    <w:rsid w:val="51A76B98"/>
    <w:rsid w:val="51B3679F"/>
    <w:rsid w:val="51B66C9C"/>
    <w:rsid w:val="51E01BC0"/>
    <w:rsid w:val="51F75DE9"/>
    <w:rsid w:val="52173502"/>
    <w:rsid w:val="521A36CE"/>
    <w:rsid w:val="522462FB"/>
    <w:rsid w:val="52257499"/>
    <w:rsid w:val="52285DEB"/>
    <w:rsid w:val="522D51B0"/>
    <w:rsid w:val="5247314B"/>
    <w:rsid w:val="52495D62"/>
    <w:rsid w:val="524C7E8E"/>
    <w:rsid w:val="524E6F94"/>
    <w:rsid w:val="524F64D4"/>
    <w:rsid w:val="525F17E0"/>
    <w:rsid w:val="52720E14"/>
    <w:rsid w:val="52740D70"/>
    <w:rsid w:val="52833E29"/>
    <w:rsid w:val="52AB07CA"/>
    <w:rsid w:val="52DC2732"/>
    <w:rsid w:val="52EF4EBB"/>
    <w:rsid w:val="52F7756C"/>
    <w:rsid w:val="53094079"/>
    <w:rsid w:val="53197A86"/>
    <w:rsid w:val="531B5950"/>
    <w:rsid w:val="534521E1"/>
    <w:rsid w:val="53542C10"/>
    <w:rsid w:val="535B5D4C"/>
    <w:rsid w:val="538501A4"/>
    <w:rsid w:val="53C438DE"/>
    <w:rsid w:val="53C438F2"/>
    <w:rsid w:val="53D855EF"/>
    <w:rsid w:val="53E93358"/>
    <w:rsid w:val="53EC109A"/>
    <w:rsid w:val="53F025CD"/>
    <w:rsid w:val="53F87A3F"/>
    <w:rsid w:val="53FD64EF"/>
    <w:rsid w:val="54017769"/>
    <w:rsid w:val="54131854"/>
    <w:rsid w:val="54175503"/>
    <w:rsid w:val="541E6DF4"/>
    <w:rsid w:val="544555FD"/>
    <w:rsid w:val="54574766"/>
    <w:rsid w:val="546E7D01"/>
    <w:rsid w:val="548337AD"/>
    <w:rsid w:val="549534E0"/>
    <w:rsid w:val="54CB2D82"/>
    <w:rsid w:val="54D9161F"/>
    <w:rsid w:val="54EA382C"/>
    <w:rsid w:val="54ED0C26"/>
    <w:rsid w:val="54EE033E"/>
    <w:rsid w:val="54EF3581"/>
    <w:rsid w:val="54F23B63"/>
    <w:rsid w:val="54FC70BB"/>
    <w:rsid w:val="5509210C"/>
    <w:rsid w:val="55135927"/>
    <w:rsid w:val="55172147"/>
    <w:rsid w:val="551E0F14"/>
    <w:rsid w:val="55236D3E"/>
    <w:rsid w:val="55371C11"/>
    <w:rsid w:val="554271C4"/>
    <w:rsid w:val="555313D1"/>
    <w:rsid w:val="55560EC1"/>
    <w:rsid w:val="555B09A0"/>
    <w:rsid w:val="55621CCD"/>
    <w:rsid w:val="556E5733"/>
    <w:rsid w:val="5582167B"/>
    <w:rsid w:val="55823A64"/>
    <w:rsid w:val="558675E0"/>
    <w:rsid w:val="559B68D4"/>
    <w:rsid w:val="55A97243"/>
    <w:rsid w:val="55C45E2B"/>
    <w:rsid w:val="55D62171"/>
    <w:rsid w:val="55FB55C5"/>
    <w:rsid w:val="5609189F"/>
    <w:rsid w:val="56220DA3"/>
    <w:rsid w:val="56363621"/>
    <w:rsid w:val="565D74C9"/>
    <w:rsid w:val="565E2503"/>
    <w:rsid w:val="569046AD"/>
    <w:rsid w:val="56B3145F"/>
    <w:rsid w:val="56C02A96"/>
    <w:rsid w:val="56C11D54"/>
    <w:rsid w:val="56C323A2"/>
    <w:rsid w:val="56CA105A"/>
    <w:rsid w:val="56CF2CD9"/>
    <w:rsid w:val="56D47BA4"/>
    <w:rsid w:val="56DC4338"/>
    <w:rsid w:val="56DD475E"/>
    <w:rsid w:val="56E542AB"/>
    <w:rsid w:val="56EF6ED8"/>
    <w:rsid w:val="571406EC"/>
    <w:rsid w:val="57280391"/>
    <w:rsid w:val="573D370B"/>
    <w:rsid w:val="57405985"/>
    <w:rsid w:val="57417C2C"/>
    <w:rsid w:val="57452F9B"/>
    <w:rsid w:val="574E1C52"/>
    <w:rsid w:val="57563796"/>
    <w:rsid w:val="576527DB"/>
    <w:rsid w:val="576A0C54"/>
    <w:rsid w:val="576B22D6"/>
    <w:rsid w:val="576F0018"/>
    <w:rsid w:val="577949F3"/>
    <w:rsid w:val="57875362"/>
    <w:rsid w:val="579655A5"/>
    <w:rsid w:val="57A31A70"/>
    <w:rsid w:val="57A5689B"/>
    <w:rsid w:val="57A777B2"/>
    <w:rsid w:val="57AA2DFF"/>
    <w:rsid w:val="57AF2B0B"/>
    <w:rsid w:val="57D1482F"/>
    <w:rsid w:val="57D460CD"/>
    <w:rsid w:val="57DD3F0A"/>
    <w:rsid w:val="57E74053"/>
    <w:rsid w:val="57EF2F07"/>
    <w:rsid w:val="57FA6696"/>
    <w:rsid w:val="57FB18AC"/>
    <w:rsid w:val="57FB365A"/>
    <w:rsid w:val="57FD73D2"/>
    <w:rsid w:val="58150567"/>
    <w:rsid w:val="584B2834"/>
    <w:rsid w:val="5861569D"/>
    <w:rsid w:val="586A1075"/>
    <w:rsid w:val="587578B0"/>
    <w:rsid w:val="587D5DB5"/>
    <w:rsid w:val="58810F68"/>
    <w:rsid w:val="58931AE5"/>
    <w:rsid w:val="58A42190"/>
    <w:rsid w:val="58B303D9"/>
    <w:rsid w:val="58DA3BB7"/>
    <w:rsid w:val="58DF40AE"/>
    <w:rsid w:val="58F271D2"/>
    <w:rsid w:val="59080725"/>
    <w:rsid w:val="5915699E"/>
    <w:rsid w:val="59290CF4"/>
    <w:rsid w:val="59352B9C"/>
    <w:rsid w:val="593B2516"/>
    <w:rsid w:val="59486D73"/>
    <w:rsid w:val="59586F2E"/>
    <w:rsid w:val="595A56A0"/>
    <w:rsid w:val="596B1A25"/>
    <w:rsid w:val="597F194E"/>
    <w:rsid w:val="59981AA8"/>
    <w:rsid w:val="59A84932"/>
    <w:rsid w:val="59B828FB"/>
    <w:rsid w:val="59B9557B"/>
    <w:rsid w:val="59C503C4"/>
    <w:rsid w:val="59C929AA"/>
    <w:rsid w:val="59D14FBA"/>
    <w:rsid w:val="59D22277"/>
    <w:rsid w:val="59D2663D"/>
    <w:rsid w:val="59D749E0"/>
    <w:rsid w:val="59EE0AA2"/>
    <w:rsid w:val="59F52282"/>
    <w:rsid w:val="59FB3DE5"/>
    <w:rsid w:val="5A0174AA"/>
    <w:rsid w:val="5A077E3E"/>
    <w:rsid w:val="5A186745"/>
    <w:rsid w:val="5A277523"/>
    <w:rsid w:val="5A2E7D17"/>
    <w:rsid w:val="5A633343"/>
    <w:rsid w:val="5A737E20"/>
    <w:rsid w:val="5A74411C"/>
    <w:rsid w:val="5A760412"/>
    <w:rsid w:val="5A8042EB"/>
    <w:rsid w:val="5A971D60"/>
    <w:rsid w:val="5AA1673B"/>
    <w:rsid w:val="5AA75D1B"/>
    <w:rsid w:val="5AB83A84"/>
    <w:rsid w:val="5ACE5056"/>
    <w:rsid w:val="5AD12A70"/>
    <w:rsid w:val="5AD70D45"/>
    <w:rsid w:val="5AD863B1"/>
    <w:rsid w:val="5B072A21"/>
    <w:rsid w:val="5B087C65"/>
    <w:rsid w:val="5B255152"/>
    <w:rsid w:val="5B2F56E6"/>
    <w:rsid w:val="5B345801"/>
    <w:rsid w:val="5B4D241F"/>
    <w:rsid w:val="5B6D0D13"/>
    <w:rsid w:val="5B7200D7"/>
    <w:rsid w:val="5B721E85"/>
    <w:rsid w:val="5BA06AFE"/>
    <w:rsid w:val="5BA65130"/>
    <w:rsid w:val="5BAC183B"/>
    <w:rsid w:val="5BB22BCA"/>
    <w:rsid w:val="5BB92F72"/>
    <w:rsid w:val="5BC528FD"/>
    <w:rsid w:val="5BCF5DB2"/>
    <w:rsid w:val="5BD647FC"/>
    <w:rsid w:val="5BEC0B30"/>
    <w:rsid w:val="5BFB2A8E"/>
    <w:rsid w:val="5BFB5F2D"/>
    <w:rsid w:val="5C05719D"/>
    <w:rsid w:val="5C084598"/>
    <w:rsid w:val="5C0C5724"/>
    <w:rsid w:val="5C1B42CB"/>
    <w:rsid w:val="5C1D55FB"/>
    <w:rsid w:val="5C205D85"/>
    <w:rsid w:val="5C212949"/>
    <w:rsid w:val="5C245875"/>
    <w:rsid w:val="5C29477B"/>
    <w:rsid w:val="5C315FD9"/>
    <w:rsid w:val="5C3663DB"/>
    <w:rsid w:val="5C3D4752"/>
    <w:rsid w:val="5C4B1054"/>
    <w:rsid w:val="5C8C3121"/>
    <w:rsid w:val="5C8E1B38"/>
    <w:rsid w:val="5CC901CB"/>
    <w:rsid w:val="5CCB5CF1"/>
    <w:rsid w:val="5CCC1A69"/>
    <w:rsid w:val="5CDD77D2"/>
    <w:rsid w:val="5CE15E70"/>
    <w:rsid w:val="5CF74D38"/>
    <w:rsid w:val="5D011713"/>
    <w:rsid w:val="5D0D3466"/>
    <w:rsid w:val="5D0E2082"/>
    <w:rsid w:val="5D143484"/>
    <w:rsid w:val="5D2A31E3"/>
    <w:rsid w:val="5D300AEA"/>
    <w:rsid w:val="5D3E5B52"/>
    <w:rsid w:val="5D465377"/>
    <w:rsid w:val="5D4D2BAA"/>
    <w:rsid w:val="5D520F9F"/>
    <w:rsid w:val="5D755C5D"/>
    <w:rsid w:val="5D7A6168"/>
    <w:rsid w:val="5D826703"/>
    <w:rsid w:val="5DA56542"/>
    <w:rsid w:val="5DC95C04"/>
    <w:rsid w:val="5DF70D68"/>
    <w:rsid w:val="5E0170BB"/>
    <w:rsid w:val="5E226B06"/>
    <w:rsid w:val="5E2751A9"/>
    <w:rsid w:val="5E2D0272"/>
    <w:rsid w:val="5E323B4E"/>
    <w:rsid w:val="5E474A5B"/>
    <w:rsid w:val="5E4A5936"/>
    <w:rsid w:val="5E4C4C10"/>
    <w:rsid w:val="5E5166CA"/>
    <w:rsid w:val="5E58132E"/>
    <w:rsid w:val="5E5D6E1D"/>
    <w:rsid w:val="5E60690D"/>
    <w:rsid w:val="5E655CFA"/>
    <w:rsid w:val="5E677C9B"/>
    <w:rsid w:val="5E783C56"/>
    <w:rsid w:val="5E8C4D6A"/>
    <w:rsid w:val="5E8D7FDA"/>
    <w:rsid w:val="5E955F07"/>
    <w:rsid w:val="5EBA10B2"/>
    <w:rsid w:val="5EBF27BB"/>
    <w:rsid w:val="5EBF7821"/>
    <w:rsid w:val="5EC46E9C"/>
    <w:rsid w:val="5ECA247E"/>
    <w:rsid w:val="5ECF3B8F"/>
    <w:rsid w:val="5EEE216B"/>
    <w:rsid w:val="5EF41E46"/>
    <w:rsid w:val="5F0A2C8E"/>
    <w:rsid w:val="5F1119B5"/>
    <w:rsid w:val="5F225ABD"/>
    <w:rsid w:val="5F2D2C93"/>
    <w:rsid w:val="5F2E28C1"/>
    <w:rsid w:val="5F3A35AD"/>
    <w:rsid w:val="5F5F68EB"/>
    <w:rsid w:val="5F6441DB"/>
    <w:rsid w:val="5F6F5661"/>
    <w:rsid w:val="5F724B4A"/>
    <w:rsid w:val="5F7C32D2"/>
    <w:rsid w:val="5F820FCF"/>
    <w:rsid w:val="5F8605F5"/>
    <w:rsid w:val="5F9670EF"/>
    <w:rsid w:val="5FCD1D80"/>
    <w:rsid w:val="5FD2383A"/>
    <w:rsid w:val="5FDA786F"/>
    <w:rsid w:val="5FDC7732"/>
    <w:rsid w:val="5FE33352"/>
    <w:rsid w:val="5FE817FC"/>
    <w:rsid w:val="5FFF4EE4"/>
    <w:rsid w:val="600225BA"/>
    <w:rsid w:val="60123C37"/>
    <w:rsid w:val="601479AF"/>
    <w:rsid w:val="601B0D3D"/>
    <w:rsid w:val="60326087"/>
    <w:rsid w:val="605129B1"/>
    <w:rsid w:val="60537F87"/>
    <w:rsid w:val="60545FFD"/>
    <w:rsid w:val="6064489A"/>
    <w:rsid w:val="606A3A73"/>
    <w:rsid w:val="606C3347"/>
    <w:rsid w:val="60792375"/>
    <w:rsid w:val="6082667C"/>
    <w:rsid w:val="608368E3"/>
    <w:rsid w:val="60AA0313"/>
    <w:rsid w:val="60AF026A"/>
    <w:rsid w:val="60B27B7F"/>
    <w:rsid w:val="60B66CB8"/>
    <w:rsid w:val="60C75050"/>
    <w:rsid w:val="60C82547"/>
    <w:rsid w:val="60E90E3C"/>
    <w:rsid w:val="60EF5D26"/>
    <w:rsid w:val="612F05D4"/>
    <w:rsid w:val="61307CA7"/>
    <w:rsid w:val="613D2D4D"/>
    <w:rsid w:val="613D2F35"/>
    <w:rsid w:val="614139F3"/>
    <w:rsid w:val="614C21BF"/>
    <w:rsid w:val="614F75A5"/>
    <w:rsid w:val="615A5895"/>
    <w:rsid w:val="61614E76"/>
    <w:rsid w:val="618B5A4F"/>
    <w:rsid w:val="6194783C"/>
    <w:rsid w:val="61AF0870"/>
    <w:rsid w:val="61E17D65"/>
    <w:rsid w:val="61F376A5"/>
    <w:rsid w:val="61F93300"/>
    <w:rsid w:val="62020858"/>
    <w:rsid w:val="62065A1D"/>
    <w:rsid w:val="620D0B5A"/>
    <w:rsid w:val="622055EB"/>
    <w:rsid w:val="622163B3"/>
    <w:rsid w:val="624A590A"/>
    <w:rsid w:val="624F2F20"/>
    <w:rsid w:val="62571DD5"/>
    <w:rsid w:val="6257481A"/>
    <w:rsid w:val="62774225"/>
    <w:rsid w:val="627806C9"/>
    <w:rsid w:val="62806E21"/>
    <w:rsid w:val="62837D1F"/>
    <w:rsid w:val="628506F0"/>
    <w:rsid w:val="62B40FD5"/>
    <w:rsid w:val="62CA5246"/>
    <w:rsid w:val="62D9191E"/>
    <w:rsid w:val="6317557C"/>
    <w:rsid w:val="631845EC"/>
    <w:rsid w:val="63190972"/>
    <w:rsid w:val="63207A53"/>
    <w:rsid w:val="632A29AF"/>
    <w:rsid w:val="63416DFB"/>
    <w:rsid w:val="634A7AE7"/>
    <w:rsid w:val="63556314"/>
    <w:rsid w:val="636429FB"/>
    <w:rsid w:val="6368244F"/>
    <w:rsid w:val="636E73D6"/>
    <w:rsid w:val="637532C0"/>
    <w:rsid w:val="637A3FCD"/>
    <w:rsid w:val="637E4E49"/>
    <w:rsid w:val="63AA06F6"/>
    <w:rsid w:val="63E66016"/>
    <w:rsid w:val="63EC49C7"/>
    <w:rsid w:val="63EF49BB"/>
    <w:rsid w:val="63F95441"/>
    <w:rsid w:val="641A384B"/>
    <w:rsid w:val="642C7732"/>
    <w:rsid w:val="6445282D"/>
    <w:rsid w:val="645111D2"/>
    <w:rsid w:val="6457430E"/>
    <w:rsid w:val="646871CF"/>
    <w:rsid w:val="646D3B32"/>
    <w:rsid w:val="64752564"/>
    <w:rsid w:val="647B624F"/>
    <w:rsid w:val="6481138B"/>
    <w:rsid w:val="64925346"/>
    <w:rsid w:val="649549F1"/>
    <w:rsid w:val="64AC6408"/>
    <w:rsid w:val="64AF6256"/>
    <w:rsid w:val="64B16542"/>
    <w:rsid w:val="64B27651"/>
    <w:rsid w:val="64B825A5"/>
    <w:rsid w:val="64CC22BF"/>
    <w:rsid w:val="64CF1620"/>
    <w:rsid w:val="64D10A8D"/>
    <w:rsid w:val="64D31461"/>
    <w:rsid w:val="64E70448"/>
    <w:rsid w:val="65046244"/>
    <w:rsid w:val="650C334B"/>
    <w:rsid w:val="651059F9"/>
    <w:rsid w:val="651D10B4"/>
    <w:rsid w:val="65370EA4"/>
    <w:rsid w:val="654036F2"/>
    <w:rsid w:val="654935B3"/>
    <w:rsid w:val="65541DA9"/>
    <w:rsid w:val="656D6898"/>
    <w:rsid w:val="657F1D6E"/>
    <w:rsid w:val="658630FD"/>
    <w:rsid w:val="659D4E73"/>
    <w:rsid w:val="65AD68DC"/>
    <w:rsid w:val="65C15EE3"/>
    <w:rsid w:val="65C80632"/>
    <w:rsid w:val="65D17E34"/>
    <w:rsid w:val="65E240AB"/>
    <w:rsid w:val="65E63B9C"/>
    <w:rsid w:val="65EB2F60"/>
    <w:rsid w:val="65EE2A3B"/>
    <w:rsid w:val="65EE6A74"/>
    <w:rsid w:val="65FE37FF"/>
    <w:rsid w:val="65FF07B9"/>
    <w:rsid w:val="66030981"/>
    <w:rsid w:val="66083B12"/>
    <w:rsid w:val="661C580F"/>
    <w:rsid w:val="66264581"/>
    <w:rsid w:val="663A3848"/>
    <w:rsid w:val="6643737A"/>
    <w:rsid w:val="665740F2"/>
    <w:rsid w:val="66636F9A"/>
    <w:rsid w:val="667C1E0A"/>
    <w:rsid w:val="66812324"/>
    <w:rsid w:val="669514F5"/>
    <w:rsid w:val="669E6224"/>
    <w:rsid w:val="66A10BE7"/>
    <w:rsid w:val="66BA2932"/>
    <w:rsid w:val="66BB0B84"/>
    <w:rsid w:val="66BC38CE"/>
    <w:rsid w:val="66C7310E"/>
    <w:rsid w:val="66C85B9A"/>
    <w:rsid w:val="66CF6E40"/>
    <w:rsid w:val="66F1732A"/>
    <w:rsid w:val="66F576D9"/>
    <w:rsid w:val="66FB71D3"/>
    <w:rsid w:val="671604B0"/>
    <w:rsid w:val="67183B3B"/>
    <w:rsid w:val="672C047C"/>
    <w:rsid w:val="672C3830"/>
    <w:rsid w:val="673E3563"/>
    <w:rsid w:val="673E700C"/>
    <w:rsid w:val="67410D36"/>
    <w:rsid w:val="674C7A2E"/>
    <w:rsid w:val="676D7199"/>
    <w:rsid w:val="677D7864"/>
    <w:rsid w:val="67824BCC"/>
    <w:rsid w:val="678D1BF7"/>
    <w:rsid w:val="678D611C"/>
    <w:rsid w:val="67902011"/>
    <w:rsid w:val="67953CCD"/>
    <w:rsid w:val="67A4786A"/>
    <w:rsid w:val="67BB1160"/>
    <w:rsid w:val="67D47381"/>
    <w:rsid w:val="67E14F7F"/>
    <w:rsid w:val="67E2715C"/>
    <w:rsid w:val="67ED6154"/>
    <w:rsid w:val="67F500C6"/>
    <w:rsid w:val="68002EF8"/>
    <w:rsid w:val="680A2FF1"/>
    <w:rsid w:val="680B501F"/>
    <w:rsid w:val="6813679E"/>
    <w:rsid w:val="68262975"/>
    <w:rsid w:val="682664D1"/>
    <w:rsid w:val="683D6FE1"/>
    <w:rsid w:val="68657262"/>
    <w:rsid w:val="686E582D"/>
    <w:rsid w:val="68787520"/>
    <w:rsid w:val="68982ED4"/>
    <w:rsid w:val="68A04ADF"/>
    <w:rsid w:val="68A5389A"/>
    <w:rsid w:val="68B27D65"/>
    <w:rsid w:val="68B366CB"/>
    <w:rsid w:val="68BB130F"/>
    <w:rsid w:val="68CA1553"/>
    <w:rsid w:val="68CD2DF1"/>
    <w:rsid w:val="68F55EA4"/>
    <w:rsid w:val="68FE11FC"/>
    <w:rsid w:val="691B0000"/>
    <w:rsid w:val="692C0D5A"/>
    <w:rsid w:val="69396DA1"/>
    <w:rsid w:val="6942558D"/>
    <w:rsid w:val="69481DD8"/>
    <w:rsid w:val="69513A22"/>
    <w:rsid w:val="69526236"/>
    <w:rsid w:val="6959457F"/>
    <w:rsid w:val="69625C4C"/>
    <w:rsid w:val="696741AA"/>
    <w:rsid w:val="69683B0C"/>
    <w:rsid w:val="69824648"/>
    <w:rsid w:val="69872FA0"/>
    <w:rsid w:val="69876C39"/>
    <w:rsid w:val="6993571F"/>
    <w:rsid w:val="69951B60"/>
    <w:rsid w:val="699B4365"/>
    <w:rsid w:val="69A55B1C"/>
    <w:rsid w:val="69CB5757"/>
    <w:rsid w:val="69EC72A7"/>
    <w:rsid w:val="69F951FB"/>
    <w:rsid w:val="6A070FBB"/>
    <w:rsid w:val="6A072332"/>
    <w:rsid w:val="6A077FC6"/>
    <w:rsid w:val="6A0953F7"/>
    <w:rsid w:val="6A12426F"/>
    <w:rsid w:val="6A244C92"/>
    <w:rsid w:val="6A301889"/>
    <w:rsid w:val="6A3B3D8A"/>
    <w:rsid w:val="6A5752F4"/>
    <w:rsid w:val="6A590DE0"/>
    <w:rsid w:val="6A74206B"/>
    <w:rsid w:val="6A8634B6"/>
    <w:rsid w:val="6A9736B6"/>
    <w:rsid w:val="6AAA163C"/>
    <w:rsid w:val="6AAD4C88"/>
    <w:rsid w:val="6AB029CA"/>
    <w:rsid w:val="6AD93D79"/>
    <w:rsid w:val="6ADB253D"/>
    <w:rsid w:val="6AFF725D"/>
    <w:rsid w:val="6B0623B5"/>
    <w:rsid w:val="6B2018FE"/>
    <w:rsid w:val="6B250CC2"/>
    <w:rsid w:val="6B272FFA"/>
    <w:rsid w:val="6B2E3F61"/>
    <w:rsid w:val="6B3453A9"/>
    <w:rsid w:val="6B3E3B32"/>
    <w:rsid w:val="6B4F3F91"/>
    <w:rsid w:val="6B5E16BD"/>
    <w:rsid w:val="6B6B75C9"/>
    <w:rsid w:val="6B7A6928"/>
    <w:rsid w:val="6B9346B5"/>
    <w:rsid w:val="6B985E9C"/>
    <w:rsid w:val="6B9D4D42"/>
    <w:rsid w:val="6BAE6F0A"/>
    <w:rsid w:val="6BCE135A"/>
    <w:rsid w:val="6BF91894"/>
    <w:rsid w:val="6C00528B"/>
    <w:rsid w:val="6C0528A2"/>
    <w:rsid w:val="6C1536FC"/>
    <w:rsid w:val="6C173235"/>
    <w:rsid w:val="6C1D48F5"/>
    <w:rsid w:val="6C21592D"/>
    <w:rsid w:val="6C2216A6"/>
    <w:rsid w:val="6C270A6A"/>
    <w:rsid w:val="6C3E01AA"/>
    <w:rsid w:val="6C523D39"/>
    <w:rsid w:val="6C5D623A"/>
    <w:rsid w:val="6C69095C"/>
    <w:rsid w:val="6C7B44B2"/>
    <w:rsid w:val="6C7C3675"/>
    <w:rsid w:val="6CAE11B5"/>
    <w:rsid w:val="6CC60283"/>
    <w:rsid w:val="6CFD1A6C"/>
    <w:rsid w:val="6D0111E5"/>
    <w:rsid w:val="6D025BA6"/>
    <w:rsid w:val="6D082649"/>
    <w:rsid w:val="6D0843F7"/>
    <w:rsid w:val="6D1B05CF"/>
    <w:rsid w:val="6D2868BC"/>
    <w:rsid w:val="6D4A4A10"/>
    <w:rsid w:val="6D4F320D"/>
    <w:rsid w:val="6D561607"/>
    <w:rsid w:val="6D576389"/>
    <w:rsid w:val="6D5B4E6F"/>
    <w:rsid w:val="6D6D1D69"/>
    <w:rsid w:val="6D712D14"/>
    <w:rsid w:val="6D7462CB"/>
    <w:rsid w:val="6D7B6B48"/>
    <w:rsid w:val="6D885538"/>
    <w:rsid w:val="6DA24BBE"/>
    <w:rsid w:val="6DA80357"/>
    <w:rsid w:val="6DAA1953"/>
    <w:rsid w:val="6DAB0E87"/>
    <w:rsid w:val="6DAF6F69"/>
    <w:rsid w:val="6DB037F2"/>
    <w:rsid w:val="6DBE300E"/>
    <w:rsid w:val="6DCB3915"/>
    <w:rsid w:val="6DD30EA9"/>
    <w:rsid w:val="6DEA79DC"/>
    <w:rsid w:val="6DF52405"/>
    <w:rsid w:val="6DF8446C"/>
    <w:rsid w:val="6E080427"/>
    <w:rsid w:val="6E0A419F"/>
    <w:rsid w:val="6E0E3C8F"/>
    <w:rsid w:val="6E113780"/>
    <w:rsid w:val="6E13574A"/>
    <w:rsid w:val="6E1B63AC"/>
    <w:rsid w:val="6E2E4332"/>
    <w:rsid w:val="6E3000AA"/>
    <w:rsid w:val="6E3F4F3F"/>
    <w:rsid w:val="6E4F5C5F"/>
    <w:rsid w:val="6E510AC9"/>
    <w:rsid w:val="6E542A9F"/>
    <w:rsid w:val="6E546DC0"/>
    <w:rsid w:val="6E587601"/>
    <w:rsid w:val="6E6E0BD2"/>
    <w:rsid w:val="6E895A0C"/>
    <w:rsid w:val="6E9028F6"/>
    <w:rsid w:val="6E93470F"/>
    <w:rsid w:val="6E951A85"/>
    <w:rsid w:val="6E9817AB"/>
    <w:rsid w:val="6EB03A00"/>
    <w:rsid w:val="6ECB392F"/>
    <w:rsid w:val="6ECC76A7"/>
    <w:rsid w:val="6ECE3E72"/>
    <w:rsid w:val="6EE964AB"/>
    <w:rsid w:val="6EEF1D13"/>
    <w:rsid w:val="6F03756C"/>
    <w:rsid w:val="6F09792F"/>
    <w:rsid w:val="6F1214CF"/>
    <w:rsid w:val="6F241291"/>
    <w:rsid w:val="6F2C60ED"/>
    <w:rsid w:val="6F373ACB"/>
    <w:rsid w:val="6F3E5FCD"/>
    <w:rsid w:val="6F437969"/>
    <w:rsid w:val="6F4506C5"/>
    <w:rsid w:val="6F4B0F13"/>
    <w:rsid w:val="6F5361F2"/>
    <w:rsid w:val="6F5953DE"/>
    <w:rsid w:val="6F762E82"/>
    <w:rsid w:val="6F79782E"/>
    <w:rsid w:val="6F7B35A7"/>
    <w:rsid w:val="6F992945"/>
    <w:rsid w:val="6FA83C70"/>
    <w:rsid w:val="6FB0746B"/>
    <w:rsid w:val="6FB25ECE"/>
    <w:rsid w:val="6FB7699D"/>
    <w:rsid w:val="6FBF7B87"/>
    <w:rsid w:val="6FC228E6"/>
    <w:rsid w:val="6FC81944"/>
    <w:rsid w:val="6FF30700"/>
    <w:rsid w:val="6FF51BAA"/>
    <w:rsid w:val="70017DB7"/>
    <w:rsid w:val="700417EE"/>
    <w:rsid w:val="7006712E"/>
    <w:rsid w:val="70074E3A"/>
    <w:rsid w:val="70090BB2"/>
    <w:rsid w:val="7012386A"/>
    <w:rsid w:val="701B08E6"/>
    <w:rsid w:val="703557CC"/>
    <w:rsid w:val="708D0DE9"/>
    <w:rsid w:val="70BF74C3"/>
    <w:rsid w:val="70C2375B"/>
    <w:rsid w:val="70C82A0E"/>
    <w:rsid w:val="70C94DCA"/>
    <w:rsid w:val="70D34D1C"/>
    <w:rsid w:val="70DF044B"/>
    <w:rsid w:val="70E92897"/>
    <w:rsid w:val="70ED2282"/>
    <w:rsid w:val="711517D9"/>
    <w:rsid w:val="71180294"/>
    <w:rsid w:val="711E06E8"/>
    <w:rsid w:val="71202F9C"/>
    <w:rsid w:val="7120731A"/>
    <w:rsid w:val="712E2FC2"/>
    <w:rsid w:val="714E5B48"/>
    <w:rsid w:val="715135FA"/>
    <w:rsid w:val="71632544"/>
    <w:rsid w:val="7163510C"/>
    <w:rsid w:val="716562BC"/>
    <w:rsid w:val="718129CA"/>
    <w:rsid w:val="71880007"/>
    <w:rsid w:val="7189187F"/>
    <w:rsid w:val="718B3849"/>
    <w:rsid w:val="718E2774"/>
    <w:rsid w:val="71B44B4E"/>
    <w:rsid w:val="71B7273E"/>
    <w:rsid w:val="71C34D91"/>
    <w:rsid w:val="71CB4BFC"/>
    <w:rsid w:val="71D12ED3"/>
    <w:rsid w:val="71DD34BE"/>
    <w:rsid w:val="71F94C24"/>
    <w:rsid w:val="71FA15EF"/>
    <w:rsid w:val="72043B75"/>
    <w:rsid w:val="721F290F"/>
    <w:rsid w:val="72233A82"/>
    <w:rsid w:val="7232596C"/>
    <w:rsid w:val="725974A3"/>
    <w:rsid w:val="725A12AF"/>
    <w:rsid w:val="726E73F3"/>
    <w:rsid w:val="72712D4A"/>
    <w:rsid w:val="727313FB"/>
    <w:rsid w:val="727D13E4"/>
    <w:rsid w:val="72807467"/>
    <w:rsid w:val="72914E8F"/>
    <w:rsid w:val="729E0256"/>
    <w:rsid w:val="72B62572"/>
    <w:rsid w:val="72BD5C84"/>
    <w:rsid w:val="72C07522"/>
    <w:rsid w:val="72ED47BB"/>
    <w:rsid w:val="73013BB9"/>
    <w:rsid w:val="730218E9"/>
    <w:rsid w:val="73076EFF"/>
    <w:rsid w:val="73130BD3"/>
    <w:rsid w:val="73137F9A"/>
    <w:rsid w:val="731D4975"/>
    <w:rsid w:val="733C7E7A"/>
    <w:rsid w:val="73426D6C"/>
    <w:rsid w:val="7343262D"/>
    <w:rsid w:val="73511259"/>
    <w:rsid w:val="735C36EF"/>
    <w:rsid w:val="735C549D"/>
    <w:rsid w:val="73717872"/>
    <w:rsid w:val="738A03FA"/>
    <w:rsid w:val="73920A84"/>
    <w:rsid w:val="73A26FD5"/>
    <w:rsid w:val="73B7207C"/>
    <w:rsid w:val="73C22DCA"/>
    <w:rsid w:val="73CD639B"/>
    <w:rsid w:val="73DC65DE"/>
    <w:rsid w:val="73E060CE"/>
    <w:rsid w:val="73E42E48"/>
    <w:rsid w:val="74052C09"/>
    <w:rsid w:val="74090C9D"/>
    <w:rsid w:val="740C4F6E"/>
    <w:rsid w:val="741620D3"/>
    <w:rsid w:val="741C6444"/>
    <w:rsid w:val="741E09A4"/>
    <w:rsid w:val="742B6EB8"/>
    <w:rsid w:val="7443040B"/>
    <w:rsid w:val="74474B72"/>
    <w:rsid w:val="745A55F3"/>
    <w:rsid w:val="746F7452"/>
    <w:rsid w:val="747405C4"/>
    <w:rsid w:val="74846A7C"/>
    <w:rsid w:val="748C54E4"/>
    <w:rsid w:val="74927CE2"/>
    <w:rsid w:val="74A35046"/>
    <w:rsid w:val="74A71267"/>
    <w:rsid w:val="74B31C2E"/>
    <w:rsid w:val="74B66881"/>
    <w:rsid w:val="74CA4688"/>
    <w:rsid w:val="74E26E52"/>
    <w:rsid w:val="74EC0AA3"/>
    <w:rsid w:val="75045DEC"/>
    <w:rsid w:val="75046DF3"/>
    <w:rsid w:val="75166C94"/>
    <w:rsid w:val="7517703E"/>
    <w:rsid w:val="75216DC9"/>
    <w:rsid w:val="75263FB5"/>
    <w:rsid w:val="752C1E68"/>
    <w:rsid w:val="754230F8"/>
    <w:rsid w:val="754232F1"/>
    <w:rsid w:val="75436915"/>
    <w:rsid w:val="754B59F2"/>
    <w:rsid w:val="75534A68"/>
    <w:rsid w:val="75596138"/>
    <w:rsid w:val="7560236F"/>
    <w:rsid w:val="75650B00"/>
    <w:rsid w:val="75774B88"/>
    <w:rsid w:val="757B731D"/>
    <w:rsid w:val="757F1917"/>
    <w:rsid w:val="75BB670A"/>
    <w:rsid w:val="75C8506C"/>
    <w:rsid w:val="75CE5CBA"/>
    <w:rsid w:val="75DC0018"/>
    <w:rsid w:val="75DE663D"/>
    <w:rsid w:val="76037E52"/>
    <w:rsid w:val="761738FD"/>
    <w:rsid w:val="762767A0"/>
    <w:rsid w:val="762F523A"/>
    <w:rsid w:val="763C3364"/>
    <w:rsid w:val="76426BCC"/>
    <w:rsid w:val="7643274F"/>
    <w:rsid w:val="76500BBD"/>
    <w:rsid w:val="76625728"/>
    <w:rsid w:val="76850AE5"/>
    <w:rsid w:val="769A6A08"/>
    <w:rsid w:val="769E5DCD"/>
    <w:rsid w:val="76A809F9"/>
    <w:rsid w:val="76B4484B"/>
    <w:rsid w:val="76C569AB"/>
    <w:rsid w:val="76DA4E2A"/>
    <w:rsid w:val="76DD5153"/>
    <w:rsid w:val="76F679B7"/>
    <w:rsid w:val="77081B1D"/>
    <w:rsid w:val="770866FF"/>
    <w:rsid w:val="7709593C"/>
    <w:rsid w:val="771A5453"/>
    <w:rsid w:val="7726029C"/>
    <w:rsid w:val="77270877"/>
    <w:rsid w:val="77292444"/>
    <w:rsid w:val="77455345"/>
    <w:rsid w:val="77655904"/>
    <w:rsid w:val="777728A5"/>
    <w:rsid w:val="7783749C"/>
    <w:rsid w:val="779D6176"/>
    <w:rsid w:val="77A6318B"/>
    <w:rsid w:val="77B1220D"/>
    <w:rsid w:val="77B95C51"/>
    <w:rsid w:val="77BF5FFA"/>
    <w:rsid w:val="77C90731"/>
    <w:rsid w:val="77C90C27"/>
    <w:rsid w:val="77D17C4B"/>
    <w:rsid w:val="77D73344"/>
    <w:rsid w:val="78053132"/>
    <w:rsid w:val="780854E9"/>
    <w:rsid w:val="781055E2"/>
    <w:rsid w:val="78106CEA"/>
    <w:rsid w:val="781B2746"/>
    <w:rsid w:val="781B5927"/>
    <w:rsid w:val="781E0F73"/>
    <w:rsid w:val="7827747C"/>
    <w:rsid w:val="783C589D"/>
    <w:rsid w:val="783E08E9"/>
    <w:rsid w:val="78484242"/>
    <w:rsid w:val="7855070D"/>
    <w:rsid w:val="785A649E"/>
    <w:rsid w:val="785B7096"/>
    <w:rsid w:val="785E5813"/>
    <w:rsid w:val="788B0C4A"/>
    <w:rsid w:val="789E0306"/>
    <w:rsid w:val="78A06D2F"/>
    <w:rsid w:val="78A3591C"/>
    <w:rsid w:val="78A42FE4"/>
    <w:rsid w:val="78C961F4"/>
    <w:rsid w:val="78CA10FB"/>
    <w:rsid w:val="78CC6C21"/>
    <w:rsid w:val="78CE219D"/>
    <w:rsid w:val="78D60539"/>
    <w:rsid w:val="78DD15B4"/>
    <w:rsid w:val="78E33F6B"/>
    <w:rsid w:val="78EC4C61"/>
    <w:rsid w:val="78F15118"/>
    <w:rsid w:val="78FF74DF"/>
    <w:rsid w:val="790A599B"/>
    <w:rsid w:val="7911522A"/>
    <w:rsid w:val="791747D4"/>
    <w:rsid w:val="79245A8C"/>
    <w:rsid w:val="792A1B99"/>
    <w:rsid w:val="793175A6"/>
    <w:rsid w:val="79334EF2"/>
    <w:rsid w:val="79373A0C"/>
    <w:rsid w:val="79393B8B"/>
    <w:rsid w:val="793D18CD"/>
    <w:rsid w:val="794C38BE"/>
    <w:rsid w:val="7956298E"/>
    <w:rsid w:val="795A5FDB"/>
    <w:rsid w:val="79610BDB"/>
    <w:rsid w:val="796C21B2"/>
    <w:rsid w:val="79740C89"/>
    <w:rsid w:val="797D43BF"/>
    <w:rsid w:val="799205A4"/>
    <w:rsid w:val="79B17BC5"/>
    <w:rsid w:val="79BC6C95"/>
    <w:rsid w:val="79BF13CD"/>
    <w:rsid w:val="79C43D9C"/>
    <w:rsid w:val="79CF178F"/>
    <w:rsid w:val="79D71D7A"/>
    <w:rsid w:val="79D73ACF"/>
    <w:rsid w:val="79E41D48"/>
    <w:rsid w:val="79FF3026"/>
    <w:rsid w:val="7A1940E8"/>
    <w:rsid w:val="7A1F7224"/>
    <w:rsid w:val="7A5B0994"/>
    <w:rsid w:val="7A7710CF"/>
    <w:rsid w:val="7A7C3009"/>
    <w:rsid w:val="7A886B78"/>
    <w:rsid w:val="7A985B42"/>
    <w:rsid w:val="7AAD4830"/>
    <w:rsid w:val="7AC00B11"/>
    <w:rsid w:val="7AC1208A"/>
    <w:rsid w:val="7AC727C0"/>
    <w:rsid w:val="7AD43984"/>
    <w:rsid w:val="7AED5376"/>
    <w:rsid w:val="7AFF0403"/>
    <w:rsid w:val="7B0C1557"/>
    <w:rsid w:val="7B1D5512"/>
    <w:rsid w:val="7B25086A"/>
    <w:rsid w:val="7B2E13FD"/>
    <w:rsid w:val="7B700235"/>
    <w:rsid w:val="7B735A7A"/>
    <w:rsid w:val="7BB35E76"/>
    <w:rsid w:val="7BB62446"/>
    <w:rsid w:val="7BD77DB7"/>
    <w:rsid w:val="7BDB0E2E"/>
    <w:rsid w:val="7BE40725"/>
    <w:rsid w:val="7BFC5A6F"/>
    <w:rsid w:val="7C136915"/>
    <w:rsid w:val="7C246D74"/>
    <w:rsid w:val="7C2906F7"/>
    <w:rsid w:val="7C2D3E7B"/>
    <w:rsid w:val="7C3829D4"/>
    <w:rsid w:val="7C38637B"/>
    <w:rsid w:val="7C3C7DEE"/>
    <w:rsid w:val="7C482A62"/>
    <w:rsid w:val="7C5331B5"/>
    <w:rsid w:val="7C5625A2"/>
    <w:rsid w:val="7C7E0232"/>
    <w:rsid w:val="7C8021FC"/>
    <w:rsid w:val="7C8141C6"/>
    <w:rsid w:val="7C896BD7"/>
    <w:rsid w:val="7C91641F"/>
    <w:rsid w:val="7C925A44"/>
    <w:rsid w:val="7CA668B1"/>
    <w:rsid w:val="7CAB153C"/>
    <w:rsid w:val="7CB2612E"/>
    <w:rsid w:val="7CB93960"/>
    <w:rsid w:val="7CBF36BF"/>
    <w:rsid w:val="7CCE4DAD"/>
    <w:rsid w:val="7D0050EB"/>
    <w:rsid w:val="7D0C7F34"/>
    <w:rsid w:val="7D0D7808"/>
    <w:rsid w:val="7D0E2935"/>
    <w:rsid w:val="7D112EEE"/>
    <w:rsid w:val="7D276B1C"/>
    <w:rsid w:val="7D347D5F"/>
    <w:rsid w:val="7D382AD7"/>
    <w:rsid w:val="7D474B72"/>
    <w:rsid w:val="7D605B8A"/>
    <w:rsid w:val="7D6853B2"/>
    <w:rsid w:val="7D985324"/>
    <w:rsid w:val="7D9F34B1"/>
    <w:rsid w:val="7DA000ED"/>
    <w:rsid w:val="7DA77DEA"/>
    <w:rsid w:val="7DB55ED6"/>
    <w:rsid w:val="7DC37239"/>
    <w:rsid w:val="7DD3105E"/>
    <w:rsid w:val="7DD87E16"/>
    <w:rsid w:val="7DF327F9"/>
    <w:rsid w:val="7DFA05B2"/>
    <w:rsid w:val="7DFF5EEB"/>
    <w:rsid w:val="7E126DD4"/>
    <w:rsid w:val="7E1A3F8B"/>
    <w:rsid w:val="7E345FDA"/>
    <w:rsid w:val="7E3808B5"/>
    <w:rsid w:val="7E447259"/>
    <w:rsid w:val="7E481261"/>
    <w:rsid w:val="7E633B84"/>
    <w:rsid w:val="7E677E64"/>
    <w:rsid w:val="7E7413F0"/>
    <w:rsid w:val="7E755665"/>
    <w:rsid w:val="7E844358"/>
    <w:rsid w:val="7E891110"/>
    <w:rsid w:val="7E8E4FA2"/>
    <w:rsid w:val="7E8E67AD"/>
    <w:rsid w:val="7EA03305"/>
    <w:rsid w:val="7EA25A26"/>
    <w:rsid w:val="7EC6079E"/>
    <w:rsid w:val="7EF944E8"/>
    <w:rsid w:val="7EFC0F94"/>
    <w:rsid w:val="7F0D3AEF"/>
    <w:rsid w:val="7F1430D0"/>
    <w:rsid w:val="7F177D11"/>
    <w:rsid w:val="7F1B26B0"/>
    <w:rsid w:val="7F1B620C"/>
    <w:rsid w:val="7F21759B"/>
    <w:rsid w:val="7F271055"/>
    <w:rsid w:val="7F2D2AF4"/>
    <w:rsid w:val="7F313615"/>
    <w:rsid w:val="7F39083A"/>
    <w:rsid w:val="7F453F59"/>
    <w:rsid w:val="7F531E4A"/>
    <w:rsid w:val="7F5A0D58"/>
    <w:rsid w:val="7F802513"/>
    <w:rsid w:val="7F916950"/>
    <w:rsid w:val="7F963AE5"/>
    <w:rsid w:val="7F9E4914"/>
    <w:rsid w:val="7F9F508F"/>
    <w:rsid w:val="7FC1405E"/>
    <w:rsid w:val="7FC4323A"/>
    <w:rsid w:val="7FC468A4"/>
    <w:rsid w:val="7FE74744"/>
    <w:rsid w:val="7FE9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3"/>
    <w:link w:val="51"/>
    <w:autoRedefine/>
    <w:qFormat/>
    <w:uiPriority w:val="9"/>
    <w:pPr>
      <w:keepNext/>
      <w:keepLines/>
      <w:spacing w:before="340" w:after="330" w:line="576" w:lineRule="auto"/>
      <w:outlineLvl w:val="0"/>
    </w:pPr>
    <w:rPr>
      <w:rFonts w:ascii="Times New Roman"/>
      <w:b/>
      <w:kern w:val="44"/>
      <w:sz w:val="32"/>
    </w:rPr>
  </w:style>
  <w:style w:type="paragraph" w:styleId="4">
    <w:name w:val="heading 2"/>
    <w:basedOn w:val="1"/>
    <w:next w:val="1"/>
    <w:link w:val="52"/>
    <w:autoRedefine/>
    <w:qFormat/>
    <w:uiPriority w:val="9"/>
    <w:pPr>
      <w:keepNext/>
      <w:keepLines/>
      <w:spacing w:before="260" w:after="260" w:line="500" w:lineRule="exact"/>
      <w:outlineLvl w:val="1"/>
    </w:pPr>
    <w:rPr>
      <w:rFonts w:ascii="Arial" w:hAnsi="Arial" w:eastAsia="黑体"/>
      <w:b/>
      <w:sz w:val="28"/>
    </w:rPr>
  </w:style>
  <w:style w:type="paragraph" w:styleId="5">
    <w:name w:val="heading 3"/>
    <w:basedOn w:val="1"/>
    <w:next w:val="1"/>
    <w:link w:val="146"/>
    <w:autoRedefine/>
    <w:qFormat/>
    <w:uiPriority w:val="9"/>
    <w:pPr>
      <w:keepNext/>
      <w:keepLines/>
      <w:spacing w:before="260" w:after="260" w:line="412" w:lineRule="auto"/>
      <w:outlineLvl w:val="2"/>
    </w:pPr>
    <w:rPr>
      <w:rFonts w:ascii="Times New Roman"/>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numPr>
        <w:ilvl w:val="4"/>
        <w:numId w:val="1"/>
      </w:numPr>
      <w:spacing w:before="280" w:after="290" w:line="372" w:lineRule="auto"/>
      <w:outlineLvl w:val="4"/>
    </w:pPr>
    <w:rPr>
      <w:rFonts w:ascii="Times New Roman"/>
      <w:b/>
      <w:sz w:val="28"/>
    </w:rPr>
  </w:style>
  <w:style w:type="paragraph" w:styleId="8">
    <w:name w:val="heading 6"/>
    <w:basedOn w:val="1"/>
    <w:next w:val="1"/>
    <w:autoRedefine/>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3"/>
    <w:autoRedefine/>
    <w:qFormat/>
    <w:uiPriority w:val="0"/>
    <w:pPr>
      <w:keepNext/>
      <w:keepLines/>
      <w:numPr>
        <w:ilvl w:val="6"/>
        <w:numId w:val="1"/>
      </w:numPr>
      <w:spacing w:before="240" w:after="64" w:line="316" w:lineRule="auto"/>
      <w:outlineLvl w:val="6"/>
    </w:pPr>
    <w:rPr>
      <w:rFonts w:ascii="Times New Roman"/>
      <w:b/>
      <w:sz w:val="24"/>
    </w:rPr>
  </w:style>
  <w:style w:type="paragraph" w:styleId="10">
    <w:name w:val="heading 8"/>
    <w:basedOn w:val="1"/>
    <w:next w:val="3"/>
    <w:autoRedefine/>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3"/>
    <w:qFormat/>
    <w:uiPriority w:val="0"/>
    <w:pPr>
      <w:keepNext/>
      <w:keepLines/>
      <w:numPr>
        <w:ilvl w:val="8"/>
        <w:numId w:val="1"/>
      </w:numPr>
      <w:spacing w:before="240" w:after="64" w:line="316" w:lineRule="auto"/>
      <w:outlineLvl w:val="8"/>
    </w:pPr>
    <w:rPr>
      <w:rFonts w:ascii="Arial" w:hAnsi="Arial" w:eastAsia="黑体"/>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12">
    <w:name w:val="List Bullet"/>
    <w:basedOn w:val="1"/>
    <w:qFormat/>
    <w:uiPriority w:val="0"/>
    <w:pPr>
      <w:numPr>
        <w:ilvl w:val="0"/>
        <w:numId w:val="2"/>
      </w:numPr>
    </w:pPr>
  </w:style>
  <w:style w:type="paragraph" w:styleId="13">
    <w:name w:val="Document Map"/>
    <w:basedOn w:val="1"/>
    <w:autoRedefine/>
    <w:qFormat/>
    <w:uiPriority w:val="0"/>
    <w:rPr>
      <w:sz w:val="18"/>
      <w:szCs w:val="18"/>
    </w:rPr>
  </w:style>
  <w:style w:type="paragraph" w:styleId="14">
    <w:name w:val="toa heading"/>
    <w:basedOn w:val="1"/>
    <w:next w:val="1"/>
    <w:qFormat/>
    <w:uiPriority w:val="0"/>
    <w:rPr>
      <w:rFonts w:ascii="Arial" w:hAnsi="Arial"/>
      <w:sz w:val="24"/>
    </w:rPr>
  </w:style>
  <w:style w:type="paragraph" w:styleId="15">
    <w:name w:val="annotation text"/>
    <w:basedOn w:val="1"/>
    <w:autoRedefine/>
    <w:qFormat/>
    <w:uiPriority w:val="0"/>
    <w:pPr>
      <w:jc w:val="left"/>
    </w:pPr>
  </w:style>
  <w:style w:type="paragraph" w:styleId="16">
    <w:name w:val="Body Text"/>
    <w:basedOn w:val="1"/>
    <w:next w:val="1"/>
    <w:link w:val="50"/>
    <w:qFormat/>
    <w:uiPriority w:val="0"/>
    <w:pPr>
      <w:spacing w:after="120"/>
    </w:pPr>
    <w:rPr>
      <w:rFonts w:ascii="Times New Roman"/>
    </w:rPr>
  </w:style>
  <w:style w:type="paragraph" w:styleId="17">
    <w:name w:val="Body Text Indent"/>
    <w:basedOn w:val="1"/>
    <w:autoRedefine/>
    <w:qFormat/>
    <w:uiPriority w:val="0"/>
    <w:pPr>
      <w:ind w:firstLine="630"/>
    </w:pPr>
    <w:rPr>
      <w:sz w:val="32"/>
    </w:rPr>
  </w:style>
  <w:style w:type="paragraph" w:styleId="18">
    <w:name w:val="index 4"/>
    <w:basedOn w:val="1"/>
    <w:next w:val="1"/>
    <w:autoRedefine/>
    <w:qFormat/>
    <w:uiPriority w:val="0"/>
    <w:pPr>
      <w:ind w:left="428" w:firstLine="140"/>
    </w:pPr>
    <w:rPr>
      <w:rFonts w:ascii="Times New Roman"/>
    </w:rPr>
  </w:style>
  <w:style w:type="paragraph" w:styleId="19">
    <w:name w:val="toc 3"/>
    <w:basedOn w:val="1"/>
    <w:next w:val="1"/>
    <w:autoRedefine/>
    <w:qFormat/>
    <w:uiPriority w:val="39"/>
    <w:pPr>
      <w:ind w:left="400" w:leftChars="400"/>
    </w:pPr>
    <w:rPr>
      <w:rFonts w:ascii="Times New Roman"/>
    </w:rPr>
  </w:style>
  <w:style w:type="paragraph" w:styleId="20">
    <w:name w:val="Plain Text"/>
    <w:basedOn w:val="1"/>
    <w:next w:val="16"/>
    <w:link w:val="145"/>
    <w:autoRedefine/>
    <w:qFormat/>
    <w:uiPriority w:val="99"/>
    <w:rPr>
      <w:rFonts w:cs="Courier New"/>
      <w:szCs w:val="21"/>
    </w:rPr>
  </w:style>
  <w:style w:type="paragraph" w:styleId="21">
    <w:name w:val="Date"/>
    <w:basedOn w:val="1"/>
    <w:next w:val="1"/>
    <w:autoRedefine/>
    <w:qFormat/>
    <w:uiPriority w:val="0"/>
    <w:pPr>
      <w:ind w:left="2500" w:leftChars="2500"/>
    </w:pPr>
  </w:style>
  <w:style w:type="paragraph" w:styleId="22">
    <w:name w:val="Body Text Indent 2"/>
    <w:basedOn w:val="1"/>
    <w:autoRedefine/>
    <w:qFormat/>
    <w:uiPriority w:val="0"/>
    <w:pPr>
      <w:ind w:firstLine="630"/>
    </w:pPr>
    <w:rPr>
      <w:rFonts w:ascii="Times New Roman"/>
      <w:sz w:val="32"/>
    </w:rPr>
  </w:style>
  <w:style w:type="paragraph" w:styleId="23">
    <w:name w:val="Balloon Text"/>
    <w:basedOn w:val="1"/>
    <w:autoRedefine/>
    <w:qFormat/>
    <w:uiPriority w:val="0"/>
    <w:rPr>
      <w:sz w:val="18"/>
      <w:szCs w:val="18"/>
    </w:rPr>
  </w:style>
  <w:style w:type="paragraph" w:styleId="24">
    <w:name w:val="footer"/>
    <w:basedOn w:val="1"/>
    <w:link w:val="53"/>
    <w:autoRedefine/>
    <w:qFormat/>
    <w:uiPriority w:val="99"/>
    <w:pPr>
      <w:tabs>
        <w:tab w:val="center" w:pos="4153"/>
        <w:tab w:val="right" w:pos="8306"/>
      </w:tabs>
      <w:snapToGrid w:val="0"/>
      <w:jc w:val="left"/>
    </w:pPr>
    <w:rPr>
      <w:sz w:val="18"/>
    </w:rPr>
  </w:style>
  <w:style w:type="paragraph" w:styleId="25">
    <w:name w:val="envelope return"/>
    <w:basedOn w:val="1"/>
    <w:autoRedefine/>
    <w:qFormat/>
    <w:uiPriority w:val="0"/>
    <w:pPr>
      <w:snapToGrid w:val="0"/>
    </w:pPr>
    <w:rPr>
      <w:rFonts w:ascii="Arial" w:hAnsi="Arial"/>
    </w:rPr>
  </w:style>
  <w:style w:type="paragraph" w:styleId="26">
    <w:name w:val="header"/>
    <w:basedOn w:val="1"/>
    <w:link w:val="144"/>
    <w:autoRedefine/>
    <w:qFormat/>
    <w:uiPriority w:val="99"/>
    <w:pPr>
      <w:pBdr>
        <w:bottom w:val="single" w:color="auto" w:sz="6" w:space="1"/>
      </w:pBdr>
      <w:tabs>
        <w:tab w:val="center" w:pos="4153"/>
        <w:tab w:val="right" w:pos="8306"/>
      </w:tabs>
      <w:snapToGrid w:val="0"/>
      <w:jc w:val="center"/>
    </w:pPr>
    <w:rPr>
      <w:sz w:val="18"/>
    </w:rPr>
  </w:style>
  <w:style w:type="paragraph" w:styleId="27">
    <w:name w:val="toc 1"/>
    <w:basedOn w:val="1"/>
    <w:next w:val="1"/>
    <w:autoRedefine/>
    <w:qFormat/>
    <w:uiPriority w:val="39"/>
    <w:pPr>
      <w:tabs>
        <w:tab w:val="right" w:leader="dot" w:pos="9060"/>
      </w:tabs>
      <w:spacing w:line="276" w:lineRule="auto"/>
    </w:pPr>
    <w:rPr>
      <w:b/>
      <w:sz w:val="24"/>
    </w:rPr>
  </w:style>
  <w:style w:type="paragraph" w:styleId="28">
    <w:name w:val="Body Text Indent 3"/>
    <w:basedOn w:val="1"/>
    <w:autoRedefine/>
    <w:qFormat/>
    <w:uiPriority w:val="0"/>
    <w:pPr>
      <w:adjustRightInd w:val="0"/>
      <w:snapToGrid w:val="0"/>
      <w:spacing w:line="360" w:lineRule="auto"/>
      <w:ind w:firstLine="200" w:firstLineChars="200"/>
    </w:pPr>
    <w:rPr>
      <w:rFonts w:ascii="黑体" w:eastAsia="黑体"/>
      <w:sz w:val="30"/>
      <w:szCs w:val="28"/>
    </w:rPr>
  </w:style>
  <w:style w:type="paragraph" w:styleId="29">
    <w:name w:val="toc 2"/>
    <w:basedOn w:val="1"/>
    <w:next w:val="1"/>
    <w:autoRedefine/>
    <w:qFormat/>
    <w:uiPriority w:val="39"/>
    <w:pPr>
      <w:ind w:left="200" w:leftChars="200"/>
    </w:pPr>
    <w:rPr>
      <w:rFonts w:ascii="Times New Roman"/>
    </w:rPr>
  </w:style>
  <w:style w:type="paragraph" w:styleId="30">
    <w:name w:val="Body Text 2"/>
    <w:basedOn w:val="1"/>
    <w:autoRedefine/>
    <w:qFormat/>
    <w:uiPriority w:val="0"/>
    <w:rPr>
      <w:rFonts w:ascii="楷体_GB2312" w:eastAsia="楷体_GB2312"/>
      <w:sz w:val="28"/>
    </w:rPr>
  </w:style>
  <w:style w:type="paragraph" w:styleId="3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24"/>
      <w:szCs w:val="24"/>
    </w:rPr>
  </w:style>
  <w:style w:type="paragraph" w:styleId="32">
    <w:name w:val="Normal (Web)"/>
    <w:basedOn w:val="1"/>
    <w:autoRedefine/>
    <w:qFormat/>
    <w:uiPriority w:val="99"/>
    <w:pPr>
      <w:widowControl/>
      <w:spacing w:before="100" w:beforeAutospacing="1" w:after="100" w:afterAutospacing="1"/>
      <w:jc w:val="left"/>
    </w:pPr>
    <w:rPr>
      <w:sz w:val="18"/>
      <w:szCs w:val="18"/>
    </w:rPr>
  </w:style>
  <w:style w:type="paragraph" w:styleId="33">
    <w:name w:val="Title"/>
    <w:basedOn w:val="1"/>
    <w:next w:val="1"/>
    <w:autoRedefine/>
    <w:qFormat/>
    <w:uiPriority w:val="0"/>
    <w:pPr>
      <w:spacing w:before="240" w:after="60"/>
      <w:jc w:val="center"/>
      <w:outlineLvl w:val="0"/>
    </w:pPr>
    <w:rPr>
      <w:rFonts w:ascii="Cambria" w:hAnsi="Cambria"/>
      <w:b/>
      <w:bCs/>
      <w:sz w:val="32"/>
      <w:szCs w:val="32"/>
    </w:rPr>
  </w:style>
  <w:style w:type="paragraph" w:styleId="34">
    <w:name w:val="annotation subject"/>
    <w:basedOn w:val="15"/>
    <w:next w:val="15"/>
    <w:autoRedefine/>
    <w:qFormat/>
    <w:uiPriority w:val="0"/>
    <w:rPr>
      <w:b/>
      <w:bCs/>
    </w:rPr>
  </w:style>
  <w:style w:type="paragraph" w:styleId="35">
    <w:name w:val="Body Text First Indent"/>
    <w:basedOn w:val="16"/>
    <w:next w:val="16"/>
    <w:autoRedefine/>
    <w:qFormat/>
    <w:uiPriority w:val="0"/>
    <w:pPr>
      <w:ind w:firstLine="100" w:firstLineChars="100"/>
    </w:pPr>
  </w:style>
  <w:style w:type="paragraph" w:styleId="36">
    <w:name w:val="Body Text First Indent 2"/>
    <w:basedOn w:val="17"/>
    <w:autoRedefine/>
    <w:qFormat/>
    <w:uiPriority w:val="0"/>
    <w:pPr>
      <w:spacing w:before="50"/>
      <w:ind w:firstLine="200" w:firstLineChars="200"/>
    </w:pPr>
    <w:rPr>
      <w:rFonts w:ascii="Times New Roman"/>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22"/>
    <w:rPr>
      <w:rFonts w:ascii="Times New Roman" w:hAnsi="Times New Roman" w:eastAsia="宋体" w:cs="Times New Roman"/>
      <w:b/>
      <w:lang w:bidi="ar-SA"/>
    </w:rPr>
  </w:style>
  <w:style w:type="character" w:styleId="41">
    <w:name w:val="page number"/>
    <w:autoRedefine/>
    <w:qFormat/>
    <w:uiPriority w:val="0"/>
    <w:rPr>
      <w:rFonts w:ascii="Times New Roman" w:hAnsi="Times New Roman" w:eastAsia="宋体" w:cs="Times New Roman"/>
      <w:lang w:bidi="ar-SA"/>
    </w:rPr>
  </w:style>
  <w:style w:type="character" w:styleId="42">
    <w:name w:val="FollowedHyperlink"/>
    <w:autoRedefine/>
    <w:qFormat/>
    <w:uiPriority w:val="0"/>
    <w:rPr>
      <w:rFonts w:ascii="Times New Roman" w:hAnsi="Times New Roman" w:eastAsia="宋体" w:cs="Times New Roman"/>
      <w:color w:val="333333"/>
      <w:u w:val="none"/>
      <w:lang w:bidi="ar-SA"/>
    </w:rPr>
  </w:style>
  <w:style w:type="character" w:styleId="43">
    <w:name w:val="Emphasis"/>
    <w:autoRedefine/>
    <w:qFormat/>
    <w:uiPriority w:val="0"/>
    <w:rPr>
      <w:rFonts w:ascii="Times New Roman" w:hAnsi="Times New Roman" w:eastAsia="宋体" w:cs="Times New Roman"/>
      <w:lang w:bidi="ar-SA"/>
    </w:rPr>
  </w:style>
  <w:style w:type="character" w:styleId="44">
    <w:name w:val="HTML Definition"/>
    <w:autoRedefine/>
    <w:qFormat/>
    <w:uiPriority w:val="0"/>
    <w:rPr>
      <w:rFonts w:ascii="Times New Roman" w:hAnsi="Times New Roman" w:eastAsia="宋体" w:cs="Times New Roman"/>
      <w:i/>
      <w:lang w:bidi="ar-SA"/>
    </w:rPr>
  </w:style>
  <w:style w:type="character" w:styleId="45">
    <w:name w:val="Hyperlink"/>
    <w:autoRedefine/>
    <w:qFormat/>
    <w:uiPriority w:val="0"/>
    <w:rPr>
      <w:rFonts w:ascii="Times New Roman" w:hAnsi="Times New Roman" w:eastAsia="宋体" w:cs="Times New Roman"/>
      <w:color w:val="136EC2"/>
      <w:u w:val="single"/>
      <w:lang w:bidi="ar-SA"/>
    </w:rPr>
  </w:style>
  <w:style w:type="character" w:styleId="46">
    <w:name w:val="HTML Code"/>
    <w:autoRedefine/>
    <w:qFormat/>
    <w:uiPriority w:val="0"/>
    <w:rPr>
      <w:rFonts w:ascii="Consolas" w:hAnsi="Consolas" w:eastAsia="Consolas" w:cs="Consolas"/>
      <w:color w:val="C7254E"/>
      <w:sz w:val="21"/>
      <w:szCs w:val="21"/>
      <w:shd w:val="clear" w:color="auto" w:fill="F9F2F4"/>
      <w:lang w:bidi="ar-SA"/>
    </w:rPr>
  </w:style>
  <w:style w:type="character" w:styleId="47">
    <w:name w:val="annotation reference"/>
    <w:autoRedefine/>
    <w:qFormat/>
    <w:uiPriority w:val="0"/>
    <w:rPr>
      <w:rFonts w:ascii="Times New Roman" w:hAnsi="Times New Roman" w:eastAsia="宋体" w:cs="Times New Roman"/>
      <w:sz w:val="21"/>
      <w:szCs w:val="21"/>
      <w:lang w:bidi="ar-SA"/>
    </w:rPr>
  </w:style>
  <w:style w:type="character" w:styleId="48">
    <w:name w:val="HTML Keyboard"/>
    <w:qFormat/>
    <w:uiPriority w:val="0"/>
    <w:rPr>
      <w:rFonts w:ascii="Consolas" w:hAnsi="Consolas" w:eastAsia="Consolas" w:cs="Consolas"/>
      <w:color w:val="FFFFFF"/>
      <w:sz w:val="21"/>
      <w:szCs w:val="21"/>
      <w:shd w:val="clear" w:color="auto" w:fill="333333"/>
      <w:lang w:bidi="ar-SA"/>
    </w:rPr>
  </w:style>
  <w:style w:type="character" w:styleId="49">
    <w:name w:val="HTML Sample"/>
    <w:autoRedefine/>
    <w:qFormat/>
    <w:uiPriority w:val="0"/>
    <w:rPr>
      <w:rFonts w:ascii="Consolas" w:hAnsi="Consolas" w:eastAsia="Consolas" w:cs="Consolas"/>
      <w:sz w:val="21"/>
      <w:szCs w:val="21"/>
      <w:lang w:bidi="ar-SA"/>
    </w:rPr>
  </w:style>
  <w:style w:type="character" w:customStyle="1" w:styleId="50">
    <w:name w:val="正文文本 Char"/>
    <w:link w:val="16"/>
    <w:autoRedefine/>
    <w:qFormat/>
    <w:uiPriority w:val="99"/>
    <w:rPr>
      <w:sz w:val="34"/>
    </w:rPr>
  </w:style>
  <w:style w:type="character" w:customStyle="1" w:styleId="51">
    <w:name w:val="标题 1 Char"/>
    <w:link w:val="2"/>
    <w:autoRedefine/>
    <w:qFormat/>
    <w:uiPriority w:val="0"/>
    <w:rPr>
      <w:rFonts w:ascii="Times New Roman" w:hAnsi="Times New Roman" w:eastAsia="宋体" w:cs="Times New Roman"/>
      <w:b/>
      <w:kern w:val="44"/>
      <w:sz w:val="32"/>
      <w:szCs w:val="20"/>
      <w:lang w:bidi="ar-SA"/>
    </w:rPr>
  </w:style>
  <w:style w:type="character" w:customStyle="1" w:styleId="52">
    <w:name w:val="标题 2 Char1"/>
    <w:link w:val="4"/>
    <w:autoRedefine/>
    <w:qFormat/>
    <w:uiPriority w:val="0"/>
    <w:rPr>
      <w:rFonts w:ascii="Arial" w:hAnsi="Arial" w:eastAsia="黑体" w:cs="Times New Roman"/>
      <w:b/>
      <w:kern w:val="0"/>
      <w:sz w:val="28"/>
      <w:szCs w:val="20"/>
      <w:lang w:bidi="ar-SA"/>
    </w:rPr>
  </w:style>
  <w:style w:type="character" w:customStyle="1" w:styleId="53">
    <w:name w:val="页脚 Char"/>
    <w:link w:val="24"/>
    <w:autoRedefine/>
    <w:qFormat/>
    <w:uiPriority w:val="99"/>
    <w:rPr>
      <w:rFonts w:ascii="宋体"/>
      <w:sz w:val="18"/>
    </w:rPr>
  </w:style>
  <w:style w:type="paragraph" w:customStyle="1" w:styleId="54">
    <w:name w:val="MessageHeader"/>
    <w:basedOn w:val="1"/>
    <w:next w:val="55"/>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55">
    <w:name w:val="BodyText"/>
    <w:basedOn w:val="1"/>
    <w:next w:val="1"/>
    <w:autoRedefine/>
    <w:qFormat/>
    <w:uiPriority w:val="0"/>
    <w:pPr>
      <w:jc w:val="center"/>
      <w:textAlignment w:val="baseline"/>
    </w:pPr>
  </w:style>
  <w:style w:type="paragraph" w:customStyle="1" w:styleId="56">
    <w:name w:val="样式2"/>
    <w:basedOn w:val="1"/>
    <w:autoRedefine/>
    <w:qFormat/>
    <w:uiPriority w:val="0"/>
    <w:pPr>
      <w:spacing w:line="360" w:lineRule="auto"/>
      <w:ind w:firstLine="200" w:firstLineChars="200"/>
    </w:pPr>
    <w:rPr>
      <w:rFonts w:ascii="Calibri" w:hAnsi="Calibri" w:cs="黑体"/>
      <w:sz w:val="24"/>
    </w:rPr>
  </w:style>
  <w:style w:type="character" w:customStyle="1" w:styleId="57">
    <w:name w:val="font41"/>
    <w:qFormat/>
    <w:uiPriority w:val="0"/>
    <w:rPr>
      <w:rFonts w:ascii="宋体" w:eastAsia="宋体" w:cs="宋体"/>
      <w:color w:val="000000"/>
      <w:sz w:val="24"/>
      <w:szCs w:val="24"/>
      <w:u w:val="none"/>
      <w:lang w:bidi="ar-SA"/>
    </w:rPr>
  </w:style>
  <w:style w:type="character" w:customStyle="1" w:styleId="58">
    <w:name w:val="hover3"/>
    <w:autoRedefine/>
    <w:qFormat/>
    <w:uiPriority w:val="0"/>
    <w:rPr>
      <w:rFonts w:ascii="Times New Roman" w:hAnsi="Times New Roman" w:eastAsia="宋体" w:cs="Times New Roman"/>
      <w:shd w:val="clear" w:color="auto" w:fill="EEEEEE"/>
      <w:lang w:bidi="ar-SA"/>
    </w:rPr>
  </w:style>
  <w:style w:type="character" w:customStyle="1" w:styleId="59">
    <w:name w:val="hour_pm"/>
    <w:autoRedefine/>
    <w:qFormat/>
    <w:uiPriority w:val="0"/>
    <w:rPr>
      <w:rFonts w:ascii="Times New Roman" w:hAnsi="Times New Roman" w:eastAsia="宋体" w:cs="Times New Roman"/>
      <w:lang w:bidi="ar-SA"/>
    </w:rPr>
  </w:style>
  <w:style w:type="character" w:customStyle="1" w:styleId="60">
    <w:name w:val="正文缩进 Char1"/>
    <w:autoRedefine/>
    <w:qFormat/>
    <w:uiPriority w:val="0"/>
    <w:rPr>
      <w:rFonts w:ascii="Times New Roman" w:hAnsi="Times New Roman" w:eastAsia="宋体" w:cs="Times New Roman"/>
      <w:kern w:val="2"/>
      <w:sz w:val="21"/>
      <w:lang w:val="en-US" w:eastAsia="zh-CN" w:bidi="ar-SA"/>
    </w:rPr>
  </w:style>
  <w:style w:type="character" w:customStyle="1" w:styleId="61">
    <w:name w:val="bsharetext"/>
    <w:autoRedefine/>
    <w:qFormat/>
    <w:uiPriority w:val="0"/>
    <w:rPr>
      <w:rFonts w:ascii="Times New Roman" w:hAnsi="Times New Roman" w:eastAsia="宋体" w:cs="Times New Roman"/>
      <w:lang w:bidi="ar-SA"/>
    </w:rPr>
  </w:style>
  <w:style w:type="character" w:customStyle="1" w:styleId="62">
    <w:name w:val="font101"/>
    <w:autoRedefine/>
    <w:qFormat/>
    <w:uiPriority w:val="0"/>
    <w:rPr>
      <w:rFonts w:ascii="宋体" w:eastAsia="宋体" w:cs="宋体"/>
      <w:color w:val="FF0000"/>
      <w:sz w:val="20"/>
      <w:szCs w:val="20"/>
      <w:u w:val="none"/>
      <w:lang w:bidi="ar-SA"/>
    </w:rPr>
  </w:style>
  <w:style w:type="character" w:customStyle="1" w:styleId="63">
    <w:name w:val="span-long"/>
    <w:autoRedefine/>
    <w:qFormat/>
    <w:uiPriority w:val="0"/>
    <w:rPr>
      <w:rFonts w:ascii="Times New Roman" w:hAnsi="Times New Roman" w:eastAsia="宋体" w:cs="Times New Roman"/>
      <w:lang w:bidi="ar-SA"/>
    </w:rPr>
  </w:style>
  <w:style w:type="character" w:customStyle="1" w:styleId="64">
    <w:name w:val="Char Char12"/>
    <w:autoRedefine/>
    <w:qFormat/>
    <w:uiPriority w:val="0"/>
    <w:rPr>
      <w:rFonts w:ascii="Arial" w:hAnsi="Arial" w:eastAsia="黑体" w:cs="Times New Roman"/>
      <w:b/>
      <w:sz w:val="28"/>
      <w:szCs w:val="20"/>
      <w:lang w:bidi="ar-SA"/>
    </w:rPr>
  </w:style>
  <w:style w:type="character" w:customStyle="1" w:styleId="65">
    <w:name w:val="font01"/>
    <w:autoRedefine/>
    <w:qFormat/>
    <w:uiPriority w:val="0"/>
    <w:rPr>
      <w:rFonts w:ascii="Calibri" w:hAnsi="Calibri" w:eastAsia="宋体" w:cs="Calibri"/>
      <w:color w:val="000000"/>
      <w:sz w:val="24"/>
      <w:szCs w:val="24"/>
      <w:u w:val="none"/>
      <w:lang w:bidi="ar-SA"/>
    </w:rPr>
  </w:style>
  <w:style w:type="character" w:customStyle="1" w:styleId="66">
    <w:name w:val="font91"/>
    <w:autoRedefine/>
    <w:qFormat/>
    <w:uiPriority w:val="0"/>
    <w:rPr>
      <w:rFonts w:ascii="Arial" w:hAnsi="Arial" w:eastAsia="宋体" w:cs="Arial"/>
      <w:color w:val="000000"/>
      <w:sz w:val="24"/>
      <w:szCs w:val="24"/>
      <w:u w:val="none"/>
      <w:lang w:bidi="ar-SA"/>
    </w:rPr>
  </w:style>
  <w:style w:type="character" w:customStyle="1" w:styleId="67">
    <w:name w:val="font21"/>
    <w:autoRedefine/>
    <w:qFormat/>
    <w:uiPriority w:val="0"/>
    <w:rPr>
      <w:rFonts w:ascii="宋体" w:eastAsia="宋体" w:cs="宋体"/>
      <w:color w:val="000000"/>
      <w:sz w:val="21"/>
      <w:szCs w:val="21"/>
      <w:u w:val="none"/>
      <w:lang w:bidi="ar-SA"/>
    </w:rPr>
  </w:style>
  <w:style w:type="character" w:customStyle="1" w:styleId="68">
    <w:name w:val="input-direction"/>
    <w:autoRedefine/>
    <w:qFormat/>
    <w:uiPriority w:val="0"/>
    <w:rPr>
      <w:rFonts w:ascii="Times New Roman" w:hAnsi="Times New Roman" w:eastAsia="宋体" w:cs="Times New Roman"/>
      <w:color w:val="FF6600"/>
      <w:lang w:bidi="ar-SA"/>
    </w:rPr>
  </w:style>
  <w:style w:type="character" w:customStyle="1" w:styleId="69">
    <w:name w:val="font171"/>
    <w:autoRedefine/>
    <w:qFormat/>
    <w:uiPriority w:val="0"/>
    <w:rPr>
      <w:rFonts w:ascii="宋体" w:eastAsia="宋体" w:cs="宋体"/>
      <w:b/>
      <w:color w:val="000000"/>
      <w:sz w:val="20"/>
      <w:szCs w:val="20"/>
      <w:u w:val="none"/>
      <w:lang w:bidi="ar-SA"/>
    </w:rPr>
  </w:style>
  <w:style w:type="character" w:customStyle="1" w:styleId="70">
    <w:name w:val="普通文字1 Char"/>
    <w:autoRedefine/>
    <w:qFormat/>
    <w:uiPriority w:val="0"/>
    <w:rPr>
      <w:rFonts w:ascii="宋体" w:eastAsia="宋体" w:cs="Times New Roman"/>
      <w:kern w:val="2"/>
      <w:sz w:val="21"/>
      <w:lang w:val="en-US" w:eastAsia="zh-CN" w:bidi="ar-SA"/>
    </w:rPr>
  </w:style>
  <w:style w:type="character" w:customStyle="1" w:styleId="71">
    <w:name w:val="正文文本缩进 字符1"/>
    <w:autoRedefine/>
    <w:semiHidden/>
    <w:qFormat/>
    <w:uiPriority w:val="99"/>
    <w:rPr>
      <w:rFonts w:ascii="Calibri" w:hAnsi="Calibri" w:eastAsia="宋体" w:cs="Times New Roman"/>
    </w:rPr>
  </w:style>
  <w:style w:type="character" w:customStyle="1" w:styleId="72">
    <w:name w:val="font111"/>
    <w:autoRedefine/>
    <w:qFormat/>
    <w:uiPriority w:val="0"/>
    <w:rPr>
      <w:rFonts w:ascii="Arial" w:hAnsi="Arial" w:eastAsia="宋体" w:cs="Arial"/>
      <w:color w:val="000000"/>
      <w:sz w:val="18"/>
      <w:szCs w:val="18"/>
      <w:u w:val="none"/>
      <w:lang w:bidi="ar-SA"/>
    </w:rPr>
  </w:style>
  <w:style w:type="character" w:customStyle="1" w:styleId="73">
    <w:name w:val="font11"/>
    <w:autoRedefine/>
    <w:qFormat/>
    <w:uiPriority w:val="0"/>
    <w:rPr>
      <w:rFonts w:ascii="宋体" w:eastAsia="宋体" w:cs="宋体"/>
      <w:color w:val="000000"/>
      <w:sz w:val="24"/>
      <w:szCs w:val="24"/>
      <w:u w:val="none"/>
      <w:lang w:bidi="ar-SA"/>
    </w:rPr>
  </w:style>
  <w:style w:type="character" w:customStyle="1" w:styleId="74">
    <w:name w:val="font81"/>
    <w:autoRedefine/>
    <w:qFormat/>
    <w:uiPriority w:val="0"/>
    <w:rPr>
      <w:rFonts w:ascii="宋体" w:eastAsia="宋体" w:cs="宋体"/>
      <w:color w:val="333333"/>
      <w:sz w:val="18"/>
      <w:szCs w:val="18"/>
      <w:u w:val="none"/>
      <w:lang w:bidi="ar-SA"/>
    </w:rPr>
  </w:style>
  <w:style w:type="character" w:customStyle="1" w:styleId="75">
    <w:name w:val="hilite"/>
    <w:autoRedefine/>
    <w:qFormat/>
    <w:uiPriority w:val="0"/>
    <w:rPr>
      <w:rFonts w:ascii="Times New Roman" w:hAnsi="Times New Roman" w:eastAsia="宋体" w:cs="Times New Roman"/>
      <w:color w:val="FFFFFF"/>
      <w:shd w:val="clear" w:color="auto" w:fill="666677"/>
      <w:lang w:bidi="ar-SA"/>
    </w:rPr>
  </w:style>
  <w:style w:type="character" w:customStyle="1" w:styleId="76">
    <w:name w:val="font61"/>
    <w:autoRedefine/>
    <w:qFormat/>
    <w:uiPriority w:val="0"/>
    <w:rPr>
      <w:rFonts w:ascii="宋体" w:eastAsia="宋体" w:cs="宋体"/>
      <w:color w:val="000000"/>
      <w:sz w:val="18"/>
      <w:szCs w:val="18"/>
      <w:u w:val="none"/>
      <w:lang w:bidi="ar-SA"/>
    </w:rPr>
  </w:style>
  <w:style w:type="character" w:customStyle="1" w:styleId="77">
    <w:name w:val="proollist"/>
    <w:autoRedefine/>
    <w:qFormat/>
    <w:uiPriority w:val="0"/>
    <w:rPr>
      <w:rFonts w:ascii="Times New Roman" w:hAnsi="Times New Roman" w:eastAsia="宋体" w:cs="Times New Roman"/>
      <w:lang w:bidi="ar-SA"/>
    </w:rPr>
  </w:style>
  <w:style w:type="character" w:customStyle="1" w:styleId="78">
    <w:name w:val="number"/>
    <w:autoRedefine/>
    <w:qFormat/>
    <w:uiPriority w:val="0"/>
    <w:rPr>
      <w:rFonts w:ascii="Times New Roman" w:hAnsi="Times New Roman" w:eastAsia="宋体" w:cs="Times New Roman"/>
      <w:color w:val="FF8833"/>
      <w:sz w:val="18"/>
      <w:szCs w:val="18"/>
      <w:lang w:bidi="ar-SA"/>
    </w:rPr>
  </w:style>
  <w:style w:type="character" w:customStyle="1" w:styleId="79">
    <w:name w:val="font31"/>
    <w:autoRedefine/>
    <w:qFormat/>
    <w:uiPriority w:val="0"/>
    <w:rPr>
      <w:rFonts w:ascii="Cambria" w:hAnsi="Cambria" w:eastAsia="Cambria" w:cs="Cambria"/>
      <w:color w:val="000000"/>
      <w:sz w:val="18"/>
      <w:szCs w:val="18"/>
      <w:u w:val="none"/>
      <w:lang w:bidi="ar-SA"/>
    </w:rPr>
  </w:style>
  <w:style w:type="character" w:customStyle="1" w:styleId="80">
    <w:name w:val="style61"/>
    <w:autoRedefine/>
    <w:qFormat/>
    <w:uiPriority w:val="0"/>
    <w:rPr>
      <w:rFonts w:ascii="Times New Roman" w:hAnsi="Times New Roman" w:eastAsia="宋体" w:cs="Times New Roman"/>
      <w:color w:val="FF0000"/>
      <w:lang w:bidi="ar-SA"/>
    </w:rPr>
  </w:style>
  <w:style w:type="character" w:customStyle="1" w:styleId="81">
    <w:name w:val="button"/>
    <w:autoRedefine/>
    <w:qFormat/>
    <w:uiPriority w:val="0"/>
    <w:rPr>
      <w:rFonts w:ascii="Times New Roman" w:hAnsi="Times New Roman" w:eastAsia="宋体" w:cs="Times New Roman"/>
      <w:lang w:bidi="ar-SA"/>
    </w:rPr>
  </w:style>
  <w:style w:type="character" w:customStyle="1" w:styleId="82">
    <w:name w:val="glyphicon4"/>
    <w:autoRedefine/>
    <w:qFormat/>
    <w:uiPriority w:val="0"/>
    <w:rPr>
      <w:rFonts w:ascii="Times New Roman" w:hAnsi="Times New Roman" w:eastAsia="宋体" w:cs="Times New Roman"/>
      <w:lang w:bidi="ar-SA"/>
    </w:rPr>
  </w:style>
  <w:style w:type="character" w:customStyle="1" w:styleId="83">
    <w:name w:val="beforeinfotext"/>
    <w:autoRedefine/>
    <w:qFormat/>
    <w:uiPriority w:val="0"/>
    <w:rPr>
      <w:rFonts w:ascii="Times New Roman" w:hAnsi="Times New Roman" w:eastAsia="宋体" w:cs="Times New Roman"/>
      <w:color w:val="666666"/>
      <w:lang w:bidi="ar-SA"/>
    </w:rPr>
  </w:style>
  <w:style w:type="character" w:customStyle="1" w:styleId="84">
    <w:name w:val="old"/>
    <w:autoRedefine/>
    <w:qFormat/>
    <w:uiPriority w:val="0"/>
    <w:rPr>
      <w:rFonts w:ascii="Times New Roman" w:hAnsi="Times New Roman" w:eastAsia="宋体" w:cs="Times New Roman"/>
      <w:color w:val="999999"/>
      <w:lang w:bidi="ar-SA"/>
    </w:rPr>
  </w:style>
  <w:style w:type="character" w:customStyle="1" w:styleId="85">
    <w:name w:val="font51"/>
    <w:autoRedefine/>
    <w:qFormat/>
    <w:uiPriority w:val="0"/>
    <w:rPr>
      <w:rFonts w:ascii="宋体" w:eastAsia="宋体" w:cs="宋体"/>
      <w:color w:val="000000"/>
      <w:sz w:val="22"/>
      <w:szCs w:val="22"/>
      <w:u w:val="none"/>
      <w:lang w:bidi="ar-SA"/>
    </w:rPr>
  </w:style>
  <w:style w:type="character" w:customStyle="1" w:styleId="86">
    <w:name w:val="bds_nopic2"/>
    <w:autoRedefine/>
    <w:qFormat/>
    <w:uiPriority w:val="0"/>
    <w:rPr>
      <w:rFonts w:ascii="Times New Roman" w:hAnsi="Times New Roman" w:eastAsia="宋体" w:cs="Times New Roman"/>
      <w:lang w:bidi="ar-SA"/>
    </w:rPr>
  </w:style>
  <w:style w:type="character" w:customStyle="1" w:styleId="87">
    <w:name w:val="hour_am"/>
    <w:autoRedefine/>
    <w:qFormat/>
    <w:uiPriority w:val="0"/>
    <w:rPr>
      <w:rFonts w:ascii="Times New Roman" w:hAnsi="Times New Roman" w:eastAsia="宋体" w:cs="Times New Roman"/>
      <w:lang w:bidi="ar-SA"/>
    </w:rPr>
  </w:style>
  <w:style w:type="character" w:customStyle="1" w:styleId="88">
    <w:name w:val="indent"/>
    <w:autoRedefine/>
    <w:qFormat/>
    <w:uiPriority w:val="0"/>
    <w:rPr>
      <w:rFonts w:ascii="Times New Roman" w:hAnsi="Times New Roman" w:eastAsia="宋体" w:cs="Times New Roman"/>
      <w:lang w:bidi="ar-SA"/>
    </w:rPr>
  </w:style>
  <w:style w:type="character" w:customStyle="1" w:styleId="89">
    <w:name w:val="标题 2 Char"/>
    <w:autoRedefine/>
    <w:qFormat/>
    <w:uiPriority w:val="0"/>
    <w:rPr>
      <w:rFonts w:ascii="Arial" w:hAnsi="Arial" w:eastAsia="黑体" w:cs="Times New Roman"/>
      <w:b/>
      <w:sz w:val="28"/>
      <w:szCs w:val="20"/>
      <w:lang w:bidi="ar-SA"/>
    </w:rPr>
  </w:style>
  <w:style w:type="character" w:customStyle="1" w:styleId="90">
    <w:name w:val="tmpztreemove_arrow"/>
    <w:autoRedefine/>
    <w:qFormat/>
    <w:uiPriority w:val="0"/>
    <w:rPr>
      <w:rFonts w:ascii="Times New Roman" w:hAnsi="Times New Roman" w:eastAsia="宋体" w:cs="Times New Roman"/>
      <w:shd w:val="clear" w:color="auto" w:fill="FFFFFF"/>
      <w:lang w:bidi="ar-SA"/>
    </w:rPr>
  </w:style>
  <w:style w:type="character" w:customStyle="1" w:styleId="91">
    <w:name w:val="active6"/>
    <w:autoRedefine/>
    <w:qFormat/>
    <w:uiPriority w:val="0"/>
    <w:rPr>
      <w:rFonts w:ascii="Times New Roman" w:hAnsi="Times New Roman" w:eastAsia="宋体" w:cs="Times New Roman"/>
      <w:color w:val="00FF00"/>
      <w:shd w:val="clear" w:color="auto" w:fill="000000"/>
      <w:lang w:bidi="ar-SA"/>
    </w:rPr>
  </w:style>
  <w:style w:type="character" w:customStyle="1" w:styleId="92">
    <w:name w:val="after"/>
    <w:autoRedefine/>
    <w:qFormat/>
    <w:uiPriority w:val="0"/>
    <w:rPr>
      <w:rFonts w:ascii="Times New Roman" w:hAnsi="Times New Roman" w:eastAsia="宋体" w:cs="Times New Roman"/>
      <w:shd w:val="clear" w:color="auto" w:fill="FFFFFF"/>
      <w:lang w:bidi="ar-SA"/>
    </w:rPr>
  </w:style>
  <w:style w:type="character" w:customStyle="1" w:styleId="93">
    <w:name w:val="无"/>
    <w:autoRedefine/>
    <w:qFormat/>
    <w:uiPriority w:val="0"/>
    <w:rPr>
      <w:rFonts w:ascii="Times New Roman" w:hAnsi="Times New Roman" w:eastAsia="宋体" w:cs="Times New Roman"/>
      <w:lang w:bidi="ar-SA"/>
    </w:rPr>
  </w:style>
  <w:style w:type="character" w:customStyle="1" w:styleId="94">
    <w:name w:val="font71"/>
    <w:autoRedefine/>
    <w:qFormat/>
    <w:uiPriority w:val="0"/>
    <w:rPr>
      <w:rFonts w:ascii="Times New Roman" w:hAnsi="Times New Roman" w:eastAsia="宋体" w:cs="Times New Roman"/>
      <w:color w:val="000000"/>
      <w:sz w:val="22"/>
      <w:szCs w:val="22"/>
      <w:u w:val="none"/>
      <w:lang w:bidi="ar-SA"/>
    </w:rPr>
  </w:style>
  <w:style w:type="character" w:customStyle="1" w:styleId="95">
    <w:name w:val="stclosebtn"/>
    <w:autoRedefine/>
    <w:qFormat/>
    <w:uiPriority w:val="0"/>
    <w:rPr>
      <w:rFonts w:ascii="Times New Roman" w:hAnsi="Times New Roman" w:eastAsia="宋体" w:cs="Times New Roman"/>
      <w:lang w:bidi="ar-SA"/>
    </w:rPr>
  </w:style>
  <w:style w:type="character" w:customStyle="1" w:styleId="96">
    <w:name w:val="hilite6"/>
    <w:autoRedefine/>
    <w:qFormat/>
    <w:uiPriority w:val="0"/>
    <w:rPr>
      <w:rFonts w:ascii="Times New Roman" w:hAnsi="Times New Roman" w:eastAsia="宋体" w:cs="Times New Roman"/>
      <w:color w:val="FFFFFF"/>
      <w:shd w:val="clear" w:color="auto" w:fill="666677"/>
      <w:lang w:bidi="ar-SA"/>
    </w:rPr>
  </w:style>
  <w:style w:type="character" w:customStyle="1" w:styleId="97">
    <w:name w:val="button2"/>
    <w:autoRedefine/>
    <w:qFormat/>
    <w:uiPriority w:val="0"/>
    <w:rPr>
      <w:rFonts w:ascii="Times New Roman" w:hAnsi="Times New Roman" w:eastAsia="宋体" w:cs="Times New Roman"/>
      <w:lang w:bidi="ar-SA"/>
    </w:rPr>
  </w:style>
  <w:style w:type="character" w:customStyle="1" w:styleId="98">
    <w:name w:val="phone"/>
    <w:autoRedefine/>
    <w:qFormat/>
    <w:uiPriority w:val="0"/>
    <w:rPr>
      <w:rFonts w:ascii="Times New Roman" w:hAnsi="Times New Roman" w:eastAsia="宋体" w:cs="Times New Roman"/>
      <w:color w:val="FF8833"/>
      <w:sz w:val="18"/>
      <w:szCs w:val="18"/>
      <w:lang w:bidi="ar-SA"/>
    </w:rPr>
  </w:style>
  <w:style w:type="character" w:customStyle="1" w:styleId="99">
    <w:name w:val="active"/>
    <w:autoRedefine/>
    <w:qFormat/>
    <w:uiPriority w:val="0"/>
    <w:rPr>
      <w:rFonts w:ascii="Times New Roman" w:hAnsi="Times New Roman" w:eastAsia="宋体" w:cs="Times New Roman"/>
      <w:color w:val="00FF00"/>
      <w:shd w:val="clear" w:color="auto" w:fill="000000"/>
      <w:lang w:bidi="ar-SA"/>
    </w:rPr>
  </w:style>
  <w:style w:type="paragraph" w:customStyle="1" w:styleId="100">
    <w:name w:val="Char Char Char Char"/>
    <w:basedOn w:val="1"/>
    <w:autoRedefine/>
    <w:qFormat/>
    <w:uiPriority w:val="0"/>
    <w:rPr>
      <w:rFonts w:ascii="Tahoma" w:hAnsi="Tahoma"/>
      <w:sz w:val="24"/>
    </w:rPr>
  </w:style>
  <w:style w:type="paragraph" w:customStyle="1" w:styleId="101">
    <w:name w:val="列出段落1"/>
    <w:basedOn w:val="1"/>
    <w:autoRedefine/>
    <w:qFormat/>
    <w:uiPriority w:val="0"/>
    <w:pPr>
      <w:widowControl/>
      <w:ind w:firstLine="200" w:firstLineChars="200"/>
      <w:jc w:val="left"/>
    </w:pPr>
    <w:rPr>
      <w:sz w:val="24"/>
      <w:lang w:val="zh-CN"/>
    </w:rPr>
  </w:style>
  <w:style w:type="paragraph" w:customStyle="1" w:styleId="102">
    <w:name w:val="List Paragraph1"/>
    <w:basedOn w:val="1"/>
    <w:autoRedefine/>
    <w:qFormat/>
    <w:uiPriority w:val="0"/>
    <w:pPr>
      <w:widowControl/>
      <w:ind w:left="720"/>
      <w:contextualSpacing/>
      <w:jc w:val="left"/>
    </w:pPr>
    <w:rPr>
      <w:rFonts w:ascii="Calibri" w:hAnsi="Calibri"/>
      <w:sz w:val="24"/>
      <w:szCs w:val="22"/>
      <w:lang w:bidi="en-US"/>
    </w:rPr>
  </w:style>
  <w:style w:type="paragraph" w:customStyle="1" w:styleId="103">
    <w:name w:val="_Style 5"/>
    <w:basedOn w:val="1"/>
    <w:autoRedefine/>
    <w:qFormat/>
    <w:uiPriority w:val="0"/>
    <w:pPr>
      <w:ind w:firstLine="200" w:firstLineChars="200"/>
    </w:pPr>
    <w:rPr>
      <w:rFonts w:ascii="Calibri" w:hAnsi="Calibri"/>
      <w:szCs w:val="21"/>
    </w:rPr>
  </w:style>
  <w:style w:type="paragraph" w:customStyle="1" w:styleId="104">
    <w:name w:val="正文 A"/>
    <w:autoRedefine/>
    <w:qFormat/>
    <w:uiPriority w:val="0"/>
    <w:rPr>
      <w:rFonts w:ascii="Arial Black" w:hAnsi="Times New Roman" w:eastAsia="Arial Black" w:cs="Arial Black"/>
      <w:color w:val="000000"/>
      <w:sz w:val="21"/>
      <w:szCs w:val="21"/>
      <w:lang w:val="en-US" w:eastAsia="zh-CN" w:bidi="ar-SA"/>
    </w:rPr>
  </w:style>
  <w:style w:type="paragraph" w:customStyle="1" w:styleId="105">
    <w:name w:val="_Style 6"/>
    <w:basedOn w:val="1"/>
    <w:next w:val="1"/>
    <w:autoRedefine/>
    <w:qFormat/>
    <w:uiPriority w:val="0"/>
    <w:pPr>
      <w:pBdr>
        <w:bottom w:val="single" w:color="auto" w:sz="6" w:space="1"/>
      </w:pBdr>
      <w:jc w:val="center"/>
    </w:pPr>
    <w:rPr>
      <w:rFonts w:ascii="Arial" w:hAnsi="Arial"/>
      <w:vanish/>
      <w:sz w:val="16"/>
    </w:rPr>
  </w:style>
  <w:style w:type="paragraph" w:customStyle="1" w:styleId="106">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07">
    <w:name w:val="表格"/>
    <w:basedOn w:val="1"/>
    <w:autoRedefine/>
    <w:qFormat/>
    <w:uiPriority w:val="0"/>
    <w:pPr>
      <w:spacing w:line="400" w:lineRule="exact"/>
    </w:pPr>
    <w:rPr>
      <w:rFonts w:ascii="Times New Roman"/>
      <w:sz w:val="24"/>
    </w:rPr>
  </w:style>
  <w:style w:type="paragraph" w:customStyle="1" w:styleId="108">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09">
    <w:name w:val="正文四号"/>
    <w:basedOn w:val="1"/>
    <w:autoRedefine/>
    <w:qFormat/>
    <w:uiPriority w:val="0"/>
    <w:rPr>
      <w:rFonts w:cs="方正楷体_GB2312"/>
      <w:szCs w:val="28"/>
    </w:rPr>
  </w:style>
  <w:style w:type="paragraph" w:customStyle="1" w:styleId="110">
    <w:name w:val="正文 New New New New New New New New New New New New New New New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 Spacing1"/>
    <w:basedOn w:val="1"/>
    <w:autoRedefine/>
    <w:qFormat/>
    <w:uiPriority w:val="0"/>
    <w:pPr>
      <w:spacing w:line="400" w:lineRule="exact"/>
    </w:pPr>
    <w:rPr>
      <w:sz w:val="24"/>
    </w:rPr>
  </w:style>
  <w:style w:type="paragraph" w:customStyle="1" w:styleId="112">
    <w:name w:val="p0"/>
    <w:basedOn w:val="1"/>
    <w:autoRedefine/>
    <w:qFormat/>
    <w:uiPriority w:val="0"/>
    <w:pPr>
      <w:widowControl/>
    </w:pPr>
    <w:rPr>
      <w:szCs w:val="21"/>
    </w:rPr>
  </w:style>
  <w:style w:type="paragraph" w:customStyle="1" w:styleId="11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4">
    <w:name w:val="title13"/>
    <w:basedOn w:val="1"/>
    <w:autoRedefine/>
    <w:qFormat/>
    <w:uiPriority w:val="0"/>
    <w:pPr>
      <w:spacing w:before="150"/>
      <w:jc w:val="left"/>
    </w:pPr>
    <w:rPr>
      <w:rFonts w:ascii="Times New Roman"/>
      <w:b/>
      <w:sz w:val="22"/>
      <w:szCs w:val="22"/>
    </w:rPr>
  </w:style>
  <w:style w:type="paragraph" w:customStyle="1" w:styleId="115">
    <w:name w:val="正文首行缩进两字符"/>
    <w:basedOn w:val="1"/>
    <w:autoRedefine/>
    <w:qFormat/>
    <w:uiPriority w:val="0"/>
    <w:pPr>
      <w:spacing w:line="360" w:lineRule="auto"/>
      <w:ind w:firstLine="200" w:firstLineChars="200"/>
    </w:pPr>
    <w:rPr>
      <w:rFonts w:ascii="Times New Roman"/>
    </w:rPr>
  </w:style>
  <w:style w:type="paragraph" w:customStyle="1" w:styleId="116">
    <w:name w:val="表格文字"/>
    <w:basedOn w:val="1"/>
    <w:autoRedefine/>
    <w:qFormat/>
    <w:uiPriority w:val="0"/>
    <w:pPr>
      <w:spacing w:before="25" w:after="25"/>
      <w:jc w:val="left"/>
    </w:pPr>
    <w:rPr>
      <w:rFonts w:ascii="Times New Roman"/>
      <w:bCs/>
      <w:spacing w:val="10"/>
      <w:sz w:val="24"/>
    </w:rPr>
  </w:style>
  <w:style w:type="paragraph" w:customStyle="1" w:styleId="117">
    <w:name w:val="Table Paragraph"/>
    <w:basedOn w:val="1"/>
    <w:autoRedefine/>
    <w:qFormat/>
    <w:uiPriority w:val="0"/>
    <w:rPr>
      <w:rFonts w:ascii="Times New Roman"/>
    </w:rPr>
  </w:style>
  <w:style w:type="paragraph" w:styleId="118">
    <w:name w:val="List Paragraph"/>
    <w:basedOn w:val="1"/>
    <w:autoRedefine/>
    <w:qFormat/>
    <w:uiPriority w:val="0"/>
    <w:pPr>
      <w:ind w:firstLine="200" w:firstLineChars="200"/>
    </w:pPr>
    <w:rPr>
      <w:rFonts w:ascii="Calibri" w:hAnsi="Calibri"/>
    </w:rPr>
  </w:style>
  <w:style w:type="paragraph" w:customStyle="1" w:styleId="119">
    <w:name w:val="title11"/>
    <w:basedOn w:val="1"/>
    <w:autoRedefine/>
    <w:qFormat/>
    <w:uiPriority w:val="0"/>
    <w:pPr>
      <w:spacing w:before="150"/>
      <w:jc w:val="left"/>
    </w:pPr>
    <w:rPr>
      <w:rFonts w:ascii="Times New Roman"/>
      <w:b/>
      <w:sz w:val="22"/>
      <w:szCs w:val="22"/>
    </w:rPr>
  </w:style>
  <w:style w:type="paragraph" w:customStyle="1" w:styleId="120">
    <w:name w:val="_Style 7"/>
    <w:basedOn w:val="1"/>
    <w:next w:val="1"/>
    <w:autoRedefine/>
    <w:qFormat/>
    <w:uiPriority w:val="0"/>
    <w:pPr>
      <w:pBdr>
        <w:top w:val="single" w:color="auto" w:sz="6" w:space="1"/>
      </w:pBdr>
      <w:jc w:val="center"/>
    </w:pPr>
    <w:rPr>
      <w:rFonts w:ascii="Arial" w:hAnsi="Arial"/>
      <w:vanish/>
      <w:sz w:val="16"/>
    </w:rPr>
  </w:style>
  <w:style w:type="paragraph" w:customStyle="1" w:styleId="121">
    <w:name w:val="列出段落2"/>
    <w:basedOn w:val="1"/>
    <w:autoRedefine/>
    <w:qFormat/>
    <w:uiPriority w:val="0"/>
    <w:pPr>
      <w:ind w:firstLine="200" w:firstLineChars="200"/>
    </w:pPr>
    <w:rPr>
      <w:rFonts w:ascii="Times New Roman"/>
    </w:rPr>
  </w:style>
  <w:style w:type="paragraph" w:customStyle="1" w:styleId="122">
    <w:name w:val="_Style 119"/>
    <w:basedOn w:val="2"/>
    <w:next w:val="1"/>
    <w:autoRedefine/>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23">
    <w:name w:val="样式 首行缩进:  2 字符"/>
    <w:basedOn w:val="1"/>
    <w:autoRedefine/>
    <w:qFormat/>
    <w:uiPriority w:val="0"/>
    <w:pPr>
      <w:spacing w:line="400" w:lineRule="exact"/>
      <w:ind w:firstLine="200" w:firstLineChars="200"/>
    </w:pPr>
    <w:rPr>
      <w:rFonts w:ascii="Times New Roman" w:cs="宋体"/>
      <w:sz w:val="24"/>
    </w:rPr>
  </w:style>
  <w:style w:type="paragraph" w:customStyle="1" w:styleId="124">
    <w:name w:val="CM15"/>
    <w:basedOn w:val="113"/>
    <w:next w:val="113"/>
    <w:autoRedefine/>
    <w:qFormat/>
    <w:uiPriority w:val="0"/>
    <w:pPr>
      <w:spacing w:line="468" w:lineRule="atLeast"/>
    </w:pPr>
  </w:style>
  <w:style w:type="paragraph" w:customStyle="1" w:styleId="125">
    <w:name w:val="默认段落字体 Para Char Char Char Char Char Char Char"/>
    <w:basedOn w:val="1"/>
    <w:autoRedefine/>
    <w:qFormat/>
    <w:uiPriority w:val="0"/>
    <w:rPr>
      <w:rFonts w:ascii="Tahoma" w:hAnsi="Tahoma"/>
      <w:sz w:val="24"/>
    </w:rPr>
  </w:style>
  <w:style w:type="paragraph" w:customStyle="1" w:styleId="126">
    <w:name w:val="Char1"/>
    <w:basedOn w:val="1"/>
    <w:autoRedefine/>
    <w:qFormat/>
    <w:uiPriority w:val="0"/>
    <w:rPr>
      <w:rFonts w:ascii="Times New Roman"/>
      <w:szCs w:val="21"/>
    </w:rPr>
  </w:style>
  <w:style w:type="paragraph" w:customStyle="1" w:styleId="127">
    <w:name w:val="正文 New"/>
    <w:autoRedefine/>
    <w:qFormat/>
    <w:uiPriority w:val="0"/>
    <w:pPr>
      <w:widowControl w:val="0"/>
      <w:jc w:val="both"/>
    </w:pPr>
    <w:rPr>
      <w:rFonts w:ascii="Times New Roman" w:hAnsi="Times New Roman" w:eastAsia="宋体" w:cs="Times New Roman"/>
      <w:lang w:val="en-US" w:eastAsia="zh-CN" w:bidi="ar-SA"/>
    </w:rPr>
  </w:style>
  <w:style w:type="character" w:customStyle="1" w:styleId="128">
    <w:name w:val="NormalCharacter"/>
    <w:autoRedefine/>
    <w:qFormat/>
    <w:uiPriority w:val="0"/>
    <w:rPr>
      <w:kern w:val="2"/>
      <w:sz w:val="21"/>
      <w:szCs w:val="24"/>
      <w:lang w:val="en-US" w:eastAsia="zh-CN" w:bidi="ar-SA"/>
    </w:rPr>
  </w:style>
  <w:style w:type="paragraph" w:customStyle="1" w:styleId="129">
    <w:name w:val="正文文本1"/>
    <w:basedOn w:val="1"/>
    <w:autoRedefine/>
    <w:unhideWhenUsed/>
    <w:qFormat/>
    <w:uiPriority w:val="0"/>
    <w:pPr>
      <w:shd w:val="clear" w:color="auto" w:fill="FFFFFF"/>
      <w:spacing w:line="240" w:lineRule="atLeast"/>
      <w:jc w:val="left"/>
    </w:pPr>
    <w:rPr>
      <w:rFonts w:ascii="Times New Roman" w:eastAsia="Times New Roman"/>
      <w:sz w:val="11"/>
    </w:rPr>
  </w:style>
  <w:style w:type="paragraph" w:customStyle="1" w:styleId="130">
    <w:name w:val="无间隔1"/>
    <w:autoRedefine/>
    <w:qFormat/>
    <w:uiPriority w:val="1"/>
    <w:pPr>
      <w:widowControl w:val="0"/>
      <w:jc w:val="both"/>
    </w:pPr>
    <w:rPr>
      <w:rFonts w:ascii="Calibri" w:hAnsi="Calibri" w:eastAsia="宋体" w:cs="Calibri"/>
      <w:kern w:val="2"/>
      <w:sz w:val="21"/>
      <w:szCs w:val="21"/>
      <w:lang w:val="en-US" w:eastAsia="zh-CN" w:bidi="ar-SA"/>
    </w:rPr>
  </w:style>
  <w:style w:type="character" w:customStyle="1" w:styleId="131">
    <w:name w:val="font131"/>
    <w:autoRedefine/>
    <w:qFormat/>
    <w:uiPriority w:val="0"/>
    <w:rPr>
      <w:rFonts w:hint="eastAsia" w:ascii="宋体" w:hAnsi="宋体" w:eastAsia="宋体" w:cs="宋体"/>
      <w:color w:val="000000"/>
      <w:sz w:val="22"/>
      <w:szCs w:val="22"/>
      <w:u w:val="none"/>
      <w:lang w:bidi="ar-SA"/>
    </w:rPr>
  </w:style>
  <w:style w:type="character" w:customStyle="1" w:styleId="132">
    <w:name w:val="font151"/>
    <w:autoRedefine/>
    <w:qFormat/>
    <w:uiPriority w:val="0"/>
    <w:rPr>
      <w:rFonts w:ascii="Arial" w:hAnsi="Arial" w:cs="Arial"/>
      <w:color w:val="000000"/>
      <w:sz w:val="22"/>
      <w:szCs w:val="22"/>
      <w:u w:val="none"/>
      <w:lang w:bidi="ar-SA"/>
    </w:rPr>
  </w:style>
  <w:style w:type="character" w:customStyle="1" w:styleId="133">
    <w:name w:val="font161"/>
    <w:autoRedefine/>
    <w:qFormat/>
    <w:uiPriority w:val="0"/>
    <w:rPr>
      <w:rFonts w:ascii="等线" w:hAnsi="等线" w:eastAsia="等线" w:cs="等线"/>
      <w:color w:val="000000"/>
      <w:sz w:val="22"/>
      <w:szCs w:val="22"/>
      <w:u w:val="none"/>
      <w:lang w:bidi="ar-SA"/>
    </w:rPr>
  </w:style>
  <w:style w:type="character" w:customStyle="1" w:styleId="134">
    <w:name w:val="font142"/>
    <w:autoRedefine/>
    <w:qFormat/>
    <w:uiPriority w:val="0"/>
    <w:rPr>
      <w:rFonts w:hint="default" w:ascii="Arial" w:hAnsi="Arial" w:cs="Arial"/>
      <w:color w:val="000000"/>
      <w:sz w:val="22"/>
      <w:szCs w:val="22"/>
      <w:u w:val="none"/>
      <w:lang w:bidi="ar-SA"/>
    </w:rPr>
  </w:style>
  <w:style w:type="character" w:customStyle="1" w:styleId="135">
    <w:name w:val="font141"/>
    <w:autoRedefine/>
    <w:qFormat/>
    <w:uiPriority w:val="0"/>
    <w:rPr>
      <w:rFonts w:hint="default" w:ascii="Arial" w:hAnsi="Arial" w:cs="Arial"/>
      <w:color w:val="000000"/>
      <w:sz w:val="22"/>
      <w:szCs w:val="22"/>
      <w:u w:val="none"/>
      <w:lang w:bidi="ar-SA"/>
    </w:rPr>
  </w:style>
  <w:style w:type="character" w:customStyle="1" w:styleId="136">
    <w:name w:val="font112"/>
    <w:autoRedefine/>
    <w:qFormat/>
    <w:uiPriority w:val="0"/>
    <w:rPr>
      <w:rFonts w:hint="eastAsia" w:ascii="宋体" w:hAnsi="宋体" w:eastAsia="宋体" w:cs="宋体"/>
      <w:color w:val="000000"/>
      <w:sz w:val="22"/>
      <w:szCs w:val="22"/>
      <w:u w:val="none"/>
      <w:lang w:bidi="ar-SA"/>
    </w:rPr>
  </w:style>
  <w:style w:type="paragraph" w:customStyle="1" w:styleId="137">
    <w:name w:val="Table Text"/>
    <w:basedOn w:val="1"/>
    <w:autoRedefine/>
    <w:semiHidden/>
    <w:qFormat/>
    <w:uiPriority w:val="0"/>
    <w:pPr>
      <w:widowControl/>
      <w:kinsoku w:val="0"/>
      <w:autoSpaceDE w:val="0"/>
      <w:autoSpaceDN w:val="0"/>
      <w:adjustRightInd w:val="0"/>
      <w:snapToGrid w:val="0"/>
      <w:jc w:val="left"/>
      <w:textAlignment w:val="baseline"/>
    </w:pPr>
    <w:rPr>
      <w:rFonts w:hAnsi="宋体" w:cs="宋体"/>
      <w:color w:val="000000"/>
      <w:sz w:val="22"/>
      <w:szCs w:val="22"/>
    </w:rPr>
  </w:style>
  <w:style w:type="table" w:customStyle="1" w:styleId="138">
    <w:name w:val="Table Normal"/>
    <w:basedOn w:val="37"/>
    <w:autoRedefine/>
    <w:qFormat/>
    <w:uiPriority w:val="0"/>
    <w:rPr>
      <w:rFonts w:eastAsia="Times New Roman"/>
    </w:rPr>
    <w:tblPr>
      <w:tblCellMar>
        <w:left w:w="0" w:type="dxa"/>
        <w:right w:w="0" w:type="dxa"/>
      </w:tblCellMar>
    </w:tblPr>
  </w:style>
  <w:style w:type="paragraph" w:customStyle="1" w:styleId="139">
    <w:name w:val="TOC 标题1"/>
    <w:basedOn w:val="2"/>
    <w:next w:val="1"/>
    <w:autoRedefine/>
    <w:unhideWhenUsed/>
    <w:qFormat/>
    <w:uiPriority w:val="39"/>
    <w:pPr>
      <w:widowControl/>
      <w:spacing w:before="480" w:after="0" w:line="276" w:lineRule="auto"/>
      <w:jc w:val="left"/>
      <w:outlineLvl w:val="9"/>
    </w:pPr>
    <w:rPr>
      <w:rFonts w:ascii="Cambria" w:hAnsi="Cambria"/>
      <w:bCs/>
      <w:color w:val="366091"/>
      <w:kern w:val="0"/>
      <w:sz w:val="28"/>
      <w:szCs w:val="28"/>
    </w:rPr>
  </w:style>
  <w:style w:type="paragraph" w:customStyle="1" w:styleId="140">
    <w:name w:val="WPSOffice手动目录 1"/>
    <w:autoRedefine/>
    <w:qFormat/>
    <w:uiPriority w:val="0"/>
    <w:rPr>
      <w:rFonts w:ascii="Times New Roman" w:hAnsi="Times New Roman" w:eastAsia="宋体" w:cs="Times New Roman"/>
      <w:lang w:val="en-US" w:eastAsia="zh-CN" w:bidi="ar-SA"/>
    </w:rPr>
  </w:style>
  <w:style w:type="paragraph" w:customStyle="1" w:styleId="14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42">
    <w:name w:val="BodyTextIndent"/>
    <w:basedOn w:val="1"/>
    <w:autoRedefine/>
    <w:qFormat/>
    <w:uiPriority w:val="0"/>
    <w:pPr>
      <w:spacing w:after="120"/>
      <w:ind w:left="420" w:leftChars="200"/>
      <w:textAlignment w:val="baseline"/>
    </w:pPr>
    <w:rPr>
      <w:rFonts w:ascii="Times New Roman"/>
      <w:kern w:val="2"/>
      <w:sz w:val="21"/>
    </w:rPr>
  </w:style>
  <w:style w:type="table" w:customStyle="1" w:styleId="143">
    <w:name w:val="Table Normal1"/>
    <w:autoRedefine/>
    <w:unhideWhenUsed/>
    <w:qFormat/>
    <w:uiPriority w:val="0"/>
    <w:rPr>
      <w:rFonts w:ascii="Arial" w:hAnsi="Arial" w:cs="Arial"/>
    </w:rPr>
    <w:tblPr>
      <w:tblCellMar>
        <w:top w:w="0" w:type="dxa"/>
        <w:left w:w="0" w:type="dxa"/>
        <w:bottom w:w="0" w:type="dxa"/>
        <w:right w:w="0" w:type="dxa"/>
      </w:tblCellMar>
    </w:tblPr>
  </w:style>
  <w:style w:type="character" w:customStyle="1" w:styleId="144">
    <w:name w:val="页眉 Char"/>
    <w:link w:val="26"/>
    <w:autoRedefine/>
    <w:qFormat/>
    <w:uiPriority w:val="99"/>
    <w:rPr>
      <w:rFonts w:ascii="宋体"/>
      <w:sz w:val="18"/>
    </w:rPr>
  </w:style>
  <w:style w:type="character" w:customStyle="1" w:styleId="145">
    <w:name w:val="纯文本 Char"/>
    <w:link w:val="20"/>
    <w:autoRedefine/>
    <w:qFormat/>
    <w:locked/>
    <w:uiPriority w:val="99"/>
    <w:rPr>
      <w:rFonts w:ascii="宋体" w:cs="Courier New"/>
      <w:sz w:val="34"/>
      <w:szCs w:val="21"/>
    </w:rPr>
  </w:style>
  <w:style w:type="character" w:customStyle="1" w:styleId="146">
    <w:name w:val="标题 3 Char"/>
    <w:link w:val="5"/>
    <w:autoRedefine/>
    <w:qFormat/>
    <w:uiPriority w:val="9"/>
    <w:rPr>
      <w:b/>
      <w:sz w:val="32"/>
    </w:rPr>
  </w:style>
  <w:style w:type="table" w:customStyle="1" w:styleId="147">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48">
    <w:name w:val="null3"/>
    <w:hidden/>
    <w:qFormat/>
    <w:uiPriority w:val="0"/>
    <w:rPr>
      <w:rFonts w:hint="eastAsia" w:asciiTheme="minorHAnsi" w:hAnsiTheme="minorHAnsi" w:eastAsiaTheme="minorEastAsia" w:cstheme="minorBidi"/>
      <w:lang w:val="en-US" w:eastAsia="zh-Hans"/>
    </w:rPr>
  </w:style>
  <w:style w:type="paragraph" w:customStyle="1" w:styleId="149">
    <w:name w:val="标题1"/>
    <w:basedOn w:val="1"/>
    <w:next w:val="106"/>
    <w:qFormat/>
    <w:uiPriority w:val="0"/>
    <w:pPr>
      <w:snapToGrid w:val="0"/>
      <w:spacing w:line="480" w:lineRule="atLeast"/>
      <w:ind w:firstLine="539"/>
    </w:pPr>
    <w:rPr>
      <w:rFonts w:ascii="宋体" w:hAnsi="宋体"/>
      <w:spacing w:val="14"/>
      <w:sz w:val="24"/>
    </w:rPr>
  </w:style>
  <w:style w:type="paragraph" w:customStyle="1" w:styleId="150">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30881</Words>
  <Characters>32658</Characters>
  <Lines>351</Lines>
  <Paragraphs>99</Paragraphs>
  <TotalTime>0</TotalTime>
  <ScaleCrop>false</ScaleCrop>
  <LinksUpToDate>false</LinksUpToDate>
  <CharactersWithSpaces>34619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2024-05-07T03:17:00Z</dcterms:created>
  <dc:creator>GZB</dc:creator>
  <cp:lastModifiedBy>幸福来敲门</cp:lastModifiedBy>
  <cp:lastPrinted>2023-08-14T11:43:00Z</cp:lastPrinted>
  <dcterms:modified xsi:type="dcterms:W3CDTF">2025-09-05T01:59:09Z</dcterms:modified>
  <dc:title>招标编号：xxx政采招[20xxx] xxx号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2052-11.1.0.10314</vt:lpwstr>
  </property>
  <property fmtid="{D5CDD505-2E9C-101B-9397-08002B2CF9AE}" pid="3" name="KSOProductBuildVer">
    <vt:lpwstr>2052-12.1.0.22529</vt:lpwstr>
  </property>
  <property fmtid="{D5CDD505-2E9C-101B-9397-08002B2CF9AE}" pid="4" name="ICV">
    <vt:lpwstr>267F36EBF2AF4CD385D9ECB4A9E42271_13</vt:lpwstr>
  </property>
  <property fmtid="{D5CDD505-2E9C-101B-9397-08002B2CF9AE}" pid="5" name="KSOTemplateDocerSaveRecord">
    <vt:lpwstr>eyJoZGlkIjoiMDkyMDY1OWI0YmU5Zjc1NTgzMDJlZTYwMmYzMzUzOWUiLCJ1c2VySWQiOiIyMzI4NDEyNzMifQ==</vt:lpwstr>
  </property>
</Properties>
</file>