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9B4D794">
      <w:pPr>
        <w:spacing w:line="480" w:lineRule="exact"/>
        <w:ind w:firstLine="723" w:firstLineChars="200"/>
        <w:jc w:val="right"/>
        <w:rPr>
          <w:rFonts w:hint="eastAsia" w:asciiTheme="minorEastAsia" w:hAnsiTheme="minorEastAsia" w:eastAsiaTheme="minorEastAsia" w:cstheme="minorEastAsia"/>
          <w:b/>
          <w:color w:val="auto"/>
          <w:sz w:val="36"/>
          <w:szCs w:val="36"/>
          <w:bdr w:val="single" w:color="auto" w:sz="4" w:space="0"/>
          <w:shd w:val="pct10" w:color="auto" w:fill="FFFFFF"/>
        </w:rPr>
      </w:pPr>
      <w:r>
        <w:rPr>
          <w:rFonts w:hint="eastAsia" w:asciiTheme="minorEastAsia" w:hAnsiTheme="minorEastAsia" w:eastAsiaTheme="minorEastAsia" w:cstheme="minorEastAsia"/>
          <w:b/>
          <w:color w:val="auto"/>
          <w:sz w:val="36"/>
          <w:szCs w:val="36"/>
          <w:bdr w:val="single" w:color="auto" w:sz="4" w:space="0"/>
          <w:shd w:val="pct10" w:color="auto" w:fill="FFFFFF"/>
        </w:rPr>
        <w:t>政府采购项目</w:t>
      </w:r>
    </w:p>
    <w:p w14:paraId="0FD90824">
      <w:pPr>
        <w:autoSpaceDE w:val="0"/>
        <w:autoSpaceDN w:val="0"/>
        <w:adjustRightInd w:val="0"/>
        <w:snapToGrid w:val="0"/>
        <w:spacing w:line="360" w:lineRule="auto"/>
        <w:jc w:val="left"/>
        <w:rPr>
          <w:rFonts w:hint="eastAsia" w:asciiTheme="minorEastAsia" w:hAnsiTheme="minorEastAsia" w:eastAsiaTheme="minorEastAsia" w:cstheme="minorEastAsia"/>
          <w:color w:val="auto"/>
          <w:sz w:val="32"/>
          <w:szCs w:val="32"/>
          <w:lang w:val="zh-CN"/>
        </w:rPr>
      </w:pPr>
    </w:p>
    <w:p w14:paraId="0F8D890A">
      <w:pPr>
        <w:autoSpaceDE w:val="0"/>
        <w:autoSpaceDN w:val="0"/>
        <w:adjustRightInd w:val="0"/>
        <w:snapToGrid w:val="0"/>
        <w:spacing w:line="360" w:lineRule="auto"/>
        <w:jc w:val="left"/>
        <w:rPr>
          <w:rFonts w:hint="eastAsia" w:asciiTheme="minorEastAsia" w:hAnsiTheme="minorEastAsia" w:eastAsiaTheme="minorEastAsia" w:cstheme="minorEastAsia"/>
          <w:b/>
          <w:bCs/>
          <w:color w:val="auto"/>
          <w:sz w:val="30"/>
          <w:szCs w:val="30"/>
          <w:lang w:eastAsia="zh-CN"/>
        </w:rPr>
      </w:pPr>
      <w:r>
        <w:rPr>
          <w:rFonts w:hint="eastAsia" w:asciiTheme="minorEastAsia" w:hAnsiTheme="minorEastAsia" w:eastAsiaTheme="minorEastAsia" w:cstheme="minorEastAsia"/>
          <w:b/>
          <w:bCs/>
          <w:color w:val="auto"/>
          <w:sz w:val="32"/>
          <w:szCs w:val="32"/>
          <w:lang w:val="zh-CN"/>
        </w:rPr>
        <w:t>项目编号：</w:t>
      </w:r>
      <w:r>
        <w:rPr>
          <w:rFonts w:hint="eastAsia" w:asciiTheme="minorEastAsia" w:hAnsiTheme="minorEastAsia" w:eastAsiaTheme="minorEastAsia" w:cstheme="minorEastAsia"/>
          <w:b/>
          <w:bCs/>
          <w:color w:val="auto"/>
          <w:sz w:val="32"/>
          <w:szCs w:val="32"/>
          <w:lang w:val="zh-CN" w:eastAsia="zh-CN"/>
        </w:rPr>
        <w:t>SXJX-2025-012号</w:t>
      </w:r>
    </w:p>
    <w:p w14:paraId="03960F39">
      <w:pPr>
        <w:spacing w:line="360" w:lineRule="auto"/>
        <w:jc w:val="center"/>
        <w:rPr>
          <w:rFonts w:hint="eastAsia" w:asciiTheme="minorEastAsia" w:hAnsiTheme="minorEastAsia" w:eastAsiaTheme="minorEastAsia" w:cstheme="minorEastAsia"/>
          <w:b/>
          <w:bCs/>
          <w:color w:val="auto"/>
          <w:sz w:val="56"/>
          <w:szCs w:val="56"/>
        </w:rPr>
      </w:pPr>
    </w:p>
    <w:p w14:paraId="58337228">
      <w:pPr>
        <w:pStyle w:val="5"/>
        <w:spacing w:line="240" w:lineRule="auto"/>
        <w:jc w:val="center"/>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pacing w:val="4"/>
          <w:sz w:val="56"/>
          <w:szCs w:val="56"/>
          <w:lang w:eastAsia="zh-CN"/>
        </w:rPr>
        <w:t>蟠龙高新区扩区调区编制产业规划、用地情况报告、总体发展规划环境影响评价报告</w:t>
      </w:r>
    </w:p>
    <w:p w14:paraId="163EAFE7">
      <w:pPr>
        <w:spacing w:line="360" w:lineRule="auto"/>
        <w:ind w:firstLine="281" w:firstLineChars="50"/>
        <w:jc w:val="center"/>
        <w:rPr>
          <w:rFonts w:hint="eastAsia" w:asciiTheme="minorEastAsia" w:hAnsiTheme="minorEastAsia" w:eastAsiaTheme="minorEastAsia" w:cstheme="minorEastAsia"/>
          <w:b/>
          <w:bCs/>
          <w:color w:val="auto"/>
          <w:sz w:val="56"/>
          <w:szCs w:val="56"/>
        </w:rPr>
      </w:pPr>
    </w:p>
    <w:p w14:paraId="1DCC800E">
      <w:pPr>
        <w:spacing w:line="360" w:lineRule="auto"/>
        <w:ind w:firstLine="281" w:firstLineChars="50"/>
        <w:jc w:val="center"/>
        <w:rPr>
          <w:rFonts w:hint="eastAsia" w:asciiTheme="minorEastAsia" w:hAnsiTheme="minorEastAsia" w:eastAsiaTheme="minorEastAsia" w:cstheme="minorEastAsia"/>
          <w:b/>
          <w:bCs/>
          <w:color w:val="auto"/>
          <w:spacing w:val="4"/>
          <w:sz w:val="56"/>
          <w:szCs w:val="56"/>
        </w:rPr>
      </w:pPr>
      <w:r>
        <w:rPr>
          <w:rFonts w:hint="eastAsia" w:asciiTheme="minorEastAsia" w:hAnsiTheme="minorEastAsia" w:eastAsiaTheme="minorEastAsia" w:cstheme="minorEastAsia"/>
          <w:b/>
          <w:bCs/>
          <w:color w:val="auto"/>
          <w:sz w:val="56"/>
          <w:szCs w:val="56"/>
        </w:rPr>
        <w:t>竞争性磋商</w:t>
      </w:r>
      <w:r>
        <w:rPr>
          <w:rFonts w:hint="eastAsia" w:asciiTheme="minorEastAsia" w:hAnsiTheme="minorEastAsia" w:eastAsiaTheme="minorEastAsia" w:cstheme="minorEastAsia"/>
          <w:b/>
          <w:bCs/>
          <w:color w:val="auto"/>
          <w:spacing w:val="4"/>
          <w:sz w:val="56"/>
          <w:szCs w:val="56"/>
        </w:rPr>
        <w:t>文件</w:t>
      </w:r>
    </w:p>
    <w:p w14:paraId="19091C52">
      <w:pPr>
        <w:spacing w:line="360" w:lineRule="auto"/>
        <w:rPr>
          <w:rFonts w:hint="eastAsia" w:asciiTheme="minorEastAsia" w:hAnsiTheme="minorEastAsia" w:eastAsiaTheme="minorEastAsia" w:cstheme="minorEastAsia"/>
          <w:b/>
          <w:bCs/>
          <w:color w:val="auto"/>
          <w:spacing w:val="4"/>
        </w:rPr>
      </w:pPr>
    </w:p>
    <w:p w14:paraId="7FCD7521">
      <w:pPr>
        <w:spacing w:line="360" w:lineRule="auto"/>
        <w:rPr>
          <w:rFonts w:hint="eastAsia" w:asciiTheme="minorEastAsia" w:hAnsiTheme="minorEastAsia" w:eastAsiaTheme="minorEastAsia" w:cstheme="minorEastAsia"/>
          <w:b/>
          <w:bCs/>
          <w:color w:val="auto"/>
          <w:spacing w:val="4"/>
        </w:rPr>
      </w:pPr>
    </w:p>
    <w:p w14:paraId="699B9BD7">
      <w:pPr>
        <w:pStyle w:val="11"/>
        <w:rPr>
          <w:rFonts w:hint="eastAsia" w:asciiTheme="minorEastAsia" w:hAnsiTheme="minorEastAsia" w:eastAsiaTheme="minorEastAsia" w:cstheme="minorEastAsia"/>
          <w:color w:val="auto"/>
        </w:rPr>
      </w:pPr>
    </w:p>
    <w:p w14:paraId="1D292BBB">
      <w:pPr>
        <w:tabs>
          <w:tab w:val="left" w:pos="5670"/>
        </w:tabs>
        <w:autoSpaceDE w:val="0"/>
        <w:autoSpaceDN w:val="0"/>
        <w:adjustRightInd w:val="0"/>
        <w:snapToGrid w:val="0"/>
        <w:spacing w:line="360" w:lineRule="auto"/>
        <w:ind w:firstLine="2249" w:firstLineChars="700"/>
        <w:rPr>
          <w:rFonts w:hint="eastAsia" w:asciiTheme="minorEastAsia" w:hAnsiTheme="minorEastAsia" w:eastAsiaTheme="minorEastAsia" w:cstheme="minorEastAsia"/>
          <w:b/>
          <w:bCs/>
          <w:color w:val="auto"/>
          <w:sz w:val="32"/>
          <w:szCs w:val="32"/>
          <w:lang w:val="zh-CN"/>
        </w:rPr>
      </w:pPr>
    </w:p>
    <w:p w14:paraId="5B508D1E">
      <w:pPr>
        <w:tabs>
          <w:tab w:val="left" w:pos="5670"/>
        </w:tabs>
        <w:autoSpaceDE w:val="0"/>
        <w:autoSpaceDN w:val="0"/>
        <w:adjustRightInd w:val="0"/>
        <w:snapToGrid w:val="0"/>
        <w:spacing w:line="360" w:lineRule="auto"/>
        <w:rPr>
          <w:rFonts w:hint="eastAsia" w:asciiTheme="minorEastAsia" w:hAnsiTheme="minorEastAsia" w:eastAsiaTheme="minorEastAsia" w:cstheme="minorEastAsia"/>
          <w:b/>
          <w:bCs/>
          <w:color w:val="auto"/>
          <w:sz w:val="32"/>
          <w:szCs w:val="32"/>
          <w:lang w:val="zh-CN"/>
        </w:rPr>
      </w:pPr>
    </w:p>
    <w:p w14:paraId="1296B6DB">
      <w:pPr>
        <w:tabs>
          <w:tab w:val="left" w:pos="5670"/>
        </w:tabs>
        <w:autoSpaceDE w:val="0"/>
        <w:autoSpaceDN w:val="0"/>
        <w:adjustRightInd w:val="0"/>
        <w:snapToGrid w:val="0"/>
        <w:spacing w:line="360" w:lineRule="auto"/>
        <w:jc w:val="center"/>
        <w:rPr>
          <w:rFonts w:hint="eastAsia" w:asciiTheme="minorEastAsia" w:hAnsiTheme="minorEastAsia" w:eastAsiaTheme="minorEastAsia" w:cstheme="minorEastAsia"/>
          <w:b/>
          <w:bCs/>
          <w:color w:val="auto"/>
          <w:sz w:val="32"/>
          <w:szCs w:val="32"/>
          <w:lang w:eastAsia="zh-CN"/>
        </w:rPr>
      </w:pPr>
      <w:r>
        <w:rPr>
          <w:rFonts w:hint="eastAsia" w:asciiTheme="minorEastAsia" w:hAnsiTheme="minorEastAsia" w:eastAsiaTheme="minorEastAsia" w:cstheme="minorEastAsia"/>
          <w:b/>
          <w:bCs/>
          <w:color w:val="auto"/>
          <w:sz w:val="32"/>
          <w:szCs w:val="32"/>
          <w:lang w:val="zh-CN"/>
        </w:rPr>
        <w:t>采购单位：</w:t>
      </w:r>
      <w:r>
        <w:rPr>
          <w:rFonts w:hint="eastAsia" w:asciiTheme="minorEastAsia" w:hAnsiTheme="minorEastAsia" w:eastAsiaTheme="minorEastAsia" w:cstheme="minorEastAsia"/>
          <w:b/>
          <w:bCs/>
          <w:color w:val="auto"/>
          <w:sz w:val="32"/>
          <w:szCs w:val="32"/>
          <w:lang w:eastAsia="zh-CN"/>
        </w:rPr>
        <w:t>宝鸡蟠龙高新技术产业开发区管理委员会</w:t>
      </w:r>
    </w:p>
    <w:p w14:paraId="07C0B3AA">
      <w:pPr>
        <w:tabs>
          <w:tab w:val="left" w:pos="5670"/>
        </w:tabs>
        <w:autoSpaceDE w:val="0"/>
        <w:autoSpaceDN w:val="0"/>
        <w:adjustRightInd w:val="0"/>
        <w:snapToGrid w:val="0"/>
        <w:spacing w:line="360" w:lineRule="auto"/>
        <w:jc w:val="center"/>
        <w:rPr>
          <w:rFonts w:hint="eastAsia" w:asciiTheme="minorEastAsia" w:hAnsiTheme="minorEastAsia" w:eastAsiaTheme="minorEastAsia" w:cstheme="minorEastAsia"/>
          <w:b/>
          <w:bCs/>
          <w:color w:val="auto"/>
          <w:sz w:val="32"/>
          <w:szCs w:val="32"/>
        </w:rPr>
      </w:pPr>
    </w:p>
    <w:p w14:paraId="419BD350">
      <w:pPr>
        <w:tabs>
          <w:tab w:val="left" w:pos="5670"/>
        </w:tabs>
        <w:autoSpaceDE w:val="0"/>
        <w:autoSpaceDN w:val="0"/>
        <w:adjustRightInd w:val="0"/>
        <w:snapToGrid w:val="0"/>
        <w:spacing w:line="360" w:lineRule="auto"/>
        <w:jc w:val="center"/>
        <w:rPr>
          <w:rFonts w:hint="eastAsia" w:asciiTheme="minorEastAsia" w:hAnsiTheme="minorEastAsia" w:eastAsiaTheme="minorEastAsia" w:cstheme="minorEastAsia"/>
          <w:b/>
          <w:bCs/>
          <w:color w:val="auto"/>
          <w:sz w:val="32"/>
          <w:szCs w:val="32"/>
          <w:lang w:val="zh-CN"/>
        </w:rPr>
      </w:pPr>
      <w:r>
        <w:rPr>
          <w:rFonts w:hint="eastAsia" w:asciiTheme="minorEastAsia" w:hAnsiTheme="minorEastAsia" w:eastAsiaTheme="minorEastAsia" w:cstheme="minorEastAsia"/>
          <w:b/>
          <w:bCs/>
          <w:color w:val="auto"/>
          <w:sz w:val="32"/>
          <w:szCs w:val="32"/>
        </w:rPr>
        <w:t>代理单位：</w:t>
      </w:r>
      <w:r>
        <w:rPr>
          <w:rFonts w:hint="eastAsia" w:asciiTheme="minorEastAsia" w:hAnsiTheme="minorEastAsia" w:eastAsiaTheme="minorEastAsia" w:cstheme="minorEastAsia"/>
          <w:b/>
          <w:bCs/>
          <w:color w:val="auto"/>
          <w:sz w:val="32"/>
          <w:szCs w:val="32"/>
          <w:lang w:val="zh-CN"/>
        </w:rPr>
        <w:t>陕西佳信项目管理有限公司</w:t>
      </w:r>
    </w:p>
    <w:p w14:paraId="71CA10D4">
      <w:pPr>
        <w:tabs>
          <w:tab w:val="left" w:pos="5460"/>
        </w:tabs>
        <w:autoSpaceDE w:val="0"/>
        <w:autoSpaceDN w:val="0"/>
        <w:adjustRightInd w:val="0"/>
        <w:snapToGrid w:val="0"/>
        <w:spacing w:line="360" w:lineRule="auto"/>
        <w:jc w:val="center"/>
        <w:rPr>
          <w:rFonts w:hint="eastAsia" w:asciiTheme="minorEastAsia" w:hAnsiTheme="minorEastAsia" w:eastAsiaTheme="minorEastAsia" w:cstheme="minorEastAsia"/>
          <w:b/>
          <w:bCs/>
          <w:color w:val="auto"/>
          <w:sz w:val="32"/>
          <w:szCs w:val="32"/>
          <w:lang w:val="zh-CN"/>
        </w:rPr>
      </w:pPr>
    </w:p>
    <w:p w14:paraId="53C81B29">
      <w:pPr>
        <w:tabs>
          <w:tab w:val="left" w:pos="5460"/>
        </w:tabs>
        <w:autoSpaceDE w:val="0"/>
        <w:autoSpaceDN w:val="0"/>
        <w:adjustRightInd w:val="0"/>
        <w:snapToGrid w:val="0"/>
        <w:spacing w:line="360" w:lineRule="auto"/>
        <w:jc w:val="center"/>
        <w:rPr>
          <w:rFonts w:hint="eastAsia" w:asciiTheme="minorEastAsia" w:hAnsiTheme="minorEastAsia" w:eastAsiaTheme="minorEastAsia" w:cstheme="minorEastAsia"/>
          <w:b/>
          <w:bCs/>
          <w:color w:val="auto"/>
          <w:sz w:val="32"/>
          <w:szCs w:val="32"/>
          <w:lang w:val="zh-CN"/>
        </w:rPr>
        <w:sectPr>
          <w:headerReference r:id="rId5" w:type="first"/>
          <w:headerReference r:id="rId3" w:type="default"/>
          <w:footerReference r:id="rId6" w:type="default"/>
          <w:headerReference r:id="rId4" w:type="even"/>
          <w:footerReference r:id="rId7" w:type="even"/>
          <w:pgSz w:w="11849" w:h="16781"/>
          <w:pgMar w:top="1327" w:right="1417" w:bottom="1383" w:left="1468" w:header="720" w:footer="720" w:gutter="0"/>
          <w:cols w:space="720" w:num="1"/>
          <w:titlePg/>
          <w:docGrid w:linePitch="312" w:charSpace="0"/>
        </w:sectPr>
      </w:pPr>
      <w:r>
        <w:rPr>
          <w:rFonts w:hint="eastAsia" w:asciiTheme="minorEastAsia" w:hAnsiTheme="minorEastAsia" w:eastAsiaTheme="minorEastAsia" w:cstheme="minorEastAsia"/>
          <w:b/>
          <w:bCs/>
          <w:color w:val="auto"/>
          <w:sz w:val="32"/>
          <w:szCs w:val="32"/>
        </w:rPr>
        <w:t xml:space="preserve">  </w:t>
      </w:r>
      <w:r>
        <w:rPr>
          <w:rFonts w:hint="eastAsia" w:asciiTheme="minorEastAsia" w:hAnsiTheme="minorEastAsia" w:eastAsiaTheme="minorEastAsia" w:cstheme="minorEastAsia"/>
          <w:b/>
          <w:bCs/>
          <w:color w:val="auto"/>
          <w:sz w:val="32"/>
          <w:szCs w:val="32"/>
          <w:lang w:val="zh-CN"/>
        </w:rPr>
        <w:t>二〇二五年</w:t>
      </w:r>
      <w:r>
        <w:rPr>
          <w:rFonts w:hint="eastAsia" w:asciiTheme="minorEastAsia" w:hAnsiTheme="minorEastAsia" w:eastAsiaTheme="minorEastAsia" w:cstheme="minorEastAsia"/>
          <w:b/>
          <w:bCs/>
          <w:color w:val="auto"/>
          <w:sz w:val="32"/>
          <w:szCs w:val="32"/>
          <w:lang w:val="zh-CN" w:eastAsia="zh-CN"/>
        </w:rPr>
        <w:t>八</w:t>
      </w:r>
      <w:r>
        <w:rPr>
          <w:rFonts w:hint="eastAsia" w:asciiTheme="minorEastAsia" w:hAnsiTheme="minorEastAsia" w:eastAsiaTheme="minorEastAsia" w:cstheme="minorEastAsia"/>
          <w:b/>
          <w:bCs/>
          <w:color w:val="auto"/>
          <w:sz w:val="32"/>
          <w:szCs w:val="32"/>
          <w:lang w:val="zh-CN"/>
        </w:rPr>
        <w:t>月</w:t>
      </w:r>
    </w:p>
    <w:p w14:paraId="4B841E2D">
      <w:pPr>
        <w:pStyle w:val="11"/>
        <w:rPr>
          <w:rFonts w:hint="eastAsia" w:asciiTheme="minorEastAsia" w:hAnsiTheme="minorEastAsia" w:eastAsiaTheme="minorEastAsia" w:cstheme="minorEastAsia"/>
          <w:color w:val="auto"/>
          <w:lang w:val="zh-CN"/>
        </w:rPr>
      </w:pPr>
    </w:p>
    <w:p w14:paraId="1D735B58">
      <w:pPr>
        <w:tabs>
          <w:tab w:val="left" w:pos="5460"/>
        </w:tabs>
        <w:autoSpaceDE w:val="0"/>
        <w:autoSpaceDN w:val="0"/>
        <w:adjustRightInd w:val="0"/>
        <w:snapToGrid w:val="0"/>
        <w:spacing w:line="360" w:lineRule="auto"/>
        <w:jc w:val="center"/>
        <w:rPr>
          <w:rFonts w:hint="eastAsia" w:asciiTheme="minorEastAsia" w:hAnsiTheme="minorEastAsia" w:eastAsiaTheme="minorEastAsia" w:cstheme="minorEastAsia"/>
          <w:b/>
          <w:bCs/>
          <w:color w:val="auto"/>
          <w:kern w:val="44"/>
          <w:sz w:val="44"/>
          <w:szCs w:val="44"/>
          <w:lang w:val="zh-CN"/>
        </w:rPr>
      </w:pPr>
      <w:r>
        <w:rPr>
          <w:rFonts w:hint="eastAsia" w:asciiTheme="minorEastAsia" w:hAnsiTheme="minorEastAsia" w:eastAsiaTheme="minorEastAsia" w:cstheme="minorEastAsia"/>
          <w:b/>
          <w:bCs/>
          <w:color w:val="auto"/>
          <w:kern w:val="44"/>
          <w:sz w:val="44"/>
          <w:szCs w:val="44"/>
          <w:lang w:val="zh-CN"/>
        </w:rPr>
        <w:t>温馨提示</w:t>
      </w:r>
    </w:p>
    <w:p w14:paraId="14500147">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1、请您仔细阅读磋商文件并正确理解磋商文件中各项具体要求。</w:t>
      </w:r>
    </w:p>
    <w:p w14:paraId="147478BD">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本项目采用不见面开标电子化投标方式磋商，投标供应商须使用数字认证证书（CA锁）对电子磋商响应文件进行签章、加密、递交、开标时解密以及二次报价等相关招投标事宜;供应商通过线上观看开标现场视频，无需到现场参加开标会议。</w:t>
      </w:r>
    </w:p>
    <w:p w14:paraId="7192803C">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3、实施“不见面开标”，供应商应确保自己的电脑环境、CA锁、网络等状况良好，以免影响其参与交易活动。</w:t>
      </w:r>
    </w:p>
    <w:p w14:paraId="73B60166">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4、请您确保磋商保证金凭证已办理。</w:t>
      </w:r>
    </w:p>
    <w:p w14:paraId="0A334F21">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5、咨询其他问题，请与我们的工作人员联系，竭诚为您服务。</w:t>
      </w:r>
    </w:p>
    <w:p w14:paraId="1A25C524">
      <w:pPr>
        <w:spacing w:line="360" w:lineRule="auto"/>
        <w:ind w:firstLine="720" w:firstLineChars="3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代理机构：</w:t>
      </w:r>
      <w:r>
        <w:rPr>
          <w:rFonts w:hint="eastAsia" w:asciiTheme="minorEastAsia" w:hAnsiTheme="minorEastAsia" w:eastAsiaTheme="minorEastAsia" w:cstheme="minorEastAsia"/>
          <w:color w:val="auto"/>
          <w:sz w:val="24"/>
          <w:szCs w:val="24"/>
          <w:lang w:eastAsia="zh-CN"/>
        </w:rPr>
        <w:t>陕西佳信项目管理有限公司</w:t>
      </w:r>
    </w:p>
    <w:p w14:paraId="693F76BD">
      <w:pPr>
        <w:spacing w:line="360" w:lineRule="auto"/>
        <w:ind w:firstLine="120" w:firstLineChars="5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　　 地　　址：</w:t>
      </w:r>
      <w:r>
        <w:rPr>
          <w:rFonts w:hint="eastAsia" w:asciiTheme="minorEastAsia" w:hAnsiTheme="minorEastAsia" w:eastAsiaTheme="minorEastAsia" w:cstheme="minorEastAsia"/>
          <w:color w:val="auto"/>
          <w:sz w:val="24"/>
          <w:szCs w:val="24"/>
          <w:lang w:eastAsia="zh-CN"/>
        </w:rPr>
        <w:t>陕西省宝鸡市金台区行政东路三迪金融中心8层806室</w:t>
      </w:r>
    </w:p>
    <w:p w14:paraId="5227FD69">
      <w:pPr>
        <w:spacing w:line="360" w:lineRule="auto"/>
        <w:ind w:firstLine="720" w:firstLineChars="3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联系方式：</w:t>
      </w:r>
      <w:r>
        <w:rPr>
          <w:rFonts w:hint="eastAsia" w:asciiTheme="minorEastAsia" w:hAnsiTheme="minorEastAsia" w:eastAsiaTheme="minorEastAsia" w:cstheme="minorEastAsia"/>
          <w:color w:val="auto"/>
          <w:sz w:val="24"/>
          <w:szCs w:val="24"/>
          <w:lang w:eastAsia="zh-CN"/>
        </w:rPr>
        <w:t>严女士0917-3213637</w:t>
      </w:r>
    </w:p>
    <w:p w14:paraId="72CAB52F">
      <w:pPr>
        <w:spacing w:line="360" w:lineRule="auto"/>
        <w:ind w:firstLine="1303" w:firstLineChars="543"/>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z w:val="24"/>
          <w:szCs w:val="24"/>
        </w:rPr>
        <w:pict>
          <v:shape id="文本框 14" o:spid="_x0000_s2063" o:spt="202" type="#_x0000_t202" style="position:absolute;left:0pt;margin-left:11.25pt;margin-top:58.3pt;height:62.45pt;width:435.65pt;mso-wrap-distance-bottom:0pt;mso-wrap-distance-left:9pt;mso-wrap-distance-right:9pt;mso-wrap-distance-top:0pt;z-index:251668480;mso-width-relative:page;mso-height-relative:page;" coordsize="21600,21600" o:gfxdata="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gcHCdkAAAAKAQAADwAAAAAAAAABACAA&#10;AAAiAAAAZHJzL2Rvd25yZXYueG1sUEsBAhQAFAAAAAgAh07iQDOBA+0MAgAAOAQAAA4AAAAAAAAA&#10;AQAgAAAAKAEAAGRycy9lMm9Eb2MueG1sUEsFBgAAAAAGAAYAWQEAAKYFAAAAAA==&#10;">
            <v:path/>
            <v:fill focussize="0,0"/>
            <v:stroke joinstyle="miter"/>
            <v:imagedata o:title=""/>
            <o:lock v:ext="edit"/>
            <v:textbox>
              <w:txbxContent>
                <w:p w14:paraId="0CBD5B46">
                  <w:pPr>
                    <w:spacing w:line="480" w:lineRule="auto"/>
                    <w:jc w:val="left"/>
                    <w:rPr>
                      <w:rFonts w:ascii="宋体" w:hAnsi="宋体"/>
                      <w:b/>
                      <w:sz w:val="24"/>
                    </w:rPr>
                  </w:pPr>
                  <w:r>
                    <w:rPr>
                      <w:rFonts w:hint="eastAsia" w:ascii="宋体" w:hAnsi="宋体"/>
                      <w:b/>
                      <w:sz w:val="24"/>
                    </w:rPr>
                    <w:t>温馨提示：获取磋商文件后，请仔细阅读，特别注意粗体及划线部分，如有疑问请来电咨询。</w:t>
                  </w:r>
                </w:p>
              </w:txbxContent>
            </v:textbox>
            <w10:wrap type="square"/>
          </v:shape>
        </w:pict>
      </w:r>
    </w:p>
    <w:p w14:paraId="3DFAD411">
      <w:pPr>
        <w:pStyle w:val="24"/>
        <w:ind w:firstLine="248"/>
        <w:rPr>
          <w:rFonts w:hint="eastAsia" w:asciiTheme="minorEastAsia" w:hAnsiTheme="minorEastAsia" w:eastAsiaTheme="minorEastAsia" w:cstheme="minorEastAsia"/>
          <w:color w:val="auto"/>
          <w:spacing w:val="4"/>
          <w:sz w:val="24"/>
          <w:szCs w:val="24"/>
        </w:rPr>
      </w:pPr>
    </w:p>
    <w:p w14:paraId="7157870B">
      <w:pPr>
        <w:pStyle w:val="24"/>
        <w:ind w:firstLine="248"/>
        <w:rPr>
          <w:rFonts w:hint="eastAsia" w:asciiTheme="minorEastAsia" w:hAnsiTheme="minorEastAsia" w:eastAsiaTheme="minorEastAsia" w:cstheme="minorEastAsia"/>
          <w:color w:val="auto"/>
          <w:spacing w:val="4"/>
          <w:sz w:val="24"/>
          <w:szCs w:val="24"/>
        </w:rPr>
      </w:pPr>
    </w:p>
    <w:p w14:paraId="56233E44">
      <w:pPr>
        <w:pStyle w:val="24"/>
        <w:ind w:firstLine="248"/>
        <w:rPr>
          <w:rFonts w:hint="eastAsia" w:asciiTheme="minorEastAsia" w:hAnsiTheme="minorEastAsia" w:eastAsiaTheme="minorEastAsia" w:cstheme="minorEastAsia"/>
          <w:color w:val="auto"/>
          <w:spacing w:val="4"/>
          <w:sz w:val="24"/>
          <w:szCs w:val="24"/>
        </w:rPr>
      </w:pPr>
    </w:p>
    <w:p w14:paraId="698A0AC9">
      <w:pPr>
        <w:pStyle w:val="24"/>
        <w:ind w:firstLine="248"/>
        <w:rPr>
          <w:rFonts w:hint="eastAsia" w:asciiTheme="minorEastAsia" w:hAnsiTheme="minorEastAsia" w:eastAsiaTheme="minorEastAsia" w:cstheme="minorEastAsia"/>
          <w:color w:val="auto"/>
          <w:spacing w:val="4"/>
          <w:sz w:val="24"/>
          <w:szCs w:val="24"/>
        </w:rPr>
      </w:pPr>
    </w:p>
    <w:p w14:paraId="702E2073">
      <w:pPr>
        <w:pStyle w:val="24"/>
        <w:ind w:firstLine="248"/>
        <w:rPr>
          <w:rFonts w:hint="eastAsia" w:asciiTheme="minorEastAsia" w:hAnsiTheme="minorEastAsia" w:eastAsiaTheme="minorEastAsia" w:cstheme="minorEastAsia"/>
          <w:color w:val="auto"/>
          <w:spacing w:val="4"/>
          <w:sz w:val="24"/>
          <w:szCs w:val="24"/>
        </w:rPr>
      </w:pPr>
    </w:p>
    <w:p w14:paraId="6595830E">
      <w:pPr>
        <w:spacing w:line="360" w:lineRule="auto"/>
        <w:ind w:firstLine="2432" w:firstLineChars="543"/>
        <w:rPr>
          <w:rFonts w:hint="eastAsia" w:asciiTheme="minorEastAsia" w:hAnsiTheme="minorEastAsia" w:eastAsiaTheme="minorEastAsia" w:cstheme="minorEastAsia"/>
          <w:color w:val="auto"/>
          <w:spacing w:val="4"/>
          <w:sz w:val="44"/>
        </w:rPr>
      </w:pPr>
    </w:p>
    <w:p w14:paraId="16376985">
      <w:pPr>
        <w:pStyle w:val="24"/>
        <w:ind w:firstLine="448"/>
        <w:rPr>
          <w:rFonts w:hint="eastAsia" w:asciiTheme="minorEastAsia" w:hAnsiTheme="minorEastAsia" w:eastAsiaTheme="minorEastAsia" w:cstheme="minorEastAsia"/>
          <w:color w:val="auto"/>
          <w:spacing w:val="4"/>
          <w:sz w:val="44"/>
        </w:rPr>
      </w:pPr>
    </w:p>
    <w:p w14:paraId="453D0281">
      <w:pPr>
        <w:spacing w:line="360" w:lineRule="auto"/>
        <w:ind w:firstLine="2432" w:firstLineChars="543"/>
        <w:rPr>
          <w:rFonts w:hint="eastAsia" w:asciiTheme="minorEastAsia" w:hAnsiTheme="minorEastAsia" w:eastAsiaTheme="minorEastAsia" w:cstheme="minorEastAsia"/>
          <w:color w:val="auto"/>
          <w:spacing w:val="4"/>
          <w:sz w:val="44"/>
        </w:rPr>
      </w:pPr>
      <w:r>
        <w:rPr>
          <w:rFonts w:hint="eastAsia" w:asciiTheme="minorEastAsia" w:hAnsiTheme="minorEastAsia" w:eastAsiaTheme="minorEastAsia" w:cstheme="minorEastAsia"/>
          <w:color w:val="auto"/>
          <w:spacing w:val="4"/>
          <w:sz w:val="44"/>
        </w:rPr>
        <w:br w:type="page"/>
      </w:r>
    </w:p>
    <w:p w14:paraId="2360B2CE">
      <w:pPr>
        <w:spacing w:line="360" w:lineRule="auto"/>
        <w:ind w:firstLine="2432" w:firstLineChars="543"/>
        <w:rPr>
          <w:rFonts w:hint="eastAsia" w:asciiTheme="minorEastAsia" w:hAnsiTheme="minorEastAsia" w:eastAsiaTheme="minorEastAsia" w:cstheme="minorEastAsia"/>
          <w:color w:val="auto"/>
          <w:spacing w:val="4"/>
          <w:sz w:val="44"/>
        </w:rPr>
      </w:pPr>
    </w:p>
    <w:p w14:paraId="49C45F8F">
      <w:pPr>
        <w:spacing w:line="360" w:lineRule="auto"/>
        <w:ind w:firstLine="2432" w:firstLineChars="543"/>
        <w:rPr>
          <w:rFonts w:hint="eastAsia" w:asciiTheme="minorEastAsia" w:hAnsiTheme="minorEastAsia" w:eastAsiaTheme="minorEastAsia" w:cstheme="minorEastAsia"/>
          <w:color w:val="auto"/>
          <w:spacing w:val="4"/>
          <w:sz w:val="44"/>
        </w:rPr>
      </w:pPr>
      <w:r>
        <w:rPr>
          <w:rFonts w:hint="eastAsia" w:asciiTheme="minorEastAsia" w:hAnsiTheme="minorEastAsia" w:eastAsiaTheme="minorEastAsia" w:cstheme="minorEastAsia"/>
          <w:color w:val="auto"/>
          <w:spacing w:val="4"/>
          <w:sz w:val="44"/>
        </w:rPr>
        <w:t>竞争性磋商文件目录</w:t>
      </w:r>
    </w:p>
    <w:p w14:paraId="6BE9C4D3">
      <w:pPr>
        <w:spacing w:line="360" w:lineRule="auto"/>
        <w:ind w:firstLine="2432" w:firstLineChars="543"/>
        <w:rPr>
          <w:rFonts w:hint="eastAsia" w:asciiTheme="minorEastAsia" w:hAnsiTheme="minorEastAsia" w:eastAsiaTheme="minorEastAsia" w:cstheme="minorEastAsia"/>
          <w:color w:val="auto"/>
          <w:spacing w:val="4"/>
          <w:sz w:val="44"/>
        </w:rPr>
      </w:pPr>
    </w:p>
    <w:p w14:paraId="6DD2D63C">
      <w:pPr>
        <w:pStyle w:val="19"/>
        <w:tabs>
          <w:tab w:val="right" w:leader="underscore" w:pos="8133"/>
        </w:tabs>
        <w:spacing w:line="60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4"/>
          <w:sz w:val="32"/>
        </w:rPr>
        <w:fldChar w:fldCharType="begin"/>
      </w:r>
      <w:r>
        <w:rPr>
          <w:rFonts w:hint="eastAsia" w:asciiTheme="minorEastAsia" w:hAnsiTheme="minorEastAsia" w:eastAsiaTheme="minorEastAsia" w:cstheme="minorEastAsia"/>
          <w:color w:val="auto"/>
          <w:spacing w:val="4"/>
          <w:sz w:val="32"/>
        </w:rPr>
        <w:instrText xml:space="preserve">TOC \o "1-1" \h \u </w:instrText>
      </w:r>
      <w:r>
        <w:rPr>
          <w:rFonts w:hint="eastAsia" w:asciiTheme="minorEastAsia" w:hAnsiTheme="minorEastAsia" w:eastAsiaTheme="minorEastAsia" w:cstheme="minorEastAsia"/>
          <w:color w:val="auto"/>
          <w:spacing w:val="4"/>
          <w:sz w:val="32"/>
        </w:rPr>
        <w:fldChar w:fldCharType="separate"/>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"_Toc26243"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szCs w:val="44"/>
        </w:rPr>
        <w:t>第一章  竞争性磋商公告</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_Toc26243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7263FD53">
      <w:pPr>
        <w:pStyle w:val="19"/>
        <w:tabs>
          <w:tab w:val="right" w:leader="underscore" w:pos="8133"/>
        </w:tabs>
        <w:spacing w:line="60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"_Toc8887"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szCs w:val="44"/>
        </w:rPr>
        <w:t>第二章  竞争性磋商须知</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_Toc8887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07722FB1">
      <w:pPr>
        <w:pStyle w:val="19"/>
        <w:tabs>
          <w:tab w:val="right" w:leader="underscore" w:pos="8133"/>
        </w:tabs>
        <w:spacing w:line="60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"_Toc29969"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kern w:val="0"/>
        </w:rPr>
        <w:t>第三章  采购内</w:t>
      </w:r>
      <w:r>
        <w:rPr>
          <w:rFonts w:hint="eastAsia" w:asciiTheme="minorEastAsia" w:hAnsiTheme="minorEastAsia" w:eastAsiaTheme="minorEastAsia" w:cstheme="minorEastAsia"/>
          <w:bCs/>
          <w:color w:val="auto"/>
          <w:kern w:val="0"/>
          <w:shd w:val="clear" w:color="auto" w:fill="FFFFFF" w:themeFill="background1"/>
        </w:rPr>
        <w:t>容及要求</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_Toc29969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43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30A938C3">
      <w:pPr>
        <w:pStyle w:val="19"/>
        <w:tabs>
          <w:tab w:val="right" w:leader="underscore" w:pos="8133"/>
        </w:tabs>
        <w:spacing w:line="60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"_Toc3982"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kern w:val="0"/>
        </w:rPr>
        <w:t>第四章  商务要求</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_Toc3982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43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552B1466">
      <w:pPr>
        <w:pStyle w:val="19"/>
        <w:tabs>
          <w:tab w:val="right" w:leader="underscore" w:pos="8133"/>
        </w:tabs>
        <w:spacing w:line="60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"_Toc22566"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第五章  合同示范文本</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_Toc22566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48</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749A9DF1">
      <w:pPr>
        <w:pStyle w:val="19"/>
        <w:tabs>
          <w:tab w:val="right" w:leader="underscore" w:pos="8133"/>
        </w:tabs>
        <w:spacing w:line="60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"_Toc4134"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第六章  竞争性磋商响应文件组成</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_Toc4134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52</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585C42B6">
      <w:pPr>
        <w:pStyle w:val="19"/>
        <w:tabs>
          <w:tab w:val="right" w:leader="underscore" w:pos="8133"/>
        </w:tabs>
        <w:rPr>
          <w:rFonts w:hint="eastAsia" w:asciiTheme="minorEastAsia" w:hAnsiTheme="minorEastAsia" w:eastAsiaTheme="minorEastAsia" w:cstheme="minorEastAsia"/>
          <w:color w:val="auto"/>
        </w:rPr>
      </w:pPr>
    </w:p>
    <w:p w14:paraId="38A62345">
      <w:pPr>
        <w:spacing w:line="480" w:lineRule="auto"/>
        <w:ind w:firstLine="1491" w:firstLineChars="518"/>
        <w:jc w:val="left"/>
        <w:rPr>
          <w:rFonts w:hint="eastAsia" w:asciiTheme="minorEastAsia" w:hAnsiTheme="minorEastAsia" w:eastAsiaTheme="minorEastAsia" w:cstheme="minorEastAsia"/>
          <w:color w:val="auto"/>
          <w:spacing w:val="4"/>
          <w:sz w:val="32"/>
        </w:rPr>
      </w:pPr>
      <w:r>
        <w:rPr>
          <w:rFonts w:hint="eastAsia" w:asciiTheme="minorEastAsia" w:hAnsiTheme="minorEastAsia" w:eastAsiaTheme="minorEastAsia" w:cstheme="minorEastAsia"/>
          <w:color w:val="auto"/>
          <w:spacing w:val="4"/>
        </w:rPr>
        <w:fldChar w:fldCharType="end"/>
      </w:r>
    </w:p>
    <w:p w14:paraId="753A804F">
      <w:pPr>
        <w:spacing w:line="360" w:lineRule="auto"/>
        <w:ind w:firstLine="656" w:firstLineChars="200"/>
        <w:jc w:val="center"/>
        <w:rPr>
          <w:rFonts w:hint="eastAsia" w:asciiTheme="minorEastAsia" w:hAnsiTheme="minorEastAsia" w:eastAsiaTheme="minorEastAsia" w:cstheme="minorEastAsia"/>
          <w:color w:val="auto"/>
          <w:spacing w:val="4"/>
          <w:sz w:val="32"/>
        </w:rPr>
      </w:pPr>
    </w:p>
    <w:p w14:paraId="77902BDB">
      <w:pPr>
        <w:spacing w:line="360" w:lineRule="auto"/>
        <w:ind w:firstLine="656" w:firstLineChars="200"/>
        <w:rPr>
          <w:rFonts w:hint="eastAsia" w:asciiTheme="minorEastAsia" w:hAnsiTheme="minorEastAsia" w:eastAsiaTheme="minorEastAsia" w:cstheme="minorEastAsia"/>
          <w:color w:val="auto"/>
          <w:spacing w:val="4"/>
          <w:sz w:val="32"/>
        </w:rPr>
      </w:pPr>
    </w:p>
    <w:p w14:paraId="52869660">
      <w:pPr>
        <w:spacing w:line="360" w:lineRule="auto"/>
        <w:ind w:firstLine="656" w:firstLineChars="200"/>
        <w:rPr>
          <w:rFonts w:hint="eastAsia" w:asciiTheme="minorEastAsia" w:hAnsiTheme="minorEastAsia" w:eastAsiaTheme="minorEastAsia" w:cstheme="minorEastAsia"/>
          <w:color w:val="auto"/>
          <w:spacing w:val="4"/>
          <w:sz w:val="32"/>
        </w:rPr>
      </w:pPr>
    </w:p>
    <w:p w14:paraId="1FA0CCCB">
      <w:pPr>
        <w:spacing w:line="360" w:lineRule="auto"/>
        <w:ind w:firstLine="656" w:firstLineChars="200"/>
        <w:rPr>
          <w:rFonts w:hint="eastAsia" w:asciiTheme="minorEastAsia" w:hAnsiTheme="minorEastAsia" w:eastAsiaTheme="minorEastAsia" w:cstheme="minorEastAsia"/>
          <w:color w:val="auto"/>
          <w:spacing w:val="4"/>
          <w:sz w:val="32"/>
        </w:rPr>
      </w:pPr>
    </w:p>
    <w:p w14:paraId="2866F710">
      <w:pPr>
        <w:spacing w:line="360" w:lineRule="auto"/>
        <w:rPr>
          <w:rFonts w:hint="eastAsia" w:asciiTheme="minorEastAsia" w:hAnsiTheme="minorEastAsia" w:eastAsiaTheme="minorEastAsia" w:cstheme="minorEastAsia"/>
          <w:color w:val="auto"/>
          <w:spacing w:val="4"/>
          <w:sz w:val="32"/>
        </w:rPr>
      </w:pPr>
    </w:p>
    <w:p w14:paraId="3370CB97">
      <w:pPr>
        <w:spacing w:line="360" w:lineRule="auto"/>
        <w:rPr>
          <w:rFonts w:hint="eastAsia" w:asciiTheme="minorEastAsia" w:hAnsiTheme="minorEastAsia" w:eastAsiaTheme="minorEastAsia" w:cstheme="minorEastAsia"/>
          <w:color w:val="auto"/>
          <w:spacing w:val="4"/>
          <w:sz w:val="32"/>
        </w:rPr>
      </w:pPr>
    </w:p>
    <w:p w14:paraId="6243E7DE">
      <w:pPr>
        <w:spacing w:line="360" w:lineRule="auto"/>
        <w:rPr>
          <w:rFonts w:hint="eastAsia" w:asciiTheme="minorEastAsia" w:hAnsiTheme="minorEastAsia" w:eastAsiaTheme="minorEastAsia" w:cstheme="minorEastAsia"/>
          <w:color w:val="auto"/>
          <w:spacing w:val="4"/>
          <w:sz w:val="32"/>
        </w:rPr>
      </w:pPr>
    </w:p>
    <w:p w14:paraId="51AB169A">
      <w:pPr>
        <w:numPr>
          <w:ilvl w:val="0"/>
          <w:numId w:val="1"/>
        </w:numPr>
        <w:jc w:val="center"/>
        <w:outlineLvl w:val="0"/>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color w:val="auto"/>
          <w:sz w:val="44"/>
          <w:szCs w:val="44"/>
        </w:rPr>
        <w:br w:type="page"/>
      </w:r>
      <w:r>
        <w:rPr>
          <w:rFonts w:hint="eastAsia" w:asciiTheme="minorEastAsia" w:hAnsiTheme="minorEastAsia" w:eastAsiaTheme="minorEastAsia" w:cstheme="minorEastAsia"/>
          <w:b/>
          <w:bCs/>
          <w:color w:val="auto"/>
          <w:sz w:val="44"/>
          <w:szCs w:val="44"/>
        </w:rPr>
        <w:t xml:space="preserve"> </w:t>
      </w:r>
      <w:bookmarkStart w:id="0" w:name="_Toc26243"/>
      <w:r>
        <w:rPr>
          <w:rFonts w:hint="eastAsia" w:asciiTheme="minorEastAsia" w:hAnsiTheme="minorEastAsia" w:eastAsiaTheme="minorEastAsia" w:cstheme="minorEastAsia"/>
          <w:b/>
          <w:bCs/>
          <w:color w:val="auto"/>
          <w:sz w:val="44"/>
          <w:szCs w:val="44"/>
        </w:rPr>
        <w:t>竞争性磋商公告</w:t>
      </w:r>
      <w:bookmarkEnd w:id="0"/>
    </w:p>
    <w:p w14:paraId="06366BB8">
      <w:pPr>
        <w:pStyle w:val="13"/>
        <w:ind w:left="560" w:leftChars="200" w:firstLine="0" w:firstLineChars="0"/>
        <w:rPr>
          <w:rFonts w:hint="eastAsia" w:asciiTheme="minorEastAsia" w:hAnsiTheme="minorEastAsia" w:eastAsiaTheme="minorEastAsia" w:cstheme="minorEastAsia"/>
          <w:color w:val="auto"/>
        </w:rPr>
      </w:pPr>
    </w:p>
    <w:p w14:paraId="7A7565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Theme="minorEastAsia" w:hAnsiTheme="minorEastAsia" w:eastAsiaTheme="minorEastAsia" w:cstheme="minorEastAsia"/>
          <w:b/>
          <w:bCs/>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auto"/>
          <w:spacing w:val="0"/>
          <w:kern w:val="0"/>
          <w:sz w:val="24"/>
          <w:szCs w:val="24"/>
          <w:shd w:val="clear" w:fill="FFFFFF"/>
          <w:lang w:val="en-US" w:eastAsia="zh-CN" w:bidi="ar"/>
        </w:rPr>
        <w:t>蟠龙高新区扩区调区编制产业规划、用地情况报告、总体发展规划环境影响评价报告</w:t>
      </w:r>
    </w:p>
    <w:p w14:paraId="36CF1F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Theme="minorEastAsia" w:hAnsiTheme="minorEastAsia" w:eastAsiaTheme="minorEastAsia" w:cstheme="minorEastAsia"/>
          <w:b/>
          <w:bCs/>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auto"/>
          <w:spacing w:val="0"/>
          <w:kern w:val="0"/>
          <w:sz w:val="24"/>
          <w:szCs w:val="24"/>
          <w:shd w:val="clear" w:fill="FFFFFF"/>
          <w:lang w:val="en-US" w:eastAsia="zh-CN" w:bidi="ar"/>
        </w:rPr>
        <w:t>竞争性磋商公告</w:t>
      </w:r>
    </w:p>
    <w:p w14:paraId="69CEC65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Theme="minorEastAsia" w:hAnsiTheme="minorEastAsia" w:eastAsiaTheme="minorEastAsia" w:cstheme="minorEastAsia"/>
          <w:b w:val="0"/>
          <w:bCs w:val="0"/>
          <w:color w:val="auto"/>
          <w:sz w:val="21"/>
          <w:szCs w:val="21"/>
        </w:rPr>
      </w:pPr>
      <w:r>
        <w:rPr>
          <w:rStyle w:val="28"/>
          <w:rFonts w:hint="eastAsia" w:asciiTheme="minorEastAsia" w:hAnsiTheme="minorEastAsia" w:eastAsiaTheme="minorEastAsia" w:cstheme="minorEastAsia"/>
          <w:b/>
          <w:bCs/>
          <w:i w:val="0"/>
          <w:iCs w:val="0"/>
          <w:caps w:val="0"/>
          <w:color w:val="auto"/>
          <w:spacing w:val="0"/>
          <w:sz w:val="21"/>
          <w:szCs w:val="21"/>
          <w:shd w:val="clear" w:fill="FFFFFF"/>
        </w:rPr>
        <w:t>项目概况</w:t>
      </w:r>
    </w:p>
    <w:p w14:paraId="1440EABF">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蟠龙高新区扩区调区编制产业规划、用地情况报告、总体发展规划环境影响评价报告采购项目的潜在供应商应在全国公共资源交易平台（陕西省·宝鸡市）宝鸡市公共资源交易中心（ggzy.baoji.gov.cn）自行下载获取采购文件，并于 2025年09月09日 09时00分 （北京时间）前提交响应文件。</w:t>
      </w:r>
    </w:p>
    <w:p w14:paraId="2D29289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Theme="minorEastAsia" w:hAnsiTheme="minorEastAsia" w:eastAsiaTheme="minorEastAsia" w:cstheme="minorEastAsia"/>
          <w:b w:val="0"/>
          <w:bCs w:val="0"/>
          <w:i w:val="0"/>
          <w:iCs w:val="0"/>
          <w:caps w:val="0"/>
          <w:color w:val="auto"/>
          <w:spacing w:val="0"/>
          <w:sz w:val="21"/>
          <w:szCs w:val="21"/>
        </w:rPr>
      </w:pPr>
      <w:r>
        <w:rPr>
          <w:rStyle w:val="28"/>
          <w:rFonts w:hint="eastAsia" w:asciiTheme="minorEastAsia" w:hAnsiTheme="minorEastAsia" w:eastAsiaTheme="minorEastAsia" w:cstheme="minorEastAsia"/>
          <w:b/>
          <w:bCs/>
          <w:i w:val="0"/>
          <w:iCs w:val="0"/>
          <w:caps w:val="0"/>
          <w:color w:val="auto"/>
          <w:spacing w:val="0"/>
          <w:sz w:val="21"/>
          <w:szCs w:val="21"/>
          <w:shd w:val="clear" w:fill="FFFFFF"/>
          <w:vertAlign w:val="baseline"/>
        </w:rPr>
        <w:t>一、项目基本情况</w:t>
      </w:r>
    </w:p>
    <w:p w14:paraId="07916003">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项目编号：SXJX-2025-012号</w:t>
      </w:r>
    </w:p>
    <w:p w14:paraId="1C5BE5A6">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项目名称：蟠龙高新区扩区调区编制产业规划、用地情况报告、总体发展规划环境影响评价报告</w:t>
      </w:r>
    </w:p>
    <w:p w14:paraId="08074A93">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采购方式：竞争性磋商</w:t>
      </w:r>
    </w:p>
    <w:p w14:paraId="579020A3">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预算金额：620,000.00元</w:t>
      </w:r>
    </w:p>
    <w:p w14:paraId="16131915">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采购需求：</w:t>
      </w:r>
    </w:p>
    <w:p w14:paraId="20C3A729">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合同包1(蟠龙高新区扩区调区编制产业规划、用地情况报告、总体发展规划环境影响评价报告第1包):</w:t>
      </w:r>
    </w:p>
    <w:p w14:paraId="30597CCC">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合同包预算金额：140,000.00元</w:t>
      </w:r>
    </w:p>
    <w:p w14:paraId="1E140FC6">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合同包最高限价：140,000.00元</w:t>
      </w:r>
    </w:p>
    <w:tbl>
      <w:tblPr>
        <w:tblStyle w:val="2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25"/>
        <w:gridCol w:w="2602"/>
        <w:gridCol w:w="2602"/>
        <w:gridCol w:w="926"/>
        <w:gridCol w:w="1779"/>
        <w:gridCol w:w="1291"/>
      </w:tblGrid>
      <w:tr w14:paraId="0DA31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3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6CF81A">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lang w:val="en-US" w:eastAsia="zh-CN" w:bidi="ar"/>
              </w:rPr>
              <w:t>品目号</w:t>
            </w:r>
          </w:p>
        </w:tc>
        <w:tc>
          <w:tcPr>
            <w:tcW w:w="13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410D8A">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lang w:val="en-US" w:eastAsia="zh-CN" w:bidi="ar"/>
              </w:rPr>
              <w:t>品目名称</w:t>
            </w:r>
          </w:p>
        </w:tc>
        <w:tc>
          <w:tcPr>
            <w:tcW w:w="13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70BD9D">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lang w:val="en-US" w:eastAsia="zh-CN" w:bidi="ar"/>
              </w:rPr>
              <w:t>采购标的</w:t>
            </w:r>
          </w:p>
        </w:tc>
        <w:tc>
          <w:tcPr>
            <w:tcW w:w="47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13654A">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lang w:val="en-US" w:eastAsia="zh-CN" w:bidi="ar"/>
              </w:rPr>
              <w:t>数量（单位）</w:t>
            </w:r>
          </w:p>
        </w:tc>
        <w:tc>
          <w:tcPr>
            <w:tcW w:w="90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B775A1">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lang w:val="en-US" w:eastAsia="zh-CN" w:bidi="ar"/>
              </w:rPr>
              <w:t>技术规格、参数及要求</w:t>
            </w:r>
          </w:p>
        </w:tc>
        <w:tc>
          <w:tcPr>
            <w:tcW w:w="60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552234">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lang w:val="en-US" w:eastAsia="zh-CN" w:bidi="ar"/>
              </w:rPr>
              <w:t>品目预算(元)</w:t>
            </w:r>
          </w:p>
        </w:tc>
      </w:tr>
      <w:tr w14:paraId="64596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3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E3C5E8">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1-1</w:t>
            </w:r>
          </w:p>
        </w:tc>
        <w:tc>
          <w:tcPr>
            <w:tcW w:w="13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EFF5F9">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其他专业技术服务</w:t>
            </w:r>
          </w:p>
        </w:tc>
        <w:tc>
          <w:tcPr>
            <w:tcW w:w="13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6B237C">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蟠龙高新区扩区调区编制产业规划</w:t>
            </w:r>
          </w:p>
        </w:tc>
        <w:tc>
          <w:tcPr>
            <w:tcW w:w="47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534049">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1(项)</w:t>
            </w:r>
          </w:p>
        </w:tc>
        <w:tc>
          <w:tcPr>
            <w:tcW w:w="90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9B8D90">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详见采购文件</w:t>
            </w:r>
          </w:p>
        </w:tc>
        <w:tc>
          <w:tcPr>
            <w:tcW w:w="60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514871">
            <w:pPr>
              <w:keepNext w:val="0"/>
              <w:keepLines w:val="0"/>
              <w:widowControl/>
              <w:suppressLineNumbers w:val="0"/>
              <w:wordWrap/>
              <w:spacing w:before="0" w:beforeAutospacing="0" w:after="0" w:afterAutospacing="0" w:line="360" w:lineRule="atLeast"/>
              <w:ind w:left="0" w:right="0"/>
              <w:jc w:val="righ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vertAlign w:val="baseline"/>
                <w:lang w:val="en-US" w:eastAsia="zh-CN" w:bidi="ar"/>
              </w:rPr>
              <w:t>140,000.00</w:t>
            </w:r>
          </w:p>
        </w:tc>
      </w:tr>
    </w:tbl>
    <w:p w14:paraId="1825416D">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本合同包不接受联合体投标</w:t>
      </w:r>
    </w:p>
    <w:p w14:paraId="6AA63406">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合同履行期限：自合同签订之日起180日历天内完成</w:t>
      </w:r>
    </w:p>
    <w:p w14:paraId="3D831FF0">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合同包2(蟠龙高新区扩区调区编制产业规划、用地情况报告、总体发展规划环境影响评价报告第2包):</w:t>
      </w:r>
    </w:p>
    <w:p w14:paraId="68D98715">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合同包预算金额：130,000.00元</w:t>
      </w:r>
    </w:p>
    <w:p w14:paraId="52F49E37">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合同包最高限价：130,000.00元</w:t>
      </w:r>
    </w:p>
    <w:tbl>
      <w:tblPr>
        <w:tblStyle w:val="2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25"/>
        <w:gridCol w:w="2602"/>
        <w:gridCol w:w="2602"/>
        <w:gridCol w:w="926"/>
        <w:gridCol w:w="1779"/>
        <w:gridCol w:w="1291"/>
      </w:tblGrid>
      <w:tr w14:paraId="0FF2A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3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00A6F3">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lang w:val="en-US" w:eastAsia="zh-CN" w:bidi="ar"/>
              </w:rPr>
              <w:t>品目号</w:t>
            </w:r>
          </w:p>
        </w:tc>
        <w:tc>
          <w:tcPr>
            <w:tcW w:w="13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784637">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lang w:val="en-US" w:eastAsia="zh-CN" w:bidi="ar"/>
              </w:rPr>
              <w:t>品目名称</w:t>
            </w:r>
          </w:p>
        </w:tc>
        <w:tc>
          <w:tcPr>
            <w:tcW w:w="13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8390C7">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lang w:val="en-US" w:eastAsia="zh-CN" w:bidi="ar"/>
              </w:rPr>
              <w:t>采购标的</w:t>
            </w:r>
          </w:p>
        </w:tc>
        <w:tc>
          <w:tcPr>
            <w:tcW w:w="47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8DDE70">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lang w:val="en-US" w:eastAsia="zh-CN" w:bidi="ar"/>
              </w:rPr>
              <w:t>数量（单位）</w:t>
            </w:r>
          </w:p>
        </w:tc>
        <w:tc>
          <w:tcPr>
            <w:tcW w:w="90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60182A">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lang w:val="en-US" w:eastAsia="zh-CN" w:bidi="ar"/>
              </w:rPr>
              <w:t>技术规格、参数及要求</w:t>
            </w:r>
          </w:p>
        </w:tc>
        <w:tc>
          <w:tcPr>
            <w:tcW w:w="60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1656B7">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lang w:val="en-US" w:eastAsia="zh-CN" w:bidi="ar"/>
              </w:rPr>
              <w:t>品目预算(元)</w:t>
            </w:r>
          </w:p>
        </w:tc>
      </w:tr>
      <w:tr w14:paraId="78D80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3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6A0235">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2-1</w:t>
            </w:r>
          </w:p>
        </w:tc>
        <w:tc>
          <w:tcPr>
            <w:tcW w:w="13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227FA0">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其他专业技术服务</w:t>
            </w:r>
          </w:p>
        </w:tc>
        <w:tc>
          <w:tcPr>
            <w:tcW w:w="13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F5506B">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蟠龙高新区扩区调区用地情况报告</w:t>
            </w:r>
          </w:p>
        </w:tc>
        <w:tc>
          <w:tcPr>
            <w:tcW w:w="47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4902AB">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1(项)</w:t>
            </w:r>
          </w:p>
        </w:tc>
        <w:tc>
          <w:tcPr>
            <w:tcW w:w="90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D6263B">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详见采购文件</w:t>
            </w:r>
          </w:p>
        </w:tc>
        <w:tc>
          <w:tcPr>
            <w:tcW w:w="60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6215D5">
            <w:pPr>
              <w:keepNext w:val="0"/>
              <w:keepLines w:val="0"/>
              <w:widowControl/>
              <w:suppressLineNumbers w:val="0"/>
              <w:wordWrap/>
              <w:spacing w:before="0" w:beforeAutospacing="0" w:after="0" w:afterAutospacing="0" w:line="360" w:lineRule="atLeast"/>
              <w:ind w:left="0" w:right="0"/>
              <w:jc w:val="righ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vertAlign w:val="baseline"/>
                <w:lang w:val="en-US" w:eastAsia="zh-CN" w:bidi="ar"/>
              </w:rPr>
              <w:t>130,000.00</w:t>
            </w:r>
          </w:p>
        </w:tc>
      </w:tr>
    </w:tbl>
    <w:p w14:paraId="38A390B3">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本合同包不接受联合体投标</w:t>
      </w:r>
    </w:p>
    <w:p w14:paraId="5AA120B9">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合同履行期限：自合同签订之日起180日历天内完成</w:t>
      </w:r>
    </w:p>
    <w:p w14:paraId="5AC56C38">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合同包3(蟠龙高新区扩区调区编制产业规划、用地情况报告、总体发展规划环境影响评价报告第3包):</w:t>
      </w:r>
    </w:p>
    <w:p w14:paraId="58822621">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合同包预算金额：350,000.00元</w:t>
      </w:r>
    </w:p>
    <w:p w14:paraId="7F76D7B8">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合同包最高限价：350,000.00元</w:t>
      </w:r>
    </w:p>
    <w:tbl>
      <w:tblPr>
        <w:tblStyle w:val="2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04"/>
        <w:gridCol w:w="2500"/>
        <w:gridCol w:w="2811"/>
        <w:gridCol w:w="902"/>
        <w:gridCol w:w="1718"/>
        <w:gridCol w:w="1290"/>
      </w:tblGrid>
      <w:tr w14:paraId="05A6F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36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0F7AB2">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lang w:val="en-US" w:eastAsia="zh-CN" w:bidi="ar"/>
              </w:rPr>
              <w:t>品目号</w:t>
            </w:r>
          </w:p>
        </w:tc>
        <w:tc>
          <w:tcPr>
            <w:tcW w:w="126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07E029">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lang w:val="en-US" w:eastAsia="zh-CN" w:bidi="ar"/>
              </w:rPr>
              <w:t>品目名称</w:t>
            </w:r>
          </w:p>
        </w:tc>
        <w:tc>
          <w:tcPr>
            <w:tcW w:w="142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5281EE">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lang w:val="en-US" w:eastAsia="zh-CN" w:bidi="ar"/>
              </w:rPr>
              <w:t>采购标的</w:t>
            </w:r>
          </w:p>
        </w:tc>
        <w:tc>
          <w:tcPr>
            <w:tcW w:w="46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35C82F">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lang w:val="en-US" w:eastAsia="zh-CN" w:bidi="ar"/>
              </w:rPr>
              <w:t>数量（单位）</w:t>
            </w:r>
          </w:p>
        </w:tc>
        <w:tc>
          <w:tcPr>
            <w:tcW w:w="87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7A2D5A">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lang w:val="en-US" w:eastAsia="zh-CN" w:bidi="ar"/>
              </w:rPr>
              <w:t>技术规格、参数及要求</w:t>
            </w:r>
          </w:p>
        </w:tc>
        <w:tc>
          <w:tcPr>
            <w:tcW w:w="5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CB0962">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lang w:val="en-US" w:eastAsia="zh-CN" w:bidi="ar"/>
              </w:rPr>
              <w:t>品目预算(元)</w:t>
            </w:r>
          </w:p>
        </w:tc>
      </w:tr>
      <w:tr w14:paraId="0E6F8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36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8E3EAD">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3-1</w:t>
            </w:r>
          </w:p>
        </w:tc>
        <w:tc>
          <w:tcPr>
            <w:tcW w:w="126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27E46C">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其他专业技术服务</w:t>
            </w:r>
          </w:p>
        </w:tc>
        <w:tc>
          <w:tcPr>
            <w:tcW w:w="142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4A5B7A">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蟠龙高新区扩区调区总体发展规划环境影响评价报告</w:t>
            </w:r>
          </w:p>
        </w:tc>
        <w:tc>
          <w:tcPr>
            <w:tcW w:w="46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203F0D">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1(项)</w:t>
            </w:r>
          </w:p>
        </w:tc>
        <w:tc>
          <w:tcPr>
            <w:tcW w:w="87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2C34C1">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详见采购文件</w:t>
            </w:r>
          </w:p>
        </w:tc>
        <w:tc>
          <w:tcPr>
            <w:tcW w:w="5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9289AE">
            <w:pPr>
              <w:keepNext w:val="0"/>
              <w:keepLines w:val="0"/>
              <w:widowControl/>
              <w:suppressLineNumbers w:val="0"/>
              <w:wordWrap/>
              <w:spacing w:before="0" w:beforeAutospacing="0" w:after="0" w:afterAutospacing="0" w:line="360" w:lineRule="atLeast"/>
              <w:ind w:left="0" w:right="0"/>
              <w:jc w:val="righ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vertAlign w:val="baseline"/>
                <w:lang w:val="en-US" w:eastAsia="zh-CN" w:bidi="ar"/>
              </w:rPr>
              <w:t>350,000.00</w:t>
            </w:r>
          </w:p>
        </w:tc>
      </w:tr>
    </w:tbl>
    <w:p w14:paraId="1AD07D03">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本合同包不接受联合体投标</w:t>
      </w:r>
    </w:p>
    <w:p w14:paraId="037815F0">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合同履行期限：自合同签订之日起180日历天内完成</w:t>
      </w:r>
    </w:p>
    <w:p w14:paraId="5DA3720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Theme="minorEastAsia" w:hAnsiTheme="minorEastAsia" w:eastAsiaTheme="minorEastAsia" w:cstheme="minorEastAsia"/>
          <w:b w:val="0"/>
          <w:bCs w:val="0"/>
          <w:i w:val="0"/>
          <w:iCs w:val="0"/>
          <w:caps w:val="0"/>
          <w:color w:val="auto"/>
          <w:spacing w:val="0"/>
          <w:sz w:val="21"/>
          <w:szCs w:val="21"/>
        </w:rPr>
      </w:pPr>
      <w:r>
        <w:rPr>
          <w:rStyle w:val="28"/>
          <w:rFonts w:hint="eastAsia" w:asciiTheme="minorEastAsia" w:hAnsiTheme="minorEastAsia" w:eastAsiaTheme="minorEastAsia" w:cstheme="minorEastAsia"/>
          <w:b/>
          <w:bCs/>
          <w:i w:val="0"/>
          <w:iCs w:val="0"/>
          <w:caps w:val="0"/>
          <w:color w:val="auto"/>
          <w:spacing w:val="0"/>
          <w:sz w:val="21"/>
          <w:szCs w:val="21"/>
          <w:shd w:val="clear" w:fill="FFFFFF"/>
          <w:vertAlign w:val="baseline"/>
        </w:rPr>
        <w:t>二、申请人的资格要求：</w:t>
      </w:r>
    </w:p>
    <w:p w14:paraId="4C58C79B">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1.满足《中华人民共和国政府采购法》第二十二条规定;</w:t>
      </w:r>
    </w:p>
    <w:p w14:paraId="22E3B183">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2.落实政府采购政策需满足的资格要求： 无。</w:t>
      </w:r>
    </w:p>
    <w:p w14:paraId="44F3B67E">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3.本项目的特定资格要求：</w:t>
      </w:r>
    </w:p>
    <w:p w14:paraId="39D3B932">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合同包1(蟠龙高新区扩区调区编制产业规划、用地情况报告、总体发展规划环境影响评价报告第1包)特定资格要求如下:</w:t>
      </w:r>
    </w:p>
    <w:p w14:paraId="1E672141">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（1）供应商须是具有独立承担民事责任能力的法人、其他组织或自然人，并出具合法有效的营业执照或事业单位法人证书等国家规定的相关证明，自然人参与的提供其身份证明；</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1"/>
          <w:szCs w:val="21"/>
          <w:shd w:val="clear" w:fill="FFFFFF"/>
          <w:vertAlign w:val="baseline"/>
        </w:rPr>
        <w:t>（2）供应商须提供2024年度财务审计报告（成立时间至提交投标文件截止时间不足一年的可提供成立后任意时段的资产负债表）或基本存款账户开户银行出具的资信证明（附开户许可证或开户备案证明）；</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1"/>
          <w:szCs w:val="21"/>
          <w:shd w:val="clear" w:fill="FFFFFF"/>
          <w:vertAlign w:val="baseline"/>
        </w:rPr>
        <w:t>（3）供应商须提供2024年8月至今已缴存的至少一个月的社会保险参保缴费情况证明。</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1"/>
          <w:szCs w:val="21"/>
          <w:shd w:val="clear" w:fill="FFFFFF"/>
          <w:vertAlign w:val="baseline"/>
        </w:rPr>
        <w:t>（4）供应商须提供2024年8月至今缴纳的至少一个月的纳税证明或完税证明，依法免税的单位应提供相关证明材料；</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1"/>
          <w:szCs w:val="21"/>
          <w:shd w:val="clear" w:fill="FFFFFF"/>
          <w:vertAlign w:val="baseline"/>
        </w:rPr>
        <w:t>（5）供应商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信用承诺书）；             </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1"/>
          <w:szCs w:val="21"/>
          <w:shd w:val="clear" w:fill="FFFFFF"/>
          <w:vertAlign w:val="baseline"/>
        </w:rPr>
        <w:t>（6）单位负责人为同一人或者存在直接控股、管理关系的不同投标人，不得参加同一合同项下的政府采购活动；（提供承诺书)</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1"/>
          <w:szCs w:val="21"/>
          <w:shd w:val="clear" w:fill="FFFFFF"/>
          <w:vertAlign w:val="baseline"/>
        </w:rPr>
        <w:t>（7）企业开具的近三年在政府采购经营活动中无重大违法记录声明；（成立时间不足三年的供应商提供自成立之日起至开标截止之日止的无重大违法记录声明）； </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1"/>
          <w:szCs w:val="21"/>
          <w:shd w:val="clear" w:fill="FFFFFF"/>
          <w:vertAlign w:val="baseline"/>
        </w:rPr>
        <w:t>（8）供应商应授权合法的人员参加磋商全过程，其中法定代表人直接参加磋商的，须出具法定代表人资格证明书及身份证，并与营业执照上信息一致，法定代表人授权代表参加磋商的，须出具法定代表人资格证明书、授权书及被授权代表身份证；</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1"/>
          <w:szCs w:val="21"/>
          <w:shd w:val="clear" w:fill="FFFFFF"/>
          <w:vertAlign w:val="baseline"/>
        </w:rPr>
        <w:t>（9）提供具有履行合同所必需的设备和专业技术能力的承诺书；</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1"/>
          <w:szCs w:val="21"/>
          <w:shd w:val="clear" w:fill="FFFFFF"/>
          <w:vertAlign w:val="baseline"/>
        </w:rPr>
        <w:t>（10）供应商须提供合格有效的城乡规划编制资质乙级及以上证书。</w:t>
      </w:r>
    </w:p>
    <w:p w14:paraId="43BB5E92">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合同包2(蟠龙高新区扩区调区编制产业规划、用地情况报告、总体发展规划环境影响评价报告第2包)特定资格要求如下:</w:t>
      </w:r>
    </w:p>
    <w:p w14:paraId="5EDFFFC8">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（1）供应商须是具有独立承担民事责任能力的法人、其他组织或自然人，并出具合法有效的营业执照或事业单位法人证书等国家规定的相关证明，自然人参与的提供其身份证明；</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1"/>
          <w:szCs w:val="21"/>
          <w:shd w:val="clear" w:fill="FFFFFF"/>
          <w:vertAlign w:val="baseline"/>
        </w:rPr>
        <w:t>（2）供应商须提供2024年度财务审计报告（成立时间至提交投标文件截止时间不足一年的可提供成立后任意时段的资产负债表）或基本存款账户开户银行出具的资信证明（附开户许可证或开户备案证明）；</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1"/>
          <w:szCs w:val="21"/>
          <w:shd w:val="clear" w:fill="FFFFFF"/>
          <w:vertAlign w:val="baseline"/>
        </w:rPr>
        <w:t>（3）供应商须提供2024年8月至今已缴存的至少一个月的社会保险参保缴费情况证明。</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1"/>
          <w:szCs w:val="21"/>
          <w:shd w:val="clear" w:fill="FFFFFF"/>
          <w:vertAlign w:val="baseline"/>
        </w:rPr>
        <w:t>（4）供应商须提供2024年8月至今缴纳的至少一个月的纳税证明或完税证明，依法免税的单位应提供相关证明材料；</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1"/>
          <w:szCs w:val="21"/>
          <w:shd w:val="clear" w:fill="FFFFFF"/>
          <w:vertAlign w:val="baseline"/>
        </w:rPr>
        <w:t>（5）供应商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信用承诺书）；             </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1"/>
          <w:szCs w:val="21"/>
          <w:shd w:val="clear" w:fill="FFFFFF"/>
          <w:vertAlign w:val="baseline"/>
        </w:rPr>
        <w:t>（6）单位负责人为同一人或者存在直接控股、管理关系的不同投标人，不得参加同一合同项下的政府采购活动；（提供承诺书)</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1"/>
          <w:szCs w:val="21"/>
          <w:shd w:val="clear" w:fill="FFFFFF"/>
          <w:vertAlign w:val="baseline"/>
        </w:rPr>
        <w:t>（7）企业开具的近三年在政府采购经营活动中无重大违法记录声明；（成立时间不足三年的供应商提供自成立之日起至开标截止之日止的无重大违法记录声明）； </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1"/>
          <w:szCs w:val="21"/>
          <w:shd w:val="clear" w:fill="FFFFFF"/>
          <w:vertAlign w:val="baseline"/>
        </w:rPr>
        <w:t>（8）供应商应授权合法的人员参加磋商全过程，其中法定代表人直接参加磋商的，须出具法定代表人资格证明书及身份证，并与营业执照上信息一致，法定代表人授权代表参加磋商的，须出具法定代表人资格证明书、授权书及被授权代表身份证；</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1"/>
          <w:szCs w:val="21"/>
          <w:shd w:val="clear" w:fill="FFFFFF"/>
          <w:vertAlign w:val="baseline"/>
        </w:rPr>
        <w:t>（9）提供具有履行合同所必需的设备和专业技术能力的承诺书；</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1"/>
          <w:szCs w:val="21"/>
          <w:shd w:val="clear" w:fill="FFFFFF"/>
          <w:vertAlign w:val="baseline"/>
        </w:rPr>
        <w:t>（10）供应商须提供合格有效的城乡规划编制资质乙级及以上证书或土地规划乙级及以上证书。</w:t>
      </w:r>
    </w:p>
    <w:p w14:paraId="02DCDF3F">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合同包3(蟠龙高新区扩区调区编制产业规划、用地情况报告、总体发展规划环境影响评价报告第3包)特定资格要求如下:</w:t>
      </w:r>
    </w:p>
    <w:p w14:paraId="547443DE">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（1）供应商须是具有独立承担民事责任能力的法人、其他组织或自然人，并出具合法有效的营业执照或事业单位法人证书等国家规定的相关证明，自然人参与的提供其身份证明；</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1"/>
          <w:szCs w:val="21"/>
          <w:shd w:val="clear" w:fill="FFFFFF"/>
          <w:vertAlign w:val="baseline"/>
        </w:rPr>
        <w:t>（2）供应商须提供2024年度财务审计报告（成立时间至提交投标文件截止时间不足一年的可提供成立后任意时段的资产负债表）或基本存款账户开户银行出具的资信证明（附开户许可证或开户备案证明）；</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1"/>
          <w:szCs w:val="21"/>
          <w:shd w:val="clear" w:fill="FFFFFF"/>
          <w:vertAlign w:val="baseline"/>
        </w:rPr>
        <w:t>（3）供应商须提供2024年8月至今已缴存的至少一个月的社会保险参保缴费情况证明。</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1"/>
          <w:szCs w:val="21"/>
          <w:shd w:val="clear" w:fill="FFFFFF"/>
          <w:vertAlign w:val="baseline"/>
        </w:rPr>
        <w:t>（4）供应商须提供2024年8月至今缴纳的至少一个月的纳税证明或完税证明，依法免税的单位应提供相关证明材料；</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1"/>
          <w:szCs w:val="21"/>
          <w:shd w:val="clear" w:fill="FFFFFF"/>
          <w:vertAlign w:val="baseline"/>
        </w:rPr>
        <w:t>（5）供应商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信用承诺书）；             </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1"/>
          <w:szCs w:val="21"/>
          <w:shd w:val="clear" w:fill="FFFFFF"/>
          <w:vertAlign w:val="baseline"/>
        </w:rPr>
        <w:t>（6）单位负责人为同一人或者存在直接控股、管理关系的不同投标人，不得参加同一合同项下的政府采购活动；（提供承诺书)</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1"/>
          <w:szCs w:val="21"/>
          <w:shd w:val="clear" w:fill="FFFFFF"/>
          <w:vertAlign w:val="baseline"/>
        </w:rPr>
        <w:t>（7）企业开具的近三年在政府采购经营活动中无重大违法记录声明；（成立时间不足三年的供应商提供自成立之日起至开标截止之日止的无重大违法记录声明）； </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1"/>
          <w:szCs w:val="21"/>
          <w:shd w:val="clear" w:fill="FFFFFF"/>
          <w:vertAlign w:val="baseline"/>
        </w:rPr>
        <w:t>（8）供应商应授权合法的人员参加磋商全过程，其中法定代表人直接参加磋商的，须出具法定代表人资格证明书及身份证，并与营业执照上信息一致，法定代表人授权代表参加磋商的，须出具法定代表人资格证明书、授权书及被授权代表身份证；</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1"/>
          <w:szCs w:val="21"/>
          <w:shd w:val="clear" w:fill="FFFFFF"/>
          <w:vertAlign w:val="baseline"/>
        </w:rPr>
        <w:t>（9）提供具有履行合同所必需的设备和专业技术能力的承诺书；</w:t>
      </w:r>
      <w:r>
        <w:rPr>
          <w:rFonts w:hint="eastAsia" w:asciiTheme="minorEastAsia" w:hAnsiTheme="minorEastAsia" w:eastAsiaTheme="minorEastAsia" w:cstheme="minorEastAsia"/>
          <w:i w:val="0"/>
          <w:iCs w:val="0"/>
          <w:caps w:val="0"/>
          <w:color w:val="auto"/>
          <w:spacing w:val="0"/>
          <w:sz w:val="21"/>
          <w:szCs w:val="21"/>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1"/>
          <w:szCs w:val="21"/>
          <w:shd w:val="clear" w:fill="FFFFFF"/>
          <w:vertAlign w:val="baseline"/>
        </w:rPr>
        <w:t>（10）供应商须在环境影响评价信用平台注册（以网站截图为准）且拟派项目负责人须具备环境影响评价工程师资格证；</w:t>
      </w:r>
    </w:p>
    <w:p w14:paraId="633D482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Theme="minorEastAsia" w:hAnsiTheme="minorEastAsia" w:eastAsiaTheme="minorEastAsia" w:cstheme="minorEastAsia"/>
          <w:b w:val="0"/>
          <w:bCs w:val="0"/>
          <w:i w:val="0"/>
          <w:iCs w:val="0"/>
          <w:caps w:val="0"/>
          <w:color w:val="auto"/>
          <w:spacing w:val="0"/>
          <w:sz w:val="21"/>
          <w:szCs w:val="21"/>
        </w:rPr>
      </w:pPr>
      <w:r>
        <w:rPr>
          <w:rStyle w:val="28"/>
          <w:rFonts w:hint="eastAsia" w:asciiTheme="minorEastAsia" w:hAnsiTheme="minorEastAsia" w:eastAsiaTheme="minorEastAsia" w:cstheme="minorEastAsia"/>
          <w:b/>
          <w:bCs/>
          <w:i w:val="0"/>
          <w:iCs w:val="0"/>
          <w:caps w:val="0"/>
          <w:color w:val="auto"/>
          <w:spacing w:val="0"/>
          <w:sz w:val="21"/>
          <w:szCs w:val="21"/>
          <w:shd w:val="clear" w:fill="FFFFFF"/>
          <w:vertAlign w:val="baseline"/>
        </w:rPr>
        <w:t>三、获取采购文件</w:t>
      </w:r>
    </w:p>
    <w:p w14:paraId="5982E96E">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时间： 2025年08月26日 至 2025年09月01日 ，每天上午 09:00:00 至 12:00:00 ，下午 12:00:00 至 17:00:00 （北京时间）</w:t>
      </w:r>
    </w:p>
    <w:p w14:paraId="2146D195">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途径：全国公共资源交易平台（陕西省·宝鸡市）宝鸡市公共资源交易中心（ggzy.baoji.gov.cn）自行下载</w:t>
      </w:r>
    </w:p>
    <w:p w14:paraId="09B50ACD">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方式：在线获取</w:t>
      </w:r>
    </w:p>
    <w:p w14:paraId="3218D429">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售价： 0元</w:t>
      </w:r>
    </w:p>
    <w:p w14:paraId="49976A2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Theme="minorEastAsia" w:hAnsiTheme="minorEastAsia" w:eastAsiaTheme="minorEastAsia" w:cstheme="minorEastAsia"/>
          <w:b w:val="0"/>
          <w:bCs w:val="0"/>
          <w:i w:val="0"/>
          <w:iCs w:val="0"/>
          <w:caps w:val="0"/>
          <w:color w:val="auto"/>
          <w:spacing w:val="0"/>
          <w:sz w:val="21"/>
          <w:szCs w:val="21"/>
        </w:rPr>
      </w:pPr>
      <w:r>
        <w:rPr>
          <w:rStyle w:val="28"/>
          <w:rFonts w:hint="eastAsia" w:asciiTheme="minorEastAsia" w:hAnsiTheme="minorEastAsia" w:eastAsiaTheme="minorEastAsia" w:cstheme="minorEastAsia"/>
          <w:b/>
          <w:bCs/>
          <w:i w:val="0"/>
          <w:iCs w:val="0"/>
          <w:caps w:val="0"/>
          <w:color w:val="auto"/>
          <w:spacing w:val="0"/>
          <w:sz w:val="21"/>
          <w:szCs w:val="21"/>
          <w:shd w:val="clear" w:fill="FFFFFF"/>
          <w:vertAlign w:val="baseline"/>
        </w:rPr>
        <w:t>四、响应文件提交</w:t>
      </w:r>
    </w:p>
    <w:p w14:paraId="71EFE69C">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截止时间： 2025年09月09日 09时00分00秒 （北京时间）</w:t>
      </w:r>
    </w:p>
    <w:p w14:paraId="5AC4B5BA">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地点：全国公共资源交易平台（陕西省·宝鸡市）宝鸡市公共资源交易中心（http://ggzy.baoji.gov.cn/）在线提交</w:t>
      </w:r>
    </w:p>
    <w:p w14:paraId="408A386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Theme="minorEastAsia" w:hAnsiTheme="minorEastAsia" w:eastAsiaTheme="minorEastAsia" w:cstheme="minorEastAsia"/>
          <w:b w:val="0"/>
          <w:bCs w:val="0"/>
          <w:i w:val="0"/>
          <w:iCs w:val="0"/>
          <w:caps w:val="0"/>
          <w:color w:val="auto"/>
          <w:spacing w:val="0"/>
          <w:sz w:val="21"/>
          <w:szCs w:val="21"/>
        </w:rPr>
      </w:pPr>
      <w:r>
        <w:rPr>
          <w:rStyle w:val="28"/>
          <w:rFonts w:hint="eastAsia" w:asciiTheme="minorEastAsia" w:hAnsiTheme="minorEastAsia" w:eastAsiaTheme="minorEastAsia" w:cstheme="minorEastAsia"/>
          <w:b/>
          <w:bCs/>
          <w:i w:val="0"/>
          <w:iCs w:val="0"/>
          <w:caps w:val="0"/>
          <w:color w:val="auto"/>
          <w:spacing w:val="0"/>
          <w:sz w:val="21"/>
          <w:szCs w:val="21"/>
          <w:shd w:val="clear" w:fill="FFFFFF"/>
          <w:vertAlign w:val="baseline"/>
        </w:rPr>
        <w:t>五、开启</w:t>
      </w:r>
    </w:p>
    <w:p w14:paraId="4628E464">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时间： 2025年09月09日 09时00分00秒 （北京时间）</w:t>
      </w:r>
    </w:p>
    <w:p w14:paraId="46ECC48A">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地点：全国公共资源交易平台(陕西省·宝鸡市)宝鸡市公共资源交易中心-不见面开标</w:t>
      </w:r>
    </w:p>
    <w:p w14:paraId="36EE82B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Theme="minorEastAsia" w:hAnsiTheme="minorEastAsia" w:eastAsiaTheme="minorEastAsia" w:cstheme="minorEastAsia"/>
          <w:b w:val="0"/>
          <w:bCs w:val="0"/>
          <w:i w:val="0"/>
          <w:iCs w:val="0"/>
          <w:caps w:val="0"/>
          <w:color w:val="auto"/>
          <w:spacing w:val="0"/>
          <w:sz w:val="21"/>
          <w:szCs w:val="21"/>
        </w:rPr>
      </w:pPr>
      <w:r>
        <w:rPr>
          <w:rStyle w:val="28"/>
          <w:rFonts w:hint="eastAsia" w:asciiTheme="minorEastAsia" w:hAnsiTheme="minorEastAsia" w:eastAsiaTheme="minorEastAsia" w:cstheme="minorEastAsia"/>
          <w:b/>
          <w:bCs/>
          <w:i w:val="0"/>
          <w:iCs w:val="0"/>
          <w:caps w:val="0"/>
          <w:color w:val="auto"/>
          <w:spacing w:val="0"/>
          <w:sz w:val="21"/>
          <w:szCs w:val="21"/>
          <w:shd w:val="clear" w:fill="FFFFFF"/>
          <w:vertAlign w:val="baseline"/>
        </w:rPr>
        <w:t>六、公告期限</w:t>
      </w:r>
    </w:p>
    <w:p w14:paraId="55C4D770">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自本公告发布之日起3个工作日。</w:t>
      </w:r>
    </w:p>
    <w:p w14:paraId="2FB7203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Theme="minorEastAsia" w:hAnsiTheme="minorEastAsia" w:eastAsiaTheme="minorEastAsia" w:cstheme="minorEastAsia"/>
          <w:b w:val="0"/>
          <w:bCs w:val="0"/>
          <w:i w:val="0"/>
          <w:iCs w:val="0"/>
          <w:caps w:val="0"/>
          <w:color w:val="auto"/>
          <w:spacing w:val="0"/>
          <w:sz w:val="21"/>
          <w:szCs w:val="21"/>
        </w:rPr>
      </w:pPr>
      <w:r>
        <w:rPr>
          <w:rStyle w:val="28"/>
          <w:rFonts w:hint="eastAsia" w:asciiTheme="minorEastAsia" w:hAnsiTheme="minorEastAsia" w:eastAsiaTheme="minorEastAsia" w:cstheme="minorEastAsia"/>
          <w:b/>
          <w:bCs/>
          <w:i w:val="0"/>
          <w:iCs w:val="0"/>
          <w:caps w:val="0"/>
          <w:color w:val="auto"/>
          <w:spacing w:val="0"/>
          <w:sz w:val="21"/>
          <w:szCs w:val="21"/>
          <w:shd w:val="clear" w:fill="FFFFFF"/>
          <w:vertAlign w:val="baseline"/>
        </w:rPr>
        <w:t>七、其他补充事宜</w:t>
      </w:r>
    </w:p>
    <w:p w14:paraId="248600BE">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1、落实的政府采购政策:</w:t>
      </w:r>
    </w:p>
    <w:p w14:paraId="5DDABAB3">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1）《财政部国家发展改革委关于印发〈节能产品政府采购实施意见〉的通知》（财库〔2004〕185号）；（2）《国务院办公厅关于建立政府强制采购节能产品制度的通知》（国办发〔2007〕51号）；（3）《财政部环保总局关于环境标志产品政府采购实施的意见》（财库〔2006〕90号）；（4）《政府采购促进中小企业发展管理办法》（财库〔2020〕46号）、关于进一步加大政府采购支持中小企业力度的通知财库〔2022〕19号；（5）《财政部 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陕西省中小企业政府采购信用融资办法》（陕财办采〔2018〕23号）；（9）《陕西省财政厅关于加快推进我省中小企业政府采购信用融资工作的通知》（陕财办采〔2020〕15号文件）；</w:t>
      </w:r>
    </w:p>
    <w:p w14:paraId="63E6045C">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2、本项目有意向投标供应商须登录全国公共资源交易平台（陕西省·宝鸡市）宝鸡市公共资源交易中心（http://ggzy.baoji.gov.cn/，交易平台〖首页〉电子交易平台〉企业端〗后，在〖招标公告/出让公告〗模块中选择有意向的项目点击“我要投标”。即可从〖我的项目〉项目流程〉交易文件下载〗中下载电子招标文件（*.SXSZF格式）；</w:t>
      </w:r>
    </w:p>
    <w:p w14:paraId="4012D7AC">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3、投标供应商在网上填写单位信息（单位名称、营业执照相关信息）时应与磋商文件要求及后期上传的电子投标文件中相关信息一致，否则造成资格审查不通过的后果自负；</w:t>
      </w:r>
    </w:p>
    <w:p w14:paraId="239C21C3">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4、本项目采用不见面开标方式，各投标供应商可登录（http://ggzy.baoji.gov.cn/fwzn/004003/subPage.html）下载《政府采购电子标书制作工具》、《政府采购投标单位操作手册》,《政府采购电子交易-不见面系统操作手册》，并在投标截止时间前通过全国公共资源交易平台（陕西省·宝鸡市）宝鸡市公共资源交易中心网站递交电子响应文件。磋商时在线解密响应文件、在线询标、在线多轮报价。为了保证远程不见面开标顺利进行，投标人需使用配备相关设备的电脑提前一小时登录网络开标大厅。因供应商自身设施故障或自身原因导致无法完成磋商的，由供应商自行承担后果；（建议使用IE11或者360极速浏览器兼容模式，投标单位电脑需配备耳麦）</w:t>
      </w:r>
    </w:p>
    <w:p w14:paraId="27E3BB85">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5、未完成网上投标或未在规定时间内在平台上下载电子磋商文件的，导致无法完成后续流程的责任自负；</w:t>
      </w:r>
    </w:p>
    <w:p w14:paraId="275B1C31">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6、有意向投标供应商办理CA锁地址及流程，内容如下：CA锁办理地址及流程：宝鸡市金台区行政大道8号海棠风尚宝鸡市公共资源交易中心4楼2号窗口（办理流程：http://ggzy.baoji.gov.cn/fwzn/004002/20220524/05ccf80e-6a61-43e9-90e9-ebdd8da75241.html）；如有技术性问题，请先翻阅操作手册或致电软件开发商，技术支持热线：4009980000；</w:t>
      </w:r>
    </w:p>
    <w:p w14:paraId="147F0861">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7、供应商须提前在陕西省政府采购网（http://www.ccgp-shaanxi.gov.cn/），按照“供应商注册注意事项”要求，完成注册审核，以保证后续流程的进行。</w:t>
      </w:r>
    </w:p>
    <w:p w14:paraId="2E733B59">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注意事项：投标供应商应随时留意可能发布的变更公告，当澄清或修改的内容影响投标文件编制时，将在交易平台上同步发布答疑文件，此时投标供应商应从“项目流程”答疑文件下载、下载最新发布的答疑文件。</w:t>
      </w:r>
    </w:p>
    <w:p w14:paraId="4D6AC78F">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根据陕西省财政厅关于印发《陕西省中小企业政府采购信用融资办法》陕财办采〔2018〕23号相关规定，有融资需求的供应商可根据自身情况，在陕西省政府采购信用融资平台（http://www.ccgp-shaanxi.gov.cn/zcdservice/zcd/shanxi/）自主选择金融机构及其融资产品，凭政府采购中标（成交）通知书或政府采购合同提出融资申请，办理“政采贷”业务。</w:t>
      </w:r>
    </w:p>
    <w:p w14:paraId="00F8E14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Theme="minorEastAsia" w:hAnsiTheme="minorEastAsia" w:eastAsiaTheme="minorEastAsia" w:cstheme="minorEastAsia"/>
          <w:b w:val="0"/>
          <w:bCs w:val="0"/>
          <w:i w:val="0"/>
          <w:iCs w:val="0"/>
          <w:caps w:val="0"/>
          <w:color w:val="auto"/>
          <w:spacing w:val="0"/>
          <w:sz w:val="21"/>
          <w:szCs w:val="21"/>
        </w:rPr>
      </w:pPr>
      <w:r>
        <w:rPr>
          <w:rStyle w:val="28"/>
          <w:rFonts w:hint="eastAsia" w:asciiTheme="minorEastAsia" w:hAnsiTheme="minorEastAsia" w:eastAsiaTheme="minorEastAsia" w:cstheme="minorEastAsia"/>
          <w:b/>
          <w:bCs/>
          <w:i w:val="0"/>
          <w:iCs w:val="0"/>
          <w:caps w:val="0"/>
          <w:color w:val="auto"/>
          <w:spacing w:val="0"/>
          <w:sz w:val="21"/>
          <w:szCs w:val="21"/>
          <w:shd w:val="clear" w:fill="FFFFFF"/>
          <w:vertAlign w:val="baseline"/>
        </w:rPr>
        <w:t>八、对本次招标提出询问，请按以下方式联系。</w:t>
      </w:r>
    </w:p>
    <w:p w14:paraId="1F6D989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i w:val="0"/>
          <w:iCs w:val="0"/>
          <w:caps w:val="0"/>
          <w:color w:val="auto"/>
          <w:spacing w:val="0"/>
          <w:sz w:val="21"/>
          <w:szCs w:val="21"/>
          <w:shd w:val="clear" w:fill="FFFFFF"/>
          <w:vertAlign w:val="baseline"/>
        </w:rPr>
        <w:t>1.采购人信息</w:t>
      </w:r>
    </w:p>
    <w:p w14:paraId="50B3D16D">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名称：宝鸡蟠龙高新技术产业开发区管理委员会</w:t>
      </w:r>
    </w:p>
    <w:p w14:paraId="71D58D0D">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地址：宝鸡市金台区蟠龙镇蟠龙观邸C区</w:t>
      </w:r>
    </w:p>
    <w:p w14:paraId="124A66E1">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联系方式：0917-6261006</w:t>
      </w:r>
    </w:p>
    <w:p w14:paraId="57504EB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i w:val="0"/>
          <w:iCs w:val="0"/>
          <w:caps w:val="0"/>
          <w:color w:val="auto"/>
          <w:spacing w:val="0"/>
          <w:sz w:val="21"/>
          <w:szCs w:val="21"/>
          <w:shd w:val="clear" w:fill="FFFFFF"/>
          <w:vertAlign w:val="baseline"/>
        </w:rPr>
        <w:t>2.采购代理机构信息</w:t>
      </w:r>
    </w:p>
    <w:p w14:paraId="0C5F5A14">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名称：陕西佳信项目管理有限公司</w:t>
      </w:r>
    </w:p>
    <w:p w14:paraId="35E6A030">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地址：陕西省宝鸡市金台区卧龙寺街道办事处行政东路三迪金融中心8层806室</w:t>
      </w:r>
    </w:p>
    <w:p w14:paraId="34D58BDA">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联系方式：0917-3213637</w:t>
      </w:r>
    </w:p>
    <w:p w14:paraId="6D2342F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i w:val="0"/>
          <w:iCs w:val="0"/>
          <w:caps w:val="0"/>
          <w:color w:val="auto"/>
          <w:spacing w:val="0"/>
          <w:sz w:val="21"/>
          <w:szCs w:val="21"/>
          <w:shd w:val="clear" w:fill="FFFFFF"/>
          <w:vertAlign w:val="baseline"/>
        </w:rPr>
        <w:t>3.项目联系方式</w:t>
      </w:r>
    </w:p>
    <w:p w14:paraId="67A9F96B">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项目联系人：严女士</w:t>
      </w:r>
    </w:p>
    <w:p w14:paraId="5CA70A21">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电话：0917-3213637</w:t>
      </w:r>
    </w:p>
    <w:p w14:paraId="60218CAA">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陕西佳信项目管理有限公司</w:t>
      </w:r>
    </w:p>
    <w:p w14:paraId="4E590C7C">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2025年08月25日</w:t>
      </w:r>
    </w:p>
    <w:p w14:paraId="58D862DA">
      <w:pPr>
        <w:pStyle w:val="23"/>
        <w:shd w:val="clear" w:color="auto" w:fill="FFFFFF"/>
        <w:spacing w:before="0" w:beforeAutospacing="0" w:after="0" w:afterAutospacing="0" w:line="384" w:lineRule="atLeast"/>
        <w:ind w:firstLine="384"/>
        <w:jc w:val="both"/>
        <w:textAlignment w:val="baseline"/>
        <w:rPr>
          <w:rFonts w:hint="eastAsia" w:asciiTheme="minorEastAsia" w:hAnsiTheme="minorEastAsia" w:eastAsiaTheme="minorEastAsia" w:cstheme="minorEastAsia"/>
          <w:color w:val="auto"/>
          <w:sz w:val="20"/>
          <w:szCs w:val="20"/>
        </w:rPr>
      </w:pPr>
    </w:p>
    <w:p w14:paraId="546E629B">
      <w:pPr>
        <w:rPr>
          <w:rFonts w:hint="eastAsia" w:asciiTheme="minorEastAsia" w:hAnsiTheme="minorEastAsia" w:eastAsiaTheme="minorEastAsia" w:cstheme="minorEastAsia"/>
          <w:color w:val="auto"/>
          <w:sz w:val="44"/>
          <w:szCs w:val="44"/>
        </w:rPr>
      </w:pPr>
      <w:r>
        <w:rPr>
          <w:rFonts w:hint="eastAsia" w:asciiTheme="minorEastAsia" w:hAnsiTheme="minorEastAsia" w:eastAsiaTheme="minorEastAsia" w:cstheme="minorEastAsia"/>
          <w:color w:val="auto"/>
          <w:sz w:val="44"/>
          <w:szCs w:val="44"/>
        </w:rPr>
        <w:br w:type="page"/>
      </w:r>
    </w:p>
    <w:p w14:paraId="1CA589A9">
      <w:pPr>
        <w:widowControl/>
        <w:tabs>
          <w:tab w:val="center" w:pos="4466"/>
          <w:tab w:val="right" w:pos="8479"/>
        </w:tabs>
        <w:spacing w:line="360" w:lineRule="auto"/>
        <w:ind w:right="78" w:rightChars="28"/>
        <w:jc w:val="center"/>
        <w:outlineLvl w:val="0"/>
        <w:rPr>
          <w:rFonts w:hint="eastAsia" w:asciiTheme="minorEastAsia" w:hAnsiTheme="minorEastAsia" w:eastAsiaTheme="minorEastAsia" w:cstheme="minorEastAsia"/>
          <w:b/>
          <w:bCs/>
          <w:color w:val="auto"/>
          <w:sz w:val="44"/>
          <w:szCs w:val="44"/>
        </w:rPr>
      </w:pPr>
      <w:bookmarkStart w:id="1" w:name="_Toc8887"/>
      <w:r>
        <w:rPr>
          <w:rFonts w:hint="eastAsia" w:asciiTheme="minorEastAsia" w:hAnsiTheme="minorEastAsia" w:eastAsiaTheme="minorEastAsia" w:cstheme="minorEastAsia"/>
          <w:b/>
          <w:bCs/>
          <w:color w:val="auto"/>
          <w:sz w:val="44"/>
          <w:szCs w:val="44"/>
        </w:rPr>
        <w:t>第二章  竞争性磋商须知</w:t>
      </w:r>
      <w:bookmarkEnd w:id="1"/>
    </w:p>
    <w:p w14:paraId="629FF0B4">
      <w:pPr>
        <w:pStyle w:val="3"/>
        <w:spacing w:before="0" w:after="0" w:line="4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一、供应商须知前附表</w:t>
      </w:r>
    </w:p>
    <w:tbl>
      <w:tblPr>
        <w:tblStyle w:val="25"/>
        <w:tblW w:w="9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024"/>
        <w:gridCol w:w="6449"/>
      </w:tblGrid>
      <w:tr w14:paraId="6DFF6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4222F2CB">
            <w:pPr>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序号</w:t>
            </w:r>
          </w:p>
        </w:tc>
        <w:tc>
          <w:tcPr>
            <w:tcW w:w="2024" w:type="dxa"/>
            <w:vAlign w:val="center"/>
          </w:tcPr>
          <w:p w14:paraId="5D2FB1BD">
            <w:pPr>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条款名称</w:t>
            </w:r>
          </w:p>
        </w:tc>
        <w:tc>
          <w:tcPr>
            <w:tcW w:w="6449" w:type="dxa"/>
          </w:tcPr>
          <w:p w14:paraId="1367CFE2">
            <w:pPr>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说明和要求</w:t>
            </w:r>
          </w:p>
        </w:tc>
      </w:tr>
      <w:tr w14:paraId="7BF50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54CBEBED">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2024" w:type="dxa"/>
            <w:vAlign w:val="center"/>
          </w:tcPr>
          <w:p w14:paraId="1C4788DC">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w:t>
            </w:r>
          </w:p>
        </w:tc>
        <w:tc>
          <w:tcPr>
            <w:tcW w:w="6449" w:type="dxa"/>
          </w:tcPr>
          <w:p w14:paraId="7F8A39BB">
            <w:pPr>
              <w:widowControl/>
              <w:spacing w:line="360" w:lineRule="auto"/>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名称：</w:t>
            </w:r>
            <w:r>
              <w:rPr>
                <w:rFonts w:hint="eastAsia" w:asciiTheme="minorEastAsia" w:hAnsiTheme="minorEastAsia" w:eastAsiaTheme="minorEastAsia" w:cstheme="minorEastAsia"/>
                <w:color w:val="auto"/>
                <w:sz w:val="24"/>
                <w:szCs w:val="24"/>
                <w:lang w:eastAsia="zh-CN"/>
              </w:rPr>
              <w:t>宝鸡蟠龙高新技术产业开发区管理委员会</w:t>
            </w:r>
          </w:p>
          <w:p w14:paraId="3ECB6EE5">
            <w:pPr>
              <w:widowControl/>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地址：宝鸡市金台区蟠龙镇蟠龙观邸C区</w:t>
            </w:r>
          </w:p>
          <w:p w14:paraId="22136D2D">
            <w:pPr>
              <w:widowControl/>
              <w:spacing w:line="360" w:lineRule="auto"/>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lang w:eastAsia="zh-CN"/>
              </w:rPr>
              <w:t>杨先生</w:t>
            </w:r>
          </w:p>
          <w:p w14:paraId="2DC2A92C">
            <w:pPr>
              <w:widowControl/>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联系方式：</w:t>
            </w:r>
            <w:r>
              <w:rPr>
                <w:rFonts w:hint="eastAsia" w:asciiTheme="minorEastAsia" w:hAnsiTheme="minorEastAsia" w:eastAsiaTheme="minorEastAsia" w:cstheme="minorEastAsia"/>
                <w:color w:val="auto"/>
                <w:sz w:val="24"/>
                <w:szCs w:val="24"/>
                <w:lang w:val="en-US" w:eastAsia="zh-CN"/>
              </w:rPr>
              <w:t>0917-6261006</w:t>
            </w:r>
          </w:p>
        </w:tc>
      </w:tr>
      <w:tr w14:paraId="55EB5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3C1B230F">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2024" w:type="dxa"/>
            <w:vAlign w:val="center"/>
          </w:tcPr>
          <w:p w14:paraId="75B8FEA6">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采购代理机构</w:t>
            </w:r>
          </w:p>
        </w:tc>
        <w:tc>
          <w:tcPr>
            <w:tcW w:w="6449" w:type="dxa"/>
          </w:tcPr>
          <w:p w14:paraId="0A56D46D">
            <w:pPr>
              <w:spacing w:line="365"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名称：</w:t>
            </w:r>
            <w:r>
              <w:rPr>
                <w:rFonts w:hint="eastAsia" w:asciiTheme="minorEastAsia" w:hAnsiTheme="minorEastAsia" w:eastAsiaTheme="minorEastAsia" w:cstheme="minorEastAsia"/>
                <w:color w:val="auto"/>
                <w:sz w:val="24"/>
                <w:szCs w:val="24"/>
                <w:lang w:eastAsia="zh-CN"/>
              </w:rPr>
              <w:t>陕西佳信项目管理有限公司</w:t>
            </w:r>
          </w:p>
          <w:p w14:paraId="39C57626">
            <w:pPr>
              <w:spacing w:line="365"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lang w:eastAsia="zh-CN"/>
              </w:rPr>
              <w:t>陕西省宝鸡市金台区行政东路三迪金融中心8层806室</w:t>
            </w:r>
          </w:p>
          <w:p w14:paraId="3FE37AC7">
            <w:pPr>
              <w:spacing w:line="365"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lang w:eastAsia="zh-CN"/>
              </w:rPr>
              <w:t>严女士</w:t>
            </w:r>
          </w:p>
          <w:p w14:paraId="05F4DD69">
            <w:pPr>
              <w:spacing w:line="365"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联系方式：</w:t>
            </w:r>
            <w:r>
              <w:rPr>
                <w:rFonts w:hint="eastAsia" w:asciiTheme="minorEastAsia" w:hAnsiTheme="minorEastAsia" w:eastAsiaTheme="minorEastAsia" w:cstheme="minorEastAsia"/>
                <w:color w:val="auto"/>
                <w:sz w:val="24"/>
                <w:szCs w:val="24"/>
                <w:lang w:eastAsia="zh-CN"/>
              </w:rPr>
              <w:t>0917-3213637</w:t>
            </w:r>
          </w:p>
        </w:tc>
      </w:tr>
      <w:tr w14:paraId="68B0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vAlign w:val="center"/>
          </w:tcPr>
          <w:p w14:paraId="0F35585F">
            <w:pPr>
              <w:spacing w:line="365"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2024" w:type="dxa"/>
            <w:vAlign w:val="center"/>
          </w:tcPr>
          <w:p w14:paraId="79263B18">
            <w:pPr>
              <w:spacing w:line="365"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监督管理机构</w:t>
            </w:r>
          </w:p>
        </w:tc>
        <w:tc>
          <w:tcPr>
            <w:tcW w:w="6449" w:type="dxa"/>
          </w:tcPr>
          <w:p w14:paraId="66432406">
            <w:pPr>
              <w:spacing w:line="365"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宝鸡市金台区财政局</w:t>
            </w:r>
          </w:p>
        </w:tc>
      </w:tr>
      <w:tr w14:paraId="0DB6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43C094EA">
            <w:pPr>
              <w:spacing w:line="365"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2024" w:type="dxa"/>
            <w:vAlign w:val="center"/>
          </w:tcPr>
          <w:p w14:paraId="3F82AD3A">
            <w:pPr>
              <w:spacing w:line="365"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p>
        </w:tc>
        <w:tc>
          <w:tcPr>
            <w:tcW w:w="6449" w:type="dxa"/>
          </w:tcPr>
          <w:p w14:paraId="6250C296">
            <w:pPr>
              <w:spacing w:line="365"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蟠龙高新区扩区调区编制产业规划、用地情况报告、总体发展规划环境影响评价报告</w:t>
            </w:r>
          </w:p>
        </w:tc>
      </w:tr>
      <w:tr w14:paraId="65EC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vAlign w:val="center"/>
          </w:tcPr>
          <w:p w14:paraId="57BBB9BC">
            <w:pPr>
              <w:spacing w:line="365"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2024" w:type="dxa"/>
            <w:shd w:val="clear" w:color="auto" w:fill="auto"/>
            <w:vAlign w:val="center"/>
          </w:tcPr>
          <w:p w14:paraId="737E7C38">
            <w:pPr>
              <w:spacing w:line="365"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tc>
        <w:tc>
          <w:tcPr>
            <w:tcW w:w="6449" w:type="dxa"/>
            <w:shd w:val="clear" w:color="auto" w:fill="auto"/>
          </w:tcPr>
          <w:p w14:paraId="4AF607AC">
            <w:pPr>
              <w:spacing w:line="365" w:lineRule="auto"/>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SXJX-2025-012号</w:t>
            </w:r>
          </w:p>
        </w:tc>
      </w:tr>
      <w:tr w14:paraId="2B903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3E9F14B4">
            <w:pPr>
              <w:spacing w:line="365"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2024" w:type="dxa"/>
            <w:shd w:val="clear" w:color="auto" w:fill="auto"/>
            <w:vAlign w:val="center"/>
          </w:tcPr>
          <w:p w14:paraId="2A1737A4">
            <w:pPr>
              <w:spacing w:line="365"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资金性质</w:t>
            </w:r>
          </w:p>
        </w:tc>
        <w:tc>
          <w:tcPr>
            <w:tcW w:w="6449" w:type="dxa"/>
            <w:shd w:val="clear" w:color="auto" w:fill="auto"/>
          </w:tcPr>
          <w:p w14:paraId="47F85D3D">
            <w:pPr>
              <w:spacing w:line="365"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财政资金</w:t>
            </w:r>
          </w:p>
        </w:tc>
      </w:tr>
      <w:tr w14:paraId="120D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9" w:type="dxa"/>
            <w:vAlign w:val="center"/>
          </w:tcPr>
          <w:p w14:paraId="6B79B4C1">
            <w:pPr>
              <w:spacing w:line="365"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2024" w:type="dxa"/>
            <w:shd w:val="clear" w:color="auto" w:fill="auto"/>
            <w:vAlign w:val="center"/>
          </w:tcPr>
          <w:p w14:paraId="51F6A8F5">
            <w:pPr>
              <w:spacing w:line="365"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项目预算</w:t>
            </w:r>
          </w:p>
        </w:tc>
        <w:tc>
          <w:tcPr>
            <w:tcW w:w="6449" w:type="dxa"/>
            <w:shd w:val="clear" w:color="auto" w:fill="auto"/>
            <w:vAlign w:val="center"/>
          </w:tcPr>
          <w:p w14:paraId="4F14973C">
            <w:pPr>
              <w:spacing w:line="365"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最高限价：</w:t>
            </w:r>
            <w:r>
              <w:rPr>
                <w:rFonts w:hint="eastAsia" w:asciiTheme="minorEastAsia" w:hAnsiTheme="minorEastAsia" w:eastAsiaTheme="minorEastAsia" w:cstheme="minorEastAsia"/>
                <w:color w:val="auto"/>
                <w:sz w:val="24"/>
                <w:szCs w:val="24"/>
                <w:highlight w:val="none"/>
                <w:lang w:eastAsia="zh-CN"/>
              </w:rPr>
              <w:t>第</w:t>
            </w:r>
            <w:r>
              <w:rPr>
                <w:rFonts w:hint="eastAsia" w:asciiTheme="minorEastAsia" w:hAnsiTheme="minorEastAsia" w:eastAsiaTheme="minorEastAsia" w:cstheme="minorEastAsia"/>
                <w:color w:val="auto"/>
                <w:sz w:val="24"/>
                <w:szCs w:val="24"/>
                <w:highlight w:val="none"/>
                <w:lang w:val="en-US" w:eastAsia="zh-CN"/>
              </w:rPr>
              <w:t>1包14</w:t>
            </w:r>
            <w:r>
              <w:rPr>
                <w:rFonts w:hint="eastAsia" w:asciiTheme="minorEastAsia" w:hAnsiTheme="minorEastAsia" w:eastAsiaTheme="minorEastAsia" w:cstheme="minorEastAsia"/>
                <w:color w:val="auto"/>
                <w:sz w:val="24"/>
                <w:szCs w:val="24"/>
                <w:highlight w:val="none"/>
              </w:rPr>
              <w:t>0000.00元</w:t>
            </w:r>
            <w:r>
              <w:rPr>
                <w:rFonts w:hint="eastAsia" w:asciiTheme="minorEastAsia" w:hAnsiTheme="minorEastAsia" w:eastAsiaTheme="minorEastAsia" w:cstheme="minorEastAsia"/>
                <w:color w:val="auto"/>
                <w:sz w:val="24"/>
                <w:szCs w:val="24"/>
                <w:highlight w:val="none"/>
                <w:lang w:eastAsia="zh-CN"/>
              </w:rPr>
              <w:t>；</w:t>
            </w:r>
          </w:p>
          <w:p w14:paraId="5B84C2EF">
            <w:pPr>
              <w:spacing w:line="365"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第2包130000.00元；</w:t>
            </w:r>
          </w:p>
          <w:p w14:paraId="56453560">
            <w:pPr>
              <w:spacing w:line="365"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第3包350000.00元；</w:t>
            </w:r>
          </w:p>
        </w:tc>
      </w:tr>
      <w:tr w14:paraId="4D79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vAlign w:val="center"/>
          </w:tcPr>
          <w:p w14:paraId="70415995">
            <w:pPr>
              <w:spacing w:line="365"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2024" w:type="dxa"/>
            <w:shd w:val="clear" w:color="auto" w:fill="auto"/>
            <w:vAlign w:val="center"/>
          </w:tcPr>
          <w:p w14:paraId="5EAB2118">
            <w:pPr>
              <w:spacing w:line="365"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项目用途</w:t>
            </w:r>
          </w:p>
        </w:tc>
        <w:tc>
          <w:tcPr>
            <w:tcW w:w="6449" w:type="dxa"/>
            <w:shd w:val="clear" w:color="auto" w:fill="auto"/>
            <w:vAlign w:val="center"/>
          </w:tcPr>
          <w:p w14:paraId="70015292">
            <w:pPr>
              <w:spacing w:line="365"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编制产业规划、用地情况报告、总体发展规划环境影响评价报告</w:t>
            </w:r>
          </w:p>
        </w:tc>
      </w:tr>
      <w:tr w14:paraId="5DA4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0B07D88C">
            <w:pPr>
              <w:spacing w:line="365"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p>
        </w:tc>
        <w:tc>
          <w:tcPr>
            <w:tcW w:w="2024" w:type="dxa"/>
            <w:vAlign w:val="center"/>
          </w:tcPr>
          <w:p w14:paraId="5D3FCEBE">
            <w:pPr>
              <w:spacing w:line="365"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采购内容和要求</w:t>
            </w:r>
          </w:p>
        </w:tc>
        <w:tc>
          <w:tcPr>
            <w:tcW w:w="6449" w:type="dxa"/>
            <w:vAlign w:val="center"/>
          </w:tcPr>
          <w:p w14:paraId="2E8D1D21">
            <w:pPr>
              <w:spacing w:line="365"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详见第三章</w:t>
            </w:r>
          </w:p>
        </w:tc>
      </w:tr>
      <w:tr w14:paraId="05D5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4B3A7699">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p>
        </w:tc>
        <w:tc>
          <w:tcPr>
            <w:tcW w:w="2024" w:type="dxa"/>
            <w:vAlign w:val="center"/>
          </w:tcPr>
          <w:p w14:paraId="0C623D8B">
            <w:pPr>
              <w:spacing w:line="48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w:t>
            </w:r>
          </w:p>
        </w:tc>
        <w:tc>
          <w:tcPr>
            <w:tcW w:w="6449" w:type="dxa"/>
          </w:tcPr>
          <w:p w14:paraId="7A8845E5">
            <w:pPr>
              <w:spacing w:line="42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响应</w:t>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"http://baike.baidu.com/view/8707.htm" \t "_blank"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磋商</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并且符合竞争性磋商文件规定资格条件和参加磋商竞争的法人。</w:t>
            </w:r>
          </w:p>
        </w:tc>
      </w:tr>
      <w:tr w14:paraId="1AC6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049FD487">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w:t>
            </w:r>
          </w:p>
        </w:tc>
        <w:tc>
          <w:tcPr>
            <w:tcW w:w="2024" w:type="dxa"/>
            <w:vAlign w:val="center"/>
          </w:tcPr>
          <w:p w14:paraId="231DA3C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供应商资格要求</w:t>
            </w:r>
          </w:p>
        </w:tc>
        <w:tc>
          <w:tcPr>
            <w:tcW w:w="6449" w:type="dxa"/>
          </w:tcPr>
          <w:p w14:paraId="70E06295">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1.满足《中华人民共和国政府采购法》第二十二条规定;</w:t>
            </w:r>
          </w:p>
          <w:p w14:paraId="08FD068E">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2.落实政府采购政策需满足的资格要求： 无。</w:t>
            </w:r>
          </w:p>
          <w:p w14:paraId="1F9F6E8F">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3.本项目的特定资格要求：</w:t>
            </w:r>
          </w:p>
          <w:p w14:paraId="4486CA4B">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合同包1(蟠龙高新区扩区调区编制产业规划、用地情况报告、总体发展规划环境影响评价报告第1包)特定资格要求如下:</w:t>
            </w:r>
          </w:p>
          <w:p w14:paraId="48EAD961">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（1）供应商须是具有独立承担民事责任能力的法人、其他组织或自然人，并出具合法有效的营业执照或事业单位法人证书等国家规定的相关证明，自然人参与的提供其身份证明；</w:t>
            </w:r>
            <w:r>
              <w:rPr>
                <w:rFonts w:hint="eastAsia" w:asciiTheme="minorEastAsia" w:hAnsiTheme="minorEastAsia" w:eastAsiaTheme="minorEastAsia" w:cstheme="minorEastAsia"/>
                <w:i w:val="0"/>
                <w:iCs w:val="0"/>
                <w:caps w:val="0"/>
                <w:color w:val="auto"/>
                <w:spacing w:val="0"/>
                <w:sz w:val="24"/>
                <w:szCs w:val="24"/>
                <w:highlight w:val="none"/>
                <w:shd w:val="clear" w:fill="FFFFFF"/>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rPr>
              <w:t>（2）供应商须提供2024年度财务审计报告（成立时间至提交投标文件截止时间不足一年的可提供成立后任意时段的资产负债表）或基本存款账户开户银行出具的资信证明（附开户许可证或开户备案证明）；</w:t>
            </w:r>
            <w:r>
              <w:rPr>
                <w:rFonts w:hint="eastAsia" w:asciiTheme="minorEastAsia" w:hAnsiTheme="minorEastAsia" w:eastAsiaTheme="minorEastAsia" w:cstheme="minorEastAsia"/>
                <w:i w:val="0"/>
                <w:iCs w:val="0"/>
                <w:caps w:val="0"/>
                <w:color w:val="auto"/>
                <w:spacing w:val="0"/>
                <w:sz w:val="24"/>
                <w:szCs w:val="24"/>
                <w:highlight w:val="none"/>
                <w:shd w:val="clear" w:fill="FFFFFF"/>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rPr>
              <w:t>（3）供应商须提供2024年8月至今已缴存的至少一个月的社会保险参保缴费情况证明。</w:t>
            </w:r>
            <w:r>
              <w:rPr>
                <w:rFonts w:hint="eastAsia" w:asciiTheme="minorEastAsia" w:hAnsiTheme="minorEastAsia" w:eastAsiaTheme="minorEastAsia" w:cstheme="minorEastAsia"/>
                <w:i w:val="0"/>
                <w:iCs w:val="0"/>
                <w:caps w:val="0"/>
                <w:color w:val="auto"/>
                <w:spacing w:val="0"/>
                <w:sz w:val="24"/>
                <w:szCs w:val="24"/>
                <w:highlight w:val="none"/>
                <w:shd w:val="clear" w:fill="FFFFFF"/>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rPr>
              <w:t>（4）供应商须提供2024年8月至今缴纳的至少一个月的纳税证明或完税证明，依法免税的单位应提供相关证明材料；</w:t>
            </w:r>
            <w:r>
              <w:rPr>
                <w:rFonts w:hint="eastAsia" w:asciiTheme="minorEastAsia" w:hAnsiTheme="minorEastAsia" w:eastAsiaTheme="minorEastAsia" w:cstheme="minorEastAsia"/>
                <w:i w:val="0"/>
                <w:iCs w:val="0"/>
                <w:caps w:val="0"/>
                <w:color w:val="auto"/>
                <w:spacing w:val="0"/>
                <w:sz w:val="24"/>
                <w:szCs w:val="24"/>
                <w:highlight w:val="none"/>
                <w:shd w:val="clear" w:fill="FFFFFF"/>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rPr>
              <w:t>（5）供应商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信用承诺书）；             </w:t>
            </w:r>
            <w:r>
              <w:rPr>
                <w:rFonts w:hint="eastAsia" w:asciiTheme="minorEastAsia" w:hAnsiTheme="minorEastAsia" w:eastAsiaTheme="minorEastAsia" w:cstheme="minorEastAsia"/>
                <w:i w:val="0"/>
                <w:iCs w:val="0"/>
                <w:caps w:val="0"/>
                <w:color w:val="auto"/>
                <w:spacing w:val="0"/>
                <w:sz w:val="24"/>
                <w:szCs w:val="24"/>
                <w:highlight w:val="none"/>
                <w:shd w:val="clear" w:fill="FFFFFF"/>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rPr>
              <w:t>（6）单位负责人为同一人或者存在直接控股、管理关系的不同投标人，不得参加同一合同项下的政府采购活动；（提供承诺书)</w:t>
            </w:r>
            <w:r>
              <w:rPr>
                <w:rFonts w:hint="eastAsia" w:asciiTheme="minorEastAsia" w:hAnsiTheme="minorEastAsia" w:eastAsiaTheme="minorEastAsia" w:cstheme="minorEastAsia"/>
                <w:i w:val="0"/>
                <w:iCs w:val="0"/>
                <w:caps w:val="0"/>
                <w:color w:val="auto"/>
                <w:spacing w:val="0"/>
                <w:sz w:val="24"/>
                <w:szCs w:val="24"/>
                <w:highlight w:val="none"/>
                <w:shd w:val="clear" w:fill="FFFFFF"/>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rPr>
              <w:t>（7）企业开具的近三年在政府采购经营活动中无重大违法记录声明；（成立时间不足三年的供应商提供自成立之日起至开标截止之日止的无重大违法记录声明）； </w:t>
            </w:r>
            <w:r>
              <w:rPr>
                <w:rFonts w:hint="eastAsia" w:asciiTheme="minorEastAsia" w:hAnsiTheme="minorEastAsia" w:eastAsiaTheme="minorEastAsia" w:cstheme="minorEastAsia"/>
                <w:i w:val="0"/>
                <w:iCs w:val="0"/>
                <w:caps w:val="0"/>
                <w:color w:val="auto"/>
                <w:spacing w:val="0"/>
                <w:sz w:val="24"/>
                <w:szCs w:val="24"/>
                <w:highlight w:val="none"/>
                <w:shd w:val="clear" w:fill="FFFFFF"/>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rPr>
              <w:t>（8）供应商应授权合法的人员参加磋商全过程，其中法定代表人直接参加磋商的，须出具法定代表人资格证明书及身份证，并与营业执照上信息一致，法定代表人授权代表参加磋商的，须出具法定代表人资格证明书、授权书及被授权代表身份证；</w:t>
            </w:r>
            <w:r>
              <w:rPr>
                <w:rFonts w:hint="eastAsia" w:asciiTheme="minorEastAsia" w:hAnsiTheme="minorEastAsia" w:eastAsiaTheme="minorEastAsia" w:cstheme="minorEastAsia"/>
                <w:i w:val="0"/>
                <w:iCs w:val="0"/>
                <w:caps w:val="0"/>
                <w:color w:val="auto"/>
                <w:spacing w:val="0"/>
                <w:sz w:val="24"/>
                <w:szCs w:val="24"/>
                <w:highlight w:val="none"/>
                <w:shd w:val="clear" w:fill="FFFFFF"/>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rPr>
              <w:t>（9）提供具有履行合同所必需的设备和专业技术能力的承诺书；</w:t>
            </w:r>
            <w:r>
              <w:rPr>
                <w:rFonts w:hint="eastAsia" w:asciiTheme="minorEastAsia" w:hAnsiTheme="minorEastAsia" w:eastAsiaTheme="minorEastAsia" w:cstheme="minorEastAsia"/>
                <w:i w:val="0"/>
                <w:iCs w:val="0"/>
                <w:caps w:val="0"/>
                <w:color w:val="auto"/>
                <w:spacing w:val="0"/>
                <w:sz w:val="24"/>
                <w:szCs w:val="24"/>
                <w:highlight w:val="none"/>
                <w:shd w:val="clear" w:fill="FFFFFF"/>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rPr>
              <w:t>（10）供应商须提供合格有效的城乡规划编制资质乙级及以上证书。</w:t>
            </w:r>
          </w:p>
          <w:p w14:paraId="5821A9B7">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合同包2(蟠龙高新区扩区调区编制产业规划、用地情况报告、总体发展规划环境影响评价报告第2包)特定资格要求如下:</w:t>
            </w:r>
          </w:p>
          <w:p w14:paraId="7986D84A">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（1）供应商须是具有独立承担民事责任能力的法人、其他组织或自然人，并出具合法有效的营业执照或事业单位法人证书等国家规定的相关证明，自然人参与的提供其身份证明；</w:t>
            </w:r>
            <w:r>
              <w:rPr>
                <w:rFonts w:hint="eastAsia" w:asciiTheme="minorEastAsia" w:hAnsiTheme="minorEastAsia" w:eastAsiaTheme="minorEastAsia" w:cstheme="minorEastAsia"/>
                <w:i w:val="0"/>
                <w:iCs w:val="0"/>
                <w:caps w:val="0"/>
                <w:color w:val="auto"/>
                <w:spacing w:val="0"/>
                <w:sz w:val="24"/>
                <w:szCs w:val="24"/>
                <w:highlight w:val="none"/>
                <w:shd w:val="clear" w:fill="FFFFFF"/>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rPr>
              <w:t>（2）供应商须提供2024年度财务审计报告（成立时间至提交投标文件截止时间不足一年的可提供成立后任意时段的资产负债表）或基本存款账户开户银行出具的资信证明（附开户许可证或开户备案证明）；</w:t>
            </w:r>
            <w:r>
              <w:rPr>
                <w:rFonts w:hint="eastAsia" w:asciiTheme="minorEastAsia" w:hAnsiTheme="minorEastAsia" w:eastAsiaTheme="minorEastAsia" w:cstheme="minorEastAsia"/>
                <w:i w:val="0"/>
                <w:iCs w:val="0"/>
                <w:caps w:val="0"/>
                <w:color w:val="auto"/>
                <w:spacing w:val="0"/>
                <w:sz w:val="24"/>
                <w:szCs w:val="24"/>
                <w:highlight w:val="none"/>
                <w:shd w:val="clear" w:fill="FFFFFF"/>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rPr>
              <w:t>（3）供应商须提供2024年8月至今已缴存的至少一个月的社会保险参保缴费情况证明。</w:t>
            </w:r>
            <w:r>
              <w:rPr>
                <w:rFonts w:hint="eastAsia" w:asciiTheme="minorEastAsia" w:hAnsiTheme="minorEastAsia" w:eastAsiaTheme="minorEastAsia" w:cstheme="minorEastAsia"/>
                <w:i w:val="0"/>
                <w:iCs w:val="0"/>
                <w:caps w:val="0"/>
                <w:color w:val="auto"/>
                <w:spacing w:val="0"/>
                <w:sz w:val="24"/>
                <w:szCs w:val="24"/>
                <w:highlight w:val="none"/>
                <w:shd w:val="clear" w:fill="FFFFFF"/>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rPr>
              <w:t>（4）供应商须提供2024年8月至今缴纳的至少一个月的纳税证明或完税证明，依法免税的单位应提供相关证明材料；</w:t>
            </w:r>
            <w:r>
              <w:rPr>
                <w:rFonts w:hint="eastAsia" w:asciiTheme="minorEastAsia" w:hAnsiTheme="minorEastAsia" w:eastAsiaTheme="minorEastAsia" w:cstheme="minorEastAsia"/>
                <w:i w:val="0"/>
                <w:iCs w:val="0"/>
                <w:caps w:val="0"/>
                <w:color w:val="auto"/>
                <w:spacing w:val="0"/>
                <w:sz w:val="24"/>
                <w:szCs w:val="24"/>
                <w:highlight w:val="none"/>
                <w:shd w:val="clear" w:fill="FFFFFF"/>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rPr>
              <w:t>（5）供应商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信用承诺书）；             </w:t>
            </w:r>
            <w:r>
              <w:rPr>
                <w:rFonts w:hint="eastAsia" w:asciiTheme="minorEastAsia" w:hAnsiTheme="minorEastAsia" w:eastAsiaTheme="minorEastAsia" w:cstheme="minorEastAsia"/>
                <w:i w:val="0"/>
                <w:iCs w:val="0"/>
                <w:caps w:val="0"/>
                <w:color w:val="auto"/>
                <w:spacing w:val="0"/>
                <w:sz w:val="24"/>
                <w:szCs w:val="24"/>
                <w:highlight w:val="none"/>
                <w:shd w:val="clear" w:fill="FFFFFF"/>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rPr>
              <w:t>（6）单位负责人为同一人或者存在直接控股、管理关系的不同投标人，不得参加同一合同项下的政府采购活动；（提供承诺书)</w:t>
            </w:r>
            <w:r>
              <w:rPr>
                <w:rFonts w:hint="eastAsia" w:asciiTheme="minorEastAsia" w:hAnsiTheme="minorEastAsia" w:eastAsiaTheme="minorEastAsia" w:cstheme="minorEastAsia"/>
                <w:i w:val="0"/>
                <w:iCs w:val="0"/>
                <w:caps w:val="0"/>
                <w:color w:val="auto"/>
                <w:spacing w:val="0"/>
                <w:sz w:val="24"/>
                <w:szCs w:val="24"/>
                <w:highlight w:val="none"/>
                <w:shd w:val="clear" w:fill="FFFFFF"/>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rPr>
              <w:t>（7）企业开具的近三年在政府采购经营活动中无重大违法记录声明；（成立时间不足三年的供应商提供自成立之日起至开标截止之日止的无重大违法记录声明）； </w:t>
            </w:r>
            <w:r>
              <w:rPr>
                <w:rFonts w:hint="eastAsia" w:asciiTheme="minorEastAsia" w:hAnsiTheme="minorEastAsia" w:eastAsiaTheme="minorEastAsia" w:cstheme="minorEastAsia"/>
                <w:i w:val="0"/>
                <w:iCs w:val="0"/>
                <w:caps w:val="0"/>
                <w:color w:val="auto"/>
                <w:spacing w:val="0"/>
                <w:sz w:val="24"/>
                <w:szCs w:val="24"/>
                <w:highlight w:val="none"/>
                <w:shd w:val="clear" w:fill="FFFFFF"/>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rPr>
              <w:t>（8）供应商应授权合法的人员参加磋商全过程，其中法定代表人直接参加磋商的，须出具法定代表人资格证明书及身份证，并与营业执照上信息一致，法定代表人授权代表参加磋商的，须出具法定代表人资格证明书、授权书及被授权代表身份证；</w:t>
            </w:r>
            <w:r>
              <w:rPr>
                <w:rFonts w:hint="eastAsia" w:asciiTheme="minorEastAsia" w:hAnsiTheme="minorEastAsia" w:eastAsiaTheme="minorEastAsia" w:cstheme="minorEastAsia"/>
                <w:i w:val="0"/>
                <w:iCs w:val="0"/>
                <w:caps w:val="0"/>
                <w:color w:val="auto"/>
                <w:spacing w:val="0"/>
                <w:sz w:val="24"/>
                <w:szCs w:val="24"/>
                <w:highlight w:val="none"/>
                <w:shd w:val="clear" w:fill="FFFFFF"/>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rPr>
              <w:t>（9）提供具有履行合同所必需的设备和专业技术能力的承诺书；</w:t>
            </w:r>
            <w:r>
              <w:rPr>
                <w:rFonts w:hint="eastAsia" w:asciiTheme="minorEastAsia" w:hAnsiTheme="minorEastAsia" w:eastAsiaTheme="minorEastAsia" w:cstheme="minorEastAsia"/>
                <w:i w:val="0"/>
                <w:iCs w:val="0"/>
                <w:caps w:val="0"/>
                <w:color w:val="auto"/>
                <w:spacing w:val="0"/>
                <w:sz w:val="24"/>
                <w:szCs w:val="24"/>
                <w:highlight w:val="none"/>
                <w:shd w:val="clear" w:fill="FFFFFF"/>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rPr>
              <w:t>（10）供应商须提供合格有效的城乡规划编制资质乙级及以上证书或土地规划乙级及以上证书。</w:t>
            </w:r>
          </w:p>
          <w:p w14:paraId="4629712F">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合同包3(蟠龙高新区扩区调区编制产业规划、用地情况报告、总体发展规划环境影响评价报告第3包)特定资格要求如下:</w:t>
            </w:r>
          </w:p>
          <w:p w14:paraId="13959E2B">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（1）供应商须是具有独立承担民事责任能力的法人、其他组织或自然人，并出具合法有效的营业执照或事业单位法人证书等国家规定的相关证明，自然人参与的提供其身份证明；</w:t>
            </w:r>
            <w:r>
              <w:rPr>
                <w:rFonts w:hint="eastAsia" w:asciiTheme="minorEastAsia" w:hAnsiTheme="minorEastAsia" w:eastAsiaTheme="minorEastAsia" w:cstheme="minorEastAsia"/>
                <w:i w:val="0"/>
                <w:iCs w:val="0"/>
                <w:caps w:val="0"/>
                <w:color w:val="auto"/>
                <w:spacing w:val="0"/>
                <w:sz w:val="24"/>
                <w:szCs w:val="24"/>
                <w:highlight w:val="none"/>
                <w:shd w:val="clear" w:fill="FFFFFF"/>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rPr>
              <w:t>（2）供应商须提供2024年度财务审计报告（成立时间至提交投标文件截止时间不足一年的可提供成立后任意时段的资产负债表）或基本存款账户开户银行出具的资信证明（附开户许可证或开户备案证明）；</w:t>
            </w:r>
            <w:r>
              <w:rPr>
                <w:rFonts w:hint="eastAsia" w:asciiTheme="minorEastAsia" w:hAnsiTheme="minorEastAsia" w:eastAsiaTheme="minorEastAsia" w:cstheme="minorEastAsia"/>
                <w:i w:val="0"/>
                <w:iCs w:val="0"/>
                <w:caps w:val="0"/>
                <w:color w:val="auto"/>
                <w:spacing w:val="0"/>
                <w:sz w:val="24"/>
                <w:szCs w:val="24"/>
                <w:highlight w:val="none"/>
                <w:shd w:val="clear" w:fill="FFFFFF"/>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rPr>
              <w:t>（3）供应商须提供2024年8月至今已缴存的至少一个月的社会保险参保缴费情况证明。</w:t>
            </w:r>
            <w:r>
              <w:rPr>
                <w:rFonts w:hint="eastAsia" w:asciiTheme="minorEastAsia" w:hAnsiTheme="minorEastAsia" w:eastAsiaTheme="minorEastAsia" w:cstheme="minorEastAsia"/>
                <w:i w:val="0"/>
                <w:iCs w:val="0"/>
                <w:caps w:val="0"/>
                <w:color w:val="auto"/>
                <w:spacing w:val="0"/>
                <w:sz w:val="24"/>
                <w:szCs w:val="24"/>
                <w:highlight w:val="none"/>
                <w:shd w:val="clear" w:fill="FFFFFF"/>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rPr>
              <w:t>（4）供应商须提供2024年8月至今缴纳的至少一个月的纳税证明或完税证明，依法免税的单位应提供相关证明材料；</w:t>
            </w:r>
            <w:r>
              <w:rPr>
                <w:rFonts w:hint="eastAsia" w:asciiTheme="minorEastAsia" w:hAnsiTheme="minorEastAsia" w:eastAsiaTheme="minorEastAsia" w:cstheme="minorEastAsia"/>
                <w:i w:val="0"/>
                <w:iCs w:val="0"/>
                <w:caps w:val="0"/>
                <w:color w:val="auto"/>
                <w:spacing w:val="0"/>
                <w:sz w:val="24"/>
                <w:szCs w:val="24"/>
                <w:highlight w:val="none"/>
                <w:shd w:val="clear" w:fill="FFFFFF"/>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rPr>
              <w:t>（5）供应商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信用承诺书）；             </w:t>
            </w:r>
            <w:r>
              <w:rPr>
                <w:rFonts w:hint="eastAsia" w:asciiTheme="minorEastAsia" w:hAnsiTheme="minorEastAsia" w:eastAsiaTheme="minorEastAsia" w:cstheme="minorEastAsia"/>
                <w:i w:val="0"/>
                <w:iCs w:val="0"/>
                <w:caps w:val="0"/>
                <w:color w:val="auto"/>
                <w:spacing w:val="0"/>
                <w:sz w:val="24"/>
                <w:szCs w:val="24"/>
                <w:highlight w:val="none"/>
                <w:shd w:val="clear" w:fill="FFFFFF"/>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rPr>
              <w:t>（6）单位负责人为同一人或者存在直接控股、管理关系的不同投标人，不得参加同一合同项下的政府采购活动；（提供承诺书)</w:t>
            </w:r>
            <w:r>
              <w:rPr>
                <w:rFonts w:hint="eastAsia" w:asciiTheme="minorEastAsia" w:hAnsiTheme="minorEastAsia" w:eastAsiaTheme="minorEastAsia" w:cstheme="minorEastAsia"/>
                <w:i w:val="0"/>
                <w:iCs w:val="0"/>
                <w:caps w:val="0"/>
                <w:color w:val="auto"/>
                <w:spacing w:val="0"/>
                <w:sz w:val="24"/>
                <w:szCs w:val="24"/>
                <w:highlight w:val="none"/>
                <w:shd w:val="clear" w:fill="FFFFFF"/>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rPr>
              <w:t>（7）企业开具的近三年在政府采购经营活动中无重大违法记录声明；（成立时间不足三年的供应商提供自成立之日起至开标截止之日止的无重大违法记录声明）； </w:t>
            </w:r>
            <w:r>
              <w:rPr>
                <w:rFonts w:hint="eastAsia" w:asciiTheme="minorEastAsia" w:hAnsiTheme="minorEastAsia" w:eastAsiaTheme="minorEastAsia" w:cstheme="minorEastAsia"/>
                <w:i w:val="0"/>
                <w:iCs w:val="0"/>
                <w:caps w:val="0"/>
                <w:color w:val="auto"/>
                <w:spacing w:val="0"/>
                <w:sz w:val="24"/>
                <w:szCs w:val="24"/>
                <w:highlight w:val="none"/>
                <w:shd w:val="clear" w:fill="FFFFFF"/>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rPr>
              <w:t>（8）供应商应授权合法的人员参加磋商全过程，其中法定代表人直接参加磋商的，须出具法定代表人资格证明书及身份证，并与营业执照上信息一致，法定代表人授权代表参加磋商的，须出具法定代表人资格证明书、授权书及被授权代表身份证；</w:t>
            </w:r>
            <w:r>
              <w:rPr>
                <w:rFonts w:hint="eastAsia" w:asciiTheme="minorEastAsia" w:hAnsiTheme="minorEastAsia" w:eastAsiaTheme="minorEastAsia" w:cstheme="minorEastAsia"/>
                <w:i w:val="0"/>
                <w:iCs w:val="0"/>
                <w:caps w:val="0"/>
                <w:color w:val="auto"/>
                <w:spacing w:val="0"/>
                <w:sz w:val="24"/>
                <w:szCs w:val="24"/>
                <w:highlight w:val="none"/>
                <w:shd w:val="clear" w:fill="FFFFFF"/>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rPr>
              <w:t>（9）提供具有履行合同所必需的设备和专业技术能力的承诺书；</w:t>
            </w:r>
          </w:p>
          <w:p w14:paraId="112F0B48">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lang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（10）供应商须在环境影响评价信用平台注册（以网站截图为准）且拟派项目负责人须具备环境影响评价工程师资格证；</w:t>
            </w:r>
          </w:p>
        </w:tc>
      </w:tr>
      <w:tr w14:paraId="114D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7205C2A2">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w:t>
            </w:r>
          </w:p>
        </w:tc>
        <w:tc>
          <w:tcPr>
            <w:tcW w:w="2024" w:type="dxa"/>
            <w:vAlign w:val="center"/>
          </w:tcPr>
          <w:p w14:paraId="27D9E061">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服务期、项目地点</w:t>
            </w:r>
          </w:p>
        </w:tc>
        <w:tc>
          <w:tcPr>
            <w:tcW w:w="6449" w:type="dxa"/>
          </w:tcPr>
          <w:p w14:paraId="27557012">
            <w:pPr>
              <w:pStyle w:val="23"/>
              <w:wordWrap w:val="0"/>
              <w:spacing w:before="0" w:beforeAutospacing="0" w:after="0" w:afterAutospacing="0" w:line="360" w:lineRule="auto"/>
              <w:jc w:val="both"/>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rPr>
              <w:t>服务期：</w:t>
            </w:r>
            <w:r>
              <w:rPr>
                <w:rFonts w:hint="eastAsia" w:asciiTheme="minorEastAsia" w:hAnsiTheme="minorEastAsia" w:eastAsiaTheme="minorEastAsia" w:cstheme="minorEastAsia"/>
                <w:color w:val="auto"/>
                <w:kern w:val="2"/>
                <w:sz w:val="24"/>
                <w:szCs w:val="24"/>
                <w:highlight w:val="none"/>
                <w:lang w:eastAsia="zh-CN"/>
              </w:rPr>
              <w:t>自合同签订之日起180日历天内完成</w:t>
            </w:r>
          </w:p>
          <w:p w14:paraId="1C2B0E0E">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项目地点</w:t>
            </w:r>
            <w:r>
              <w:rPr>
                <w:rFonts w:hint="eastAsia" w:asciiTheme="minorEastAsia" w:hAnsiTheme="minorEastAsia" w:eastAsiaTheme="minorEastAsia" w:cstheme="minorEastAsia"/>
                <w:color w:val="auto"/>
                <w:sz w:val="24"/>
                <w:szCs w:val="24"/>
                <w:highlight w:val="none"/>
                <w:lang w:val="zh-CN"/>
              </w:rPr>
              <w:t>：采购人指定地点</w:t>
            </w:r>
          </w:p>
        </w:tc>
      </w:tr>
      <w:tr w14:paraId="2247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vAlign w:val="center"/>
          </w:tcPr>
          <w:p w14:paraId="5B53B963">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w:t>
            </w:r>
          </w:p>
        </w:tc>
        <w:tc>
          <w:tcPr>
            <w:tcW w:w="2024" w:type="dxa"/>
            <w:vAlign w:val="center"/>
          </w:tcPr>
          <w:p w14:paraId="12D9FFF9">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竞争性磋商文件获取</w:t>
            </w:r>
          </w:p>
        </w:tc>
        <w:tc>
          <w:tcPr>
            <w:tcW w:w="6449" w:type="dxa"/>
          </w:tcPr>
          <w:p w14:paraId="2249931E">
            <w:pPr>
              <w:pStyle w:val="64"/>
              <w:spacing w:line="460" w:lineRule="exact"/>
              <w:ind w:left="240" w:hanging="240" w:hanging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获取时间：</w:t>
            </w:r>
            <w:r>
              <w:rPr>
                <w:rFonts w:hint="eastAsia" w:asciiTheme="minorEastAsia" w:hAnsiTheme="minorEastAsia" w:eastAsiaTheme="minorEastAsia" w:cstheme="minorEastAsia"/>
                <w:color w:val="auto"/>
                <w:sz w:val="24"/>
                <w:szCs w:val="24"/>
                <w:shd w:val="clear" w:color="auto" w:fill="FFFFFF"/>
              </w:rPr>
              <w:t>2025年0</w:t>
            </w:r>
            <w:r>
              <w:rPr>
                <w:rFonts w:hint="eastAsia" w:asciiTheme="minorEastAsia" w:hAnsiTheme="minorEastAsia" w:eastAsiaTheme="minorEastAsia" w:cstheme="minorEastAsia"/>
                <w:color w:val="auto"/>
                <w:sz w:val="24"/>
                <w:szCs w:val="24"/>
                <w:shd w:val="clear" w:color="auto" w:fill="FFFFFF"/>
                <w:lang w:val="en-US" w:eastAsia="zh-CN"/>
              </w:rPr>
              <w:t>8</w:t>
            </w:r>
            <w:r>
              <w:rPr>
                <w:rFonts w:hint="eastAsia" w:asciiTheme="minorEastAsia" w:hAnsiTheme="minorEastAsia" w:eastAsiaTheme="minorEastAsia" w:cstheme="minorEastAsia"/>
                <w:color w:val="auto"/>
                <w:sz w:val="24"/>
                <w:szCs w:val="24"/>
                <w:shd w:val="clear" w:color="auto" w:fill="FFFFFF"/>
              </w:rPr>
              <w:t>月</w:t>
            </w:r>
            <w:r>
              <w:rPr>
                <w:rFonts w:hint="eastAsia" w:asciiTheme="minorEastAsia" w:hAnsiTheme="minorEastAsia" w:eastAsiaTheme="minorEastAsia" w:cstheme="minorEastAsia"/>
                <w:color w:val="auto"/>
                <w:sz w:val="24"/>
                <w:szCs w:val="24"/>
                <w:shd w:val="clear" w:color="auto" w:fill="FFFFFF"/>
                <w:lang w:val="en-US" w:eastAsia="zh-CN"/>
              </w:rPr>
              <w:t>26</w:t>
            </w:r>
            <w:r>
              <w:rPr>
                <w:rFonts w:hint="eastAsia" w:asciiTheme="minorEastAsia" w:hAnsiTheme="minorEastAsia" w:eastAsiaTheme="minorEastAsia" w:cstheme="minorEastAsia"/>
                <w:color w:val="auto"/>
                <w:sz w:val="24"/>
                <w:szCs w:val="24"/>
                <w:shd w:val="clear" w:color="auto" w:fill="FFFFFF"/>
              </w:rPr>
              <w:t>日至2025年0</w:t>
            </w:r>
            <w:r>
              <w:rPr>
                <w:rFonts w:hint="eastAsia" w:asciiTheme="minorEastAsia" w:hAnsiTheme="minorEastAsia" w:eastAsiaTheme="minorEastAsia" w:cstheme="minorEastAsia"/>
                <w:color w:val="auto"/>
                <w:sz w:val="24"/>
                <w:szCs w:val="24"/>
                <w:shd w:val="clear" w:color="auto" w:fill="FFFFFF"/>
                <w:lang w:val="en-US" w:eastAsia="zh-CN"/>
              </w:rPr>
              <w:t>9</w:t>
            </w:r>
            <w:r>
              <w:rPr>
                <w:rFonts w:hint="eastAsia" w:asciiTheme="minorEastAsia" w:hAnsiTheme="minorEastAsia" w:eastAsiaTheme="minorEastAsia" w:cstheme="minorEastAsia"/>
                <w:color w:val="auto"/>
                <w:sz w:val="24"/>
                <w:szCs w:val="24"/>
                <w:shd w:val="clear" w:color="auto" w:fill="FFFFFF"/>
              </w:rPr>
              <w:t>月</w:t>
            </w:r>
            <w:r>
              <w:rPr>
                <w:rFonts w:hint="eastAsia" w:asciiTheme="minorEastAsia" w:hAnsiTheme="minorEastAsia" w:eastAsiaTheme="minorEastAsia" w:cstheme="minorEastAsia"/>
                <w:color w:val="auto"/>
                <w:sz w:val="24"/>
                <w:szCs w:val="24"/>
                <w:shd w:val="clear" w:color="auto" w:fill="FFFFFF"/>
                <w:lang w:val="en-US" w:eastAsia="zh-CN"/>
              </w:rPr>
              <w:t>01</w:t>
            </w:r>
            <w:r>
              <w:rPr>
                <w:rFonts w:hint="eastAsia" w:asciiTheme="minorEastAsia" w:hAnsiTheme="minorEastAsia" w:eastAsiaTheme="minorEastAsia" w:cstheme="minorEastAsia"/>
                <w:color w:val="auto"/>
                <w:sz w:val="24"/>
                <w:szCs w:val="24"/>
                <w:shd w:val="clear" w:color="auto" w:fill="FFFFFF"/>
              </w:rPr>
              <w:t>日</w:t>
            </w:r>
            <w:r>
              <w:rPr>
                <w:rFonts w:hint="eastAsia" w:asciiTheme="minorEastAsia" w:hAnsiTheme="minorEastAsia" w:eastAsiaTheme="minorEastAsia" w:cstheme="minorEastAsia"/>
                <w:color w:val="auto"/>
                <w:sz w:val="24"/>
                <w:szCs w:val="24"/>
              </w:rPr>
              <w:t>9:00-17:00止（节假日除外）。</w:t>
            </w:r>
          </w:p>
          <w:p w14:paraId="57C4514F">
            <w:pPr>
              <w:pStyle w:val="64"/>
              <w:spacing w:line="4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获取地点：在线获取。</w:t>
            </w:r>
          </w:p>
        </w:tc>
      </w:tr>
      <w:tr w14:paraId="0EF59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99" w:type="dxa"/>
            <w:vAlign w:val="center"/>
          </w:tcPr>
          <w:p w14:paraId="41AA91F1">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w:t>
            </w:r>
          </w:p>
        </w:tc>
        <w:tc>
          <w:tcPr>
            <w:tcW w:w="2024" w:type="dxa"/>
            <w:vAlign w:val="center"/>
          </w:tcPr>
          <w:p w14:paraId="0898EF11">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联合体磋商</w:t>
            </w:r>
          </w:p>
        </w:tc>
        <w:tc>
          <w:tcPr>
            <w:tcW w:w="6449" w:type="dxa"/>
          </w:tcPr>
          <w:p w14:paraId="5FFB2B70">
            <w:pPr>
              <w:spacing w:line="4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不接受</w:t>
            </w:r>
          </w:p>
        </w:tc>
      </w:tr>
      <w:tr w14:paraId="568A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9" w:type="dxa"/>
            <w:vAlign w:val="center"/>
          </w:tcPr>
          <w:p w14:paraId="1C8DAEA2">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w:t>
            </w:r>
          </w:p>
        </w:tc>
        <w:tc>
          <w:tcPr>
            <w:tcW w:w="2024" w:type="dxa"/>
            <w:vAlign w:val="center"/>
          </w:tcPr>
          <w:p w14:paraId="6B15AF54">
            <w:pPr>
              <w:spacing w:line="4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现场勘查、标前答疑会</w:t>
            </w:r>
          </w:p>
        </w:tc>
        <w:tc>
          <w:tcPr>
            <w:tcW w:w="6449" w:type="dxa"/>
            <w:vAlign w:val="center"/>
          </w:tcPr>
          <w:p w14:paraId="7A540D6E">
            <w:pPr>
              <w:spacing w:line="4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不统一组织。供应商认为有必要可自行勘查，并承担所有费用及风险。</w:t>
            </w:r>
          </w:p>
        </w:tc>
      </w:tr>
      <w:tr w14:paraId="4CA8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48547B7A">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w:t>
            </w:r>
          </w:p>
        </w:tc>
        <w:tc>
          <w:tcPr>
            <w:tcW w:w="2024" w:type="dxa"/>
            <w:vAlign w:val="center"/>
          </w:tcPr>
          <w:p w14:paraId="1E55288E">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供应商对竞争性磋商文件提出质疑的时间</w:t>
            </w:r>
          </w:p>
        </w:tc>
        <w:tc>
          <w:tcPr>
            <w:tcW w:w="6449" w:type="dxa"/>
          </w:tcPr>
          <w:p w14:paraId="27D3DF5C">
            <w:pPr>
              <w:spacing w:line="4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可在领取磋商文件之日起或本项目磋商公告期限届满之日起七个工作日内，以书面形式向采购代理机构一次性提出，在此之后提出的质疑无效。</w:t>
            </w:r>
          </w:p>
        </w:tc>
      </w:tr>
      <w:tr w14:paraId="3F3AC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768EFB91">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w:t>
            </w:r>
          </w:p>
        </w:tc>
        <w:tc>
          <w:tcPr>
            <w:tcW w:w="2024" w:type="dxa"/>
            <w:vAlign w:val="center"/>
          </w:tcPr>
          <w:p w14:paraId="5ED90C93">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构成竞争性磋商文件的其他文件</w:t>
            </w:r>
          </w:p>
        </w:tc>
        <w:tc>
          <w:tcPr>
            <w:tcW w:w="6449" w:type="dxa"/>
          </w:tcPr>
          <w:p w14:paraId="5AF75641">
            <w:pPr>
              <w:spacing w:line="4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竞争性磋商文件的澄清、修改及有关补充通知均为竞争性磋商文件的有效组成部分。</w:t>
            </w:r>
          </w:p>
        </w:tc>
      </w:tr>
      <w:tr w14:paraId="3C1B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06CE898D">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w:t>
            </w:r>
          </w:p>
        </w:tc>
        <w:tc>
          <w:tcPr>
            <w:tcW w:w="2024" w:type="dxa"/>
            <w:vAlign w:val="center"/>
          </w:tcPr>
          <w:p w14:paraId="4355A5E7">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磋商响应文件提交截止时间及磋商时间和地点</w:t>
            </w:r>
          </w:p>
        </w:tc>
        <w:tc>
          <w:tcPr>
            <w:tcW w:w="6449" w:type="dxa"/>
          </w:tcPr>
          <w:p w14:paraId="727BC33A">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1、磋商响应文件提交截止时间：2025年0</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09</w:t>
            </w:r>
            <w:r>
              <w:rPr>
                <w:rFonts w:hint="eastAsia" w:asciiTheme="minorEastAsia" w:hAnsiTheme="minorEastAsia" w:eastAsiaTheme="minorEastAsia" w:cstheme="minorEastAsia"/>
                <w:color w:val="auto"/>
                <w:sz w:val="24"/>
                <w:szCs w:val="24"/>
              </w:rPr>
              <w:t>日09时00分</w:t>
            </w:r>
          </w:p>
          <w:p w14:paraId="5D629ACE">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2、磋商时间：2025年0</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09</w:t>
            </w:r>
            <w:r>
              <w:rPr>
                <w:rFonts w:hint="eastAsia" w:asciiTheme="minorEastAsia" w:hAnsiTheme="minorEastAsia" w:eastAsiaTheme="minorEastAsia" w:cstheme="minorEastAsia"/>
                <w:color w:val="auto"/>
                <w:sz w:val="24"/>
                <w:szCs w:val="24"/>
              </w:rPr>
              <w:t>日09时00分</w:t>
            </w:r>
          </w:p>
          <w:p w14:paraId="2C0900EB">
            <w:pPr>
              <w:pStyle w:val="23"/>
              <w:spacing w:before="0" w:beforeAutospacing="0" w:after="0" w:afterAutospacing="0" w:line="384" w:lineRule="atLeast"/>
              <w:jc w:val="both"/>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kern w:val="2"/>
                <w:sz w:val="24"/>
                <w:szCs w:val="24"/>
              </w:rPr>
              <w:t>、磋商响应文件提交：全国公共资源交易平台（陕西省·宝鸡市）宝鸡市公共资源交易中心（</w:t>
            </w:r>
            <w:r>
              <w:rPr>
                <w:rFonts w:hint="eastAsia" w:asciiTheme="minorEastAsia" w:hAnsiTheme="minorEastAsia" w:eastAsiaTheme="minorEastAsia" w:cstheme="minorEastAsia"/>
                <w:color w:val="auto"/>
                <w:sz w:val="24"/>
                <w:szCs w:val="24"/>
                <w:shd w:val="clear" w:color="auto" w:fill="FFFFFF"/>
              </w:rPr>
              <w:t>http://ggzy.baoji.gov.cn/</w:t>
            </w:r>
            <w:r>
              <w:rPr>
                <w:rFonts w:hint="eastAsia" w:asciiTheme="minorEastAsia" w:hAnsiTheme="minorEastAsia" w:eastAsiaTheme="minorEastAsia" w:cstheme="minorEastAsia"/>
                <w:color w:val="auto"/>
                <w:kern w:val="2"/>
                <w:sz w:val="24"/>
                <w:szCs w:val="24"/>
              </w:rPr>
              <w:t>）线上提交</w:t>
            </w:r>
          </w:p>
          <w:p w14:paraId="11FF5B61">
            <w:pPr>
              <w:pStyle w:val="23"/>
              <w:spacing w:before="0" w:beforeAutospacing="0" w:after="0" w:afterAutospacing="0" w:line="384" w:lineRule="atLeast"/>
              <w:jc w:val="both"/>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4、磋商地点：全国公共资源交易平台(陕西省·宝鸡市)宝鸡市公共资源交易中心-不见面开标</w:t>
            </w:r>
          </w:p>
        </w:tc>
      </w:tr>
      <w:tr w14:paraId="6ACCB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567484AA">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w:t>
            </w:r>
          </w:p>
        </w:tc>
        <w:tc>
          <w:tcPr>
            <w:tcW w:w="2024" w:type="dxa"/>
            <w:vAlign w:val="center"/>
          </w:tcPr>
          <w:p w14:paraId="695ABCA1">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磋商响应有效期</w:t>
            </w:r>
          </w:p>
        </w:tc>
        <w:tc>
          <w:tcPr>
            <w:tcW w:w="6449" w:type="dxa"/>
          </w:tcPr>
          <w:p w14:paraId="14340998">
            <w:pPr>
              <w:spacing w:line="4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自磋商之日起算90日历日。</w:t>
            </w:r>
          </w:p>
        </w:tc>
      </w:tr>
      <w:tr w14:paraId="2F1A3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6987B7BE">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w:t>
            </w:r>
          </w:p>
        </w:tc>
        <w:tc>
          <w:tcPr>
            <w:tcW w:w="2024" w:type="dxa"/>
            <w:vAlign w:val="center"/>
          </w:tcPr>
          <w:p w14:paraId="5E86F93A">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磋商担保</w:t>
            </w:r>
          </w:p>
        </w:tc>
        <w:tc>
          <w:tcPr>
            <w:tcW w:w="6449" w:type="dxa"/>
          </w:tcPr>
          <w:p w14:paraId="430A0BB9">
            <w:pPr>
              <w:pStyle w:val="23"/>
              <w:spacing w:before="0" w:beforeAutospacing="0" w:after="0" w:afterAutospacing="0" w:line="384" w:lineRule="atLeast"/>
              <w:jc w:val="both"/>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color w:val="auto"/>
                <w:kern w:val="2"/>
                <w:sz w:val="24"/>
                <w:szCs w:val="24"/>
                <w:lang w:eastAsia="zh-CN"/>
              </w:rPr>
              <w:t>第</w:t>
            </w:r>
            <w:r>
              <w:rPr>
                <w:rFonts w:hint="eastAsia" w:asciiTheme="minorEastAsia" w:hAnsiTheme="minorEastAsia" w:eastAsiaTheme="minorEastAsia" w:cstheme="minorEastAsia"/>
                <w:color w:val="auto"/>
                <w:kern w:val="2"/>
                <w:sz w:val="24"/>
                <w:szCs w:val="24"/>
                <w:lang w:val="en-US" w:eastAsia="zh-CN"/>
              </w:rPr>
              <w:t>1</w:t>
            </w:r>
            <w:r>
              <w:rPr>
                <w:rFonts w:hint="eastAsia" w:asciiTheme="minorEastAsia" w:hAnsiTheme="minorEastAsia" w:eastAsiaTheme="minorEastAsia" w:cstheme="minorEastAsia"/>
                <w:color w:val="auto"/>
                <w:kern w:val="2"/>
                <w:sz w:val="24"/>
                <w:szCs w:val="24"/>
                <w:lang w:eastAsia="zh-CN"/>
              </w:rPr>
              <w:t>包：</w:t>
            </w:r>
          </w:p>
          <w:p w14:paraId="2C6E610F">
            <w:pPr>
              <w:pStyle w:val="23"/>
              <w:spacing w:before="0" w:beforeAutospacing="0" w:after="0" w:afterAutospacing="0" w:line="384" w:lineRule="atLeast"/>
              <w:jc w:val="both"/>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投标保证金金额：人民币</w:t>
            </w:r>
            <w:r>
              <w:rPr>
                <w:rFonts w:hint="eastAsia" w:asciiTheme="minorEastAsia" w:hAnsiTheme="minorEastAsia" w:eastAsiaTheme="minorEastAsia" w:cstheme="minorEastAsia"/>
                <w:color w:val="auto"/>
                <w:kern w:val="2"/>
                <w:sz w:val="24"/>
                <w:szCs w:val="24"/>
                <w:lang w:val="en-US" w:eastAsia="zh-CN"/>
              </w:rPr>
              <w:t>贰仟元整</w:t>
            </w:r>
            <w:r>
              <w:rPr>
                <w:rFonts w:hint="eastAsia" w:asciiTheme="minorEastAsia" w:hAnsiTheme="minorEastAsia" w:eastAsiaTheme="minorEastAsia" w:cstheme="minorEastAsia"/>
                <w:color w:val="auto"/>
                <w:kern w:val="2"/>
                <w:sz w:val="24"/>
                <w:szCs w:val="24"/>
              </w:rPr>
              <w:t>（</w:t>
            </w:r>
            <w:r>
              <w:rPr>
                <w:rFonts w:hint="eastAsia" w:asciiTheme="minorEastAsia" w:hAnsiTheme="minorEastAsia" w:eastAsiaTheme="minorEastAsia" w:cstheme="minorEastAsia"/>
                <w:color w:val="auto"/>
                <w:kern w:val="2"/>
                <w:sz w:val="24"/>
                <w:szCs w:val="24"/>
                <w:lang w:val="en-US" w:eastAsia="zh-CN"/>
              </w:rPr>
              <w:t>2</w:t>
            </w:r>
            <w:r>
              <w:rPr>
                <w:rFonts w:hint="eastAsia" w:asciiTheme="minorEastAsia" w:hAnsiTheme="minorEastAsia" w:eastAsiaTheme="minorEastAsia" w:cstheme="minorEastAsia"/>
                <w:color w:val="auto"/>
                <w:kern w:val="2"/>
                <w:sz w:val="24"/>
                <w:szCs w:val="24"/>
              </w:rPr>
              <w:t>000.00元）</w:t>
            </w:r>
          </w:p>
          <w:p w14:paraId="530B1A6A">
            <w:pPr>
              <w:pStyle w:val="23"/>
              <w:spacing w:before="0" w:beforeAutospacing="0" w:after="0" w:afterAutospacing="0" w:line="384" w:lineRule="atLeast"/>
              <w:jc w:val="both"/>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投标保证金的形式：银行保函或基本户转账</w:t>
            </w:r>
          </w:p>
          <w:p w14:paraId="2E070C79">
            <w:pPr>
              <w:pStyle w:val="23"/>
              <w:spacing w:before="0" w:beforeAutospacing="0" w:after="0" w:afterAutospacing="0" w:line="384" w:lineRule="atLeast"/>
              <w:jc w:val="both"/>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投标保证金账户名：宝鸡市公共资源交易中心保证金专户</w:t>
            </w:r>
          </w:p>
          <w:p w14:paraId="2E3BFE3A">
            <w:pPr>
              <w:pStyle w:val="23"/>
              <w:spacing w:before="0" w:beforeAutospacing="0" w:after="0" w:afterAutospacing="0" w:line="384" w:lineRule="atLeast"/>
              <w:jc w:val="both"/>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开户行：长安银行股份有限公司宝鸡分行营业部</w:t>
            </w:r>
          </w:p>
          <w:p w14:paraId="0314C9D0">
            <w:pPr>
              <w:pStyle w:val="23"/>
              <w:spacing w:before="0" w:beforeAutospacing="0" w:after="0" w:afterAutospacing="0" w:line="384" w:lineRule="atLeast"/>
              <w:jc w:val="both"/>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账  号：80602000142101980614752</w:t>
            </w:r>
          </w:p>
          <w:p w14:paraId="32B9D262">
            <w:pPr>
              <w:pStyle w:val="23"/>
              <w:spacing w:before="0" w:beforeAutospacing="0" w:after="0" w:afterAutospacing="0" w:line="384" w:lineRule="atLeast"/>
              <w:jc w:val="both"/>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b/>
                <w:bCs/>
                <w:color w:val="auto"/>
                <w:kern w:val="2"/>
                <w:sz w:val="24"/>
                <w:szCs w:val="24"/>
                <w:lang w:val="en-US" w:eastAsia="zh-CN"/>
              </w:rPr>
              <w:t>转账时必须备注该项目子账号后五位数字，无需填写其他内容</w:t>
            </w:r>
          </w:p>
          <w:p w14:paraId="087481B4">
            <w:pPr>
              <w:pStyle w:val="23"/>
              <w:spacing w:before="0" w:beforeAutospacing="0" w:after="0" w:afterAutospacing="0" w:line="384" w:lineRule="atLeast"/>
              <w:jc w:val="both"/>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color w:val="auto"/>
                <w:kern w:val="2"/>
                <w:sz w:val="24"/>
                <w:szCs w:val="24"/>
                <w:lang w:eastAsia="zh-CN"/>
              </w:rPr>
              <w:t>第</w:t>
            </w:r>
            <w:r>
              <w:rPr>
                <w:rFonts w:hint="eastAsia" w:asciiTheme="minorEastAsia" w:hAnsiTheme="minorEastAsia" w:eastAsiaTheme="minorEastAsia" w:cstheme="minorEastAsia"/>
                <w:color w:val="auto"/>
                <w:kern w:val="2"/>
                <w:sz w:val="24"/>
                <w:szCs w:val="24"/>
                <w:lang w:val="en-US" w:eastAsia="zh-CN"/>
              </w:rPr>
              <w:t>2</w:t>
            </w:r>
            <w:r>
              <w:rPr>
                <w:rFonts w:hint="eastAsia" w:asciiTheme="minorEastAsia" w:hAnsiTheme="minorEastAsia" w:eastAsiaTheme="minorEastAsia" w:cstheme="minorEastAsia"/>
                <w:color w:val="auto"/>
                <w:kern w:val="2"/>
                <w:sz w:val="24"/>
                <w:szCs w:val="24"/>
                <w:lang w:eastAsia="zh-CN"/>
              </w:rPr>
              <w:t>包：</w:t>
            </w:r>
          </w:p>
          <w:p w14:paraId="7CF96522">
            <w:pPr>
              <w:pStyle w:val="23"/>
              <w:spacing w:before="0" w:beforeAutospacing="0" w:after="0" w:afterAutospacing="0" w:line="384" w:lineRule="atLeast"/>
              <w:jc w:val="both"/>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投标保证金金额：</w:t>
            </w:r>
            <w:r>
              <w:rPr>
                <w:rFonts w:hint="eastAsia" w:asciiTheme="minorEastAsia" w:hAnsiTheme="minorEastAsia" w:eastAsiaTheme="minorEastAsia" w:cstheme="minorEastAsia"/>
                <w:color w:val="auto"/>
                <w:kern w:val="2"/>
                <w:sz w:val="24"/>
                <w:szCs w:val="24"/>
                <w:lang w:val="en-US" w:eastAsia="zh-CN"/>
              </w:rPr>
              <w:t>人民币贰仟元整（2000.00元）</w:t>
            </w:r>
          </w:p>
          <w:p w14:paraId="7B435559">
            <w:pPr>
              <w:pStyle w:val="23"/>
              <w:spacing w:before="0" w:beforeAutospacing="0" w:after="0" w:afterAutospacing="0" w:line="384" w:lineRule="atLeast"/>
              <w:jc w:val="both"/>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投标保证金的形式：银行保函或基本户转账</w:t>
            </w:r>
          </w:p>
          <w:p w14:paraId="4CCB6D57">
            <w:pPr>
              <w:pStyle w:val="23"/>
              <w:spacing w:before="0" w:beforeAutospacing="0" w:after="0" w:afterAutospacing="0" w:line="384" w:lineRule="atLeast"/>
              <w:jc w:val="both"/>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投标保证金账户名：宝鸡市公共资源交易中心保证金专户</w:t>
            </w:r>
          </w:p>
          <w:p w14:paraId="02851968">
            <w:pPr>
              <w:pStyle w:val="23"/>
              <w:spacing w:before="0" w:beforeAutospacing="0" w:after="0" w:afterAutospacing="0" w:line="384" w:lineRule="atLeast"/>
              <w:jc w:val="both"/>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开户行：长安银行股份有限公司宝鸡分行营业部</w:t>
            </w:r>
          </w:p>
          <w:p w14:paraId="710E2610">
            <w:pPr>
              <w:pStyle w:val="23"/>
              <w:spacing w:before="0" w:beforeAutospacing="0" w:after="0" w:afterAutospacing="0" w:line="384" w:lineRule="atLeast"/>
              <w:jc w:val="both"/>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账  号：80602000142101980614753</w:t>
            </w:r>
          </w:p>
          <w:p w14:paraId="371C7397">
            <w:pPr>
              <w:pStyle w:val="23"/>
              <w:spacing w:before="0" w:beforeAutospacing="0" w:after="0" w:afterAutospacing="0" w:line="384" w:lineRule="atLeast"/>
              <w:jc w:val="both"/>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b/>
                <w:bCs/>
                <w:color w:val="auto"/>
                <w:kern w:val="2"/>
                <w:sz w:val="24"/>
                <w:szCs w:val="24"/>
                <w:lang w:val="en-US" w:eastAsia="zh-CN"/>
              </w:rPr>
              <w:t>转账时必须备注该项目子账号后五位数字，无需填写其他内容</w:t>
            </w:r>
          </w:p>
          <w:p w14:paraId="32F532EB">
            <w:pPr>
              <w:pStyle w:val="23"/>
              <w:spacing w:before="0" w:beforeAutospacing="0" w:after="0" w:afterAutospacing="0" w:line="384" w:lineRule="atLeast"/>
              <w:jc w:val="both"/>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color w:val="auto"/>
                <w:kern w:val="2"/>
                <w:sz w:val="24"/>
                <w:szCs w:val="24"/>
                <w:lang w:eastAsia="zh-CN"/>
              </w:rPr>
              <w:t>第</w:t>
            </w:r>
            <w:r>
              <w:rPr>
                <w:rFonts w:hint="eastAsia" w:asciiTheme="minorEastAsia" w:hAnsiTheme="minorEastAsia" w:eastAsiaTheme="minorEastAsia" w:cstheme="minorEastAsia"/>
                <w:color w:val="auto"/>
                <w:kern w:val="2"/>
                <w:sz w:val="24"/>
                <w:szCs w:val="24"/>
                <w:lang w:val="en-US" w:eastAsia="zh-CN"/>
              </w:rPr>
              <w:t>3</w:t>
            </w:r>
            <w:r>
              <w:rPr>
                <w:rFonts w:hint="eastAsia" w:asciiTheme="minorEastAsia" w:hAnsiTheme="minorEastAsia" w:eastAsiaTheme="minorEastAsia" w:cstheme="minorEastAsia"/>
                <w:color w:val="auto"/>
                <w:kern w:val="2"/>
                <w:sz w:val="24"/>
                <w:szCs w:val="24"/>
                <w:lang w:eastAsia="zh-CN"/>
              </w:rPr>
              <w:t>包：</w:t>
            </w:r>
          </w:p>
          <w:p w14:paraId="68B2C3F1">
            <w:pPr>
              <w:pStyle w:val="23"/>
              <w:spacing w:before="0" w:beforeAutospacing="0" w:after="0" w:afterAutospacing="0" w:line="384" w:lineRule="atLeast"/>
              <w:jc w:val="both"/>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投标保证金金额：</w:t>
            </w:r>
            <w:r>
              <w:rPr>
                <w:rFonts w:hint="eastAsia" w:asciiTheme="minorEastAsia" w:hAnsiTheme="minorEastAsia" w:eastAsiaTheme="minorEastAsia" w:cstheme="minorEastAsia"/>
                <w:color w:val="auto"/>
                <w:kern w:val="2"/>
                <w:sz w:val="24"/>
                <w:szCs w:val="24"/>
                <w:lang w:val="en-US" w:eastAsia="zh-CN"/>
              </w:rPr>
              <w:t>人民币伍仟元整（5000.00元）</w:t>
            </w:r>
          </w:p>
          <w:p w14:paraId="7715D525">
            <w:pPr>
              <w:pStyle w:val="23"/>
              <w:spacing w:before="0" w:beforeAutospacing="0" w:after="0" w:afterAutospacing="0" w:line="384" w:lineRule="atLeast"/>
              <w:jc w:val="both"/>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投标保证金的形式：银行保函或基本户转账</w:t>
            </w:r>
          </w:p>
          <w:p w14:paraId="451B411D">
            <w:pPr>
              <w:pStyle w:val="23"/>
              <w:spacing w:before="0" w:beforeAutospacing="0" w:after="0" w:afterAutospacing="0" w:line="384" w:lineRule="atLeast"/>
              <w:jc w:val="both"/>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投标保证金账户名：宝鸡市公共资源交易中心保证金专户</w:t>
            </w:r>
          </w:p>
          <w:p w14:paraId="0DEA9083">
            <w:pPr>
              <w:pStyle w:val="23"/>
              <w:spacing w:before="0" w:beforeAutospacing="0" w:after="0" w:afterAutospacing="0" w:line="384" w:lineRule="atLeast"/>
              <w:jc w:val="both"/>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开户行：长安银行股份有限公司宝鸡分行营业部</w:t>
            </w:r>
          </w:p>
          <w:p w14:paraId="5D9261F6">
            <w:pPr>
              <w:pStyle w:val="23"/>
              <w:spacing w:before="0" w:beforeAutospacing="0" w:after="0" w:afterAutospacing="0" w:line="384" w:lineRule="atLeast"/>
              <w:jc w:val="both"/>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账  号：80602000142101980614754</w:t>
            </w:r>
          </w:p>
          <w:p w14:paraId="5618A9A7">
            <w:pPr>
              <w:pStyle w:val="23"/>
              <w:spacing w:before="0" w:beforeAutospacing="0" w:after="0" w:afterAutospacing="0" w:line="384" w:lineRule="atLeast"/>
              <w:jc w:val="both"/>
              <w:rPr>
                <w:rFonts w:hint="eastAsia" w:asciiTheme="minorEastAsia" w:hAnsiTheme="minorEastAsia" w:eastAsiaTheme="minorEastAsia" w:cstheme="minorEastAsia"/>
                <w:b/>
                <w:bCs/>
                <w:color w:val="auto"/>
                <w:kern w:val="2"/>
                <w:sz w:val="24"/>
                <w:szCs w:val="24"/>
                <w:lang w:val="en-US" w:eastAsia="zh-CN"/>
              </w:rPr>
            </w:pPr>
            <w:r>
              <w:rPr>
                <w:rFonts w:hint="eastAsia" w:asciiTheme="minorEastAsia" w:hAnsiTheme="minorEastAsia" w:eastAsiaTheme="minorEastAsia" w:cstheme="minorEastAsia"/>
                <w:b/>
                <w:bCs/>
                <w:color w:val="auto"/>
                <w:kern w:val="2"/>
                <w:sz w:val="24"/>
                <w:szCs w:val="24"/>
                <w:lang w:val="en-US" w:eastAsia="zh-CN"/>
              </w:rPr>
              <w:t>转账时必须备注该项目子账号后五位数字，无需填写其他内容</w:t>
            </w:r>
          </w:p>
          <w:p w14:paraId="04B7CCA3">
            <w:pPr>
              <w:pStyle w:val="23"/>
              <w:spacing w:before="0" w:beforeAutospacing="0" w:after="0" w:afterAutospacing="0" w:line="384" w:lineRule="atLeast"/>
              <w:jc w:val="both"/>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color w:val="auto"/>
                <w:kern w:val="2"/>
                <w:sz w:val="24"/>
                <w:szCs w:val="24"/>
              </w:rPr>
              <w:t>注：未按规定账户缴纳保证金的投标单位，其投标文件视为无效。</w:t>
            </w:r>
          </w:p>
          <w:p w14:paraId="685E01F8">
            <w:pPr>
              <w:pStyle w:val="23"/>
              <w:spacing w:before="0" w:beforeAutospacing="0" w:after="0" w:afterAutospacing="0" w:line="384" w:lineRule="atLeast"/>
              <w:jc w:val="both"/>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kern w:val="2"/>
                <w:sz w:val="24"/>
                <w:szCs w:val="24"/>
                <w:lang w:val="en-US" w:eastAsia="zh-CN"/>
              </w:rPr>
              <w:t>1、银行保函</w:t>
            </w:r>
          </w:p>
          <w:p w14:paraId="2ABBD8C4">
            <w:pPr>
              <w:pStyle w:val="23"/>
              <w:spacing w:before="0" w:beforeAutospacing="0" w:after="0" w:afterAutospacing="0" w:line="384" w:lineRule="atLeast"/>
              <w:jc w:val="both"/>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kern w:val="2"/>
                <w:sz w:val="24"/>
                <w:szCs w:val="24"/>
                <w:lang w:val="en-US" w:eastAsia="zh-CN"/>
              </w:rPr>
              <w:t>必须为供应商基本账户开户银行出具的银行保函，将银行保函及“基本账户开户许可证或基本存款账户信息”附在投标文件中，作为保证金缴纳凭证。</w:t>
            </w:r>
          </w:p>
          <w:p w14:paraId="5FFFF782">
            <w:pPr>
              <w:pStyle w:val="23"/>
              <w:spacing w:before="0" w:beforeAutospacing="0" w:after="0" w:afterAutospacing="0" w:line="384" w:lineRule="atLeast"/>
              <w:jc w:val="both"/>
              <w:rPr>
                <w:rFonts w:hint="eastAsia" w:asciiTheme="minorEastAsia" w:hAnsiTheme="minorEastAsia" w:eastAsiaTheme="minorEastAsia" w:cstheme="minorEastAsia"/>
                <w:b/>
                <w:bCs/>
                <w:color w:val="auto"/>
                <w:kern w:val="2"/>
                <w:sz w:val="24"/>
                <w:szCs w:val="24"/>
                <w:lang w:val="en-US" w:eastAsia="zh-CN"/>
              </w:rPr>
            </w:pPr>
            <w:r>
              <w:rPr>
                <w:rFonts w:hint="eastAsia" w:asciiTheme="minorEastAsia" w:hAnsiTheme="minorEastAsia" w:eastAsiaTheme="minorEastAsia" w:cstheme="minorEastAsia"/>
                <w:b/>
                <w:bCs/>
                <w:color w:val="auto"/>
                <w:kern w:val="2"/>
                <w:sz w:val="24"/>
                <w:szCs w:val="24"/>
                <w:lang w:val="en-US" w:eastAsia="zh-CN"/>
              </w:rPr>
              <w:t>注：投标人如提供以银行作为担保的投标保函，应与项目开标前2~3个工作日递交至采购代理机构，递交保函时需提交以下资料：</w:t>
            </w:r>
          </w:p>
          <w:p w14:paraId="4E140947">
            <w:pPr>
              <w:pStyle w:val="23"/>
              <w:spacing w:before="0" w:beforeAutospacing="0" w:after="0" w:afterAutospacing="0" w:line="384" w:lineRule="atLeast"/>
              <w:jc w:val="both"/>
              <w:rPr>
                <w:rFonts w:hint="eastAsia" w:asciiTheme="minorEastAsia" w:hAnsiTheme="minorEastAsia" w:eastAsiaTheme="minorEastAsia" w:cstheme="minorEastAsia"/>
                <w:b/>
                <w:bCs/>
                <w:color w:val="auto"/>
                <w:kern w:val="2"/>
                <w:sz w:val="24"/>
                <w:szCs w:val="24"/>
                <w:lang w:val="en-US" w:eastAsia="zh-CN"/>
              </w:rPr>
            </w:pPr>
            <w:r>
              <w:rPr>
                <w:rFonts w:hint="eastAsia" w:asciiTheme="minorEastAsia" w:hAnsiTheme="minorEastAsia" w:eastAsiaTheme="minorEastAsia" w:cstheme="minorEastAsia"/>
                <w:b/>
                <w:bCs/>
                <w:color w:val="auto"/>
                <w:kern w:val="2"/>
                <w:sz w:val="24"/>
                <w:szCs w:val="24"/>
                <w:lang w:val="en-US" w:eastAsia="zh-CN"/>
              </w:rPr>
              <w:t>1.保函正本(纸质版);</w:t>
            </w:r>
          </w:p>
          <w:p w14:paraId="74B7C772">
            <w:pPr>
              <w:pStyle w:val="23"/>
              <w:spacing w:before="0" w:beforeAutospacing="0" w:after="0" w:afterAutospacing="0" w:line="384" w:lineRule="atLeast"/>
              <w:jc w:val="both"/>
              <w:rPr>
                <w:rFonts w:hint="eastAsia" w:asciiTheme="minorEastAsia" w:hAnsiTheme="minorEastAsia" w:eastAsiaTheme="minorEastAsia" w:cstheme="minorEastAsia"/>
                <w:b/>
                <w:bCs/>
                <w:color w:val="auto"/>
                <w:kern w:val="2"/>
                <w:sz w:val="24"/>
                <w:szCs w:val="24"/>
                <w:lang w:val="en-US" w:eastAsia="zh-CN"/>
              </w:rPr>
            </w:pPr>
            <w:r>
              <w:rPr>
                <w:rFonts w:hint="eastAsia" w:asciiTheme="minorEastAsia" w:hAnsiTheme="minorEastAsia" w:eastAsiaTheme="minorEastAsia" w:cstheme="minorEastAsia"/>
                <w:b/>
                <w:bCs/>
                <w:color w:val="auto"/>
                <w:kern w:val="2"/>
                <w:sz w:val="24"/>
                <w:szCs w:val="24"/>
                <w:lang w:val="en-US" w:eastAsia="zh-CN"/>
              </w:rPr>
              <w:t>2.公司介绍信(或委托书);</w:t>
            </w:r>
          </w:p>
          <w:p w14:paraId="20FD0FFC">
            <w:pPr>
              <w:pStyle w:val="23"/>
              <w:spacing w:before="0" w:beforeAutospacing="0" w:after="0" w:afterAutospacing="0" w:line="384" w:lineRule="atLeast"/>
              <w:jc w:val="both"/>
              <w:rPr>
                <w:rFonts w:hint="eastAsia" w:asciiTheme="minorEastAsia" w:hAnsiTheme="minorEastAsia" w:eastAsiaTheme="minorEastAsia" w:cstheme="minorEastAsia"/>
                <w:b/>
                <w:bCs/>
                <w:color w:val="auto"/>
                <w:kern w:val="2"/>
                <w:sz w:val="24"/>
                <w:szCs w:val="24"/>
                <w:lang w:val="en-US" w:eastAsia="zh-CN"/>
              </w:rPr>
            </w:pPr>
            <w:r>
              <w:rPr>
                <w:rFonts w:hint="eastAsia" w:asciiTheme="minorEastAsia" w:hAnsiTheme="minorEastAsia" w:eastAsiaTheme="minorEastAsia" w:cstheme="minorEastAsia"/>
                <w:b/>
                <w:bCs/>
                <w:color w:val="auto"/>
                <w:kern w:val="2"/>
                <w:sz w:val="24"/>
                <w:szCs w:val="24"/>
                <w:lang w:val="en-US" w:eastAsia="zh-CN"/>
              </w:rPr>
              <w:t>3.开户许可证复印件(加盖公司公章);</w:t>
            </w:r>
          </w:p>
          <w:p w14:paraId="4BB54981">
            <w:pPr>
              <w:pStyle w:val="23"/>
              <w:spacing w:before="0" w:beforeAutospacing="0" w:after="0" w:afterAutospacing="0" w:line="384" w:lineRule="atLeast"/>
              <w:jc w:val="both"/>
              <w:rPr>
                <w:rFonts w:hint="eastAsia" w:asciiTheme="minorEastAsia" w:hAnsiTheme="minorEastAsia" w:eastAsiaTheme="minorEastAsia" w:cstheme="minorEastAsia"/>
                <w:b/>
                <w:bCs/>
                <w:color w:val="auto"/>
                <w:kern w:val="2"/>
                <w:sz w:val="24"/>
                <w:szCs w:val="24"/>
                <w:lang w:val="en-US" w:eastAsia="zh-CN"/>
              </w:rPr>
            </w:pPr>
            <w:r>
              <w:rPr>
                <w:rFonts w:hint="eastAsia" w:asciiTheme="minorEastAsia" w:hAnsiTheme="minorEastAsia" w:eastAsiaTheme="minorEastAsia" w:cstheme="minorEastAsia"/>
                <w:b/>
                <w:bCs/>
                <w:color w:val="auto"/>
                <w:kern w:val="2"/>
                <w:sz w:val="24"/>
                <w:szCs w:val="24"/>
                <w:lang w:val="en-US" w:eastAsia="zh-CN"/>
              </w:rPr>
              <w:t>4.法人和经办人身份证复印件(加盖公司公章);</w:t>
            </w:r>
          </w:p>
          <w:p w14:paraId="1B79C9F9">
            <w:pPr>
              <w:pStyle w:val="23"/>
              <w:spacing w:before="0" w:beforeAutospacing="0" w:after="0" w:afterAutospacing="0" w:line="384" w:lineRule="atLeast"/>
              <w:jc w:val="both"/>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2、基本户转账</w:t>
            </w:r>
          </w:p>
          <w:p w14:paraId="7C4267F1">
            <w:pPr>
              <w:pStyle w:val="23"/>
              <w:spacing w:before="0" w:beforeAutospacing="0" w:after="0" w:afterAutospacing="0" w:line="384" w:lineRule="atLeast"/>
              <w:jc w:val="both"/>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kern w:val="2"/>
                <w:sz w:val="24"/>
                <w:szCs w:val="24"/>
              </w:rPr>
              <w:t>必须为</w:t>
            </w:r>
            <w:r>
              <w:rPr>
                <w:rFonts w:hint="eastAsia" w:asciiTheme="minorEastAsia" w:hAnsiTheme="minorEastAsia" w:eastAsiaTheme="minorEastAsia" w:cstheme="minorEastAsia"/>
                <w:color w:val="auto"/>
                <w:kern w:val="2"/>
                <w:sz w:val="24"/>
                <w:szCs w:val="24"/>
                <w:lang w:val="en-US" w:eastAsia="zh-CN"/>
              </w:rPr>
              <w:t>投标人</w:t>
            </w:r>
            <w:r>
              <w:rPr>
                <w:rFonts w:hint="eastAsia" w:asciiTheme="minorEastAsia" w:hAnsiTheme="minorEastAsia" w:eastAsiaTheme="minorEastAsia" w:cstheme="minorEastAsia"/>
                <w:color w:val="auto"/>
                <w:kern w:val="2"/>
                <w:sz w:val="24"/>
                <w:szCs w:val="24"/>
              </w:rPr>
              <w:t>基本账户以转账形式在</w:t>
            </w:r>
            <w:r>
              <w:rPr>
                <w:rFonts w:hint="eastAsia" w:asciiTheme="minorEastAsia" w:hAnsiTheme="minorEastAsia" w:eastAsiaTheme="minorEastAsia" w:cstheme="minorEastAsia"/>
                <w:color w:val="auto"/>
                <w:kern w:val="2"/>
                <w:sz w:val="24"/>
                <w:szCs w:val="24"/>
                <w:lang w:val="en-US" w:eastAsia="zh-CN"/>
              </w:rPr>
              <w:t>投标</w:t>
            </w:r>
            <w:r>
              <w:rPr>
                <w:rFonts w:hint="eastAsia" w:asciiTheme="minorEastAsia" w:hAnsiTheme="minorEastAsia" w:eastAsiaTheme="minorEastAsia" w:cstheme="minorEastAsia"/>
                <w:color w:val="auto"/>
                <w:kern w:val="2"/>
                <w:sz w:val="24"/>
                <w:szCs w:val="24"/>
              </w:rPr>
              <w:t>截止时间前到达上述账号（以资金到账时间为确认保证金缴纳完毕时间），未按规定时间前或按额汇到指定账户的将否决其投标。</w:t>
            </w:r>
            <w:r>
              <w:rPr>
                <w:rFonts w:hint="eastAsia" w:asciiTheme="minorEastAsia" w:hAnsiTheme="minorEastAsia" w:eastAsiaTheme="minorEastAsia" w:cstheme="minorEastAsia"/>
                <w:color w:val="auto"/>
                <w:kern w:val="2"/>
                <w:sz w:val="24"/>
                <w:szCs w:val="24"/>
                <w:lang w:val="en-US" w:eastAsia="zh-CN"/>
              </w:rPr>
              <w:t>投标</w:t>
            </w:r>
            <w:r>
              <w:rPr>
                <w:rFonts w:hint="eastAsia" w:asciiTheme="minorEastAsia" w:hAnsiTheme="minorEastAsia" w:eastAsiaTheme="minorEastAsia" w:cstheme="minorEastAsia"/>
                <w:color w:val="auto"/>
                <w:kern w:val="2"/>
                <w:sz w:val="24"/>
                <w:szCs w:val="24"/>
              </w:rPr>
              <w:t>保证金转账完成后，将“转账凭证”附在</w:t>
            </w:r>
            <w:r>
              <w:rPr>
                <w:rFonts w:hint="eastAsia" w:asciiTheme="minorEastAsia" w:hAnsiTheme="minorEastAsia" w:eastAsiaTheme="minorEastAsia" w:cstheme="minorEastAsia"/>
                <w:color w:val="auto"/>
                <w:kern w:val="2"/>
                <w:sz w:val="24"/>
                <w:szCs w:val="24"/>
                <w:lang w:val="en-US" w:eastAsia="zh-CN"/>
              </w:rPr>
              <w:t>投标</w:t>
            </w:r>
            <w:r>
              <w:rPr>
                <w:rFonts w:hint="eastAsia" w:asciiTheme="minorEastAsia" w:hAnsiTheme="minorEastAsia" w:eastAsiaTheme="minorEastAsia" w:cstheme="minorEastAsia"/>
                <w:color w:val="auto"/>
                <w:kern w:val="2"/>
                <w:sz w:val="24"/>
                <w:szCs w:val="24"/>
              </w:rPr>
              <w:t>文件中，作为保证金缴纳的凭证。</w:t>
            </w:r>
          </w:p>
        </w:tc>
      </w:tr>
      <w:tr w14:paraId="6736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11B2C466">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w:t>
            </w:r>
          </w:p>
        </w:tc>
        <w:tc>
          <w:tcPr>
            <w:tcW w:w="2024" w:type="dxa"/>
            <w:vAlign w:val="center"/>
          </w:tcPr>
          <w:p w14:paraId="3D2730A3">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备选磋商方案</w:t>
            </w:r>
          </w:p>
          <w:p w14:paraId="1B1D404A">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和报价</w:t>
            </w:r>
          </w:p>
        </w:tc>
        <w:tc>
          <w:tcPr>
            <w:tcW w:w="6449" w:type="dxa"/>
            <w:vAlign w:val="center"/>
          </w:tcPr>
          <w:p w14:paraId="140CB3F8">
            <w:pPr>
              <w:tabs>
                <w:tab w:val="left" w:pos="7013"/>
              </w:tabs>
              <w:spacing w:line="4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不接受备选磋商方案和多个报价。</w:t>
            </w:r>
          </w:p>
        </w:tc>
      </w:tr>
      <w:tr w14:paraId="27B57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6541011B">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w:t>
            </w:r>
          </w:p>
        </w:tc>
        <w:tc>
          <w:tcPr>
            <w:tcW w:w="2024" w:type="dxa"/>
            <w:vAlign w:val="center"/>
          </w:tcPr>
          <w:p w14:paraId="4CAE6224">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盖章签字</w:t>
            </w:r>
          </w:p>
        </w:tc>
        <w:tc>
          <w:tcPr>
            <w:tcW w:w="6449" w:type="dxa"/>
            <w:vAlign w:val="center"/>
          </w:tcPr>
          <w:p w14:paraId="62A004A6">
            <w:pPr>
              <w:tabs>
                <w:tab w:val="left" w:pos="7013"/>
              </w:tabs>
              <w:spacing w:line="46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必须按照竞争性磋商文件的规定和要求在竞争性磋商响应文件中指定的页面落款处加盖公章并由法定代表人或被授权人签字（或盖章），其余页面逐页加盖供应商公章，否则将作为无效磋商处理。竞争性磋商文件凡是要求法定代表人签字或盖章之处，非法人单位的负责人均参照执行。</w:t>
            </w:r>
          </w:p>
        </w:tc>
      </w:tr>
      <w:tr w14:paraId="640A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5B6E0457">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w:t>
            </w:r>
          </w:p>
        </w:tc>
        <w:tc>
          <w:tcPr>
            <w:tcW w:w="2024" w:type="dxa"/>
            <w:vAlign w:val="center"/>
          </w:tcPr>
          <w:p w14:paraId="12A53020">
            <w:pPr>
              <w:tabs>
                <w:tab w:val="left" w:pos="7013"/>
              </w:tabs>
              <w:spacing w:line="4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竞争性磋商响应文件提交</w:t>
            </w:r>
          </w:p>
        </w:tc>
        <w:tc>
          <w:tcPr>
            <w:tcW w:w="6449" w:type="dxa"/>
            <w:vAlign w:val="center"/>
          </w:tcPr>
          <w:p w14:paraId="7B258F9B">
            <w:pPr>
              <w:tabs>
                <w:tab w:val="left" w:pos="7013"/>
              </w:tabs>
              <w:spacing w:line="46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采用电子化投标，电子磋商响应文件可于提交磋商响应文件截止时间前任意时段登录全国公共资源交易平台（陕西省·宝鸡市）网站[电子交易平台-企业端]进行提交，逾期系统将拒绝接收。提交时，供应商应登录全国公共资源交易中心平台（陕西省·宝鸡市），选择[“首页&gt;电子交易平台&gt;企业端&gt;我的项目”，点击[项目流程]，在打开的[项目管理]对话框中选择[上传响应文件]，上传加密的电子磋商响应文件（*.SXSTF），上传成功后，电子化平台将予以记录。</w:t>
            </w:r>
          </w:p>
          <w:p w14:paraId="2233C46B">
            <w:pPr>
              <w:tabs>
                <w:tab w:val="left" w:pos="7013"/>
              </w:tabs>
              <w:spacing w:line="460" w:lineRule="exact"/>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注：由成交单位在领取成交通知书时须提供与最终上传至平台的电子版一致的纸质磋商响应文件正本一份、副本二份（</w:t>
            </w:r>
            <w:r>
              <w:rPr>
                <w:rFonts w:hint="eastAsia" w:asciiTheme="minorEastAsia" w:hAnsiTheme="minorEastAsia" w:eastAsiaTheme="minorEastAsia" w:cstheme="minorEastAsia"/>
                <w:b/>
                <w:bCs/>
                <w:color w:val="auto"/>
                <w:sz w:val="24"/>
                <w:szCs w:val="24"/>
                <w:lang w:eastAsia="zh-CN"/>
              </w:rPr>
              <w:t>双面打印，</w:t>
            </w:r>
            <w:r>
              <w:rPr>
                <w:rFonts w:hint="eastAsia" w:asciiTheme="minorEastAsia" w:hAnsiTheme="minorEastAsia" w:eastAsiaTheme="minorEastAsia" w:cstheme="minorEastAsia"/>
                <w:b/>
                <w:bCs/>
                <w:color w:val="auto"/>
                <w:sz w:val="24"/>
                <w:szCs w:val="24"/>
              </w:rPr>
              <w:t>按要求签字盖章）。</w:t>
            </w:r>
          </w:p>
        </w:tc>
      </w:tr>
      <w:tr w14:paraId="3ED3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9" w:type="dxa"/>
            <w:vAlign w:val="center"/>
          </w:tcPr>
          <w:p w14:paraId="300A89F9">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24</w:t>
            </w:r>
          </w:p>
        </w:tc>
        <w:tc>
          <w:tcPr>
            <w:tcW w:w="2024" w:type="dxa"/>
            <w:vAlign w:val="center"/>
          </w:tcPr>
          <w:p w14:paraId="16C2ABB0">
            <w:pPr>
              <w:tabs>
                <w:tab w:val="left" w:pos="7013"/>
              </w:tabs>
              <w:spacing w:line="4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电子磋商响应文件的制作和签署</w:t>
            </w:r>
          </w:p>
        </w:tc>
        <w:tc>
          <w:tcPr>
            <w:tcW w:w="6449" w:type="dxa"/>
            <w:vAlign w:val="center"/>
          </w:tcPr>
          <w:p w14:paraId="0D041092">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编制电子响应文件时，应使用最新发布的电子磋商文件及专用制作工具进行编制。并使用数字认证证书（CA）对电子响应文件进行签署、加密、递交及开标时解密及二次报价等相关操作。</w:t>
            </w:r>
          </w:p>
          <w:p w14:paraId="4ABAA3D3">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1、电子磋商文件下载</w:t>
            </w:r>
          </w:p>
          <w:p w14:paraId="3002D174">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登录全国公共资源交易平台（陕西省·宝鸡市）网站[电子交易平台-企业端]后，在[我的项目]中点击“项目流程-交易文件下载”下载电子磋商文件（*.SXSZF）；注意：该项目如有变更文件，则应点击“项目流程&gt;答疑文件下载”下载更新后的电子磋商文件（*.SXSCF），使用旧版电子磋商文件制作的电子响应文件，系统将拒绝接收。</w:t>
            </w:r>
          </w:p>
          <w:p w14:paraId="028E7607">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2、电子磋商文件需要使用专用软件打开、浏览</w:t>
            </w:r>
          </w:p>
          <w:p w14:paraId="24E28EF8">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登录全国公共资源交易平台（陕西省·宝鸡市）网站[服务指南-下载专区]免费下载《陕西省公共资源交易平台政府采购电子标书制作工具(V8.0.0.2)》，并升级至最新版本，使用该客户端可以打开电子磋商文件。软件操作手册详见全国公共资源交易平台（陕西省·宝鸡市）网站[服务指南-下载专区]中的《陕西省公共资源交易（政府采购类）响应文件制作软件操作手册》；</w:t>
            </w:r>
          </w:p>
          <w:p w14:paraId="5C007B8B">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3、制作电子响应文件</w:t>
            </w:r>
          </w:p>
          <w:p w14:paraId="6EFD6113">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电子响应文件同样需要使用上述软件进行编制。在编制过程中，如有技术性问题，请先翻阅操作手册或致电软件开发商，技术支持热线：4009280095、4009980000；</w:t>
            </w:r>
          </w:p>
          <w:p w14:paraId="2B57E3B4">
            <w:pPr>
              <w:tabs>
                <w:tab w:val="left" w:pos="7013"/>
              </w:tabs>
              <w:spacing w:line="4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注：如未按照上述要求进行响应文件制作和签署的均视其为无效响应文件。</w:t>
            </w:r>
          </w:p>
        </w:tc>
      </w:tr>
      <w:tr w14:paraId="2CAE8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9" w:type="dxa"/>
            <w:vAlign w:val="center"/>
          </w:tcPr>
          <w:p w14:paraId="515AE252">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w:t>
            </w:r>
          </w:p>
        </w:tc>
        <w:tc>
          <w:tcPr>
            <w:tcW w:w="2024" w:type="dxa"/>
            <w:vAlign w:val="center"/>
          </w:tcPr>
          <w:p w14:paraId="0ED974E8">
            <w:pPr>
              <w:tabs>
                <w:tab w:val="left" w:pos="7013"/>
              </w:tabs>
              <w:spacing w:line="4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无效文件说明</w:t>
            </w:r>
          </w:p>
        </w:tc>
        <w:tc>
          <w:tcPr>
            <w:tcW w:w="6449" w:type="dxa"/>
            <w:vAlign w:val="center"/>
          </w:tcPr>
          <w:p w14:paraId="4FBF3B87">
            <w:pPr>
              <w:autoSpaceDE w:val="0"/>
              <w:autoSpaceDN w:val="0"/>
              <w:adjustRightInd w:val="0"/>
              <w:snapToGri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在开标环节出现下列情况之一的，其响应文件视为无效文件：</w:t>
            </w:r>
          </w:p>
          <w:p w14:paraId="6543E877">
            <w:pPr>
              <w:autoSpaceDE w:val="0"/>
              <w:autoSpaceDN w:val="0"/>
              <w:adjustRightInd w:val="0"/>
              <w:snapToGri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1、供应商在规定时间内未对电子响应文件进行解密的；</w:t>
            </w:r>
          </w:p>
          <w:p w14:paraId="266F1BC6">
            <w:pPr>
              <w:autoSpaceDE w:val="0"/>
              <w:autoSpaceDN w:val="0"/>
              <w:adjustRightInd w:val="0"/>
              <w:snapToGri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2、上传的电子响应文件无法打开的；</w:t>
            </w:r>
          </w:p>
          <w:p w14:paraId="346A63B4">
            <w:pPr>
              <w:autoSpaceDE w:val="0"/>
              <w:autoSpaceDN w:val="0"/>
              <w:adjustRightInd w:val="0"/>
              <w:snapToGri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3、法律法规规定的其他无效情形。</w:t>
            </w:r>
          </w:p>
          <w:p w14:paraId="2A8703F3">
            <w:pPr>
              <w:autoSpaceDE w:val="0"/>
              <w:autoSpaceDN w:val="0"/>
              <w:adjustRightInd w:val="0"/>
              <w:snapToGri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4、供应商拒绝对电子响应文件进行解密的；</w:t>
            </w:r>
          </w:p>
          <w:p w14:paraId="28003C85">
            <w:pPr>
              <w:autoSpaceDE w:val="0"/>
              <w:autoSpaceDN w:val="0"/>
              <w:adjustRightInd w:val="0"/>
              <w:snapToGri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5、因供应商自身原因（如未带CA锁、或所带CA锁与制作电子投标文件使用的CA锁不一致、或沿用旧版磋商文件编制响应文件等情形），导致在规定时间内无法解密响应文件的；</w:t>
            </w:r>
          </w:p>
          <w:p w14:paraId="538AE995">
            <w:pPr>
              <w:autoSpaceDE w:val="0"/>
              <w:autoSpaceDN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特殊情形下的应急处置：</w:t>
            </w:r>
          </w:p>
          <w:p w14:paraId="6A1F44B5">
            <w:pPr>
              <w:tabs>
                <w:tab w:val="left" w:pos="7013"/>
              </w:tabs>
              <w:spacing w:line="4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在开标、评审过程中，如因宝鸡市公共资源交易中心停电、断网、电子化系统故障等特殊原因导致电子化开、评标无法正常进行时，将延后开展后续招标活动。</w:t>
            </w:r>
          </w:p>
        </w:tc>
      </w:tr>
      <w:tr w14:paraId="1BE0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9" w:type="dxa"/>
            <w:vAlign w:val="center"/>
          </w:tcPr>
          <w:p w14:paraId="0976F92D">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26</w:t>
            </w:r>
          </w:p>
        </w:tc>
        <w:tc>
          <w:tcPr>
            <w:tcW w:w="2024" w:type="dxa"/>
            <w:vAlign w:val="center"/>
          </w:tcPr>
          <w:p w14:paraId="7A1DDA02">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评标办法及标准</w:t>
            </w:r>
          </w:p>
        </w:tc>
        <w:tc>
          <w:tcPr>
            <w:tcW w:w="6449" w:type="dxa"/>
            <w:vAlign w:val="center"/>
          </w:tcPr>
          <w:p w14:paraId="40E25A20">
            <w:pPr>
              <w:pStyle w:val="64"/>
              <w:spacing w:line="360" w:lineRule="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详见竞争性磋商文件第二章。</w:t>
            </w:r>
          </w:p>
        </w:tc>
      </w:tr>
      <w:tr w14:paraId="3A27A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9" w:type="dxa"/>
            <w:vAlign w:val="center"/>
          </w:tcPr>
          <w:p w14:paraId="5EE23752">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27</w:t>
            </w:r>
          </w:p>
        </w:tc>
        <w:tc>
          <w:tcPr>
            <w:tcW w:w="2024" w:type="dxa"/>
            <w:vAlign w:val="center"/>
          </w:tcPr>
          <w:p w14:paraId="78CC6222">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付款方式</w:t>
            </w:r>
          </w:p>
        </w:tc>
        <w:tc>
          <w:tcPr>
            <w:tcW w:w="6449" w:type="dxa"/>
            <w:vAlign w:val="center"/>
          </w:tcPr>
          <w:p w14:paraId="11F7B79F">
            <w:pPr>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提交成果资料并</w:t>
            </w:r>
            <w:r>
              <w:rPr>
                <w:rFonts w:hint="eastAsia" w:asciiTheme="minorEastAsia" w:hAnsiTheme="minorEastAsia" w:eastAsiaTheme="minorEastAsia" w:cstheme="minorEastAsia"/>
                <w:color w:val="auto"/>
                <w:sz w:val="24"/>
                <w:szCs w:val="24"/>
                <w:highlight w:val="none"/>
              </w:rPr>
              <w:t>通过专家评审</w:t>
            </w:r>
            <w:r>
              <w:rPr>
                <w:rFonts w:hint="eastAsia" w:asciiTheme="minorEastAsia" w:hAnsiTheme="minorEastAsia" w:eastAsiaTheme="minorEastAsia" w:cstheme="minorEastAsia"/>
                <w:color w:val="auto"/>
                <w:sz w:val="24"/>
                <w:szCs w:val="24"/>
                <w:highlight w:val="none"/>
                <w:lang w:eastAsia="zh-CN"/>
              </w:rPr>
              <w:t>后一次性付清。</w:t>
            </w:r>
          </w:p>
        </w:tc>
      </w:tr>
      <w:tr w14:paraId="0AED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99" w:type="dxa"/>
            <w:vAlign w:val="center"/>
          </w:tcPr>
          <w:p w14:paraId="1D1DD8EF">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28</w:t>
            </w:r>
          </w:p>
        </w:tc>
        <w:tc>
          <w:tcPr>
            <w:tcW w:w="2024" w:type="dxa"/>
            <w:vAlign w:val="center"/>
          </w:tcPr>
          <w:p w14:paraId="136FC2D7">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其它事项</w:t>
            </w:r>
          </w:p>
        </w:tc>
        <w:tc>
          <w:tcPr>
            <w:tcW w:w="6449" w:type="dxa"/>
            <w:vAlign w:val="center"/>
          </w:tcPr>
          <w:p w14:paraId="3B1A0562">
            <w:pPr>
              <w:pStyle w:val="64"/>
              <w:spacing w:line="460" w:lineRule="exact"/>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本次采购、磋商报价、评审和合同授予均以项目为单位，供应商必须就一个完整项目进行响应。成交供应商与采购人在成交通知书发出25天内签订合同，不及时签订视为自动放弃。非经采购人同意，本项目不允许成交后另行转包或者分包。成交人无正当理由不得放弃中标。</w:t>
            </w:r>
            <w:r>
              <w:rPr>
                <w:rFonts w:hint="eastAsia" w:asciiTheme="minorEastAsia" w:hAnsiTheme="minorEastAsia" w:eastAsiaTheme="minorEastAsia" w:cstheme="minorEastAsia"/>
                <w:color w:val="auto"/>
                <w:sz w:val="24"/>
                <w:szCs w:val="24"/>
              </w:rPr>
              <w:t>因自身原因拒绝签订政府采购合同的或者未按合同约定进行履约的，成交人不得参加对该项目重新开展的采购活动。</w:t>
            </w:r>
          </w:p>
        </w:tc>
      </w:tr>
      <w:tr w14:paraId="0729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99" w:type="dxa"/>
            <w:vAlign w:val="center"/>
          </w:tcPr>
          <w:p w14:paraId="73A5A1DC">
            <w:pPr>
              <w:rPr>
                <w:rFonts w:hint="eastAsia" w:asciiTheme="minorEastAsia" w:hAnsiTheme="minorEastAsia" w:eastAsiaTheme="minorEastAsia" w:cstheme="minorEastAsia"/>
                <w:color w:val="auto"/>
                <w:sz w:val="24"/>
                <w:szCs w:val="24"/>
              </w:rPr>
            </w:pPr>
            <w:bookmarkStart w:id="2" w:name="_Toc7453872"/>
            <w:r>
              <w:rPr>
                <w:rFonts w:hint="eastAsia" w:asciiTheme="minorEastAsia" w:hAnsiTheme="minorEastAsia" w:eastAsiaTheme="minorEastAsia" w:cstheme="minorEastAsia"/>
                <w:color w:val="auto"/>
                <w:sz w:val="24"/>
                <w:szCs w:val="24"/>
              </w:rPr>
              <w:t>29</w:t>
            </w:r>
          </w:p>
        </w:tc>
        <w:tc>
          <w:tcPr>
            <w:tcW w:w="2024" w:type="dxa"/>
            <w:vAlign w:val="center"/>
          </w:tcPr>
          <w:p w14:paraId="4956CBF7">
            <w:pPr>
              <w:tabs>
                <w:tab w:val="left" w:pos="7013"/>
              </w:tabs>
              <w:spacing w:line="4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本项目采购标的对应的中小企业划分标准所属行业</w:t>
            </w:r>
          </w:p>
        </w:tc>
        <w:tc>
          <w:tcPr>
            <w:tcW w:w="6449" w:type="dxa"/>
            <w:vAlign w:val="center"/>
          </w:tcPr>
          <w:p w14:paraId="30B11728">
            <w:pPr>
              <w:widowControl/>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其他未列明行业</w:t>
            </w:r>
          </w:p>
        </w:tc>
      </w:tr>
    </w:tbl>
    <w:p w14:paraId="4441900C">
      <w:pPr>
        <w:pStyle w:val="3"/>
        <w:spacing w:before="0" w:after="0" w:line="4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二、项目说明</w:t>
      </w:r>
      <w:bookmarkEnd w:id="2"/>
    </w:p>
    <w:p w14:paraId="681EE14B">
      <w:pPr>
        <w:spacing w:line="480" w:lineRule="exact"/>
        <w:ind w:firstLine="470" w:firstLineChars="19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1、本项目说明详见供应商须知前附表。</w:t>
      </w:r>
    </w:p>
    <w:p w14:paraId="3733DF07">
      <w:pPr>
        <w:spacing w:line="480" w:lineRule="exact"/>
        <w:ind w:firstLine="470" w:firstLineChars="19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2、本项目按照《中华人民共和国政府采购法》等有关法律、行政法规和部门规章，通过竞争性磋商方式择优选定成交供应商。</w:t>
      </w:r>
    </w:p>
    <w:p w14:paraId="5C5DAFB5">
      <w:pPr>
        <w:pStyle w:val="3"/>
        <w:spacing w:before="0" w:after="0" w:line="480" w:lineRule="exact"/>
        <w:rPr>
          <w:rFonts w:hint="eastAsia" w:asciiTheme="minorEastAsia" w:hAnsiTheme="minorEastAsia" w:eastAsiaTheme="minorEastAsia" w:cstheme="minorEastAsia"/>
          <w:color w:val="auto"/>
          <w:kern w:val="0"/>
          <w:sz w:val="24"/>
          <w:szCs w:val="24"/>
        </w:rPr>
      </w:pPr>
      <w:bookmarkStart w:id="3" w:name="_Toc458848819"/>
      <w:bookmarkStart w:id="4" w:name="_Toc7453873"/>
      <w:bookmarkStart w:id="5" w:name="_Toc458848967"/>
      <w:bookmarkStart w:id="6" w:name="_Toc458848734"/>
      <w:r>
        <w:rPr>
          <w:rFonts w:hint="eastAsia" w:asciiTheme="minorEastAsia" w:hAnsiTheme="minorEastAsia" w:eastAsiaTheme="minorEastAsia" w:cstheme="minorEastAsia"/>
          <w:color w:val="auto"/>
          <w:kern w:val="0"/>
          <w:sz w:val="24"/>
          <w:szCs w:val="24"/>
        </w:rPr>
        <w:t>三、竞争性磋商文件</w:t>
      </w:r>
      <w:bookmarkEnd w:id="3"/>
      <w:bookmarkEnd w:id="4"/>
      <w:bookmarkEnd w:id="5"/>
      <w:bookmarkEnd w:id="6"/>
    </w:p>
    <w:p w14:paraId="362158DB">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1、竞争性磋商文件适用：仅适用于本次竞争性磋商文件所述项目。</w:t>
      </w:r>
    </w:p>
    <w:p w14:paraId="169B8B46">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2、竞争性磋商文件</w:t>
      </w:r>
      <w:r>
        <w:rPr>
          <w:rFonts w:hint="eastAsia" w:asciiTheme="minorEastAsia" w:hAnsiTheme="minorEastAsia" w:eastAsiaTheme="minorEastAsia" w:cstheme="minorEastAsia"/>
          <w:color w:val="auto"/>
          <w:sz w:val="24"/>
          <w:szCs w:val="24"/>
          <w:lang w:eastAsia="zh-CN"/>
        </w:rPr>
        <w:t>获取</w:t>
      </w:r>
      <w:r>
        <w:rPr>
          <w:rFonts w:hint="eastAsia" w:asciiTheme="minorEastAsia" w:hAnsiTheme="minorEastAsia" w:eastAsiaTheme="minorEastAsia" w:cstheme="minorEastAsia"/>
          <w:color w:val="auto"/>
          <w:sz w:val="24"/>
          <w:szCs w:val="24"/>
        </w:rPr>
        <w:t>：供应商须从采购代理机构处获取竞争性磋商文件，供应商自行转让或复制的竞争性磋商文件视为无效竞争性磋商文件。供应商名称与登记获取竞争性磋商文件的单位名称不一致的，将作为无效响应处理。</w:t>
      </w:r>
    </w:p>
    <w:p w14:paraId="0A081B0F">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3、竞争性磋商文件组成：包括竞争性磋商文件目录前六章。</w:t>
      </w:r>
    </w:p>
    <w:p w14:paraId="0F56B5D7">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4、供应商应详细阅读和充分理解竞争性磋商文件所有的事项、格式、条款和规范要求等，在竞争性磋商响应文件中对竞争性磋商文件的各方面都做出实质性的响应，否则将导致响应无效。</w:t>
      </w:r>
    </w:p>
    <w:p w14:paraId="602EB47D">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5、竞争性磋商文件的澄清或修改：</w:t>
      </w:r>
    </w:p>
    <w:p w14:paraId="05A8C4D8">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-1、提交磋商响应文件截止时间前，采购人、采购代理机构可以以书面形式对竞争性磋商文件进行必要的澄清或修改，但不得改变采购标的和资格条件。澄清或修改的内容均为竞争性磋商文件的组成部分，并对采购人及供应商起约束作用。澄清或修改的内容可能影响响应文件编制的，都将于提交磋商响应文件截止时间5日前以书面形式发送给所有参加磋商的供应商；不足5日的，采购人、采购代理机构顺延递交竞争性磋商响应文件的截止时间。</w:t>
      </w:r>
    </w:p>
    <w:p w14:paraId="795EEE7F">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-2、竞争性磋商文件的澄清或修改内容均以书面形式明确的内容为准。当竞争性磋商文件的澄清、修改、补充等在同一内容的表述上不一致时，以最后发出的书面文件为准。所有补充文件将作为竞争性磋商文件的组成部分，对所有供应商具有约束力。</w:t>
      </w:r>
    </w:p>
    <w:p w14:paraId="5FD5D1A3">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供应商若对磋商文件有任何疑问，可以以书面形式（纸质版加盖公章，下同）向采购代理机构提出询问。否则，视为同意磋商文件的一切条款和要求并承担由此引起的一切法律责任。凡因供应商对磋商文件阅读不深、理解不透、误解、疏漏、或因市场行情了解不清造成的后果和风险均由供应商自负。</w:t>
      </w:r>
    </w:p>
    <w:p w14:paraId="00EB0A65">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7、供应商认为竞争性磋商文件使自己的权益受到损害的，在收到竞争性磋商文件之日起七个工作日内，以书面形式向采购代理机构提出质疑，逾期提出的无效，因此带来的一切不利后果由供应商自负。</w:t>
      </w:r>
    </w:p>
    <w:p w14:paraId="75B6B642">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在磋商截止时间前，根据采购工作进展实际情况，采购人可酌情延长递交竞争性磋商响应文件的截止时间，若延长将另行以书面形式通知各供应商。采购代理机构和供应商的权利和义务将受到新的截止期的约束。</w:t>
      </w:r>
    </w:p>
    <w:p w14:paraId="1C9CE121">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9、竞争性磋商文件的解释权归采购代理机构，如发现竞争性磋商文件内容与现行法律法规不相符的情况，以现行法律法规为准。</w:t>
      </w:r>
    </w:p>
    <w:p w14:paraId="0B78500E">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10、现场勘查、标前答疑会：见须知前附表。</w:t>
      </w:r>
    </w:p>
    <w:p w14:paraId="55878645">
      <w:pPr>
        <w:pStyle w:val="3"/>
        <w:spacing w:before="0" w:after="0" w:line="480" w:lineRule="exact"/>
        <w:rPr>
          <w:rFonts w:hint="eastAsia" w:asciiTheme="minorEastAsia" w:hAnsiTheme="minorEastAsia" w:eastAsiaTheme="minorEastAsia" w:cstheme="minorEastAsia"/>
          <w:color w:val="auto"/>
          <w:kern w:val="0"/>
          <w:sz w:val="24"/>
          <w:szCs w:val="24"/>
        </w:rPr>
      </w:pPr>
      <w:bookmarkStart w:id="7" w:name="_Toc458848968"/>
      <w:bookmarkStart w:id="8" w:name="_Toc7453874"/>
      <w:bookmarkStart w:id="9" w:name="_Toc458848735"/>
      <w:bookmarkStart w:id="10" w:name="_Toc458848820"/>
      <w:r>
        <w:rPr>
          <w:rFonts w:hint="eastAsia" w:asciiTheme="minorEastAsia" w:hAnsiTheme="minorEastAsia" w:eastAsiaTheme="minorEastAsia" w:cstheme="minorEastAsia"/>
          <w:color w:val="auto"/>
          <w:kern w:val="0"/>
          <w:sz w:val="24"/>
          <w:szCs w:val="24"/>
        </w:rPr>
        <w:t>四、竞争性磋商响应文件</w:t>
      </w:r>
      <w:bookmarkEnd w:id="7"/>
      <w:bookmarkEnd w:id="8"/>
      <w:bookmarkEnd w:id="9"/>
      <w:bookmarkEnd w:id="10"/>
    </w:p>
    <w:p w14:paraId="046D1153">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1、供应商资格要求</w:t>
      </w:r>
    </w:p>
    <w:p w14:paraId="597F843C">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1</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w:t>
      </w:r>
      <w:r>
        <w:rPr>
          <w:rFonts w:hint="eastAsia" w:asciiTheme="minorEastAsia" w:hAnsiTheme="minorEastAsia" w:eastAsiaTheme="minorEastAsia" w:cstheme="minorEastAsia"/>
          <w:i w:val="0"/>
          <w:iCs w:val="0"/>
          <w:caps w:val="0"/>
          <w:color w:val="auto"/>
          <w:spacing w:val="0"/>
          <w:sz w:val="24"/>
          <w:szCs w:val="24"/>
          <w:shd w:val="clear" w:fill="FFFFFF"/>
        </w:rPr>
        <w:t>.满足《中华人民共和国政府采购法》第二十二条规定;</w:t>
      </w:r>
    </w:p>
    <w:p w14:paraId="7F7FF547">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w:t>
      </w:r>
      <w:r>
        <w:rPr>
          <w:rFonts w:hint="eastAsia" w:asciiTheme="minorEastAsia" w:hAnsiTheme="minorEastAsia" w:eastAsiaTheme="minorEastAsia" w:cstheme="minorEastAsia"/>
          <w:i w:val="0"/>
          <w:iCs w:val="0"/>
          <w:caps w:val="0"/>
          <w:color w:val="auto"/>
          <w:spacing w:val="0"/>
          <w:sz w:val="24"/>
          <w:szCs w:val="24"/>
          <w:shd w:val="clear" w:fill="FFFFFF"/>
        </w:rPr>
        <w:t>2.落实政府采购政策需满足的资格要求： 无。</w:t>
      </w:r>
    </w:p>
    <w:p w14:paraId="000CBBF7">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w:t>
      </w:r>
      <w:r>
        <w:rPr>
          <w:rFonts w:hint="eastAsia" w:asciiTheme="minorEastAsia" w:hAnsiTheme="minorEastAsia" w:eastAsiaTheme="minorEastAsia" w:cstheme="minorEastAsia"/>
          <w:i w:val="0"/>
          <w:iCs w:val="0"/>
          <w:caps w:val="0"/>
          <w:color w:val="auto"/>
          <w:spacing w:val="0"/>
          <w:sz w:val="24"/>
          <w:szCs w:val="24"/>
          <w:shd w:val="clear" w:fill="FFFFFF"/>
        </w:rPr>
        <w:t>3.本项目的特定资格要求：</w:t>
      </w:r>
    </w:p>
    <w:p w14:paraId="772D9616">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合同包1(蟠龙高新区扩区调区编制产业规划、用地情况报告、总体发展规划环境影响评价报告第1包)特定资格要求如下:</w:t>
      </w:r>
    </w:p>
    <w:p w14:paraId="2B917573">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（1）供应商须是具有独立承担民事责任能力的法人、其他组织或自然人，并出具合法有效的营业执照或事业单位法人证书等国家规定的相关证明，自然人参与的提供其身份证明；</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（2）供应商须提供2024年度财务审计报告（成立时间至提交投标文件截止时间不足一年的可提供成立后任意时段的资产负债表）或基本存款账户开户银行出具的资信证明（附开户许可证或开户备案证明）；</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（3）供应商须提供2024年8月至今已缴存的至少一个月的社会保险参保缴费情况证明。</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（4）供应商须提供2024年8月至今缴纳的至少一个月的纳税证明或完税证明，依法免税的单位应提供相关证明材料；</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5）供应商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信用承诺书）；             </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（6）单位负责人为同一人或者存在直接控股、管理关系的不同投标人，不得参加同一合同项下的政府采购活动；（提供承诺书)</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（7）企业开具的近三年在政府采购经营活动中无重大违法记录声明；（成立时间不足三年的供应商提供自成立之日起至开标截止之日止的无重大违法记录声明）； </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8）供应商应授权合法的人员参加磋商全过程，其中法定代表人直接参加磋商的，须出具法定代表人资格证明书及身份证，并与营业执照上信息一致，法定代表人授权代表参加磋商的，须出具法定代表人资格证明书、授权书及被授权代表身份证；</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（9）提供具有履行合同所必需的设备和专业技术能力的承诺书；</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（10）供应商须提供合格有效的城乡规划编制资质乙级及以上证书。</w:t>
      </w:r>
    </w:p>
    <w:p w14:paraId="4BABD48F">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合同包2(蟠龙高新区扩区调区编制产业规划、用地情况报告、总体发展规划环境影响评价报告第2包)特定资格要求如下:</w:t>
      </w:r>
    </w:p>
    <w:p w14:paraId="005533D7">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（1）供应商须是具有独立承担民事责任能力的法人、其他组织或自然人，并出具合法有效的营业执照或事业单位法人证书等国家规定的相关证明，自然人参与的提供其身份证明；</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（2）供应商须提供2024年度财务审计报告（成立时间至提交投标文件截止时间不足一年的可提供成立后任意时段的资产负债表）或基本存款账户开户银行出具的资信证明（附开户许可证或开户备案证明）；</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（3）供应商须提供2024年8月至今已缴存的至少一个月的社会保险参保缴费情况证明。</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（4）供应商须提供2024年8月至今缴纳的至少一个月的纳税证明或完税证明，依法免税的单位应提供相关证明材料；</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5）供应商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信用承诺书）；             </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（6）单位负责人为同一人或者存在直接控股、管理关系的不同投标人，不得参加同一合同项下的政府采购活动；（提供承诺书)</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（7）企业开具的近三年在政府采购经营活动中无重大违法记录声明；（成立时间不足三年的供应商提供自成立之日起至开标截止之日止的无重大违法记录声明）； </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8）供应商应授权合法的人员参加磋商全过程，其中法定代表人直接参加磋商的，须出具法定代表人资格证明书及身份证，并与营业执照上信息一致，法定代表人授权代表参加磋商的，须出具法定代表人资格证明书、授权书及被授权代表身份证；</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（9）提供具有履行合同所必需的设备和专业技术能力的承诺书；</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（10）供应商须提供合格有效的城乡规划编制资质乙级及以上证书或土地规划乙级及以上证书。</w:t>
      </w:r>
    </w:p>
    <w:p w14:paraId="782495BD">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合同包3(蟠龙高新区扩区调区编制产业规划、用地情况报告、总体发展规划环境影响评价报告第3包)特定资格要求如下:</w:t>
      </w:r>
    </w:p>
    <w:p w14:paraId="16CF8EB2">
      <w:pPr>
        <w:pStyle w:val="2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供应商须是具有独立承担民事责任能力的法人、其他组织或自然人，并出具合法有效的营业执照或事业单位法人证书等国家规定的相关证明，自然人参与的提供其身份证明；</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（2）供应商须提供2024年度财务审计报告（成立时间至提交投标文件截止时间不足一年的可提供成立后任意时段的资产负债表）或基本存款账户开户银行出具的资信证明（附开户许可证或开户备案证明）；</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（3）供应商须提供2024年8月至今已缴存的至少一个月的社会保险参保缴费情况证明。</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（4）供应商须提供2024年8月至今缴纳的至少一个月的纳税证明或完税证明，依法免税的单位应提供相关证明材料；</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5）供应商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信用承诺书）；             </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（6）单位负责人为同一人或者存在直接控股、管理关系的不同投标人，不得参加同一合同项下的政府采购活动；（提供承诺书)</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（7）企业开具的近三年在政府采购经营活动中无重大违法记录声明；（成立时间不足三年的供应商提供自成立之日起至开标截止之日止的无重大违法记录声明）； </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8）供应商应授权合法的人员参加磋商全过程，其中法定代表人直接参加磋商的，须出具法定代表人资格证明书及身份证，并与营业执照上信息一致，法定代表人授权代表参加磋商的，须出具法定代表人资格证明书、授权书及被授权代表身份证；</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（9）提供具有履行合同所必需的设备和专业技术能力的承诺书；</w:t>
      </w:r>
    </w:p>
    <w:p w14:paraId="1E42CEDD">
      <w:pPr>
        <w:pStyle w:val="2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（10）供应商须在环境影响评价信用平台注册（以网站截图为准）且拟派项目负责人须具备环境影响评价工程师资格证；</w:t>
      </w:r>
    </w:p>
    <w:p w14:paraId="5D0A93BA">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2、合格供应商</w:t>
      </w:r>
    </w:p>
    <w:p w14:paraId="557A84F7">
      <w:pPr>
        <w:spacing w:line="365"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依照《中华人民共和国公司法》合法注册的法人或其他组织、符合《中华人民共和国政府采购法》</w:t>
      </w:r>
      <w:bookmarkStart w:id="11" w:name="OLE_LINK8"/>
      <w:r>
        <w:rPr>
          <w:rFonts w:hint="eastAsia" w:asciiTheme="minorEastAsia" w:hAnsiTheme="minorEastAsia" w:eastAsiaTheme="minorEastAsia" w:cstheme="minorEastAsia"/>
          <w:color w:val="auto"/>
          <w:sz w:val="24"/>
          <w:szCs w:val="24"/>
        </w:rPr>
        <w:t>及其实施条例等有关法律法规的规定</w:t>
      </w:r>
      <w:bookmarkEnd w:id="11"/>
      <w:r>
        <w:rPr>
          <w:rFonts w:hint="eastAsia" w:asciiTheme="minorEastAsia" w:hAnsiTheme="minorEastAsia" w:eastAsiaTheme="minorEastAsia" w:cstheme="minorEastAsia"/>
          <w:color w:val="auto"/>
          <w:sz w:val="24"/>
          <w:szCs w:val="24"/>
        </w:rPr>
        <w:t>并满足本项目资格条件。不符合上述规定的供应商，磋商响应无效。</w:t>
      </w:r>
    </w:p>
    <w:p w14:paraId="3284DA17">
      <w:pPr>
        <w:spacing w:line="365"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3、供应商信用信息：</w:t>
      </w:r>
    </w:p>
    <w:p w14:paraId="6643A1D1">
      <w:pPr>
        <w:spacing w:line="365"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3-1、“信用中国”网站（www.creditchina.gov.cn）、中国政府采购网（www.ccgp.gov.cn）相关主体信用记录，供应商应提供信用承诺函，并对其承诺函的真实性负责。</w:t>
      </w:r>
    </w:p>
    <w:p w14:paraId="7876D22B">
      <w:pPr>
        <w:spacing w:line="365"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3-2、特别说明：投标人如在</w:t>
      </w:r>
      <w:r>
        <w:rPr>
          <w:rFonts w:hint="eastAsia" w:asciiTheme="minorEastAsia" w:hAnsiTheme="minorEastAsia" w:eastAsiaTheme="minorEastAsia" w:cstheme="minorEastAsia"/>
          <w:color w:val="auto"/>
          <w:sz w:val="24"/>
          <w:szCs w:val="24"/>
          <w:lang w:eastAsia="zh-CN"/>
        </w:rPr>
        <w:t>成交</w:t>
      </w:r>
      <w:r>
        <w:rPr>
          <w:rFonts w:hint="eastAsia" w:asciiTheme="minorEastAsia" w:hAnsiTheme="minorEastAsia" w:eastAsiaTheme="minorEastAsia" w:cstheme="minorEastAsia"/>
          <w:color w:val="auto"/>
          <w:sz w:val="24"/>
          <w:szCs w:val="24"/>
        </w:rPr>
        <w:t>通知书发出前出现违法失信行为，采购人仍有权利提请</w:t>
      </w:r>
      <w:r>
        <w:rPr>
          <w:rFonts w:hint="eastAsia" w:asciiTheme="minorEastAsia" w:hAnsiTheme="minorEastAsia" w:eastAsiaTheme="minorEastAsia" w:cstheme="minorEastAsia"/>
          <w:color w:val="auto"/>
          <w:sz w:val="24"/>
          <w:szCs w:val="24"/>
          <w:lang w:eastAsia="zh-CN"/>
        </w:rPr>
        <w:t>磋商小组</w:t>
      </w:r>
      <w:r>
        <w:rPr>
          <w:rFonts w:hint="eastAsia" w:asciiTheme="minorEastAsia" w:hAnsiTheme="minorEastAsia" w:eastAsiaTheme="minorEastAsia" w:cstheme="minorEastAsia"/>
          <w:color w:val="auto"/>
          <w:sz w:val="24"/>
          <w:szCs w:val="24"/>
        </w:rPr>
        <w:t>取消其中标资格；</w:t>
      </w:r>
    </w:p>
    <w:p w14:paraId="6A599471">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4、竞争性磋商响应文件的组成： </w:t>
      </w:r>
    </w:p>
    <w:p w14:paraId="70607E3A">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4-1响应文件格式</w:t>
      </w:r>
    </w:p>
    <w:p w14:paraId="4A91C312">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4-2资质证明文件</w:t>
      </w:r>
    </w:p>
    <w:p w14:paraId="65BF339C">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4-3符合性证明文件</w:t>
      </w:r>
    </w:p>
    <w:p w14:paraId="247E33BD">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4-4响应方案</w:t>
      </w:r>
    </w:p>
    <w:p w14:paraId="7A99AE9B">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5、竞争性磋商响应文件编写说明</w:t>
      </w:r>
    </w:p>
    <w:p w14:paraId="305CCF7B">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5-1、竞争性磋商响应文件应当按照竞争性磋商文件给定的格式编制，格式之外的可自行编写。否则，将作为无效响应处理。</w:t>
      </w:r>
    </w:p>
    <w:p w14:paraId="7672D559">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5-2、供应商必须按照竞争性磋商文件的规定和要求由法定代表人或被授权人签字（或盖章），并逐页加盖供应商公章，如有遗漏，将作为无效磋商响应处理。</w:t>
      </w:r>
    </w:p>
    <w:p w14:paraId="73727161">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5-3、竞争性磋商响应文件因内容表达不清、印章或证明材料内容模糊难辨等导致的不利后果由供应商自行承担。</w:t>
      </w:r>
    </w:p>
    <w:p w14:paraId="5943CC85">
      <w:pPr>
        <w:spacing w:line="48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6、磋商响应文件的制作和签署</w:t>
      </w:r>
    </w:p>
    <w:p w14:paraId="44A11AAA">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登录全国公共资源交易平台（陕西省·宝鸡市）网站[服务指南-下载专区]免费下载《政府采购电子标书制作工具》。编制电子响应文件时，应使用最新发布的电子磋商文件及专用制作工具进行编制。并使用数字认证证书（CA锁）对响应文件进行签署、加密、递交、开标时解密以及二次报价等相关操作。电子磋商响应文件在编制过程中，如有技术性问题，请先翻阅操作手册或致电软件开发商，技术支持热线：4009980000。</w:t>
      </w:r>
    </w:p>
    <w:p w14:paraId="540B411C">
      <w:pPr>
        <w:spacing w:line="480" w:lineRule="exact"/>
        <w:ind w:firstLine="482" w:firstLineChars="200"/>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注：该项目如有变更文件，则应点击“项目流程答疑文件下载”下载更新后的电子磋商文件（*.SXSCF），使用旧版电子磋商文件制作的电子响应文件，系统将拒绝接收。</w:t>
      </w:r>
    </w:p>
    <w:p w14:paraId="4F384619">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7、竞争性磋商响应文件的计量单位</w:t>
      </w:r>
    </w:p>
    <w:p w14:paraId="676CD48A">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竞争性磋商响应文件中所使用的计量单位，除有特殊要求外，均采用国家法定计量单位。</w:t>
      </w:r>
    </w:p>
    <w:p w14:paraId="6CB583FB">
      <w:pPr>
        <w:spacing w:line="480" w:lineRule="exact"/>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8、磋商报价</w:t>
      </w:r>
    </w:p>
    <w:p w14:paraId="0DEC9B87">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8-1、磋商货币：人民币    单位：元（保留小数点后两位）。</w:t>
      </w:r>
    </w:p>
    <w:p w14:paraId="109A1256">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8-2、供应商要按报价表内容填写服务内容名称、单价、总价等内容，并由法定代表人或被授权人签署。</w:t>
      </w:r>
    </w:p>
    <w:p w14:paraId="2BCE7483">
      <w:pPr>
        <w:spacing w:line="360" w:lineRule="auto"/>
        <w:ind w:firstLine="480" w:firstLineChars="200"/>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color w:val="auto"/>
          <w:sz w:val="24"/>
          <w:szCs w:val="24"/>
        </w:rPr>
        <w:t>8-3、</w:t>
      </w:r>
      <w:r>
        <w:rPr>
          <w:rFonts w:hint="eastAsia" w:asciiTheme="minorEastAsia" w:hAnsiTheme="minorEastAsia" w:eastAsiaTheme="minorEastAsia" w:cstheme="minorEastAsia"/>
          <w:b/>
          <w:bCs/>
          <w:color w:val="auto"/>
          <w:sz w:val="24"/>
          <w:szCs w:val="24"/>
        </w:rPr>
        <w:t>磋商报价应是竞争性磋商响应文件所确定的磋商范围内的全部工作内容的价格体现，包括本项目所涉及的服务费、人工费、设备费、管理费、税费、规费、保险费</w:t>
      </w:r>
      <w:r>
        <w:rPr>
          <w:rFonts w:hint="eastAsia" w:asciiTheme="minorEastAsia" w:hAnsiTheme="minorEastAsia" w:eastAsiaTheme="minorEastAsia" w:cstheme="minorEastAsia"/>
          <w:b/>
          <w:bCs/>
          <w:color w:val="auto"/>
          <w:sz w:val="24"/>
          <w:szCs w:val="24"/>
          <w:lang w:eastAsia="zh-CN"/>
        </w:rPr>
        <w:t>等</w:t>
      </w:r>
      <w:r>
        <w:rPr>
          <w:rFonts w:hint="eastAsia" w:asciiTheme="minorEastAsia" w:hAnsiTheme="minorEastAsia" w:eastAsiaTheme="minorEastAsia" w:cstheme="minorEastAsia"/>
          <w:b/>
          <w:bCs/>
          <w:color w:val="auto"/>
          <w:sz w:val="24"/>
          <w:szCs w:val="24"/>
        </w:rPr>
        <w:t>所有与完成本项目相关服务及履行合同义务有关的一切费用，任何有选择的报价将不予接受，按无效磋商处理。</w:t>
      </w:r>
    </w:p>
    <w:p w14:paraId="5EC3C407">
      <w:pPr>
        <w:spacing w:line="480" w:lineRule="exact"/>
        <w:ind w:firstLine="482"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szCs w:val="24"/>
        </w:rPr>
        <w:t>注：磋商报价（首轮）超过采购预算的，响应无效，按废标处理;二轮报价超过首轮报价的，响应无效，按废标处理。</w:t>
      </w:r>
    </w:p>
    <w:p w14:paraId="3EE77BFB">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8-4、供应商所报的磋商价在合同执行过程中是固定不变的，不得以任何理由予以变更。任何包含价格调整要求的磋商，将被认为是非响应性磋商而予以拒绝。</w:t>
      </w:r>
    </w:p>
    <w:p w14:paraId="3909BCA6">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8-5、凡磋商文件要求或允许磋商中进行报价的各项费用项目，若磋商报价时未报，采购人将按这些费用已包含在磋商报价中对待。</w:t>
      </w:r>
    </w:p>
    <w:p w14:paraId="220CB5D2">
      <w:pPr>
        <w:spacing w:line="480" w:lineRule="exact"/>
        <w:rPr>
          <w:rFonts w:hint="eastAsia" w:asciiTheme="minorEastAsia" w:hAnsiTheme="minorEastAsia" w:eastAsiaTheme="minorEastAsia" w:cstheme="minorEastAsia"/>
          <w:b/>
          <w:bCs/>
          <w:color w:val="auto"/>
          <w:sz w:val="24"/>
          <w:szCs w:val="24"/>
        </w:rPr>
      </w:pPr>
      <w:bookmarkStart w:id="12" w:name="_Toc458848969"/>
      <w:bookmarkStart w:id="13" w:name="_Toc458848821"/>
      <w:bookmarkStart w:id="14" w:name="_Toc458848736"/>
      <w:bookmarkStart w:id="15" w:name="_Toc7453875"/>
      <w:r>
        <w:rPr>
          <w:rFonts w:hint="eastAsia" w:asciiTheme="minorEastAsia" w:hAnsiTheme="minorEastAsia" w:eastAsiaTheme="minorEastAsia" w:cstheme="minorEastAsia"/>
          <w:b/>
          <w:bCs/>
          <w:color w:val="auto"/>
          <w:sz w:val="24"/>
          <w:szCs w:val="24"/>
        </w:rPr>
        <w:t>五、磋商担保</w:t>
      </w:r>
      <w:bookmarkEnd w:id="12"/>
      <w:bookmarkEnd w:id="13"/>
      <w:bookmarkEnd w:id="14"/>
      <w:bookmarkEnd w:id="15"/>
    </w:p>
    <w:p w14:paraId="48FF22E4">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1、担保方式：见供应商须知前附表。</w:t>
      </w:r>
    </w:p>
    <w:p w14:paraId="051DC161">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2、磋商担保递交截止时间：见供应商须知前附表。</w:t>
      </w:r>
    </w:p>
    <w:p w14:paraId="2281A3E0">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3、若采购代理机构未在磋商担保递交截止时间查询到足额磋商保证金或者有效磋商担保函的，其磋商将被拒绝。 </w:t>
      </w:r>
    </w:p>
    <w:p w14:paraId="24763C62">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供应商参加磋商时，必须以竞争性磋商文件规定的方式提交磋商担保，并作为其磋商响应的一部分。若未在磋商担保递交截止时间查询到到足额磋商保证金或供应商不能自行证明其足额缴纳磋商保证金的，或供应商未在响应文件中附银行汇（存）款回执单或担保机构出具的担保函，其磋商响应文件无效。</w:t>
      </w:r>
    </w:p>
    <w:p w14:paraId="47990068">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5、退还磋商保证金：</w:t>
      </w:r>
    </w:p>
    <w:p w14:paraId="107BF8BD">
      <w:pPr>
        <w:spacing w:line="480" w:lineRule="exact"/>
        <w:ind w:firstLine="482" w:firstLineChars="200"/>
        <w:rPr>
          <w:rFonts w:hint="eastAsia" w:asciiTheme="minorEastAsia" w:hAnsiTheme="minorEastAsia" w:eastAsiaTheme="minorEastAsia" w:cstheme="minorEastAsia"/>
          <w:b/>
          <w:color w:val="auto"/>
          <w:sz w:val="24"/>
          <w:szCs w:val="24"/>
          <w:u w:val="single"/>
        </w:rPr>
      </w:pPr>
      <w:r>
        <w:rPr>
          <w:rFonts w:hint="eastAsia" w:asciiTheme="minorEastAsia" w:hAnsiTheme="minorEastAsia" w:eastAsiaTheme="minorEastAsia" w:cstheme="minorEastAsia"/>
          <w:b/>
          <w:color w:val="auto"/>
          <w:sz w:val="24"/>
          <w:szCs w:val="24"/>
        </w:rPr>
        <w:t>（1）</w:t>
      </w:r>
      <w:r>
        <w:rPr>
          <w:rFonts w:hint="eastAsia" w:asciiTheme="minorEastAsia" w:hAnsiTheme="minorEastAsia" w:eastAsiaTheme="minorEastAsia" w:cstheme="minorEastAsia"/>
          <w:b/>
          <w:color w:val="auto"/>
          <w:sz w:val="24"/>
          <w:szCs w:val="24"/>
          <w:u w:val="single"/>
        </w:rPr>
        <w:t>在磋商截止时间前撤回已提交磋商响应文件的供应商的磋商保证金，将在采购代理机构收到供应商书面撤回通知之日起5个工作日内退还。</w:t>
      </w:r>
    </w:p>
    <w:p w14:paraId="168ED44F">
      <w:pPr>
        <w:spacing w:line="480" w:lineRule="exact"/>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w:t>
      </w:r>
      <w:r>
        <w:rPr>
          <w:rFonts w:hint="eastAsia" w:asciiTheme="minorEastAsia" w:hAnsiTheme="minorEastAsia" w:eastAsiaTheme="minorEastAsia" w:cstheme="minorEastAsia"/>
          <w:b/>
          <w:color w:val="auto"/>
          <w:sz w:val="24"/>
          <w:szCs w:val="24"/>
          <w:u w:val="single"/>
        </w:rPr>
        <w:t>所有未成交供应商的磋商保证金，将在成交通知书发出后5个工作日内退还。</w:t>
      </w:r>
    </w:p>
    <w:p w14:paraId="40A34705">
      <w:pPr>
        <w:spacing w:line="480" w:lineRule="exact"/>
        <w:ind w:firstLine="482" w:firstLineChars="200"/>
        <w:rPr>
          <w:rFonts w:hint="eastAsia" w:asciiTheme="minorEastAsia" w:hAnsiTheme="minorEastAsia" w:eastAsiaTheme="minorEastAsia" w:cstheme="minorEastAsia"/>
          <w:b/>
          <w:color w:val="auto"/>
          <w:spacing w:val="-4"/>
          <w:sz w:val="24"/>
          <w:szCs w:val="24"/>
          <w:u w:val="single"/>
        </w:rPr>
      </w:pPr>
      <w:r>
        <w:rPr>
          <w:rFonts w:hint="eastAsia" w:asciiTheme="minorEastAsia" w:hAnsiTheme="minorEastAsia" w:eastAsiaTheme="minorEastAsia" w:cstheme="minorEastAsia"/>
          <w:b/>
          <w:color w:val="auto"/>
          <w:sz w:val="24"/>
          <w:szCs w:val="24"/>
        </w:rPr>
        <w:t>（3）</w:t>
      </w:r>
      <w:r>
        <w:rPr>
          <w:rFonts w:hint="eastAsia" w:asciiTheme="minorEastAsia" w:hAnsiTheme="minorEastAsia" w:eastAsiaTheme="minorEastAsia" w:cstheme="minorEastAsia"/>
          <w:b/>
          <w:color w:val="auto"/>
          <w:spacing w:val="-4"/>
          <w:sz w:val="24"/>
          <w:szCs w:val="24"/>
          <w:u w:val="single"/>
        </w:rPr>
        <w:t>成交的供应商的磋商保证金在签订合同后，执合同予以</w:t>
      </w:r>
      <w:r>
        <w:rPr>
          <w:rFonts w:hint="eastAsia" w:asciiTheme="minorEastAsia" w:hAnsiTheme="minorEastAsia" w:eastAsiaTheme="minorEastAsia" w:cstheme="minorEastAsia"/>
          <w:b/>
          <w:color w:val="auto"/>
          <w:sz w:val="24"/>
          <w:szCs w:val="24"/>
          <w:u w:val="single"/>
        </w:rPr>
        <w:t>5个工作日内</w:t>
      </w:r>
      <w:r>
        <w:rPr>
          <w:rFonts w:hint="eastAsia" w:asciiTheme="minorEastAsia" w:hAnsiTheme="minorEastAsia" w:eastAsiaTheme="minorEastAsia" w:cstheme="minorEastAsia"/>
          <w:b/>
          <w:color w:val="auto"/>
          <w:spacing w:val="-4"/>
          <w:sz w:val="24"/>
          <w:szCs w:val="24"/>
          <w:u w:val="single"/>
        </w:rPr>
        <w:t>退还。</w:t>
      </w:r>
    </w:p>
    <w:p w14:paraId="457DA545">
      <w:pPr>
        <w:tabs>
          <w:tab w:val="left" w:pos="2700"/>
        </w:tabs>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6、如磋商发生下列情况之一时，磋商保证金将不予退还，提供担保函的供应商将由专业担保机构先行偿付采购人损失：</w:t>
      </w:r>
    </w:p>
    <w:p w14:paraId="12D1AA14">
      <w:pPr>
        <w:tabs>
          <w:tab w:val="left" w:pos="2700"/>
        </w:tabs>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6-1、</w:t>
      </w:r>
      <w:r>
        <w:rPr>
          <w:rFonts w:hint="eastAsia" w:asciiTheme="minorEastAsia" w:hAnsiTheme="minorEastAsia" w:eastAsiaTheme="minorEastAsia" w:cstheme="minorEastAsia"/>
          <w:color w:val="auto"/>
          <w:sz w:val="24"/>
          <w:szCs w:val="24"/>
          <w:u w:val="single"/>
        </w:rPr>
        <w:t>供应商提供虚假资质谋取成交的；</w:t>
      </w:r>
    </w:p>
    <w:p w14:paraId="5BF79910">
      <w:pPr>
        <w:spacing w:line="480" w:lineRule="exact"/>
        <w:ind w:firstLine="480" w:firstLineChars="20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6-2、</w:t>
      </w:r>
      <w:r>
        <w:rPr>
          <w:rFonts w:hint="eastAsia" w:asciiTheme="minorEastAsia" w:hAnsiTheme="minorEastAsia" w:eastAsiaTheme="minorEastAsia" w:cstheme="minorEastAsia"/>
          <w:color w:val="auto"/>
          <w:sz w:val="24"/>
          <w:szCs w:val="24"/>
          <w:u w:val="single"/>
        </w:rPr>
        <w:t>供应商有围标、串标现象，经查证属实的；</w:t>
      </w:r>
    </w:p>
    <w:p w14:paraId="5FB0CEFD">
      <w:pPr>
        <w:spacing w:line="480" w:lineRule="exact"/>
        <w:ind w:firstLine="480" w:firstLineChars="20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6-3、</w:t>
      </w:r>
      <w:r>
        <w:rPr>
          <w:rFonts w:hint="eastAsia" w:asciiTheme="minorEastAsia" w:hAnsiTheme="minorEastAsia" w:eastAsiaTheme="minorEastAsia" w:cstheme="minorEastAsia"/>
          <w:color w:val="auto"/>
          <w:sz w:val="24"/>
          <w:szCs w:val="24"/>
          <w:u w:val="single"/>
        </w:rPr>
        <w:t>供应商在竞争性磋商文件规定的磋商响应有效期内撤回磋商响应文件的；</w:t>
      </w:r>
    </w:p>
    <w:p w14:paraId="2F1F3327">
      <w:pPr>
        <w:spacing w:line="480" w:lineRule="exact"/>
        <w:ind w:firstLine="480" w:firstLineChars="20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6-4、</w:t>
      </w:r>
      <w:r>
        <w:rPr>
          <w:rFonts w:hint="eastAsia" w:asciiTheme="minorEastAsia" w:hAnsiTheme="minorEastAsia" w:eastAsiaTheme="minorEastAsia" w:cstheme="minorEastAsia"/>
          <w:color w:val="auto"/>
          <w:sz w:val="24"/>
          <w:szCs w:val="24"/>
          <w:u w:val="single"/>
        </w:rPr>
        <w:t>供应商自行放弃磋商资格而未在磋商会议前一天以书面形式告知采购代理机构的；</w:t>
      </w:r>
    </w:p>
    <w:p w14:paraId="3507A368">
      <w:pPr>
        <w:spacing w:line="480" w:lineRule="exact"/>
        <w:ind w:firstLine="480" w:firstLineChars="20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6-5、</w:t>
      </w:r>
      <w:r>
        <w:rPr>
          <w:rFonts w:hint="eastAsia" w:asciiTheme="minorEastAsia" w:hAnsiTheme="minorEastAsia" w:eastAsiaTheme="minorEastAsia" w:cstheme="minorEastAsia"/>
          <w:color w:val="auto"/>
          <w:sz w:val="24"/>
          <w:szCs w:val="24"/>
          <w:u w:val="single"/>
        </w:rPr>
        <w:t>供应商自行放弃成交资格的；</w:t>
      </w:r>
    </w:p>
    <w:p w14:paraId="6DF439CA">
      <w:pPr>
        <w:spacing w:line="480" w:lineRule="exact"/>
        <w:ind w:firstLine="480" w:firstLineChars="20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6-6、</w:t>
      </w:r>
      <w:r>
        <w:rPr>
          <w:rFonts w:hint="eastAsia" w:asciiTheme="minorEastAsia" w:hAnsiTheme="minorEastAsia" w:eastAsiaTheme="minorEastAsia" w:cstheme="minorEastAsia"/>
          <w:color w:val="auto"/>
          <w:sz w:val="24"/>
          <w:szCs w:val="24"/>
          <w:u w:val="single"/>
        </w:rPr>
        <w:t>成交供应商不在规定的时效内领取《成交通知书》的；</w:t>
      </w:r>
    </w:p>
    <w:p w14:paraId="6A97C993">
      <w:pPr>
        <w:spacing w:line="480" w:lineRule="exact"/>
        <w:ind w:firstLine="480" w:firstLineChars="20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6-7、</w:t>
      </w:r>
      <w:r>
        <w:rPr>
          <w:rFonts w:hint="eastAsia" w:asciiTheme="minorEastAsia" w:hAnsiTheme="minorEastAsia" w:eastAsiaTheme="minorEastAsia" w:cstheme="minorEastAsia"/>
          <w:color w:val="auto"/>
          <w:sz w:val="24"/>
          <w:szCs w:val="24"/>
          <w:u w:val="single"/>
        </w:rPr>
        <w:t>成交供应商不按规定支付招标服务费的；</w:t>
      </w:r>
    </w:p>
    <w:p w14:paraId="5229867B">
      <w:pPr>
        <w:spacing w:line="480" w:lineRule="exact"/>
        <w:ind w:firstLine="480" w:firstLineChars="20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6-8、</w:t>
      </w:r>
      <w:r>
        <w:rPr>
          <w:rFonts w:hint="eastAsia" w:asciiTheme="minorEastAsia" w:hAnsiTheme="minorEastAsia" w:eastAsiaTheme="minorEastAsia" w:cstheme="minorEastAsia"/>
          <w:color w:val="auto"/>
          <w:sz w:val="24"/>
          <w:szCs w:val="24"/>
          <w:u w:val="single"/>
        </w:rPr>
        <w:t>成交供应商因自身原因未能在规定期限内与采购人签订合同的。</w:t>
      </w:r>
    </w:p>
    <w:p w14:paraId="619F1578">
      <w:pPr>
        <w:spacing w:line="480" w:lineRule="exact"/>
        <w:ind w:firstLine="480" w:firstLineChars="20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6-9、</w:t>
      </w:r>
      <w:r>
        <w:rPr>
          <w:rFonts w:hint="eastAsia" w:asciiTheme="minorEastAsia" w:hAnsiTheme="minorEastAsia" w:eastAsiaTheme="minorEastAsia" w:cstheme="minorEastAsia"/>
          <w:color w:val="auto"/>
          <w:sz w:val="24"/>
          <w:szCs w:val="24"/>
          <w:u w:val="single"/>
        </w:rPr>
        <w:t>供应商无故不参加磋商活动的。</w:t>
      </w:r>
    </w:p>
    <w:p w14:paraId="3448F565">
      <w:pPr>
        <w:pStyle w:val="3"/>
        <w:spacing w:before="0" w:after="0" w:line="480" w:lineRule="exact"/>
        <w:rPr>
          <w:rFonts w:hint="eastAsia" w:asciiTheme="minorEastAsia" w:hAnsiTheme="minorEastAsia" w:eastAsiaTheme="minorEastAsia" w:cstheme="minorEastAsia"/>
          <w:color w:val="auto"/>
          <w:kern w:val="0"/>
          <w:sz w:val="24"/>
          <w:szCs w:val="24"/>
        </w:rPr>
      </w:pPr>
      <w:bookmarkStart w:id="16" w:name="_Toc458848970"/>
      <w:bookmarkStart w:id="17" w:name="_Toc458848737"/>
      <w:bookmarkStart w:id="18" w:name="_Toc7453876"/>
      <w:bookmarkStart w:id="19" w:name="_Toc458848822"/>
      <w:r>
        <w:rPr>
          <w:rFonts w:hint="eastAsia" w:asciiTheme="minorEastAsia" w:hAnsiTheme="minorEastAsia" w:eastAsiaTheme="minorEastAsia" w:cstheme="minorEastAsia"/>
          <w:color w:val="auto"/>
          <w:kern w:val="0"/>
          <w:sz w:val="24"/>
          <w:szCs w:val="24"/>
        </w:rPr>
        <w:t>六、磋商响应</w:t>
      </w:r>
      <w:bookmarkEnd w:id="16"/>
      <w:bookmarkEnd w:id="17"/>
      <w:bookmarkEnd w:id="18"/>
      <w:bookmarkEnd w:id="19"/>
    </w:p>
    <w:p w14:paraId="6777EF2A">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1、磋商响应文件的提交：</w:t>
      </w:r>
    </w:p>
    <w:p w14:paraId="607906BF">
      <w:pPr>
        <w:spacing w:line="480" w:lineRule="exact"/>
        <w:ind w:firstLine="480" w:firstLineChars="200"/>
        <w:rPr>
          <w:rFonts w:hint="eastAsia" w:asciiTheme="minorEastAsia" w:hAnsiTheme="minorEastAsia" w:eastAsiaTheme="minorEastAsia" w:cstheme="minorEastAsia"/>
          <w:color w:val="auto"/>
          <w:sz w:val="24"/>
          <w:szCs w:val="24"/>
        </w:rPr>
      </w:pPr>
      <w:bookmarkStart w:id="20" w:name="_Toc458848738"/>
      <w:bookmarkStart w:id="21" w:name="_Toc458848971"/>
      <w:bookmarkStart w:id="22" w:name="_Toc458848823"/>
      <w:bookmarkStart w:id="23" w:name="_Toc7453877"/>
      <w:r>
        <w:rPr>
          <w:rFonts w:hint="eastAsia" w:asciiTheme="minorEastAsia" w:hAnsiTheme="minorEastAsia" w:eastAsiaTheme="minorEastAsia" w:cstheme="minorEastAsia"/>
          <w:color w:val="auto"/>
          <w:sz w:val="24"/>
          <w:szCs w:val="24"/>
        </w:rPr>
        <w:t>1-1、</w:t>
      </w:r>
      <w:r>
        <w:rPr>
          <w:rFonts w:hint="eastAsia" w:asciiTheme="minorEastAsia" w:hAnsiTheme="minorEastAsia" w:eastAsiaTheme="minorEastAsia" w:cstheme="minorEastAsia"/>
          <w:color w:val="auto"/>
          <w:sz w:val="24"/>
        </w:rPr>
        <w:t>供应商</w:t>
      </w:r>
      <w:r>
        <w:rPr>
          <w:rFonts w:hint="eastAsia" w:asciiTheme="minorEastAsia" w:hAnsiTheme="minorEastAsia" w:eastAsiaTheme="minorEastAsia" w:cstheme="minorEastAsia"/>
          <w:color w:val="auto"/>
          <w:sz w:val="24"/>
          <w:szCs w:val="24"/>
        </w:rPr>
        <w:t>应在磋商截止时间前将响应文件上传至交易平台；</w:t>
      </w:r>
    </w:p>
    <w:p w14:paraId="3DC205F9">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1-2、磋商</w:t>
      </w:r>
      <w:r>
        <w:rPr>
          <w:rFonts w:hint="eastAsia" w:asciiTheme="minorEastAsia" w:hAnsiTheme="minorEastAsia" w:eastAsiaTheme="minorEastAsia" w:cstheme="minorEastAsia"/>
          <w:color w:val="auto"/>
          <w:sz w:val="24"/>
          <w:szCs w:val="24"/>
          <w:lang w:val="zh-CN"/>
        </w:rPr>
        <w:t>响应文件可于提交磋商响应文件截止时间前任意时段登录全国公共资源交易平台 （</w:t>
      </w:r>
      <w:r>
        <w:rPr>
          <w:rFonts w:hint="eastAsia" w:asciiTheme="minorEastAsia" w:hAnsiTheme="minorEastAsia" w:eastAsiaTheme="minorEastAsia" w:cstheme="minorEastAsia"/>
          <w:color w:val="auto"/>
          <w:sz w:val="24"/>
          <w:szCs w:val="24"/>
        </w:rPr>
        <w:t>陕西省·宝鸡市</w:t>
      </w:r>
      <w:r>
        <w:rPr>
          <w:rFonts w:hint="eastAsia" w:asciiTheme="minorEastAsia" w:hAnsiTheme="minorEastAsia" w:eastAsiaTheme="minorEastAsia" w:cstheme="minorEastAsia"/>
          <w:color w:val="auto"/>
          <w:sz w:val="24"/>
          <w:szCs w:val="24"/>
          <w:lang w:val="zh-CN"/>
        </w:rPr>
        <w:t>）网站[电子交易平台-企业端]进行提交，逾期系统将拒绝接收。提交时，</w:t>
      </w:r>
      <w:r>
        <w:rPr>
          <w:rFonts w:hint="eastAsia" w:asciiTheme="minorEastAsia" w:hAnsiTheme="minorEastAsia" w:eastAsiaTheme="minorEastAsia" w:cstheme="minorEastAsia"/>
          <w:color w:val="auto"/>
          <w:sz w:val="24"/>
        </w:rPr>
        <w:t>供应商</w:t>
      </w:r>
      <w:r>
        <w:rPr>
          <w:rFonts w:hint="eastAsia" w:asciiTheme="minorEastAsia" w:hAnsiTheme="minorEastAsia" w:eastAsiaTheme="minorEastAsia" w:cstheme="minorEastAsia"/>
          <w:color w:val="auto"/>
          <w:sz w:val="24"/>
          <w:szCs w:val="24"/>
          <w:lang w:val="zh-CN"/>
        </w:rPr>
        <w:t>应登录全国公共资源交易中心平台（陕西省</w:t>
      </w:r>
      <w:r>
        <w:rPr>
          <w:rFonts w:hint="eastAsia" w:asciiTheme="minorEastAsia" w:hAnsiTheme="minorEastAsia" w:eastAsiaTheme="minorEastAsia" w:cstheme="minorEastAsia"/>
          <w:color w:val="auto"/>
          <w:sz w:val="24"/>
          <w:szCs w:val="24"/>
        </w:rPr>
        <w:t>.宝鸡市</w:t>
      </w:r>
      <w:r>
        <w:rPr>
          <w:rFonts w:hint="eastAsia" w:asciiTheme="minorEastAsia" w:hAnsiTheme="minorEastAsia" w:eastAsiaTheme="minorEastAsia" w:cstheme="minorEastAsia"/>
          <w:color w:val="auto"/>
          <w:sz w:val="24"/>
          <w:szCs w:val="24"/>
          <w:lang w:val="zh-CN"/>
        </w:rPr>
        <w:t>），选择[“首页&gt;电子交易平台&gt;企业端&gt;我的项目]”，点击[项目流程]，在打开的[项目管理]对话框中选择[上传响应文件]，上传加密的电子响应文件（*.SXSTF），上传成功后，电子化平台将予以记录。逾期上传的将被拒绝接收。</w:t>
      </w:r>
    </w:p>
    <w:p w14:paraId="304C9907">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bCs/>
          <w:color w:val="auto"/>
          <w:sz w:val="24"/>
          <w:szCs w:val="24"/>
        </w:rPr>
        <w:t>竞争性磋商</w:t>
      </w:r>
      <w:r>
        <w:rPr>
          <w:rFonts w:hint="eastAsia" w:asciiTheme="minorEastAsia" w:hAnsiTheme="minorEastAsia" w:eastAsiaTheme="minorEastAsia" w:cstheme="minorEastAsia"/>
          <w:color w:val="auto"/>
          <w:sz w:val="24"/>
          <w:szCs w:val="24"/>
        </w:rPr>
        <w:t>响应文件的补充、修改与撤回：</w:t>
      </w:r>
    </w:p>
    <w:p w14:paraId="5F7840AB">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w:t>
      </w:r>
      <w:r>
        <w:rPr>
          <w:rFonts w:hint="eastAsia" w:asciiTheme="minorEastAsia" w:hAnsiTheme="minorEastAsia" w:eastAsiaTheme="minorEastAsia" w:cstheme="minorEastAsia"/>
          <w:color w:val="auto"/>
          <w:sz w:val="24"/>
        </w:rPr>
        <w:t>供应商</w:t>
      </w:r>
      <w:r>
        <w:rPr>
          <w:rFonts w:hint="eastAsia" w:asciiTheme="minorEastAsia" w:hAnsiTheme="minorEastAsia" w:eastAsiaTheme="minorEastAsia" w:cstheme="minorEastAsia"/>
          <w:color w:val="auto"/>
          <w:sz w:val="24"/>
          <w:szCs w:val="24"/>
        </w:rPr>
        <w:t>在提交响应文件后，磋商截止时间前，可以修改或撤回其响应文件，并在规定的磋商截止期之前，将修改或撤回的响应文件上传到交易平台，逾期递交的响应文件将不予受理。</w:t>
      </w:r>
    </w:p>
    <w:p w14:paraId="78B0D13D">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2-2、磋商截止时间之后，供应商不得补充、修改竞争性磋商响应文件；</w:t>
      </w:r>
    </w:p>
    <w:p w14:paraId="05C42BD0">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2-3、在磋商截止时间至磋商响应有效期满之前，供应商不得撤回其竞争性磋商响应文件，否则其磋商保证金将不予退还，提供磋商担保的供应商将由专业担保机构先行偿付采购人损失。</w:t>
      </w:r>
    </w:p>
    <w:p w14:paraId="3E5A1007">
      <w:pPr>
        <w:spacing w:line="480" w:lineRule="exact"/>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kern w:val="0"/>
          <w:sz w:val="24"/>
          <w:szCs w:val="24"/>
        </w:rPr>
        <w:t>、竞争性磋商响应有效期：</w:t>
      </w:r>
    </w:p>
    <w:p w14:paraId="69BE2B58">
      <w:pPr>
        <w:pStyle w:val="49"/>
        <w:spacing w:line="480" w:lineRule="exact"/>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3-1、自提交磋商响应文件的截止之日起90个日历日。竞争性磋商响应有效期短于竞争性磋商文件规定的磋商响应有效期，按无效竞争性磋商响应处理。成交单位的竞争性磋商有效期延长至合同执行完毕。</w:t>
      </w:r>
    </w:p>
    <w:p w14:paraId="021B3D71">
      <w:pPr>
        <w:pStyle w:val="49"/>
        <w:spacing w:line="480" w:lineRule="exact"/>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3-2、在原有有效期结束前，采购代理机构可要求供应商延长竞争性磋商响应有效期。拒绝延长有效期的供应商有权收回磋商保证金，但不得参与该项目后续采购活动。同意延长有效期的供应商应相应延长磋商担保的有效期，但不得修改竞争性磋商响应文件的实质性内容。 </w:t>
      </w:r>
    </w:p>
    <w:p w14:paraId="62494541">
      <w:pPr>
        <w:pStyle w:val="49"/>
        <w:spacing w:line="480" w:lineRule="exact"/>
        <w:ind w:firstLine="48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sz w:val="24"/>
          <w:szCs w:val="24"/>
        </w:rPr>
        <w:t>4、供应商</w:t>
      </w:r>
      <w:r>
        <w:rPr>
          <w:rFonts w:hint="eastAsia" w:asciiTheme="minorEastAsia" w:hAnsiTheme="minorEastAsia" w:eastAsiaTheme="minorEastAsia" w:cstheme="minorEastAsia"/>
          <w:color w:val="auto"/>
          <w:kern w:val="2"/>
          <w:sz w:val="24"/>
          <w:szCs w:val="24"/>
        </w:rPr>
        <w:t>有下列情形之一的，属于恶意串通，对其依照《中华人民共和国政府采购法》第七十七条第一款的规定追究法律责任，响应无效：</w:t>
      </w:r>
    </w:p>
    <w:p w14:paraId="687AAD1D">
      <w:pPr>
        <w:pStyle w:val="49"/>
        <w:spacing w:line="480" w:lineRule="exact"/>
        <w:ind w:firstLine="48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4-1、供应商直接或者间接从采购人或采购代理机构处获得其他供应商的相关情况并修改其磋商响应文件；</w:t>
      </w:r>
    </w:p>
    <w:p w14:paraId="1468DD57">
      <w:pPr>
        <w:pStyle w:val="49"/>
        <w:spacing w:line="480" w:lineRule="exact"/>
        <w:ind w:firstLine="48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4-2、供应商按照采购人或采购代理机构的授意撤换、修改磋商响应文件；</w:t>
      </w:r>
    </w:p>
    <w:p w14:paraId="117594A6">
      <w:pPr>
        <w:pStyle w:val="49"/>
        <w:spacing w:line="480" w:lineRule="exact"/>
        <w:ind w:firstLine="48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4-3、供应商之间协商报价、技术方案等磋商响应文件的实质性内容；</w:t>
      </w:r>
    </w:p>
    <w:p w14:paraId="2730227D">
      <w:pPr>
        <w:pStyle w:val="49"/>
        <w:spacing w:line="480" w:lineRule="exact"/>
        <w:ind w:firstLine="48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4-4、属于同一集团、协会、商会等组织成员的供应商按照该组织要求协同参加政府采购活动；</w:t>
      </w:r>
    </w:p>
    <w:p w14:paraId="529E5DE9">
      <w:pPr>
        <w:pStyle w:val="49"/>
        <w:spacing w:line="480" w:lineRule="exact"/>
        <w:ind w:firstLine="48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4-5、供应商之间事先约定由某一特定供应商成交；</w:t>
      </w:r>
    </w:p>
    <w:p w14:paraId="3F52E043">
      <w:pPr>
        <w:pStyle w:val="49"/>
        <w:spacing w:line="480" w:lineRule="exact"/>
        <w:ind w:firstLine="48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4-6、供应商之间商定部分供应商放弃参加政府采购活动或放弃成交；</w:t>
      </w:r>
    </w:p>
    <w:p w14:paraId="3B42807C">
      <w:pPr>
        <w:pStyle w:val="49"/>
        <w:spacing w:line="480" w:lineRule="exact"/>
        <w:ind w:firstLine="48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4-7、供应商相互之间，为谋求特定供应商成交或排斥其他供应商的其他串通行为。</w:t>
      </w:r>
    </w:p>
    <w:p w14:paraId="226DC0D3">
      <w:pPr>
        <w:pStyle w:val="49"/>
        <w:spacing w:line="480" w:lineRule="exact"/>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5、有下列情形之一的，视为供应商串通磋商，其响应无效：</w:t>
      </w:r>
    </w:p>
    <w:p w14:paraId="64258FB2">
      <w:pPr>
        <w:pStyle w:val="49"/>
        <w:spacing w:line="480" w:lineRule="exact"/>
        <w:ind w:firstLine="48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5-1、不同供应商的磋商响应文件由同一单位或者个人编制；</w:t>
      </w:r>
    </w:p>
    <w:p w14:paraId="2DC8E342">
      <w:pPr>
        <w:pStyle w:val="49"/>
        <w:spacing w:line="480" w:lineRule="exact"/>
        <w:ind w:firstLine="48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5-2、不同供应商委托同一单位或者个人办理磋商事宜；</w:t>
      </w:r>
    </w:p>
    <w:p w14:paraId="673FE4EC">
      <w:pPr>
        <w:pStyle w:val="49"/>
        <w:spacing w:line="480" w:lineRule="exact"/>
        <w:ind w:firstLine="48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5-3、不同供应商的磋商响应文件载明的项目管理成员或者联系人为同一人；</w:t>
      </w:r>
    </w:p>
    <w:p w14:paraId="6E3833DB">
      <w:pPr>
        <w:pStyle w:val="49"/>
        <w:spacing w:line="480" w:lineRule="exact"/>
        <w:ind w:firstLine="48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5-4、不同供应商的磋商响应文件异常一致或者磋商报价呈现规律性差异；</w:t>
      </w:r>
    </w:p>
    <w:p w14:paraId="124F051A">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5-5、不同供应商的磋商保证金从同一单位或者个人的账户转出。</w:t>
      </w:r>
    </w:p>
    <w:p w14:paraId="3C7CB1E4">
      <w:pPr>
        <w:pStyle w:val="3"/>
        <w:spacing w:before="0" w:after="0" w:line="4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七、磋商</w:t>
      </w:r>
      <w:bookmarkEnd w:id="20"/>
      <w:bookmarkEnd w:id="21"/>
      <w:bookmarkEnd w:id="22"/>
      <w:r>
        <w:rPr>
          <w:rFonts w:hint="eastAsia" w:asciiTheme="minorEastAsia" w:hAnsiTheme="minorEastAsia" w:eastAsiaTheme="minorEastAsia" w:cstheme="minorEastAsia"/>
          <w:color w:val="auto"/>
          <w:kern w:val="0"/>
          <w:sz w:val="24"/>
          <w:szCs w:val="24"/>
        </w:rPr>
        <w:t>、评审及定标</w:t>
      </w:r>
      <w:bookmarkEnd w:id="23"/>
    </w:p>
    <w:p w14:paraId="45D6A21C">
      <w:pPr>
        <w:spacing w:line="480" w:lineRule="exact"/>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1、磋商</w:t>
      </w:r>
    </w:p>
    <w:p w14:paraId="574B560E">
      <w:pPr>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1-1、采购代理机构按竞争性磋商文件规定的时间、地点组织磋商。所有</w:t>
      </w:r>
      <w:r>
        <w:rPr>
          <w:rFonts w:hint="eastAsia" w:asciiTheme="minorEastAsia" w:hAnsiTheme="minorEastAsia" w:eastAsiaTheme="minorEastAsia" w:cstheme="minorEastAsia"/>
          <w:color w:val="auto"/>
          <w:sz w:val="24"/>
        </w:rPr>
        <w:t>供应商</w:t>
      </w:r>
      <w:r>
        <w:rPr>
          <w:rFonts w:hint="eastAsia" w:asciiTheme="minorEastAsia" w:hAnsiTheme="minorEastAsia" w:eastAsiaTheme="minorEastAsia" w:cstheme="minorEastAsia"/>
          <w:color w:val="auto"/>
          <w:sz w:val="24"/>
          <w:szCs w:val="24"/>
        </w:rPr>
        <w:t>应按时参加磋商会议。</w:t>
      </w:r>
    </w:p>
    <w:p w14:paraId="42518012">
      <w:pPr>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1-2、磋商会议由采购代理机构主持。</w:t>
      </w:r>
      <w:r>
        <w:rPr>
          <w:rFonts w:hint="eastAsia" w:asciiTheme="minorEastAsia" w:hAnsiTheme="minorEastAsia" w:eastAsiaTheme="minorEastAsia" w:cstheme="minorEastAsia"/>
          <w:color w:val="auto"/>
          <w:sz w:val="24"/>
          <w:szCs w:val="24"/>
          <w:lang w:val="zh-CN"/>
        </w:rPr>
        <w:t>采购人、</w:t>
      </w:r>
      <w:r>
        <w:rPr>
          <w:rFonts w:hint="eastAsia" w:asciiTheme="minorEastAsia" w:hAnsiTheme="minorEastAsia" w:eastAsiaTheme="minorEastAsia" w:cstheme="minorEastAsia"/>
          <w:color w:val="auto"/>
          <w:sz w:val="24"/>
          <w:szCs w:val="24"/>
        </w:rPr>
        <w:t>供应商（线上）</w:t>
      </w:r>
      <w:r>
        <w:rPr>
          <w:rFonts w:hint="eastAsia" w:asciiTheme="minorEastAsia" w:hAnsiTheme="minorEastAsia" w:eastAsiaTheme="minorEastAsia" w:cstheme="minorEastAsia"/>
          <w:color w:val="auto"/>
          <w:sz w:val="24"/>
          <w:szCs w:val="24"/>
          <w:lang w:val="zh-CN"/>
        </w:rPr>
        <w:t>和有关方面代表参加</w:t>
      </w:r>
      <w:r>
        <w:rPr>
          <w:rFonts w:hint="eastAsia" w:asciiTheme="minorEastAsia" w:hAnsiTheme="minorEastAsia" w:eastAsiaTheme="minorEastAsia" w:cstheme="minorEastAsia"/>
          <w:color w:val="auto"/>
          <w:sz w:val="24"/>
          <w:szCs w:val="24"/>
        </w:rPr>
        <w:t>。</w:t>
      </w:r>
    </w:p>
    <w:p w14:paraId="5952ADBD">
      <w:pPr>
        <w:pStyle w:val="49"/>
        <w:spacing w:line="480" w:lineRule="exact"/>
        <w:ind w:firstLine="48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1-3、开标程序</w:t>
      </w:r>
    </w:p>
    <w:p w14:paraId="7087668E">
      <w:pPr>
        <w:pStyle w:val="49"/>
        <w:spacing w:line="480" w:lineRule="exact"/>
        <w:ind w:firstLine="480"/>
        <w:jc w:val="left"/>
        <w:rPr>
          <w:rFonts w:hint="eastAsia" w:asciiTheme="minorEastAsia" w:hAnsiTheme="minorEastAsia" w:eastAsiaTheme="minorEastAsia" w:cstheme="minorEastAsia"/>
          <w:color w:val="auto"/>
          <w:kern w:val="2"/>
          <w:sz w:val="15"/>
          <w:szCs w:val="15"/>
        </w:rPr>
      </w:pPr>
      <w:r>
        <w:rPr>
          <w:rFonts w:hint="eastAsia" w:asciiTheme="minorEastAsia" w:hAnsiTheme="minorEastAsia" w:eastAsiaTheme="minorEastAsia" w:cstheme="minorEastAsia"/>
          <w:color w:val="auto"/>
          <w:kern w:val="2"/>
          <w:sz w:val="24"/>
          <w:szCs w:val="24"/>
        </w:rPr>
        <w:t>（1）本项目采用“不见面开标”，</w:t>
      </w:r>
      <w:r>
        <w:rPr>
          <w:rFonts w:hint="eastAsia" w:asciiTheme="minorEastAsia" w:hAnsiTheme="minorEastAsia" w:eastAsiaTheme="minorEastAsia" w:cstheme="minorEastAsia"/>
          <w:b/>
          <w:bCs/>
          <w:color w:val="auto"/>
          <w:kern w:val="2"/>
          <w:sz w:val="24"/>
          <w:szCs w:val="24"/>
        </w:rPr>
        <w:t>“不见面开标”</w:t>
      </w:r>
      <w:r>
        <w:rPr>
          <w:rFonts w:hint="eastAsia" w:asciiTheme="minorEastAsia" w:hAnsiTheme="minorEastAsia" w:eastAsiaTheme="minorEastAsia" w:cstheme="minorEastAsia"/>
          <w:color w:val="auto"/>
          <w:kern w:val="2"/>
          <w:sz w:val="24"/>
          <w:szCs w:val="24"/>
        </w:rPr>
        <w:t>系统操作说明详见全国公共资源交易平台（陕西省·宝鸡市）宝鸡市公共资源交易中心〖首页·〉服务指南·〉下载专区〗中的《政府采购电子交易-不见面系统操作手册》。链接地址：</w:t>
      </w:r>
      <w:r>
        <w:rPr>
          <w:rFonts w:hint="eastAsia" w:asciiTheme="minorEastAsia" w:hAnsiTheme="minorEastAsia" w:eastAsiaTheme="minorEastAsia" w:cstheme="minorEastAsia"/>
          <w:color w:val="auto"/>
          <w:kern w:val="2"/>
          <w:sz w:val="22"/>
        </w:rPr>
        <w:t>http://ggzy.baoji.gov.cn/fwzn/004003/20231123/d2048104-5dd1-4825-97f0-186cb8450ee5.html</w:t>
      </w:r>
    </w:p>
    <w:p w14:paraId="581408F9">
      <w:pPr>
        <w:spacing w:line="480" w:lineRule="exact"/>
        <w:ind w:firstLine="480" w:firstLineChars="200"/>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color w:val="auto"/>
          <w:sz w:val="24"/>
          <w:szCs w:val="24"/>
        </w:rPr>
        <w:t>（2）磋商当日，供应商不必抵达开标现场，可通过公共资源交易不见面开标系统参加磋商会议。</w:t>
      </w:r>
      <w:r>
        <w:rPr>
          <w:rFonts w:hint="eastAsia" w:asciiTheme="minorEastAsia" w:hAnsiTheme="minorEastAsia" w:eastAsiaTheme="minorEastAsia" w:cstheme="minorEastAsia"/>
          <w:color w:val="auto"/>
          <w:sz w:val="24"/>
          <w:szCs w:val="24"/>
          <w:lang w:val="zh-CN"/>
        </w:rPr>
        <w:t>不见面开标大厅登录方式为：</w:t>
      </w:r>
      <w:r>
        <w:rPr>
          <w:rFonts w:hint="eastAsia" w:asciiTheme="minorEastAsia" w:hAnsiTheme="minorEastAsia" w:eastAsiaTheme="minorEastAsia" w:cstheme="minorEastAsia"/>
          <w:b/>
          <w:bCs/>
          <w:color w:val="auto"/>
          <w:sz w:val="24"/>
          <w:szCs w:val="24"/>
          <w:lang w:val="zh-CN"/>
        </w:rPr>
        <w:t>全国公共资源交易平台（陕西省·宝鸡市）</w:t>
      </w:r>
      <w:r>
        <w:rPr>
          <w:rFonts w:hint="eastAsia" w:asciiTheme="minorEastAsia" w:hAnsiTheme="minorEastAsia" w:eastAsiaTheme="minorEastAsia" w:cstheme="minorEastAsia"/>
          <w:b/>
          <w:bCs/>
          <w:color w:val="auto"/>
          <w:sz w:val="24"/>
          <w:szCs w:val="24"/>
        </w:rPr>
        <w:t>宝鸡市公共资源交易中心</w:t>
      </w:r>
      <w:r>
        <w:rPr>
          <w:rFonts w:hint="eastAsia" w:asciiTheme="minorEastAsia" w:hAnsiTheme="minorEastAsia" w:eastAsiaTheme="minorEastAsia" w:cstheme="minorEastAsia"/>
          <w:b/>
          <w:bCs/>
          <w:color w:val="auto"/>
          <w:sz w:val="24"/>
          <w:szCs w:val="24"/>
          <w:lang w:val="zh-CN"/>
        </w:rPr>
        <w:t>→不见面开标。</w:t>
      </w:r>
    </w:p>
    <w:p w14:paraId="26D97309">
      <w:pPr>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（3）供应商应提前1小时登录远程不见面开标大厅，调试设备至正常状态，并在远程不见面开标大厅中进行远程签到。</w:t>
      </w:r>
    </w:p>
    <w:p w14:paraId="36BBF1B7">
      <w:pPr>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（4）开标时，供应商须使用电子响应文件加密时所用的数字认证证书（CA 锁）在规定的时间内进行远程在线解密。</w:t>
      </w:r>
    </w:p>
    <w:p w14:paraId="1B0277AF">
      <w:pPr>
        <w:spacing w:line="44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（5）响应文件的加密和解密应当使用同一CA锁证书，解密文件时应当使用加密电子响应文件的CA锁证书进行解密；由此导致无法解密电子响应文件造成的后果，由</w:t>
      </w:r>
      <w:r>
        <w:rPr>
          <w:rFonts w:hint="eastAsia" w:asciiTheme="minorEastAsia" w:hAnsiTheme="minorEastAsia" w:eastAsiaTheme="minorEastAsia" w:cstheme="minorEastAsia"/>
          <w:color w:val="auto"/>
          <w:sz w:val="24"/>
        </w:rPr>
        <w:t>供应商</w:t>
      </w:r>
      <w:r>
        <w:rPr>
          <w:rFonts w:hint="eastAsia" w:asciiTheme="minorEastAsia" w:hAnsiTheme="minorEastAsia" w:eastAsiaTheme="minorEastAsia" w:cstheme="minorEastAsia"/>
          <w:color w:val="auto"/>
          <w:sz w:val="24"/>
          <w:szCs w:val="24"/>
        </w:rPr>
        <w:t>自行承担。</w:t>
      </w:r>
    </w:p>
    <w:p w14:paraId="13F2255A">
      <w:pPr>
        <w:spacing w:line="4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rPr>
        <w:t>6</w:t>
      </w: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rPr>
        <w:t>供应商</w:t>
      </w:r>
      <w:r>
        <w:rPr>
          <w:rFonts w:hint="eastAsia" w:asciiTheme="minorEastAsia" w:hAnsiTheme="minorEastAsia" w:eastAsiaTheme="minorEastAsia" w:cstheme="minorEastAsia"/>
          <w:color w:val="auto"/>
          <w:sz w:val="24"/>
          <w:szCs w:val="24"/>
          <w:lang w:val="zh-CN"/>
        </w:rPr>
        <w:t>在收到主持人“开始解密”指令后，应使用“加密该</w:t>
      </w:r>
      <w:r>
        <w:rPr>
          <w:rFonts w:hint="eastAsia" w:asciiTheme="minorEastAsia" w:hAnsiTheme="minorEastAsia" w:eastAsiaTheme="minorEastAsia" w:cstheme="minorEastAsia"/>
          <w:color w:val="auto"/>
          <w:sz w:val="24"/>
          <w:szCs w:val="24"/>
        </w:rPr>
        <w:t>响应</w:t>
      </w:r>
      <w:r>
        <w:rPr>
          <w:rFonts w:hint="eastAsia" w:asciiTheme="minorEastAsia" w:hAnsiTheme="minorEastAsia" w:eastAsiaTheme="minorEastAsia" w:cstheme="minorEastAsia"/>
          <w:color w:val="auto"/>
          <w:sz w:val="24"/>
          <w:szCs w:val="24"/>
          <w:lang w:val="zh-CN"/>
        </w:rPr>
        <w:t>文件的CA锁在线完成</w:t>
      </w:r>
      <w:r>
        <w:rPr>
          <w:rFonts w:hint="eastAsia" w:asciiTheme="minorEastAsia" w:hAnsiTheme="minorEastAsia" w:eastAsiaTheme="minorEastAsia" w:cstheme="minorEastAsia"/>
          <w:color w:val="auto"/>
          <w:sz w:val="24"/>
          <w:szCs w:val="24"/>
        </w:rPr>
        <w:t>响应</w:t>
      </w:r>
      <w:r>
        <w:rPr>
          <w:rFonts w:hint="eastAsia" w:asciiTheme="minorEastAsia" w:hAnsiTheme="minorEastAsia" w:eastAsiaTheme="minorEastAsia" w:cstheme="minorEastAsia"/>
          <w:color w:val="auto"/>
          <w:sz w:val="24"/>
          <w:szCs w:val="24"/>
          <w:lang w:val="zh-CN"/>
        </w:rPr>
        <w:t>文件解密。除因【宝鸡市公共资源交易中心】断电、断网、系统故障及其他不可抗力等因素，导致“不见面开标”系统无法正常运行外，</w:t>
      </w:r>
      <w:r>
        <w:rPr>
          <w:rFonts w:hint="eastAsia" w:asciiTheme="minorEastAsia" w:hAnsiTheme="minorEastAsia" w:eastAsiaTheme="minorEastAsia" w:cstheme="minorEastAsia"/>
          <w:color w:val="auto"/>
          <w:sz w:val="24"/>
          <w:szCs w:val="24"/>
        </w:rPr>
        <w:t>供应商</w:t>
      </w:r>
      <w:r>
        <w:rPr>
          <w:rFonts w:hint="eastAsia" w:asciiTheme="minorEastAsia" w:hAnsiTheme="minorEastAsia" w:eastAsiaTheme="minorEastAsia" w:cstheme="minorEastAsia"/>
          <w:color w:val="auto"/>
          <w:sz w:val="24"/>
          <w:szCs w:val="24"/>
          <w:lang w:val="zh-CN"/>
        </w:rPr>
        <w:t>应在规定的解密时间内完成解密。</w:t>
      </w:r>
    </w:p>
    <w:p w14:paraId="77DDA640">
      <w:pPr>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（7）线上</w:t>
      </w:r>
      <w:r>
        <w:rPr>
          <w:rFonts w:hint="eastAsia" w:asciiTheme="minorEastAsia" w:hAnsiTheme="minorEastAsia" w:eastAsiaTheme="minorEastAsia" w:cstheme="minorEastAsia"/>
          <w:color w:val="auto"/>
          <w:sz w:val="24"/>
          <w:szCs w:val="24"/>
          <w:lang w:val="zh-CN"/>
        </w:rPr>
        <w:t>开标结束进入评审环节。</w:t>
      </w:r>
      <w:r>
        <w:rPr>
          <w:rFonts w:hint="eastAsia" w:asciiTheme="minorEastAsia" w:hAnsiTheme="minorEastAsia" w:eastAsiaTheme="minorEastAsia" w:cstheme="minorEastAsia"/>
          <w:color w:val="auto"/>
          <w:sz w:val="24"/>
          <w:szCs w:val="24"/>
        </w:rPr>
        <w:t>供应商</w:t>
      </w:r>
      <w:r>
        <w:rPr>
          <w:rFonts w:hint="eastAsia" w:asciiTheme="minorEastAsia" w:hAnsiTheme="minorEastAsia" w:eastAsiaTheme="minorEastAsia" w:cstheme="minorEastAsia"/>
          <w:color w:val="auto"/>
          <w:sz w:val="24"/>
          <w:szCs w:val="24"/>
          <w:lang w:val="zh-CN"/>
        </w:rPr>
        <w:t>应保持在线因</w:t>
      </w:r>
      <w:r>
        <w:rPr>
          <w:rFonts w:hint="eastAsia" w:asciiTheme="minorEastAsia" w:hAnsiTheme="minorEastAsia" w:eastAsiaTheme="minorEastAsia" w:cstheme="minorEastAsia"/>
          <w:color w:val="auto"/>
          <w:sz w:val="24"/>
          <w:szCs w:val="24"/>
        </w:rPr>
        <w:t>供应</w:t>
      </w:r>
      <w:r>
        <w:rPr>
          <w:rFonts w:hint="eastAsia" w:asciiTheme="minorEastAsia" w:hAnsiTheme="minorEastAsia" w:eastAsiaTheme="minorEastAsia" w:cstheme="minorEastAsia"/>
          <w:color w:val="auto"/>
          <w:sz w:val="24"/>
          <w:szCs w:val="24"/>
          <w:lang w:val="zh-CN"/>
        </w:rPr>
        <w:t>擅自离席造成的不利后果，由</w:t>
      </w:r>
      <w:r>
        <w:rPr>
          <w:rFonts w:hint="eastAsia" w:asciiTheme="minorEastAsia" w:hAnsiTheme="minorEastAsia" w:eastAsiaTheme="minorEastAsia" w:cstheme="minorEastAsia"/>
          <w:color w:val="auto"/>
          <w:sz w:val="24"/>
          <w:szCs w:val="24"/>
        </w:rPr>
        <w:t>供应商</w:t>
      </w:r>
      <w:r>
        <w:rPr>
          <w:rFonts w:hint="eastAsia" w:asciiTheme="minorEastAsia" w:hAnsiTheme="minorEastAsia" w:eastAsiaTheme="minorEastAsia" w:cstheme="minorEastAsia"/>
          <w:color w:val="auto"/>
          <w:sz w:val="24"/>
          <w:szCs w:val="24"/>
          <w:lang w:val="zh-CN"/>
        </w:rPr>
        <w:t>自行承担。</w:t>
      </w:r>
    </w:p>
    <w:p w14:paraId="29595BE6">
      <w:pPr>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（8）线上开标流程结束后各供应商需在不见面开标系统内等待磋商小组发起在线磋商，投标供应商收到磋商小组在线磋商通知后，点击进入询标室与磋商小组连麦进行磋商。</w:t>
      </w:r>
    </w:p>
    <w:p w14:paraId="6633A2BF">
      <w:pPr>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注：投标供应商在整个磋商过程中因退出不见面开标系统或未及时接受在线磋商通知或因自身原因导致无法正常进行磋商的，导致的不利后果由供应商自行承担。</w:t>
      </w:r>
    </w:p>
    <w:p w14:paraId="287D1AAC">
      <w:pPr>
        <w:numPr>
          <w:ilvl w:val="0"/>
          <w:numId w:val="3"/>
        </w:numPr>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小组完成在线磋商后发起最后报价，投标供应商可通过“不见面开标大厅”直接跳转到二次报价页面进行报价并签章后提交。最后报价一旦提交后，供应商不得以任何理由撤回，供应商未按磋商小组要求在规定时间内提交最后报价的，视为其退出磋商。</w:t>
      </w:r>
    </w:p>
    <w:p w14:paraId="3FB83494">
      <w:pPr>
        <w:pStyle w:val="49"/>
        <w:spacing w:line="480" w:lineRule="exact"/>
        <w:ind w:firstLine="480"/>
        <w:rPr>
          <w:rFonts w:hint="eastAsia" w:asciiTheme="minorEastAsia" w:hAnsiTheme="minorEastAsia" w:eastAsiaTheme="minorEastAsia" w:cstheme="minorEastAsia"/>
          <w:b/>
          <w:bCs/>
          <w:color w:val="auto"/>
          <w:kern w:val="2"/>
          <w:sz w:val="24"/>
          <w:szCs w:val="24"/>
        </w:rPr>
      </w:pPr>
      <w:r>
        <w:rPr>
          <w:rFonts w:hint="eastAsia" w:asciiTheme="minorEastAsia" w:hAnsiTheme="minorEastAsia" w:eastAsiaTheme="minorEastAsia" w:cstheme="minorEastAsia"/>
          <w:color w:val="auto"/>
          <w:kern w:val="2"/>
          <w:sz w:val="24"/>
          <w:szCs w:val="24"/>
        </w:rPr>
        <w:t>1-4、各供应商需实时在线观看音视频直播并及时互动，供应商</w:t>
      </w:r>
      <w:r>
        <w:rPr>
          <w:rFonts w:hint="eastAsia" w:asciiTheme="minorEastAsia" w:hAnsiTheme="minorEastAsia" w:eastAsiaTheme="minorEastAsia" w:cstheme="minorEastAsia"/>
          <w:color w:val="auto"/>
          <w:kern w:val="2"/>
          <w:sz w:val="24"/>
          <w:szCs w:val="24"/>
          <w:lang w:val="zh-CN"/>
        </w:rPr>
        <w:t>代表对开标过程和开标记录有疑义，以及认为采购人、采购代理机构相关工作人员有需要回避的情形的，应当场提出询问或者回避申请。</w:t>
      </w:r>
      <w:r>
        <w:rPr>
          <w:rFonts w:hint="eastAsia" w:asciiTheme="minorEastAsia" w:hAnsiTheme="minorEastAsia" w:eastAsiaTheme="minorEastAsia" w:cstheme="minorEastAsia"/>
          <w:color w:val="auto"/>
          <w:kern w:val="2"/>
          <w:sz w:val="24"/>
          <w:szCs w:val="24"/>
        </w:rPr>
        <w:t>未按时加入系统或未在线参与互动的，视为放弃标书解密和对开评标全过程质疑、澄清、答辩的权利，并承担由此产生的一切后果。</w:t>
      </w:r>
      <w:r>
        <w:rPr>
          <w:rFonts w:hint="eastAsia" w:asciiTheme="minorEastAsia" w:hAnsiTheme="minorEastAsia" w:eastAsiaTheme="minorEastAsia" w:cstheme="minorEastAsia"/>
          <w:color w:val="auto"/>
          <w:kern w:val="2"/>
          <w:sz w:val="24"/>
          <w:szCs w:val="24"/>
          <w:lang w:val="zh-CN"/>
        </w:rPr>
        <w:t>采购代理机构对</w:t>
      </w:r>
      <w:r>
        <w:rPr>
          <w:rFonts w:hint="eastAsia" w:asciiTheme="minorEastAsia" w:hAnsiTheme="minorEastAsia" w:eastAsiaTheme="minorEastAsia" w:cstheme="minorEastAsia"/>
          <w:color w:val="auto"/>
          <w:kern w:val="2"/>
          <w:sz w:val="24"/>
          <w:szCs w:val="24"/>
        </w:rPr>
        <w:t>供应商</w:t>
      </w:r>
      <w:r>
        <w:rPr>
          <w:rFonts w:hint="eastAsia" w:asciiTheme="minorEastAsia" w:hAnsiTheme="minorEastAsia" w:eastAsiaTheme="minorEastAsia" w:cstheme="minorEastAsia"/>
          <w:color w:val="auto"/>
          <w:kern w:val="2"/>
          <w:sz w:val="24"/>
          <w:szCs w:val="24"/>
          <w:lang w:val="zh-CN"/>
        </w:rPr>
        <w:t>代表提出的询问或者回避申请应当及时处理。</w:t>
      </w:r>
    </w:p>
    <w:p w14:paraId="41A9D4B7">
      <w:pPr>
        <w:spacing w:line="440" w:lineRule="exact"/>
        <w:ind w:firstLine="48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1-5、供应商代表对磋商过程有疑义的，以及认为采购人、采购代理机构相关工作人员有需要回避的情形的，应当在线提出询问或回避申请。</w:t>
      </w:r>
    </w:p>
    <w:p w14:paraId="507FD480">
      <w:pPr>
        <w:spacing w:line="480" w:lineRule="exact"/>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2、评审</w:t>
      </w:r>
    </w:p>
    <w:p w14:paraId="48C58E8A">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2-1、磋商小组</w:t>
      </w:r>
    </w:p>
    <w:p w14:paraId="28BAC5F9">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bookmarkStart w:id="24" w:name="OLE_LINK4"/>
      <w:bookmarkStart w:id="25" w:name="OLE_LINK14"/>
      <w:r>
        <w:rPr>
          <w:rFonts w:hint="eastAsia" w:asciiTheme="minorEastAsia" w:hAnsiTheme="minorEastAsia" w:eastAsiaTheme="minorEastAsia" w:cstheme="minorEastAsia"/>
          <w:color w:val="auto"/>
          <w:sz w:val="24"/>
          <w:szCs w:val="24"/>
        </w:rPr>
        <w:t>采购代理机构根据《中华人民共和国政府采购法》及其实施条例、《政府采购竞争性磋商采购方式管理暂行办法》的通知（财库【2014】214号）等规定，依法组建磋商小组。本项目磋商小组由采购代理机构工作人员在陕西省政府采购网随机抽取评审专家2名及采购人代表1名共同组成。</w:t>
      </w:r>
    </w:p>
    <w:p w14:paraId="6DCD8FE7">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（2）采购人派一名代表进入磋商小组，并向采购代理机构出具授权函。</w:t>
      </w:r>
      <w:bookmarkEnd w:id="24"/>
    </w:p>
    <w:p w14:paraId="191F8637">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（3）磋商小组应推荐一名评审专家担任评审组长，并由评审组长牵头组织该项目评审工作，采购人代表不得担任评审组长。</w:t>
      </w:r>
    </w:p>
    <w:bookmarkEnd w:id="25"/>
    <w:p w14:paraId="389E15BA">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（4）磋商小组成员应当遵守并履行下列职责义务：</w:t>
      </w:r>
    </w:p>
    <w:p w14:paraId="4399B241">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a、遵纪守法，客观、公正、认真负责地履行职责，根据磋商文件规定的评审程序、评审方法和评审标准审查磋商响应文件；</w:t>
      </w:r>
    </w:p>
    <w:p w14:paraId="4B2EEB3F">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b、资格审查、符合性审查、评价磋商响应文件是否符合磋商文件的商务、技术等实质性要求；</w:t>
      </w:r>
    </w:p>
    <w:p w14:paraId="2D1C8A73">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c、要求供应商对磋商响应文件有关事项作出澄清或者说明；</w:t>
      </w:r>
    </w:p>
    <w:p w14:paraId="1BFD6C29">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d、对磋商响应文件进行比较和评价；</w:t>
      </w:r>
    </w:p>
    <w:p w14:paraId="621F7742">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e、推荐成交候选单位名单，对磋商意见承担个人责任；</w:t>
      </w:r>
    </w:p>
    <w:p w14:paraId="16A56F8A">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f、拟定磋商结果；</w:t>
      </w:r>
    </w:p>
    <w:p w14:paraId="354700B7">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g、对磋商过程及各供应商的商业机密予以保密；</w:t>
      </w:r>
    </w:p>
    <w:p w14:paraId="2BB1F19E">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h、向财政部门报告在评审过程中发现的供应商的违法违规行为；</w:t>
      </w:r>
    </w:p>
    <w:p w14:paraId="3B370542">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i、配合采购人、采购代理机构答复各供应商提出的质疑；</w:t>
      </w:r>
    </w:p>
    <w:p w14:paraId="2BBE3BBE">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j、配合各部门的投诉处理和监督检查工作。</w:t>
      </w:r>
    </w:p>
    <w:p w14:paraId="5F6BF683">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2-2、在政府采购活动中，采购人员及相关人员（包括磋商小组）与供应商有下列利害关系之一的，应当回避：</w:t>
      </w:r>
    </w:p>
    <w:p w14:paraId="07D3E7DD">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（1）参加采购活动前3年内与供应商存在劳动关系；</w:t>
      </w:r>
    </w:p>
    <w:p w14:paraId="63436DBB">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（2）参加采购活动前3年内担任供应商的董事、监事；</w:t>
      </w:r>
    </w:p>
    <w:p w14:paraId="6A75B458">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（3）参加采购活动前3年内是供应商的控股股东或者实际控制人；</w:t>
      </w:r>
    </w:p>
    <w:p w14:paraId="3A93A268">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（4）与供应商的法定代表人或者负责人有夫妻、直系血亲、三代以内旁系血亲或者近姻亲关系；</w:t>
      </w:r>
    </w:p>
    <w:p w14:paraId="259420F2">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（5）与供应商有其他可能影响政府采购活动公平、公正进行的关系。</w:t>
      </w:r>
    </w:p>
    <w:p w14:paraId="6A55CA21">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2-3、磋商原则：坚持公平、公正、科学、择优原则，禁止不正当竞争。</w:t>
      </w:r>
    </w:p>
    <w:p w14:paraId="1C4A9945">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2-4、评审办法：本次磋商采用综合评分法（详见本节评分标准）。</w:t>
      </w:r>
    </w:p>
    <w:p w14:paraId="51AFA9E7">
      <w:pPr>
        <w:spacing w:line="480" w:lineRule="exact"/>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2-5、磋商工作程序：</w:t>
      </w:r>
      <w:r>
        <w:rPr>
          <w:rFonts w:hint="eastAsia" w:asciiTheme="minorEastAsia" w:hAnsiTheme="minorEastAsia" w:eastAsiaTheme="minorEastAsia" w:cstheme="minorEastAsia"/>
          <w:color w:val="auto"/>
          <w:sz w:val="24"/>
          <w:szCs w:val="24"/>
        </w:rPr>
        <w:t>以资格审查、符合性审查、澄清、评价、推荐成交候选人的工作程序进行评审。</w:t>
      </w:r>
    </w:p>
    <w:p w14:paraId="402E26C9">
      <w:pPr>
        <w:spacing w:line="48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2-5-1、资格审查</w:t>
      </w:r>
    </w:p>
    <w:p w14:paraId="3499C59B">
      <w:pPr>
        <w:spacing w:line="48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由采购人依法对供应商的资格进行审查, 审查合格的供应商方可进入下一评审阶段。缺项或一项不符合要求即不合格，不合格的供应商其响应无效。</w:t>
      </w:r>
    </w:p>
    <w:p w14:paraId="10ECAC89">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1.满足《中华人民共和国政府采购法》第二十二条规定;</w:t>
      </w:r>
    </w:p>
    <w:p w14:paraId="723DFF0A">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2.落实政府采购政策需满足的资格要求： 无。</w:t>
      </w:r>
    </w:p>
    <w:p w14:paraId="58CD6BC4">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3.本项目的特定资格要求：</w:t>
      </w:r>
    </w:p>
    <w:p w14:paraId="021CA72D">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合同包1(蟠龙高新区扩区调区编制产业规划、用地情况报告、总体发展规划环境影响评价报告第1包)特定资格要求如下:</w:t>
      </w:r>
    </w:p>
    <w:p w14:paraId="041E48D3">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（1）供应商须是具有独立承担民事责任能力的法人、其他组织或自然人，并出具合法有效的营业执照或事业单位法人证书等国家规定的相关证明，自然人参与的提供其身份证明；</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（2）供应商须提供2024年度财务审计报告（成立时间至提交投标文件截止时间不足一年的可提供成立后任意时段的资产负债表）或基本存款账户开户银行出具的资信证明（附开户许可证或开户备案证明）；</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（3）供应商须提供2024年8月至今已缴存的至少一个月的社会保险参保缴费情况证明。</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（4）供应商须提供2024年8月至今缴纳的至少一个月的纳税证明或完税证明，依法免税的单位应提供相关证明材料；</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5）供应商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信用承诺书）；             </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（6）单位负责人为同一人或者存在直接控股、管理关系的不同投标人，不得参加同一合同项下的政府采购活动；（提供承诺书)</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（7）企业开具的近三年在政府采购经营活动中无重大违法记录声明；（成立时间不足三年的供应商提供自成立之日起至开标截止之日止的无重大违法记录声明）； </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8）供应商应授权合法的人员参加磋商全过程，其中法定代表人直接参加磋商的，须出具法定代表人资格证明书及身份证，并与营业执照上信息一致，法定代表人授权代表参加磋商的，须出具法定代表人资格证明书、授权书及被授权代表身份证；</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（9）提供具有履行合同所必需的设备和专业技术能力的承诺书；</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（10）供应商须提供合格有效的城乡规划编制资质乙级及以上证书。</w:t>
      </w:r>
    </w:p>
    <w:p w14:paraId="39C00397">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合同包2(蟠龙高新区扩区调区编制产业规划、用地情况报告、总体发展规划环境影响评价报告第2包)特定资格要求如下:</w:t>
      </w:r>
    </w:p>
    <w:p w14:paraId="78F57A38">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（1）供应商须是具有独立承担民事责任能力的法人、其他组织或自然人，并出具合法有效的营业执照或事业单位法人证书等国家规定的相关证明，自然人参与的提供其身份证明；</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（2）供应商须提供2024年度财务审计报告（成立时间至提交投标文件截止时间不足一年的可提供成立后任意时段的资产负债表）或基本存款账户开户银行出具的资信证明（附开户许可证或开户备案证明）；</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（3）供应商须提供2024年8月至今已缴存的至少一个月的社会保险参保缴费情况证明。</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（4）供应商须提供2024年8月至今缴纳的至少一个月的纳税证明或完税证明，依法免税的单位应提供相关证明材料；</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5）供应商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信用承诺书）；             </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（6）单位负责人为同一人或者存在直接控股、管理关系的不同投标人，不得参加同一合同项下的政府采购活动；（提供承诺书)</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（7）企业开具的近三年在政府采购经营活动中无重大违法记录声明；（成立时间不足三年的供应商提供自成立之日起至开标截止之日止的无重大违法记录声明）； </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8）供应商应授权合法的人员参加磋商全过程，其中法定代表人直接参加磋商的，须出具法定代表人资格证明书及身份证，并与营业执照上信息一致，法定代表人授权代表参加磋商的，须出具法定代表人资格证明书、授权书及被授权代表身份证；</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（9）提供具有履行合同所必需的设备和专业技术能力的承诺书；</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（10）供应商须提供合格有效的城乡规划编制资质乙级及以上证书或土地规划乙级及以上证书。</w:t>
      </w:r>
    </w:p>
    <w:p w14:paraId="22ABB00D">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合同包3(蟠龙高新区扩区调区编制产业规划、用地情况报告、总体发展规划环境影响评价报告第3包)特定资格要求如下:</w:t>
      </w:r>
    </w:p>
    <w:p w14:paraId="3F617F56">
      <w:pPr>
        <w:pStyle w:val="2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供应商须是具有独立承担民事责任能力的法人、其他组织或自然人，并出具合法有效的营业执照或事业单位法人证书等国家规定的相关证明，自然人参与的提供其身份证明；</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（2）供应商须提供2024年度财务审计报告（成立时间至提交投标文件截止时间不足一年的可提供成立后任意时段的资产负债表）或基本存款账户开户银行出具的资信证明（附开户许可证或开户备案证明）；</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（3）供应商须提供2024年8月至今已缴存的至少一个月的社会保险参保缴费情况证明。</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（4）供应商须提供2024年8月至今缴纳的至少一个月的纳税证明或完税证明，依法免税的单位应提供相关证明材料；</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5）供应商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信用承诺书）；             </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（6）单位负责人为同一人或者存在直接控股、管理关系的不同投标人，不得参加同一合同项下的政府采购活动；（提供承诺书)</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（7）企业开具的近三年在政府采购经营活动中无重大违法记录声明；（成立时间不足三年的供应商提供自成立之日起至开标截止之日止的无重大违法记录声明）； </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8）供应商应授权合法的人员参加磋商全过程，其中法定代表人直接参加磋商的，须出具法定代表人资格证明书及身份证，并与营业执照上信息一致，法定代表人授权代表参加磋商的，须出具法定代表人资格证明书、授权书及被授权代表身份证；</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（9）提供具有履行合同所必需的设备和专业技术能力的承诺书；</w:t>
      </w:r>
    </w:p>
    <w:p w14:paraId="663F904B">
      <w:pPr>
        <w:pStyle w:val="2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0" w:right="0" w:rightChars="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（10）供应商须在环境影响评价信用平台注册（以网站截图为准）且拟派项目负责人须具备环境影响评价工程师资格证；</w:t>
      </w:r>
    </w:p>
    <w:p w14:paraId="6347F088">
      <w:pPr>
        <w:spacing w:line="480" w:lineRule="exact"/>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2-5-2、符合性审查</w:t>
      </w:r>
    </w:p>
    <w:p w14:paraId="23166BBB">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依据磋商文件的规定，对资格合格者磋商响应文件的有效性，完整性和对磋商文件的响应程度进行审查，以确定是否对磋商文件的实质性内容做出响应，包含但不限于以下内容，未通过审查的按无效投标处理：</w:t>
      </w:r>
    </w:p>
    <w:p w14:paraId="0A85D402">
      <w:pPr>
        <w:overflowPunct w:val="0"/>
        <w:adjustRightInd w:val="0"/>
        <w:snapToGrid w:val="0"/>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（1）供应商名称与登记领取磋商文件的单位名称是否一致；</w:t>
      </w:r>
    </w:p>
    <w:p w14:paraId="5D5ABF3F">
      <w:pPr>
        <w:overflowPunct w:val="0"/>
        <w:adjustRightInd w:val="0"/>
        <w:snapToGrid w:val="0"/>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（2）磋商响应文件是否按照磋商文件的要求盖章签字；</w:t>
      </w:r>
    </w:p>
    <w:p w14:paraId="29BE3AF9">
      <w:pPr>
        <w:overflowPunct w:val="0"/>
        <w:adjustRightInd w:val="0"/>
        <w:snapToGrid w:val="0"/>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（3）磋商保证金是否按要求提供；</w:t>
      </w:r>
    </w:p>
    <w:p w14:paraId="51722627">
      <w:pPr>
        <w:overflowPunct w:val="0"/>
        <w:adjustRightInd w:val="0"/>
        <w:snapToGrid w:val="0"/>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（4）磋商响应内容是否有重大缺漏项；</w:t>
      </w:r>
    </w:p>
    <w:p w14:paraId="4566954F">
      <w:pPr>
        <w:overflowPunct w:val="0"/>
        <w:adjustRightInd w:val="0"/>
        <w:snapToGrid w:val="0"/>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（5）磋商报价是否超过采购预算或最高限价；</w:t>
      </w:r>
    </w:p>
    <w:p w14:paraId="31D45576">
      <w:pPr>
        <w:overflowPunct w:val="0"/>
        <w:adjustRightInd w:val="0"/>
        <w:snapToGrid w:val="0"/>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（6）磋商有效期是否符合磋商文件的要求；</w:t>
      </w:r>
    </w:p>
    <w:p w14:paraId="37CBFA71">
      <w:pPr>
        <w:overflowPunct w:val="0"/>
        <w:adjustRightInd w:val="0"/>
        <w:snapToGrid w:val="0"/>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（7）对磋商文件商务要求是否作出明确且实质性响应； </w:t>
      </w:r>
    </w:p>
    <w:p w14:paraId="7EA09BE0">
      <w:pPr>
        <w:overflowPunct w:val="0"/>
        <w:adjustRightInd w:val="0"/>
        <w:snapToGrid w:val="0"/>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（8）磋商响应文件是否含有采购人不能接受的附加条件；</w:t>
      </w:r>
    </w:p>
    <w:p w14:paraId="5EEEC7D5">
      <w:pPr>
        <w:overflowPunct w:val="0"/>
        <w:adjustRightInd w:val="0"/>
        <w:snapToGrid w:val="0"/>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（9）是否含有法律、法规和磋商文件规定的其他无效响应情形。</w:t>
      </w:r>
    </w:p>
    <w:p w14:paraId="5806715F">
      <w:pPr>
        <w:overflowPunct w:val="0"/>
        <w:adjustRightInd w:val="0"/>
        <w:snapToGrid w:val="0"/>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2-5-3、竞争性磋商响应文件的澄清：</w:t>
      </w:r>
    </w:p>
    <w:p w14:paraId="063B24B0">
      <w:pPr>
        <w:overflowPunct w:val="0"/>
        <w:adjustRightInd w:val="0"/>
        <w:snapToGrid w:val="0"/>
        <w:spacing w:line="480" w:lineRule="exact"/>
        <w:ind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268E8CB">
      <w:pPr>
        <w:overflowPunct w:val="0"/>
        <w:adjustRightInd w:val="0"/>
        <w:snapToGrid w:val="0"/>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（2）书写错误的评审标准：</w:t>
      </w:r>
    </w:p>
    <w:p w14:paraId="51C43798">
      <w:pPr>
        <w:overflowPunct w:val="0"/>
        <w:adjustRightInd w:val="0"/>
        <w:snapToGrid w:val="0"/>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磋商小组在评审过程中，发现竞争性磋商响应文件出现下列情况之一者，按以下原则修正：</w:t>
      </w:r>
    </w:p>
    <w:p w14:paraId="27D8162C">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a、磋商响应文件有关内容与“磋商报价一览表”不一致的，以“磋商报价一览表”为准；</w:t>
      </w:r>
    </w:p>
    <w:p w14:paraId="05995C01">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b、大写金额与小写金额不一致的，以大写金额为准；</w:t>
      </w:r>
    </w:p>
    <w:p w14:paraId="16B2FF5D">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c、单价金额小数点或者百分比有明显错位的，以“磋商报价一览表”的总价为准，并修改单价；</w:t>
      </w:r>
    </w:p>
    <w:p w14:paraId="5B0A8B17">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d、总价金额与按单价汇总金额不一致的，以单价乘以数量的计算结果为准；</w:t>
      </w:r>
    </w:p>
    <w:p w14:paraId="3D6C4ECE">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e、磋商响应文件图表与文字不符时，以文字为准；</w:t>
      </w:r>
    </w:p>
    <w:p w14:paraId="6BB9108F">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f、对不同文字文本磋商响应文件的解释发生异议的，以中文文本为准；</w:t>
      </w:r>
    </w:p>
    <w:p w14:paraId="07BD4848">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h、多处内容交叉不符时，以磋商小组评审结果为准。</w:t>
      </w:r>
    </w:p>
    <w:p w14:paraId="18ADC765">
      <w:pPr>
        <w:spacing w:line="480" w:lineRule="exact"/>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注：按上述方法修正的内容（其中，同时出现上述a至d两种以上不一致的，按上述规定的顺序修正），经供应商确认后产生约束力，供应商不确认的，其磋商响应无效。</w:t>
      </w:r>
    </w:p>
    <w:p w14:paraId="45686BCB">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磋商小组认为供应商的报价明显低于其他通过符合性审查供应商的报价，有可能影响工程质量或者不能诚信履约的，应当要求其在评审现场合理的时间内提供书面说明，必要时提交相关证明材料；供应商不能证明其报价合理性的，磋商小组应当将其作为无效磋商响应处理。</w:t>
      </w:r>
    </w:p>
    <w:p w14:paraId="35ABDC18">
      <w:pPr>
        <w:spacing w:line="48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2-5-4、评议：</w:t>
      </w:r>
    </w:p>
    <w:p w14:paraId="06485B63">
      <w:pPr>
        <w:spacing w:line="48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（1）磋商小组评审竞争性磋商响应文件响应性及符合性只根据竞争性磋商响应文件本身的内容，而不寻求其他外部证据。</w:t>
      </w:r>
    </w:p>
    <w:p w14:paraId="7295C8CD">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（2）磋商小组所有成员应当集中与单一供应商分别进行在线磋商，并给予所有参加磋商的供应商平等的磋商机会。</w:t>
      </w:r>
    </w:p>
    <w:p w14:paraId="315368A4">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（3）在磋商过程中，磋商小组可以根据磋商文件和磋商情况实质性变动采购需求中的技术、服务要求以及合同草案条款，但不得变动磋商文件中的其他内容。实质性变动的内容，须经采购人代表确认。</w:t>
      </w:r>
    </w:p>
    <w:p w14:paraId="156D16E5">
      <w:pPr>
        <w:spacing w:line="440" w:lineRule="exact"/>
        <w:ind w:firstLine="480"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（4）在线磋商结束后，磋商小组应当要求所有实质性响应的</w:t>
      </w:r>
      <w:r>
        <w:rPr>
          <w:rFonts w:hint="eastAsia" w:asciiTheme="minorEastAsia" w:hAnsiTheme="minorEastAsia" w:eastAsiaTheme="minorEastAsia" w:cstheme="minorEastAsia"/>
          <w:color w:val="auto"/>
          <w:sz w:val="24"/>
        </w:rPr>
        <w:t>供应商</w:t>
      </w:r>
      <w:r>
        <w:rPr>
          <w:rFonts w:hint="eastAsia" w:asciiTheme="minorEastAsia" w:hAnsiTheme="minorEastAsia" w:eastAsiaTheme="minorEastAsia" w:cstheme="minorEastAsia"/>
          <w:color w:val="auto"/>
          <w:sz w:val="24"/>
          <w:szCs w:val="24"/>
        </w:rPr>
        <w:t>在规定时间内提交最后报价。</w:t>
      </w:r>
      <w:r>
        <w:rPr>
          <w:rFonts w:hint="eastAsia" w:asciiTheme="minorEastAsia" w:hAnsiTheme="minorEastAsia" w:eastAsiaTheme="minorEastAsia" w:cstheme="minorEastAsia"/>
          <w:b/>
          <w:bCs/>
          <w:color w:val="auto"/>
          <w:sz w:val="24"/>
          <w:szCs w:val="24"/>
        </w:rPr>
        <w:t>供应商须用数字认证证书（CA锁）登陆系统在线进行最后报价，在线签章提交最终报价，系统按照评标规则自动计分。</w:t>
      </w:r>
    </w:p>
    <w:p w14:paraId="278150B3">
      <w:pPr>
        <w:spacing w:line="48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评审采取逐项分步评审方式，每一步评审不符合者，按无效投标处理，不进入下一步评审。经磋商确定最终采购需求和提交最后报价后，由磋商小组采用综合评分法对提交最后报价的供应商的响应文件和最后报价进行综合评分。</w:t>
      </w:r>
    </w:p>
    <w:p w14:paraId="64462FC1">
      <w:pPr>
        <w:overflowPunct w:val="0"/>
        <w:adjustRightInd w:val="0"/>
        <w:snapToGrid w:val="0"/>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（6）其他需说明的情况：</w:t>
      </w:r>
    </w:p>
    <w:p w14:paraId="7D018701">
      <w:pPr>
        <w:overflowPunct w:val="0"/>
        <w:adjustRightInd w:val="0"/>
        <w:snapToGrid w:val="0"/>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a、对于竞争性磋商响应文件中不构成实质性偏差的小的不正规、不一致或不规则，采购人可以接受，但这种接受不能损害或影响任何供应商的相对排序；</w:t>
      </w:r>
    </w:p>
    <w:p w14:paraId="12D6B25A">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b、最低报价不是成交的唯一条件；</w:t>
      </w:r>
    </w:p>
    <w:p w14:paraId="5F2F36F8">
      <w:pPr>
        <w:overflowPunct w:val="0"/>
        <w:adjustRightInd w:val="0"/>
        <w:snapToGrid w:val="0"/>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c、如果磋商响应实质上没有响应竞争性磋商文件的要求，其磋商响应将被拒绝，供应商不得通过修正或撤销不合要求的偏离或保留从而使其磋商响应成为实质上响应的磋商响应。</w:t>
      </w:r>
    </w:p>
    <w:p w14:paraId="0ED46C78">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d、无论磋商的结果如何，磋商期间一切费用自理。</w:t>
      </w:r>
    </w:p>
    <w:p w14:paraId="00DB2923">
      <w:pPr>
        <w:spacing w:line="480" w:lineRule="exact"/>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2-6、评分标准</w:t>
      </w:r>
    </w:p>
    <w:tbl>
      <w:tblPr>
        <w:tblStyle w:val="25"/>
        <w:tblpPr w:leftFromText="180" w:rightFromText="180" w:vertAnchor="text" w:horzAnchor="page" w:tblpX="1500" w:tblpY="457"/>
        <w:tblOverlap w:val="never"/>
        <w:tblW w:w="4691"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108" w:type="dxa"/>
          <w:bottom w:w="0" w:type="dxa"/>
          <w:right w:w="108" w:type="dxa"/>
        </w:tblCellMar>
      </w:tblPr>
      <w:tblGrid>
        <w:gridCol w:w="318"/>
        <w:gridCol w:w="723"/>
        <w:gridCol w:w="343"/>
        <w:gridCol w:w="7813"/>
      </w:tblGrid>
      <w:tr w14:paraId="3BEF94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898" w:hRule="exact"/>
        </w:trPr>
        <w:tc>
          <w:tcPr>
            <w:tcW w:w="172" w:type="pct"/>
            <w:tcBorders>
              <w:tl2br w:val="nil"/>
              <w:tr2bl w:val="nil"/>
            </w:tcBorders>
            <w:shd w:val="clear" w:color="auto" w:fill="auto"/>
            <w:noWrap/>
            <w:tcMar>
              <w:left w:w="57" w:type="dxa"/>
              <w:right w:w="57" w:type="dxa"/>
            </w:tcMar>
            <w:vAlign w:val="center"/>
          </w:tcPr>
          <w:p w14:paraId="1245D93C">
            <w:pPr>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color w:val="auto"/>
                <w:sz w:val="21"/>
                <w:szCs w:val="21"/>
                <w:highlight w:val="none"/>
              </w:rPr>
              <w:br w:type="page"/>
            </w:r>
            <w:r>
              <w:rPr>
                <w:rFonts w:hint="eastAsia" w:asciiTheme="minorEastAsia" w:hAnsiTheme="minorEastAsia" w:eastAsiaTheme="minorEastAsia" w:cstheme="minorEastAsia"/>
                <w:b/>
                <w:bCs/>
                <w:color w:val="auto"/>
                <w:sz w:val="21"/>
                <w:szCs w:val="21"/>
                <w:highlight w:val="none"/>
              </w:rPr>
              <w:t>序号</w:t>
            </w:r>
          </w:p>
        </w:tc>
        <w:tc>
          <w:tcPr>
            <w:tcW w:w="392" w:type="pct"/>
            <w:tcBorders>
              <w:tl2br w:val="nil"/>
              <w:tr2bl w:val="nil"/>
            </w:tcBorders>
            <w:shd w:val="clear" w:color="auto" w:fill="auto"/>
            <w:noWrap/>
            <w:tcMar>
              <w:left w:w="57" w:type="dxa"/>
              <w:right w:w="57" w:type="dxa"/>
            </w:tcMar>
            <w:vAlign w:val="center"/>
          </w:tcPr>
          <w:p w14:paraId="5C459445">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评分因素</w:t>
            </w:r>
          </w:p>
        </w:tc>
        <w:tc>
          <w:tcPr>
            <w:tcW w:w="186" w:type="pct"/>
            <w:tcBorders>
              <w:tl2br w:val="nil"/>
              <w:tr2bl w:val="nil"/>
            </w:tcBorders>
            <w:shd w:val="clear" w:color="auto" w:fill="auto"/>
            <w:noWrap/>
            <w:tcMar>
              <w:left w:w="57" w:type="dxa"/>
              <w:right w:w="57" w:type="dxa"/>
            </w:tcMar>
            <w:vAlign w:val="center"/>
          </w:tcPr>
          <w:p w14:paraId="6966D9FF">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c>
          <w:tcPr>
            <w:tcW w:w="4247" w:type="pct"/>
            <w:tcBorders>
              <w:tl2br w:val="nil"/>
              <w:tr2bl w:val="nil"/>
            </w:tcBorders>
            <w:shd w:val="clear" w:color="auto" w:fill="auto"/>
            <w:noWrap/>
            <w:tcMar>
              <w:left w:w="57" w:type="dxa"/>
              <w:right w:w="57" w:type="dxa"/>
            </w:tcMar>
            <w:vAlign w:val="center"/>
          </w:tcPr>
          <w:p w14:paraId="58FC8B43">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r>
      <w:tr w14:paraId="0DA03E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72" w:type="pct"/>
            <w:tcBorders>
              <w:tl2br w:val="nil"/>
              <w:tr2bl w:val="nil"/>
            </w:tcBorders>
            <w:shd w:val="clear" w:color="auto" w:fill="auto"/>
            <w:noWrap/>
            <w:tcMar>
              <w:left w:w="57" w:type="dxa"/>
              <w:right w:w="57" w:type="dxa"/>
            </w:tcMar>
            <w:vAlign w:val="center"/>
          </w:tcPr>
          <w:p w14:paraId="3C4B4AA9">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392" w:type="pct"/>
            <w:tcBorders>
              <w:tl2br w:val="nil"/>
              <w:tr2bl w:val="nil"/>
            </w:tcBorders>
            <w:shd w:val="clear" w:color="auto" w:fill="auto"/>
            <w:noWrap/>
            <w:tcMar>
              <w:left w:w="57" w:type="dxa"/>
              <w:right w:w="57" w:type="dxa"/>
            </w:tcMar>
            <w:vAlign w:val="center"/>
          </w:tcPr>
          <w:p w14:paraId="4E9836CC">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磋商报价</w:t>
            </w:r>
          </w:p>
        </w:tc>
        <w:tc>
          <w:tcPr>
            <w:tcW w:w="186" w:type="pct"/>
            <w:tcBorders>
              <w:tl2br w:val="nil"/>
              <w:tr2bl w:val="nil"/>
            </w:tcBorders>
            <w:shd w:val="clear" w:color="auto" w:fill="auto"/>
            <w:noWrap/>
            <w:tcMar>
              <w:left w:w="57" w:type="dxa"/>
              <w:right w:w="57" w:type="dxa"/>
            </w:tcMar>
            <w:vAlign w:val="center"/>
          </w:tcPr>
          <w:p w14:paraId="2F8B279E">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分</w:t>
            </w:r>
          </w:p>
        </w:tc>
        <w:tc>
          <w:tcPr>
            <w:tcW w:w="4247" w:type="pct"/>
            <w:tcBorders>
              <w:tl2br w:val="nil"/>
              <w:tr2bl w:val="nil"/>
            </w:tcBorders>
            <w:shd w:val="clear" w:color="auto" w:fill="auto"/>
            <w:noWrap/>
            <w:tcMar>
              <w:left w:w="142" w:type="dxa"/>
              <w:right w:w="142" w:type="dxa"/>
            </w:tcMar>
            <w:vAlign w:val="center"/>
          </w:tcPr>
          <w:p w14:paraId="7EBB46F5">
            <w:pPr>
              <w:adjustRightInd w:val="0"/>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按照财政部的有关规定：价格分采用低价优先法计算，即满足磋商文件要求且投标价格最低的报价为评标基准价，其价格分为满分。其他投标供应商的价格分统一按照下列公式计算：</w:t>
            </w:r>
          </w:p>
          <w:p w14:paraId="07AA411B">
            <w:pPr>
              <w:adjustRightInd w:val="0"/>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投标报价得分=（评标基准价/投标报价）×价格权值×100%</w:t>
            </w:r>
          </w:p>
          <w:p w14:paraId="7503C611">
            <w:pPr>
              <w:adjustRightInd w:val="0"/>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（1）根据《政府采购促进中小企业发展管理办法》、财库〔2022〕19号的相关规定，投标人是小微企业的，其报价给予10％的扣除，用扣除后的价格参与评审。</w:t>
            </w:r>
          </w:p>
          <w:p w14:paraId="1054916A">
            <w:pPr>
              <w:adjustRightInd w:val="0"/>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（2）根据财库[2014]68 号《财政部司法部关于政府采购支持监狱企业发展有关问题的通知》规定，符合条件的监狱企业，享受政府采购扶持政策。监狱企业视同小型、微型企业，享受评审中价格扣除等政府采购促进中小企业发展的政府采购政策。</w:t>
            </w:r>
          </w:p>
          <w:p w14:paraId="741DEF2E">
            <w:pPr>
              <w:adjustRightInd w:val="0"/>
              <w:snapToGrid w:val="0"/>
              <w:spacing w:line="360" w:lineRule="auto"/>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（3）根据《财政部民政部中国残疾人联合会关于促进残疾人就业政府采购政策的通知》（财库〔2017〕141号）的规定，投标人投标是残疾人福利性单位的，其报价给予 10％的扣除，用扣除后的价格参与投标报价计算。小型、微型企业、监狱企业、残疾人福利性单位以上政策同时具备的仅对其进行一次10%的价格扣除，不重复扣除。</w:t>
            </w:r>
          </w:p>
        </w:tc>
      </w:tr>
      <w:tr w14:paraId="3FB17C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3" w:hRule="atLeast"/>
        </w:trPr>
        <w:tc>
          <w:tcPr>
            <w:tcW w:w="172" w:type="pct"/>
            <w:vMerge w:val="restart"/>
            <w:tcBorders>
              <w:tl2br w:val="nil"/>
              <w:tr2bl w:val="nil"/>
            </w:tcBorders>
            <w:shd w:val="clear" w:color="auto" w:fill="auto"/>
            <w:noWrap/>
            <w:tcMar>
              <w:left w:w="57" w:type="dxa"/>
              <w:right w:w="57" w:type="dxa"/>
            </w:tcMar>
            <w:vAlign w:val="center"/>
          </w:tcPr>
          <w:p w14:paraId="2BE0ADFC">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392" w:type="pct"/>
            <w:vMerge w:val="restart"/>
            <w:tcBorders>
              <w:tl2br w:val="nil"/>
              <w:tr2bl w:val="nil"/>
            </w:tcBorders>
            <w:shd w:val="clear" w:color="auto" w:fill="auto"/>
            <w:noWrap/>
            <w:tcMar>
              <w:left w:w="57" w:type="dxa"/>
              <w:right w:w="57" w:type="dxa"/>
            </w:tcMar>
            <w:vAlign w:val="center"/>
          </w:tcPr>
          <w:p w14:paraId="3B70B3B3">
            <w:pPr>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技术服务方案</w:t>
            </w:r>
          </w:p>
        </w:tc>
        <w:tc>
          <w:tcPr>
            <w:tcW w:w="186" w:type="pct"/>
            <w:tcBorders>
              <w:tl2br w:val="nil"/>
              <w:tr2bl w:val="nil"/>
            </w:tcBorders>
            <w:shd w:val="clear" w:color="auto" w:fill="auto"/>
            <w:noWrap/>
            <w:tcMar>
              <w:left w:w="57" w:type="dxa"/>
              <w:right w:w="57" w:type="dxa"/>
            </w:tcMar>
            <w:vAlign w:val="center"/>
          </w:tcPr>
          <w:p w14:paraId="2986373C">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分</w:t>
            </w:r>
          </w:p>
        </w:tc>
        <w:tc>
          <w:tcPr>
            <w:tcW w:w="4247" w:type="pct"/>
            <w:tcBorders>
              <w:tl2br w:val="nil"/>
              <w:tr2bl w:val="nil"/>
            </w:tcBorders>
            <w:shd w:val="clear" w:color="auto" w:fill="auto"/>
            <w:noWrap/>
            <w:tcMar>
              <w:left w:w="142" w:type="dxa"/>
              <w:right w:w="142" w:type="dxa"/>
            </w:tcMar>
            <w:vAlign w:val="center"/>
          </w:tcPr>
          <w:p w14:paraId="746E9AF4">
            <w:pPr>
              <w:keepNext w:val="0"/>
              <w:keepLines w:val="0"/>
              <w:widowControl/>
              <w:suppressLineNumbers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对本项目的背景研究： </w:t>
            </w:r>
          </w:p>
          <w:p w14:paraId="115AC384">
            <w:pPr>
              <w:keepNext w:val="0"/>
              <w:keepLines w:val="0"/>
              <w:widowControl/>
              <w:suppressLineNumbers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针对本项目的项目背景研究（包括相关政策解读）透彻、清晰性，是否符合项目实际情况进行综合评议，最高得8分。 </w:t>
            </w:r>
          </w:p>
          <w:p w14:paraId="31E37C06">
            <w:pPr>
              <w:keepNext w:val="0"/>
              <w:keepLines w:val="0"/>
              <w:widowControl/>
              <w:suppressLineNumbers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（1）内容完整，对背景研究透彻，思路清晰，符合项目实际情况的，得8分； </w:t>
            </w:r>
          </w:p>
          <w:p w14:paraId="0E439B5E">
            <w:pPr>
              <w:keepNext w:val="0"/>
              <w:keepLines w:val="0"/>
              <w:widowControl/>
              <w:suppressLineNumbers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（2）内容较为完整，对背景研究较为透彻，基本符合项目实际情况的，得5分； </w:t>
            </w:r>
          </w:p>
          <w:p w14:paraId="1F0CEB7C">
            <w:pPr>
              <w:keepNext w:val="0"/>
              <w:keepLines w:val="0"/>
              <w:widowControl/>
              <w:suppressLineNumbers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（3）内容完整性一般，对背景分析深度较为片面，与项目实际情况有偏离的，得3分； </w:t>
            </w:r>
          </w:p>
          <w:p w14:paraId="7F58E279">
            <w:pPr>
              <w:keepNext w:val="0"/>
              <w:keepLines w:val="0"/>
              <w:widowControl/>
              <w:suppressLineNumbers w:val="0"/>
              <w:spacing w:line="360" w:lineRule="auto"/>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000000"/>
                <w:kern w:val="0"/>
                <w:sz w:val="21"/>
                <w:szCs w:val="21"/>
                <w:highlight w:val="none"/>
                <w:lang w:val="en-US" w:eastAsia="zh-CN" w:bidi="ar"/>
              </w:rPr>
              <w:t>未提供的不得分。</w:t>
            </w:r>
          </w:p>
        </w:tc>
      </w:tr>
      <w:tr w14:paraId="62EA00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3" w:hRule="atLeast"/>
        </w:trPr>
        <w:tc>
          <w:tcPr>
            <w:tcW w:w="172" w:type="pct"/>
            <w:vMerge w:val="continue"/>
            <w:tcBorders>
              <w:tl2br w:val="nil"/>
              <w:tr2bl w:val="nil"/>
            </w:tcBorders>
            <w:shd w:val="clear" w:color="auto" w:fill="auto"/>
            <w:noWrap/>
            <w:tcMar>
              <w:left w:w="57" w:type="dxa"/>
              <w:right w:w="57" w:type="dxa"/>
            </w:tcMar>
            <w:vAlign w:val="center"/>
          </w:tcPr>
          <w:p w14:paraId="41841AA2">
            <w:pPr>
              <w:spacing w:line="360" w:lineRule="auto"/>
              <w:jc w:val="center"/>
              <w:rPr>
                <w:rFonts w:hint="eastAsia" w:asciiTheme="minorEastAsia" w:hAnsiTheme="minorEastAsia" w:eastAsiaTheme="minorEastAsia" w:cstheme="minorEastAsia"/>
                <w:color w:val="auto"/>
                <w:sz w:val="21"/>
                <w:szCs w:val="21"/>
                <w:highlight w:val="none"/>
              </w:rPr>
            </w:pPr>
          </w:p>
        </w:tc>
        <w:tc>
          <w:tcPr>
            <w:tcW w:w="392" w:type="pct"/>
            <w:vMerge w:val="continue"/>
            <w:tcBorders>
              <w:tl2br w:val="nil"/>
              <w:tr2bl w:val="nil"/>
            </w:tcBorders>
            <w:shd w:val="clear" w:color="auto" w:fill="auto"/>
            <w:noWrap/>
            <w:tcMar>
              <w:left w:w="57" w:type="dxa"/>
              <w:right w:w="57" w:type="dxa"/>
            </w:tcMar>
            <w:vAlign w:val="center"/>
          </w:tcPr>
          <w:p w14:paraId="43884CD0">
            <w:pPr>
              <w:spacing w:line="360" w:lineRule="auto"/>
              <w:jc w:val="center"/>
              <w:rPr>
                <w:rFonts w:hint="eastAsia" w:asciiTheme="minorEastAsia" w:hAnsiTheme="minorEastAsia" w:eastAsiaTheme="minorEastAsia" w:cstheme="minorEastAsia"/>
                <w:color w:val="auto"/>
                <w:sz w:val="21"/>
                <w:szCs w:val="21"/>
                <w:highlight w:val="none"/>
                <w:lang w:eastAsia="zh-CN"/>
              </w:rPr>
            </w:pPr>
          </w:p>
        </w:tc>
        <w:tc>
          <w:tcPr>
            <w:tcW w:w="186" w:type="pct"/>
            <w:tcBorders>
              <w:tl2br w:val="nil"/>
              <w:tr2bl w:val="nil"/>
            </w:tcBorders>
            <w:shd w:val="clear" w:color="auto" w:fill="auto"/>
            <w:noWrap/>
            <w:tcMar>
              <w:left w:w="57" w:type="dxa"/>
              <w:right w:w="57" w:type="dxa"/>
            </w:tcMar>
            <w:vAlign w:val="center"/>
          </w:tcPr>
          <w:p w14:paraId="57019A4D">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8分</w:t>
            </w:r>
          </w:p>
        </w:tc>
        <w:tc>
          <w:tcPr>
            <w:tcW w:w="4247" w:type="pct"/>
            <w:tcBorders>
              <w:tl2br w:val="nil"/>
              <w:tr2bl w:val="nil"/>
            </w:tcBorders>
            <w:shd w:val="clear" w:color="auto" w:fill="auto"/>
            <w:noWrap/>
            <w:tcMar>
              <w:left w:w="142" w:type="dxa"/>
              <w:right w:w="142" w:type="dxa"/>
            </w:tcMar>
            <w:vAlign w:val="center"/>
          </w:tcPr>
          <w:p w14:paraId="54CD644F">
            <w:pPr>
              <w:keepNext w:val="0"/>
              <w:keepLines w:val="0"/>
              <w:widowControl/>
              <w:suppressLineNumbers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服务工作方法： </w:t>
            </w:r>
          </w:p>
          <w:p w14:paraId="7B0D143C">
            <w:pPr>
              <w:keepNext w:val="0"/>
              <w:keepLines w:val="0"/>
              <w:widowControl/>
              <w:suppressLineNumbers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针对本项目的服务方案中工作方法和技术进行综合评议，最高得8分。 </w:t>
            </w:r>
          </w:p>
          <w:p w14:paraId="1E144081">
            <w:pPr>
              <w:keepNext w:val="0"/>
              <w:keepLines w:val="0"/>
              <w:widowControl/>
              <w:suppressLineNumbers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（1）工作方法全面完整、科学合理、对重难点工作的阐述详细、科学、合理，有建设性，可操作性强的，得8分； </w:t>
            </w:r>
          </w:p>
          <w:p w14:paraId="3F2A3937">
            <w:pPr>
              <w:keepNext w:val="0"/>
              <w:keepLines w:val="0"/>
              <w:widowControl/>
              <w:suppressLineNumbers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（2）工作方法和技术内容基本完整，具有操作性的，得5分； </w:t>
            </w:r>
          </w:p>
          <w:p w14:paraId="4BE6D9C7">
            <w:pPr>
              <w:keepNext w:val="0"/>
              <w:keepLines w:val="0"/>
              <w:widowControl/>
              <w:suppressLineNumbers w:val="0"/>
              <w:spacing w:line="360" w:lineRule="auto"/>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000000"/>
                <w:kern w:val="0"/>
                <w:sz w:val="21"/>
                <w:szCs w:val="21"/>
                <w:highlight w:val="none"/>
                <w:lang w:val="en-US" w:eastAsia="zh-CN" w:bidi="ar"/>
              </w:rPr>
              <w:t>（3）工作方法和技术内容相对不完整的，得3分；未提供，得 0 分。</w:t>
            </w:r>
          </w:p>
        </w:tc>
      </w:tr>
      <w:tr w14:paraId="1027A3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3" w:hRule="atLeast"/>
        </w:trPr>
        <w:tc>
          <w:tcPr>
            <w:tcW w:w="172" w:type="pct"/>
            <w:vMerge w:val="continue"/>
            <w:tcBorders>
              <w:tl2br w:val="nil"/>
              <w:tr2bl w:val="nil"/>
            </w:tcBorders>
            <w:shd w:val="clear" w:color="auto" w:fill="auto"/>
            <w:noWrap/>
            <w:tcMar>
              <w:left w:w="57" w:type="dxa"/>
              <w:right w:w="57" w:type="dxa"/>
            </w:tcMar>
            <w:vAlign w:val="center"/>
          </w:tcPr>
          <w:p w14:paraId="40A1C481">
            <w:pPr>
              <w:spacing w:line="360" w:lineRule="auto"/>
              <w:jc w:val="center"/>
              <w:rPr>
                <w:rFonts w:hint="eastAsia" w:asciiTheme="minorEastAsia" w:hAnsiTheme="minorEastAsia" w:eastAsiaTheme="minorEastAsia" w:cstheme="minorEastAsia"/>
                <w:color w:val="auto"/>
                <w:sz w:val="21"/>
                <w:szCs w:val="21"/>
                <w:highlight w:val="none"/>
              </w:rPr>
            </w:pPr>
          </w:p>
        </w:tc>
        <w:tc>
          <w:tcPr>
            <w:tcW w:w="392" w:type="pct"/>
            <w:vMerge w:val="continue"/>
            <w:tcBorders>
              <w:tl2br w:val="nil"/>
              <w:tr2bl w:val="nil"/>
            </w:tcBorders>
            <w:shd w:val="clear" w:color="auto" w:fill="auto"/>
            <w:noWrap/>
            <w:tcMar>
              <w:left w:w="57" w:type="dxa"/>
              <w:right w:w="57" w:type="dxa"/>
            </w:tcMar>
            <w:vAlign w:val="center"/>
          </w:tcPr>
          <w:p w14:paraId="0C87124A">
            <w:pPr>
              <w:spacing w:line="360" w:lineRule="auto"/>
              <w:jc w:val="center"/>
              <w:rPr>
                <w:rFonts w:hint="eastAsia" w:asciiTheme="minorEastAsia" w:hAnsiTheme="minorEastAsia" w:eastAsiaTheme="minorEastAsia" w:cstheme="minorEastAsia"/>
                <w:color w:val="auto"/>
                <w:sz w:val="21"/>
                <w:szCs w:val="21"/>
                <w:highlight w:val="none"/>
                <w:lang w:eastAsia="zh-CN"/>
              </w:rPr>
            </w:pPr>
          </w:p>
        </w:tc>
        <w:tc>
          <w:tcPr>
            <w:tcW w:w="186" w:type="pct"/>
            <w:tcBorders>
              <w:tl2br w:val="nil"/>
              <w:tr2bl w:val="nil"/>
            </w:tcBorders>
            <w:shd w:val="clear" w:color="auto" w:fill="auto"/>
            <w:noWrap/>
            <w:tcMar>
              <w:left w:w="57" w:type="dxa"/>
              <w:right w:w="57" w:type="dxa"/>
            </w:tcMar>
            <w:vAlign w:val="center"/>
          </w:tcPr>
          <w:p w14:paraId="40D9FFD8">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8分</w:t>
            </w:r>
          </w:p>
        </w:tc>
        <w:tc>
          <w:tcPr>
            <w:tcW w:w="4247" w:type="pct"/>
            <w:tcBorders>
              <w:tl2br w:val="nil"/>
              <w:tr2bl w:val="nil"/>
            </w:tcBorders>
            <w:shd w:val="clear" w:color="auto" w:fill="auto"/>
            <w:noWrap/>
            <w:tcMar>
              <w:left w:w="142" w:type="dxa"/>
              <w:right w:w="142" w:type="dxa"/>
            </w:tcMar>
            <w:vAlign w:val="center"/>
          </w:tcPr>
          <w:p w14:paraId="2CC12CB5">
            <w:pPr>
              <w:keepNext w:val="0"/>
              <w:keepLines w:val="0"/>
              <w:widowControl/>
              <w:suppressLineNumbers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服务需求理解： </w:t>
            </w:r>
          </w:p>
          <w:p w14:paraId="05CB3F4F">
            <w:pPr>
              <w:keepNext w:val="0"/>
              <w:keepLines w:val="0"/>
              <w:widowControl/>
              <w:suppressLineNumbers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针对本项目的服务方案中对服务需求的理解的透彻性、清晰性进行综合评议，最高得 8 分。 </w:t>
            </w:r>
          </w:p>
          <w:p w14:paraId="6F9589D3">
            <w:pPr>
              <w:keepNext w:val="0"/>
              <w:keepLines w:val="0"/>
              <w:widowControl/>
              <w:suppressLineNumbers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（1）对服务需求的理解透彻，思路清晰，分析完整合理的，得8分； </w:t>
            </w:r>
          </w:p>
          <w:p w14:paraId="207383C8">
            <w:pPr>
              <w:keepNext w:val="0"/>
              <w:keepLines w:val="0"/>
              <w:widowControl/>
              <w:suppressLineNumbers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（2）对服务需求的理解相对透彻，思路、分析基本合理的，得5分； </w:t>
            </w:r>
          </w:p>
          <w:p w14:paraId="2328CE2A">
            <w:pPr>
              <w:keepNext w:val="0"/>
              <w:keepLines w:val="0"/>
              <w:widowControl/>
              <w:suppressLineNumbers w:val="0"/>
              <w:spacing w:line="360" w:lineRule="auto"/>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000000"/>
                <w:kern w:val="0"/>
                <w:sz w:val="21"/>
                <w:szCs w:val="21"/>
                <w:highlight w:val="none"/>
                <w:lang w:val="en-US" w:eastAsia="zh-CN" w:bidi="ar"/>
              </w:rPr>
              <w:t>（3）对服务需求的理解一般，思路、分析有所欠缺的，得3分；未提供，得0分。</w:t>
            </w:r>
          </w:p>
        </w:tc>
      </w:tr>
      <w:tr w14:paraId="53034E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72" w:type="pct"/>
            <w:vMerge w:val="continue"/>
            <w:tcBorders>
              <w:tl2br w:val="nil"/>
              <w:tr2bl w:val="nil"/>
            </w:tcBorders>
            <w:shd w:val="clear" w:color="auto" w:fill="auto"/>
            <w:noWrap/>
            <w:tcMar>
              <w:left w:w="57" w:type="dxa"/>
              <w:right w:w="57" w:type="dxa"/>
            </w:tcMar>
            <w:vAlign w:val="center"/>
          </w:tcPr>
          <w:p w14:paraId="0CF4D617">
            <w:pPr>
              <w:spacing w:line="360" w:lineRule="auto"/>
              <w:jc w:val="center"/>
              <w:rPr>
                <w:rFonts w:hint="eastAsia" w:asciiTheme="minorEastAsia" w:hAnsiTheme="minorEastAsia" w:eastAsiaTheme="minorEastAsia" w:cstheme="minorEastAsia"/>
                <w:color w:val="auto"/>
                <w:sz w:val="21"/>
                <w:szCs w:val="21"/>
                <w:highlight w:val="none"/>
              </w:rPr>
            </w:pPr>
          </w:p>
        </w:tc>
        <w:tc>
          <w:tcPr>
            <w:tcW w:w="392" w:type="pct"/>
            <w:vMerge w:val="continue"/>
            <w:tcBorders>
              <w:tl2br w:val="nil"/>
              <w:tr2bl w:val="nil"/>
            </w:tcBorders>
            <w:shd w:val="clear" w:color="auto" w:fill="auto"/>
            <w:noWrap/>
            <w:tcMar>
              <w:left w:w="57" w:type="dxa"/>
              <w:right w:w="57" w:type="dxa"/>
            </w:tcMar>
            <w:vAlign w:val="center"/>
          </w:tcPr>
          <w:p w14:paraId="416C8356">
            <w:pPr>
              <w:spacing w:line="360" w:lineRule="auto"/>
              <w:jc w:val="center"/>
              <w:rPr>
                <w:rFonts w:hint="eastAsia" w:asciiTheme="minorEastAsia" w:hAnsiTheme="minorEastAsia" w:eastAsiaTheme="minorEastAsia" w:cstheme="minorEastAsia"/>
                <w:color w:val="auto"/>
                <w:sz w:val="21"/>
                <w:szCs w:val="21"/>
                <w:highlight w:val="none"/>
                <w:lang w:eastAsia="zh-CN"/>
              </w:rPr>
            </w:pPr>
          </w:p>
        </w:tc>
        <w:tc>
          <w:tcPr>
            <w:tcW w:w="186" w:type="pct"/>
            <w:tcBorders>
              <w:tl2br w:val="nil"/>
              <w:tr2bl w:val="nil"/>
            </w:tcBorders>
            <w:shd w:val="clear" w:color="auto" w:fill="auto"/>
            <w:noWrap/>
            <w:tcMar>
              <w:left w:w="57" w:type="dxa"/>
              <w:right w:w="57" w:type="dxa"/>
            </w:tcMar>
            <w:vAlign w:val="center"/>
          </w:tcPr>
          <w:p w14:paraId="0B2AE6EC">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8分</w:t>
            </w:r>
          </w:p>
        </w:tc>
        <w:tc>
          <w:tcPr>
            <w:tcW w:w="4247" w:type="pct"/>
            <w:tcBorders>
              <w:tl2br w:val="nil"/>
              <w:tr2bl w:val="nil"/>
            </w:tcBorders>
            <w:shd w:val="clear" w:color="auto" w:fill="auto"/>
            <w:noWrap/>
            <w:tcMar>
              <w:left w:w="142" w:type="dxa"/>
              <w:right w:w="142" w:type="dxa"/>
            </w:tcMar>
            <w:vAlign w:val="center"/>
          </w:tcPr>
          <w:p w14:paraId="79D2CC9F">
            <w:pPr>
              <w:keepNext w:val="0"/>
              <w:keepLines w:val="0"/>
              <w:widowControl/>
              <w:suppressLineNumbers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服务目标任务： </w:t>
            </w:r>
          </w:p>
          <w:p w14:paraId="041A9065">
            <w:pPr>
              <w:keepNext w:val="0"/>
              <w:keepLines w:val="0"/>
              <w:widowControl/>
              <w:suppressLineNumbers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针对本项目的服务方案中对目标任务的理解的明确性、可操作性进行综合评议，最高得 8 分。 </w:t>
            </w:r>
          </w:p>
          <w:p w14:paraId="40D0D6AF">
            <w:pPr>
              <w:keepNext w:val="0"/>
              <w:keepLines w:val="0"/>
              <w:widowControl/>
              <w:suppressLineNumbers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（1）目标任务明确，条理清晰，可操作性强的，得8分； </w:t>
            </w:r>
          </w:p>
          <w:p w14:paraId="44AC1E35">
            <w:pPr>
              <w:keepNext w:val="0"/>
              <w:keepLines w:val="0"/>
              <w:widowControl/>
              <w:suppressLineNumbers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（2）目标任务相对明确，条理基本清晰，有一定可操作性的，得5分； </w:t>
            </w:r>
          </w:p>
          <w:p w14:paraId="05A529CE">
            <w:pPr>
              <w:keepNext w:val="0"/>
              <w:keepLines w:val="0"/>
              <w:widowControl/>
              <w:suppressLineNumbers w:val="0"/>
              <w:spacing w:line="360" w:lineRule="auto"/>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000000"/>
                <w:kern w:val="0"/>
                <w:sz w:val="21"/>
                <w:szCs w:val="21"/>
                <w:highlight w:val="none"/>
                <w:lang w:val="en-US" w:eastAsia="zh-CN" w:bidi="ar"/>
              </w:rPr>
              <w:t>（3）目标任务不明确，条理、可操作性欠缺的，得3分；未提供，得0分。</w:t>
            </w:r>
          </w:p>
        </w:tc>
      </w:tr>
      <w:tr w14:paraId="3E67E4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3" w:hRule="atLeast"/>
        </w:trPr>
        <w:tc>
          <w:tcPr>
            <w:tcW w:w="172" w:type="pct"/>
            <w:vMerge w:val="continue"/>
            <w:tcBorders>
              <w:tl2br w:val="nil"/>
              <w:tr2bl w:val="nil"/>
            </w:tcBorders>
            <w:shd w:val="clear" w:color="auto" w:fill="auto"/>
            <w:noWrap/>
            <w:tcMar>
              <w:left w:w="57" w:type="dxa"/>
              <w:right w:w="57" w:type="dxa"/>
            </w:tcMar>
            <w:vAlign w:val="center"/>
          </w:tcPr>
          <w:p w14:paraId="69C5A82F">
            <w:pPr>
              <w:spacing w:line="360" w:lineRule="auto"/>
              <w:jc w:val="center"/>
              <w:rPr>
                <w:rFonts w:hint="eastAsia" w:asciiTheme="minorEastAsia" w:hAnsiTheme="minorEastAsia" w:eastAsiaTheme="minorEastAsia" w:cstheme="minorEastAsia"/>
                <w:color w:val="auto"/>
                <w:sz w:val="21"/>
                <w:szCs w:val="21"/>
                <w:highlight w:val="none"/>
              </w:rPr>
            </w:pPr>
          </w:p>
        </w:tc>
        <w:tc>
          <w:tcPr>
            <w:tcW w:w="392" w:type="pct"/>
            <w:vMerge w:val="continue"/>
            <w:tcBorders>
              <w:tl2br w:val="nil"/>
              <w:tr2bl w:val="nil"/>
            </w:tcBorders>
            <w:shd w:val="clear" w:color="auto" w:fill="auto"/>
            <w:noWrap/>
            <w:tcMar>
              <w:left w:w="57" w:type="dxa"/>
              <w:right w:w="57" w:type="dxa"/>
            </w:tcMar>
            <w:vAlign w:val="center"/>
          </w:tcPr>
          <w:p w14:paraId="16B84241">
            <w:pPr>
              <w:spacing w:line="360" w:lineRule="auto"/>
              <w:jc w:val="center"/>
              <w:rPr>
                <w:rFonts w:hint="eastAsia" w:asciiTheme="minorEastAsia" w:hAnsiTheme="minorEastAsia" w:eastAsiaTheme="minorEastAsia" w:cstheme="minorEastAsia"/>
                <w:color w:val="auto"/>
                <w:sz w:val="21"/>
                <w:szCs w:val="21"/>
                <w:highlight w:val="none"/>
                <w:lang w:eastAsia="zh-CN"/>
              </w:rPr>
            </w:pPr>
          </w:p>
        </w:tc>
        <w:tc>
          <w:tcPr>
            <w:tcW w:w="186" w:type="pct"/>
            <w:tcBorders>
              <w:tl2br w:val="nil"/>
              <w:tr2bl w:val="nil"/>
            </w:tcBorders>
            <w:shd w:val="clear" w:color="auto" w:fill="auto"/>
            <w:noWrap/>
            <w:tcMar>
              <w:left w:w="57" w:type="dxa"/>
              <w:right w:w="57" w:type="dxa"/>
            </w:tcMar>
            <w:vAlign w:val="center"/>
          </w:tcPr>
          <w:p w14:paraId="367F267E">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8分</w:t>
            </w:r>
          </w:p>
        </w:tc>
        <w:tc>
          <w:tcPr>
            <w:tcW w:w="4247" w:type="pct"/>
            <w:tcBorders>
              <w:tl2br w:val="nil"/>
              <w:tr2bl w:val="nil"/>
            </w:tcBorders>
            <w:shd w:val="clear" w:color="auto" w:fill="auto"/>
            <w:noWrap/>
            <w:tcMar>
              <w:left w:w="142" w:type="dxa"/>
              <w:right w:w="142" w:type="dxa"/>
            </w:tcMar>
            <w:vAlign w:val="center"/>
          </w:tcPr>
          <w:p w14:paraId="7187B4A2">
            <w:pPr>
              <w:keepNext w:val="0"/>
              <w:keepLines w:val="0"/>
              <w:widowControl/>
              <w:suppressLineNumbers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服务进度安排： </w:t>
            </w:r>
          </w:p>
          <w:p w14:paraId="1CC3992C">
            <w:pPr>
              <w:keepNext w:val="0"/>
              <w:keepLines w:val="0"/>
              <w:widowControl/>
              <w:suppressLineNumbers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针对本项目的服务方案中对项目的服务进度安排（包括整体进度安排、各阶段工作计划等）进行综合评议，最高得8分。 </w:t>
            </w:r>
          </w:p>
          <w:p w14:paraId="724AC7D6">
            <w:pPr>
              <w:keepNext w:val="0"/>
              <w:keepLines w:val="0"/>
              <w:widowControl/>
              <w:suppressLineNumbers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（1）进度安排内容完整，计划编排合理，可操作性强的，得8分； </w:t>
            </w:r>
          </w:p>
          <w:p w14:paraId="393544B2">
            <w:pPr>
              <w:keepNext w:val="0"/>
              <w:keepLines w:val="0"/>
              <w:widowControl/>
              <w:suppressLineNumbers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（2）进度安排内容相对完整，计划编排基本合理，有一定可操作性的，得5分； </w:t>
            </w:r>
          </w:p>
          <w:p w14:paraId="2A661B33">
            <w:pPr>
              <w:keepNext w:val="0"/>
              <w:keepLines w:val="0"/>
              <w:widowControl/>
              <w:suppressLineNumbers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（3）进度安排内容不完整，计划编排杂乱，可操作性欠缺的，得3分； </w:t>
            </w:r>
          </w:p>
          <w:p w14:paraId="417A58CC">
            <w:pPr>
              <w:keepNext w:val="0"/>
              <w:keepLines w:val="0"/>
              <w:widowControl/>
              <w:suppressLineNumbers w:val="0"/>
              <w:spacing w:line="360" w:lineRule="auto"/>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000000"/>
                <w:kern w:val="0"/>
                <w:sz w:val="21"/>
                <w:szCs w:val="21"/>
                <w:highlight w:val="none"/>
                <w:lang w:val="en-US" w:eastAsia="zh-CN" w:bidi="ar"/>
              </w:rPr>
              <w:t>未提供，得0分。</w:t>
            </w:r>
          </w:p>
        </w:tc>
      </w:tr>
      <w:tr w14:paraId="580AB7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3" w:hRule="atLeast"/>
        </w:trPr>
        <w:tc>
          <w:tcPr>
            <w:tcW w:w="172" w:type="pct"/>
            <w:vMerge w:val="continue"/>
            <w:tcBorders>
              <w:tl2br w:val="nil"/>
              <w:tr2bl w:val="nil"/>
            </w:tcBorders>
            <w:shd w:val="clear" w:color="auto" w:fill="auto"/>
            <w:noWrap/>
            <w:tcMar>
              <w:left w:w="57" w:type="dxa"/>
              <w:right w:w="57" w:type="dxa"/>
            </w:tcMar>
            <w:vAlign w:val="center"/>
          </w:tcPr>
          <w:p w14:paraId="21A714AF">
            <w:pPr>
              <w:spacing w:line="360" w:lineRule="auto"/>
              <w:jc w:val="center"/>
              <w:rPr>
                <w:rFonts w:hint="eastAsia" w:asciiTheme="minorEastAsia" w:hAnsiTheme="minorEastAsia" w:eastAsiaTheme="minorEastAsia" w:cstheme="minorEastAsia"/>
                <w:color w:val="auto"/>
                <w:sz w:val="21"/>
                <w:szCs w:val="21"/>
                <w:highlight w:val="none"/>
              </w:rPr>
            </w:pPr>
          </w:p>
        </w:tc>
        <w:tc>
          <w:tcPr>
            <w:tcW w:w="392" w:type="pct"/>
            <w:vMerge w:val="continue"/>
            <w:tcBorders>
              <w:tl2br w:val="nil"/>
              <w:tr2bl w:val="nil"/>
            </w:tcBorders>
            <w:shd w:val="clear" w:color="auto" w:fill="auto"/>
            <w:noWrap/>
            <w:tcMar>
              <w:left w:w="57" w:type="dxa"/>
              <w:right w:w="57" w:type="dxa"/>
            </w:tcMar>
            <w:vAlign w:val="center"/>
          </w:tcPr>
          <w:p w14:paraId="15A48C62">
            <w:pPr>
              <w:spacing w:line="360" w:lineRule="auto"/>
              <w:jc w:val="center"/>
              <w:rPr>
                <w:rFonts w:hint="eastAsia" w:asciiTheme="minorEastAsia" w:hAnsiTheme="minorEastAsia" w:eastAsiaTheme="minorEastAsia" w:cstheme="minorEastAsia"/>
                <w:color w:val="auto"/>
                <w:sz w:val="21"/>
                <w:szCs w:val="21"/>
                <w:highlight w:val="none"/>
                <w:lang w:eastAsia="zh-CN"/>
              </w:rPr>
            </w:pPr>
          </w:p>
        </w:tc>
        <w:tc>
          <w:tcPr>
            <w:tcW w:w="186" w:type="pct"/>
            <w:tcBorders>
              <w:tl2br w:val="nil"/>
              <w:tr2bl w:val="nil"/>
            </w:tcBorders>
            <w:shd w:val="clear" w:color="auto" w:fill="auto"/>
            <w:noWrap/>
            <w:tcMar>
              <w:left w:w="57" w:type="dxa"/>
              <w:right w:w="57" w:type="dxa"/>
            </w:tcMar>
            <w:vAlign w:val="center"/>
          </w:tcPr>
          <w:p w14:paraId="4A9E20B1">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8分</w:t>
            </w:r>
          </w:p>
        </w:tc>
        <w:tc>
          <w:tcPr>
            <w:tcW w:w="4247" w:type="pct"/>
            <w:tcBorders>
              <w:tl2br w:val="nil"/>
              <w:tr2bl w:val="nil"/>
            </w:tcBorders>
            <w:shd w:val="clear" w:color="auto" w:fill="auto"/>
            <w:noWrap/>
            <w:tcMar>
              <w:left w:w="142" w:type="dxa"/>
              <w:right w:w="142" w:type="dxa"/>
            </w:tcMar>
            <w:vAlign w:val="center"/>
          </w:tcPr>
          <w:p w14:paraId="7E14CDDC">
            <w:pPr>
              <w:keepNext w:val="0"/>
              <w:keepLines w:val="0"/>
              <w:widowControl/>
              <w:suppressLineNumbers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服务保障措施： </w:t>
            </w:r>
          </w:p>
          <w:p w14:paraId="0D627F87">
            <w:pPr>
              <w:keepNext w:val="0"/>
              <w:keepLines w:val="0"/>
              <w:widowControl/>
              <w:suppressLineNumbers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针对各项工作开展，完成以及人员、时间计划的项目实施保障措施方案，最高得8分。 </w:t>
            </w:r>
          </w:p>
          <w:p w14:paraId="47168FF2">
            <w:pPr>
              <w:keepNext w:val="0"/>
              <w:keepLines w:val="0"/>
              <w:widowControl/>
              <w:suppressLineNumbers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（1）措施全面完整，科学合理、可操作性强的，得 8 分； </w:t>
            </w:r>
          </w:p>
          <w:p w14:paraId="7D45BBFD">
            <w:pPr>
              <w:keepNext w:val="0"/>
              <w:keepLines w:val="0"/>
              <w:widowControl/>
              <w:suppressLineNumbers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（2）措施基本完整，具有操作性的，得 5 分； </w:t>
            </w:r>
          </w:p>
          <w:p w14:paraId="347D30CD">
            <w:pPr>
              <w:keepNext w:val="0"/>
              <w:keepLines w:val="0"/>
              <w:widowControl/>
              <w:suppressLineNumbers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（3）措施相对不完整的，得 3 分。 </w:t>
            </w:r>
          </w:p>
          <w:p w14:paraId="29257AD6">
            <w:pPr>
              <w:keepNext w:val="0"/>
              <w:keepLines w:val="0"/>
              <w:widowControl/>
              <w:suppressLineNumbers w:val="0"/>
              <w:spacing w:line="360" w:lineRule="auto"/>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000000"/>
                <w:kern w:val="0"/>
                <w:sz w:val="21"/>
                <w:szCs w:val="21"/>
                <w:highlight w:val="none"/>
                <w:lang w:val="en-US" w:eastAsia="zh-CN" w:bidi="ar"/>
              </w:rPr>
              <w:t>未提供，得 0 分。</w:t>
            </w:r>
          </w:p>
        </w:tc>
      </w:tr>
      <w:tr w14:paraId="11F73C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3" w:hRule="atLeast"/>
        </w:trPr>
        <w:tc>
          <w:tcPr>
            <w:tcW w:w="172" w:type="pct"/>
            <w:vMerge w:val="continue"/>
            <w:tcBorders>
              <w:tl2br w:val="nil"/>
              <w:tr2bl w:val="nil"/>
            </w:tcBorders>
            <w:shd w:val="clear" w:color="auto" w:fill="auto"/>
            <w:noWrap/>
            <w:tcMar>
              <w:left w:w="57" w:type="dxa"/>
              <w:right w:w="57" w:type="dxa"/>
            </w:tcMar>
            <w:vAlign w:val="center"/>
          </w:tcPr>
          <w:p w14:paraId="39F17BD7">
            <w:pPr>
              <w:spacing w:line="360" w:lineRule="auto"/>
              <w:jc w:val="center"/>
              <w:rPr>
                <w:rFonts w:hint="eastAsia" w:asciiTheme="minorEastAsia" w:hAnsiTheme="minorEastAsia" w:eastAsiaTheme="minorEastAsia" w:cstheme="minorEastAsia"/>
                <w:color w:val="auto"/>
                <w:sz w:val="21"/>
                <w:szCs w:val="21"/>
                <w:highlight w:val="none"/>
              </w:rPr>
            </w:pPr>
          </w:p>
        </w:tc>
        <w:tc>
          <w:tcPr>
            <w:tcW w:w="392" w:type="pct"/>
            <w:vMerge w:val="continue"/>
            <w:tcBorders>
              <w:tl2br w:val="nil"/>
              <w:tr2bl w:val="nil"/>
            </w:tcBorders>
            <w:shd w:val="clear" w:color="auto" w:fill="auto"/>
            <w:noWrap/>
            <w:tcMar>
              <w:left w:w="57" w:type="dxa"/>
              <w:right w:w="57" w:type="dxa"/>
            </w:tcMar>
            <w:vAlign w:val="center"/>
          </w:tcPr>
          <w:p w14:paraId="0092873F">
            <w:pPr>
              <w:spacing w:line="360" w:lineRule="auto"/>
              <w:jc w:val="center"/>
              <w:rPr>
                <w:rFonts w:hint="eastAsia" w:asciiTheme="minorEastAsia" w:hAnsiTheme="minorEastAsia" w:eastAsiaTheme="minorEastAsia" w:cstheme="minorEastAsia"/>
                <w:color w:val="auto"/>
                <w:sz w:val="21"/>
                <w:szCs w:val="21"/>
                <w:highlight w:val="none"/>
                <w:lang w:eastAsia="zh-CN"/>
              </w:rPr>
            </w:pPr>
          </w:p>
        </w:tc>
        <w:tc>
          <w:tcPr>
            <w:tcW w:w="186" w:type="pct"/>
            <w:tcBorders>
              <w:tl2br w:val="nil"/>
              <w:tr2bl w:val="nil"/>
            </w:tcBorders>
            <w:shd w:val="clear" w:color="auto" w:fill="auto"/>
            <w:noWrap/>
            <w:tcMar>
              <w:left w:w="57" w:type="dxa"/>
              <w:right w:w="57" w:type="dxa"/>
            </w:tcMar>
            <w:vAlign w:val="center"/>
          </w:tcPr>
          <w:p w14:paraId="6E87B5D6">
            <w:pPr>
              <w:spacing w:line="360" w:lineRule="auto"/>
              <w:jc w:val="lef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3分</w:t>
            </w:r>
          </w:p>
        </w:tc>
        <w:tc>
          <w:tcPr>
            <w:tcW w:w="4247" w:type="pct"/>
            <w:tcBorders>
              <w:tl2br w:val="nil"/>
              <w:tr2bl w:val="nil"/>
            </w:tcBorders>
            <w:shd w:val="clear" w:color="auto" w:fill="auto"/>
            <w:noWrap/>
            <w:tcMar>
              <w:left w:w="142" w:type="dxa"/>
              <w:right w:w="142" w:type="dxa"/>
            </w:tcMar>
            <w:vAlign w:val="center"/>
          </w:tcPr>
          <w:p w14:paraId="5E8D8CD3">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val="en-US" w:eastAsia="zh-CN" w:bidi="ar"/>
              </w:rPr>
              <w:t>合理化建议：</w:t>
            </w:r>
          </w:p>
          <w:p w14:paraId="34B5888F">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val="en-US" w:eastAsia="zh-CN" w:bidi="ar"/>
              </w:rPr>
              <w:t>供应商应按照磋商文件的要求根据项目的具体特点，对本项目的开展和顺利实施提出切合实际有针对性的合理化建议，根据响应程度计1-3分，未提供不得分。</w:t>
            </w:r>
          </w:p>
        </w:tc>
      </w:tr>
      <w:tr w14:paraId="56ED05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3" w:hRule="atLeast"/>
        </w:trPr>
        <w:tc>
          <w:tcPr>
            <w:tcW w:w="172" w:type="pct"/>
            <w:vMerge w:val="continue"/>
            <w:tcBorders>
              <w:tl2br w:val="nil"/>
              <w:tr2bl w:val="nil"/>
            </w:tcBorders>
            <w:shd w:val="clear" w:color="auto" w:fill="auto"/>
            <w:noWrap/>
            <w:tcMar>
              <w:left w:w="57" w:type="dxa"/>
              <w:right w:w="57" w:type="dxa"/>
            </w:tcMar>
            <w:vAlign w:val="center"/>
          </w:tcPr>
          <w:p w14:paraId="0F3A4230">
            <w:pPr>
              <w:spacing w:line="360" w:lineRule="auto"/>
              <w:jc w:val="center"/>
              <w:rPr>
                <w:rFonts w:hint="eastAsia" w:asciiTheme="minorEastAsia" w:hAnsiTheme="minorEastAsia" w:eastAsiaTheme="minorEastAsia" w:cstheme="minorEastAsia"/>
                <w:color w:val="auto"/>
                <w:sz w:val="21"/>
                <w:szCs w:val="21"/>
                <w:highlight w:val="none"/>
              </w:rPr>
            </w:pPr>
          </w:p>
        </w:tc>
        <w:tc>
          <w:tcPr>
            <w:tcW w:w="392" w:type="pct"/>
            <w:vMerge w:val="continue"/>
            <w:tcBorders>
              <w:tl2br w:val="nil"/>
              <w:tr2bl w:val="nil"/>
            </w:tcBorders>
            <w:shd w:val="clear" w:color="auto" w:fill="auto"/>
            <w:noWrap/>
            <w:tcMar>
              <w:left w:w="57" w:type="dxa"/>
              <w:right w:w="57" w:type="dxa"/>
            </w:tcMar>
            <w:vAlign w:val="center"/>
          </w:tcPr>
          <w:p w14:paraId="77495714">
            <w:pPr>
              <w:spacing w:line="360" w:lineRule="auto"/>
              <w:jc w:val="center"/>
              <w:rPr>
                <w:rFonts w:hint="eastAsia" w:asciiTheme="minorEastAsia" w:hAnsiTheme="minorEastAsia" w:eastAsiaTheme="minorEastAsia" w:cstheme="minorEastAsia"/>
                <w:color w:val="auto"/>
                <w:sz w:val="21"/>
                <w:szCs w:val="21"/>
                <w:highlight w:val="none"/>
                <w:lang w:eastAsia="zh-CN"/>
              </w:rPr>
            </w:pPr>
          </w:p>
        </w:tc>
        <w:tc>
          <w:tcPr>
            <w:tcW w:w="186" w:type="pct"/>
            <w:tcBorders>
              <w:tl2br w:val="nil"/>
              <w:tr2bl w:val="nil"/>
            </w:tcBorders>
            <w:shd w:val="clear" w:color="auto" w:fill="auto"/>
            <w:noWrap/>
            <w:tcMar>
              <w:left w:w="57" w:type="dxa"/>
              <w:right w:w="57" w:type="dxa"/>
            </w:tcMar>
            <w:vAlign w:val="center"/>
          </w:tcPr>
          <w:p w14:paraId="7D07CE5C">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8分</w:t>
            </w:r>
          </w:p>
        </w:tc>
        <w:tc>
          <w:tcPr>
            <w:tcW w:w="4247" w:type="pct"/>
            <w:tcBorders>
              <w:tl2br w:val="nil"/>
              <w:tr2bl w:val="nil"/>
            </w:tcBorders>
            <w:shd w:val="clear" w:color="auto" w:fill="auto"/>
            <w:noWrap/>
            <w:tcMar>
              <w:left w:w="142" w:type="dxa"/>
              <w:right w:w="142" w:type="dxa"/>
            </w:tcMar>
            <w:vAlign w:val="center"/>
          </w:tcPr>
          <w:p w14:paraId="184470DA">
            <w:pPr>
              <w:keepNext w:val="0"/>
              <w:keepLines w:val="0"/>
              <w:widowControl/>
              <w:suppressLineNumbers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保密承诺及保密措施： </w:t>
            </w:r>
          </w:p>
          <w:p w14:paraId="6E7DE747">
            <w:pPr>
              <w:keepNext w:val="0"/>
              <w:keepLines w:val="0"/>
              <w:widowControl/>
              <w:suppressLineNumbers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对供应商的保密承诺、项目资料及数据安全保密措施进行综合评议，最高得 8 分。 </w:t>
            </w:r>
          </w:p>
          <w:p w14:paraId="278BEE5A">
            <w:pPr>
              <w:keepNext w:val="0"/>
              <w:keepLines w:val="0"/>
              <w:widowControl/>
              <w:suppressLineNumbers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（1）保密承诺明确，资料及数据安全保密措施针对性、操作性强，完全满足采购需求的，得 8 分； </w:t>
            </w:r>
          </w:p>
          <w:p w14:paraId="7DD93B9E">
            <w:pPr>
              <w:keepNext w:val="0"/>
              <w:keepLines w:val="0"/>
              <w:widowControl/>
              <w:suppressLineNumbers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（2）保密承诺及保密措施基本合理可行，无重大缺陷，基本满足采购需求的，得 5 分； </w:t>
            </w:r>
          </w:p>
          <w:p w14:paraId="4BA18B93">
            <w:pPr>
              <w:keepNext w:val="0"/>
              <w:keepLines w:val="0"/>
              <w:widowControl/>
              <w:suppressLineNumbers w:val="0"/>
              <w:spacing w:line="360" w:lineRule="auto"/>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000000"/>
                <w:kern w:val="0"/>
                <w:sz w:val="21"/>
                <w:szCs w:val="21"/>
                <w:highlight w:val="none"/>
                <w:lang w:val="en-US" w:eastAsia="zh-CN" w:bidi="ar"/>
              </w:rPr>
              <w:t>（3）保密承诺针对性不强，保障措施操作性一般的，得 3 分；未提供，得 0 分。</w:t>
            </w:r>
          </w:p>
        </w:tc>
      </w:tr>
      <w:tr w14:paraId="3BA72B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3" w:hRule="atLeast"/>
        </w:trPr>
        <w:tc>
          <w:tcPr>
            <w:tcW w:w="172" w:type="pct"/>
            <w:vMerge w:val="continue"/>
            <w:tcBorders>
              <w:tl2br w:val="nil"/>
              <w:tr2bl w:val="nil"/>
            </w:tcBorders>
            <w:shd w:val="clear" w:color="auto" w:fill="auto"/>
            <w:noWrap/>
            <w:tcMar>
              <w:left w:w="57" w:type="dxa"/>
              <w:right w:w="57" w:type="dxa"/>
            </w:tcMar>
            <w:vAlign w:val="center"/>
          </w:tcPr>
          <w:p w14:paraId="7CC59C5D">
            <w:pPr>
              <w:spacing w:line="360" w:lineRule="auto"/>
              <w:jc w:val="center"/>
              <w:rPr>
                <w:rFonts w:hint="eastAsia" w:asciiTheme="minorEastAsia" w:hAnsiTheme="minorEastAsia" w:eastAsiaTheme="minorEastAsia" w:cstheme="minorEastAsia"/>
                <w:color w:val="auto"/>
                <w:sz w:val="21"/>
                <w:szCs w:val="21"/>
                <w:highlight w:val="none"/>
              </w:rPr>
            </w:pPr>
          </w:p>
        </w:tc>
        <w:tc>
          <w:tcPr>
            <w:tcW w:w="392" w:type="pct"/>
            <w:vMerge w:val="continue"/>
            <w:tcBorders>
              <w:tl2br w:val="nil"/>
              <w:tr2bl w:val="nil"/>
            </w:tcBorders>
            <w:shd w:val="clear" w:color="auto" w:fill="auto"/>
            <w:noWrap/>
            <w:tcMar>
              <w:left w:w="57" w:type="dxa"/>
              <w:right w:w="57" w:type="dxa"/>
            </w:tcMar>
            <w:vAlign w:val="center"/>
          </w:tcPr>
          <w:p w14:paraId="55FF8142">
            <w:pPr>
              <w:spacing w:line="360" w:lineRule="auto"/>
              <w:jc w:val="center"/>
              <w:rPr>
                <w:rFonts w:hint="eastAsia" w:asciiTheme="minorEastAsia" w:hAnsiTheme="minorEastAsia" w:eastAsiaTheme="minorEastAsia" w:cstheme="minorEastAsia"/>
                <w:color w:val="auto"/>
                <w:sz w:val="21"/>
                <w:szCs w:val="21"/>
                <w:highlight w:val="none"/>
                <w:lang w:eastAsia="zh-CN"/>
              </w:rPr>
            </w:pPr>
          </w:p>
        </w:tc>
        <w:tc>
          <w:tcPr>
            <w:tcW w:w="186" w:type="pct"/>
            <w:tcBorders>
              <w:tl2br w:val="nil"/>
              <w:tr2bl w:val="nil"/>
            </w:tcBorders>
            <w:shd w:val="clear" w:color="auto" w:fill="auto"/>
            <w:noWrap/>
            <w:tcMar>
              <w:left w:w="57" w:type="dxa"/>
              <w:right w:w="57" w:type="dxa"/>
            </w:tcMar>
            <w:vAlign w:val="center"/>
          </w:tcPr>
          <w:p w14:paraId="6615AB3D">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8分</w:t>
            </w:r>
          </w:p>
        </w:tc>
        <w:tc>
          <w:tcPr>
            <w:tcW w:w="4247" w:type="pct"/>
            <w:tcBorders>
              <w:tl2br w:val="nil"/>
              <w:tr2bl w:val="nil"/>
            </w:tcBorders>
            <w:shd w:val="clear" w:color="auto" w:fill="auto"/>
            <w:noWrap/>
            <w:tcMar>
              <w:left w:w="142" w:type="dxa"/>
              <w:right w:w="142" w:type="dxa"/>
            </w:tcMar>
            <w:vAlign w:val="center"/>
          </w:tcPr>
          <w:p w14:paraId="60326DB7">
            <w:pPr>
              <w:keepNext w:val="0"/>
              <w:keepLines w:val="0"/>
              <w:widowControl/>
              <w:suppressLineNumbers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服务响应承诺： </w:t>
            </w:r>
          </w:p>
          <w:p w14:paraId="0CCB32B0">
            <w:pPr>
              <w:keepNext w:val="0"/>
              <w:keepLines w:val="0"/>
              <w:widowControl/>
              <w:suppressLineNumbers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对投标供应商的服务响应承诺（服务响应时间、便捷性、可行性）进行综合评议，最高得8分。 </w:t>
            </w:r>
          </w:p>
          <w:p w14:paraId="40F15DB0">
            <w:pPr>
              <w:keepNext w:val="0"/>
              <w:keepLines w:val="0"/>
              <w:widowControl/>
              <w:suppressLineNumbers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（1）服务承诺内容完整，响应便捷、及时，针对性强，切实可行的得 8 分； </w:t>
            </w:r>
          </w:p>
          <w:p w14:paraId="549F47EF">
            <w:pPr>
              <w:keepNext w:val="0"/>
              <w:keepLines w:val="0"/>
              <w:widowControl/>
              <w:suppressLineNumbers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（2）服务承诺内容相对完整，响应便捷、及时，有一定针对性、可 </w:t>
            </w:r>
          </w:p>
          <w:p w14:paraId="7ABE1C5B">
            <w:pPr>
              <w:keepNext w:val="0"/>
              <w:keepLines w:val="0"/>
              <w:widowControl/>
              <w:suppressLineNumbers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行性的得5分； </w:t>
            </w:r>
          </w:p>
          <w:p w14:paraId="0D69F0A3">
            <w:pPr>
              <w:keepNext w:val="0"/>
              <w:keepLines w:val="0"/>
              <w:widowControl/>
              <w:suppressLineNumbers w:val="0"/>
              <w:spacing w:line="360" w:lineRule="auto"/>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000000"/>
                <w:kern w:val="0"/>
                <w:sz w:val="21"/>
                <w:szCs w:val="21"/>
                <w:highlight w:val="none"/>
                <w:lang w:val="en-US" w:eastAsia="zh-CN" w:bidi="ar"/>
              </w:rPr>
              <w:t>（3）服务承诺内容欠缺，响应便捷性、及时性一般，针对性、可行性不强的得3分； 未提供，得0分。</w:t>
            </w:r>
          </w:p>
        </w:tc>
      </w:tr>
      <w:tr w14:paraId="567E7E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3" w:hRule="atLeast"/>
        </w:trPr>
        <w:tc>
          <w:tcPr>
            <w:tcW w:w="172" w:type="pct"/>
            <w:vMerge w:val="continue"/>
            <w:tcBorders>
              <w:tl2br w:val="nil"/>
              <w:tr2bl w:val="nil"/>
            </w:tcBorders>
            <w:shd w:val="clear" w:color="auto" w:fill="auto"/>
            <w:noWrap/>
            <w:tcMar>
              <w:left w:w="57" w:type="dxa"/>
              <w:right w:w="57" w:type="dxa"/>
            </w:tcMar>
            <w:vAlign w:val="center"/>
          </w:tcPr>
          <w:p w14:paraId="255C98C1">
            <w:pPr>
              <w:spacing w:line="360" w:lineRule="auto"/>
              <w:jc w:val="center"/>
              <w:rPr>
                <w:rFonts w:hint="eastAsia" w:asciiTheme="minorEastAsia" w:hAnsiTheme="minorEastAsia" w:eastAsiaTheme="minorEastAsia" w:cstheme="minorEastAsia"/>
                <w:color w:val="auto"/>
                <w:sz w:val="21"/>
                <w:szCs w:val="21"/>
                <w:highlight w:val="none"/>
              </w:rPr>
            </w:pPr>
          </w:p>
        </w:tc>
        <w:tc>
          <w:tcPr>
            <w:tcW w:w="392" w:type="pct"/>
            <w:vMerge w:val="continue"/>
            <w:tcBorders>
              <w:tl2br w:val="nil"/>
              <w:tr2bl w:val="nil"/>
            </w:tcBorders>
            <w:shd w:val="clear" w:color="auto" w:fill="auto"/>
            <w:noWrap/>
            <w:tcMar>
              <w:left w:w="57" w:type="dxa"/>
              <w:right w:w="57" w:type="dxa"/>
            </w:tcMar>
            <w:vAlign w:val="center"/>
          </w:tcPr>
          <w:p w14:paraId="160153B9">
            <w:pPr>
              <w:spacing w:line="360" w:lineRule="auto"/>
              <w:jc w:val="center"/>
              <w:rPr>
                <w:rFonts w:hint="eastAsia" w:asciiTheme="minorEastAsia" w:hAnsiTheme="minorEastAsia" w:eastAsiaTheme="minorEastAsia" w:cstheme="minorEastAsia"/>
                <w:color w:val="auto"/>
                <w:sz w:val="21"/>
                <w:szCs w:val="21"/>
                <w:highlight w:val="none"/>
                <w:lang w:eastAsia="zh-CN"/>
              </w:rPr>
            </w:pPr>
          </w:p>
        </w:tc>
        <w:tc>
          <w:tcPr>
            <w:tcW w:w="186" w:type="pct"/>
            <w:tcBorders>
              <w:tl2br w:val="nil"/>
              <w:tr2bl w:val="nil"/>
            </w:tcBorders>
            <w:shd w:val="clear" w:color="auto" w:fill="auto"/>
            <w:noWrap/>
            <w:tcMar>
              <w:left w:w="57" w:type="dxa"/>
              <w:right w:w="57" w:type="dxa"/>
            </w:tcMar>
            <w:vAlign w:val="center"/>
          </w:tcPr>
          <w:p w14:paraId="16C880EE">
            <w:pPr>
              <w:spacing w:line="360" w:lineRule="auto"/>
              <w:jc w:val="lef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5分</w:t>
            </w:r>
          </w:p>
        </w:tc>
        <w:tc>
          <w:tcPr>
            <w:tcW w:w="4247" w:type="pct"/>
            <w:tcBorders>
              <w:tl2br w:val="nil"/>
              <w:tr2bl w:val="nil"/>
            </w:tcBorders>
            <w:shd w:val="clear" w:color="auto" w:fill="auto"/>
            <w:noWrap/>
            <w:tcMar>
              <w:left w:w="142" w:type="dxa"/>
              <w:right w:w="142" w:type="dxa"/>
            </w:tcMar>
            <w:vAlign w:val="center"/>
          </w:tcPr>
          <w:p w14:paraId="15051E0C">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val="en-US" w:eastAsia="zh-CN" w:bidi="ar"/>
              </w:rPr>
              <w:t>应急预案及措施</w:t>
            </w:r>
          </w:p>
          <w:p w14:paraId="5845DDB4">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val="en-US" w:eastAsia="zh-CN" w:bidi="ar"/>
              </w:rPr>
              <w:t>对突发事件应急预案进行综合评议，内容全面、分析透彻、针对性强计分3-5分；内容简单粗略，计分1-3分；未提供得0分。</w:t>
            </w:r>
          </w:p>
        </w:tc>
      </w:tr>
      <w:tr w14:paraId="17AC3C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85" w:hRule="exact"/>
        </w:trPr>
        <w:tc>
          <w:tcPr>
            <w:tcW w:w="172" w:type="pct"/>
            <w:vMerge w:val="continue"/>
            <w:tcBorders>
              <w:tl2br w:val="nil"/>
              <w:tr2bl w:val="nil"/>
            </w:tcBorders>
            <w:shd w:val="clear" w:color="auto" w:fill="auto"/>
            <w:noWrap/>
            <w:tcMar>
              <w:left w:w="57" w:type="dxa"/>
              <w:right w:w="57" w:type="dxa"/>
            </w:tcMar>
            <w:vAlign w:val="center"/>
          </w:tcPr>
          <w:p w14:paraId="60DBEA8C">
            <w:pPr>
              <w:pStyle w:val="113"/>
              <w:spacing w:line="360" w:lineRule="auto"/>
              <w:jc w:val="center"/>
              <w:rPr>
                <w:rFonts w:hint="eastAsia" w:asciiTheme="minorEastAsia" w:hAnsiTheme="minorEastAsia" w:eastAsiaTheme="minorEastAsia" w:cstheme="minorEastAsia"/>
                <w:color w:val="auto"/>
                <w:kern w:val="2"/>
                <w:sz w:val="21"/>
                <w:szCs w:val="21"/>
                <w:highlight w:val="none"/>
              </w:rPr>
            </w:pPr>
          </w:p>
        </w:tc>
        <w:tc>
          <w:tcPr>
            <w:tcW w:w="392" w:type="pct"/>
            <w:tcBorders>
              <w:tl2br w:val="nil"/>
              <w:tr2bl w:val="nil"/>
            </w:tcBorders>
            <w:shd w:val="clear" w:color="auto" w:fill="auto"/>
            <w:noWrap/>
            <w:tcMar>
              <w:left w:w="57" w:type="dxa"/>
              <w:right w:w="57" w:type="dxa"/>
            </w:tcMar>
            <w:vAlign w:val="center"/>
          </w:tcPr>
          <w:p w14:paraId="091C3BA9">
            <w:pPr>
              <w:pStyle w:val="113"/>
              <w:spacing w:line="360" w:lineRule="auto"/>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人员配备</w:t>
            </w:r>
          </w:p>
        </w:tc>
        <w:tc>
          <w:tcPr>
            <w:tcW w:w="186" w:type="pct"/>
            <w:tcBorders>
              <w:tl2br w:val="nil"/>
              <w:tr2bl w:val="nil"/>
            </w:tcBorders>
            <w:shd w:val="clear" w:color="auto" w:fill="auto"/>
            <w:noWrap/>
            <w:tcMar>
              <w:left w:w="57" w:type="dxa"/>
              <w:right w:w="57" w:type="dxa"/>
            </w:tcMar>
            <w:vAlign w:val="center"/>
          </w:tcPr>
          <w:p w14:paraId="1F867CFA">
            <w:pPr>
              <w:pStyle w:val="113"/>
              <w:spacing w:line="360" w:lineRule="auto"/>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分</w:t>
            </w:r>
          </w:p>
        </w:tc>
        <w:tc>
          <w:tcPr>
            <w:tcW w:w="4247" w:type="pct"/>
            <w:tcBorders>
              <w:tl2br w:val="nil"/>
              <w:tr2bl w:val="nil"/>
            </w:tcBorders>
            <w:shd w:val="clear" w:color="auto" w:fill="auto"/>
            <w:noWrap/>
            <w:tcMar>
              <w:left w:w="142" w:type="dxa"/>
              <w:right w:w="142" w:type="dxa"/>
            </w:tcMar>
            <w:vAlign w:val="center"/>
          </w:tcPr>
          <w:p w14:paraId="1C30265D">
            <w:pPr>
              <w:widowControl w:val="0"/>
              <w:snapToGrid w:val="0"/>
              <w:spacing w:line="360" w:lineRule="auto"/>
              <w:jc w:val="both"/>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根据团队人员数量、岗位设置、从业经验及专业技术能力等综合赋分：</w:t>
            </w:r>
          </w:p>
          <w:p w14:paraId="3970CE46">
            <w:pPr>
              <w:widowControl w:val="0"/>
              <w:shd w:val="clear"/>
              <w:snapToGrid w:val="0"/>
              <w:spacing w:line="360" w:lineRule="auto"/>
              <w:jc w:val="both"/>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1、项目负责人（3 分）</w:t>
            </w:r>
          </w:p>
          <w:p w14:paraId="70B3A27C">
            <w:pPr>
              <w:widowControl w:val="0"/>
              <w:shd w:val="clear"/>
              <w:snapToGrid w:val="0"/>
              <w:spacing w:line="360" w:lineRule="auto"/>
              <w:jc w:val="both"/>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拟派项目负责人具有相关专业</w:t>
            </w:r>
            <w:r>
              <w:rPr>
                <w:rFonts w:hint="eastAsia" w:asciiTheme="minorEastAsia" w:hAnsiTheme="minorEastAsia" w:eastAsiaTheme="minorEastAsia" w:cstheme="minorEastAsia"/>
                <w:color w:val="auto"/>
                <w:kern w:val="2"/>
                <w:sz w:val="21"/>
                <w:szCs w:val="21"/>
                <w:highlight w:val="none"/>
                <w:lang w:eastAsia="zh-CN"/>
              </w:rPr>
              <w:t>高</w:t>
            </w:r>
            <w:r>
              <w:rPr>
                <w:rFonts w:hint="eastAsia" w:asciiTheme="minorEastAsia" w:hAnsiTheme="minorEastAsia" w:eastAsiaTheme="minorEastAsia" w:cstheme="minorEastAsia"/>
                <w:color w:val="auto"/>
                <w:kern w:val="2"/>
                <w:sz w:val="21"/>
                <w:szCs w:val="21"/>
                <w:highlight w:val="none"/>
              </w:rPr>
              <w:t>级及其以上职称的计3分</w:t>
            </w:r>
            <w:r>
              <w:rPr>
                <w:rFonts w:hint="eastAsia" w:asciiTheme="minorEastAsia" w:hAnsiTheme="minorEastAsia" w:eastAsiaTheme="minorEastAsia" w:cstheme="minorEastAsia"/>
                <w:color w:val="auto"/>
                <w:kern w:val="2"/>
                <w:sz w:val="21"/>
                <w:szCs w:val="21"/>
                <w:highlight w:val="none"/>
                <w:lang w:eastAsia="zh-CN"/>
              </w:rPr>
              <w:t>，中级职称的计</w:t>
            </w:r>
            <w:r>
              <w:rPr>
                <w:rFonts w:hint="eastAsia" w:asciiTheme="minorEastAsia" w:hAnsiTheme="minorEastAsia" w:eastAsiaTheme="minorEastAsia" w:cstheme="minorEastAsia"/>
                <w:color w:val="auto"/>
                <w:kern w:val="2"/>
                <w:sz w:val="21"/>
                <w:szCs w:val="21"/>
                <w:highlight w:val="none"/>
                <w:lang w:val="en-US" w:eastAsia="zh-CN"/>
              </w:rPr>
              <w:t>2分，</w:t>
            </w:r>
            <w:r>
              <w:rPr>
                <w:rFonts w:hint="eastAsia" w:asciiTheme="minorEastAsia" w:hAnsiTheme="minorEastAsia" w:eastAsiaTheme="minorEastAsia" w:cstheme="minorEastAsia"/>
                <w:color w:val="auto"/>
                <w:kern w:val="2"/>
                <w:sz w:val="21"/>
                <w:szCs w:val="21"/>
                <w:highlight w:val="none"/>
              </w:rPr>
              <w:t>其他不得分。</w:t>
            </w:r>
          </w:p>
          <w:p w14:paraId="58E5F640">
            <w:pPr>
              <w:widowControl w:val="0"/>
              <w:shd w:val="clear"/>
              <w:snapToGrid w:val="0"/>
              <w:spacing w:line="360" w:lineRule="auto"/>
              <w:jc w:val="both"/>
              <w:outlineLvl w:val="9"/>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注：需要提供项目负责人身份证、</w:t>
            </w:r>
            <w:r>
              <w:rPr>
                <w:rFonts w:hint="eastAsia" w:asciiTheme="minorEastAsia" w:hAnsiTheme="minorEastAsia" w:eastAsiaTheme="minorEastAsia" w:cstheme="minorEastAsia"/>
                <w:color w:val="auto"/>
                <w:kern w:val="2"/>
                <w:sz w:val="21"/>
                <w:szCs w:val="21"/>
                <w:highlight w:val="none"/>
                <w:lang w:eastAsia="zh-CN"/>
              </w:rPr>
              <w:t>职称证</w:t>
            </w:r>
            <w:r>
              <w:rPr>
                <w:rFonts w:hint="eastAsia" w:asciiTheme="minorEastAsia" w:hAnsiTheme="minorEastAsia" w:eastAsiaTheme="minorEastAsia" w:cstheme="minorEastAsia"/>
                <w:color w:val="auto"/>
                <w:kern w:val="2"/>
                <w:sz w:val="21"/>
                <w:szCs w:val="21"/>
                <w:highlight w:val="none"/>
              </w:rPr>
              <w:t>及</w:t>
            </w:r>
            <w:r>
              <w:rPr>
                <w:rFonts w:hint="eastAsia" w:asciiTheme="minorEastAsia" w:hAnsiTheme="minorEastAsia" w:eastAsiaTheme="minorEastAsia" w:cstheme="minorEastAsia"/>
                <w:color w:val="auto"/>
                <w:kern w:val="2"/>
                <w:sz w:val="21"/>
                <w:szCs w:val="21"/>
                <w:highlight w:val="none"/>
                <w:lang w:eastAsia="zh-CN"/>
              </w:rPr>
              <w:t>在职员工证明</w:t>
            </w:r>
            <w:r>
              <w:rPr>
                <w:rFonts w:hint="eastAsia" w:asciiTheme="minorEastAsia" w:hAnsiTheme="minorEastAsia" w:eastAsiaTheme="minorEastAsia" w:cstheme="minorEastAsia"/>
                <w:color w:val="auto"/>
                <w:kern w:val="2"/>
                <w:sz w:val="21"/>
                <w:szCs w:val="21"/>
                <w:highlight w:val="none"/>
              </w:rPr>
              <w:t>，未提供齐全本项不计分。</w:t>
            </w:r>
          </w:p>
          <w:p w14:paraId="4D6F9D35">
            <w:pPr>
              <w:widowControl w:val="0"/>
              <w:shd w:val="clear"/>
              <w:snapToGrid w:val="0"/>
              <w:spacing w:line="360" w:lineRule="auto"/>
              <w:jc w:val="both"/>
              <w:outlineLvl w:val="9"/>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2、项目团队（6分）</w:t>
            </w:r>
          </w:p>
          <w:p w14:paraId="30B96AFC">
            <w:pPr>
              <w:widowControl w:val="0"/>
              <w:snapToGrid w:val="0"/>
              <w:spacing w:line="360" w:lineRule="auto"/>
              <w:jc w:val="both"/>
              <w:outlineLvl w:val="9"/>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其他人员配备全面，经验丰富，证书齐全，针对本项目配备相关专业人员5人计4分，每增加一人计1分，本项最高计6分,配备人员不足5人本项计0分。</w:t>
            </w:r>
          </w:p>
          <w:p w14:paraId="73AB24BF">
            <w:pPr>
              <w:widowControl w:val="0"/>
              <w:shd w:val="clear"/>
              <w:snapToGrid w:val="0"/>
              <w:spacing w:line="360" w:lineRule="auto"/>
              <w:jc w:val="both"/>
              <w:outlineLvl w:val="9"/>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注：需要提供</w:t>
            </w:r>
            <w:r>
              <w:rPr>
                <w:rFonts w:hint="eastAsia" w:asciiTheme="minorEastAsia" w:hAnsiTheme="minorEastAsia" w:eastAsiaTheme="minorEastAsia" w:cstheme="minorEastAsia"/>
                <w:color w:val="auto"/>
                <w:kern w:val="2"/>
                <w:sz w:val="21"/>
                <w:szCs w:val="21"/>
                <w:highlight w:val="none"/>
                <w:lang w:eastAsia="zh-CN"/>
              </w:rPr>
              <w:t>团队人员</w:t>
            </w:r>
            <w:r>
              <w:rPr>
                <w:rFonts w:hint="eastAsia" w:asciiTheme="minorEastAsia" w:hAnsiTheme="minorEastAsia" w:eastAsiaTheme="minorEastAsia" w:cstheme="minorEastAsia"/>
                <w:color w:val="auto"/>
                <w:kern w:val="2"/>
                <w:sz w:val="21"/>
                <w:szCs w:val="21"/>
                <w:highlight w:val="none"/>
              </w:rPr>
              <w:t>身份证、</w:t>
            </w:r>
            <w:r>
              <w:rPr>
                <w:rFonts w:hint="eastAsia" w:asciiTheme="minorEastAsia" w:hAnsiTheme="minorEastAsia" w:eastAsiaTheme="minorEastAsia" w:cstheme="minorEastAsia"/>
                <w:color w:val="auto"/>
                <w:kern w:val="2"/>
                <w:sz w:val="21"/>
                <w:szCs w:val="21"/>
                <w:highlight w:val="none"/>
                <w:lang w:eastAsia="zh-CN"/>
              </w:rPr>
              <w:t>职称证及在职员工证明</w:t>
            </w:r>
            <w:r>
              <w:rPr>
                <w:rFonts w:hint="eastAsia" w:asciiTheme="minorEastAsia" w:hAnsiTheme="minorEastAsia" w:eastAsiaTheme="minorEastAsia" w:cstheme="minorEastAsia"/>
                <w:color w:val="auto"/>
                <w:kern w:val="2"/>
                <w:sz w:val="21"/>
                <w:szCs w:val="21"/>
                <w:highlight w:val="none"/>
              </w:rPr>
              <w:t>，未提供齐全本项不计分。</w:t>
            </w:r>
          </w:p>
        </w:tc>
      </w:tr>
      <w:tr w14:paraId="1F3B28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3" w:hRule="exact"/>
        </w:trPr>
        <w:tc>
          <w:tcPr>
            <w:tcW w:w="172" w:type="pct"/>
            <w:tcBorders>
              <w:tl2br w:val="nil"/>
              <w:tr2bl w:val="nil"/>
            </w:tcBorders>
            <w:shd w:val="clear" w:color="auto" w:fill="auto"/>
            <w:noWrap/>
            <w:tcMar>
              <w:left w:w="57" w:type="dxa"/>
              <w:right w:w="57" w:type="dxa"/>
            </w:tcMar>
            <w:vAlign w:val="center"/>
          </w:tcPr>
          <w:p w14:paraId="19E5966E">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392" w:type="pct"/>
            <w:tcBorders>
              <w:tl2br w:val="nil"/>
              <w:tr2bl w:val="nil"/>
            </w:tcBorders>
            <w:shd w:val="clear" w:color="auto" w:fill="auto"/>
            <w:noWrap/>
            <w:tcMar>
              <w:left w:w="57" w:type="dxa"/>
              <w:right w:w="57" w:type="dxa"/>
            </w:tcMar>
            <w:vAlign w:val="center"/>
          </w:tcPr>
          <w:p w14:paraId="0A583B6A">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类似</w:t>
            </w:r>
            <w:r>
              <w:rPr>
                <w:rFonts w:hint="eastAsia" w:asciiTheme="minorEastAsia" w:hAnsiTheme="minorEastAsia" w:eastAsiaTheme="minorEastAsia" w:cstheme="minorEastAsia"/>
                <w:color w:val="auto"/>
                <w:sz w:val="21"/>
                <w:szCs w:val="21"/>
                <w:highlight w:val="none"/>
              </w:rPr>
              <w:t>业绩</w:t>
            </w:r>
          </w:p>
        </w:tc>
        <w:tc>
          <w:tcPr>
            <w:tcW w:w="186" w:type="pct"/>
            <w:tcBorders>
              <w:tl2br w:val="nil"/>
              <w:tr2bl w:val="nil"/>
            </w:tcBorders>
            <w:shd w:val="clear" w:color="auto" w:fill="auto"/>
            <w:noWrap/>
            <w:tcMar>
              <w:left w:w="57" w:type="dxa"/>
              <w:right w:w="57" w:type="dxa"/>
            </w:tcMar>
            <w:vAlign w:val="center"/>
          </w:tcPr>
          <w:p w14:paraId="23B2F16F">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分</w:t>
            </w:r>
          </w:p>
        </w:tc>
        <w:tc>
          <w:tcPr>
            <w:tcW w:w="4247" w:type="pct"/>
            <w:tcBorders>
              <w:tl2br w:val="nil"/>
              <w:tr2bl w:val="nil"/>
            </w:tcBorders>
            <w:shd w:val="clear" w:color="auto" w:fill="auto"/>
            <w:noWrap/>
            <w:tcMar>
              <w:left w:w="142" w:type="dxa"/>
              <w:right w:w="142" w:type="dxa"/>
            </w:tcMar>
            <w:vAlign w:val="center"/>
          </w:tcPr>
          <w:p w14:paraId="0F0D27D8">
            <w:pPr>
              <w:pStyle w:val="114"/>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提供20</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zh-CN"/>
              </w:rPr>
              <w:t>年1月至今同类项目业绩证明材料每提供一</w:t>
            </w:r>
            <w:r>
              <w:rPr>
                <w:rFonts w:hint="eastAsia" w:asciiTheme="minorEastAsia" w:hAnsiTheme="minorEastAsia" w:eastAsiaTheme="minorEastAsia" w:cstheme="minorEastAsia"/>
                <w:color w:val="auto"/>
                <w:sz w:val="21"/>
                <w:szCs w:val="21"/>
                <w:highlight w:val="none"/>
              </w:rPr>
              <w:t>份</w:t>
            </w:r>
            <w:r>
              <w:rPr>
                <w:rFonts w:hint="eastAsia" w:asciiTheme="minorEastAsia" w:hAnsiTheme="minorEastAsia" w:eastAsiaTheme="minorEastAsia" w:cstheme="minorEastAsia"/>
                <w:color w:val="auto"/>
                <w:sz w:val="21"/>
                <w:szCs w:val="21"/>
                <w:highlight w:val="none"/>
                <w:lang w:val="zh-CN"/>
              </w:rPr>
              <w:t>计</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val="zh-CN"/>
              </w:rPr>
              <w:t>分，满分</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val="zh-CN"/>
              </w:rPr>
              <w:t>分，不提供不得分。（以中标通知书或合同为准）</w:t>
            </w:r>
          </w:p>
        </w:tc>
      </w:tr>
    </w:tbl>
    <w:p w14:paraId="30C39F57">
      <w:pPr>
        <w:widowControl/>
        <w:autoSpaceDE w:val="0"/>
        <w:autoSpaceDN w:val="0"/>
        <w:spacing w:line="480" w:lineRule="exact"/>
        <w:textAlignment w:val="bottom"/>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注：1）评委打分超过得分界限或未按本方法赋分时，该评委的打分按废票处理。</w:t>
      </w:r>
    </w:p>
    <w:p w14:paraId="43A53CBA">
      <w:pPr>
        <w:widowControl/>
        <w:autoSpaceDE w:val="0"/>
        <w:autoSpaceDN w:val="0"/>
        <w:spacing w:line="480" w:lineRule="exact"/>
        <w:ind w:firstLine="480" w:firstLineChars="200"/>
        <w:textAlignment w:val="bottom"/>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2）各种计算数字均保留两位小数，第三位“四舍五入”。</w:t>
      </w:r>
    </w:p>
    <w:p w14:paraId="716138C1">
      <w:pPr>
        <w:spacing w:line="48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3）特殊情况处理：</w:t>
      </w:r>
    </w:p>
    <w:p w14:paraId="2DB18F1D">
      <w:pPr>
        <w:spacing w:line="5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a、当投标供应商评分项出现未报、漏报或零报价时，该分项得零分，并不参与投标报价分的计算。</w:t>
      </w:r>
    </w:p>
    <w:p w14:paraId="7C334FF7">
      <w:pPr>
        <w:spacing w:line="5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b、若出现综合得分相同时，投标报价得分高者为第一中标候选人，若投标报价得分相同，技术得分高者为第一中标候选人，若上述两项得分相同，则由全体磋商小组成员无记名投票，得票最高者为第一中标候选人。</w:t>
      </w:r>
    </w:p>
    <w:p w14:paraId="41A507B7">
      <w:pPr>
        <w:spacing w:line="5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c、评审过程中，若出现本评审方法以外的特殊情况时，将暂停评审，待评委商榷后再进行复会。</w:t>
      </w:r>
    </w:p>
    <w:p w14:paraId="1897E119">
      <w:pPr>
        <w:spacing w:line="360" w:lineRule="auto"/>
        <w:ind w:firstLine="120" w:firstLineChars="5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2-7、其他事项说明：（落实的相关政策）</w:t>
      </w:r>
    </w:p>
    <w:p w14:paraId="51359169">
      <w:pPr>
        <w:pStyle w:val="23"/>
        <w:spacing w:before="0" w:beforeAutospacing="0" w:after="0" w:afterAutospacing="0" w:line="360" w:lineRule="auto"/>
        <w:ind w:firstLine="480" w:firstLineChars="200"/>
        <w:rPr>
          <w:rFonts w:hint="eastAsia" w:asciiTheme="minorEastAsia" w:hAnsiTheme="minorEastAsia" w:eastAsiaTheme="minorEastAsia" w:cstheme="minorEastAsia"/>
          <w:color w:val="auto"/>
          <w:kern w:val="2"/>
        </w:rPr>
      </w:pPr>
      <w:r>
        <w:rPr>
          <w:rFonts w:hint="eastAsia" w:asciiTheme="minorEastAsia" w:hAnsiTheme="minorEastAsia" w:eastAsiaTheme="minorEastAsia" w:cstheme="minorEastAsia"/>
          <w:color w:val="auto"/>
          <w:kern w:val="2"/>
        </w:rPr>
        <w:t>采购项目需要落实的政府采购政策：依据《中华人民共和国政府采购法》、《中华人民共和国政府采购法实施条例》和《</w:t>
      </w:r>
      <w:r>
        <w:rPr>
          <w:rFonts w:hint="eastAsia" w:asciiTheme="minorEastAsia" w:hAnsiTheme="minorEastAsia" w:eastAsiaTheme="minorEastAsia" w:cstheme="minorEastAsia"/>
          <w:color w:val="auto"/>
        </w:rPr>
        <w:t>政府采购竞争性磋商采购方式管理暂行办法</w:t>
      </w:r>
      <w:r>
        <w:rPr>
          <w:rFonts w:hint="eastAsia" w:asciiTheme="minorEastAsia" w:hAnsiTheme="minorEastAsia" w:eastAsiaTheme="minorEastAsia" w:cstheme="minorEastAsia"/>
          <w:color w:val="auto"/>
          <w:kern w:val="2"/>
        </w:rPr>
        <w:t xml:space="preserve">》的有关规定，落实政府采购政策。 </w:t>
      </w:r>
    </w:p>
    <w:p w14:paraId="01FFF89C">
      <w:pPr>
        <w:pStyle w:val="23"/>
        <w:wordWrap w:val="0"/>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kern w:val="2"/>
          <w:szCs w:val="20"/>
        </w:rPr>
      </w:pPr>
      <w:r>
        <w:rPr>
          <w:rFonts w:hint="eastAsia" w:asciiTheme="minorEastAsia" w:hAnsiTheme="minorEastAsia" w:eastAsiaTheme="minorEastAsia" w:cstheme="minorEastAsia"/>
          <w:color w:val="auto"/>
          <w:shd w:val="clear" w:color="auto" w:fill="FFFFFF"/>
        </w:rPr>
        <w:t>（1）《财</w:t>
      </w:r>
      <w:r>
        <w:rPr>
          <w:rFonts w:hint="eastAsia" w:asciiTheme="minorEastAsia" w:hAnsiTheme="minorEastAsia" w:eastAsiaTheme="minorEastAsia" w:cstheme="minorEastAsia"/>
          <w:color w:val="auto"/>
          <w:kern w:val="2"/>
          <w:szCs w:val="20"/>
        </w:rPr>
        <w:t>政部国家发展改革委关于印发〈节能产品政府采购实施意见〉的通知》（财库〔2004〕185号）；</w:t>
      </w:r>
    </w:p>
    <w:p w14:paraId="7BC9F5CE">
      <w:pPr>
        <w:pStyle w:val="23"/>
        <w:wordWrap w:val="0"/>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kern w:val="2"/>
          <w:szCs w:val="20"/>
        </w:rPr>
      </w:pPr>
      <w:r>
        <w:rPr>
          <w:rFonts w:hint="eastAsia" w:asciiTheme="minorEastAsia" w:hAnsiTheme="minorEastAsia" w:eastAsiaTheme="minorEastAsia" w:cstheme="minorEastAsia"/>
          <w:color w:val="auto"/>
          <w:kern w:val="2"/>
          <w:szCs w:val="20"/>
        </w:rPr>
        <w:t>（2）《国务院办公厅关于建立政府强制采购节能产品制度的通知》（国办发〔2007〕51号）；</w:t>
      </w:r>
    </w:p>
    <w:p w14:paraId="52E4F3EE">
      <w:pPr>
        <w:pStyle w:val="23"/>
        <w:wordWrap w:val="0"/>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kern w:val="2"/>
          <w:szCs w:val="20"/>
        </w:rPr>
      </w:pPr>
      <w:r>
        <w:rPr>
          <w:rFonts w:hint="eastAsia" w:asciiTheme="minorEastAsia" w:hAnsiTheme="minorEastAsia" w:eastAsiaTheme="minorEastAsia" w:cstheme="minorEastAsia"/>
          <w:color w:val="auto"/>
          <w:kern w:val="2"/>
          <w:szCs w:val="20"/>
        </w:rPr>
        <w:t>（3）《财政部环保总局关于环境标志产品政府采购实施的意见》（财库〔2006〕90号）；</w:t>
      </w:r>
    </w:p>
    <w:p w14:paraId="3A222EDF">
      <w:pPr>
        <w:pStyle w:val="23"/>
        <w:wordWrap w:val="0"/>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kern w:val="2"/>
          <w:szCs w:val="20"/>
        </w:rPr>
      </w:pPr>
      <w:r>
        <w:rPr>
          <w:rFonts w:hint="eastAsia" w:asciiTheme="minorEastAsia" w:hAnsiTheme="minorEastAsia" w:eastAsiaTheme="minorEastAsia" w:cstheme="minorEastAsia"/>
          <w:color w:val="auto"/>
          <w:kern w:val="2"/>
          <w:szCs w:val="20"/>
        </w:rPr>
        <w:t>（4）《政府采购促进中小企业发展管理办法》（财库〔2020〕46号）、关于进一步加大政府采购支持中小企业力度的通知财库〔2022〕19号；</w:t>
      </w:r>
    </w:p>
    <w:p w14:paraId="1F1A3FB3">
      <w:pPr>
        <w:pStyle w:val="23"/>
        <w:wordWrap w:val="0"/>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kern w:val="2"/>
          <w:szCs w:val="20"/>
        </w:rPr>
      </w:pPr>
      <w:r>
        <w:rPr>
          <w:rFonts w:hint="eastAsia" w:asciiTheme="minorEastAsia" w:hAnsiTheme="minorEastAsia" w:eastAsiaTheme="minorEastAsia" w:cstheme="minorEastAsia"/>
          <w:color w:val="auto"/>
          <w:kern w:val="2"/>
          <w:szCs w:val="20"/>
        </w:rPr>
        <w:t>（5）《财政部 司法部关于政府采购支持监狱企业发展有关问题的通知》（财库〔2014〕68号）；</w:t>
      </w:r>
    </w:p>
    <w:p w14:paraId="32CA0F97">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（6）《三部门联合发布关于促进残疾人就业政府采购政策的通知》（财库〔2017〕141号）；</w:t>
      </w:r>
    </w:p>
    <w:p w14:paraId="339C9325">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根据《财政部 民政部 中国残疾人联合会关于促进残疾人就业政府采购政策的通知》（财库〔2017〕，符合条件的残疾人福利性单位在参加政府采购活动时，应当提供本通知规定的《残疾人福利性单位声明函》（见附件），并对声明的真实性负责。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4831081B">
      <w:pPr>
        <w:pStyle w:val="23"/>
        <w:wordWrap w:val="0"/>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kern w:val="2"/>
          <w:szCs w:val="20"/>
        </w:rPr>
      </w:pPr>
      <w:r>
        <w:rPr>
          <w:rFonts w:hint="eastAsia" w:asciiTheme="minorEastAsia" w:hAnsiTheme="minorEastAsia" w:eastAsiaTheme="minorEastAsia" w:cstheme="minorEastAsia"/>
          <w:color w:val="auto"/>
          <w:kern w:val="2"/>
          <w:szCs w:val="20"/>
        </w:rPr>
        <w:t>（7）《财政部发展改革委生态环境部市场监管总局关于调整优化节能产品、环境标志产品政府采购执行机制的通知》（财库〔2019〕9号）；</w:t>
      </w:r>
    </w:p>
    <w:p w14:paraId="542F3CE1">
      <w:pPr>
        <w:pStyle w:val="23"/>
        <w:wordWrap w:val="0"/>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shd w:val="clear" w:color="auto" w:fill="FFFFFF"/>
        </w:rPr>
      </w:pPr>
      <w:r>
        <w:rPr>
          <w:rFonts w:hint="eastAsia" w:asciiTheme="minorEastAsia" w:hAnsiTheme="minorEastAsia" w:eastAsiaTheme="minorEastAsia" w:cstheme="minorEastAsia"/>
          <w:color w:val="auto"/>
          <w:shd w:val="clear" w:color="auto" w:fill="FFFFFF"/>
        </w:rPr>
        <w:t>（8）《财政部发展改革委生态环境部市场监管总局关于调整优化节能产品、环境标志产品政府采购执行机制的通知》（财库〔2019〕9号）；</w:t>
      </w:r>
    </w:p>
    <w:p w14:paraId="0F9EB023">
      <w:pPr>
        <w:pStyle w:val="23"/>
        <w:wordWrap w:val="0"/>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kern w:val="2"/>
        </w:rPr>
      </w:pPr>
      <w:r>
        <w:rPr>
          <w:rFonts w:hint="eastAsia" w:asciiTheme="minorEastAsia" w:hAnsiTheme="minorEastAsia" w:eastAsiaTheme="minorEastAsia" w:cstheme="minorEastAsia"/>
          <w:color w:val="auto"/>
          <w:shd w:val="clear" w:color="auto" w:fill="FFFFFF"/>
        </w:rPr>
        <w:t>（9）《陕西省中小企业政府采购信用融资办法》（陕财办采〔2018〕23号）。</w:t>
      </w:r>
    </w:p>
    <w:p w14:paraId="1325F266">
      <w:pPr>
        <w:spacing w:line="480" w:lineRule="exact"/>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3、定标</w:t>
      </w:r>
    </w:p>
    <w:p w14:paraId="32EBF1E0">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3-1、定标程序</w:t>
      </w:r>
    </w:p>
    <w:p w14:paraId="1B5D7A29">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磋商小组依据磋商文件的要求，对供应商进行认真评审。经过评审、澄清、磋商、最后报价等程序后，从响应文件满足磋商文件全部实质性要求的供应商中，按照评审得分由高到低顺序推荐3名以上成交候选供应商，并编写评审报告。</w:t>
      </w:r>
    </w:p>
    <w:p w14:paraId="15B0FDB8">
      <w:pPr>
        <w:spacing w:line="48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（2）</w:t>
      </w:r>
      <w:bookmarkStart w:id="26" w:name="OLE_LINK12"/>
      <w:r>
        <w:rPr>
          <w:rFonts w:hint="eastAsia" w:asciiTheme="minorEastAsia" w:hAnsiTheme="minorEastAsia" w:eastAsiaTheme="minorEastAsia" w:cstheme="minorEastAsia"/>
          <w:color w:val="auto"/>
          <w:sz w:val="24"/>
          <w:szCs w:val="24"/>
        </w:rPr>
        <w:t>磋商小组成员应当在评审报告上签字，对自己的评审意见承担法律责任。磋商小组成员对评审报告有异议的，磋商小组按照少数服从多数的原则推荐成交候选人，采购程序继续进行。对评审报告有异议的磋商小组成员，应当在评审报告上签署不同意见并说明理由，否则视为同意评审报告。</w:t>
      </w:r>
    </w:p>
    <w:bookmarkEnd w:id="26"/>
    <w:p w14:paraId="0D1D04CA">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采购代理机构应当自评审结束之日起2个工作日内将评审报告送交采购人。采购人在收到评审报告5个工作日内，根据磋商小组提交的评审报告和推荐的成交候选供应商，按照排序由高到低的原则确定成交供应商。确定结果后，采购人向采购代理机构出具《成交复函》。采购人逾期未确定成交供应商且不提出异议的，视为确定评审报告推荐的排名第一的供应商为成交供应商。</w:t>
      </w:r>
    </w:p>
    <w:p w14:paraId="6B23562A">
      <w:pPr>
        <w:tabs>
          <w:tab w:val="left" w:pos="2700"/>
        </w:tabs>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3-2、成交供应商确定后，采购人和采购代理机构对未成交原因不作任何解释，竞争性磋商响应文件不予退还。</w:t>
      </w:r>
    </w:p>
    <w:p w14:paraId="7755FE8C">
      <w:pPr>
        <w:tabs>
          <w:tab w:val="left" w:pos="2700"/>
        </w:tabs>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4、磋商无效的情形：</w:t>
      </w:r>
    </w:p>
    <w:p w14:paraId="28FC7E11">
      <w:pPr>
        <w:tabs>
          <w:tab w:val="left" w:pos="2700"/>
        </w:tabs>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4-1、未按照磋商文件的规定提交磋商保证金的；</w:t>
      </w:r>
    </w:p>
    <w:p w14:paraId="612C69E6">
      <w:pPr>
        <w:tabs>
          <w:tab w:val="left" w:pos="2700"/>
        </w:tabs>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4-2、磋商响应文件未按磋商文件要求签署、盖章的；</w:t>
      </w:r>
    </w:p>
    <w:p w14:paraId="07500109">
      <w:pPr>
        <w:tabs>
          <w:tab w:val="left" w:pos="2700"/>
        </w:tabs>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4-3、不具备磋商文件中规定的资格要求的；</w:t>
      </w:r>
    </w:p>
    <w:p w14:paraId="5738EE8D">
      <w:pPr>
        <w:tabs>
          <w:tab w:val="left" w:pos="2700"/>
        </w:tabs>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4-4、报价超过磋商文件中规定的预算金额的；</w:t>
      </w:r>
    </w:p>
    <w:p w14:paraId="55899DA9">
      <w:pPr>
        <w:tabs>
          <w:tab w:val="left" w:pos="2700"/>
        </w:tabs>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4-5、磋商响应文件含有采购人不能接受的附加条件的；</w:t>
      </w:r>
    </w:p>
    <w:p w14:paraId="5968750D">
      <w:pPr>
        <w:tabs>
          <w:tab w:val="left" w:pos="2700"/>
        </w:tabs>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4-6、提供虚假材料谋取成交的；</w:t>
      </w:r>
    </w:p>
    <w:p w14:paraId="551BE7EA">
      <w:pPr>
        <w:tabs>
          <w:tab w:val="left" w:pos="2700"/>
        </w:tabs>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4-7、采取不正当手段诋毁、排挤其他供应商的；</w:t>
      </w:r>
    </w:p>
    <w:p w14:paraId="71DBB23B">
      <w:pPr>
        <w:tabs>
          <w:tab w:val="left" w:pos="2700"/>
        </w:tabs>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4-8、法律、法规和磋商文件规定的其他无效情形。</w:t>
      </w:r>
    </w:p>
    <w:p w14:paraId="7C85A2D4">
      <w:pPr>
        <w:adjustRightInd w:val="0"/>
        <w:snapToGrid w:val="0"/>
        <w:spacing w:line="480" w:lineRule="exact"/>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5、成交通知书</w:t>
      </w:r>
    </w:p>
    <w:p w14:paraId="4789662A">
      <w:pPr>
        <w:tabs>
          <w:tab w:val="left" w:pos="2700"/>
        </w:tabs>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-1、成交通知书由采购代理机构向成交人发出，成交供应商应在接到采购代理机构通知之日起七日内领取成交通知书。未在规定时间内领取成交通知书的，磋商保证金不予退还。提供磋商担保的供应商将由专业担保机构先行偿付采购人损失。</w:t>
      </w:r>
    </w:p>
    <w:p w14:paraId="276272A5">
      <w:pPr>
        <w:pStyle w:val="49"/>
        <w:spacing w:line="360" w:lineRule="auto"/>
        <w:ind w:firstLine="48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5-2、成交通知书发出后，采购人不得违法改变成交结果，成交人无正当理由不得放弃成交。</w:t>
      </w:r>
    </w:p>
    <w:p w14:paraId="1C205C24">
      <w:pPr>
        <w:pStyle w:val="3"/>
        <w:spacing w:before="0" w:after="0" w:line="480" w:lineRule="exact"/>
        <w:rPr>
          <w:rFonts w:hint="eastAsia" w:asciiTheme="minorEastAsia" w:hAnsiTheme="minorEastAsia" w:eastAsiaTheme="minorEastAsia" w:cstheme="minorEastAsia"/>
          <w:color w:val="auto"/>
          <w:sz w:val="24"/>
          <w:szCs w:val="24"/>
        </w:rPr>
      </w:pPr>
      <w:bookmarkStart w:id="27" w:name="_Toc7453878"/>
      <w:bookmarkStart w:id="28" w:name="_Toc5781523"/>
      <w:r>
        <w:rPr>
          <w:rFonts w:hint="eastAsia" w:asciiTheme="minorEastAsia" w:hAnsiTheme="minorEastAsia" w:eastAsiaTheme="minorEastAsia" w:cstheme="minorEastAsia"/>
          <w:color w:val="auto"/>
          <w:kern w:val="0"/>
          <w:sz w:val="24"/>
          <w:szCs w:val="24"/>
        </w:rPr>
        <w:t>八、</w:t>
      </w:r>
      <w:bookmarkEnd w:id="27"/>
      <w:bookmarkEnd w:id="28"/>
      <w:bookmarkStart w:id="29" w:name="_Toc7453879"/>
      <w:r>
        <w:rPr>
          <w:rFonts w:hint="eastAsia" w:asciiTheme="minorEastAsia" w:hAnsiTheme="minorEastAsia" w:eastAsiaTheme="minorEastAsia" w:cstheme="minorEastAsia"/>
          <w:color w:val="auto"/>
          <w:sz w:val="24"/>
          <w:szCs w:val="24"/>
        </w:rPr>
        <w:t>合同</w:t>
      </w:r>
      <w:bookmarkEnd w:id="29"/>
    </w:p>
    <w:p w14:paraId="31359297">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成交供应商在收到成交通知书后二十五（25）个日历日内，应按竞争性磋商文件的要求与采购人签订合同。成交供应商因自身原因不按规定与采购人签订合同，则采购人将废除授标，磋商保证金不予退还。给采购人造成损失超过磋商保证金额的，还应当对超过部分予以赔偿，并依法承担相应法律责任；</w:t>
      </w:r>
    </w:p>
    <w:p w14:paraId="33D886AE">
      <w:pPr>
        <w:adjustRightInd w:val="0"/>
        <w:snapToGrid w:val="0"/>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成交供应商因不可抗力或者自身原因不能履行政府采购合同的，采购人可以与排位在成交供应商之后第一位的成交候选供应商签订政府采购合同，以此类推，也可以重新开展采购活动。因自身原因拒绝签订采购合同的或者未按合同约定进行履约的，成交人不得参加对该项目重新开展的招标活动。</w:t>
      </w:r>
    </w:p>
    <w:p w14:paraId="67D82E3D">
      <w:pPr>
        <w:adjustRightInd w:val="0"/>
        <w:snapToGrid w:val="0"/>
        <w:spacing w:line="480" w:lineRule="exact"/>
        <w:ind w:firstLine="480"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3、成交通知书将是合同的重要组成部分。竞争性磋商文件、成交供应商的竞争性磋商响应文件及评议过程中有关的澄清文件均作为合同附件。</w:t>
      </w:r>
    </w:p>
    <w:p w14:paraId="2EDFBB50">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成交后，成交人应按照合同约定履行义务，完成磋商项目的供货。成交人不得向他人转让成交项目，也不得将成交项目肢解后分别向他人转让。成交人按照合同约定或者经采购人同意，成交人可以将成交项目的部分非主体、非关键性工作分包给他人完成。接受分包的供应商应当具备相应的资格条件，并不得再次分包。分包履行的，成交人就采购项目和分包项目向采购人负责，分包供应商就分包项目承担责任。中小企业根据《政府采购促进中小企业发展管理办法》（财库(2020)46号）规定的政策获取政府采购合同后，小型、微型企业不得分包或转包给大型、中型企业，中型企业不得分包或转包给大型企业。</w:t>
      </w:r>
    </w:p>
    <w:p w14:paraId="29BE3766">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5、所签订的合同不得对磋商文件确定的事项和成交人磋商响应文件作实质性修改。</w:t>
      </w:r>
    </w:p>
    <w:p w14:paraId="2CA3DE7E">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6、采购人需追加与合同标的相同的货物、工程或服务的，在不改变合同其他条款的前提下，可以与供应商协商签订补充合同，但所有补充合同的采购金额不得超过原合同采购金额的百分之十。</w:t>
      </w:r>
    </w:p>
    <w:p w14:paraId="14FEECBA">
      <w:pPr>
        <w:pStyle w:val="3"/>
        <w:spacing w:before="0" w:after="0" w:line="480" w:lineRule="exact"/>
        <w:rPr>
          <w:rFonts w:hint="eastAsia" w:asciiTheme="minorEastAsia" w:hAnsiTheme="minorEastAsia" w:eastAsiaTheme="minorEastAsia" w:cstheme="minorEastAsia"/>
          <w:color w:val="auto"/>
          <w:kern w:val="0"/>
          <w:sz w:val="24"/>
          <w:szCs w:val="24"/>
        </w:rPr>
      </w:pPr>
      <w:bookmarkStart w:id="30" w:name="_Toc493247321"/>
      <w:bookmarkStart w:id="31" w:name="_Toc7453880"/>
      <w:bookmarkStart w:id="32" w:name="_Toc493074178"/>
      <w:r>
        <w:rPr>
          <w:rFonts w:hint="eastAsia" w:asciiTheme="minorEastAsia" w:hAnsiTheme="minorEastAsia" w:eastAsiaTheme="minorEastAsia" w:cstheme="minorEastAsia"/>
          <w:color w:val="auto"/>
          <w:kern w:val="0"/>
          <w:sz w:val="24"/>
          <w:szCs w:val="24"/>
        </w:rPr>
        <w:t>九、合同的履约</w:t>
      </w:r>
      <w:bookmarkEnd w:id="30"/>
      <w:bookmarkEnd w:id="31"/>
      <w:bookmarkEnd w:id="32"/>
    </w:p>
    <w:p w14:paraId="466BB332">
      <w:pPr>
        <w:spacing w:line="480" w:lineRule="exact"/>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确定成交单位后，成交供应商因自身原因未按程序签订合同，采购人将取消其成交资格，同时报请监督机构备案，没收其保证金。在此情况下，采购人可按评审结果顺序将合同授予下一成交候选人或重新采购。</w:t>
      </w:r>
    </w:p>
    <w:p w14:paraId="075DC3BC">
      <w:pPr>
        <w:spacing w:line="480" w:lineRule="exact"/>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2、成交供应商签订合同后，持合同到采购代理机构办理保证金退付手续。</w:t>
      </w:r>
    </w:p>
    <w:p w14:paraId="5CEC3487">
      <w:pPr>
        <w:spacing w:line="480" w:lineRule="exact"/>
        <w:rPr>
          <w:rFonts w:hint="eastAsia" w:asciiTheme="minorEastAsia" w:hAnsiTheme="minorEastAsia" w:eastAsiaTheme="minorEastAsia" w:cstheme="minorEastAsia"/>
          <w:b/>
          <w:bCs/>
          <w:color w:val="auto"/>
          <w:sz w:val="24"/>
          <w:szCs w:val="24"/>
        </w:rPr>
      </w:pPr>
      <w:bookmarkStart w:id="33" w:name="_Toc7453881"/>
      <w:r>
        <w:rPr>
          <w:rFonts w:hint="eastAsia" w:asciiTheme="minorEastAsia" w:hAnsiTheme="minorEastAsia" w:eastAsiaTheme="minorEastAsia" w:cstheme="minorEastAsia"/>
          <w:b/>
          <w:bCs/>
          <w:color w:val="auto"/>
          <w:sz w:val="24"/>
          <w:szCs w:val="24"/>
        </w:rPr>
        <w:t>十、招标服务费</w:t>
      </w:r>
      <w:bookmarkEnd w:id="33"/>
    </w:p>
    <w:p w14:paraId="43022C67">
      <w:pPr>
        <w:spacing w:line="480" w:lineRule="exact"/>
        <w:ind w:firstLine="480" w:firstLineChars="200"/>
        <w:rPr>
          <w:rFonts w:hint="eastAsia" w:asciiTheme="minorEastAsia" w:hAnsiTheme="minorEastAsia" w:eastAsiaTheme="minorEastAsia" w:cstheme="minorEastAsia"/>
          <w:color w:val="auto"/>
          <w:sz w:val="24"/>
          <w:szCs w:val="24"/>
        </w:rPr>
      </w:pPr>
      <w:bookmarkStart w:id="34" w:name="_Toc494556652"/>
      <w:bookmarkStart w:id="35" w:name="_Toc458848741"/>
      <w:bookmarkStart w:id="36" w:name="_Toc458848826"/>
      <w:bookmarkStart w:id="37" w:name="_Toc7453882"/>
      <w:bookmarkStart w:id="38" w:name="_Toc458848742"/>
      <w:bookmarkStart w:id="39" w:name="_Toc458848827"/>
      <w:bookmarkStart w:id="40" w:name="_Toc493247324"/>
      <w:r>
        <w:rPr>
          <w:rFonts w:hint="eastAsia" w:asciiTheme="minorEastAsia" w:hAnsiTheme="minorEastAsia" w:eastAsiaTheme="minorEastAsia" w:cstheme="minorEastAsia"/>
          <w:color w:val="auto"/>
          <w:sz w:val="24"/>
          <w:szCs w:val="24"/>
        </w:rPr>
        <w:t>本项目代理服务费</w:t>
      </w:r>
      <w:r>
        <w:rPr>
          <w:rFonts w:hint="eastAsia" w:asciiTheme="minorEastAsia" w:hAnsiTheme="minorEastAsia" w:eastAsiaTheme="minorEastAsia" w:cstheme="minorEastAsia"/>
          <w:color w:val="auto"/>
          <w:sz w:val="24"/>
          <w:szCs w:val="24"/>
          <w:lang w:eastAsia="zh-CN"/>
        </w:rPr>
        <w:t>第</w:t>
      </w:r>
      <w:r>
        <w:rPr>
          <w:rFonts w:hint="eastAsia" w:asciiTheme="minorEastAsia" w:hAnsiTheme="minorEastAsia" w:eastAsiaTheme="minorEastAsia" w:cstheme="minorEastAsia"/>
          <w:color w:val="auto"/>
          <w:sz w:val="24"/>
          <w:szCs w:val="24"/>
          <w:lang w:val="en-US" w:eastAsia="zh-CN"/>
        </w:rPr>
        <w:t>1包3000.00元，第2包3000.00元，第3包5200.00元。</w:t>
      </w:r>
      <w:r>
        <w:rPr>
          <w:rFonts w:hint="eastAsia" w:asciiTheme="minorEastAsia" w:hAnsiTheme="minorEastAsia" w:eastAsiaTheme="minorEastAsia" w:cstheme="minorEastAsia"/>
          <w:color w:val="auto"/>
          <w:sz w:val="24"/>
          <w:szCs w:val="24"/>
        </w:rPr>
        <w:t>在本采购项目磋商结果公示期满后七日内,由成交单位一次性向采购代理机构缴纳服务费。该项费用</w:t>
      </w:r>
      <w:r>
        <w:rPr>
          <w:rFonts w:hint="eastAsia" w:asciiTheme="minorEastAsia" w:hAnsiTheme="minorEastAsia" w:eastAsiaTheme="minorEastAsia" w:cstheme="minorEastAsia"/>
          <w:color w:val="auto"/>
          <w:sz w:val="24"/>
          <w:szCs w:val="24"/>
          <w:lang w:eastAsia="zh-CN"/>
        </w:rPr>
        <w:t>成交</w:t>
      </w:r>
      <w:r>
        <w:rPr>
          <w:rFonts w:hint="eastAsia" w:asciiTheme="minorEastAsia" w:hAnsiTheme="minorEastAsia" w:eastAsiaTheme="minorEastAsia" w:cstheme="minorEastAsia"/>
          <w:color w:val="auto"/>
          <w:sz w:val="24"/>
          <w:szCs w:val="24"/>
        </w:rPr>
        <w:t>人应充分考虑并包含在投标报价内，采购人不再单独列项支付。</w:t>
      </w:r>
    </w:p>
    <w:p w14:paraId="05E8D128">
      <w:pPr>
        <w:pStyle w:val="3"/>
        <w:spacing w:before="0" w:after="0" w:line="48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十一、</w:t>
      </w:r>
      <w:bookmarkEnd w:id="34"/>
      <w:bookmarkEnd w:id="35"/>
      <w:bookmarkEnd w:id="36"/>
      <w:r>
        <w:rPr>
          <w:rFonts w:hint="eastAsia" w:asciiTheme="minorEastAsia" w:hAnsiTheme="minorEastAsia" w:eastAsiaTheme="minorEastAsia" w:cstheme="minorEastAsia"/>
          <w:color w:val="auto"/>
          <w:sz w:val="24"/>
          <w:szCs w:val="24"/>
        </w:rPr>
        <w:t>重新开展采购活动</w:t>
      </w:r>
      <w:bookmarkEnd w:id="37"/>
    </w:p>
    <w:p w14:paraId="25BA634F">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如果发生下列情况之一的，采购人或采购代理机构将按《政府采购竞争性磋商采购方式管理暂行办法》等有关规定终止竞争性磋商采购活动，发布项目终止公告并说明原因，重新开展采购活动：</w:t>
      </w:r>
    </w:p>
    <w:p w14:paraId="276B3BBD">
      <w:pPr>
        <w:spacing w:line="480" w:lineRule="exact"/>
        <w:ind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（1）因情况变化，不再符合规定的竞争性磋商采购方式适用情形的；</w:t>
      </w:r>
    </w:p>
    <w:p w14:paraId="169827E7">
      <w:pPr>
        <w:spacing w:line="480" w:lineRule="exact"/>
        <w:ind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（2）出现影响采购公正的违法、违规行为的；</w:t>
      </w:r>
    </w:p>
    <w:p w14:paraId="04D1A374">
      <w:pPr>
        <w:spacing w:line="480" w:lineRule="exact"/>
        <w:ind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（3）磋商小组三分之二以上的专家认定所有磋商报价存在价格不实的现象；</w:t>
      </w:r>
    </w:p>
    <w:p w14:paraId="359A4AF8">
      <w:pPr>
        <w:spacing w:line="480" w:lineRule="exact"/>
        <w:ind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除《政府采购竞争性磋商采购方式管理暂行办法》（财库〔2014〕214号）除本办法第二十一条第三款规定及《财政部关于政府采购竞争性磋商采购方式管理暂行办法有关问题的补充通知》（财库〔2015〕124号）规定的情形外，在采购过程中符合要求的供应商或者报价未超过采购预算的供应商不足3家的。</w:t>
      </w:r>
    </w:p>
    <w:p w14:paraId="6348714A">
      <w:pPr>
        <w:pStyle w:val="3"/>
        <w:spacing w:before="0" w:after="0" w:line="480" w:lineRule="exact"/>
        <w:rPr>
          <w:rFonts w:hint="eastAsia" w:asciiTheme="minorEastAsia" w:hAnsiTheme="minorEastAsia" w:eastAsiaTheme="minorEastAsia" w:cstheme="minorEastAsia"/>
          <w:color w:val="auto"/>
          <w:sz w:val="24"/>
          <w:szCs w:val="24"/>
        </w:rPr>
      </w:pPr>
      <w:bookmarkStart w:id="41" w:name="_Toc7453883"/>
      <w:r>
        <w:rPr>
          <w:rFonts w:hint="eastAsia" w:asciiTheme="minorEastAsia" w:hAnsiTheme="minorEastAsia" w:eastAsiaTheme="minorEastAsia" w:cstheme="minorEastAsia"/>
          <w:color w:val="auto"/>
          <w:sz w:val="24"/>
          <w:szCs w:val="24"/>
        </w:rPr>
        <w:t>十二、询问、质疑与投诉</w:t>
      </w:r>
      <w:bookmarkEnd w:id="38"/>
      <w:bookmarkEnd w:id="39"/>
      <w:bookmarkEnd w:id="40"/>
      <w:bookmarkEnd w:id="41"/>
    </w:p>
    <w:p w14:paraId="501C0AB0">
      <w:pPr>
        <w:spacing w:line="520" w:lineRule="exact"/>
        <w:ind w:firstLine="480" w:firstLineChars="200"/>
        <w:rPr>
          <w:rFonts w:hint="eastAsia" w:asciiTheme="minorEastAsia" w:hAnsiTheme="minorEastAsia" w:eastAsiaTheme="minorEastAsia" w:cstheme="minorEastAsia"/>
          <w:color w:val="auto"/>
          <w:sz w:val="24"/>
          <w:szCs w:val="24"/>
        </w:rPr>
      </w:pPr>
      <w:bookmarkStart w:id="42" w:name="_Toc7453884"/>
      <w:bookmarkStart w:id="43" w:name="_Toc458848743"/>
      <w:bookmarkStart w:id="44" w:name="_Toc493247325"/>
      <w:bookmarkStart w:id="45" w:name="_Toc458848828"/>
      <w:r>
        <w:rPr>
          <w:rFonts w:hint="eastAsia" w:asciiTheme="minorEastAsia" w:hAnsiTheme="minorEastAsia" w:eastAsiaTheme="minorEastAsia" w:cstheme="minorEastAsia"/>
          <w:color w:val="auto"/>
          <w:sz w:val="24"/>
          <w:szCs w:val="24"/>
        </w:rPr>
        <w:t>1.询问</w:t>
      </w:r>
    </w:p>
    <w:p w14:paraId="4F4FA13B">
      <w:pPr>
        <w:spacing w:line="520" w:lineRule="exact"/>
        <w:ind w:firstLine="480" w:firstLineChars="200"/>
        <w:rPr>
          <w:rFonts w:hint="eastAsia" w:asciiTheme="minorEastAsia" w:hAnsiTheme="minorEastAsia" w:eastAsiaTheme="minorEastAsia" w:cstheme="minorEastAsia"/>
          <w:color w:val="auto"/>
          <w:sz w:val="24"/>
          <w:szCs w:val="22"/>
        </w:rPr>
      </w:pPr>
      <w:r>
        <w:rPr>
          <w:rFonts w:hint="eastAsia" w:asciiTheme="minorEastAsia" w:hAnsiTheme="minorEastAsia" w:eastAsiaTheme="minorEastAsia" w:cstheme="minorEastAsia"/>
          <w:color w:val="auto"/>
          <w:sz w:val="24"/>
          <w:szCs w:val="22"/>
        </w:rPr>
        <w:t>供应商对政府采购活动事项有疑问的，可以向采购代理机构或采购人提出询问。采购代理机构或采购人将在3个工作日内对投标供应商依法提出的询问作出答复。</w:t>
      </w:r>
    </w:p>
    <w:p w14:paraId="66EC2E0F">
      <w:pPr>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2"/>
        </w:rPr>
        <w:t>供应商</w:t>
      </w:r>
      <w:r>
        <w:rPr>
          <w:rFonts w:hint="eastAsia" w:asciiTheme="minorEastAsia" w:hAnsiTheme="minorEastAsia" w:eastAsiaTheme="minorEastAsia" w:cstheme="minorEastAsia"/>
          <w:color w:val="auto"/>
          <w:sz w:val="24"/>
          <w:szCs w:val="24"/>
        </w:rPr>
        <w:t>提出的询问超出采购人对采购代理机构委托授权范围的，采购代理机构将告知</w:t>
      </w:r>
      <w:r>
        <w:rPr>
          <w:rFonts w:hint="eastAsia" w:asciiTheme="minorEastAsia" w:hAnsiTheme="minorEastAsia" w:eastAsiaTheme="minorEastAsia" w:cstheme="minorEastAsia"/>
          <w:color w:val="auto"/>
          <w:sz w:val="24"/>
          <w:szCs w:val="22"/>
        </w:rPr>
        <w:t>投标供应商</w:t>
      </w:r>
      <w:r>
        <w:rPr>
          <w:rFonts w:hint="eastAsia" w:asciiTheme="minorEastAsia" w:hAnsiTheme="minorEastAsia" w:eastAsiaTheme="minorEastAsia" w:cstheme="minorEastAsia"/>
          <w:color w:val="auto"/>
          <w:sz w:val="24"/>
          <w:szCs w:val="24"/>
        </w:rPr>
        <w:t>向采购人提出。</w:t>
      </w:r>
    </w:p>
    <w:p w14:paraId="469A5261">
      <w:pPr>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2.质疑和投诉</w:t>
      </w:r>
    </w:p>
    <w:p w14:paraId="5F4DB506">
      <w:pPr>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2"/>
        </w:rPr>
        <w:t>供应商</w:t>
      </w:r>
      <w:r>
        <w:rPr>
          <w:rFonts w:hint="eastAsia" w:asciiTheme="minorEastAsia" w:hAnsiTheme="minorEastAsia" w:eastAsiaTheme="minorEastAsia" w:cstheme="minorEastAsia"/>
          <w:color w:val="auto"/>
          <w:sz w:val="24"/>
          <w:szCs w:val="24"/>
        </w:rPr>
        <w:t>认为磋商文件、磋商过程使自身的合法权益受到损害，可以在知道或者应当知道其自身权益受到损害之日起七个工作日，以书面形式（纸质版加盖公章）向采购代理机构或采购人提出质疑。</w:t>
      </w:r>
      <w:r>
        <w:rPr>
          <w:rFonts w:hint="eastAsia" w:asciiTheme="minorEastAsia" w:hAnsiTheme="minorEastAsia" w:eastAsiaTheme="minorEastAsia" w:cstheme="minorEastAsia"/>
          <w:color w:val="auto"/>
          <w:sz w:val="24"/>
          <w:szCs w:val="22"/>
        </w:rPr>
        <w:t>供应商</w:t>
      </w:r>
      <w:r>
        <w:rPr>
          <w:rFonts w:hint="eastAsia" w:asciiTheme="minorEastAsia" w:hAnsiTheme="minorEastAsia" w:eastAsiaTheme="minorEastAsia" w:cstheme="minorEastAsia"/>
          <w:color w:val="auto"/>
          <w:sz w:val="24"/>
          <w:szCs w:val="24"/>
        </w:rPr>
        <w:t>认为磋商结果使自身的合法权益受到损害，可以在磋商结束后7日内前，以书面形式（纸质版加盖公章）向采购代理机构或采购人提出质疑。</w:t>
      </w:r>
    </w:p>
    <w:p w14:paraId="27B36419">
      <w:pPr>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2.1、质疑书应当包括以下主要内容：被质疑项目名称、项目编号、标段、竞争性磋商公告/中标公告发布时间、质疑事项、证据材料、法律依据（具体条款）、质疑人有效联系方式等。</w:t>
      </w:r>
    </w:p>
    <w:p w14:paraId="4095D464">
      <w:pPr>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2.2、质疑书应当由法定代表人签字并加盖公章，公章不得以合同章或其他印章代替。质疑人可以委托代理人办理质疑事项，代理人办理质疑事项时，除提交质疑书外，还应当提交质疑人的授权委托书及代理人的有效身份证明，授权委托书应当载明委托代理的具体权限和事项。</w:t>
      </w:r>
    </w:p>
    <w:p w14:paraId="259438EE">
      <w:pPr>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2.3.有下列情形之一的，属于无效质疑，采购代理机构和采购人不予受理：</w:t>
      </w:r>
    </w:p>
    <w:p w14:paraId="68E9D89E">
      <w:pPr>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（1）质疑人不是参与本次政府采购项目的供应商/或潜在供应商；</w:t>
      </w:r>
    </w:p>
    <w:p w14:paraId="4BF35C96">
      <w:pPr>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（2）质疑人与质疑事项不存在利害关系的；</w:t>
      </w:r>
    </w:p>
    <w:p w14:paraId="52FA4C55">
      <w:pPr>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（3）未在法定期限内提出质疑的；</w:t>
      </w:r>
    </w:p>
    <w:p w14:paraId="21498AC8">
      <w:pPr>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（4）质疑未以书面形式提出，或质疑书主要内容构成不完整的；</w:t>
      </w:r>
    </w:p>
    <w:p w14:paraId="5A5FA158">
      <w:pPr>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（5）质疑书没有合法有效的签字、盖章或授权的；</w:t>
      </w:r>
    </w:p>
    <w:p w14:paraId="781F1E20">
      <w:pPr>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（6）以非法手段取得证据、材料的；</w:t>
      </w:r>
    </w:p>
    <w:p w14:paraId="07871EF3">
      <w:pPr>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（7）质疑答复后，同一质疑人就同一事项再次提出质疑的；</w:t>
      </w:r>
    </w:p>
    <w:p w14:paraId="56857201">
      <w:pPr>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（8）不符合法律、法规、规章和监管机构规定的其他条件的。</w:t>
      </w:r>
    </w:p>
    <w:p w14:paraId="08E19B69">
      <w:pPr>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2.4、采购代理机构或采购人将在收到书面质疑后7个工作日内做出答复，并以书面形式通知质疑人和其他有关投标单位。</w:t>
      </w:r>
    </w:p>
    <w:p w14:paraId="78917151">
      <w:pPr>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质疑人对采购代理机构或采购人的答复不满意，以及采购代理机构或采购人未在规定时间内做出答复的，可以在答复期满后15个工作日内按照《政府采购质疑和投诉办法》（财政部94号令）相关规定向政府采购监管机构提出投诉。投标供应商投诉的事项不得超出已质疑事项的范围。</w:t>
      </w:r>
    </w:p>
    <w:p w14:paraId="2A02916D">
      <w:pPr>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2.6、对捏造事实、提供虚假材料进行质疑、投诉的行为予以严肃处理：</w:t>
      </w:r>
    </w:p>
    <w:p w14:paraId="6AE855D8">
      <w:pPr>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依据《政府采购质疑和投诉办法》（财政部94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07DD0454">
      <w:pPr>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2.7、对捏造事实诬告陷害他人、诽谤他人的法律适用：</w:t>
      </w:r>
    </w:p>
    <w:p w14:paraId="5CFD53F3">
      <w:pPr>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《中华人民共和国刑法》第243条【诬告陷害罪】捏造事实诬告陷害他人，意图使他人受刑事追究，情节严重的，处三年以下有期徒刑、拘役或者管制；造成严重后果的，处三年以上十年以下有期徒刑。</w:t>
      </w:r>
    </w:p>
    <w:bookmarkEnd w:id="42"/>
    <w:bookmarkEnd w:id="43"/>
    <w:bookmarkEnd w:id="44"/>
    <w:bookmarkEnd w:id="45"/>
    <w:p w14:paraId="48D16D3A">
      <w:pPr>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《中华人民共和国刑法》第246条【侮辱罪、诽谤罪】以暴力或者其他方法公然侮辱他人或者捏造事实诽谤他人，情节严重的，处三年以下有期徒刑、拘役、管制或者剥夺政治权利。</w:t>
      </w:r>
    </w:p>
    <w:p w14:paraId="7C751DBF">
      <w:pPr>
        <w:pStyle w:val="3"/>
        <w:spacing w:before="0" w:after="0" w:line="48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十三、拒绝商业贿赂</w:t>
      </w:r>
    </w:p>
    <w:p w14:paraId="04877CB4">
      <w:pPr>
        <w:spacing w:line="4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1、遵照陕西省财政厅的规定，采购人、采购代理机构、供应商和评审专家在磋商活动中，都要签订相应的《拒绝政府采购领域商业贿赂承诺书》，并对违反承诺的行为承担全部责任。</w:t>
      </w:r>
    </w:p>
    <w:p w14:paraId="3A51B1FA">
      <w:pPr>
        <w:spacing w:line="48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rPr>
        <w:t>2、供应商必须填写一份《拒绝政府采购领域商业贿赂承诺书》（附件）并附在磋商响应文</w:t>
      </w:r>
      <w:r>
        <w:rPr>
          <w:rFonts w:hint="eastAsia" w:asciiTheme="minorEastAsia" w:hAnsiTheme="minorEastAsia" w:eastAsiaTheme="minorEastAsia" w:cstheme="minorEastAsia"/>
          <w:color w:val="auto"/>
          <w:sz w:val="24"/>
        </w:rPr>
        <w:t>件中。</w:t>
      </w:r>
    </w:p>
    <w:p w14:paraId="01FF7E35">
      <w:pPr>
        <w:pStyle w:val="2"/>
        <w:spacing w:before="0" w:after="0" w:line="360" w:lineRule="auto"/>
        <w:jc w:val="both"/>
        <w:rPr>
          <w:rFonts w:hint="eastAsia" w:asciiTheme="minorEastAsia" w:hAnsiTheme="minorEastAsia" w:eastAsiaTheme="minorEastAsia" w:cstheme="minorEastAsia"/>
          <w:bCs/>
          <w:color w:val="auto"/>
          <w:kern w:val="0"/>
        </w:rPr>
        <w:sectPr>
          <w:footerReference r:id="rId9" w:type="first"/>
          <w:footerReference r:id="rId8" w:type="default"/>
          <w:pgSz w:w="11849" w:h="16781"/>
          <w:pgMar w:top="1440" w:right="1080" w:bottom="1440" w:left="1080" w:header="720" w:footer="720" w:gutter="0"/>
          <w:pgNumType w:start="1"/>
          <w:cols w:space="720" w:num="1"/>
          <w:docGrid w:linePitch="312" w:charSpace="0"/>
        </w:sectPr>
      </w:pPr>
    </w:p>
    <w:p w14:paraId="1602D8D7">
      <w:pPr>
        <w:pStyle w:val="2"/>
        <w:spacing w:before="0" w:after="0" w:line="360" w:lineRule="auto"/>
        <w:jc w:val="center"/>
        <w:rPr>
          <w:rFonts w:hint="eastAsia" w:asciiTheme="minorEastAsia" w:hAnsiTheme="minorEastAsia" w:eastAsiaTheme="minorEastAsia" w:cstheme="minorEastAsia"/>
          <w:color w:val="auto"/>
        </w:rPr>
      </w:pPr>
      <w:bookmarkStart w:id="46" w:name="_Toc29969"/>
      <w:r>
        <w:rPr>
          <w:rFonts w:hint="eastAsia" w:asciiTheme="minorEastAsia" w:hAnsiTheme="minorEastAsia" w:eastAsiaTheme="minorEastAsia" w:cstheme="minorEastAsia"/>
          <w:bCs/>
          <w:color w:val="auto"/>
          <w:kern w:val="0"/>
        </w:rPr>
        <w:t>第三章 采购内</w:t>
      </w:r>
      <w:r>
        <w:rPr>
          <w:rFonts w:hint="eastAsia" w:asciiTheme="minorEastAsia" w:hAnsiTheme="minorEastAsia" w:eastAsiaTheme="minorEastAsia" w:cstheme="minorEastAsia"/>
          <w:bCs/>
          <w:color w:val="auto"/>
          <w:kern w:val="0"/>
          <w:shd w:val="clear" w:color="auto" w:fill="FFFFFF" w:themeFill="background1"/>
        </w:rPr>
        <w:t>容及要求</w:t>
      </w:r>
      <w:bookmarkEnd w:id="46"/>
    </w:p>
    <w:p w14:paraId="2D7CB0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lang w:val="en-US" w:eastAsia="zh-CN"/>
        </w:rPr>
      </w:pPr>
      <w:bookmarkStart w:id="47" w:name="_Toc7453886"/>
      <w:bookmarkStart w:id="48" w:name="_Toc3982"/>
      <w:r>
        <w:rPr>
          <w:rFonts w:hint="eastAsia" w:asciiTheme="minorEastAsia" w:hAnsiTheme="minorEastAsia" w:eastAsiaTheme="minorEastAsia" w:cstheme="minorEastAsia"/>
          <w:b/>
          <w:bCs/>
          <w:sz w:val="24"/>
          <w:szCs w:val="24"/>
          <w:lang w:val="en-US" w:eastAsia="zh-CN"/>
        </w:rPr>
        <w:t>第1包</w:t>
      </w:r>
    </w:p>
    <w:p w14:paraId="38F9F47B">
      <w:pPr>
        <w:spacing w:line="360" w:lineRule="auto"/>
        <w:ind w:firstLine="480" w:firstLineChars="200"/>
        <w:rPr>
          <w:rFonts w:ascii="宋体" w:hAnsi="宋体" w:eastAsia="宋体"/>
          <w:sz w:val="24"/>
          <w:szCs w:val="24"/>
        </w:rPr>
      </w:pPr>
      <w:r>
        <w:rPr>
          <w:rFonts w:hint="eastAsia" w:ascii="宋体" w:hAnsi="宋体" w:eastAsia="宋体"/>
          <w:sz w:val="24"/>
          <w:szCs w:val="24"/>
        </w:rPr>
        <w:t>1、规划目标</w:t>
      </w:r>
    </w:p>
    <w:p w14:paraId="41FF2299">
      <w:pPr>
        <w:spacing w:line="360" w:lineRule="auto"/>
        <w:ind w:firstLine="480" w:firstLineChars="200"/>
        <w:rPr>
          <w:rFonts w:ascii="宋体" w:hAnsi="宋体" w:eastAsia="宋体"/>
          <w:sz w:val="24"/>
          <w:szCs w:val="24"/>
        </w:rPr>
      </w:pPr>
      <w:r>
        <w:rPr>
          <w:rFonts w:hint="eastAsia" w:ascii="宋体" w:hAnsi="宋体" w:eastAsia="宋体"/>
          <w:sz w:val="24"/>
          <w:szCs w:val="24"/>
        </w:rPr>
        <w:t>园区位于宝鸡市中心城区北部，是省级高新技术产业开发区，实行现行的省级高新区相关政策。依托宝鸡市的关中平原城市群副中心城市发展定位，通过</w:t>
      </w:r>
      <w:r>
        <w:rPr>
          <w:rFonts w:ascii="宋体" w:hAnsi="宋体" w:eastAsia="宋体"/>
          <w:sz w:val="24"/>
          <w:szCs w:val="24"/>
        </w:rPr>
        <w:t>本次产业规划，</w:t>
      </w:r>
      <w:r>
        <w:rPr>
          <w:rFonts w:hint="eastAsia" w:ascii="宋体" w:hAnsi="宋体" w:eastAsia="宋体"/>
          <w:sz w:val="24"/>
          <w:szCs w:val="24"/>
        </w:rPr>
        <w:t>实现经济总量大幅增长，主导产业集群发展、特色凸显，辅助产业配套完善、持续成长，市场资源配置和政府支撑机制不断深化，企业培育、科技创新、创业孵化、出口创汇、产城融合等指标实现突破性进展，建成区域特色显著、设施配套到位、综合服务便捷、资源配置高效、产业链条完善的省级开发区。</w:t>
      </w:r>
    </w:p>
    <w:p w14:paraId="4FC708F0">
      <w:pPr>
        <w:spacing w:line="360" w:lineRule="auto"/>
        <w:ind w:firstLine="480" w:firstLineChars="200"/>
        <w:rPr>
          <w:rFonts w:ascii="宋体" w:hAnsi="宋体" w:eastAsia="宋体"/>
          <w:sz w:val="24"/>
          <w:szCs w:val="24"/>
        </w:rPr>
      </w:pPr>
      <w:r>
        <w:rPr>
          <w:rFonts w:hint="eastAsia" w:ascii="宋体" w:hAnsi="宋体" w:eastAsia="宋体"/>
          <w:sz w:val="24"/>
          <w:szCs w:val="24"/>
        </w:rPr>
        <w:t>2、规划范围</w:t>
      </w:r>
    </w:p>
    <w:p w14:paraId="7DF8354D">
      <w:pPr>
        <w:spacing w:line="360" w:lineRule="auto"/>
        <w:ind w:firstLine="480" w:firstLineChars="200"/>
        <w:rPr>
          <w:rFonts w:ascii="宋体" w:hAnsi="宋体" w:eastAsia="宋体"/>
          <w:sz w:val="24"/>
          <w:szCs w:val="24"/>
        </w:rPr>
      </w:pPr>
      <w:r>
        <w:rPr>
          <w:rFonts w:hint="eastAsia" w:ascii="宋体" w:hAnsi="宋体" w:eastAsia="宋体"/>
          <w:sz w:val="24"/>
          <w:szCs w:val="24"/>
        </w:rPr>
        <w:t>园区南部紧邻宝鸡市主城区，总面积843.9480公顷，包括两个区块，其中区块一：面积为668.3234公顷，东至蟠龙镇东升村以东塬边，南至蟠龙文化公园以南塬边，西至省人民广播电台以西塬边，北至蟠龙镇韩家村以北。区块二：面积为面积175.6246公顷，东至金陵河，南至寺沟村，西至胜利塬坡根，北至周家庄村。</w:t>
      </w:r>
    </w:p>
    <w:p w14:paraId="4D69CE49">
      <w:pPr>
        <w:spacing w:line="360" w:lineRule="auto"/>
        <w:ind w:firstLine="480" w:firstLineChars="200"/>
        <w:rPr>
          <w:rFonts w:ascii="宋体" w:hAnsi="宋体" w:eastAsia="宋体"/>
          <w:sz w:val="24"/>
          <w:szCs w:val="24"/>
        </w:rPr>
      </w:pPr>
      <w:r>
        <w:rPr>
          <w:rFonts w:hint="eastAsia" w:ascii="宋体" w:hAnsi="宋体" w:eastAsia="宋体"/>
          <w:sz w:val="24"/>
          <w:szCs w:val="24"/>
        </w:rPr>
        <w:t>3、规划主要内容</w:t>
      </w:r>
    </w:p>
    <w:p w14:paraId="127ED773">
      <w:pPr>
        <w:spacing w:line="360" w:lineRule="auto"/>
        <w:ind w:firstLine="480" w:firstLineChars="200"/>
        <w:rPr>
          <w:rFonts w:ascii="宋体" w:hAnsi="宋体" w:eastAsia="宋体"/>
          <w:sz w:val="24"/>
          <w:szCs w:val="24"/>
        </w:rPr>
      </w:pPr>
      <w:r>
        <w:rPr>
          <w:rFonts w:hint="eastAsia" w:ascii="宋体" w:hAnsi="宋体" w:eastAsia="宋体"/>
          <w:sz w:val="24"/>
          <w:szCs w:val="24"/>
        </w:rPr>
        <w:t>（1）产业发展研判</w:t>
      </w:r>
    </w:p>
    <w:p w14:paraId="6E500D99">
      <w:pPr>
        <w:spacing w:line="360" w:lineRule="auto"/>
        <w:ind w:firstLine="480" w:firstLineChars="200"/>
        <w:rPr>
          <w:rFonts w:ascii="宋体" w:hAnsi="宋体" w:eastAsia="宋体"/>
          <w:sz w:val="24"/>
          <w:szCs w:val="24"/>
        </w:rPr>
      </w:pPr>
      <w:r>
        <w:rPr>
          <w:rFonts w:hint="eastAsia" w:ascii="宋体" w:hAnsi="宋体" w:eastAsia="宋体"/>
          <w:sz w:val="24"/>
          <w:szCs w:val="24"/>
        </w:rPr>
        <w:t>充分借鉴省内外相关案例，综合考虑市场需求、园区发展实际、区域竞合关系等因素，合理确定园区的产业发展思路，产业发展定位、总体目标及分阶段目标，突出园区与蟠龙新区</w:t>
      </w:r>
      <w:r>
        <w:rPr>
          <w:rFonts w:ascii="宋体" w:hAnsi="宋体" w:eastAsia="宋体"/>
          <w:sz w:val="24"/>
          <w:szCs w:val="24"/>
        </w:rPr>
        <w:t>、</w:t>
      </w:r>
      <w:r>
        <w:rPr>
          <w:rFonts w:hint="eastAsia" w:ascii="宋体" w:hAnsi="宋体" w:eastAsia="宋体"/>
          <w:sz w:val="24"/>
          <w:szCs w:val="24"/>
        </w:rPr>
        <w:t>宝鸡市的协同发展。</w:t>
      </w:r>
    </w:p>
    <w:p w14:paraId="403A2766">
      <w:pPr>
        <w:spacing w:line="360" w:lineRule="auto"/>
        <w:ind w:firstLine="480" w:firstLineChars="200"/>
        <w:rPr>
          <w:rFonts w:ascii="宋体" w:hAnsi="宋体" w:eastAsia="宋体"/>
          <w:sz w:val="24"/>
          <w:szCs w:val="24"/>
        </w:rPr>
      </w:pPr>
      <w:r>
        <w:rPr>
          <w:rFonts w:hint="eastAsia" w:ascii="宋体" w:hAnsi="宋体" w:eastAsia="宋体"/>
          <w:sz w:val="24"/>
          <w:szCs w:val="24"/>
        </w:rPr>
        <w:t>（2）产业发展体系</w:t>
      </w:r>
    </w:p>
    <w:p w14:paraId="084BB440">
      <w:pPr>
        <w:spacing w:line="360" w:lineRule="auto"/>
        <w:ind w:firstLine="480" w:firstLineChars="200"/>
        <w:rPr>
          <w:rFonts w:ascii="宋体" w:hAnsi="宋体" w:eastAsia="宋体"/>
          <w:sz w:val="24"/>
          <w:szCs w:val="24"/>
        </w:rPr>
      </w:pPr>
      <w:r>
        <w:rPr>
          <w:rFonts w:hint="eastAsia" w:ascii="宋体" w:hAnsi="宋体" w:eastAsia="宋体"/>
          <w:sz w:val="24"/>
          <w:szCs w:val="24"/>
        </w:rPr>
        <w:t>按照园区发展目标，合理确定园区主导产业体系，结合产业实际发展诉求，合理协调生产、生活、生态的关系，强化产业发展诉求导向下的基础设施配建、景观风貌营造，从而构建科学合理的用地空间布局。</w:t>
      </w:r>
    </w:p>
    <w:p w14:paraId="6B2A5708">
      <w:pPr>
        <w:spacing w:line="360" w:lineRule="auto"/>
        <w:ind w:firstLine="480" w:firstLineChars="200"/>
        <w:rPr>
          <w:rFonts w:ascii="宋体" w:hAnsi="宋体" w:eastAsia="宋体"/>
          <w:sz w:val="24"/>
          <w:szCs w:val="24"/>
        </w:rPr>
      </w:pPr>
      <w:r>
        <w:rPr>
          <w:rFonts w:hint="eastAsia" w:ascii="宋体" w:hAnsi="宋体" w:eastAsia="宋体"/>
          <w:sz w:val="24"/>
          <w:szCs w:val="24"/>
        </w:rPr>
        <w:t>（3）产业发展路径</w:t>
      </w:r>
    </w:p>
    <w:p w14:paraId="50B2A27C">
      <w:pPr>
        <w:spacing w:line="360" w:lineRule="auto"/>
        <w:ind w:firstLine="480" w:firstLineChars="200"/>
        <w:rPr>
          <w:rFonts w:ascii="宋体" w:hAnsi="宋体" w:eastAsia="宋体"/>
          <w:sz w:val="24"/>
          <w:szCs w:val="24"/>
        </w:rPr>
      </w:pPr>
      <w:r>
        <w:rPr>
          <w:rFonts w:hint="eastAsia" w:ascii="宋体" w:hAnsi="宋体" w:eastAsia="宋体"/>
          <w:sz w:val="24"/>
          <w:szCs w:val="24"/>
        </w:rPr>
        <w:t>按照“快速推进、分区开发、加快建设”的理念，依托园区现状已有的产业基础和发展优势，合理确定产业发展时序，明晰近期产业发展重点与实施项目库。</w:t>
      </w:r>
    </w:p>
    <w:p w14:paraId="687A8DB3">
      <w:pPr>
        <w:spacing w:line="360" w:lineRule="auto"/>
        <w:ind w:firstLine="480" w:firstLineChars="200"/>
        <w:outlineLvl w:val="0"/>
        <w:rPr>
          <w:rFonts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rPr>
        <w:t>、规划要求依据</w:t>
      </w:r>
    </w:p>
    <w:p w14:paraId="49E7FE1A">
      <w:pPr>
        <w:pStyle w:val="108"/>
        <w:numPr>
          <w:ilvl w:val="0"/>
          <w:numId w:val="0"/>
        </w:numPr>
        <w:spacing w:line="360" w:lineRule="auto"/>
        <w:ind w:leftChars="0" w:firstLine="480" w:firstLineChars="200"/>
        <w:rPr>
          <w:rFonts w:ascii="宋体" w:hAnsi="宋体" w:eastAsia="宋体"/>
          <w:sz w:val="24"/>
          <w:szCs w:val="24"/>
        </w:rPr>
      </w:pPr>
      <w:r>
        <w:rPr>
          <w:rFonts w:hint="eastAsia" w:ascii="宋体" w:hAnsi="宋体" w:eastAsia="宋体"/>
          <w:sz w:val="24"/>
          <w:szCs w:val="24"/>
          <w:lang w:val="en-US" w:eastAsia="zh-CN"/>
        </w:rPr>
        <w:t>（1）</w:t>
      </w:r>
      <w:r>
        <w:rPr>
          <w:rFonts w:hint="eastAsia" w:ascii="宋体" w:hAnsi="宋体" w:eastAsia="宋体"/>
          <w:sz w:val="24"/>
          <w:szCs w:val="24"/>
        </w:rPr>
        <w:t>《中华人民共和国城乡规划法》（2019年修正）；</w:t>
      </w:r>
    </w:p>
    <w:p w14:paraId="1E2BA686">
      <w:pPr>
        <w:pStyle w:val="108"/>
        <w:numPr>
          <w:ilvl w:val="0"/>
          <w:numId w:val="0"/>
        </w:numPr>
        <w:spacing w:line="360" w:lineRule="auto"/>
        <w:ind w:leftChars="0" w:firstLine="480" w:firstLineChars="200"/>
        <w:rPr>
          <w:rFonts w:ascii="宋体" w:hAnsi="宋体" w:eastAsia="宋体"/>
          <w:sz w:val="24"/>
          <w:szCs w:val="24"/>
        </w:rPr>
      </w:pPr>
      <w:r>
        <w:rPr>
          <w:rFonts w:hint="eastAsia" w:ascii="宋体" w:hAnsi="宋体" w:eastAsia="宋体"/>
          <w:sz w:val="24"/>
          <w:szCs w:val="24"/>
          <w:lang w:val="en-US" w:eastAsia="zh-CN"/>
        </w:rPr>
        <w:t>（2）</w:t>
      </w:r>
      <w:r>
        <w:rPr>
          <w:rFonts w:hint="eastAsia" w:ascii="宋体" w:hAnsi="宋体" w:eastAsia="宋体"/>
          <w:sz w:val="24"/>
          <w:szCs w:val="24"/>
        </w:rPr>
        <w:t>《中华人民共和国土地管理法》（2019年修正）；</w:t>
      </w:r>
    </w:p>
    <w:p w14:paraId="4ED28AAE">
      <w:pPr>
        <w:pStyle w:val="108"/>
        <w:numPr>
          <w:ilvl w:val="0"/>
          <w:numId w:val="0"/>
        </w:numPr>
        <w:spacing w:line="360" w:lineRule="auto"/>
        <w:ind w:leftChars="0" w:firstLine="480" w:firstLineChars="200"/>
        <w:rPr>
          <w:rFonts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rPr>
        <w:t>《中华人民共和国环境保护法》（2014年修订）；</w:t>
      </w:r>
    </w:p>
    <w:p w14:paraId="482241B4">
      <w:pPr>
        <w:pStyle w:val="108"/>
        <w:numPr>
          <w:ilvl w:val="0"/>
          <w:numId w:val="0"/>
        </w:numPr>
        <w:spacing w:line="360" w:lineRule="auto"/>
        <w:ind w:leftChars="0" w:firstLine="480" w:firstLineChars="200"/>
        <w:rPr>
          <w:rFonts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rPr>
        <w:t>《城市规划编制办法》（建设部第146号令，2006年4月）；</w:t>
      </w:r>
    </w:p>
    <w:p w14:paraId="263D1572">
      <w:pPr>
        <w:pStyle w:val="108"/>
        <w:numPr>
          <w:ilvl w:val="0"/>
          <w:numId w:val="0"/>
        </w:numPr>
        <w:spacing w:line="360" w:lineRule="auto"/>
        <w:ind w:leftChars="0" w:firstLine="480" w:firstLineChars="200"/>
        <w:rPr>
          <w:rFonts w:hint="eastAsia" w:ascii="宋体" w:hAnsi="宋体" w:eastAsia="宋体"/>
          <w:sz w:val="24"/>
          <w:szCs w:val="24"/>
        </w:rPr>
      </w:pPr>
      <w:r>
        <w:rPr>
          <w:rFonts w:hint="eastAsia" w:ascii="宋体" w:hAnsi="宋体" w:eastAsia="宋体"/>
          <w:sz w:val="24"/>
          <w:szCs w:val="24"/>
          <w:lang w:val="en-US" w:eastAsia="zh-CN"/>
        </w:rPr>
        <w:t>（5）</w:t>
      </w:r>
      <w:r>
        <w:rPr>
          <w:rFonts w:hint="eastAsia" w:ascii="宋体" w:hAnsi="宋体" w:eastAsia="宋体"/>
          <w:sz w:val="24"/>
          <w:szCs w:val="24"/>
        </w:rPr>
        <w:t>《中华人民共和国工程建设标准强制性条文·城乡规划部分》（2013年版）；</w:t>
      </w:r>
    </w:p>
    <w:p w14:paraId="354B9C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5、成果交付</w:t>
      </w:r>
    </w:p>
    <w:p w14:paraId="66160C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经采购方审定后，成交单位须向采购单位提供成果资料纸质版6份，电子版1份，交付采购方。</w:t>
      </w:r>
    </w:p>
    <w:p w14:paraId="21D447E4">
      <w:pPr>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第2包</w:t>
      </w:r>
    </w:p>
    <w:p w14:paraId="3B7CEC7A">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1、</w:t>
      </w:r>
      <w:r>
        <w:rPr>
          <w:rFonts w:hint="eastAsia" w:ascii="宋体" w:hAnsi="宋体" w:eastAsia="宋体"/>
          <w:sz w:val="24"/>
          <w:szCs w:val="24"/>
        </w:rPr>
        <w:t>目标要求</w:t>
      </w:r>
    </w:p>
    <w:p w14:paraId="3A3D71C4">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（1）调查产业园基本情况</w:t>
      </w:r>
    </w:p>
    <w:p w14:paraId="244F1138">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（2）分析拟纳入《目录》开发区用地状况</w:t>
      </w:r>
    </w:p>
    <w:p w14:paraId="07C1BA55">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）测算拟纳入《目录》开发区未来发展空间和存量用地潜力</w:t>
      </w:r>
    </w:p>
    <w:p w14:paraId="466DDAC0">
      <w:p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2</w:t>
      </w:r>
      <w:r>
        <w:rPr>
          <w:rFonts w:hint="eastAsia" w:ascii="宋体" w:hAnsi="宋体" w:eastAsia="宋体"/>
          <w:sz w:val="24"/>
          <w:szCs w:val="24"/>
        </w:rPr>
        <w:t>、调查范围</w:t>
      </w:r>
    </w:p>
    <w:p w14:paraId="0E1C54CF">
      <w:pPr>
        <w:spacing w:line="360" w:lineRule="auto"/>
        <w:ind w:firstLine="480" w:firstLineChars="200"/>
        <w:rPr>
          <w:rFonts w:ascii="宋体" w:hAnsi="宋体" w:eastAsia="宋体"/>
          <w:sz w:val="24"/>
          <w:szCs w:val="24"/>
        </w:rPr>
      </w:pPr>
      <w:r>
        <w:rPr>
          <w:rFonts w:hint="eastAsia" w:ascii="宋体" w:hAnsi="宋体" w:eastAsia="宋体"/>
          <w:sz w:val="24"/>
          <w:szCs w:val="24"/>
        </w:rPr>
        <w:t>本次用地调查范围总面积843.9480公顷，包括两个区块，其中区块一：面积为668.3234公顷，东至蟠龙镇东升村以东塬边，南至蟠龙文化公园以南塬边，西至省人民广播电台以西塬边，北至蟠龙镇韩家村以北。区块二：面积为面积175.6246公顷，东至金陵河，南至寺沟村，西至胜利塬坡根，北至周家庄村。</w:t>
      </w:r>
    </w:p>
    <w:p w14:paraId="5EC1F98D">
      <w:p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rPr>
        <w:t>、用地调查主要内容</w:t>
      </w:r>
    </w:p>
    <w:p w14:paraId="4F5EDA7A">
      <w:pPr>
        <w:spacing w:line="360" w:lineRule="auto"/>
        <w:ind w:firstLine="480" w:firstLineChars="200"/>
        <w:rPr>
          <w:rFonts w:ascii="宋体" w:hAnsi="宋体" w:eastAsia="宋体"/>
          <w:sz w:val="24"/>
          <w:szCs w:val="24"/>
        </w:rPr>
      </w:pPr>
      <w:r>
        <w:rPr>
          <w:rFonts w:hint="eastAsia" w:ascii="宋体" w:hAnsi="宋体" w:eastAsia="宋体"/>
          <w:sz w:val="24"/>
          <w:szCs w:val="24"/>
        </w:rPr>
        <w:t>（1）调查产业园基本情况</w:t>
      </w:r>
    </w:p>
    <w:p w14:paraId="7B436502">
      <w:pPr>
        <w:spacing w:line="360" w:lineRule="auto"/>
        <w:ind w:firstLine="480" w:firstLineChars="200"/>
        <w:rPr>
          <w:rFonts w:ascii="宋体" w:hAnsi="宋体" w:eastAsia="宋体"/>
          <w:sz w:val="24"/>
          <w:szCs w:val="24"/>
        </w:rPr>
      </w:pPr>
      <w:r>
        <w:rPr>
          <w:rFonts w:hint="eastAsia" w:ascii="宋体" w:hAnsi="宋体" w:eastAsia="宋体"/>
          <w:sz w:val="24"/>
          <w:szCs w:val="24"/>
        </w:rPr>
        <w:t>以全省产业园区用地总调查为基础，全面摸清产业园名称、级别、类型、所在地级市、县行政区名称、园区面积、区块数量及《中国开发区审核公告目录（2018年版）》（以下简称《目录》）公布以来年均供地面积等情况。筛选出开发区范围相互重叠的园区。</w:t>
      </w:r>
    </w:p>
    <w:p w14:paraId="628D4AD5">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从市政府、发改、工信等主管部门获取拟纳入《目录》开发区的名称、级别、类型、所在地级市、县行政区、区块数量及拟整合优化范围等信息，描述产业园发展概况、土地利用现状、产业园开发建设情况。</w:t>
      </w:r>
    </w:p>
    <w:p w14:paraId="138C3430">
      <w:pPr>
        <w:spacing w:line="360" w:lineRule="auto"/>
        <w:ind w:firstLine="480" w:firstLineChars="200"/>
        <w:rPr>
          <w:rFonts w:ascii="宋体" w:hAnsi="宋体" w:eastAsia="宋体"/>
          <w:sz w:val="24"/>
          <w:szCs w:val="24"/>
        </w:rPr>
      </w:pPr>
      <w:r>
        <w:rPr>
          <w:rFonts w:hint="eastAsia" w:ascii="宋体" w:hAnsi="宋体" w:eastAsia="宋体"/>
          <w:sz w:val="24"/>
          <w:szCs w:val="24"/>
        </w:rPr>
        <w:t>（2）分析开发区用地状况</w:t>
      </w:r>
    </w:p>
    <w:p w14:paraId="54A91682">
      <w:pPr>
        <w:spacing w:line="360" w:lineRule="auto"/>
        <w:ind w:firstLine="480" w:firstLineChars="200"/>
        <w:rPr>
          <w:rFonts w:ascii="宋体" w:hAnsi="宋体" w:eastAsia="宋体"/>
          <w:sz w:val="24"/>
          <w:szCs w:val="24"/>
        </w:rPr>
      </w:pPr>
      <w:r>
        <w:rPr>
          <w:rFonts w:hint="eastAsia" w:ascii="宋体" w:hAnsi="宋体" w:eastAsia="宋体"/>
          <w:sz w:val="24"/>
          <w:szCs w:val="24"/>
        </w:rPr>
        <w:t>包含土地开发建设情况、低效工况仓储用地。开发区拟整合优化范围矢量成果套合“三区三线”划定矢量成果，测算开发区总面积，核实是否位于城镇开发边界内，是否涉及永久基本农田面积和生态保护红线面积。依据国土空间规划数据，获取开发区规划建设用地面积、规划工矿仓储用地面积，测算规划工业用地率。</w:t>
      </w:r>
    </w:p>
    <w:p w14:paraId="5D8BDCCB">
      <w:pPr>
        <w:spacing w:line="360" w:lineRule="auto"/>
        <w:ind w:firstLine="480" w:firstLineChars="200"/>
        <w:rPr>
          <w:rFonts w:ascii="宋体" w:hAnsi="宋体" w:eastAsia="宋体"/>
          <w:sz w:val="24"/>
          <w:szCs w:val="24"/>
        </w:rPr>
      </w:pPr>
      <w:r>
        <w:rPr>
          <w:rFonts w:hint="eastAsia" w:ascii="宋体" w:hAnsi="宋体" w:eastAsia="宋体"/>
          <w:sz w:val="24"/>
          <w:szCs w:val="24"/>
        </w:rPr>
        <w:t>结合土地市场动态监测与监管系统，调查开发区拟整合优化范围内的已批准国有建设用地面积、已供应国有建设用地面积、批而未供土地和闲置土地面积，开展统计分析。</w:t>
      </w:r>
    </w:p>
    <w:p w14:paraId="52DF6A25">
      <w:pPr>
        <w:spacing w:line="360" w:lineRule="auto"/>
        <w:ind w:firstLine="480" w:firstLineChars="200"/>
        <w:rPr>
          <w:rFonts w:ascii="宋体" w:hAnsi="宋体" w:eastAsia="宋体"/>
          <w:sz w:val="24"/>
          <w:szCs w:val="24"/>
        </w:rPr>
      </w:pPr>
      <w:r>
        <w:rPr>
          <w:rFonts w:hint="eastAsia" w:ascii="宋体" w:hAnsi="宋体" w:eastAsia="宋体"/>
          <w:sz w:val="24"/>
          <w:szCs w:val="24"/>
        </w:rPr>
        <w:t>开发区拟整合优化范围矢量成果套合国土变更调查矢量成果，获取开发区现状建设用地、工业用地、采矿用地、盐田及仓储用地面积，测算现状工业用地率。对比现状建设用地与规划建设用地，测算规划建设用地开发建设程度。</w:t>
      </w:r>
    </w:p>
    <w:p w14:paraId="7186886A">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调查低效工矿仓储用地面积，各地可结合低效用地认定成果与开发区土地集约利用监测统计成果，开展低效工矿仓储用地排查。依据土地市场动态监测与监管系统数据、参考涵盖人口与用水用电量等在内的空间大数据和历年遥感影像等，排查开发区内在建停工、建成停产等荒废情况。</w:t>
      </w:r>
    </w:p>
    <w:p w14:paraId="644190F2">
      <w:pPr>
        <w:spacing w:line="360" w:lineRule="auto"/>
        <w:ind w:firstLine="480" w:firstLineChars="200"/>
        <w:rPr>
          <w:rFonts w:ascii="宋体" w:hAnsi="宋体" w:eastAsia="宋体"/>
          <w:sz w:val="24"/>
          <w:szCs w:val="24"/>
        </w:rPr>
      </w:pPr>
      <w:r>
        <w:rPr>
          <w:rFonts w:hint="eastAsia" w:ascii="宋体" w:hAnsi="宋体" w:eastAsia="宋体"/>
          <w:sz w:val="24"/>
          <w:szCs w:val="24"/>
        </w:rPr>
        <w:t>（3）测算开发区发展空间和潜力</w:t>
      </w:r>
    </w:p>
    <w:p w14:paraId="49C556B1">
      <w:pPr>
        <w:overflowPunct w:val="0"/>
        <w:spacing w:line="360" w:lineRule="auto"/>
        <w:ind w:firstLine="480" w:firstLineChars="200"/>
        <w:rPr>
          <w:rFonts w:ascii="宋体" w:hAnsi="宋体" w:eastAsia="宋体"/>
          <w:sz w:val="24"/>
          <w:szCs w:val="24"/>
        </w:rPr>
      </w:pPr>
      <w:r>
        <w:rPr>
          <w:rFonts w:hint="eastAsia" w:ascii="宋体" w:hAnsi="宋体" w:eastAsia="宋体"/>
          <w:sz w:val="24"/>
          <w:szCs w:val="24"/>
        </w:rPr>
        <w:t>1）未来新增发展空间</w:t>
      </w:r>
    </w:p>
    <w:p w14:paraId="29000486">
      <w:pPr>
        <w:spacing w:line="360" w:lineRule="auto"/>
        <w:ind w:firstLine="480" w:firstLineChars="200"/>
        <w:rPr>
          <w:rFonts w:ascii="宋体" w:hAnsi="宋体" w:eastAsia="宋体"/>
          <w:sz w:val="24"/>
          <w:szCs w:val="24"/>
        </w:rPr>
      </w:pPr>
      <w:r>
        <w:rPr>
          <w:rFonts w:hint="eastAsia" w:ascii="宋体" w:hAnsi="宋体" w:eastAsia="宋体"/>
          <w:sz w:val="24"/>
          <w:szCs w:val="24"/>
        </w:rPr>
        <w:t>用地需求测算。依据拟纳入《目录》开发区范围内《目录》公布以来的年均供地面积，测算未来5年和10年发展需求的空间规模。</w:t>
      </w:r>
    </w:p>
    <w:p w14:paraId="54B43B74">
      <w:pPr>
        <w:spacing w:line="360" w:lineRule="auto"/>
        <w:ind w:firstLine="480" w:firstLineChars="200"/>
        <w:rPr>
          <w:rFonts w:ascii="宋体" w:hAnsi="宋体" w:eastAsia="宋体"/>
          <w:sz w:val="24"/>
          <w:szCs w:val="24"/>
        </w:rPr>
      </w:pPr>
      <w:r>
        <w:rPr>
          <w:rFonts w:hint="eastAsia" w:ascii="宋体" w:hAnsi="宋体" w:eastAsia="宋体"/>
          <w:sz w:val="24"/>
          <w:szCs w:val="24"/>
        </w:rPr>
        <w:t>尚可供地年限测算。结合拟纳入《目录》开发区范围位于城镇开发边界内规划建设用地中尚可供应土地面积、《目录》公布以来的年均供地面积，测算开发区尚可供地年限。新设立的开发区范围在《目录》公布以来没有供地的可参考所在县级行政区年均供地面积，测算未来5-10年发展需求的空间规模和开发区尚可供地年限。</w:t>
      </w:r>
    </w:p>
    <w:p w14:paraId="61D3E014">
      <w:pPr>
        <w:spacing w:line="360" w:lineRule="auto"/>
        <w:ind w:firstLine="480" w:firstLineChars="200"/>
        <w:rPr>
          <w:rFonts w:ascii="宋体" w:hAnsi="宋体" w:eastAsia="宋体"/>
          <w:sz w:val="24"/>
          <w:szCs w:val="24"/>
        </w:rPr>
      </w:pPr>
      <w:r>
        <w:rPr>
          <w:rFonts w:hint="eastAsia" w:ascii="宋体" w:hAnsi="宋体" w:eastAsia="宋体"/>
          <w:sz w:val="24"/>
          <w:szCs w:val="24"/>
        </w:rPr>
        <w:t>2）存量用地潜力</w:t>
      </w:r>
    </w:p>
    <w:p w14:paraId="0FABA289">
      <w:pPr>
        <w:spacing w:line="360" w:lineRule="auto"/>
        <w:ind w:firstLine="480" w:firstLineChars="200"/>
        <w:rPr>
          <w:rFonts w:ascii="宋体" w:hAnsi="宋体" w:eastAsia="宋体"/>
          <w:sz w:val="24"/>
          <w:szCs w:val="24"/>
        </w:rPr>
      </w:pPr>
      <w:r>
        <w:rPr>
          <w:rFonts w:hint="eastAsia" w:ascii="宋体" w:hAnsi="宋体" w:eastAsia="宋体"/>
          <w:sz w:val="24"/>
          <w:szCs w:val="24"/>
        </w:rPr>
        <w:t>统计开发区内批而未供、闲置、有偿使用已到期但未处置土地等可挖潜利用的土地面积，形成开发区管理提升潜力。</w:t>
      </w:r>
    </w:p>
    <w:p w14:paraId="3539423E">
      <w:pPr>
        <w:spacing w:line="360" w:lineRule="auto"/>
        <w:ind w:firstLine="480" w:firstLineChars="200"/>
        <w:rPr>
          <w:rFonts w:ascii="宋体" w:hAnsi="宋体" w:eastAsia="宋体"/>
          <w:sz w:val="24"/>
          <w:szCs w:val="24"/>
        </w:rPr>
      </w:pPr>
      <w:r>
        <w:rPr>
          <w:rFonts w:hint="eastAsia" w:ascii="宋体" w:hAnsi="宋体" w:eastAsia="宋体"/>
          <w:sz w:val="24"/>
          <w:szCs w:val="24"/>
        </w:rPr>
        <w:t>统计开发区现状建设用地中容积率、地均税收未达到合同约定的土地面积，形成开发区低效盘活潜力。</w:t>
      </w:r>
    </w:p>
    <w:p w14:paraId="5568F517">
      <w:pPr>
        <w:spacing w:line="360" w:lineRule="auto"/>
        <w:ind w:firstLine="480" w:firstLineChars="200"/>
        <w:rPr>
          <w:rFonts w:ascii="宋体" w:hAnsi="宋体" w:eastAsia="宋体"/>
          <w:sz w:val="24"/>
          <w:szCs w:val="24"/>
        </w:rPr>
      </w:pPr>
      <w:r>
        <w:rPr>
          <w:rFonts w:hint="eastAsia" w:ascii="宋体" w:hAnsi="宋体" w:eastAsia="宋体"/>
          <w:sz w:val="24"/>
          <w:szCs w:val="24"/>
        </w:rPr>
        <w:t>统计开发区现状建设用地中实际工业用地率与规划工业用地率的差，计算现状建设用地中未来待实现的工业用地面积，形成开发区结构优化潜力。</w:t>
      </w:r>
    </w:p>
    <w:p w14:paraId="78A35CA4">
      <w:pPr>
        <w:spacing w:line="360" w:lineRule="auto"/>
        <w:ind w:firstLine="480" w:firstLineChars="200"/>
        <w:outlineLvl w:val="0"/>
        <w:rPr>
          <w:rFonts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rPr>
        <w:t>、用地调查依据</w:t>
      </w:r>
    </w:p>
    <w:p w14:paraId="5A6713FA">
      <w:pPr>
        <w:pStyle w:val="108"/>
        <w:numPr>
          <w:ilvl w:val="0"/>
          <w:numId w:val="0"/>
        </w:numPr>
        <w:spacing w:line="360" w:lineRule="auto"/>
        <w:ind w:leftChars="0"/>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1</w:t>
      </w:r>
      <w:r>
        <w:rPr>
          <w:rFonts w:hint="eastAsia" w:ascii="宋体" w:hAnsi="宋体" w:eastAsia="宋体"/>
          <w:sz w:val="24"/>
          <w:szCs w:val="24"/>
          <w:lang w:eastAsia="zh-CN"/>
        </w:rPr>
        <w:t>）</w:t>
      </w:r>
      <w:r>
        <w:rPr>
          <w:rFonts w:hint="eastAsia" w:ascii="宋体" w:hAnsi="宋体" w:eastAsia="宋体"/>
          <w:sz w:val="24"/>
          <w:szCs w:val="24"/>
        </w:rPr>
        <w:t>《中华人民共和国城乡规划法》（2019年修正）；</w:t>
      </w:r>
    </w:p>
    <w:p w14:paraId="12B32FD5">
      <w:pPr>
        <w:pStyle w:val="108"/>
        <w:numPr>
          <w:ilvl w:val="0"/>
          <w:numId w:val="0"/>
        </w:numPr>
        <w:spacing w:line="360" w:lineRule="auto"/>
        <w:ind w:leftChars="0"/>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《中华人民共和国土地管理法》（2019年修正）；</w:t>
      </w:r>
    </w:p>
    <w:p w14:paraId="6619A839">
      <w:pPr>
        <w:pStyle w:val="108"/>
        <w:numPr>
          <w:ilvl w:val="0"/>
          <w:numId w:val="0"/>
        </w:numPr>
        <w:spacing w:line="360" w:lineRule="auto"/>
        <w:ind w:leftChars="0"/>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3</w:t>
      </w:r>
      <w:r>
        <w:rPr>
          <w:rFonts w:hint="eastAsia" w:ascii="宋体" w:hAnsi="宋体" w:eastAsia="宋体"/>
          <w:sz w:val="24"/>
          <w:szCs w:val="24"/>
          <w:lang w:eastAsia="zh-CN"/>
        </w:rPr>
        <w:t>）</w:t>
      </w:r>
      <w:r>
        <w:rPr>
          <w:rFonts w:hint="eastAsia" w:ascii="宋体" w:hAnsi="宋体" w:eastAsia="宋体"/>
          <w:sz w:val="24"/>
          <w:szCs w:val="24"/>
        </w:rPr>
        <w:t>《中华人民共和国环境保护法》（2014年修订）；</w:t>
      </w:r>
    </w:p>
    <w:p w14:paraId="7BFCB151">
      <w:pPr>
        <w:pStyle w:val="108"/>
        <w:numPr>
          <w:ilvl w:val="0"/>
          <w:numId w:val="0"/>
        </w:numPr>
        <w:spacing w:line="360" w:lineRule="auto"/>
        <w:ind w:leftChars="0"/>
        <w:rPr>
          <w:rFonts w:ascii="宋体" w:hAnsi="宋体" w:eastAsia="宋体"/>
          <w:sz w:val="24"/>
          <w:szCs w:val="24"/>
        </w:rPr>
      </w:pPr>
      <w:bookmarkStart w:id="49" w:name="_Hlk201760228"/>
      <w:r>
        <w:rPr>
          <w:rFonts w:hint="eastAsia" w:ascii="宋体" w:hAnsi="宋体" w:eastAsia="宋体"/>
          <w:sz w:val="24"/>
          <w:szCs w:val="24"/>
          <w:lang w:eastAsia="zh-CN"/>
        </w:rPr>
        <w:t>（</w:t>
      </w:r>
      <w:r>
        <w:rPr>
          <w:rFonts w:hint="eastAsia" w:ascii="宋体" w:hAnsi="宋体" w:eastAsia="宋体"/>
          <w:sz w:val="24"/>
          <w:szCs w:val="24"/>
          <w:lang w:val="en-US" w:eastAsia="zh-CN"/>
        </w:rPr>
        <w:t>4</w:t>
      </w:r>
      <w:r>
        <w:rPr>
          <w:rFonts w:hint="eastAsia" w:ascii="宋体" w:hAnsi="宋体" w:eastAsia="宋体"/>
          <w:sz w:val="24"/>
          <w:szCs w:val="24"/>
          <w:lang w:eastAsia="zh-CN"/>
        </w:rPr>
        <w:t>）</w:t>
      </w:r>
      <w:r>
        <w:rPr>
          <w:rFonts w:hint="eastAsia" w:ascii="宋体" w:hAnsi="宋体" w:eastAsia="宋体"/>
          <w:sz w:val="24"/>
          <w:szCs w:val="24"/>
        </w:rPr>
        <w:t>《国土空间调查、规划、用途管制用地用海分类指南》（自然资办发〔2023〕234号）</w:t>
      </w:r>
      <w:bookmarkEnd w:id="49"/>
    </w:p>
    <w:p w14:paraId="4B490574">
      <w:pPr>
        <w:pStyle w:val="108"/>
        <w:numPr>
          <w:ilvl w:val="0"/>
          <w:numId w:val="0"/>
        </w:numPr>
        <w:spacing w:line="360" w:lineRule="auto"/>
        <w:ind w:leftChars="0"/>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5</w:t>
      </w:r>
      <w:r>
        <w:rPr>
          <w:rFonts w:hint="eastAsia" w:ascii="宋体" w:hAnsi="宋体" w:eastAsia="宋体"/>
          <w:sz w:val="24"/>
          <w:szCs w:val="24"/>
          <w:lang w:eastAsia="zh-CN"/>
        </w:rPr>
        <w:t>）</w:t>
      </w:r>
      <w:r>
        <w:rPr>
          <w:rFonts w:hint="eastAsia" w:ascii="宋体" w:hAnsi="宋体" w:eastAsia="宋体"/>
          <w:sz w:val="24"/>
          <w:szCs w:val="24"/>
        </w:rPr>
        <w:t>《产业园区用地调查技术方案》（陕西省自然资源厅办公室2</w:t>
      </w:r>
      <w:r>
        <w:rPr>
          <w:rFonts w:ascii="宋体" w:hAnsi="宋体" w:eastAsia="宋体"/>
          <w:sz w:val="24"/>
          <w:szCs w:val="24"/>
        </w:rPr>
        <w:t>025</w:t>
      </w:r>
      <w:r>
        <w:rPr>
          <w:rFonts w:hint="eastAsia" w:ascii="宋体" w:hAnsi="宋体" w:eastAsia="宋体"/>
          <w:sz w:val="24"/>
          <w:szCs w:val="24"/>
        </w:rPr>
        <w:t>年3月1</w:t>
      </w:r>
      <w:r>
        <w:rPr>
          <w:rFonts w:ascii="宋体" w:hAnsi="宋体" w:eastAsia="宋体"/>
          <w:sz w:val="24"/>
          <w:szCs w:val="24"/>
        </w:rPr>
        <w:t>3</w:t>
      </w:r>
      <w:r>
        <w:rPr>
          <w:rFonts w:hint="eastAsia" w:ascii="宋体" w:hAnsi="宋体" w:eastAsia="宋体"/>
          <w:sz w:val="24"/>
          <w:szCs w:val="24"/>
        </w:rPr>
        <w:t>日）</w:t>
      </w:r>
    </w:p>
    <w:p w14:paraId="27BBE0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5、成果交付</w:t>
      </w:r>
    </w:p>
    <w:p w14:paraId="035BDC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经采购方审定后，成交单位须向采购单位提供成果资料纸质版6份，电子版1份，交付采购方。</w:t>
      </w:r>
    </w:p>
    <w:p w14:paraId="556A3701">
      <w:pPr>
        <w:rPr>
          <w:rFonts w:hint="eastAsia" w:ascii="宋体" w:hAnsi="宋体" w:eastAsia="宋体" w:cs="Times New Roman"/>
          <w:b/>
          <w:bCs/>
          <w:kern w:val="2"/>
          <w:sz w:val="24"/>
          <w:szCs w:val="24"/>
          <w:lang w:val="en-US" w:eastAsia="zh-CN" w:bidi="ar-SA"/>
        </w:rPr>
      </w:pPr>
    </w:p>
    <w:p w14:paraId="1C29C0E5">
      <w:pPr>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第3包</w:t>
      </w:r>
    </w:p>
    <w:p w14:paraId="5C457A3D">
      <w:pPr>
        <w:numPr>
          <w:ilvl w:val="0"/>
          <w:numId w:val="0"/>
        </w:numPr>
        <w:spacing w:line="360" w:lineRule="auto"/>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1、服务内容</w:t>
      </w:r>
    </w:p>
    <w:p w14:paraId="74079F7D">
      <w:pPr>
        <w:numPr>
          <w:ilvl w:val="0"/>
          <w:numId w:val="0"/>
        </w:numPr>
        <w:spacing w:line="360" w:lineRule="auto"/>
        <w:ind w:firstLine="484" w:firstLineChars="200"/>
        <w:jc w:val="both"/>
        <w:rPr>
          <w:rFonts w:hint="eastAsia" w:asciiTheme="minorEastAsia" w:hAnsiTheme="minorEastAsia" w:eastAsiaTheme="minorEastAsia" w:cstheme="minorEastAsia"/>
          <w:b w:val="0"/>
          <w:bCs w:val="0"/>
          <w:spacing w:val="1"/>
          <w:kern w:val="0"/>
          <w:sz w:val="24"/>
          <w:szCs w:val="24"/>
          <w:highlight w:val="none"/>
          <w:lang w:eastAsia="zh-CN"/>
        </w:rPr>
      </w:pPr>
      <w:r>
        <w:rPr>
          <w:rFonts w:hint="eastAsia" w:asciiTheme="minorEastAsia" w:hAnsiTheme="minorEastAsia" w:eastAsiaTheme="minorEastAsia" w:cstheme="minorEastAsia"/>
          <w:b w:val="0"/>
          <w:bCs w:val="0"/>
          <w:spacing w:val="1"/>
          <w:kern w:val="0"/>
          <w:sz w:val="24"/>
          <w:szCs w:val="24"/>
          <w:highlight w:val="none"/>
        </w:rPr>
        <w:t>依据关法律法规要求，</w:t>
      </w:r>
      <w:r>
        <w:rPr>
          <w:rFonts w:hint="eastAsia" w:asciiTheme="minorEastAsia" w:hAnsiTheme="minorEastAsia" w:eastAsiaTheme="minorEastAsia" w:cstheme="minorEastAsia"/>
          <w:b w:val="0"/>
          <w:bCs w:val="0"/>
          <w:spacing w:val="1"/>
          <w:kern w:val="0"/>
          <w:sz w:val="24"/>
          <w:szCs w:val="24"/>
          <w:highlight w:val="none"/>
          <w:lang w:val="en-US" w:eastAsia="zh-CN"/>
        </w:rPr>
        <w:t>对宝鸡市蟠龙高新区总体规划</w:t>
      </w:r>
      <w:r>
        <w:rPr>
          <w:rFonts w:hint="eastAsia" w:asciiTheme="minorEastAsia" w:hAnsiTheme="minorEastAsia" w:eastAsiaTheme="minorEastAsia" w:cstheme="minorEastAsia"/>
          <w:b w:val="0"/>
          <w:bCs w:val="0"/>
          <w:spacing w:val="1"/>
          <w:kern w:val="0"/>
          <w:sz w:val="24"/>
          <w:szCs w:val="24"/>
          <w:highlight w:val="none"/>
        </w:rPr>
        <w:t>开展环境影响评价工作。</w:t>
      </w:r>
      <w:r>
        <w:rPr>
          <w:rFonts w:hint="eastAsia" w:asciiTheme="minorEastAsia" w:hAnsiTheme="minorEastAsia" w:eastAsiaTheme="minorEastAsia" w:cstheme="minorEastAsia"/>
          <w:b w:val="0"/>
          <w:bCs w:val="0"/>
          <w:spacing w:val="1"/>
          <w:kern w:val="0"/>
          <w:sz w:val="24"/>
          <w:szCs w:val="24"/>
          <w:highlight w:val="none"/>
          <w:lang w:val="en-US" w:eastAsia="zh-CN"/>
        </w:rPr>
        <w:t>通过</w:t>
      </w:r>
      <w:r>
        <w:rPr>
          <w:rFonts w:hint="eastAsia" w:asciiTheme="minorEastAsia" w:hAnsiTheme="minorEastAsia" w:eastAsiaTheme="minorEastAsia" w:cstheme="minorEastAsia"/>
          <w:b w:val="0"/>
          <w:bCs w:val="0"/>
          <w:spacing w:val="1"/>
          <w:kern w:val="0"/>
          <w:sz w:val="24"/>
          <w:szCs w:val="24"/>
          <w:highlight w:val="none"/>
        </w:rPr>
        <w:t>环境现状调查和资料收集，查明当地环境背景和污染现状</w:t>
      </w:r>
      <w:r>
        <w:rPr>
          <w:rFonts w:hint="eastAsia" w:asciiTheme="minorEastAsia" w:hAnsiTheme="minorEastAsia" w:eastAsiaTheme="minorEastAsia" w:cstheme="minorEastAsia"/>
          <w:b w:val="0"/>
          <w:bCs w:val="0"/>
          <w:spacing w:val="1"/>
          <w:kern w:val="0"/>
          <w:sz w:val="24"/>
          <w:szCs w:val="24"/>
          <w:highlight w:val="none"/>
          <w:lang w:eastAsia="zh-CN"/>
        </w:rPr>
        <w:t>，</w:t>
      </w:r>
      <w:r>
        <w:rPr>
          <w:rFonts w:hint="eastAsia" w:asciiTheme="minorEastAsia" w:hAnsiTheme="minorEastAsia" w:eastAsiaTheme="minorEastAsia" w:cstheme="minorEastAsia"/>
          <w:b w:val="0"/>
          <w:bCs w:val="0"/>
          <w:spacing w:val="1"/>
          <w:kern w:val="0"/>
          <w:sz w:val="24"/>
          <w:szCs w:val="24"/>
          <w:highlight w:val="none"/>
        </w:rPr>
        <w:t>完成环境影响评价报告编制，配合环保行政主管部门和行政审批部门相关要求完善</w:t>
      </w:r>
      <w:r>
        <w:rPr>
          <w:rFonts w:hint="eastAsia" w:asciiTheme="minorEastAsia" w:hAnsiTheme="minorEastAsia" w:eastAsiaTheme="minorEastAsia" w:cstheme="minorEastAsia"/>
          <w:b w:val="0"/>
          <w:bCs w:val="0"/>
          <w:spacing w:val="1"/>
          <w:kern w:val="0"/>
          <w:sz w:val="24"/>
          <w:szCs w:val="24"/>
          <w:highlight w:val="none"/>
          <w:lang w:val="en-US" w:eastAsia="zh-CN"/>
        </w:rPr>
        <w:t>及</w:t>
      </w:r>
      <w:r>
        <w:rPr>
          <w:rFonts w:hint="eastAsia" w:asciiTheme="minorEastAsia" w:hAnsiTheme="minorEastAsia" w:eastAsiaTheme="minorEastAsia" w:cstheme="minorEastAsia"/>
          <w:b w:val="0"/>
          <w:bCs w:val="0"/>
          <w:spacing w:val="1"/>
          <w:kern w:val="0"/>
          <w:sz w:val="24"/>
          <w:szCs w:val="24"/>
          <w:highlight w:val="none"/>
        </w:rPr>
        <w:t>提交所需的补充资料，确保环境影响报告通过技术评估会议和专家审查，最终取得</w:t>
      </w:r>
      <w:r>
        <w:rPr>
          <w:rFonts w:hint="eastAsia" w:asciiTheme="minorEastAsia" w:hAnsiTheme="minorEastAsia" w:eastAsiaTheme="minorEastAsia" w:cstheme="minorEastAsia"/>
          <w:b w:val="0"/>
          <w:bCs w:val="0"/>
          <w:spacing w:val="1"/>
          <w:kern w:val="0"/>
          <w:sz w:val="24"/>
          <w:szCs w:val="24"/>
          <w:highlight w:val="none"/>
          <w:lang w:eastAsia="zh-CN"/>
        </w:rPr>
        <w:t>审查意见。</w:t>
      </w:r>
    </w:p>
    <w:p w14:paraId="13C9742A">
      <w:pPr>
        <w:numPr>
          <w:ilvl w:val="0"/>
          <w:numId w:val="0"/>
        </w:numPr>
        <w:spacing w:line="360" w:lineRule="auto"/>
        <w:ind w:firstLine="484"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
          <w:kern w:val="0"/>
          <w:sz w:val="24"/>
          <w:szCs w:val="24"/>
          <w:highlight w:val="none"/>
          <w:lang w:val="en-US" w:eastAsia="zh-CN"/>
        </w:rPr>
        <w:t>2、</w:t>
      </w:r>
      <w:r>
        <w:rPr>
          <w:rFonts w:hint="eastAsia" w:asciiTheme="minorEastAsia" w:hAnsiTheme="minorEastAsia" w:eastAsiaTheme="minorEastAsia" w:cstheme="minorEastAsia"/>
          <w:b w:val="0"/>
          <w:bCs w:val="0"/>
          <w:sz w:val="24"/>
          <w:szCs w:val="24"/>
          <w:lang w:val="en-US" w:eastAsia="zh-CN"/>
        </w:rPr>
        <w:t>编制要求</w:t>
      </w:r>
    </w:p>
    <w:p w14:paraId="41F79A00">
      <w:pPr>
        <w:numPr>
          <w:ilvl w:val="0"/>
          <w:numId w:val="0"/>
        </w:numPr>
        <w:spacing w:line="360" w:lineRule="auto"/>
        <w:ind w:firstLine="484" w:firstLineChars="200"/>
        <w:jc w:val="both"/>
        <w:rPr>
          <w:rFonts w:hint="eastAsia" w:asciiTheme="minorEastAsia" w:hAnsiTheme="minorEastAsia" w:eastAsiaTheme="minorEastAsia" w:cstheme="minorEastAsia"/>
          <w:b w:val="0"/>
          <w:bCs w:val="0"/>
          <w:spacing w:val="1"/>
          <w:kern w:val="0"/>
          <w:sz w:val="24"/>
          <w:szCs w:val="24"/>
          <w:highlight w:val="none"/>
          <w:lang w:val="en-US" w:eastAsia="zh-CN"/>
        </w:rPr>
      </w:pPr>
      <w:r>
        <w:rPr>
          <w:rFonts w:hint="eastAsia" w:asciiTheme="minorEastAsia" w:hAnsiTheme="minorEastAsia" w:eastAsiaTheme="minorEastAsia" w:cstheme="minorEastAsia"/>
          <w:b w:val="0"/>
          <w:bCs w:val="0"/>
          <w:spacing w:val="1"/>
          <w:kern w:val="0"/>
          <w:sz w:val="24"/>
          <w:szCs w:val="24"/>
          <w:highlight w:val="none"/>
          <w:lang w:val="en-US" w:eastAsia="zh-CN"/>
        </w:rPr>
        <w:t>（1）遵守《中华人民共和国环境保护法》、《建设项目环境保护管理办法》规定，按照《环境影响评价法》、《建设项目环境影响评价分类管理名录》、《环境影响评价技术导则》等要求，开展项目环境影响评价工作</w:t>
      </w:r>
    </w:p>
    <w:p w14:paraId="5390CAF9">
      <w:pPr>
        <w:numPr>
          <w:ilvl w:val="0"/>
          <w:numId w:val="0"/>
        </w:numPr>
        <w:spacing w:line="360" w:lineRule="auto"/>
        <w:ind w:firstLine="484" w:firstLineChars="200"/>
        <w:jc w:val="both"/>
        <w:rPr>
          <w:rFonts w:hint="eastAsia" w:asciiTheme="minorEastAsia" w:hAnsiTheme="minorEastAsia" w:eastAsiaTheme="minorEastAsia" w:cstheme="minorEastAsia"/>
          <w:b w:val="0"/>
          <w:bCs w:val="0"/>
          <w:spacing w:val="1"/>
          <w:kern w:val="0"/>
          <w:sz w:val="24"/>
          <w:szCs w:val="24"/>
          <w:highlight w:val="none"/>
          <w:lang w:val="en-US" w:eastAsia="zh-CN"/>
        </w:rPr>
      </w:pPr>
      <w:r>
        <w:rPr>
          <w:rFonts w:hint="eastAsia" w:asciiTheme="minorEastAsia" w:hAnsiTheme="minorEastAsia" w:eastAsiaTheme="minorEastAsia" w:cstheme="minorEastAsia"/>
          <w:b w:val="0"/>
          <w:bCs w:val="0"/>
          <w:spacing w:val="1"/>
          <w:kern w:val="0"/>
          <w:sz w:val="24"/>
          <w:szCs w:val="24"/>
          <w:highlight w:val="none"/>
          <w:lang w:val="en-US" w:eastAsia="zh-CN"/>
        </w:rPr>
        <w:t>（2）报告编制应符合国家有关法律法规、技术规范的要求。</w:t>
      </w:r>
    </w:p>
    <w:p w14:paraId="4CA003F2">
      <w:pPr>
        <w:numPr>
          <w:ilvl w:val="0"/>
          <w:numId w:val="0"/>
        </w:numPr>
        <w:spacing w:line="360" w:lineRule="auto"/>
        <w:ind w:firstLine="484" w:firstLineChars="200"/>
        <w:jc w:val="both"/>
        <w:rPr>
          <w:rFonts w:hint="eastAsia" w:asciiTheme="minorEastAsia" w:hAnsiTheme="minorEastAsia" w:eastAsiaTheme="minorEastAsia" w:cstheme="minorEastAsia"/>
          <w:b w:val="0"/>
          <w:bCs w:val="0"/>
          <w:spacing w:val="1"/>
          <w:kern w:val="0"/>
          <w:sz w:val="24"/>
          <w:szCs w:val="24"/>
          <w:highlight w:val="none"/>
          <w:lang w:val="en-US" w:eastAsia="zh-CN"/>
        </w:rPr>
      </w:pPr>
      <w:r>
        <w:rPr>
          <w:rFonts w:hint="eastAsia" w:asciiTheme="minorEastAsia" w:hAnsiTheme="minorEastAsia" w:eastAsiaTheme="minorEastAsia" w:cstheme="minorEastAsia"/>
          <w:b w:val="0"/>
          <w:bCs w:val="0"/>
          <w:spacing w:val="1"/>
          <w:kern w:val="0"/>
          <w:sz w:val="24"/>
          <w:szCs w:val="24"/>
          <w:highlight w:val="none"/>
          <w:lang w:val="en-US" w:eastAsia="zh-CN"/>
        </w:rPr>
        <w:t>（3)</w:t>
      </w:r>
      <w:r>
        <w:rPr>
          <w:rFonts w:hint="eastAsia" w:asciiTheme="minorEastAsia" w:hAnsiTheme="minorEastAsia" w:eastAsiaTheme="minorEastAsia" w:cstheme="minorEastAsia"/>
          <w:b w:val="0"/>
          <w:bCs w:val="0"/>
          <w:sz w:val="24"/>
          <w:szCs w:val="24"/>
        </w:rPr>
        <w:t>服务内容包括该项目建设的合理性；该项目所在区域的环境现状评价；该项目建设期及服务运行期可能对环境产生的影响；该项目环境风险影响识别；提出治理改善环境的措施和建</w:t>
      </w:r>
      <w:r>
        <w:rPr>
          <w:rFonts w:hint="eastAsia" w:asciiTheme="minorEastAsia" w:hAnsiTheme="minorEastAsia" w:eastAsiaTheme="minorEastAsia" w:cstheme="minorEastAsia"/>
          <w:b w:val="0"/>
          <w:bCs w:val="0"/>
          <w:sz w:val="24"/>
          <w:szCs w:val="24"/>
          <w:lang w:eastAsia="zh-CN"/>
        </w:rPr>
        <w:t>议。</w:t>
      </w:r>
    </w:p>
    <w:p w14:paraId="678AF236">
      <w:pPr>
        <w:numPr>
          <w:ilvl w:val="0"/>
          <w:numId w:val="0"/>
        </w:numPr>
        <w:spacing w:line="360" w:lineRule="auto"/>
        <w:ind w:leftChars="0"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3、成果交付</w:t>
      </w:r>
    </w:p>
    <w:p w14:paraId="4092D7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经采购方审定后，成交单位须向采购单位提供成果资料纸质版6份，电子版1份，交付采购方。</w:t>
      </w:r>
    </w:p>
    <w:p w14:paraId="5DA3B9B7">
      <w:pPr>
        <w:pStyle w:val="2"/>
        <w:spacing w:before="0" w:after="0" w:line="360" w:lineRule="auto"/>
        <w:jc w:val="center"/>
        <w:rPr>
          <w:rFonts w:hint="eastAsia" w:asciiTheme="minorEastAsia" w:hAnsiTheme="minorEastAsia" w:eastAsiaTheme="minorEastAsia" w:cstheme="minorEastAsia"/>
          <w:color w:val="auto"/>
          <w:sz w:val="24"/>
          <w:szCs w:val="22"/>
        </w:rPr>
      </w:pPr>
      <w:r>
        <w:rPr>
          <w:rFonts w:hint="eastAsia" w:asciiTheme="minorEastAsia" w:hAnsiTheme="minorEastAsia" w:eastAsiaTheme="minorEastAsia" w:cstheme="minorEastAsia"/>
          <w:bCs/>
          <w:color w:val="auto"/>
          <w:kern w:val="0"/>
        </w:rPr>
        <w:t>第四章 商务要求</w:t>
      </w:r>
      <w:bookmarkEnd w:id="47"/>
      <w:bookmarkEnd w:id="48"/>
      <w:bookmarkStart w:id="50" w:name="_Toc459049734"/>
      <w:bookmarkStart w:id="51" w:name="_Toc7453887"/>
      <w:bookmarkStart w:id="52" w:name="_Toc459142238"/>
      <w:bookmarkStart w:id="53" w:name="_Toc459049903"/>
      <w:bookmarkStart w:id="54" w:name="_Toc459125993"/>
    </w:p>
    <w:p w14:paraId="1D4637AA">
      <w:pPr>
        <w:widowControl/>
        <w:spacing w:line="336"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0"/>
          <w:sz w:val="24"/>
          <w:szCs w:val="24"/>
        </w:rPr>
        <w:t xml:space="preserve">一、项目概况 </w:t>
      </w:r>
    </w:p>
    <w:p w14:paraId="1E340C98">
      <w:pPr>
        <w:spacing w:line="336" w:lineRule="auto"/>
        <w:ind w:firstLine="4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1、项目名称：</w:t>
      </w:r>
      <w:r>
        <w:rPr>
          <w:rFonts w:hint="eastAsia" w:asciiTheme="minorEastAsia" w:hAnsiTheme="minorEastAsia" w:eastAsiaTheme="minorEastAsia" w:cstheme="minorEastAsia"/>
          <w:color w:val="auto"/>
          <w:sz w:val="24"/>
          <w:szCs w:val="24"/>
          <w:lang w:eastAsia="zh-CN"/>
        </w:rPr>
        <w:t>蟠龙高新区扩区调区编制产业规划、用地情况报告、总体发展规划环境影响评价报告。</w:t>
      </w:r>
    </w:p>
    <w:p w14:paraId="2864B7AD">
      <w:pPr>
        <w:shd w:val="clear"/>
        <w:spacing w:line="336" w:lineRule="auto"/>
        <w:ind w:firstLine="44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highlight w:val="none"/>
        </w:rPr>
        <w:t>项目地点：采购人指定地点</w:t>
      </w:r>
    </w:p>
    <w:p w14:paraId="4A1B54BA">
      <w:pPr>
        <w:shd w:val="clear" w:color="auto" w:fill="FFFFFF"/>
        <w:spacing w:line="336"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服务期</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自</w:t>
      </w:r>
      <w:r>
        <w:rPr>
          <w:rFonts w:hint="eastAsia" w:asciiTheme="minorEastAsia" w:hAnsiTheme="minorEastAsia" w:eastAsiaTheme="minorEastAsia" w:cstheme="minorEastAsia"/>
          <w:color w:val="auto"/>
          <w:sz w:val="24"/>
          <w:szCs w:val="24"/>
          <w:lang w:eastAsia="zh-CN"/>
        </w:rPr>
        <w:t>合同签订之日起180日历天内完成。</w:t>
      </w:r>
    </w:p>
    <w:p w14:paraId="0405953E">
      <w:pPr>
        <w:shd w:val="clear" w:color="auto"/>
        <w:spacing w:line="336"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highlight w:val="none"/>
        </w:rPr>
        <w:t>二、付款方式：</w:t>
      </w:r>
      <w:r>
        <w:rPr>
          <w:rFonts w:hint="eastAsia" w:asciiTheme="minorEastAsia" w:hAnsiTheme="minorEastAsia" w:eastAsiaTheme="minorEastAsia" w:cstheme="minorEastAsia"/>
          <w:color w:val="auto"/>
          <w:sz w:val="24"/>
          <w:szCs w:val="24"/>
          <w:highlight w:val="none"/>
          <w:lang w:eastAsia="zh-CN"/>
        </w:rPr>
        <w:t>提交成果资料并</w:t>
      </w:r>
      <w:r>
        <w:rPr>
          <w:rFonts w:hint="eastAsia" w:asciiTheme="minorEastAsia" w:hAnsiTheme="minorEastAsia" w:eastAsiaTheme="minorEastAsia" w:cstheme="minorEastAsia"/>
          <w:color w:val="auto"/>
          <w:sz w:val="24"/>
          <w:szCs w:val="24"/>
          <w:highlight w:val="none"/>
        </w:rPr>
        <w:t>通过专家评审</w:t>
      </w:r>
      <w:r>
        <w:rPr>
          <w:rFonts w:hint="eastAsia" w:asciiTheme="minorEastAsia" w:hAnsiTheme="minorEastAsia" w:eastAsiaTheme="minorEastAsia" w:cstheme="minorEastAsia"/>
          <w:color w:val="auto"/>
          <w:sz w:val="24"/>
          <w:szCs w:val="24"/>
          <w:highlight w:val="none"/>
          <w:lang w:eastAsia="zh-CN"/>
        </w:rPr>
        <w:t>后一次性付清。</w:t>
      </w:r>
    </w:p>
    <w:p w14:paraId="0A5F5368">
      <w:pPr>
        <w:spacing w:line="336"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三</w:t>
      </w:r>
      <w:r>
        <w:rPr>
          <w:rFonts w:hint="eastAsia" w:asciiTheme="minorEastAsia" w:hAnsiTheme="minorEastAsia" w:eastAsiaTheme="minorEastAsia" w:cstheme="minorEastAsia"/>
          <w:color w:val="auto"/>
          <w:sz w:val="24"/>
          <w:szCs w:val="24"/>
        </w:rPr>
        <w:t>、验 收:</w:t>
      </w:r>
    </w:p>
    <w:p w14:paraId="7EB688D3">
      <w:pPr>
        <w:spacing w:line="336"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zh-CN"/>
        </w:rPr>
        <w:t>成交单位向采购单位提交项目实施过程中的所有资料及成果资料。</w:t>
      </w:r>
    </w:p>
    <w:p w14:paraId="7B544B39">
      <w:pPr>
        <w:spacing w:line="336"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zh-CN"/>
        </w:rPr>
        <w:t>验收须以合同及竞争性磋商响应文件、澄清、及国家相应的标准、规范等为依据。</w:t>
      </w:r>
    </w:p>
    <w:p w14:paraId="21FBD1AC">
      <w:pPr>
        <w:spacing w:line="336"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四</w:t>
      </w:r>
      <w:r>
        <w:rPr>
          <w:rFonts w:hint="eastAsia" w:asciiTheme="minorEastAsia" w:hAnsiTheme="minorEastAsia" w:eastAsiaTheme="minorEastAsia" w:cstheme="minorEastAsia"/>
          <w:color w:val="auto"/>
          <w:sz w:val="24"/>
          <w:szCs w:val="24"/>
        </w:rPr>
        <w:t>、合同实施：</w:t>
      </w:r>
    </w:p>
    <w:p w14:paraId="555D5215">
      <w:pPr>
        <w:spacing w:line="336"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1、成交单位应在合同签订后接采购方通知之日起与采购单位实施工作进行安排、部署、计划。</w:t>
      </w:r>
    </w:p>
    <w:p w14:paraId="1FB91ED6">
      <w:pPr>
        <w:spacing w:line="336"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2、若未能在项目</w:t>
      </w:r>
      <w:r>
        <w:rPr>
          <w:rFonts w:hint="eastAsia" w:asciiTheme="minorEastAsia" w:hAnsiTheme="minorEastAsia" w:eastAsiaTheme="minorEastAsia" w:cstheme="minorEastAsia"/>
          <w:color w:val="auto"/>
          <w:sz w:val="24"/>
          <w:szCs w:val="24"/>
          <w:lang w:eastAsia="zh-CN"/>
        </w:rPr>
        <w:t>服务期内</w:t>
      </w:r>
      <w:r>
        <w:rPr>
          <w:rFonts w:hint="eastAsia" w:asciiTheme="minorEastAsia" w:hAnsiTheme="minorEastAsia" w:eastAsiaTheme="minorEastAsia" w:cstheme="minorEastAsia"/>
          <w:color w:val="auto"/>
          <w:sz w:val="24"/>
          <w:szCs w:val="24"/>
        </w:rPr>
        <w:t>完成规定的义务，由此对采购方造成的延误和一切损失，由成交单位承担和赔偿。</w:t>
      </w:r>
    </w:p>
    <w:p w14:paraId="394839FB">
      <w:pPr>
        <w:spacing w:line="336"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五</w:t>
      </w:r>
      <w:r>
        <w:rPr>
          <w:rFonts w:hint="eastAsia" w:asciiTheme="minorEastAsia" w:hAnsiTheme="minorEastAsia" w:eastAsiaTheme="minorEastAsia" w:cstheme="minorEastAsia"/>
          <w:color w:val="auto"/>
          <w:sz w:val="24"/>
          <w:szCs w:val="24"/>
        </w:rPr>
        <w:t>、违约责任：</w:t>
      </w:r>
    </w:p>
    <w:p w14:paraId="13230FA2">
      <w:pPr>
        <w:spacing w:line="336"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1、按《中华人民共和国民法典》中的相关条款执行。</w:t>
      </w:r>
    </w:p>
    <w:p w14:paraId="0565338C">
      <w:pPr>
        <w:spacing w:line="336"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2、未按合同要求提供服务或服务质量不能满足技术要求，采购人有权终止合同，并对供方违约行为进行追究，同时按《中华人民共和国政府采购法》的有关规定进行处罚。</w:t>
      </w:r>
    </w:p>
    <w:p w14:paraId="54FA25D0">
      <w:pPr>
        <w:pStyle w:val="21"/>
        <w:rPr>
          <w:rFonts w:hint="eastAsia" w:asciiTheme="minorEastAsia" w:hAnsiTheme="minorEastAsia" w:eastAsiaTheme="minorEastAsia" w:cstheme="minorEastAsia"/>
          <w:color w:val="auto"/>
          <w:sz w:val="24"/>
          <w:szCs w:val="24"/>
          <w:highlight w:val="yellow"/>
        </w:rPr>
      </w:pPr>
      <w:r>
        <w:rPr>
          <w:rFonts w:hint="eastAsia" w:asciiTheme="minorEastAsia" w:hAnsiTheme="minorEastAsia" w:eastAsiaTheme="minorEastAsia" w:cstheme="minorEastAsia"/>
          <w:color w:val="auto"/>
          <w:sz w:val="24"/>
          <w:szCs w:val="24"/>
          <w:highlight w:val="yellow"/>
        </w:rPr>
        <w:pict>
          <v:shape id="Text Box 2" o:spid="_x0000_s2055" o:spt="202" type="#_x0000_t202" style="position:absolute;left:0pt;margin-left:59.85pt;margin-top:9.6pt;height:40.55pt;width:338.9pt;mso-wrap-distance-bottom:0pt;mso-wrap-distance-left:9pt;mso-wrap-distance-right:9pt;mso-wrap-distance-top:0pt;z-index:251664384;mso-width-relative:page;mso-height-relative:page;" coordsize="21600,21600">
            <v:path/>
            <v:fill focussize="0,0"/>
            <v:stroke joinstyle="miter"/>
            <v:imagedata o:title=""/>
            <o:lock v:ext="edit"/>
            <v:textbox>
              <w:txbxContent>
                <w:p w14:paraId="07C41EF0">
                  <w:pPr>
                    <w:tabs>
                      <w:tab w:val="left" w:pos="3485"/>
                    </w:tabs>
                    <w:spacing w:line="520" w:lineRule="exact"/>
                    <w:jc w:val="center"/>
                    <w:rPr>
                      <w:rFonts w:ascii="宋体" w:hAnsi="宋体" w:cs="宋体"/>
                      <w:b/>
                      <w:sz w:val="40"/>
                      <w:szCs w:val="40"/>
                    </w:rPr>
                  </w:pPr>
                  <w:r>
                    <w:rPr>
                      <w:rFonts w:hint="eastAsia" w:ascii="宋体" w:hAnsi="宋体" w:cs="宋体"/>
                      <w:b/>
                      <w:sz w:val="32"/>
                      <w:szCs w:val="32"/>
                    </w:rPr>
                    <w:t>注：商务要求为实质性要求，不得负偏离</w:t>
                  </w:r>
                  <w:r>
                    <w:rPr>
                      <w:rFonts w:hint="eastAsia" w:ascii="宋体" w:hAnsi="宋体" w:cs="宋体"/>
                      <w:b/>
                      <w:sz w:val="40"/>
                      <w:szCs w:val="40"/>
                    </w:rPr>
                    <w:t>。</w:t>
                  </w:r>
                </w:p>
              </w:txbxContent>
            </v:textbox>
            <w10:wrap type="square"/>
          </v:shape>
        </w:pict>
      </w:r>
    </w:p>
    <w:p w14:paraId="473325BF">
      <w:pPr>
        <w:pStyle w:val="21"/>
        <w:rPr>
          <w:rFonts w:hint="eastAsia" w:asciiTheme="minorEastAsia" w:hAnsiTheme="minorEastAsia" w:eastAsiaTheme="minorEastAsia" w:cstheme="minorEastAsia"/>
          <w:color w:val="auto"/>
          <w:sz w:val="24"/>
          <w:szCs w:val="24"/>
        </w:rPr>
      </w:pPr>
    </w:p>
    <w:p w14:paraId="5AE5D59F">
      <w:pPr>
        <w:pStyle w:val="21"/>
        <w:rPr>
          <w:rFonts w:hint="eastAsia" w:asciiTheme="minorEastAsia" w:hAnsiTheme="minorEastAsia" w:eastAsiaTheme="minorEastAsia" w:cstheme="minorEastAsia"/>
          <w:color w:val="auto"/>
          <w:sz w:val="24"/>
          <w:szCs w:val="24"/>
        </w:rPr>
        <w:sectPr>
          <w:pgSz w:w="11906" w:h="16838"/>
          <w:pgMar w:top="1440" w:right="1800" w:bottom="1440" w:left="1800" w:header="851" w:footer="992" w:gutter="0"/>
          <w:cols w:space="720" w:num="1"/>
          <w:docGrid w:type="lines" w:linePitch="312" w:charSpace="0"/>
        </w:sectPr>
      </w:pPr>
    </w:p>
    <w:p w14:paraId="47647EBB">
      <w:pPr>
        <w:pStyle w:val="2"/>
        <w:spacing w:before="0" w:after="0" w:line="360" w:lineRule="auto"/>
        <w:jc w:val="center"/>
        <w:rPr>
          <w:rFonts w:hint="eastAsia" w:asciiTheme="minorEastAsia" w:hAnsiTheme="minorEastAsia" w:eastAsiaTheme="minorEastAsia" w:cstheme="minorEastAsia"/>
          <w:color w:val="auto"/>
        </w:rPr>
      </w:pPr>
      <w:bookmarkStart w:id="55" w:name="_Toc22566"/>
      <w:r>
        <w:rPr>
          <w:rFonts w:hint="eastAsia" w:asciiTheme="minorEastAsia" w:hAnsiTheme="minorEastAsia" w:eastAsiaTheme="minorEastAsia" w:cstheme="minorEastAsia"/>
          <w:color w:val="auto"/>
        </w:rPr>
        <w:t>第五章  合同</w:t>
      </w:r>
      <w:bookmarkEnd w:id="50"/>
      <w:bookmarkEnd w:id="51"/>
      <w:bookmarkEnd w:id="52"/>
      <w:bookmarkEnd w:id="53"/>
      <w:bookmarkEnd w:id="54"/>
      <w:r>
        <w:rPr>
          <w:rFonts w:hint="eastAsia" w:asciiTheme="minorEastAsia" w:hAnsiTheme="minorEastAsia" w:eastAsiaTheme="minorEastAsia" w:cstheme="minorEastAsia"/>
          <w:color w:val="auto"/>
        </w:rPr>
        <w:t>示范文本</w:t>
      </w:r>
      <w:bookmarkEnd w:id="55"/>
      <w:r>
        <w:rPr>
          <w:rFonts w:hint="eastAsia" w:asciiTheme="minorEastAsia" w:hAnsiTheme="minorEastAsia" w:eastAsiaTheme="minorEastAsia" w:cstheme="minorEastAsia"/>
          <w:color w:val="auto"/>
        </w:rPr>
        <w:t>（参考）</w:t>
      </w:r>
    </w:p>
    <w:p w14:paraId="5C10FA3E">
      <w:pP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sz w:val="24"/>
          <w:szCs w:val="24"/>
        </w:rPr>
      </w:pPr>
      <w:bookmarkStart w:id="56" w:name="_Toc7453889"/>
      <w:r>
        <w:rPr>
          <w:rFonts w:hint="eastAsia" w:asciiTheme="minorEastAsia" w:hAnsiTheme="minorEastAsia" w:eastAsiaTheme="minorEastAsia" w:cstheme="minorEastAsia"/>
          <w:bCs/>
          <w:color w:val="auto"/>
          <w:sz w:val="24"/>
          <w:szCs w:val="24"/>
        </w:rPr>
        <w:t xml:space="preserve">甲方（采  购  人）： </w:t>
      </w:r>
    </w:p>
    <w:p w14:paraId="3518DD9F">
      <w:pP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乙方（成交供应商）： </w:t>
      </w:r>
    </w:p>
    <w:p w14:paraId="05493EE5">
      <w:pPr>
        <w:pStyle w:val="23"/>
        <w:spacing w:before="0" w:beforeAutospacing="0" w:after="0" w:afterAutospacing="0" w:line="360" w:lineRule="auto"/>
        <w:ind w:firstLine="42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color w:val="auto"/>
          <w:u w:val="single"/>
          <w:shd w:val="clear" w:color="auto" w:fill="FFFFFF"/>
          <w:lang w:eastAsia="zh-CN"/>
        </w:rPr>
        <w:t>蟠龙高新区扩区调区编制产业规划、用地情况报告、总体发展规划环境影响评价报告</w:t>
      </w:r>
      <w:r>
        <w:rPr>
          <w:rFonts w:hint="eastAsia" w:asciiTheme="minorEastAsia" w:hAnsiTheme="minorEastAsia" w:eastAsiaTheme="minorEastAsia" w:cstheme="minorEastAsia"/>
          <w:bCs/>
          <w:color w:val="auto"/>
          <w:u w:val="single"/>
        </w:rPr>
        <w:t>）</w:t>
      </w:r>
      <w:r>
        <w:rPr>
          <w:rFonts w:hint="eastAsia" w:asciiTheme="minorEastAsia" w:hAnsiTheme="minorEastAsia" w:eastAsiaTheme="minorEastAsia" w:cstheme="minorEastAsia"/>
          <w:bCs/>
          <w:color w:val="auto"/>
        </w:rPr>
        <w:t>，经组织竞争性磋商</w:t>
      </w:r>
      <w:r>
        <w:rPr>
          <w:rFonts w:hint="eastAsia" w:asciiTheme="minorEastAsia" w:hAnsiTheme="minorEastAsia" w:eastAsiaTheme="minorEastAsia" w:cstheme="minorEastAsia"/>
          <w:bCs/>
          <w:color w:val="auto"/>
          <w:u w:val="single"/>
        </w:rPr>
        <w:t xml:space="preserve"> </w:t>
      </w:r>
      <w:r>
        <w:rPr>
          <w:rFonts w:hint="eastAsia" w:asciiTheme="minorEastAsia" w:hAnsiTheme="minorEastAsia" w:eastAsiaTheme="minorEastAsia" w:cstheme="minorEastAsia"/>
          <w:color w:val="auto"/>
          <w:u w:val="single"/>
          <w:shd w:val="clear" w:color="auto" w:fill="FFFFFF"/>
        </w:rPr>
        <w:t xml:space="preserve">                     </w:t>
      </w:r>
      <w:r>
        <w:rPr>
          <w:rFonts w:hint="eastAsia" w:asciiTheme="minorEastAsia" w:hAnsiTheme="minorEastAsia" w:eastAsiaTheme="minorEastAsia" w:cstheme="minorEastAsia"/>
          <w:bCs/>
          <w:color w:val="auto"/>
        </w:rPr>
        <w:t>(以下简称“甲方”)确定</w:t>
      </w:r>
      <w:r>
        <w:rPr>
          <w:rFonts w:hint="eastAsia" w:asciiTheme="minorEastAsia" w:hAnsiTheme="minorEastAsia" w:eastAsiaTheme="minorEastAsia" w:cstheme="minorEastAsia"/>
          <w:bCs/>
          <w:color w:val="auto"/>
          <w:u w:val="single"/>
        </w:rPr>
        <w:t xml:space="preserve">            </w:t>
      </w:r>
      <w:r>
        <w:rPr>
          <w:rFonts w:hint="eastAsia" w:asciiTheme="minorEastAsia" w:hAnsiTheme="minorEastAsia" w:eastAsiaTheme="minorEastAsia" w:cstheme="minorEastAsia"/>
          <w:bCs/>
          <w:color w:val="auto"/>
        </w:rPr>
        <w:t>（以下简称“乙方”）为该项目的成交供应商。</w:t>
      </w:r>
    </w:p>
    <w:p w14:paraId="7DD8EF57">
      <w:pP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依据《中华人民共和国民法典》和《中华人民共和国政府采购法》之规定，经双方在平等、自愿、互利的基础上，签订本合同，共同信守。</w:t>
      </w:r>
    </w:p>
    <w:p w14:paraId="55F5A86C">
      <w:pPr>
        <w:pStyle w:val="17"/>
        <w:spacing w:line="360"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一、合同价款</w:t>
      </w:r>
    </w:p>
    <w:p w14:paraId="0EADD1BE">
      <w:pP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（一）合同总价款为人民币（大写）</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 xml:space="preserve"> ）。</w:t>
      </w:r>
    </w:p>
    <w:p w14:paraId="6BFDEAF1">
      <w:pPr>
        <w:spacing w:line="360" w:lineRule="auto"/>
        <w:ind w:firstLine="480" w:firstLineChars="200"/>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（二）合同总价是竞争性磋商响应文件所确定的磋商范围内的全部工作内容的价格体现，包括本项目所涉及的服务费、人工费、设备费、管理费、税费、规费、保险费</w:t>
      </w:r>
      <w:r>
        <w:rPr>
          <w:rFonts w:hint="eastAsia" w:asciiTheme="minorEastAsia" w:hAnsiTheme="minorEastAsia" w:eastAsiaTheme="minorEastAsia" w:cstheme="minorEastAsia"/>
          <w:b w:val="0"/>
          <w:bCs/>
          <w:color w:val="auto"/>
          <w:sz w:val="24"/>
          <w:szCs w:val="24"/>
          <w:lang w:eastAsia="zh-CN"/>
        </w:rPr>
        <w:t>等</w:t>
      </w:r>
      <w:r>
        <w:rPr>
          <w:rFonts w:hint="eastAsia" w:asciiTheme="minorEastAsia" w:hAnsiTheme="minorEastAsia" w:eastAsiaTheme="minorEastAsia" w:cstheme="minorEastAsia"/>
          <w:b w:val="0"/>
          <w:bCs/>
          <w:color w:val="auto"/>
          <w:sz w:val="24"/>
          <w:szCs w:val="24"/>
        </w:rPr>
        <w:t>所有与完成本项目相关服务及履行合同义务有关的一切费用。</w:t>
      </w:r>
    </w:p>
    <w:p w14:paraId="48E7B588">
      <w:pP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（三）合同总价一次性包死，不受市场价格变化因素的影响。</w:t>
      </w:r>
    </w:p>
    <w:p w14:paraId="27E99250">
      <w:pPr>
        <w:autoSpaceDE w:val="0"/>
        <w:autoSpaceDN w:val="0"/>
        <w:adjustRightInd w:val="0"/>
        <w:spacing w:line="360" w:lineRule="auto"/>
        <w:ind w:firstLine="482" w:firstLineChars="200"/>
        <w:rPr>
          <w:rFonts w:hint="eastAsia" w:asciiTheme="minorEastAsia" w:hAnsiTheme="minorEastAsia" w:eastAsiaTheme="minorEastAsia" w:cstheme="minorEastAsia"/>
          <w:bCs/>
          <w:color w:val="auto"/>
          <w:sz w:val="24"/>
          <w:szCs w:val="24"/>
          <w:highlight w:val="none"/>
          <w:u w:val="single"/>
          <w:lang w:eastAsia="zh-CN"/>
        </w:rPr>
      </w:pPr>
      <w:r>
        <w:rPr>
          <w:rFonts w:hint="eastAsia" w:asciiTheme="minorEastAsia" w:hAnsiTheme="minorEastAsia" w:eastAsiaTheme="minorEastAsia" w:cstheme="minorEastAsia"/>
          <w:b/>
          <w:bCs/>
          <w:color w:val="auto"/>
          <w:sz w:val="24"/>
          <w:szCs w:val="24"/>
          <w:highlight w:val="none"/>
        </w:rPr>
        <w:t>二、付款方式</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提交成果资料并</w:t>
      </w:r>
      <w:r>
        <w:rPr>
          <w:rFonts w:hint="eastAsia" w:asciiTheme="minorEastAsia" w:hAnsiTheme="minorEastAsia" w:eastAsiaTheme="minorEastAsia" w:cstheme="minorEastAsia"/>
          <w:color w:val="auto"/>
          <w:sz w:val="24"/>
          <w:szCs w:val="24"/>
          <w:highlight w:val="none"/>
        </w:rPr>
        <w:t>通过专家评审</w:t>
      </w:r>
      <w:r>
        <w:rPr>
          <w:rFonts w:hint="eastAsia" w:asciiTheme="minorEastAsia" w:hAnsiTheme="minorEastAsia" w:eastAsiaTheme="minorEastAsia" w:cstheme="minorEastAsia"/>
          <w:color w:val="auto"/>
          <w:sz w:val="24"/>
          <w:szCs w:val="24"/>
          <w:highlight w:val="none"/>
          <w:lang w:eastAsia="zh-CN"/>
        </w:rPr>
        <w:t>后一次性付清。</w:t>
      </w:r>
    </w:p>
    <w:p w14:paraId="3F49B4AA">
      <w:pPr>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三、服务地点及完成期</w:t>
      </w:r>
    </w:p>
    <w:p w14:paraId="02BC4C99">
      <w:pPr>
        <w:spacing w:line="360" w:lineRule="auto"/>
        <w:ind w:firstLine="480" w:firstLineChars="20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（一）服务地点：采购人指定地点；</w:t>
      </w:r>
    </w:p>
    <w:p w14:paraId="0B7E0987">
      <w:pPr>
        <w:spacing w:line="360" w:lineRule="auto"/>
        <w:ind w:firstLine="480" w:firstLineChars="200"/>
        <w:rPr>
          <w:rFonts w:hint="eastAsia" w:asciiTheme="minorEastAsia" w:hAnsiTheme="minorEastAsia" w:eastAsiaTheme="minorEastAsia" w:cstheme="minorEastAsia"/>
          <w:bCs/>
          <w:color w:val="auto"/>
          <w:sz w:val="24"/>
          <w:szCs w:val="24"/>
          <w:highlight w:val="green"/>
        </w:rPr>
      </w:pPr>
      <w:r>
        <w:rPr>
          <w:rFonts w:hint="eastAsia" w:asciiTheme="minorEastAsia" w:hAnsiTheme="minorEastAsia" w:eastAsiaTheme="minorEastAsia" w:cstheme="minorEastAsia"/>
          <w:bCs/>
          <w:color w:val="auto"/>
          <w:sz w:val="24"/>
          <w:szCs w:val="24"/>
          <w:highlight w:val="none"/>
        </w:rPr>
        <w:t>（二）服务期</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自合同签订</w:t>
      </w:r>
      <w:r>
        <w:rPr>
          <w:rFonts w:hint="eastAsia" w:asciiTheme="minorEastAsia" w:hAnsiTheme="minorEastAsia" w:eastAsiaTheme="minorEastAsia" w:cstheme="minorEastAsia"/>
          <w:color w:val="auto"/>
          <w:sz w:val="24"/>
          <w:szCs w:val="24"/>
          <w:lang w:eastAsia="zh-CN"/>
        </w:rPr>
        <w:t>之日起180日历天内完成。</w:t>
      </w:r>
    </w:p>
    <w:p w14:paraId="18CF69C2">
      <w:pPr>
        <w:autoSpaceDE w:val="0"/>
        <w:autoSpaceDN w:val="0"/>
        <w:adjustRightInd w:val="0"/>
        <w:spacing w:line="360" w:lineRule="auto"/>
        <w:ind w:firstLine="482" w:firstLineChars="200"/>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四、甲乙双方</w:t>
      </w:r>
      <w:r>
        <w:rPr>
          <w:rFonts w:hint="eastAsia" w:asciiTheme="minorEastAsia" w:hAnsiTheme="minorEastAsia" w:eastAsiaTheme="minorEastAsia" w:cstheme="minorEastAsia"/>
          <w:b/>
          <w:bCs/>
          <w:color w:val="auto"/>
          <w:sz w:val="24"/>
          <w:szCs w:val="24"/>
        </w:rPr>
        <w:t>的权利和义务</w:t>
      </w:r>
    </w:p>
    <w:p w14:paraId="10C38EDD">
      <w:pP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（一）甲方的权利与义务</w:t>
      </w:r>
    </w:p>
    <w:p w14:paraId="23246145">
      <w:pP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1.甲方向乙方提供采购内容与要求；</w:t>
      </w:r>
    </w:p>
    <w:p w14:paraId="741BD6E1">
      <w:pP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2.甲方在收到报告成果后，应按磋商文件的需求进行核实，如发现不符合合同规定或短缺，及时提出。甲方必须按合同要求交付给乙方，并现场配合。</w:t>
      </w:r>
    </w:p>
    <w:p w14:paraId="4F2EA882">
      <w:pP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（二）乙方的权利与义务</w:t>
      </w:r>
    </w:p>
    <w:p w14:paraId="7F26AF4F">
      <w:pP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1.乙方的工作人员必须严格遵守甲方的规章制度，以良好的形象和积极的工作态度，按甲方要求开展工作；</w:t>
      </w:r>
    </w:p>
    <w:p w14:paraId="562B7361">
      <w:pP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2.乙方应服从甲方统筹管理并按流程开展工作；</w:t>
      </w:r>
    </w:p>
    <w:p w14:paraId="50717935">
      <w:pP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3.乙方负责在合同约定的时间完成</w:t>
      </w:r>
      <w:r>
        <w:rPr>
          <w:rFonts w:hint="eastAsia" w:asciiTheme="minorEastAsia" w:hAnsiTheme="minorEastAsia" w:eastAsiaTheme="minorEastAsia" w:cstheme="minorEastAsia"/>
          <w:bCs/>
          <w:color w:val="auto"/>
          <w:sz w:val="24"/>
          <w:szCs w:val="24"/>
          <w:lang w:eastAsia="zh-CN"/>
        </w:rPr>
        <w:t>项目</w:t>
      </w:r>
      <w:r>
        <w:rPr>
          <w:rFonts w:hint="eastAsia" w:asciiTheme="minorEastAsia" w:hAnsiTheme="minorEastAsia" w:eastAsiaTheme="minorEastAsia" w:cstheme="minorEastAsia"/>
          <w:bCs/>
          <w:color w:val="auto"/>
          <w:sz w:val="24"/>
          <w:szCs w:val="24"/>
        </w:rPr>
        <w:t>成果，并按甲方要求交付成果文件。</w:t>
      </w:r>
    </w:p>
    <w:p w14:paraId="2BF6E861">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4.乙方所提供的成果文件满足甲方的要求，实施全过程中的安全由乙方负责。</w:t>
      </w:r>
    </w:p>
    <w:p w14:paraId="498245EF">
      <w:pP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5.乙方在服务期间发布的任何涉及有关甲方的相关信息，需经甲方确认无误后方可公布。</w:t>
      </w:r>
    </w:p>
    <w:p w14:paraId="187CA9D0">
      <w:pPr>
        <w:pStyle w:val="17"/>
        <w:spacing w:line="360" w:lineRule="auto"/>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五、验收</w:t>
      </w:r>
    </w:p>
    <w:p w14:paraId="0C4D327A">
      <w:pPr>
        <w:pStyle w:val="17"/>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（一）甲方确认收到报告成果后，组织乙方（必要时可请有关专家）进行验收。</w:t>
      </w:r>
    </w:p>
    <w:p w14:paraId="7B7F7E63">
      <w:pPr>
        <w:pStyle w:val="17"/>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（二）乙方向甲方提交项目实施过程中的所有资料。</w:t>
      </w:r>
    </w:p>
    <w:p w14:paraId="1EB1038F">
      <w:pPr>
        <w:pStyle w:val="17"/>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（三）验收依据</w:t>
      </w:r>
    </w:p>
    <w:p w14:paraId="3FC484AC">
      <w:pPr>
        <w:pStyle w:val="17"/>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1、磋商文件、响应文件、澄清函；</w:t>
      </w:r>
    </w:p>
    <w:p w14:paraId="757C47FE">
      <w:pPr>
        <w:pStyle w:val="17"/>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2、本合同及附件文本；</w:t>
      </w:r>
    </w:p>
    <w:p w14:paraId="205884FC">
      <w:pPr>
        <w:pStyle w:val="17"/>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3、合同签订时国家及行业现行的标准和技术规范。</w:t>
      </w:r>
    </w:p>
    <w:p w14:paraId="0DA2B3AE">
      <w:pPr>
        <w:pStyle w:val="17"/>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（四）须提交的成果内容</w:t>
      </w:r>
    </w:p>
    <w:p w14:paraId="2F13D1DB">
      <w:pPr>
        <w:pStyle w:val="17"/>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1、项目完成后需提交所有工作成果纸质版一式</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份</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电子版</w:t>
      </w:r>
      <w:r>
        <w:rPr>
          <w:rFonts w:hint="eastAsia" w:asciiTheme="minorEastAsia" w:hAnsiTheme="minorEastAsia" w:eastAsiaTheme="minorEastAsia" w:cstheme="minorEastAsia"/>
          <w:bCs/>
          <w:color w:val="auto"/>
          <w:sz w:val="24"/>
          <w:szCs w:val="24"/>
          <w:u w:val="single"/>
          <w:lang w:val="en-US" w:eastAsia="zh-CN"/>
        </w:rPr>
        <w:t xml:space="preserve">   </w:t>
      </w:r>
      <w:r>
        <w:rPr>
          <w:rFonts w:hint="eastAsia" w:asciiTheme="minorEastAsia" w:hAnsiTheme="minorEastAsia" w:eastAsiaTheme="minorEastAsia" w:cstheme="minorEastAsia"/>
          <w:bCs/>
          <w:color w:val="auto"/>
          <w:sz w:val="24"/>
          <w:szCs w:val="24"/>
          <w:u w:val="none"/>
          <w:lang w:val="en-US" w:eastAsia="zh-CN"/>
        </w:rPr>
        <w:t>份</w:t>
      </w:r>
      <w:r>
        <w:rPr>
          <w:rFonts w:hint="eastAsia" w:asciiTheme="minorEastAsia" w:hAnsiTheme="minorEastAsia" w:eastAsiaTheme="minorEastAsia" w:cstheme="minorEastAsia"/>
          <w:bCs/>
          <w:color w:val="auto"/>
          <w:sz w:val="24"/>
          <w:szCs w:val="24"/>
        </w:rPr>
        <w:t>，同时提交项目实施过程中数据收集、整理、分析的相关资料一套。</w:t>
      </w:r>
    </w:p>
    <w:p w14:paraId="28875EE6">
      <w:pPr>
        <w:pStyle w:val="17"/>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2、在合同履行过程中，必要时，甲方可以对最终成果的构成进行调整。甲方如需乙方增加交付成果的数量，应由双方协商解决。</w:t>
      </w:r>
    </w:p>
    <w:p w14:paraId="4C02E878">
      <w:pPr>
        <w:autoSpaceDE w:val="0"/>
        <w:autoSpaceDN w:val="0"/>
        <w:adjustRightInd w:val="0"/>
        <w:snapToGrid w:val="0"/>
        <w:spacing w:line="360"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六、知识产权</w:t>
      </w:r>
    </w:p>
    <w:p w14:paraId="41DC3CF4">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（一）本项目所涉及到的所有成果的知识产权归甲方所有。 </w:t>
      </w:r>
    </w:p>
    <w:p w14:paraId="6CF60AD5">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（二）乙方无论出于任何目的如在其他地方使用该成果，必须经甲方同意方可使用。否则，贵甲方有权要求终止涉及到该知识产权的任何使用活动并保留追究卖方相应的法律责任的权利。 </w:t>
      </w:r>
    </w:p>
    <w:p w14:paraId="0D20A556">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（三）乙方为执行本合同而提供的技术资料使用权归甲方所有。</w:t>
      </w:r>
    </w:p>
    <w:p w14:paraId="7B9B9ABC">
      <w:pPr>
        <w:autoSpaceDE w:val="0"/>
        <w:autoSpaceDN w:val="0"/>
        <w:adjustRightInd w:val="0"/>
        <w:snapToGrid w:val="0"/>
        <w:spacing w:line="360"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七、保密规定</w:t>
      </w:r>
    </w:p>
    <w:p w14:paraId="78328FF7">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甲、乙双方应永久恪守因签署或履行本合同而获知的对方秘密信息及其它秘密资料，特别是国家安全秘密。任何一方如将获知的对方秘密信息泄露给第三方，应赔偿因泄密而给对方造成的一切损失并承担相应的法律责任（包括刑事责任）</w:t>
      </w:r>
      <w:r>
        <w:rPr>
          <w:rFonts w:hint="eastAsia" w:asciiTheme="minorEastAsia" w:hAnsiTheme="minorEastAsia" w:eastAsiaTheme="minorEastAsia" w:cstheme="minorEastAsia"/>
          <w:bCs/>
          <w:color w:val="auto"/>
          <w:sz w:val="24"/>
          <w:szCs w:val="24"/>
          <w:lang w:eastAsia="zh-CN"/>
        </w:rPr>
        <w:t>。</w:t>
      </w:r>
    </w:p>
    <w:p w14:paraId="4E695DA0">
      <w:pPr>
        <w:autoSpaceDE w:val="0"/>
        <w:autoSpaceDN w:val="0"/>
        <w:adjustRightInd w:val="0"/>
        <w:snapToGrid w:val="0"/>
        <w:spacing w:line="360"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八、其它事项</w:t>
      </w:r>
    </w:p>
    <w:p w14:paraId="030592B8">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（一）乙方不得转让给其它单位或个人。</w:t>
      </w:r>
    </w:p>
    <w:p w14:paraId="1530C0FF">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（二）乙方的磋商响应文件和承诺等内容将列入合同。</w:t>
      </w:r>
    </w:p>
    <w:p w14:paraId="41A0E5EE">
      <w:pPr>
        <w:autoSpaceDE w:val="0"/>
        <w:autoSpaceDN w:val="0"/>
        <w:adjustRightInd w:val="0"/>
        <w:snapToGrid w:val="0"/>
        <w:spacing w:line="360" w:lineRule="auto"/>
        <w:ind w:firstLine="63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
          <w:bCs/>
          <w:color w:val="auto"/>
          <w:sz w:val="24"/>
          <w:szCs w:val="24"/>
        </w:rPr>
        <w:t>九、违约责任</w:t>
      </w:r>
    </w:p>
    <w:p w14:paraId="055A5D95">
      <w:pPr>
        <w:autoSpaceDE w:val="0"/>
        <w:autoSpaceDN w:val="0"/>
        <w:adjustRightInd w:val="0"/>
        <w:snapToGrid w:val="0"/>
        <w:spacing w:line="360" w:lineRule="auto"/>
        <w:ind w:firstLine="63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（一）按《中华人民共和国民法典》中的相关条款执行。</w:t>
      </w:r>
    </w:p>
    <w:p w14:paraId="3A6A96AF">
      <w:pPr>
        <w:autoSpaceDE w:val="0"/>
        <w:autoSpaceDN w:val="0"/>
        <w:adjustRightInd w:val="0"/>
        <w:snapToGrid w:val="0"/>
        <w:spacing w:line="360" w:lineRule="auto"/>
        <w:ind w:firstLine="63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二）未按合同要求提供服务或服务质量不能满足采购技术要求，乙方必须无条件提高技术，完善服务质量，否则，甲方会同监督机构、采购代理机构有权终止合同并对乙方违约行为进行追究，同时按政府采购供应商管理办法进行相应的处罚。</w:t>
      </w:r>
    </w:p>
    <w:p w14:paraId="15CA4472">
      <w:pPr>
        <w:autoSpaceDE w:val="0"/>
        <w:autoSpaceDN w:val="0"/>
        <w:adjustRightInd w:val="0"/>
        <w:spacing w:line="360"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十、合同争议解决的方式</w:t>
      </w:r>
    </w:p>
    <w:p w14:paraId="2801717F">
      <w:pP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本合同在履行过程中发生的争议，由甲、乙双方当事人协商解决，协商不成的按下列第</w:t>
      </w:r>
      <w:r>
        <w:rPr>
          <w:rFonts w:hint="eastAsia" w:asciiTheme="minorEastAsia" w:hAnsiTheme="minorEastAsia" w:eastAsiaTheme="minorEastAsia" w:cstheme="minorEastAsia"/>
          <w:bCs/>
          <w:color w:val="auto"/>
          <w:sz w:val="24"/>
          <w:szCs w:val="24"/>
          <w:u w:val="single"/>
        </w:rPr>
        <w:t>（二）</w:t>
      </w:r>
      <w:r>
        <w:rPr>
          <w:rFonts w:hint="eastAsia" w:asciiTheme="minorEastAsia" w:hAnsiTheme="minorEastAsia" w:eastAsiaTheme="minorEastAsia" w:cstheme="minorEastAsia"/>
          <w:bCs/>
          <w:color w:val="auto"/>
          <w:sz w:val="24"/>
          <w:szCs w:val="24"/>
        </w:rPr>
        <w:t>种方式解决：</w:t>
      </w:r>
    </w:p>
    <w:p w14:paraId="24FE836C">
      <w:pP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（一）提交宝鸡市仲裁委员会仲裁；</w:t>
      </w:r>
    </w:p>
    <w:p w14:paraId="2027F1E7">
      <w:pP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（二）依法向甲方所在地人民法院起诉。</w:t>
      </w:r>
    </w:p>
    <w:p w14:paraId="7B3DECD6">
      <w:pPr>
        <w:autoSpaceDE w:val="0"/>
        <w:autoSpaceDN w:val="0"/>
        <w:adjustRightInd w:val="0"/>
        <w:spacing w:line="360"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十一、合同生效</w:t>
      </w:r>
    </w:p>
    <w:p w14:paraId="2981370E">
      <w:pP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（一）本合同须经甲、乙双方的法定代表人（授权代理人）在合同书上签字并加盖本单位公章后正式生效。</w:t>
      </w:r>
    </w:p>
    <w:p w14:paraId="782397B4">
      <w:pP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（二）合同生效后，甲、乙双方须严格执行本合同条款的规定，全面履行合同，违者按《中华人民共和国民法典》的有关规定承担相应责任。</w:t>
      </w:r>
    </w:p>
    <w:p w14:paraId="66120F77">
      <w:pP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（三）本合同一式</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份，甲乙双方各执</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份。</w:t>
      </w:r>
    </w:p>
    <w:p w14:paraId="585456F1">
      <w:pP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（四）本合同如有未尽事宜，甲、乙双方协商解决。</w:t>
      </w:r>
    </w:p>
    <w:p w14:paraId="3A3D5A2A">
      <w:pPr>
        <w:pStyle w:val="17"/>
        <w:spacing w:line="360" w:lineRule="auto"/>
        <w:rPr>
          <w:rFonts w:hint="eastAsia" w:asciiTheme="minorEastAsia" w:hAnsiTheme="minorEastAsia" w:eastAsiaTheme="minorEastAsia" w:cstheme="minorEastAsia"/>
          <w:color w:val="auto"/>
          <w:sz w:val="24"/>
          <w:szCs w:val="24"/>
        </w:rPr>
      </w:pPr>
    </w:p>
    <w:tbl>
      <w:tblPr>
        <w:tblStyle w:val="25"/>
        <w:tblW w:w="0" w:type="auto"/>
        <w:jc w:val="center"/>
        <w:tblLayout w:type="fixed"/>
        <w:tblCellMar>
          <w:top w:w="0" w:type="dxa"/>
          <w:left w:w="108" w:type="dxa"/>
          <w:bottom w:w="0" w:type="dxa"/>
          <w:right w:w="108" w:type="dxa"/>
        </w:tblCellMar>
      </w:tblPr>
      <w:tblGrid>
        <w:gridCol w:w="4512"/>
        <w:gridCol w:w="3891"/>
      </w:tblGrid>
      <w:tr w14:paraId="4D984CAE">
        <w:tblPrEx>
          <w:tblCellMar>
            <w:top w:w="0" w:type="dxa"/>
            <w:left w:w="108" w:type="dxa"/>
            <w:bottom w:w="0" w:type="dxa"/>
            <w:right w:w="108" w:type="dxa"/>
          </w:tblCellMar>
        </w:tblPrEx>
        <w:trPr>
          <w:trHeight w:val="663" w:hRule="exact"/>
          <w:jc w:val="center"/>
        </w:trPr>
        <w:tc>
          <w:tcPr>
            <w:tcW w:w="4512" w:type="dxa"/>
            <w:noWrap/>
            <w:vAlign w:val="center"/>
          </w:tcPr>
          <w:p w14:paraId="3DA1D459">
            <w:pPr>
              <w:autoSpaceDE w:val="0"/>
              <w:autoSpaceDN w:val="0"/>
              <w:adjustRightInd w:val="0"/>
              <w:spacing w:line="360" w:lineRule="auto"/>
              <w:rPr>
                <w:rFonts w:hint="eastAsia" w:asciiTheme="minorEastAsia" w:hAnsiTheme="minorEastAsia" w:eastAsiaTheme="minorEastAsia" w:cstheme="minorEastAsia"/>
                <w:color w:val="auto"/>
                <w:spacing w:val="-20"/>
                <w:kern w:val="0"/>
                <w:sz w:val="24"/>
                <w:szCs w:val="24"/>
                <w:lang w:eastAsia="zh-CN"/>
              </w:rPr>
            </w:pPr>
            <w:r>
              <w:rPr>
                <w:rFonts w:hint="eastAsia" w:asciiTheme="minorEastAsia" w:hAnsiTheme="minorEastAsia" w:eastAsiaTheme="minorEastAsia" w:cstheme="minorEastAsia"/>
                <w:color w:val="auto"/>
                <w:spacing w:val="-20"/>
                <w:kern w:val="0"/>
                <w:sz w:val="24"/>
                <w:szCs w:val="24"/>
              </w:rPr>
              <w:t>甲  方</w:t>
            </w:r>
            <w:r>
              <w:rPr>
                <w:rFonts w:hint="eastAsia" w:asciiTheme="minorEastAsia" w:hAnsiTheme="minorEastAsia" w:eastAsiaTheme="minorEastAsia" w:cstheme="minorEastAsia"/>
                <w:color w:val="auto"/>
                <w:spacing w:val="-20"/>
                <w:kern w:val="0"/>
                <w:sz w:val="24"/>
                <w:szCs w:val="24"/>
                <w:lang w:eastAsia="zh-CN"/>
              </w:rPr>
              <w:t>：宝鸡蟠龙高新技术产业开发区管理委员会</w:t>
            </w:r>
          </w:p>
        </w:tc>
        <w:tc>
          <w:tcPr>
            <w:tcW w:w="3891" w:type="dxa"/>
            <w:noWrap/>
            <w:vAlign w:val="center"/>
          </w:tcPr>
          <w:p w14:paraId="33F895BA">
            <w:pPr>
              <w:autoSpaceDE w:val="0"/>
              <w:autoSpaceDN w:val="0"/>
              <w:adjustRightInd w:val="0"/>
              <w:spacing w:line="360" w:lineRule="auto"/>
              <w:rPr>
                <w:rFonts w:hint="eastAsia" w:asciiTheme="minorEastAsia" w:hAnsiTheme="minorEastAsia" w:eastAsiaTheme="minorEastAsia" w:cstheme="minorEastAsia"/>
                <w:color w:val="auto"/>
                <w:spacing w:val="-20"/>
                <w:kern w:val="0"/>
                <w:sz w:val="24"/>
                <w:szCs w:val="24"/>
                <w:lang w:eastAsia="zh-CN"/>
              </w:rPr>
            </w:pPr>
            <w:r>
              <w:rPr>
                <w:rFonts w:hint="eastAsia" w:asciiTheme="minorEastAsia" w:hAnsiTheme="minorEastAsia" w:eastAsiaTheme="minorEastAsia" w:cstheme="minorEastAsia"/>
                <w:color w:val="auto"/>
                <w:spacing w:val="-20"/>
                <w:kern w:val="0"/>
                <w:sz w:val="24"/>
                <w:szCs w:val="24"/>
              </w:rPr>
              <w:t>乙  方</w:t>
            </w:r>
            <w:r>
              <w:rPr>
                <w:rFonts w:hint="eastAsia" w:asciiTheme="minorEastAsia" w:hAnsiTheme="minorEastAsia" w:eastAsiaTheme="minorEastAsia" w:cstheme="minorEastAsia"/>
                <w:color w:val="auto"/>
                <w:spacing w:val="-20"/>
                <w:kern w:val="0"/>
                <w:sz w:val="24"/>
                <w:szCs w:val="24"/>
                <w:lang w:eastAsia="zh-CN"/>
              </w:rPr>
              <w:t>：</w:t>
            </w:r>
          </w:p>
        </w:tc>
      </w:tr>
      <w:tr w14:paraId="12AB6E5E">
        <w:tblPrEx>
          <w:tblCellMar>
            <w:top w:w="0" w:type="dxa"/>
            <w:left w:w="108" w:type="dxa"/>
            <w:bottom w:w="0" w:type="dxa"/>
            <w:right w:w="108" w:type="dxa"/>
          </w:tblCellMar>
        </w:tblPrEx>
        <w:trPr>
          <w:trHeight w:val="817" w:hRule="exact"/>
          <w:jc w:val="center"/>
        </w:trPr>
        <w:tc>
          <w:tcPr>
            <w:tcW w:w="4512" w:type="dxa"/>
            <w:noWrap/>
            <w:vAlign w:val="center"/>
          </w:tcPr>
          <w:p w14:paraId="2C301605">
            <w:pPr>
              <w:autoSpaceDE w:val="0"/>
              <w:autoSpaceDN w:val="0"/>
              <w:adjustRightInd w:val="0"/>
              <w:spacing w:line="360" w:lineRule="auto"/>
              <w:ind w:firstLine="700" w:firstLineChars="350"/>
              <w:rPr>
                <w:rFonts w:hint="eastAsia" w:asciiTheme="minorEastAsia" w:hAnsiTheme="minorEastAsia" w:eastAsiaTheme="minorEastAsia" w:cstheme="minorEastAsia"/>
                <w:color w:val="auto"/>
                <w:spacing w:val="-20"/>
                <w:kern w:val="0"/>
                <w:sz w:val="24"/>
                <w:szCs w:val="24"/>
              </w:rPr>
            </w:pPr>
            <w:r>
              <w:rPr>
                <w:rFonts w:hint="eastAsia" w:asciiTheme="minorEastAsia" w:hAnsiTheme="minorEastAsia" w:eastAsiaTheme="minorEastAsia" w:cstheme="minorEastAsia"/>
                <w:color w:val="auto"/>
                <w:spacing w:val="-20"/>
                <w:kern w:val="0"/>
                <w:sz w:val="24"/>
                <w:szCs w:val="24"/>
              </w:rPr>
              <w:t>（盖章）</w:t>
            </w:r>
          </w:p>
        </w:tc>
        <w:tc>
          <w:tcPr>
            <w:tcW w:w="3891" w:type="dxa"/>
            <w:noWrap/>
            <w:vAlign w:val="center"/>
          </w:tcPr>
          <w:p w14:paraId="03AAABBF">
            <w:pPr>
              <w:autoSpaceDE w:val="0"/>
              <w:autoSpaceDN w:val="0"/>
              <w:adjustRightInd w:val="0"/>
              <w:spacing w:line="360" w:lineRule="auto"/>
              <w:ind w:firstLine="800" w:firstLineChars="400"/>
              <w:rPr>
                <w:rFonts w:hint="eastAsia" w:asciiTheme="minorEastAsia" w:hAnsiTheme="minorEastAsia" w:eastAsiaTheme="minorEastAsia" w:cstheme="minorEastAsia"/>
                <w:color w:val="auto"/>
                <w:spacing w:val="-20"/>
                <w:kern w:val="0"/>
                <w:sz w:val="24"/>
                <w:szCs w:val="24"/>
              </w:rPr>
            </w:pPr>
            <w:r>
              <w:rPr>
                <w:rFonts w:hint="eastAsia" w:asciiTheme="minorEastAsia" w:hAnsiTheme="minorEastAsia" w:eastAsiaTheme="minorEastAsia" w:cstheme="minorEastAsia"/>
                <w:color w:val="auto"/>
                <w:spacing w:val="-20"/>
                <w:kern w:val="0"/>
                <w:sz w:val="24"/>
                <w:szCs w:val="24"/>
              </w:rPr>
              <w:t>（盖章）</w:t>
            </w:r>
          </w:p>
        </w:tc>
      </w:tr>
      <w:tr w14:paraId="73AD4F73">
        <w:tblPrEx>
          <w:tblCellMar>
            <w:top w:w="0" w:type="dxa"/>
            <w:left w:w="108" w:type="dxa"/>
            <w:bottom w:w="0" w:type="dxa"/>
            <w:right w:w="108" w:type="dxa"/>
          </w:tblCellMar>
        </w:tblPrEx>
        <w:trPr>
          <w:trHeight w:val="567" w:hRule="exact"/>
          <w:jc w:val="center"/>
        </w:trPr>
        <w:tc>
          <w:tcPr>
            <w:tcW w:w="4512" w:type="dxa"/>
            <w:noWrap/>
            <w:vAlign w:val="center"/>
          </w:tcPr>
          <w:p w14:paraId="3B4190CF">
            <w:pPr>
              <w:autoSpaceDE w:val="0"/>
              <w:autoSpaceDN w:val="0"/>
              <w:adjustRightInd w:val="0"/>
              <w:spacing w:line="360" w:lineRule="auto"/>
              <w:rPr>
                <w:rFonts w:hint="eastAsia" w:asciiTheme="minorEastAsia" w:hAnsiTheme="minorEastAsia" w:eastAsiaTheme="minorEastAsia" w:cstheme="minorEastAsia"/>
                <w:color w:val="auto"/>
                <w:spacing w:val="-20"/>
                <w:kern w:val="0"/>
                <w:sz w:val="24"/>
                <w:szCs w:val="24"/>
              </w:rPr>
            </w:pPr>
            <w:r>
              <w:rPr>
                <w:rFonts w:hint="eastAsia" w:asciiTheme="minorEastAsia" w:hAnsiTheme="minorEastAsia" w:eastAsiaTheme="minorEastAsia" w:cstheme="minorEastAsia"/>
                <w:color w:val="auto"/>
                <w:spacing w:val="-20"/>
                <w:kern w:val="0"/>
                <w:sz w:val="24"/>
                <w:szCs w:val="24"/>
              </w:rPr>
              <w:t xml:space="preserve">地址： </w:t>
            </w:r>
          </w:p>
        </w:tc>
        <w:tc>
          <w:tcPr>
            <w:tcW w:w="3891" w:type="dxa"/>
            <w:noWrap/>
            <w:vAlign w:val="center"/>
          </w:tcPr>
          <w:p w14:paraId="4C819D19">
            <w:pPr>
              <w:autoSpaceDE w:val="0"/>
              <w:autoSpaceDN w:val="0"/>
              <w:adjustRightInd w:val="0"/>
              <w:spacing w:line="360" w:lineRule="auto"/>
              <w:rPr>
                <w:rFonts w:hint="eastAsia" w:asciiTheme="minorEastAsia" w:hAnsiTheme="minorEastAsia" w:eastAsiaTheme="minorEastAsia" w:cstheme="minorEastAsia"/>
                <w:color w:val="auto"/>
                <w:spacing w:val="-20"/>
                <w:kern w:val="0"/>
                <w:sz w:val="24"/>
                <w:szCs w:val="24"/>
              </w:rPr>
            </w:pPr>
            <w:r>
              <w:rPr>
                <w:rFonts w:hint="eastAsia" w:asciiTheme="minorEastAsia" w:hAnsiTheme="minorEastAsia" w:eastAsiaTheme="minorEastAsia" w:cstheme="minorEastAsia"/>
                <w:color w:val="auto"/>
                <w:spacing w:val="-20"/>
                <w:kern w:val="0"/>
                <w:sz w:val="24"/>
                <w:szCs w:val="24"/>
              </w:rPr>
              <w:t>地址：</w:t>
            </w:r>
          </w:p>
        </w:tc>
      </w:tr>
      <w:tr w14:paraId="737C7051">
        <w:tblPrEx>
          <w:tblCellMar>
            <w:top w:w="0" w:type="dxa"/>
            <w:left w:w="108" w:type="dxa"/>
            <w:bottom w:w="0" w:type="dxa"/>
            <w:right w:w="108" w:type="dxa"/>
          </w:tblCellMar>
        </w:tblPrEx>
        <w:trPr>
          <w:trHeight w:val="567" w:hRule="exact"/>
          <w:jc w:val="center"/>
        </w:trPr>
        <w:tc>
          <w:tcPr>
            <w:tcW w:w="4512" w:type="dxa"/>
            <w:noWrap/>
            <w:vAlign w:val="center"/>
          </w:tcPr>
          <w:p w14:paraId="149EDF04">
            <w:pPr>
              <w:autoSpaceDE w:val="0"/>
              <w:autoSpaceDN w:val="0"/>
              <w:adjustRightInd w:val="0"/>
              <w:spacing w:line="360" w:lineRule="auto"/>
              <w:rPr>
                <w:rFonts w:hint="eastAsia" w:asciiTheme="minorEastAsia" w:hAnsiTheme="minorEastAsia" w:eastAsiaTheme="minorEastAsia" w:cstheme="minorEastAsia"/>
                <w:color w:val="auto"/>
                <w:spacing w:val="-20"/>
                <w:kern w:val="0"/>
                <w:sz w:val="24"/>
                <w:szCs w:val="24"/>
              </w:rPr>
            </w:pPr>
            <w:r>
              <w:rPr>
                <w:rFonts w:hint="eastAsia" w:asciiTheme="minorEastAsia" w:hAnsiTheme="minorEastAsia" w:eastAsiaTheme="minorEastAsia" w:cstheme="minorEastAsia"/>
                <w:color w:val="auto"/>
                <w:spacing w:val="-20"/>
                <w:kern w:val="0"/>
                <w:sz w:val="24"/>
                <w:szCs w:val="24"/>
              </w:rPr>
              <w:t>邮编：</w:t>
            </w:r>
          </w:p>
        </w:tc>
        <w:tc>
          <w:tcPr>
            <w:tcW w:w="3891" w:type="dxa"/>
            <w:noWrap/>
            <w:vAlign w:val="center"/>
          </w:tcPr>
          <w:p w14:paraId="1EE58AEF">
            <w:pPr>
              <w:autoSpaceDE w:val="0"/>
              <w:autoSpaceDN w:val="0"/>
              <w:adjustRightInd w:val="0"/>
              <w:spacing w:line="360" w:lineRule="auto"/>
              <w:rPr>
                <w:rFonts w:hint="eastAsia" w:asciiTheme="minorEastAsia" w:hAnsiTheme="minorEastAsia" w:eastAsiaTheme="minorEastAsia" w:cstheme="minorEastAsia"/>
                <w:color w:val="auto"/>
                <w:spacing w:val="-20"/>
                <w:kern w:val="0"/>
                <w:sz w:val="24"/>
                <w:szCs w:val="24"/>
              </w:rPr>
            </w:pPr>
            <w:r>
              <w:rPr>
                <w:rFonts w:hint="eastAsia" w:asciiTheme="minorEastAsia" w:hAnsiTheme="minorEastAsia" w:eastAsiaTheme="minorEastAsia" w:cstheme="minorEastAsia"/>
                <w:color w:val="auto"/>
                <w:spacing w:val="-20"/>
                <w:kern w:val="0"/>
                <w:sz w:val="24"/>
                <w:szCs w:val="24"/>
              </w:rPr>
              <w:t>邮编：</w:t>
            </w:r>
          </w:p>
        </w:tc>
      </w:tr>
      <w:tr w14:paraId="062F87E0">
        <w:tblPrEx>
          <w:tblCellMar>
            <w:top w:w="0" w:type="dxa"/>
            <w:left w:w="108" w:type="dxa"/>
            <w:bottom w:w="0" w:type="dxa"/>
            <w:right w:w="108" w:type="dxa"/>
          </w:tblCellMar>
        </w:tblPrEx>
        <w:trPr>
          <w:trHeight w:val="567" w:hRule="exact"/>
          <w:jc w:val="center"/>
        </w:trPr>
        <w:tc>
          <w:tcPr>
            <w:tcW w:w="4512" w:type="dxa"/>
            <w:noWrap/>
            <w:vAlign w:val="center"/>
          </w:tcPr>
          <w:p w14:paraId="4AA3DCB6">
            <w:pPr>
              <w:autoSpaceDE w:val="0"/>
              <w:autoSpaceDN w:val="0"/>
              <w:adjustRightInd w:val="0"/>
              <w:spacing w:line="360" w:lineRule="auto"/>
              <w:rPr>
                <w:rFonts w:hint="eastAsia" w:asciiTheme="minorEastAsia" w:hAnsiTheme="minorEastAsia" w:eastAsiaTheme="minorEastAsia" w:cstheme="minorEastAsia"/>
                <w:color w:val="auto"/>
                <w:spacing w:val="-20"/>
                <w:kern w:val="0"/>
                <w:sz w:val="24"/>
                <w:szCs w:val="24"/>
              </w:rPr>
            </w:pPr>
            <w:r>
              <w:rPr>
                <w:rFonts w:hint="eastAsia" w:asciiTheme="minorEastAsia" w:hAnsiTheme="minorEastAsia" w:eastAsiaTheme="minorEastAsia" w:cstheme="minorEastAsia"/>
                <w:color w:val="auto"/>
                <w:spacing w:val="-20"/>
                <w:kern w:val="0"/>
                <w:sz w:val="24"/>
                <w:szCs w:val="24"/>
              </w:rPr>
              <w:t xml:space="preserve">法定代表人： </w:t>
            </w:r>
          </w:p>
        </w:tc>
        <w:tc>
          <w:tcPr>
            <w:tcW w:w="3891" w:type="dxa"/>
            <w:noWrap/>
            <w:vAlign w:val="center"/>
          </w:tcPr>
          <w:p w14:paraId="24211066">
            <w:pPr>
              <w:autoSpaceDE w:val="0"/>
              <w:autoSpaceDN w:val="0"/>
              <w:adjustRightInd w:val="0"/>
              <w:spacing w:line="360" w:lineRule="auto"/>
              <w:rPr>
                <w:rFonts w:hint="eastAsia" w:asciiTheme="minorEastAsia" w:hAnsiTheme="minorEastAsia" w:eastAsiaTheme="minorEastAsia" w:cstheme="minorEastAsia"/>
                <w:color w:val="auto"/>
                <w:spacing w:val="-20"/>
                <w:kern w:val="0"/>
                <w:sz w:val="24"/>
                <w:szCs w:val="24"/>
              </w:rPr>
            </w:pPr>
            <w:r>
              <w:rPr>
                <w:rFonts w:hint="eastAsia" w:asciiTheme="minorEastAsia" w:hAnsiTheme="minorEastAsia" w:eastAsiaTheme="minorEastAsia" w:cstheme="minorEastAsia"/>
                <w:color w:val="auto"/>
                <w:spacing w:val="-20"/>
                <w:kern w:val="0"/>
                <w:sz w:val="24"/>
                <w:szCs w:val="24"/>
              </w:rPr>
              <w:t>法定代表人：</w:t>
            </w:r>
          </w:p>
        </w:tc>
      </w:tr>
      <w:tr w14:paraId="10104650">
        <w:tblPrEx>
          <w:tblCellMar>
            <w:top w:w="0" w:type="dxa"/>
            <w:left w:w="108" w:type="dxa"/>
            <w:bottom w:w="0" w:type="dxa"/>
            <w:right w:w="108" w:type="dxa"/>
          </w:tblCellMar>
        </w:tblPrEx>
        <w:trPr>
          <w:trHeight w:val="567" w:hRule="exact"/>
          <w:jc w:val="center"/>
        </w:trPr>
        <w:tc>
          <w:tcPr>
            <w:tcW w:w="4512" w:type="dxa"/>
            <w:noWrap/>
            <w:vAlign w:val="center"/>
          </w:tcPr>
          <w:p w14:paraId="37108815">
            <w:pPr>
              <w:autoSpaceDE w:val="0"/>
              <w:autoSpaceDN w:val="0"/>
              <w:adjustRightInd w:val="0"/>
              <w:spacing w:line="360" w:lineRule="auto"/>
              <w:rPr>
                <w:rFonts w:hint="eastAsia" w:asciiTheme="minorEastAsia" w:hAnsiTheme="minorEastAsia" w:eastAsiaTheme="minorEastAsia" w:cstheme="minorEastAsia"/>
                <w:color w:val="auto"/>
                <w:spacing w:val="-20"/>
                <w:kern w:val="0"/>
                <w:sz w:val="24"/>
                <w:szCs w:val="24"/>
              </w:rPr>
            </w:pPr>
            <w:r>
              <w:rPr>
                <w:rFonts w:hint="eastAsia" w:asciiTheme="minorEastAsia" w:hAnsiTheme="minorEastAsia" w:eastAsiaTheme="minorEastAsia" w:cstheme="minorEastAsia"/>
                <w:color w:val="auto"/>
                <w:spacing w:val="-20"/>
                <w:kern w:val="0"/>
                <w:sz w:val="24"/>
                <w:szCs w:val="24"/>
              </w:rPr>
              <w:t>被授权代表：</w:t>
            </w:r>
          </w:p>
        </w:tc>
        <w:tc>
          <w:tcPr>
            <w:tcW w:w="3891" w:type="dxa"/>
            <w:noWrap/>
            <w:vAlign w:val="center"/>
          </w:tcPr>
          <w:p w14:paraId="65CD3BFE">
            <w:pPr>
              <w:autoSpaceDE w:val="0"/>
              <w:autoSpaceDN w:val="0"/>
              <w:adjustRightInd w:val="0"/>
              <w:spacing w:line="360" w:lineRule="auto"/>
              <w:rPr>
                <w:rFonts w:hint="eastAsia" w:asciiTheme="minorEastAsia" w:hAnsiTheme="minorEastAsia" w:eastAsiaTheme="minorEastAsia" w:cstheme="minorEastAsia"/>
                <w:color w:val="auto"/>
                <w:spacing w:val="-20"/>
                <w:kern w:val="0"/>
                <w:sz w:val="24"/>
                <w:szCs w:val="24"/>
              </w:rPr>
            </w:pPr>
            <w:r>
              <w:rPr>
                <w:rFonts w:hint="eastAsia" w:asciiTheme="minorEastAsia" w:hAnsiTheme="minorEastAsia" w:eastAsiaTheme="minorEastAsia" w:cstheme="minorEastAsia"/>
                <w:color w:val="auto"/>
                <w:spacing w:val="-20"/>
                <w:kern w:val="0"/>
                <w:sz w:val="24"/>
                <w:szCs w:val="24"/>
              </w:rPr>
              <w:t>被授权代表：</w:t>
            </w:r>
          </w:p>
        </w:tc>
      </w:tr>
      <w:tr w14:paraId="55A48161">
        <w:tblPrEx>
          <w:tblCellMar>
            <w:top w:w="0" w:type="dxa"/>
            <w:left w:w="108" w:type="dxa"/>
            <w:bottom w:w="0" w:type="dxa"/>
            <w:right w:w="108" w:type="dxa"/>
          </w:tblCellMar>
        </w:tblPrEx>
        <w:trPr>
          <w:trHeight w:val="567" w:hRule="exact"/>
          <w:jc w:val="center"/>
        </w:trPr>
        <w:tc>
          <w:tcPr>
            <w:tcW w:w="4512" w:type="dxa"/>
            <w:noWrap/>
            <w:vAlign w:val="center"/>
          </w:tcPr>
          <w:p w14:paraId="63C2BDD4">
            <w:pPr>
              <w:autoSpaceDE w:val="0"/>
              <w:autoSpaceDN w:val="0"/>
              <w:adjustRightInd w:val="0"/>
              <w:spacing w:line="360" w:lineRule="auto"/>
              <w:rPr>
                <w:rFonts w:hint="eastAsia" w:asciiTheme="minorEastAsia" w:hAnsiTheme="minorEastAsia" w:eastAsiaTheme="minorEastAsia" w:cstheme="minorEastAsia"/>
                <w:color w:val="auto"/>
                <w:spacing w:val="-20"/>
                <w:kern w:val="0"/>
                <w:sz w:val="24"/>
                <w:szCs w:val="24"/>
              </w:rPr>
            </w:pPr>
            <w:r>
              <w:rPr>
                <w:rFonts w:hint="eastAsia" w:asciiTheme="minorEastAsia" w:hAnsiTheme="minorEastAsia" w:eastAsiaTheme="minorEastAsia" w:cstheme="minorEastAsia"/>
                <w:color w:val="auto"/>
                <w:spacing w:val="-20"/>
                <w:kern w:val="0"/>
                <w:sz w:val="24"/>
                <w:szCs w:val="24"/>
              </w:rPr>
              <w:t>电话：</w:t>
            </w:r>
          </w:p>
        </w:tc>
        <w:tc>
          <w:tcPr>
            <w:tcW w:w="3891" w:type="dxa"/>
            <w:noWrap/>
            <w:vAlign w:val="center"/>
          </w:tcPr>
          <w:p w14:paraId="78BC908A">
            <w:pPr>
              <w:autoSpaceDE w:val="0"/>
              <w:autoSpaceDN w:val="0"/>
              <w:adjustRightInd w:val="0"/>
              <w:spacing w:line="360" w:lineRule="auto"/>
              <w:ind w:left="600" w:hanging="600" w:hangingChars="300"/>
              <w:rPr>
                <w:rFonts w:hint="eastAsia" w:asciiTheme="minorEastAsia" w:hAnsiTheme="minorEastAsia" w:eastAsiaTheme="minorEastAsia" w:cstheme="minorEastAsia"/>
                <w:color w:val="auto"/>
                <w:spacing w:val="-20"/>
                <w:kern w:val="0"/>
                <w:sz w:val="24"/>
                <w:szCs w:val="24"/>
              </w:rPr>
            </w:pPr>
            <w:r>
              <w:rPr>
                <w:rFonts w:hint="eastAsia" w:asciiTheme="minorEastAsia" w:hAnsiTheme="minorEastAsia" w:eastAsiaTheme="minorEastAsia" w:cstheme="minorEastAsia"/>
                <w:color w:val="auto"/>
                <w:spacing w:val="-20"/>
                <w:kern w:val="0"/>
                <w:sz w:val="24"/>
                <w:szCs w:val="24"/>
              </w:rPr>
              <w:t>电话：</w:t>
            </w:r>
          </w:p>
        </w:tc>
      </w:tr>
      <w:tr w14:paraId="698C2905">
        <w:tblPrEx>
          <w:tblCellMar>
            <w:top w:w="0" w:type="dxa"/>
            <w:left w:w="108" w:type="dxa"/>
            <w:bottom w:w="0" w:type="dxa"/>
            <w:right w:w="108" w:type="dxa"/>
          </w:tblCellMar>
        </w:tblPrEx>
        <w:trPr>
          <w:trHeight w:val="567" w:hRule="exact"/>
          <w:jc w:val="center"/>
        </w:trPr>
        <w:tc>
          <w:tcPr>
            <w:tcW w:w="4512" w:type="dxa"/>
            <w:noWrap/>
            <w:vAlign w:val="center"/>
          </w:tcPr>
          <w:p w14:paraId="0BF1E950">
            <w:pPr>
              <w:autoSpaceDE w:val="0"/>
              <w:autoSpaceDN w:val="0"/>
              <w:adjustRightInd w:val="0"/>
              <w:spacing w:line="360" w:lineRule="auto"/>
              <w:rPr>
                <w:rFonts w:hint="eastAsia" w:asciiTheme="minorEastAsia" w:hAnsiTheme="minorEastAsia" w:eastAsiaTheme="minorEastAsia" w:cstheme="minorEastAsia"/>
                <w:color w:val="auto"/>
                <w:spacing w:val="-20"/>
                <w:kern w:val="0"/>
                <w:sz w:val="24"/>
                <w:szCs w:val="24"/>
              </w:rPr>
            </w:pPr>
            <w:r>
              <w:rPr>
                <w:rFonts w:hint="eastAsia" w:asciiTheme="minorEastAsia" w:hAnsiTheme="minorEastAsia" w:eastAsiaTheme="minorEastAsia" w:cstheme="minorEastAsia"/>
                <w:color w:val="auto"/>
                <w:spacing w:val="-20"/>
                <w:kern w:val="0"/>
                <w:sz w:val="24"/>
                <w:szCs w:val="24"/>
              </w:rPr>
              <w:t>传真：</w:t>
            </w:r>
          </w:p>
        </w:tc>
        <w:tc>
          <w:tcPr>
            <w:tcW w:w="3891" w:type="dxa"/>
            <w:noWrap/>
            <w:vAlign w:val="center"/>
          </w:tcPr>
          <w:p w14:paraId="7AE62FDB">
            <w:pPr>
              <w:autoSpaceDE w:val="0"/>
              <w:autoSpaceDN w:val="0"/>
              <w:adjustRightInd w:val="0"/>
              <w:spacing w:line="360" w:lineRule="auto"/>
              <w:rPr>
                <w:rFonts w:hint="eastAsia" w:asciiTheme="minorEastAsia" w:hAnsiTheme="minorEastAsia" w:eastAsiaTheme="minorEastAsia" w:cstheme="minorEastAsia"/>
                <w:color w:val="auto"/>
                <w:spacing w:val="-20"/>
                <w:kern w:val="0"/>
                <w:sz w:val="24"/>
                <w:szCs w:val="24"/>
              </w:rPr>
            </w:pPr>
            <w:r>
              <w:rPr>
                <w:rFonts w:hint="eastAsia" w:asciiTheme="minorEastAsia" w:hAnsiTheme="minorEastAsia" w:eastAsiaTheme="minorEastAsia" w:cstheme="minorEastAsia"/>
                <w:color w:val="auto"/>
                <w:spacing w:val="-20"/>
                <w:kern w:val="0"/>
                <w:sz w:val="24"/>
                <w:szCs w:val="24"/>
              </w:rPr>
              <w:t>传真：</w:t>
            </w:r>
          </w:p>
        </w:tc>
      </w:tr>
      <w:tr w14:paraId="01760ED1">
        <w:tblPrEx>
          <w:tblCellMar>
            <w:top w:w="0" w:type="dxa"/>
            <w:left w:w="108" w:type="dxa"/>
            <w:bottom w:w="0" w:type="dxa"/>
            <w:right w:w="108" w:type="dxa"/>
          </w:tblCellMar>
        </w:tblPrEx>
        <w:trPr>
          <w:trHeight w:val="567" w:hRule="exact"/>
          <w:jc w:val="center"/>
        </w:trPr>
        <w:tc>
          <w:tcPr>
            <w:tcW w:w="4512" w:type="dxa"/>
            <w:noWrap/>
            <w:vAlign w:val="center"/>
          </w:tcPr>
          <w:p w14:paraId="255FCAB0">
            <w:pPr>
              <w:autoSpaceDE w:val="0"/>
              <w:autoSpaceDN w:val="0"/>
              <w:adjustRightInd w:val="0"/>
              <w:spacing w:line="360" w:lineRule="auto"/>
              <w:rPr>
                <w:rFonts w:hint="eastAsia" w:asciiTheme="minorEastAsia" w:hAnsiTheme="minorEastAsia" w:eastAsiaTheme="minorEastAsia" w:cstheme="minorEastAsia"/>
                <w:color w:val="auto"/>
                <w:spacing w:val="-20"/>
                <w:kern w:val="0"/>
                <w:sz w:val="24"/>
                <w:szCs w:val="24"/>
              </w:rPr>
            </w:pPr>
            <w:r>
              <w:rPr>
                <w:rFonts w:hint="eastAsia" w:asciiTheme="minorEastAsia" w:hAnsiTheme="minorEastAsia" w:eastAsiaTheme="minorEastAsia" w:cstheme="minorEastAsia"/>
                <w:color w:val="auto"/>
                <w:spacing w:val="-20"/>
                <w:kern w:val="0"/>
                <w:sz w:val="24"/>
                <w:szCs w:val="24"/>
              </w:rPr>
              <w:t>开户银行：</w:t>
            </w:r>
          </w:p>
        </w:tc>
        <w:tc>
          <w:tcPr>
            <w:tcW w:w="3891" w:type="dxa"/>
            <w:noWrap/>
            <w:vAlign w:val="center"/>
          </w:tcPr>
          <w:p w14:paraId="72C775D2">
            <w:pPr>
              <w:autoSpaceDE w:val="0"/>
              <w:autoSpaceDN w:val="0"/>
              <w:adjustRightInd w:val="0"/>
              <w:spacing w:line="360" w:lineRule="auto"/>
              <w:rPr>
                <w:rFonts w:hint="eastAsia" w:asciiTheme="minorEastAsia" w:hAnsiTheme="minorEastAsia" w:eastAsiaTheme="minorEastAsia" w:cstheme="minorEastAsia"/>
                <w:color w:val="auto"/>
                <w:spacing w:val="-20"/>
                <w:kern w:val="0"/>
                <w:sz w:val="24"/>
                <w:szCs w:val="24"/>
              </w:rPr>
            </w:pPr>
            <w:r>
              <w:rPr>
                <w:rFonts w:hint="eastAsia" w:asciiTheme="minorEastAsia" w:hAnsiTheme="minorEastAsia" w:eastAsiaTheme="minorEastAsia" w:cstheme="minorEastAsia"/>
                <w:color w:val="auto"/>
                <w:spacing w:val="-20"/>
                <w:kern w:val="0"/>
                <w:sz w:val="24"/>
                <w:szCs w:val="24"/>
              </w:rPr>
              <w:t>开户银行：</w:t>
            </w:r>
          </w:p>
        </w:tc>
      </w:tr>
      <w:tr w14:paraId="6F82678F">
        <w:tblPrEx>
          <w:tblCellMar>
            <w:top w:w="0" w:type="dxa"/>
            <w:left w:w="108" w:type="dxa"/>
            <w:bottom w:w="0" w:type="dxa"/>
            <w:right w:w="108" w:type="dxa"/>
          </w:tblCellMar>
        </w:tblPrEx>
        <w:trPr>
          <w:trHeight w:val="567" w:hRule="exact"/>
          <w:jc w:val="center"/>
        </w:trPr>
        <w:tc>
          <w:tcPr>
            <w:tcW w:w="4512" w:type="dxa"/>
            <w:noWrap/>
            <w:vAlign w:val="center"/>
          </w:tcPr>
          <w:p w14:paraId="674308C8">
            <w:pPr>
              <w:autoSpaceDE w:val="0"/>
              <w:autoSpaceDN w:val="0"/>
              <w:adjustRightInd w:val="0"/>
              <w:spacing w:line="360" w:lineRule="auto"/>
              <w:rPr>
                <w:rFonts w:hint="eastAsia" w:asciiTheme="minorEastAsia" w:hAnsiTheme="minorEastAsia" w:eastAsiaTheme="minorEastAsia" w:cstheme="minorEastAsia"/>
                <w:color w:val="auto"/>
                <w:spacing w:val="-20"/>
                <w:kern w:val="0"/>
                <w:sz w:val="24"/>
                <w:szCs w:val="24"/>
              </w:rPr>
            </w:pPr>
            <w:r>
              <w:rPr>
                <w:rFonts w:hint="eastAsia" w:asciiTheme="minorEastAsia" w:hAnsiTheme="minorEastAsia" w:eastAsiaTheme="minorEastAsia" w:cstheme="minorEastAsia"/>
                <w:color w:val="auto"/>
                <w:spacing w:val="-20"/>
                <w:kern w:val="0"/>
                <w:sz w:val="24"/>
                <w:szCs w:val="24"/>
              </w:rPr>
              <w:t>日期：</w:t>
            </w:r>
          </w:p>
        </w:tc>
        <w:tc>
          <w:tcPr>
            <w:tcW w:w="3891" w:type="dxa"/>
            <w:noWrap/>
            <w:vAlign w:val="center"/>
          </w:tcPr>
          <w:p w14:paraId="1EB38F6B">
            <w:pPr>
              <w:autoSpaceDE w:val="0"/>
              <w:autoSpaceDN w:val="0"/>
              <w:adjustRightInd w:val="0"/>
              <w:spacing w:line="360" w:lineRule="auto"/>
              <w:rPr>
                <w:rFonts w:hint="eastAsia" w:asciiTheme="minorEastAsia" w:hAnsiTheme="minorEastAsia" w:eastAsiaTheme="minorEastAsia" w:cstheme="minorEastAsia"/>
                <w:color w:val="auto"/>
                <w:spacing w:val="-20"/>
                <w:kern w:val="0"/>
                <w:sz w:val="24"/>
                <w:szCs w:val="24"/>
              </w:rPr>
            </w:pPr>
            <w:r>
              <w:rPr>
                <w:rFonts w:hint="eastAsia" w:asciiTheme="minorEastAsia" w:hAnsiTheme="minorEastAsia" w:eastAsiaTheme="minorEastAsia" w:cstheme="minorEastAsia"/>
                <w:color w:val="auto"/>
                <w:spacing w:val="-20"/>
                <w:kern w:val="0"/>
                <w:sz w:val="24"/>
                <w:szCs w:val="24"/>
              </w:rPr>
              <w:t>日期：</w:t>
            </w:r>
          </w:p>
        </w:tc>
      </w:tr>
    </w:tbl>
    <w:p w14:paraId="1101DD8E">
      <w:pPr>
        <w:autoSpaceDE w:val="0"/>
        <w:autoSpaceDN w:val="0"/>
        <w:adjustRightInd w:val="0"/>
        <w:spacing w:before="100" w:after="100" w:line="360" w:lineRule="auto"/>
        <w:ind w:right="23" w:firstLine="1687" w:firstLineChars="700"/>
        <w:jc w:val="left"/>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b/>
          <w:bCs/>
          <w:color w:val="auto"/>
          <w:sz w:val="24"/>
          <w:szCs w:val="24"/>
        </w:rPr>
        <w:t>（本合同仅为参考，合同最终签订以甲乙双方签订为准）</w:t>
      </w:r>
    </w:p>
    <w:p w14:paraId="2B28DCA8">
      <w:pPr>
        <w:spacing w:line="480" w:lineRule="exact"/>
        <w:ind w:firstLine="440" w:firstLineChars="200"/>
        <w:rPr>
          <w:rFonts w:hint="eastAsia" w:asciiTheme="minorEastAsia" w:hAnsiTheme="minorEastAsia" w:eastAsiaTheme="minorEastAsia" w:cstheme="minorEastAsia"/>
          <w:color w:val="auto"/>
          <w:sz w:val="22"/>
          <w:szCs w:val="21"/>
        </w:rPr>
      </w:pPr>
    </w:p>
    <w:p w14:paraId="30612455">
      <w:pPr>
        <w:spacing w:line="280" w:lineRule="auto"/>
        <w:rPr>
          <w:rFonts w:hint="eastAsia" w:asciiTheme="minorEastAsia" w:hAnsiTheme="minorEastAsia" w:eastAsiaTheme="minorEastAsia" w:cstheme="minorEastAsia"/>
          <w:color w:val="auto"/>
          <w:sz w:val="21"/>
        </w:rPr>
      </w:pPr>
    </w:p>
    <w:p w14:paraId="027BBA05">
      <w:pPr>
        <w:adjustRightInd w:val="0"/>
        <w:snapToGrid w:val="0"/>
        <w:spacing w:line="360" w:lineRule="auto"/>
        <w:ind w:firstLine="554" w:firstLineChars="198"/>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u w:val="single"/>
        </w:rPr>
        <w:t xml:space="preserve">   </w:t>
      </w:r>
    </w:p>
    <w:p w14:paraId="428F51A6">
      <w:pPr>
        <w:pStyle w:val="2"/>
        <w:spacing w:before="0" w:after="0" w:line="48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bookmarkStart w:id="57" w:name="_Toc4134"/>
      <w:r>
        <w:rPr>
          <w:rFonts w:hint="eastAsia" w:asciiTheme="minorEastAsia" w:hAnsiTheme="minorEastAsia" w:eastAsiaTheme="minorEastAsia" w:cstheme="minorEastAsia"/>
          <w:color w:val="auto"/>
        </w:rPr>
        <w:t>第六章  竞争性磋商响应文件</w:t>
      </w:r>
      <w:bookmarkEnd w:id="56"/>
      <w:r>
        <w:rPr>
          <w:rFonts w:hint="eastAsia" w:asciiTheme="minorEastAsia" w:hAnsiTheme="minorEastAsia" w:eastAsiaTheme="minorEastAsia" w:cstheme="minorEastAsia"/>
          <w:color w:val="auto"/>
        </w:rPr>
        <w:t>组成</w:t>
      </w:r>
      <w:bookmarkEnd w:id="57"/>
    </w:p>
    <w:p w14:paraId="4BD30241">
      <w:pPr>
        <w:spacing w:line="480" w:lineRule="auto"/>
        <w:rPr>
          <w:rFonts w:hint="eastAsia" w:asciiTheme="minorEastAsia" w:hAnsiTheme="minorEastAsia" w:eastAsiaTheme="minorEastAsia" w:cstheme="minorEastAsia"/>
          <w:b/>
          <w:bCs/>
          <w:color w:val="auto"/>
          <w:szCs w:val="28"/>
        </w:rPr>
      </w:pPr>
      <w:r>
        <w:rPr>
          <w:rFonts w:hint="eastAsia" w:asciiTheme="minorEastAsia" w:hAnsiTheme="minorEastAsia" w:eastAsiaTheme="minorEastAsia" w:cstheme="minorEastAsia"/>
          <w:b/>
          <w:bCs/>
          <w:color w:val="auto"/>
          <w:szCs w:val="28"/>
        </w:rPr>
        <w:t>一、响应文件格式</w:t>
      </w:r>
    </w:p>
    <w:p w14:paraId="56077140">
      <w:pPr>
        <w:spacing w:line="480" w:lineRule="auto"/>
        <w:rPr>
          <w:rFonts w:hint="eastAsia" w:asciiTheme="minorEastAsia" w:hAnsiTheme="minorEastAsia" w:eastAsiaTheme="minorEastAsia" w:cstheme="minorEastAsia"/>
          <w:b/>
          <w:bCs/>
          <w:color w:val="auto"/>
          <w:szCs w:val="28"/>
        </w:rPr>
      </w:pPr>
      <w:r>
        <w:rPr>
          <w:rFonts w:hint="eastAsia" w:asciiTheme="minorEastAsia" w:hAnsiTheme="minorEastAsia" w:eastAsiaTheme="minorEastAsia" w:cstheme="minorEastAsia"/>
          <w:b/>
          <w:bCs/>
          <w:color w:val="auto"/>
          <w:szCs w:val="28"/>
        </w:rPr>
        <w:t>二、资质证明文件</w:t>
      </w:r>
    </w:p>
    <w:p w14:paraId="2A176E7B">
      <w:pPr>
        <w:spacing w:line="480" w:lineRule="auto"/>
        <w:rPr>
          <w:rFonts w:hint="eastAsia" w:asciiTheme="minorEastAsia" w:hAnsiTheme="minorEastAsia" w:eastAsiaTheme="minorEastAsia" w:cstheme="minorEastAsia"/>
          <w:b/>
          <w:bCs/>
          <w:color w:val="auto"/>
          <w:szCs w:val="28"/>
        </w:rPr>
      </w:pPr>
      <w:r>
        <w:rPr>
          <w:rFonts w:hint="eastAsia" w:asciiTheme="minorEastAsia" w:hAnsiTheme="minorEastAsia" w:eastAsiaTheme="minorEastAsia" w:cstheme="minorEastAsia"/>
          <w:b/>
          <w:bCs/>
          <w:color w:val="auto"/>
          <w:szCs w:val="28"/>
        </w:rPr>
        <w:t>三、符合性证明文件</w:t>
      </w:r>
    </w:p>
    <w:p w14:paraId="64CA6920">
      <w:pPr>
        <w:spacing w:line="480" w:lineRule="auto"/>
        <w:rPr>
          <w:rFonts w:hint="eastAsia" w:asciiTheme="minorEastAsia" w:hAnsiTheme="minorEastAsia" w:eastAsiaTheme="minorEastAsia" w:cstheme="minorEastAsia"/>
          <w:b/>
          <w:bCs/>
          <w:color w:val="auto"/>
          <w:szCs w:val="28"/>
        </w:rPr>
      </w:pPr>
      <w:r>
        <w:rPr>
          <w:rFonts w:hint="eastAsia" w:asciiTheme="minorEastAsia" w:hAnsiTheme="minorEastAsia" w:eastAsiaTheme="minorEastAsia" w:cstheme="minorEastAsia"/>
          <w:b/>
          <w:bCs/>
          <w:color w:val="auto"/>
          <w:szCs w:val="28"/>
        </w:rPr>
        <w:t>四、响应方案</w:t>
      </w:r>
    </w:p>
    <w:p w14:paraId="23EFE608">
      <w:pPr>
        <w:pStyle w:val="11"/>
        <w:spacing w:line="360" w:lineRule="auto"/>
        <w:rPr>
          <w:rFonts w:hint="eastAsia" w:asciiTheme="minorEastAsia" w:hAnsiTheme="minorEastAsia" w:eastAsiaTheme="minorEastAsia" w:cstheme="minorEastAsia"/>
          <w:color w:val="auto"/>
          <w:sz w:val="24"/>
        </w:rPr>
      </w:pPr>
    </w:p>
    <w:p w14:paraId="49DB5238">
      <w:pPr>
        <w:rPr>
          <w:rFonts w:hint="eastAsia" w:asciiTheme="minorEastAsia" w:hAnsiTheme="minorEastAsia" w:eastAsiaTheme="minorEastAsia" w:cstheme="minorEastAsia"/>
          <w:color w:val="auto"/>
          <w:sz w:val="24"/>
        </w:rPr>
      </w:pPr>
    </w:p>
    <w:p w14:paraId="5F690AD9">
      <w:pPr>
        <w:spacing w:line="360" w:lineRule="auto"/>
        <w:rPr>
          <w:rFonts w:hint="eastAsia" w:asciiTheme="minorEastAsia" w:hAnsiTheme="minorEastAsia" w:eastAsiaTheme="minorEastAsia" w:cstheme="minorEastAsia"/>
          <w:b/>
          <w:bCs/>
          <w:color w:val="auto"/>
        </w:rPr>
      </w:pPr>
    </w:p>
    <w:p w14:paraId="28CFF570">
      <w:pPr>
        <w:spacing w:line="360" w:lineRule="auto"/>
        <w:rPr>
          <w:rFonts w:hint="eastAsia" w:asciiTheme="minorEastAsia" w:hAnsiTheme="minorEastAsia" w:eastAsiaTheme="minorEastAsia" w:cstheme="minorEastAsia"/>
          <w:b/>
          <w:bCs/>
          <w:color w:val="auto"/>
        </w:rPr>
      </w:pPr>
    </w:p>
    <w:p w14:paraId="5D99C057">
      <w:pPr>
        <w:spacing w:line="360" w:lineRule="auto"/>
        <w:rPr>
          <w:rFonts w:hint="eastAsia" w:asciiTheme="minorEastAsia" w:hAnsiTheme="minorEastAsia" w:eastAsiaTheme="minorEastAsia" w:cstheme="minorEastAsia"/>
          <w:b/>
          <w:bCs/>
          <w:color w:val="auto"/>
        </w:rPr>
      </w:pPr>
    </w:p>
    <w:p w14:paraId="275E2DB1">
      <w:pPr>
        <w:spacing w:line="360" w:lineRule="auto"/>
        <w:rPr>
          <w:rFonts w:hint="eastAsia" w:asciiTheme="minorEastAsia" w:hAnsiTheme="minorEastAsia" w:eastAsiaTheme="minorEastAsia" w:cstheme="minorEastAsia"/>
          <w:b/>
          <w:bCs/>
          <w:color w:val="auto"/>
          <w:szCs w:val="24"/>
        </w:rPr>
      </w:pPr>
      <w:r>
        <w:rPr>
          <w:rFonts w:hint="eastAsia" w:asciiTheme="minorEastAsia" w:hAnsiTheme="minorEastAsia" w:eastAsiaTheme="minorEastAsia" w:cstheme="minorEastAsia"/>
          <w:b/>
          <w:bCs/>
          <w:color w:val="auto"/>
        </w:rPr>
        <w:t>注：</w:t>
      </w:r>
      <w:r>
        <w:rPr>
          <w:rFonts w:hint="eastAsia" w:asciiTheme="minorEastAsia" w:hAnsiTheme="minorEastAsia" w:eastAsiaTheme="minorEastAsia" w:cstheme="minorEastAsia"/>
          <w:b/>
          <w:bCs/>
          <w:color w:val="auto"/>
          <w:szCs w:val="24"/>
        </w:rPr>
        <w:t>响应文件编制说明</w:t>
      </w:r>
    </w:p>
    <w:p w14:paraId="6DE16A68">
      <w:pPr>
        <w:spacing w:line="360" w:lineRule="auto"/>
        <w:ind w:left="280" w:leftChars="100" w:firstLine="422" w:firstLineChars="150"/>
        <w:rPr>
          <w:rFonts w:hint="eastAsia" w:asciiTheme="minorEastAsia" w:hAnsiTheme="minorEastAsia" w:eastAsiaTheme="minorEastAsia" w:cstheme="minorEastAsia"/>
          <w:b/>
          <w:bCs/>
          <w:color w:val="auto"/>
          <w:szCs w:val="24"/>
        </w:rPr>
      </w:pPr>
      <w:r>
        <w:rPr>
          <w:rFonts w:hint="eastAsia" w:asciiTheme="minorEastAsia" w:hAnsiTheme="minorEastAsia" w:eastAsiaTheme="minorEastAsia" w:cstheme="minorEastAsia"/>
          <w:b/>
          <w:bCs/>
          <w:color w:val="auto"/>
          <w:szCs w:val="24"/>
        </w:rPr>
        <w:t>1、响应文件的编制应按照样本格式提供的内容，做出逐一明确的答复；供应商认为有必要，还可以做其它补充说明。</w:t>
      </w:r>
      <w:r>
        <w:rPr>
          <w:rFonts w:hint="eastAsia" w:asciiTheme="minorEastAsia" w:hAnsiTheme="minorEastAsia" w:eastAsiaTheme="minorEastAsia" w:cstheme="minorEastAsia"/>
          <w:b/>
          <w:bCs/>
          <w:color w:val="auto"/>
          <w:szCs w:val="24"/>
        </w:rPr>
        <w:cr/>
      </w:r>
      <w:r>
        <w:rPr>
          <w:rFonts w:hint="eastAsia" w:asciiTheme="minorEastAsia" w:hAnsiTheme="minorEastAsia" w:eastAsiaTheme="minorEastAsia" w:cstheme="minorEastAsia"/>
          <w:b/>
          <w:bCs/>
          <w:color w:val="auto"/>
          <w:szCs w:val="24"/>
        </w:rPr>
        <w:t xml:space="preserve">   2、供应商必须按照磋商文件的规定和要求由法定代表人或被授权人签字（或盖章），并逐页加盖供应商公章。</w:t>
      </w:r>
    </w:p>
    <w:p w14:paraId="0E52D5D1">
      <w:pP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sz w:val="32"/>
          <w:szCs w:val="32"/>
          <w:lang w:val="zh-CN"/>
        </w:rPr>
        <w:br w:type="page"/>
      </w:r>
    </w:p>
    <w:p w14:paraId="37EC9B16">
      <w:pPr>
        <w:spacing w:line="480" w:lineRule="auto"/>
        <w:rPr>
          <w:rFonts w:hint="eastAsia" w:asciiTheme="minorEastAsia" w:hAnsiTheme="minorEastAsia" w:eastAsiaTheme="minorEastAsia" w:cstheme="minorEastAsia"/>
          <w:b/>
          <w:bCs/>
          <w:color w:val="auto"/>
          <w:szCs w:val="28"/>
        </w:rPr>
      </w:pPr>
      <w:r>
        <w:rPr>
          <w:rFonts w:hint="eastAsia" w:asciiTheme="minorEastAsia" w:hAnsiTheme="minorEastAsia" w:eastAsiaTheme="minorEastAsia" w:cstheme="minorEastAsia"/>
          <w:b/>
          <w:bCs/>
          <w:color w:val="auto"/>
          <w:szCs w:val="28"/>
        </w:rPr>
        <w:t>一、响应文件格式</w:t>
      </w:r>
    </w:p>
    <w:p w14:paraId="4F73C2AA">
      <w:pPr>
        <w:autoSpaceDE w:val="0"/>
        <w:autoSpaceDN w:val="0"/>
        <w:adjustRightInd w:val="0"/>
        <w:snapToGrid w:val="0"/>
        <w:spacing w:line="360" w:lineRule="auto"/>
        <w:jc w:val="left"/>
        <w:outlineLvl w:val="0"/>
        <w:rPr>
          <w:rFonts w:hint="eastAsia" w:asciiTheme="minorEastAsia" w:hAnsiTheme="minorEastAsia" w:eastAsiaTheme="minorEastAsia" w:cstheme="minorEastAsia"/>
          <w:b/>
          <w:bCs/>
          <w:color w:val="auto"/>
          <w:szCs w:val="28"/>
        </w:rPr>
      </w:pPr>
      <w:bookmarkStart w:id="58" w:name="_Toc341"/>
      <w:bookmarkStart w:id="59" w:name="_Toc25855"/>
      <w:bookmarkStart w:id="60" w:name="_Toc30897"/>
      <w:r>
        <w:rPr>
          <w:rFonts w:hint="eastAsia" w:asciiTheme="minorEastAsia" w:hAnsiTheme="minorEastAsia" w:eastAsiaTheme="minorEastAsia" w:cstheme="minorEastAsia"/>
          <w:b/>
          <w:bCs/>
          <w:color w:val="auto"/>
          <w:szCs w:val="28"/>
        </w:rPr>
        <w:t>1、封面</w:t>
      </w:r>
      <w:bookmarkEnd w:id="58"/>
      <w:bookmarkEnd w:id="59"/>
      <w:bookmarkEnd w:id="60"/>
    </w:p>
    <w:p w14:paraId="20693AC2">
      <w:pPr>
        <w:autoSpaceDE w:val="0"/>
        <w:autoSpaceDN w:val="0"/>
        <w:adjustRightInd w:val="0"/>
        <w:snapToGrid w:val="0"/>
        <w:spacing w:line="360" w:lineRule="auto"/>
        <w:jc w:val="left"/>
        <w:rPr>
          <w:rFonts w:hint="eastAsia" w:asciiTheme="minorEastAsia" w:hAnsiTheme="minorEastAsia" w:eastAsiaTheme="minorEastAsia" w:cstheme="minorEastAsia"/>
          <w:b/>
          <w:color w:val="auto"/>
          <w:sz w:val="36"/>
          <w:szCs w:val="36"/>
        </w:rPr>
      </w:pPr>
    </w:p>
    <w:p w14:paraId="5B37922C">
      <w:pPr>
        <w:autoSpaceDE w:val="0"/>
        <w:autoSpaceDN w:val="0"/>
        <w:adjustRightInd w:val="0"/>
        <w:snapToGrid w:val="0"/>
        <w:spacing w:line="360" w:lineRule="auto"/>
        <w:jc w:val="left"/>
        <w:rPr>
          <w:rFonts w:hint="eastAsia" w:asciiTheme="minorEastAsia" w:hAnsiTheme="minorEastAsia" w:eastAsiaTheme="minorEastAsia" w:cstheme="minorEastAsia"/>
          <w:b/>
          <w:bCs/>
          <w:color w:val="auto"/>
          <w:sz w:val="30"/>
          <w:szCs w:val="30"/>
          <w:lang w:eastAsia="zh-CN"/>
        </w:rPr>
      </w:pPr>
      <w:r>
        <w:rPr>
          <w:rFonts w:hint="eastAsia" w:asciiTheme="minorEastAsia" w:hAnsiTheme="minorEastAsia" w:eastAsiaTheme="minorEastAsia" w:cstheme="minorEastAsia"/>
          <w:b/>
          <w:color w:val="auto"/>
          <w:sz w:val="36"/>
          <w:szCs w:val="36"/>
        </w:rPr>
        <w:t>文件编号:</w:t>
      </w:r>
      <w:r>
        <w:rPr>
          <w:rFonts w:hint="eastAsia" w:asciiTheme="minorEastAsia" w:hAnsiTheme="minorEastAsia" w:eastAsiaTheme="minorEastAsia" w:cstheme="minorEastAsia"/>
          <w:b/>
          <w:bCs/>
          <w:color w:val="auto"/>
          <w:sz w:val="36"/>
          <w:szCs w:val="36"/>
          <w:lang w:eastAsia="zh-CN"/>
        </w:rPr>
        <w:t>SXJX-2025-012号</w:t>
      </w:r>
    </w:p>
    <w:p w14:paraId="077D6195">
      <w:pPr>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 xml:space="preserve"> </w:t>
      </w:r>
    </w:p>
    <w:p w14:paraId="16635F40">
      <w:pPr>
        <w:pStyle w:val="48"/>
        <w:spacing w:line="360" w:lineRule="auto"/>
        <w:ind w:firstLine="0" w:firstLineChars="0"/>
        <w:jc w:val="center"/>
        <w:rPr>
          <w:rFonts w:hint="eastAsia" w:asciiTheme="minorEastAsia" w:hAnsiTheme="minorEastAsia" w:eastAsiaTheme="minorEastAsia" w:cstheme="minorEastAsia"/>
          <w:b/>
          <w:bCs/>
          <w:color w:val="auto"/>
          <w:spacing w:val="20"/>
          <w:kern w:val="0"/>
          <w:sz w:val="52"/>
          <w:szCs w:val="52"/>
        </w:rPr>
      </w:pPr>
      <w:r>
        <w:rPr>
          <w:rFonts w:hint="eastAsia" w:asciiTheme="minorEastAsia" w:hAnsiTheme="minorEastAsia" w:eastAsiaTheme="minorEastAsia" w:cstheme="minorEastAsia"/>
          <w:b/>
          <w:bCs/>
          <w:color w:val="auto"/>
          <w:spacing w:val="20"/>
          <w:kern w:val="0"/>
          <w:sz w:val="44"/>
          <w:szCs w:val="44"/>
          <w:lang w:eastAsia="zh-CN"/>
        </w:rPr>
        <w:t>蟠龙高新区扩区调区编制产业规划、用地情况报告、总体发展规划环境影响评价报告第</w:t>
      </w:r>
      <w:r>
        <w:rPr>
          <w:rFonts w:hint="eastAsia" w:asciiTheme="minorEastAsia" w:hAnsiTheme="minorEastAsia" w:eastAsiaTheme="minorEastAsia" w:cstheme="minorEastAsia"/>
          <w:b/>
          <w:bCs/>
          <w:color w:val="auto"/>
          <w:spacing w:val="20"/>
          <w:kern w:val="0"/>
          <w:sz w:val="44"/>
          <w:szCs w:val="44"/>
          <w:u w:val="single"/>
          <w:lang w:val="en-US" w:eastAsia="zh-CN"/>
        </w:rPr>
        <w:t xml:space="preserve">  </w:t>
      </w:r>
      <w:r>
        <w:rPr>
          <w:rFonts w:hint="eastAsia" w:asciiTheme="minorEastAsia" w:hAnsiTheme="minorEastAsia" w:eastAsiaTheme="minorEastAsia" w:cstheme="minorEastAsia"/>
          <w:b/>
          <w:bCs/>
          <w:color w:val="auto"/>
          <w:spacing w:val="20"/>
          <w:kern w:val="0"/>
          <w:sz w:val="44"/>
          <w:szCs w:val="44"/>
          <w:lang w:val="en-US" w:eastAsia="zh-CN"/>
        </w:rPr>
        <w:t>包</w:t>
      </w:r>
    </w:p>
    <w:p w14:paraId="31F6AEF4">
      <w:pPr>
        <w:spacing w:beforeLines="50" w:line="800" w:lineRule="exact"/>
        <w:ind w:right="-1165" w:rightChars="-416"/>
        <w:rPr>
          <w:rFonts w:hint="eastAsia" w:asciiTheme="minorEastAsia" w:hAnsiTheme="minorEastAsia" w:eastAsiaTheme="minorEastAsia" w:cstheme="minorEastAsia"/>
          <w:b/>
          <w:bCs/>
          <w:color w:val="auto"/>
          <w:spacing w:val="20"/>
          <w:kern w:val="0"/>
          <w:sz w:val="72"/>
          <w:szCs w:val="72"/>
        </w:rPr>
      </w:pPr>
    </w:p>
    <w:p w14:paraId="42ED87BE">
      <w:pPr>
        <w:spacing w:beforeLines="50" w:line="800" w:lineRule="exact"/>
        <w:ind w:right="-1165" w:rightChars="-416" w:firstLine="1526" w:firstLineChars="200"/>
        <w:rPr>
          <w:rFonts w:hint="eastAsia" w:asciiTheme="minorEastAsia" w:hAnsiTheme="minorEastAsia" w:eastAsiaTheme="minorEastAsia" w:cstheme="minorEastAsia"/>
          <w:b/>
          <w:bCs/>
          <w:color w:val="auto"/>
          <w:spacing w:val="20"/>
          <w:kern w:val="0"/>
          <w:sz w:val="72"/>
          <w:szCs w:val="72"/>
        </w:rPr>
      </w:pPr>
      <w:r>
        <w:rPr>
          <w:rFonts w:hint="eastAsia" w:asciiTheme="minorEastAsia" w:hAnsiTheme="minorEastAsia" w:eastAsiaTheme="minorEastAsia" w:cstheme="minorEastAsia"/>
          <w:b/>
          <w:bCs/>
          <w:color w:val="auto"/>
          <w:spacing w:val="20"/>
          <w:kern w:val="0"/>
          <w:sz w:val="72"/>
          <w:szCs w:val="72"/>
        </w:rPr>
        <w:t>磋商响应文件</w:t>
      </w:r>
    </w:p>
    <w:p w14:paraId="6C4AAFEA">
      <w:pPr>
        <w:rPr>
          <w:rFonts w:hint="eastAsia" w:asciiTheme="minorEastAsia" w:hAnsiTheme="minorEastAsia" w:eastAsiaTheme="minorEastAsia" w:cstheme="minorEastAsia"/>
          <w:color w:val="auto"/>
          <w:sz w:val="32"/>
        </w:rPr>
      </w:pPr>
    </w:p>
    <w:p w14:paraId="5F224C3D">
      <w:pPr>
        <w:spacing w:beforeLines="70"/>
        <w:rPr>
          <w:rFonts w:hint="eastAsia" w:asciiTheme="minorEastAsia" w:hAnsiTheme="minorEastAsia" w:eastAsiaTheme="minorEastAsia" w:cstheme="minorEastAsia"/>
          <w:b/>
          <w:color w:val="auto"/>
          <w:spacing w:val="8"/>
          <w:szCs w:val="28"/>
        </w:rPr>
      </w:pPr>
    </w:p>
    <w:p w14:paraId="0344FFAE">
      <w:pPr>
        <w:pStyle w:val="11"/>
        <w:rPr>
          <w:rFonts w:hint="eastAsia" w:asciiTheme="minorEastAsia" w:hAnsiTheme="minorEastAsia" w:eastAsiaTheme="minorEastAsia" w:cstheme="minorEastAsia"/>
          <w:b/>
          <w:color w:val="auto"/>
          <w:spacing w:val="8"/>
          <w:szCs w:val="28"/>
        </w:rPr>
      </w:pPr>
    </w:p>
    <w:p w14:paraId="0FE34EE2">
      <w:pPr>
        <w:pStyle w:val="24"/>
        <w:ind w:left="0" w:leftChars="0" w:firstLine="0" w:firstLineChars="0"/>
        <w:rPr>
          <w:rFonts w:hint="eastAsia" w:asciiTheme="minorEastAsia" w:hAnsiTheme="minorEastAsia" w:eastAsiaTheme="minorEastAsia" w:cstheme="minorEastAsia"/>
          <w:color w:val="auto"/>
        </w:rPr>
      </w:pPr>
    </w:p>
    <w:p w14:paraId="588EA025">
      <w:pPr>
        <w:pStyle w:val="13"/>
        <w:rPr>
          <w:rFonts w:hint="eastAsia"/>
        </w:rPr>
      </w:pPr>
    </w:p>
    <w:p w14:paraId="5E3DB1C0">
      <w:pPr>
        <w:pStyle w:val="13"/>
        <w:ind w:firstLine="560"/>
        <w:rPr>
          <w:rFonts w:hint="eastAsia" w:asciiTheme="minorEastAsia" w:hAnsiTheme="minorEastAsia" w:eastAsiaTheme="minorEastAsia" w:cstheme="minorEastAsia"/>
          <w:color w:val="auto"/>
        </w:rPr>
      </w:pPr>
    </w:p>
    <w:p w14:paraId="5E65FACD">
      <w:pPr>
        <w:spacing w:beforeLines="70"/>
        <w:ind w:firstLine="2080" w:firstLineChars="700"/>
        <w:rPr>
          <w:rFonts w:hint="eastAsia" w:asciiTheme="minorEastAsia" w:hAnsiTheme="minorEastAsia" w:eastAsiaTheme="minorEastAsia" w:cstheme="minorEastAsia"/>
          <w:b/>
          <w:color w:val="auto"/>
          <w:spacing w:val="8"/>
          <w:szCs w:val="28"/>
        </w:rPr>
      </w:pPr>
    </w:p>
    <w:p w14:paraId="58794D65">
      <w:pPr>
        <w:spacing w:beforeLines="70" w:line="360" w:lineRule="auto"/>
        <w:ind w:firstLine="1634" w:firstLineChars="550"/>
        <w:rPr>
          <w:rFonts w:hint="eastAsia" w:asciiTheme="minorEastAsia" w:hAnsiTheme="minorEastAsia" w:eastAsiaTheme="minorEastAsia" w:cstheme="minorEastAsia"/>
          <w:b/>
          <w:bCs/>
          <w:color w:val="auto"/>
          <w:spacing w:val="8"/>
          <w:szCs w:val="28"/>
          <w:u w:val="single"/>
        </w:rPr>
      </w:pPr>
      <w:r>
        <w:rPr>
          <w:rFonts w:hint="eastAsia" w:asciiTheme="minorEastAsia" w:hAnsiTheme="minorEastAsia" w:eastAsiaTheme="minorEastAsia" w:cstheme="minorEastAsia"/>
          <w:b/>
          <w:color w:val="auto"/>
          <w:spacing w:val="8"/>
          <w:szCs w:val="28"/>
        </w:rPr>
        <w:t>供应商：</w:t>
      </w:r>
      <w:r>
        <w:rPr>
          <w:rFonts w:hint="eastAsia" w:asciiTheme="minorEastAsia" w:hAnsiTheme="minorEastAsia" w:eastAsiaTheme="minorEastAsia" w:cstheme="minorEastAsia"/>
          <w:b/>
          <w:color w:val="auto"/>
          <w:spacing w:val="8"/>
          <w:szCs w:val="28"/>
          <w:u w:val="single"/>
        </w:rPr>
        <w:t xml:space="preserve">               </w:t>
      </w:r>
      <w:r>
        <w:rPr>
          <w:rFonts w:hint="eastAsia" w:asciiTheme="minorEastAsia" w:hAnsiTheme="minorEastAsia" w:eastAsiaTheme="minorEastAsia" w:cstheme="minorEastAsia"/>
          <w:b/>
          <w:color w:val="auto"/>
          <w:spacing w:val="8"/>
          <w:szCs w:val="28"/>
        </w:rPr>
        <w:t>（盖单位章）</w:t>
      </w:r>
    </w:p>
    <w:p w14:paraId="0E9E9F52">
      <w:pPr>
        <w:spacing w:line="360" w:lineRule="auto"/>
        <w:ind w:firstLine="1661" w:firstLineChars="591"/>
        <w:rPr>
          <w:rFonts w:hint="eastAsia" w:asciiTheme="minorEastAsia" w:hAnsiTheme="minorEastAsia" w:eastAsiaTheme="minorEastAsia" w:cstheme="minorEastAsia"/>
          <w:b/>
          <w:color w:val="auto"/>
          <w:szCs w:val="28"/>
        </w:rPr>
      </w:pPr>
    </w:p>
    <w:p w14:paraId="2A4DAD60">
      <w:pPr>
        <w:spacing w:line="360" w:lineRule="auto"/>
        <w:ind w:firstLine="1661" w:firstLineChars="591"/>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Cs w:val="28"/>
        </w:rPr>
        <w:t>时  间：</w:t>
      </w:r>
    </w:p>
    <w:p w14:paraId="4FC193C9">
      <w:pPr>
        <w:spacing w:line="480" w:lineRule="auto"/>
        <w:rPr>
          <w:rFonts w:hint="eastAsia" w:asciiTheme="minorEastAsia" w:hAnsiTheme="minorEastAsia" w:eastAsiaTheme="minorEastAsia" w:cstheme="minorEastAsia"/>
          <w:b/>
          <w:bCs/>
          <w:color w:val="auto"/>
          <w:szCs w:val="28"/>
        </w:rPr>
      </w:pPr>
      <w:bookmarkStart w:id="61" w:name="_Toc173549978"/>
      <w:bookmarkStart w:id="62" w:name="_Toc169846873"/>
      <w:bookmarkStart w:id="63" w:name="_Toc170980552"/>
      <w:bookmarkStart w:id="64" w:name="_Toc167591043"/>
      <w:bookmarkStart w:id="65" w:name="_Toc167591144"/>
      <w:bookmarkStart w:id="66" w:name="_Toc169846776"/>
      <w:bookmarkStart w:id="67" w:name="_Toc167849360"/>
      <w:bookmarkStart w:id="68" w:name="_Toc167591330"/>
      <w:bookmarkStart w:id="69" w:name="_Toc154482479"/>
      <w:bookmarkStart w:id="70" w:name="_Toc175033592"/>
      <w:bookmarkStart w:id="71" w:name="_Toc193126881"/>
      <w:bookmarkStart w:id="72" w:name="_Toc167591492"/>
      <w:bookmarkStart w:id="73" w:name="_Toc170980453"/>
      <w:bookmarkStart w:id="74" w:name="_Toc175032437"/>
      <w:bookmarkStart w:id="75" w:name="_Toc169838532"/>
      <w:bookmarkStart w:id="76" w:name="_Toc194663918"/>
      <w:bookmarkStart w:id="77" w:name="_Toc193187097"/>
      <w:bookmarkStart w:id="78" w:name="_Toc188808833"/>
      <w:bookmarkStart w:id="79" w:name="_Toc167590775"/>
    </w:p>
    <w:p w14:paraId="2FDC2DE8">
      <w:pPr>
        <w:pStyle w:val="13"/>
        <w:ind w:firstLine="562"/>
        <w:rPr>
          <w:rFonts w:hint="eastAsia" w:asciiTheme="minorEastAsia" w:hAnsiTheme="minorEastAsia" w:eastAsiaTheme="minorEastAsia" w:cstheme="minorEastAsia"/>
          <w:b/>
          <w:bCs/>
          <w:color w:val="auto"/>
          <w:szCs w:val="28"/>
        </w:rPr>
      </w:pPr>
    </w:p>
    <w:p w14:paraId="55AF7B5E">
      <w:pPr>
        <w:rPr>
          <w:rFonts w:hint="eastAsia" w:asciiTheme="minorEastAsia" w:hAnsiTheme="minorEastAsia" w:eastAsiaTheme="minorEastAsia" w:cstheme="minorEastAsia"/>
          <w:color w:val="auto"/>
        </w:rPr>
      </w:pPr>
    </w:p>
    <w:p w14:paraId="55C98CFD">
      <w:pPr>
        <w:spacing w:line="480" w:lineRule="auto"/>
        <w:rPr>
          <w:rFonts w:hint="eastAsia" w:asciiTheme="minorEastAsia" w:hAnsiTheme="minorEastAsia" w:eastAsiaTheme="minorEastAsia" w:cstheme="minorEastAsia"/>
          <w:b/>
          <w:bCs/>
          <w:color w:val="auto"/>
          <w:szCs w:val="28"/>
        </w:rPr>
      </w:pPr>
      <w:r>
        <w:rPr>
          <w:rFonts w:hint="eastAsia" w:asciiTheme="minorEastAsia" w:hAnsiTheme="minorEastAsia" w:eastAsiaTheme="minorEastAsia" w:cstheme="minorEastAsia"/>
          <w:b/>
          <w:bCs/>
          <w:color w:val="auto"/>
          <w:szCs w:val="28"/>
        </w:rPr>
        <w:t>二、资质证明文件</w:t>
      </w:r>
    </w:p>
    <w:p w14:paraId="05BAA49F">
      <w:pPr>
        <w:spacing w:line="360" w:lineRule="auto"/>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1.营业执照等主体资格证明文件</w:t>
      </w:r>
    </w:p>
    <w:p w14:paraId="175F5D44">
      <w:pPr>
        <w:spacing w:line="360" w:lineRule="auto"/>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2.财务状况报告或资信证明</w:t>
      </w:r>
    </w:p>
    <w:p w14:paraId="29499280">
      <w:pPr>
        <w:spacing w:line="360" w:lineRule="auto"/>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3.社保缴纳证明</w:t>
      </w:r>
    </w:p>
    <w:p w14:paraId="08027D00">
      <w:pPr>
        <w:spacing w:line="360" w:lineRule="auto"/>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4.税收缴纳证明</w:t>
      </w:r>
    </w:p>
    <w:p w14:paraId="05F29347">
      <w:pPr>
        <w:spacing w:line="360" w:lineRule="auto"/>
        <w:rPr>
          <w:rFonts w:hint="eastAsia" w:asciiTheme="minorEastAsia" w:hAnsiTheme="minorEastAsia" w:eastAsiaTheme="minorEastAsia" w:cstheme="minorEastAsia"/>
          <w:color w:val="auto"/>
          <w:szCs w:val="28"/>
          <w:lang w:eastAsia="zh-CN"/>
        </w:rPr>
      </w:pPr>
      <w:r>
        <w:rPr>
          <w:rFonts w:hint="eastAsia" w:asciiTheme="minorEastAsia" w:hAnsiTheme="minorEastAsia" w:eastAsiaTheme="minorEastAsia" w:cstheme="minorEastAsia"/>
          <w:color w:val="auto"/>
          <w:szCs w:val="28"/>
        </w:rPr>
        <w:t>5.</w:t>
      </w:r>
      <w:r>
        <w:rPr>
          <w:rFonts w:hint="eastAsia" w:asciiTheme="minorEastAsia" w:hAnsiTheme="minorEastAsia" w:eastAsiaTheme="minorEastAsia" w:cstheme="minorEastAsia"/>
          <w:color w:val="auto"/>
          <w:szCs w:val="28"/>
          <w:lang w:eastAsia="zh-CN"/>
        </w:rPr>
        <w:t>信用承诺书</w:t>
      </w:r>
    </w:p>
    <w:p w14:paraId="1F801978">
      <w:pPr>
        <w:spacing w:line="360" w:lineRule="auto"/>
        <w:rPr>
          <w:rFonts w:hint="eastAsia" w:asciiTheme="minorEastAsia" w:hAnsiTheme="minorEastAsia" w:eastAsiaTheme="minorEastAsia" w:cstheme="minorEastAsia"/>
          <w:color w:val="auto"/>
          <w:szCs w:val="28"/>
          <w:lang w:eastAsia="zh-CN"/>
        </w:rPr>
      </w:pPr>
      <w:r>
        <w:rPr>
          <w:rFonts w:hint="eastAsia" w:asciiTheme="minorEastAsia" w:hAnsiTheme="minorEastAsia" w:eastAsiaTheme="minorEastAsia" w:cstheme="minorEastAsia"/>
          <w:color w:val="auto"/>
          <w:szCs w:val="28"/>
        </w:rPr>
        <w:t>6.控股管理关系承诺</w:t>
      </w:r>
      <w:r>
        <w:rPr>
          <w:rFonts w:hint="eastAsia" w:asciiTheme="minorEastAsia" w:hAnsiTheme="minorEastAsia" w:eastAsiaTheme="minorEastAsia" w:cstheme="minorEastAsia"/>
          <w:color w:val="auto"/>
          <w:szCs w:val="28"/>
          <w:lang w:eastAsia="zh-CN"/>
        </w:rPr>
        <w:t>书</w:t>
      </w:r>
    </w:p>
    <w:p w14:paraId="24B1725C">
      <w:pPr>
        <w:spacing w:line="360" w:lineRule="auto"/>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7.书面声明（格式见附件一）</w:t>
      </w:r>
    </w:p>
    <w:p w14:paraId="51AC14AD">
      <w:pPr>
        <w:spacing w:line="360" w:lineRule="auto"/>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8.法定代表人授权委托书（格式见附件二）</w:t>
      </w:r>
    </w:p>
    <w:p w14:paraId="45E32AF7">
      <w:pPr>
        <w:spacing w:line="360" w:lineRule="auto"/>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9.所必需的设备和专业技术能力的承诺书</w:t>
      </w:r>
    </w:p>
    <w:p w14:paraId="0A505330">
      <w:pPr>
        <w:spacing w:line="360" w:lineRule="auto"/>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lang w:val="en-US" w:eastAsia="zh-CN"/>
        </w:rPr>
        <w:t>10.企业资质</w:t>
      </w:r>
    </w:p>
    <w:p w14:paraId="5D202BF8">
      <w:pPr>
        <w:pStyle w:val="3"/>
        <w:tabs>
          <w:tab w:val="left" w:pos="2153"/>
        </w:tabs>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ab/>
      </w:r>
    </w:p>
    <w:p w14:paraId="297767A8">
      <w:pPr>
        <w:rPr>
          <w:rFonts w:hint="eastAsia" w:asciiTheme="minorEastAsia" w:hAnsiTheme="minorEastAsia" w:eastAsiaTheme="minorEastAsia" w:cstheme="minorEastAsia"/>
          <w:color w:val="auto"/>
          <w:szCs w:val="28"/>
        </w:rPr>
      </w:pPr>
    </w:p>
    <w:p w14:paraId="18A749F2">
      <w:pPr>
        <w:pStyle w:val="13"/>
        <w:ind w:firstLine="560"/>
        <w:rPr>
          <w:rFonts w:hint="eastAsia" w:asciiTheme="minorEastAsia" w:hAnsiTheme="minorEastAsia" w:eastAsiaTheme="minorEastAsia" w:cstheme="minorEastAsia"/>
          <w:color w:val="auto"/>
          <w:szCs w:val="28"/>
        </w:rPr>
      </w:pPr>
    </w:p>
    <w:p w14:paraId="5C21FCCF">
      <w:pPr>
        <w:rPr>
          <w:rFonts w:hint="eastAsia" w:asciiTheme="minorEastAsia" w:hAnsiTheme="minorEastAsia" w:eastAsiaTheme="minorEastAsia" w:cstheme="minorEastAsia"/>
          <w:color w:val="auto"/>
        </w:rPr>
      </w:pPr>
    </w:p>
    <w:p w14:paraId="093782A4">
      <w:pPr>
        <w:spacing w:line="480" w:lineRule="exact"/>
        <w:rPr>
          <w:rFonts w:hint="eastAsia" w:asciiTheme="minorEastAsia" w:hAnsiTheme="minorEastAsia" w:eastAsiaTheme="minorEastAsia" w:cstheme="minorEastAsia"/>
          <w:color w:val="auto"/>
          <w:szCs w:val="28"/>
        </w:rPr>
      </w:pPr>
    </w:p>
    <w:p w14:paraId="7950139D">
      <w:pPr>
        <w:spacing w:line="480" w:lineRule="exact"/>
        <w:rPr>
          <w:rFonts w:hint="eastAsia" w:asciiTheme="minorEastAsia" w:hAnsiTheme="minorEastAsia" w:eastAsiaTheme="minorEastAsia" w:cstheme="minorEastAsia"/>
          <w:color w:val="auto"/>
          <w:szCs w:val="28"/>
        </w:rPr>
      </w:pPr>
    </w:p>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14:paraId="36D69DA2">
      <w:pPr>
        <w:pStyle w:val="7"/>
        <w:ind w:firstLine="0"/>
        <w:rPr>
          <w:rFonts w:hint="eastAsia" w:asciiTheme="minorEastAsia" w:hAnsiTheme="minorEastAsia" w:eastAsiaTheme="minorEastAsia" w:cstheme="minorEastAsia"/>
          <w:color w:val="auto"/>
          <w:szCs w:val="28"/>
        </w:rPr>
      </w:pPr>
    </w:p>
    <w:p w14:paraId="263BE95C">
      <w:pPr>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br w:type="page"/>
      </w:r>
    </w:p>
    <w:p w14:paraId="5C5F7D79">
      <w:pPr>
        <w:pStyle w:val="7"/>
        <w:ind w:firstLine="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附件一：</w:t>
      </w:r>
    </w:p>
    <w:p w14:paraId="48972FDA">
      <w:pPr>
        <w:pStyle w:val="7"/>
        <w:spacing w:line="360" w:lineRule="auto"/>
        <w:ind w:firstLine="0"/>
        <w:jc w:val="center"/>
        <w:rPr>
          <w:rFonts w:hint="eastAsia" w:asciiTheme="minorEastAsia" w:hAnsiTheme="minorEastAsia" w:eastAsiaTheme="minorEastAsia" w:cstheme="minorEastAsia"/>
          <w:b/>
          <w:color w:val="auto"/>
          <w:szCs w:val="28"/>
        </w:rPr>
      </w:pPr>
    </w:p>
    <w:p w14:paraId="651BFA74">
      <w:pPr>
        <w:pStyle w:val="7"/>
        <w:spacing w:line="360" w:lineRule="auto"/>
        <w:ind w:firstLine="0"/>
        <w:jc w:val="center"/>
        <w:rPr>
          <w:rFonts w:hint="eastAsia" w:asciiTheme="minorEastAsia" w:hAnsiTheme="minorEastAsia" w:eastAsiaTheme="minorEastAsia" w:cstheme="minorEastAsia"/>
          <w:b/>
          <w:color w:val="auto"/>
          <w:szCs w:val="28"/>
        </w:rPr>
      </w:pPr>
      <w:r>
        <w:rPr>
          <w:rFonts w:hint="eastAsia" w:asciiTheme="minorEastAsia" w:hAnsiTheme="minorEastAsia" w:eastAsiaTheme="minorEastAsia" w:cstheme="minorEastAsia"/>
          <w:b/>
          <w:color w:val="auto"/>
          <w:szCs w:val="28"/>
        </w:rPr>
        <w:t>无重大违法记录声明</w:t>
      </w:r>
    </w:p>
    <w:p w14:paraId="06F6C90D">
      <w:pPr>
        <w:spacing w:line="360" w:lineRule="auto"/>
        <w:ind w:firstLine="240" w:firstLineChars="100"/>
        <w:rPr>
          <w:rFonts w:hint="eastAsia" w:asciiTheme="minorEastAsia" w:hAnsiTheme="minorEastAsia" w:eastAsiaTheme="minorEastAsia" w:cstheme="minorEastAsia"/>
          <w:color w:val="auto"/>
          <w:sz w:val="24"/>
        </w:rPr>
      </w:pPr>
    </w:p>
    <w:p w14:paraId="7F76857F">
      <w:pPr>
        <w:spacing w:line="360" w:lineRule="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致：</w:t>
      </w:r>
      <w:r>
        <w:rPr>
          <w:rFonts w:hint="eastAsia" w:asciiTheme="minorEastAsia" w:hAnsiTheme="minorEastAsia" w:eastAsiaTheme="minorEastAsia" w:cstheme="minorEastAsia"/>
          <w:color w:val="auto"/>
          <w:sz w:val="24"/>
          <w:lang w:eastAsia="zh-CN"/>
        </w:rPr>
        <w:t>陕西佳信项目管理有限公司</w:t>
      </w:r>
    </w:p>
    <w:p w14:paraId="0E3AC946">
      <w:pPr>
        <w:spacing w:line="360" w:lineRule="auto"/>
        <w:ind w:firstLine="480" w:firstLineChars="200"/>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u w:val="single"/>
        </w:rPr>
        <w:t xml:space="preserve">   </w:t>
      </w:r>
    </w:p>
    <w:p w14:paraId="7C3BC339">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（供应商名称）郑重声明，我方参加贵公司组织的</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项目（项目编号</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）的采购活动前三年内无重大违法活动记录，符合《中华人民共和国政府采购法》规定的供应商资格条件。我方对此声明负全部法律责任。</w:t>
      </w:r>
    </w:p>
    <w:p w14:paraId="1F1856D4">
      <w:pPr>
        <w:spacing w:line="360" w:lineRule="auto"/>
        <w:ind w:firstLine="240" w:firstLineChars="1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特此声明。</w:t>
      </w:r>
    </w:p>
    <w:p w14:paraId="03DE6617">
      <w:pPr>
        <w:spacing w:line="360" w:lineRule="auto"/>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注：成立不足三年的供应商提供自成立之日起至磋商之日止的无重大违法记录声明。</w:t>
      </w:r>
    </w:p>
    <w:p w14:paraId="69DAFD4D">
      <w:pPr>
        <w:spacing w:line="360" w:lineRule="auto"/>
        <w:ind w:firstLine="4759" w:firstLineChars="1983"/>
        <w:rPr>
          <w:rFonts w:hint="eastAsia" w:asciiTheme="minorEastAsia" w:hAnsiTheme="minorEastAsia" w:eastAsiaTheme="minorEastAsia" w:cstheme="minorEastAsia"/>
          <w:color w:val="auto"/>
          <w:sz w:val="24"/>
          <w:szCs w:val="28"/>
        </w:rPr>
      </w:pPr>
    </w:p>
    <w:p w14:paraId="5FE7FE43">
      <w:pPr>
        <w:spacing w:line="360" w:lineRule="auto"/>
        <w:ind w:firstLine="4759" w:firstLineChars="1983"/>
        <w:rPr>
          <w:rFonts w:hint="eastAsia" w:asciiTheme="minorEastAsia" w:hAnsiTheme="minorEastAsia" w:eastAsiaTheme="minorEastAsia" w:cstheme="minorEastAsia"/>
          <w:color w:val="auto"/>
          <w:sz w:val="24"/>
          <w:szCs w:val="28"/>
        </w:rPr>
      </w:pPr>
    </w:p>
    <w:p w14:paraId="768D067A">
      <w:pPr>
        <w:spacing w:line="360" w:lineRule="auto"/>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供应商全称(盖章)：</w:t>
      </w:r>
    </w:p>
    <w:p w14:paraId="15CC2354">
      <w:pPr>
        <w:spacing w:line="360" w:lineRule="auto"/>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法定代表人或授权代表人(</w:t>
      </w:r>
      <w:r>
        <w:rPr>
          <w:rFonts w:hint="eastAsia" w:asciiTheme="minorEastAsia" w:hAnsiTheme="minorEastAsia" w:eastAsiaTheme="minorEastAsia" w:cstheme="minorEastAsia"/>
          <w:color w:val="auto"/>
          <w:sz w:val="24"/>
        </w:rPr>
        <w:t>签字或盖章</w:t>
      </w:r>
      <w:r>
        <w:rPr>
          <w:rFonts w:hint="eastAsia" w:asciiTheme="minorEastAsia" w:hAnsiTheme="minorEastAsia" w:eastAsiaTheme="minorEastAsia" w:cstheme="minorEastAsia"/>
          <w:color w:val="auto"/>
          <w:sz w:val="24"/>
          <w:szCs w:val="28"/>
        </w:rPr>
        <w:t>)：</w:t>
      </w:r>
    </w:p>
    <w:p w14:paraId="2FA9D2E7">
      <w:pPr>
        <w:spacing w:line="360" w:lineRule="auto"/>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日  期：</w:t>
      </w:r>
    </w:p>
    <w:p w14:paraId="3CBE7BB6">
      <w:pPr>
        <w:spacing w:line="360" w:lineRule="auto"/>
        <w:rPr>
          <w:rFonts w:hint="eastAsia" w:asciiTheme="minorEastAsia" w:hAnsiTheme="minorEastAsia" w:eastAsiaTheme="minorEastAsia" w:cstheme="minorEastAsia"/>
          <w:color w:val="auto"/>
        </w:rPr>
      </w:pPr>
    </w:p>
    <w:p w14:paraId="39249F28">
      <w:pPr>
        <w:spacing w:line="360" w:lineRule="auto"/>
        <w:ind w:left="280" w:leftChars="100"/>
        <w:jc w:val="left"/>
        <w:rPr>
          <w:rFonts w:hint="eastAsia" w:asciiTheme="minorEastAsia" w:hAnsiTheme="minorEastAsia" w:eastAsiaTheme="minorEastAsia" w:cstheme="minorEastAsia"/>
          <w:color w:val="auto"/>
          <w:szCs w:val="28"/>
        </w:rPr>
        <w:sectPr>
          <w:headerReference r:id="rId10" w:type="default"/>
          <w:footerReference r:id="rId11" w:type="default"/>
          <w:pgSz w:w="11906" w:h="16838"/>
          <w:pgMar w:top="1440" w:right="1803" w:bottom="1440" w:left="1803" w:header="851" w:footer="992" w:gutter="0"/>
          <w:cols w:space="720" w:num="1"/>
        </w:sectPr>
      </w:pPr>
    </w:p>
    <w:p w14:paraId="3B6534FA">
      <w:pPr>
        <w:spacing w:line="360" w:lineRule="auto"/>
        <w:jc w:val="left"/>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附件二：</w:t>
      </w:r>
    </w:p>
    <w:p w14:paraId="1860FDE0">
      <w:pPr>
        <w:spacing w:line="480" w:lineRule="exact"/>
        <w:ind w:left="280" w:leftChars="100"/>
        <w:jc w:val="center"/>
        <w:rPr>
          <w:rFonts w:hint="eastAsia" w:asciiTheme="minorEastAsia" w:hAnsiTheme="minorEastAsia" w:eastAsiaTheme="minorEastAsia" w:cstheme="minorEastAsia"/>
          <w:b/>
          <w:bCs/>
          <w:color w:val="auto"/>
          <w:sz w:val="24"/>
          <w:szCs w:val="22"/>
        </w:rPr>
      </w:pPr>
      <w:r>
        <w:rPr>
          <w:rFonts w:hint="eastAsia" w:asciiTheme="minorEastAsia" w:hAnsiTheme="minorEastAsia" w:eastAsiaTheme="minorEastAsia" w:cstheme="minorEastAsia"/>
          <w:b/>
          <w:bCs/>
          <w:color w:val="auto"/>
          <w:sz w:val="24"/>
          <w:szCs w:val="22"/>
        </w:rPr>
        <w:t>法定代表人资格证明书</w:t>
      </w:r>
    </w:p>
    <w:tbl>
      <w:tblPr>
        <w:tblStyle w:val="25"/>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464"/>
        <w:gridCol w:w="1960"/>
        <w:gridCol w:w="1333"/>
        <w:gridCol w:w="2417"/>
      </w:tblGrid>
      <w:tr w14:paraId="1836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80" w:type="dxa"/>
            <w:gridSpan w:val="5"/>
            <w:noWrap/>
          </w:tcPr>
          <w:p w14:paraId="38D188EB">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lang w:eastAsia="zh-CN"/>
              </w:rPr>
            </w:pPr>
            <w:r>
              <w:rPr>
                <w:rFonts w:hint="eastAsia" w:asciiTheme="minorEastAsia" w:hAnsiTheme="minorEastAsia" w:eastAsiaTheme="minorEastAsia" w:cstheme="minorEastAsia"/>
                <w:bCs/>
                <w:caps/>
                <w:color w:val="auto"/>
                <w:sz w:val="24"/>
                <w:szCs w:val="24"/>
              </w:rPr>
              <w:t xml:space="preserve">致： </w:t>
            </w:r>
            <w:r>
              <w:rPr>
                <w:rFonts w:hint="eastAsia" w:asciiTheme="minorEastAsia" w:hAnsiTheme="minorEastAsia" w:eastAsiaTheme="minorEastAsia" w:cstheme="minorEastAsia"/>
                <w:bCs/>
                <w:caps/>
                <w:color w:val="auto"/>
                <w:sz w:val="24"/>
                <w:szCs w:val="24"/>
                <w:lang w:eastAsia="zh-CN"/>
              </w:rPr>
              <w:t>陕西佳信项目管理有限公司</w:t>
            </w:r>
          </w:p>
        </w:tc>
      </w:tr>
      <w:tr w14:paraId="6828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noWrap/>
            <w:vAlign w:val="center"/>
          </w:tcPr>
          <w:p w14:paraId="5DB16CD9">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项目名称</w:t>
            </w:r>
          </w:p>
        </w:tc>
        <w:tc>
          <w:tcPr>
            <w:tcW w:w="8174" w:type="dxa"/>
            <w:gridSpan w:val="4"/>
            <w:noWrap/>
          </w:tcPr>
          <w:p w14:paraId="579D9ABF">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p>
        </w:tc>
      </w:tr>
      <w:tr w14:paraId="3F044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noWrap/>
            <w:vAlign w:val="center"/>
          </w:tcPr>
          <w:p w14:paraId="67F5E4E3">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文件编号</w:t>
            </w:r>
          </w:p>
        </w:tc>
        <w:tc>
          <w:tcPr>
            <w:tcW w:w="8174" w:type="dxa"/>
            <w:gridSpan w:val="4"/>
            <w:noWrap/>
          </w:tcPr>
          <w:p w14:paraId="0A6F2E81">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p>
        </w:tc>
      </w:tr>
      <w:tr w14:paraId="361D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206" w:type="dxa"/>
            <w:noWrap/>
            <w:vAlign w:val="center"/>
          </w:tcPr>
          <w:p w14:paraId="2CE1DDB3">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权   限</w:t>
            </w:r>
          </w:p>
        </w:tc>
        <w:tc>
          <w:tcPr>
            <w:tcW w:w="8174" w:type="dxa"/>
            <w:gridSpan w:val="4"/>
            <w:noWrap/>
            <w:vAlign w:val="center"/>
          </w:tcPr>
          <w:p w14:paraId="1111D2FD">
            <w:pPr>
              <w:tabs>
                <w:tab w:val="right" w:leader="dot" w:pos="9022"/>
              </w:tabs>
              <w:autoSpaceDE w:val="0"/>
              <w:autoSpaceDN w:val="0"/>
              <w:adjustRightInd w:val="0"/>
              <w:spacing w:line="400" w:lineRule="exact"/>
              <w:jc w:val="lef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办理本次采购项目的磋商、联系、洽谈、签约、执行等具体事务，签署全部有关文件、文书、协议及合同。</w:t>
            </w:r>
          </w:p>
        </w:tc>
      </w:tr>
      <w:tr w14:paraId="339E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noWrap/>
            <w:vAlign w:val="center"/>
          </w:tcPr>
          <w:p w14:paraId="0828E51A">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有效期</w:t>
            </w:r>
          </w:p>
        </w:tc>
        <w:tc>
          <w:tcPr>
            <w:tcW w:w="8174" w:type="dxa"/>
            <w:gridSpan w:val="4"/>
            <w:noWrap/>
            <w:vAlign w:val="center"/>
          </w:tcPr>
          <w:p w14:paraId="3EC77B81">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color w:val="auto"/>
                <w:sz w:val="24"/>
                <w:szCs w:val="24"/>
              </w:rPr>
              <w:t>自提交磋商响应文件的截止之日起90个日历日</w:t>
            </w:r>
          </w:p>
        </w:tc>
      </w:tr>
      <w:tr w14:paraId="5601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restart"/>
            <w:noWrap/>
            <w:vAlign w:val="center"/>
          </w:tcPr>
          <w:p w14:paraId="7D535881">
            <w:pPr>
              <w:tabs>
                <w:tab w:val="right" w:leader="dot" w:pos="9022"/>
              </w:tabs>
              <w:autoSpaceDE w:val="0"/>
              <w:autoSpaceDN w:val="0"/>
              <w:adjustRightInd w:val="0"/>
              <w:spacing w:line="500" w:lineRule="exact"/>
              <w:ind w:firstLine="240" w:firstLineChars="100"/>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企业</w:t>
            </w:r>
          </w:p>
          <w:p w14:paraId="31CFDDED">
            <w:pPr>
              <w:tabs>
                <w:tab w:val="right" w:leader="dot" w:pos="9022"/>
              </w:tabs>
              <w:autoSpaceDE w:val="0"/>
              <w:autoSpaceDN w:val="0"/>
              <w:adjustRightInd w:val="0"/>
              <w:spacing w:line="500" w:lineRule="exact"/>
              <w:ind w:firstLine="240" w:firstLineChars="100"/>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信息</w:t>
            </w:r>
          </w:p>
        </w:tc>
        <w:tc>
          <w:tcPr>
            <w:tcW w:w="2464" w:type="dxa"/>
            <w:noWrap/>
          </w:tcPr>
          <w:p w14:paraId="32947623">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 xml:space="preserve">企 业 名 称 </w:t>
            </w:r>
          </w:p>
        </w:tc>
        <w:tc>
          <w:tcPr>
            <w:tcW w:w="5710" w:type="dxa"/>
            <w:gridSpan w:val="3"/>
            <w:noWrap/>
          </w:tcPr>
          <w:p w14:paraId="3D23EFA2">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p>
        </w:tc>
      </w:tr>
      <w:tr w14:paraId="478CF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continue"/>
            <w:noWrap/>
            <w:vAlign w:val="center"/>
          </w:tcPr>
          <w:p w14:paraId="64D0D1C4">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p>
        </w:tc>
        <w:tc>
          <w:tcPr>
            <w:tcW w:w="2464" w:type="dxa"/>
            <w:noWrap/>
          </w:tcPr>
          <w:p w14:paraId="2B4C5776">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法 定 地 址</w:t>
            </w:r>
          </w:p>
        </w:tc>
        <w:tc>
          <w:tcPr>
            <w:tcW w:w="5710" w:type="dxa"/>
            <w:gridSpan w:val="3"/>
            <w:noWrap/>
          </w:tcPr>
          <w:p w14:paraId="3C8CB9FB">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p>
        </w:tc>
      </w:tr>
      <w:tr w14:paraId="209C2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continue"/>
            <w:noWrap/>
            <w:vAlign w:val="center"/>
          </w:tcPr>
          <w:p w14:paraId="036AD04A">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p>
        </w:tc>
        <w:tc>
          <w:tcPr>
            <w:tcW w:w="2464" w:type="dxa"/>
            <w:noWrap/>
          </w:tcPr>
          <w:p w14:paraId="0201B6CF">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统一社会信用代码</w:t>
            </w:r>
          </w:p>
        </w:tc>
        <w:tc>
          <w:tcPr>
            <w:tcW w:w="5710" w:type="dxa"/>
            <w:gridSpan w:val="3"/>
            <w:noWrap/>
          </w:tcPr>
          <w:p w14:paraId="5490BE6C">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p>
        </w:tc>
      </w:tr>
      <w:tr w14:paraId="6DC91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continue"/>
            <w:noWrap/>
            <w:vAlign w:val="center"/>
          </w:tcPr>
          <w:p w14:paraId="6A0D8865">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p>
        </w:tc>
        <w:tc>
          <w:tcPr>
            <w:tcW w:w="2464" w:type="dxa"/>
            <w:noWrap/>
          </w:tcPr>
          <w:p w14:paraId="4B320E59">
            <w:pPr>
              <w:tabs>
                <w:tab w:val="right" w:leader="dot" w:pos="9022"/>
              </w:tabs>
              <w:spacing w:line="500" w:lineRule="exac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工商登记机关</w:t>
            </w:r>
          </w:p>
        </w:tc>
        <w:tc>
          <w:tcPr>
            <w:tcW w:w="5710" w:type="dxa"/>
            <w:gridSpan w:val="3"/>
            <w:noWrap/>
          </w:tcPr>
          <w:p w14:paraId="2B78F0E7">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p>
        </w:tc>
      </w:tr>
      <w:tr w14:paraId="304B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continue"/>
            <w:noWrap/>
            <w:vAlign w:val="center"/>
          </w:tcPr>
          <w:p w14:paraId="38FDC19E">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p>
        </w:tc>
        <w:tc>
          <w:tcPr>
            <w:tcW w:w="2464" w:type="dxa"/>
            <w:noWrap/>
          </w:tcPr>
          <w:p w14:paraId="274B1DA7">
            <w:pPr>
              <w:tabs>
                <w:tab w:val="right" w:leader="dot" w:pos="9022"/>
              </w:tabs>
              <w:spacing w:line="500" w:lineRule="exac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网        址</w:t>
            </w:r>
          </w:p>
        </w:tc>
        <w:tc>
          <w:tcPr>
            <w:tcW w:w="5710" w:type="dxa"/>
            <w:gridSpan w:val="3"/>
            <w:noWrap/>
          </w:tcPr>
          <w:p w14:paraId="5831EB6B">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p>
        </w:tc>
      </w:tr>
      <w:tr w14:paraId="6A6A0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restart"/>
            <w:noWrap/>
            <w:vAlign w:val="center"/>
          </w:tcPr>
          <w:p w14:paraId="5F08EF36">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法定代</w:t>
            </w:r>
          </w:p>
          <w:p w14:paraId="761D0310">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表人</w:t>
            </w:r>
          </w:p>
        </w:tc>
        <w:tc>
          <w:tcPr>
            <w:tcW w:w="2464" w:type="dxa"/>
            <w:noWrap/>
          </w:tcPr>
          <w:p w14:paraId="28FA4182">
            <w:pPr>
              <w:tabs>
                <w:tab w:val="right" w:leader="dot" w:pos="9022"/>
              </w:tabs>
              <w:autoSpaceDE w:val="0"/>
              <w:autoSpaceDN w:val="0"/>
              <w:adjustRightInd w:val="0"/>
              <w:spacing w:line="500" w:lineRule="exact"/>
              <w:ind w:firstLine="240" w:firstLineChars="100"/>
              <w:jc w:val="lef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姓    名</w:t>
            </w:r>
          </w:p>
        </w:tc>
        <w:tc>
          <w:tcPr>
            <w:tcW w:w="1960" w:type="dxa"/>
            <w:noWrap/>
          </w:tcPr>
          <w:p w14:paraId="3E1BBCCE">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p>
        </w:tc>
        <w:tc>
          <w:tcPr>
            <w:tcW w:w="1333" w:type="dxa"/>
            <w:noWrap/>
          </w:tcPr>
          <w:p w14:paraId="200C22AB">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性    别</w:t>
            </w:r>
          </w:p>
        </w:tc>
        <w:tc>
          <w:tcPr>
            <w:tcW w:w="2417" w:type="dxa"/>
            <w:noWrap/>
          </w:tcPr>
          <w:p w14:paraId="1B0524D5">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p>
        </w:tc>
      </w:tr>
      <w:tr w14:paraId="5E369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continue"/>
            <w:noWrap/>
            <w:vAlign w:val="center"/>
          </w:tcPr>
          <w:p w14:paraId="65499407">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p>
        </w:tc>
        <w:tc>
          <w:tcPr>
            <w:tcW w:w="2464" w:type="dxa"/>
            <w:noWrap/>
          </w:tcPr>
          <w:p w14:paraId="29862C94">
            <w:pPr>
              <w:tabs>
                <w:tab w:val="right" w:leader="dot" w:pos="9022"/>
              </w:tabs>
              <w:autoSpaceDE w:val="0"/>
              <w:autoSpaceDN w:val="0"/>
              <w:adjustRightInd w:val="0"/>
              <w:spacing w:line="500" w:lineRule="exact"/>
              <w:ind w:firstLine="240" w:firstLineChars="100"/>
              <w:jc w:val="lef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职    务</w:t>
            </w:r>
          </w:p>
        </w:tc>
        <w:tc>
          <w:tcPr>
            <w:tcW w:w="1960" w:type="dxa"/>
            <w:noWrap/>
          </w:tcPr>
          <w:p w14:paraId="4881EB33">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p>
        </w:tc>
        <w:tc>
          <w:tcPr>
            <w:tcW w:w="1333" w:type="dxa"/>
            <w:noWrap/>
          </w:tcPr>
          <w:p w14:paraId="6EC40DAE">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联系电话</w:t>
            </w:r>
          </w:p>
        </w:tc>
        <w:tc>
          <w:tcPr>
            <w:tcW w:w="2417" w:type="dxa"/>
            <w:noWrap/>
          </w:tcPr>
          <w:p w14:paraId="451A117C">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p>
        </w:tc>
      </w:tr>
      <w:tr w14:paraId="3E46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continue"/>
            <w:noWrap/>
            <w:vAlign w:val="center"/>
          </w:tcPr>
          <w:p w14:paraId="7A43BBB1">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p>
        </w:tc>
        <w:tc>
          <w:tcPr>
            <w:tcW w:w="2464" w:type="dxa"/>
            <w:noWrap/>
          </w:tcPr>
          <w:p w14:paraId="609FB5BD">
            <w:pPr>
              <w:tabs>
                <w:tab w:val="right" w:leader="dot" w:pos="9022"/>
              </w:tabs>
              <w:autoSpaceDE w:val="0"/>
              <w:autoSpaceDN w:val="0"/>
              <w:adjustRightInd w:val="0"/>
              <w:spacing w:line="500" w:lineRule="exact"/>
              <w:ind w:firstLine="240" w:firstLineChars="100"/>
              <w:jc w:val="lef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传    真</w:t>
            </w:r>
          </w:p>
        </w:tc>
        <w:tc>
          <w:tcPr>
            <w:tcW w:w="5710" w:type="dxa"/>
            <w:gridSpan w:val="3"/>
            <w:noWrap/>
          </w:tcPr>
          <w:p w14:paraId="0922C08D">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p>
        </w:tc>
      </w:tr>
      <w:tr w14:paraId="5BB3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continue"/>
            <w:noWrap/>
            <w:vAlign w:val="center"/>
          </w:tcPr>
          <w:p w14:paraId="2B3CADF3">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p>
        </w:tc>
        <w:tc>
          <w:tcPr>
            <w:tcW w:w="2464" w:type="dxa"/>
            <w:noWrap/>
          </w:tcPr>
          <w:p w14:paraId="370898BC">
            <w:pPr>
              <w:tabs>
                <w:tab w:val="right" w:leader="dot" w:pos="9022"/>
              </w:tabs>
              <w:autoSpaceDE w:val="0"/>
              <w:autoSpaceDN w:val="0"/>
              <w:adjustRightInd w:val="0"/>
              <w:spacing w:line="500" w:lineRule="exact"/>
              <w:ind w:firstLine="240" w:firstLineChars="100"/>
              <w:jc w:val="lef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通讯地址</w:t>
            </w:r>
          </w:p>
        </w:tc>
        <w:tc>
          <w:tcPr>
            <w:tcW w:w="5710" w:type="dxa"/>
            <w:gridSpan w:val="3"/>
            <w:noWrap/>
          </w:tcPr>
          <w:p w14:paraId="18179D04">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p>
        </w:tc>
      </w:tr>
      <w:tr w14:paraId="205B5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6" w:hRule="atLeast"/>
          <w:jc w:val="center"/>
        </w:trPr>
        <w:tc>
          <w:tcPr>
            <w:tcW w:w="9380" w:type="dxa"/>
            <w:gridSpan w:val="5"/>
            <w:noWrap/>
          </w:tcPr>
          <w:p w14:paraId="27AE65D1">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p>
          <w:p w14:paraId="2C48F1DA">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bCs/>
                <w:caps/>
                <w:color w:val="auto"/>
                <w:sz w:val="24"/>
                <w:szCs w:val="24"/>
              </w:rPr>
              <w:t>法定代表人身份证正反面复印件</w:t>
            </w:r>
          </w:p>
          <w:p w14:paraId="182AEB70">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（粘贴处）</w:t>
            </w:r>
          </w:p>
          <w:p w14:paraId="4302998B">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p>
          <w:p w14:paraId="40669C8D">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p>
          <w:p w14:paraId="4E6483C6">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p>
          <w:p w14:paraId="5D0C4122">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p>
        </w:tc>
      </w:tr>
      <w:tr w14:paraId="4D0C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80" w:type="dxa"/>
            <w:gridSpan w:val="5"/>
            <w:noWrap/>
          </w:tcPr>
          <w:p w14:paraId="1BC714EE">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法定代表人签字及盖章：</w:t>
            </w:r>
          </w:p>
        </w:tc>
      </w:tr>
    </w:tbl>
    <w:p w14:paraId="20B6A7B8">
      <w:pPr>
        <w:spacing w:line="480" w:lineRule="exact"/>
        <w:rPr>
          <w:rFonts w:hint="eastAsia" w:asciiTheme="minorEastAsia" w:hAnsiTheme="minorEastAsia" w:eastAsiaTheme="minorEastAsia" w:cstheme="minorEastAsia"/>
          <w:b/>
          <w:bCs/>
          <w:color w:val="auto"/>
          <w:szCs w:val="24"/>
        </w:rPr>
      </w:pPr>
      <w:r>
        <w:rPr>
          <w:rFonts w:hint="eastAsia" w:asciiTheme="minorEastAsia" w:hAnsiTheme="minorEastAsia" w:eastAsiaTheme="minorEastAsia" w:cstheme="minorEastAsia"/>
          <w:color w:val="auto"/>
          <w:sz w:val="24"/>
          <w:szCs w:val="22"/>
        </w:rPr>
        <w:t>供应商名称：</w:t>
      </w:r>
      <w:r>
        <w:rPr>
          <w:rFonts w:hint="eastAsia" w:asciiTheme="minorEastAsia" w:hAnsiTheme="minorEastAsia" w:eastAsiaTheme="minorEastAsia" w:cstheme="minorEastAsia"/>
          <w:color w:val="auto"/>
          <w:sz w:val="24"/>
          <w:szCs w:val="22"/>
          <w:u w:val="single"/>
        </w:rPr>
        <w:t xml:space="preserve">                   </w:t>
      </w:r>
      <w:r>
        <w:rPr>
          <w:rFonts w:hint="eastAsia" w:asciiTheme="minorEastAsia" w:hAnsiTheme="minorEastAsia" w:eastAsiaTheme="minorEastAsia" w:cstheme="minorEastAsia"/>
          <w:color w:val="auto"/>
          <w:sz w:val="24"/>
          <w:szCs w:val="22"/>
        </w:rPr>
        <w:t xml:space="preserve"> （供应商单位公章）      日 期：</w:t>
      </w:r>
    </w:p>
    <w:p w14:paraId="17B2E789">
      <w:pP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br w:type="page"/>
      </w:r>
    </w:p>
    <w:p w14:paraId="7258612A">
      <w:pPr>
        <w:spacing w:line="480" w:lineRule="exact"/>
        <w:ind w:left="280" w:leftChars="1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法定代表人授权委托书</w:t>
      </w:r>
    </w:p>
    <w:tbl>
      <w:tblPr>
        <w:tblStyle w:val="25"/>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1187"/>
        <w:gridCol w:w="1134"/>
        <w:gridCol w:w="1064"/>
        <w:gridCol w:w="495"/>
        <w:gridCol w:w="1559"/>
        <w:gridCol w:w="2414"/>
      </w:tblGrid>
      <w:tr w14:paraId="75BE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425" w:type="dxa"/>
            <w:gridSpan w:val="7"/>
            <w:noWrap/>
          </w:tcPr>
          <w:p w14:paraId="0270B868">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lang w:eastAsia="zh-CN"/>
              </w:rPr>
            </w:pPr>
            <w:r>
              <w:rPr>
                <w:rFonts w:hint="eastAsia" w:asciiTheme="minorEastAsia" w:hAnsiTheme="minorEastAsia" w:eastAsiaTheme="minorEastAsia" w:cstheme="minorEastAsia"/>
                <w:bCs/>
                <w:caps/>
                <w:color w:val="auto"/>
                <w:sz w:val="24"/>
                <w:szCs w:val="24"/>
              </w:rPr>
              <w:t xml:space="preserve">致： </w:t>
            </w:r>
            <w:r>
              <w:rPr>
                <w:rFonts w:hint="eastAsia" w:asciiTheme="minorEastAsia" w:hAnsiTheme="minorEastAsia" w:eastAsiaTheme="minorEastAsia" w:cstheme="minorEastAsia"/>
                <w:bCs/>
                <w:caps/>
                <w:color w:val="auto"/>
                <w:sz w:val="24"/>
                <w:szCs w:val="24"/>
                <w:lang w:eastAsia="zh-CN"/>
              </w:rPr>
              <w:t>陕西佳信项目管理有限公司</w:t>
            </w:r>
          </w:p>
        </w:tc>
      </w:tr>
      <w:tr w14:paraId="6A9D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vMerge w:val="restart"/>
            <w:noWrap/>
            <w:vAlign w:val="center"/>
          </w:tcPr>
          <w:p w14:paraId="308C9FFC">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被授权项目与内容</w:t>
            </w:r>
          </w:p>
        </w:tc>
        <w:tc>
          <w:tcPr>
            <w:tcW w:w="1187" w:type="dxa"/>
            <w:noWrap/>
          </w:tcPr>
          <w:p w14:paraId="1E6E9109">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项目名称</w:t>
            </w:r>
          </w:p>
        </w:tc>
        <w:tc>
          <w:tcPr>
            <w:tcW w:w="6666" w:type="dxa"/>
            <w:gridSpan w:val="5"/>
            <w:noWrap/>
          </w:tcPr>
          <w:p w14:paraId="1BBA67AC">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p>
        </w:tc>
      </w:tr>
      <w:tr w14:paraId="270C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vMerge w:val="continue"/>
            <w:noWrap/>
          </w:tcPr>
          <w:p w14:paraId="0B6E8DFB">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p>
        </w:tc>
        <w:tc>
          <w:tcPr>
            <w:tcW w:w="1187" w:type="dxa"/>
            <w:noWrap/>
          </w:tcPr>
          <w:p w14:paraId="7BA8065F">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文件编号</w:t>
            </w:r>
          </w:p>
        </w:tc>
        <w:tc>
          <w:tcPr>
            <w:tcW w:w="6666" w:type="dxa"/>
            <w:gridSpan w:val="5"/>
            <w:noWrap/>
          </w:tcPr>
          <w:p w14:paraId="5A1FE10C">
            <w:pPr>
              <w:tabs>
                <w:tab w:val="right" w:leader="dot" w:pos="9022"/>
              </w:tabs>
              <w:autoSpaceDE w:val="0"/>
              <w:autoSpaceDN w:val="0"/>
              <w:adjustRightInd w:val="0"/>
              <w:spacing w:line="500" w:lineRule="exact"/>
              <w:ind w:firstLine="1200" w:firstLineChars="500"/>
              <w:jc w:val="left"/>
              <w:rPr>
                <w:rFonts w:hint="eastAsia" w:asciiTheme="minorEastAsia" w:hAnsiTheme="minorEastAsia" w:eastAsiaTheme="minorEastAsia" w:cstheme="minorEastAsia"/>
                <w:bCs/>
                <w:caps/>
                <w:color w:val="auto"/>
                <w:sz w:val="24"/>
                <w:szCs w:val="24"/>
              </w:rPr>
            </w:pPr>
          </w:p>
        </w:tc>
      </w:tr>
      <w:tr w14:paraId="79AE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572" w:type="dxa"/>
            <w:vMerge w:val="continue"/>
            <w:noWrap/>
          </w:tcPr>
          <w:p w14:paraId="774F34C2">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p>
        </w:tc>
        <w:tc>
          <w:tcPr>
            <w:tcW w:w="1187" w:type="dxa"/>
            <w:noWrap/>
            <w:vAlign w:val="center"/>
          </w:tcPr>
          <w:p w14:paraId="039C3045">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授权范围</w:t>
            </w:r>
          </w:p>
        </w:tc>
        <w:tc>
          <w:tcPr>
            <w:tcW w:w="6666" w:type="dxa"/>
            <w:gridSpan w:val="5"/>
            <w:noWrap/>
          </w:tcPr>
          <w:p w14:paraId="1A90ED92">
            <w:pPr>
              <w:tabs>
                <w:tab w:val="right" w:leader="dot" w:pos="9022"/>
              </w:tabs>
              <w:autoSpaceDE w:val="0"/>
              <w:autoSpaceDN w:val="0"/>
              <w:adjustRightInd w:val="0"/>
              <w:spacing w:line="400" w:lineRule="exact"/>
              <w:jc w:val="lef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全权办理本次采购项目的磋商、联系、洽谈、签约、执行等具体事务，签署全部有关文件、文书、协议及合同。</w:t>
            </w:r>
          </w:p>
        </w:tc>
      </w:tr>
      <w:tr w14:paraId="7AFB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vMerge w:val="continue"/>
            <w:noWrap/>
          </w:tcPr>
          <w:p w14:paraId="579522C7">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p>
        </w:tc>
        <w:tc>
          <w:tcPr>
            <w:tcW w:w="1187" w:type="dxa"/>
            <w:noWrap/>
          </w:tcPr>
          <w:p w14:paraId="282D7BD9">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法律责任</w:t>
            </w:r>
          </w:p>
        </w:tc>
        <w:tc>
          <w:tcPr>
            <w:tcW w:w="6666" w:type="dxa"/>
            <w:gridSpan w:val="5"/>
            <w:noWrap/>
          </w:tcPr>
          <w:p w14:paraId="03813382">
            <w:pPr>
              <w:tabs>
                <w:tab w:val="right" w:leader="dot" w:pos="9022"/>
              </w:tabs>
              <w:autoSpaceDE w:val="0"/>
              <w:autoSpaceDN w:val="0"/>
              <w:adjustRightInd w:val="0"/>
              <w:spacing w:line="400" w:lineRule="exact"/>
              <w:jc w:val="lef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本公司对被授权人在本项目中的签名承担全部法律责任。</w:t>
            </w:r>
          </w:p>
        </w:tc>
      </w:tr>
      <w:tr w14:paraId="5DAE1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vMerge w:val="continue"/>
            <w:noWrap/>
          </w:tcPr>
          <w:p w14:paraId="10D84E75">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p>
        </w:tc>
        <w:tc>
          <w:tcPr>
            <w:tcW w:w="1187" w:type="dxa"/>
            <w:noWrap/>
            <w:vAlign w:val="center"/>
          </w:tcPr>
          <w:p w14:paraId="10F89EF5">
            <w:pPr>
              <w:tabs>
                <w:tab w:val="right" w:leader="dot" w:pos="9022"/>
              </w:tabs>
              <w:autoSpaceDE w:val="0"/>
              <w:autoSpaceDN w:val="0"/>
              <w:adjustRightInd w:val="0"/>
              <w:spacing w:line="500" w:lineRule="exac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授权期限</w:t>
            </w:r>
          </w:p>
        </w:tc>
        <w:tc>
          <w:tcPr>
            <w:tcW w:w="6666" w:type="dxa"/>
            <w:gridSpan w:val="5"/>
            <w:noWrap/>
            <w:vAlign w:val="center"/>
          </w:tcPr>
          <w:p w14:paraId="28C22AA9">
            <w:pPr>
              <w:tabs>
                <w:tab w:val="right" w:leader="dot" w:pos="9022"/>
              </w:tabs>
              <w:autoSpaceDE w:val="0"/>
              <w:autoSpaceDN w:val="0"/>
              <w:adjustRightInd w:val="0"/>
              <w:spacing w:line="400" w:lineRule="exac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本授权书</w:t>
            </w:r>
            <w:r>
              <w:rPr>
                <w:rFonts w:hint="eastAsia" w:asciiTheme="minorEastAsia" w:hAnsiTheme="minorEastAsia" w:eastAsiaTheme="minorEastAsia" w:cstheme="minorEastAsia"/>
                <w:color w:val="auto"/>
                <w:sz w:val="24"/>
                <w:szCs w:val="24"/>
              </w:rPr>
              <w:t>自提交供应商的截止之日起90个日历日</w:t>
            </w:r>
          </w:p>
        </w:tc>
      </w:tr>
      <w:tr w14:paraId="11FF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72" w:type="dxa"/>
            <w:vMerge w:val="restart"/>
            <w:noWrap/>
            <w:vAlign w:val="center"/>
          </w:tcPr>
          <w:p w14:paraId="685D0575">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企业信息</w:t>
            </w:r>
          </w:p>
        </w:tc>
        <w:tc>
          <w:tcPr>
            <w:tcW w:w="2321" w:type="dxa"/>
            <w:gridSpan w:val="2"/>
            <w:noWrap/>
          </w:tcPr>
          <w:p w14:paraId="10A84463">
            <w:pPr>
              <w:tabs>
                <w:tab w:val="right" w:leader="dot" w:pos="9022"/>
              </w:tabs>
              <w:autoSpaceDE w:val="0"/>
              <w:autoSpaceDN w:val="0"/>
              <w:adjustRightInd w:val="0"/>
              <w:spacing w:line="400" w:lineRule="exac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 xml:space="preserve">企 业 名 称 </w:t>
            </w:r>
          </w:p>
        </w:tc>
        <w:tc>
          <w:tcPr>
            <w:tcW w:w="5532" w:type="dxa"/>
            <w:gridSpan w:val="4"/>
            <w:noWrap/>
            <w:vAlign w:val="center"/>
          </w:tcPr>
          <w:p w14:paraId="0270EF68">
            <w:pPr>
              <w:tabs>
                <w:tab w:val="right" w:leader="dot" w:pos="9022"/>
              </w:tabs>
              <w:autoSpaceDE w:val="0"/>
              <w:autoSpaceDN w:val="0"/>
              <w:adjustRightInd w:val="0"/>
              <w:spacing w:line="400" w:lineRule="exact"/>
              <w:rPr>
                <w:rFonts w:hint="eastAsia" w:asciiTheme="minorEastAsia" w:hAnsiTheme="minorEastAsia" w:eastAsiaTheme="minorEastAsia" w:cstheme="minorEastAsia"/>
                <w:bCs/>
                <w:caps/>
                <w:color w:val="auto"/>
                <w:sz w:val="24"/>
                <w:szCs w:val="24"/>
              </w:rPr>
            </w:pPr>
          </w:p>
        </w:tc>
      </w:tr>
      <w:tr w14:paraId="3A979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72" w:type="dxa"/>
            <w:vMerge w:val="continue"/>
            <w:noWrap/>
          </w:tcPr>
          <w:p w14:paraId="619A1EE0">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p>
        </w:tc>
        <w:tc>
          <w:tcPr>
            <w:tcW w:w="2321" w:type="dxa"/>
            <w:gridSpan w:val="2"/>
            <w:noWrap/>
          </w:tcPr>
          <w:p w14:paraId="50CF28CD">
            <w:pPr>
              <w:tabs>
                <w:tab w:val="right" w:leader="dot" w:pos="9022"/>
              </w:tabs>
              <w:autoSpaceDE w:val="0"/>
              <w:autoSpaceDN w:val="0"/>
              <w:adjustRightInd w:val="0"/>
              <w:spacing w:line="400" w:lineRule="exac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法 定 地 址</w:t>
            </w:r>
          </w:p>
        </w:tc>
        <w:tc>
          <w:tcPr>
            <w:tcW w:w="5532" w:type="dxa"/>
            <w:gridSpan w:val="4"/>
            <w:noWrap/>
            <w:vAlign w:val="center"/>
          </w:tcPr>
          <w:p w14:paraId="462064F3">
            <w:pPr>
              <w:tabs>
                <w:tab w:val="right" w:leader="dot" w:pos="9022"/>
              </w:tabs>
              <w:autoSpaceDE w:val="0"/>
              <w:autoSpaceDN w:val="0"/>
              <w:adjustRightInd w:val="0"/>
              <w:spacing w:line="400" w:lineRule="exact"/>
              <w:rPr>
                <w:rFonts w:hint="eastAsia" w:asciiTheme="minorEastAsia" w:hAnsiTheme="minorEastAsia" w:eastAsiaTheme="minorEastAsia" w:cstheme="minorEastAsia"/>
                <w:bCs/>
                <w:caps/>
                <w:color w:val="auto"/>
                <w:sz w:val="24"/>
                <w:szCs w:val="24"/>
              </w:rPr>
            </w:pPr>
          </w:p>
        </w:tc>
      </w:tr>
      <w:tr w14:paraId="6973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72" w:type="dxa"/>
            <w:vMerge w:val="continue"/>
            <w:noWrap/>
          </w:tcPr>
          <w:p w14:paraId="4E595675">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p>
        </w:tc>
        <w:tc>
          <w:tcPr>
            <w:tcW w:w="2321" w:type="dxa"/>
            <w:gridSpan w:val="2"/>
            <w:noWrap/>
          </w:tcPr>
          <w:p w14:paraId="784517A9">
            <w:pPr>
              <w:tabs>
                <w:tab w:val="right" w:leader="dot" w:pos="9022"/>
              </w:tabs>
              <w:autoSpaceDE w:val="0"/>
              <w:autoSpaceDN w:val="0"/>
              <w:adjustRightInd w:val="0"/>
              <w:spacing w:line="400" w:lineRule="exac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统一社会信用代码</w:t>
            </w:r>
          </w:p>
        </w:tc>
        <w:tc>
          <w:tcPr>
            <w:tcW w:w="5532" w:type="dxa"/>
            <w:gridSpan w:val="4"/>
            <w:noWrap/>
            <w:vAlign w:val="center"/>
          </w:tcPr>
          <w:p w14:paraId="7F84C4B0">
            <w:pPr>
              <w:tabs>
                <w:tab w:val="right" w:leader="dot" w:pos="9022"/>
              </w:tabs>
              <w:autoSpaceDE w:val="0"/>
              <w:autoSpaceDN w:val="0"/>
              <w:adjustRightInd w:val="0"/>
              <w:spacing w:line="400" w:lineRule="exact"/>
              <w:rPr>
                <w:rFonts w:hint="eastAsia" w:asciiTheme="minorEastAsia" w:hAnsiTheme="minorEastAsia" w:eastAsiaTheme="minorEastAsia" w:cstheme="minorEastAsia"/>
                <w:bCs/>
                <w:caps/>
                <w:color w:val="auto"/>
                <w:sz w:val="24"/>
                <w:szCs w:val="24"/>
              </w:rPr>
            </w:pPr>
          </w:p>
        </w:tc>
      </w:tr>
      <w:tr w14:paraId="73055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vMerge w:val="restart"/>
            <w:noWrap/>
            <w:vAlign w:val="center"/>
          </w:tcPr>
          <w:p w14:paraId="71758612">
            <w:pPr>
              <w:tabs>
                <w:tab w:val="right" w:leader="dot" w:pos="9022"/>
              </w:tabs>
              <w:autoSpaceDE w:val="0"/>
              <w:autoSpaceDN w:val="0"/>
              <w:adjustRightInd w:val="0"/>
              <w:spacing w:line="500" w:lineRule="exac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法定代表人</w:t>
            </w:r>
          </w:p>
        </w:tc>
        <w:tc>
          <w:tcPr>
            <w:tcW w:w="1187" w:type="dxa"/>
            <w:noWrap/>
            <w:vAlign w:val="center"/>
          </w:tcPr>
          <w:p w14:paraId="6E2DE0C6">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姓名</w:t>
            </w:r>
          </w:p>
        </w:tc>
        <w:tc>
          <w:tcPr>
            <w:tcW w:w="2693" w:type="dxa"/>
            <w:gridSpan w:val="3"/>
            <w:noWrap/>
            <w:vAlign w:val="center"/>
          </w:tcPr>
          <w:p w14:paraId="7E47E882">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p>
        </w:tc>
        <w:tc>
          <w:tcPr>
            <w:tcW w:w="1559" w:type="dxa"/>
            <w:noWrap/>
            <w:vAlign w:val="center"/>
          </w:tcPr>
          <w:p w14:paraId="3227AB7A">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性    别</w:t>
            </w:r>
          </w:p>
        </w:tc>
        <w:tc>
          <w:tcPr>
            <w:tcW w:w="2414" w:type="dxa"/>
            <w:noWrap/>
            <w:vAlign w:val="center"/>
          </w:tcPr>
          <w:p w14:paraId="1FE9CECA">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p>
        </w:tc>
      </w:tr>
      <w:tr w14:paraId="4DF3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vMerge w:val="continue"/>
            <w:noWrap/>
            <w:vAlign w:val="center"/>
          </w:tcPr>
          <w:p w14:paraId="0BB4AAC4">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p>
        </w:tc>
        <w:tc>
          <w:tcPr>
            <w:tcW w:w="1187" w:type="dxa"/>
            <w:noWrap/>
            <w:vAlign w:val="center"/>
          </w:tcPr>
          <w:p w14:paraId="032B469A">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职务</w:t>
            </w:r>
          </w:p>
        </w:tc>
        <w:tc>
          <w:tcPr>
            <w:tcW w:w="2693" w:type="dxa"/>
            <w:gridSpan w:val="3"/>
            <w:noWrap/>
            <w:vAlign w:val="center"/>
          </w:tcPr>
          <w:p w14:paraId="10F5EE68">
            <w:pPr>
              <w:tabs>
                <w:tab w:val="right" w:leader="dot" w:pos="9022"/>
              </w:tabs>
              <w:autoSpaceDE w:val="0"/>
              <w:autoSpaceDN w:val="0"/>
              <w:adjustRightInd w:val="0"/>
              <w:spacing w:line="400" w:lineRule="exact"/>
              <w:jc w:val="center"/>
              <w:rPr>
                <w:rFonts w:hint="eastAsia" w:asciiTheme="minorEastAsia" w:hAnsiTheme="minorEastAsia" w:eastAsiaTheme="minorEastAsia" w:cstheme="minorEastAsia"/>
                <w:bCs/>
                <w:caps/>
                <w:color w:val="auto"/>
                <w:sz w:val="24"/>
                <w:szCs w:val="24"/>
              </w:rPr>
            </w:pPr>
          </w:p>
        </w:tc>
        <w:tc>
          <w:tcPr>
            <w:tcW w:w="1559" w:type="dxa"/>
            <w:noWrap/>
            <w:vAlign w:val="center"/>
          </w:tcPr>
          <w:p w14:paraId="41ECFBFA">
            <w:pPr>
              <w:tabs>
                <w:tab w:val="right" w:leader="dot" w:pos="9022"/>
              </w:tabs>
              <w:autoSpaceDE w:val="0"/>
              <w:autoSpaceDN w:val="0"/>
              <w:adjustRightInd w:val="0"/>
              <w:spacing w:line="400" w:lineRule="exact"/>
              <w:jc w:val="center"/>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联系电话</w:t>
            </w:r>
          </w:p>
        </w:tc>
        <w:tc>
          <w:tcPr>
            <w:tcW w:w="2414" w:type="dxa"/>
            <w:noWrap/>
            <w:vAlign w:val="center"/>
          </w:tcPr>
          <w:p w14:paraId="2FCA3FCE">
            <w:pPr>
              <w:tabs>
                <w:tab w:val="right" w:leader="dot" w:pos="9022"/>
              </w:tabs>
              <w:autoSpaceDE w:val="0"/>
              <w:autoSpaceDN w:val="0"/>
              <w:adjustRightInd w:val="0"/>
              <w:spacing w:line="400" w:lineRule="exact"/>
              <w:rPr>
                <w:rFonts w:hint="eastAsia" w:asciiTheme="minorEastAsia" w:hAnsiTheme="minorEastAsia" w:eastAsiaTheme="minorEastAsia" w:cstheme="minorEastAsia"/>
                <w:bCs/>
                <w:caps/>
                <w:color w:val="auto"/>
                <w:sz w:val="24"/>
                <w:szCs w:val="24"/>
              </w:rPr>
            </w:pPr>
          </w:p>
        </w:tc>
      </w:tr>
      <w:tr w14:paraId="5A509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vMerge w:val="restart"/>
            <w:noWrap/>
            <w:vAlign w:val="center"/>
          </w:tcPr>
          <w:p w14:paraId="19A6C342">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被授权人</w:t>
            </w:r>
          </w:p>
        </w:tc>
        <w:tc>
          <w:tcPr>
            <w:tcW w:w="1187" w:type="dxa"/>
            <w:noWrap/>
            <w:vAlign w:val="center"/>
          </w:tcPr>
          <w:p w14:paraId="112B753E">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姓名</w:t>
            </w:r>
          </w:p>
        </w:tc>
        <w:tc>
          <w:tcPr>
            <w:tcW w:w="2693" w:type="dxa"/>
            <w:gridSpan w:val="3"/>
            <w:noWrap/>
            <w:vAlign w:val="center"/>
          </w:tcPr>
          <w:p w14:paraId="02AC123B">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p>
        </w:tc>
        <w:tc>
          <w:tcPr>
            <w:tcW w:w="1559" w:type="dxa"/>
            <w:noWrap/>
            <w:vAlign w:val="center"/>
          </w:tcPr>
          <w:p w14:paraId="3C92FA48">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性    别</w:t>
            </w:r>
          </w:p>
        </w:tc>
        <w:tc>
          <w:tcPr>
            <w:tcW w:w="2414" w:type="dxa"/>
            <w:noWrap/>
            <w:vAlign w:val="center"/>
          </w:tcPr>
          <w:p w14:paraId="21F7761A">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p>
        </w:tc>
      </w:tr>
      <w:tr w14:paraId="24DB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vMerge w:val="continue"/>
            <w:noWrap/>
          </w:tcPr>
          <w:p w14:paraId="1B73C4EF">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p>
        </w:tc>
        <w:tc>
          <w:tcPr>
            <w:tcW w:w="1187" w:type="dxa"/>
            <w:noWrap/>
            <w:vAlign w:val="center"/>
          </w:tcPr>
          <w:p w14:paraId="13CA343E">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职务</w:t>
            </w:r>
          </w:p>
        </w:tc>
        <w:tc>
          <w:tcPr>
            <w:tcW w:w="2693" w:type="dxa"/>
            <w:gridSpan w:val="3"/>
            <w:noWrap/>
            <w:vAlign w:val="center"/>
          </w:tcPr>
          <w:p w14:paraId="5192BD7C">
            <w:pPr>
              <w:tabs>
                <w:tab w:val="right" w:leader="dot" w:pos="9022"/>
              </w:tabs>
              <w:autoSpaceDE w:val="0"/>
              <w:autoSpaceDN w:val="0"/>
              <w:adjustRightInd w:val="0"/>
              <w:spacing w:line="400" w:lineRule="exact"/>
              <w:jc w:val="center"/>
              <w:rPr>
                <w:rFonts w:hint="eastAsia" w:asciiTheme="minorEastAsia" w:hAnsiTheme="minorEastAsia" w:eastAsiaTheme="minorEastAsia" w:cstheme="minorEastAsia"/>
                <w:bCs/>
                <w:caps/>
                <w:color w:val="auto"/>
                <w:sz w:val="24"/>
                <w:szCs w:val="24"/>
              </w:rPr>
            </w:pPr>
          </w:p>
        </w:tc>
        <w:tc>
          <w:tcPr>
            <w:tcW w:w="1559" w:type="dxa"/>
            <w:noWrap/>
            <w:vAlign w:val="center"/>
          </w:tcPr>
          <w:p w14:paraId="38A3C164">
            <w:pPr>
              <w:tabs>
                <w:tab w:val="right" w:leader="dot" w:pos="9022"/>
              </w:tabs>
              <w:autoSpaceDE w:val="0"/>
              <w:autoSpaceDN w:val="0"/>
              <w:adjustRightInd w:val="0"/>
              <w:spacing w:line="400" w:lineRule="exact"/>
              <w:jc w:val="center"/>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联系电话</w:t>
            </w:r>
          </w:p>
        </w:tc>
        <w:tc>
          <w:tcPr>
            <w:tcW w:w="2414" w:type="dxa"/>
            <w:noWrap/>
          </w:tcPr>
          <w:p w14:paraId="69391848">
            <w:pPr>
              <w:tabs>
                <w:tab w:val="right" w:leader="dot" w:pos="9022"/>
              </w:tabs>
              <w:autoSpaceDE w:val="0"/>
              <w:autoSpaceDN w:val="0"/>
              <w:adjustRightInd w:val="0"/>
              <w:spacing w:line="400" w:lineRule="exact"/>
              <w:rPr>
                <w:rFonts w:hint="eastAsia" w:asciiTheme="minorEastAsia" w:hAnsiTheme="minorEastAsia" w:eastAsiaTheme="minorEastAsia" w:cstheme="minorEastAsia"/>
                <w:bCs/>
                <w:caps/>
                <w:color w:val="auto"/>
                <w:sz w:val="24"/>
                <w:szCs w:val="24"/>
              </w:rPr>
            </w:pPr>
          </w:p>
        </w:tc>
      </w:tr>
      <w:tr w14:paraId="4928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noWrap/>
          </w:tcPr>
          <w:p w14:paraId="23361CE3">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通讯地址</w:t>
            </w:r>
          </w:p>
        </w:tc>
        <w:tc>
          <w:tcPr>
            <w:tcW w:w="7853" w:type="dxa"/>
            <w:gridSpan w:val="6"/>
            <w:noWrap/>
          </w:tcPr>
          <w:p w14:paraId="4E9B8C35">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p>
        </w:tc>
      </w:tr>
      <w:tr w14:paraId="2753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jc w:val="center"/>
        </w:trPr>
        <w:tc>
          <w:tcPr>
            <w:tcW w:w="4957" w:type="dxa"/>
            <w:gridSpan w:val="4"/>
            <w:noWrap/>
            <w:vAlign w:val="center"/>
          </w:tcPr>
          <w:p w14:paraId="0AD07C44">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法定代表人身份证正反面复印件</w:t>
            </w:r>
          </w:p>
          <w:p w14:paraId="4A0CA883">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p>
          <w:p w14:paraId="24C9AE1C">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（粘贴处）</w:t>
            </w:r>
          </w:p>
        </w:tc>
        <w:tc>
          <w:tcPr>
            <w:tcW w:w="4468" w:type="dxa"/>
            <w:gridSpan w:val="3"/>
            <w:noWrap/>
            <w:vAlign w:val="center"/>
          </w:tcPr>
          <w:p w14:paraId="449459DB">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被授权人身份证正反面复印件</w:t>
            </w:r>
          </w:p>
          <w:p w14:paraId="79D88D79">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p>
          <w:p w14:paraId="08D98CAD">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（粘贴处）</w:t>
            </w:r>
          </w:p>
        </w:tc>
      </w:tr>
      <w:tr w14:paraId="39E61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425" w:type="dxa"/>
            <w:gridSpan w:val="7"/>
            <w:tcBorders>
              <w:bottom w:val="single" w:color="auto" w:sz="4" w:space="0"/>
            </w:tcBorders>
            <w:noWrap/>
            <w:vAlign w:val="center"/>
          </w:tcPr>
          <w:p w14:paraId="6C9E76CC">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法定代表人及被授权人签字或盖章：</w:t>
            </w:r>
          </w:p>
        </w:tc>
      </w:tr>
    </w:tbl>
    <w:p w14:paraId="5E8EF90F">
      <w:pPr>
        <w:autoSpaceDE w:val="0"/>
        <w:autoSpaceDN w:val="0"/>
        <w:adjustRightInd w:val="0"/>
        <w:snapToGrid w:val="0"/>
        <w:spacing w:line="480" w:lineRule="exac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供应商名称：</w:t>
      </w:r>
      <w:r>
        <w:rPr>
          <w:rFonts w:hint="eastAsia" w:asciiTheme="minorEastAsia" w:hAnsiTheme="minorEastAsia" w:eastAsiaTheme="minorEastAsia" w:cstheme="minorEastAsia"/>
          <w:bCs/>
          <w:caps/>
          <w:color w:val="auto"/>
          <w:sz w:val="24"/>
          <w:szCs w:val="24"/>
          <w:u w:val="single"/>
        </w:rPr>
        <w:t xml:space="preserve">              </w:t>
      </w:r>
      <w:r>
        <w:rPr>
          <w:rFonts w:hint="eastAsia" w:asciiTheme="minorEastAsia" w:hAnsiTheme="minorEastAsia" w:eastAsiaTheme="minorEastAsia" w:cstheme="minorEastAsia"/>
          <w:bCs/>
          <w:caps/>
          <w:color w:val="auto"/>
          <w:sz w:val="24"/>
          <w:szCs w:val="24"/>
        </w:rPr>
        <w:t xml:space="preserve"> （供应商单位公章）     日 期：  </w:t>
      </w:r>
    </w:p>
    <w:p w14:paraId="12A45814">
      <w:pPr>
        <w:rPr>
          <w:rFonts w:hint="eastAsia" w:asciiTheme="minorEastAsia" w:hAnsiTheme="minorEastAsia" w:eastAsiaTheme="minorEastAsia" w:cstheme="minorEastAsia"/>
          <w:color w:val="auto"/>
        </w:rPr>
        <w:sectPr>
          <w:pgSz w:w="11906" w:h="16838"/>
          <w:pgMar w:top="1440" w:right="1803" w:bottom="1440" w:left="1803" w:header="851" w:footer="992" w:gutter="0"/>
          <w:cols w:space="720" w:num="1"/>
        </w:sectPr>
      </w:pPr>
    </w:p>
    <w:p w14:paraId="52B103A7">
      <w:pPr>
        <w:spacing w:line="48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三、符合性证明文件</w:t>
      </w:r>
    </w:p>
    <w:p w14:paraId="0C04EE30">
      <w:pPr>
        <w:pStyle w:val="58"/>
        <w:autoSpaceDE w:val="0"/>
        <w:autoSpaceDN w:val="0"/>
        <w:adjustRightInd w:val="0"/>
        <w:snapToGrid w:val="0"/>
        <w:spacing w:line="312" w:lineRule="auto"/>
        <w:ind w:firstLine="0" w:firstLineChars="0"/>
        <w:outlineLvl w:val="0"/>
        <w:rPr>
          <w:rFonts w:hint="eastAsia" w:asciiTheme="minorEastAsia" w:hAnsiTheme="minorEastAsia" w:eastAsiaTheme="minorEastAsia" w:cstheme="minorEastAsia"/>
          <w:b/>
          <w:color w:val="auto"/>
          <w:szCs w:val="24"/>
        </w:rPr>
      </w:pPr>
      <w:bookmarkStart w:id="80" w:name="_Toc8436"/>
      <w:bookmarkStart w:id="81" w:name="_Toc1949"/>
      <w:bookmarkStart w:id="82" w:name="_Toc6042"/>
      <w:bookmarkStart w:id="83" w:name="_Toc721"/>
      <w:bookmarkStart w:id="84" w:name="_Toc6482"/>
      <w:bookmarkStart w:id="85" w:name="_Toc27820"/>
      <w:r>
        <w:rPr>
          <w:rFonts w:hint="eastAsia" w:asciiTheme="minorEastAsia" w:hAnsiTheme="minorEastAsia" w:eastAsiaTheme="minorEastAsia" w:cstheme="minorEastAsia"/>
          <w:b/>
          <w:color w:val="auto"/>
          <w:szCs w:val="24"/>
        </w:rPr>
        <w:t>1、</w:t>
      </w:r>
      <w:r>
        <w:rPr>
          <w:rFonts w:hint="eastAsia" w:asciiTheme="minorEastAsia" w:hAnsiTheme="minorEastAsia" w:eastAsiaTheme="minorEastAsia" w:cstheme="minorEastAsia"/>
          <w:b/>
          <w:color w:val="auto"/>
          <w:szCs w:val="24"/>
          <w:lang w:val="zh-CN"/>
        </w:rPr>
        <w:t>响应</w:t>
      </w:r>
      <w:bookmarkEnd w:id="80"/>
      <w:bookmarkEnd w:id="81"/>
      <w:bookmarkEnd w:id="82"/>
      <w:bookmarkStart w:id="86" w:name="_Toc7447441"/>
      <w:bookmarkStart w:id="87" w:name="_Toc403027470"/>
      <w:r>
        <w:rPr>
          <w:rFonts w:hint="eastAsia" w:asciiTheme="minorEastAsia" w:hAnsiTheme="minorEastAsia" w:eastAsiaTheme="minorEastAsia" w:cstheme="minorEastAsia"/>
          <w:b/>
          <w:color w:val="auto"/>
          <w:szCs w:val="24"/>
        </w:rPr>
        <w:t>函</w:t>
      </w:r>
      <w:bookmarkEnd w:id="83"/>
      <w:bookmarkEnd w:id="84"/>
      <w:bookmarkEnd w:id="85"/>
    </w:p>
    <w:p w14:paraId="7FFCF3B0">
      <w:pPr>
        <w:pStyle w:val="58"/>
        <w:autoSpaceDE w:val="0"/>
        <w:autoSpaceDN w:val="0"/>
        <w:adjustRightInd w:val="0"/>
        <w:snapToGrid w:val="0"/>
        <w:spacing w:line="312" w:lineRule="auto"/>
        <w:ind w:firstLine="0" w:firstLineChars="0"/>
        <w:outlineLvl w:val="0"/>
        <w:rPr>
          <w:rFonts w:hint="eastAsia" w:asciiTheme="minorEastAsia" w:hAnsiTheme="minorEastAsia" w:eastAsiaTheme="minorEastAsia" w:cstheme="minorEastAsia"/>
          <w:color w:val="auto"/>
          <w:szCs w:val="24"/>
          <w:lang w:eastAsia="zh-CN"/>
        </w:rPr>
      </w:pPr>
      <w:bookmarkStart w:id="88" w:name="_Toc14203"/>
      <w:bookmarkStart w:id="89" w:name="_Toc10099"/>
      <w:bookmarkStart w:id="90" w:name="_Toc30197"/>
      <w:r>
        <w:rPr>
          <w:rFonts w:hint="eastAsia" w:asciiTheme="minorEastAsia" w:hAnsiTheme="minorEastAsia" w:eastAsiaTheme="minorEastAsia" w:cstheme="minorEastAsia"/>
          <w:color w:val="auto"/>
          <w:szCs w:val="24"/>
        </w:rPr>
        <w:t>致：</w:t>
      </w:r>
      <w:bookmarkEnd w:id="88"/>
      <w:bookmarkEnd w:id="89"/>
      <w:bookmarkEnd w:id="90"/>
      <w:r>
        <w:rPr>
          <w:rFonts w:hint="eastAsia" w:asciiTheme="minorEastAsia" w:hAnsiTheme="minorEastAsia" w:eastAsiaTheme="minorEastAsia" w:cstheme="minorEastAsia"/>
          <w:color w:val="auto"/>
          <w:szCs w:val="24"/>
          <w:lang w:eastAsia="zh-CN"/>
        </w:rPr>
        <w:t>陕西佳信项目管理有限公司</w:t>
      </w:r>
    </w:p>
    <w:p w14:paraId="55404D9D">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我单位收到贵公司</w:t>
      </w:r>
      <w:r>
        <w:rPr>
          <w:rFonts w:hint="eastAsia" w:asciiTheme="minorEastAsia" w:hAnsiTheme="minorEastAsia" w:eastAsiaTheme="minorEastAsia" w:cstheme="minorEastAsia"/>
          <w:color w:val="auto"/>
          <w:sz w:val="24"/>
          <w:szCs w:val="24"/>
          <w:u w:val="single"/>
        </w:rPr>
        <w:t xml:space="preserve">    （项目名称、项目编号）    </w:t>
      </w:r>
      <w:r>
        <w:rPr>
          <w:rFonts w:hint="eastAsia" w:asciiTheme="minorEastAsia" w:hAnsiTheme="minorEastAsia" w:eastAsiaTheme="minorEastAsia" w:cstheme="minorEastAsia"/>
          <w:color w:val="auto"/>
          <w:sz w:val="24"/>
          <w:szCs w:val="24"/>
        </w:rPr>
        <w:t>竞争性磋商文件，经详细研究，我们决定参加组织</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项目（编号为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）的竞争性磋商活动，为此，我方郑重声明如下：</w:t>
      </w:r>
    </w:p>
    <w:p w14:paraId="24E0F1C0">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1、愿意按照磋商文件中的全部要求，提供符合采购内容要求的服务，履行合同的责任和义务。</w:t>
      </w:r>
    </w:p>
    <w:p w14:paraId="3B1A4793">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2、按照磋商文件的规定，磋商</w:t>
      </w:r>
      <w:r>
        <w:rPr>
          <w:rFonts w:hint="eastAsia" w:asciiTheme="minorEastAsia" w:hAnsiTheme="minorEastAsia" w:eastAsiaTheme="minorEastAsia" w:cstheme="minorEastAsia"/>
          <w:color w:val="auto"/>
          <w:sz w:val="24"/>
          <w:szCs w:val="24"/>
          <w:shd w:val="clear" w:color="auto" w:fill="FFFFFF"/>
        </w:rPr>
        <w:t>报价</w:t>
      </w:r>
      <w:r>
        <w:rPr>
          <w:rFonts w:hint="eastAsia" w:asciiTheme="minorEastAsia" w:hAnsiTheme="minorEastAsia" w:eastAsiaTheme="minorEastAsia" w:cstheme="minorEastAsia"/>
          <w:color w:val="auto"/>
          <w:sz w:val="24"/>
          <w:szCs w:val="24"/>
        </w:rPr>
        <w:t>为(大写)</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人民币（RMB￥</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元）。</w:t>
      </w:r>
    </w:p>
    <w:p w14:paraId="5323828E">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3、我方提交电子版磋商响应文件一份。</w:t>
      </w:r>
    </w:p>
    <w:p w14:paraId="1BD255EB">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4、如果我单位成交，我们将履行磋商文件中规定的每一项要求，完成项目采购内容。</w:t>
      </w:r>
    </w:p>
    <w:p w14:paraId="6CF15812">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5、我们理解，最低报价不是成交的唯一条件，你们有选择供应商中标的权力。</w:t>
      </w:r>
    </w:p>
    <w:p w14:paraId="3DE90EA9">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6、我方愿意按《中华人民共和国民法典》履行自己的全部义务和责任。</w:t>
      </w:r>
    </w:p>
    <w:p w14:paraId="58D594C7">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7、我方的磋商响文件有效期为磋商截止之日起</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日历日，若我方成交，磋商响文件有效期延长至合同执行完毕。</w:t>
      </w:r>
    </w:p>
    <w:p w14:paraId="4F40C863">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8、我方已按磋商文件要求提交磋商保证金金额（大写）</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小写）</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，磋商保证金提交方式为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p>
    <w:p w14:paraId="0AA79D50">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9、我方同意贵方可能另外要求的与本磋商有关的任何证据和资料的提交。</w:t>
      </w:r>
    </w:p>
    <w:p w14:paraId="1F2AD521">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 我们同意，如果成交，向</w:t>
      </w:r>
      <w:r>
        <w:rPr>
          <w:rFonts w:hint="eastAsia" w:asciiTheme="minorEastAsia" w:hAnsiTheme="minorEastAsia" w:eastAsiaTheme="minorEastAsia" w:cstheme="minorEastAsia"/>
          <w:color w:val="auto"/>
          <w:sz w:val="24"/>
          <w:szCs w:val="24"/>
          <w:lang w:eastAsia="zh-CN"/>
        </w:rPr>
        <w:t>陕西佳信项目管理有限公司</w:t>
      </w:r>
      <w:r>
        <w:rPr>
          <w:rFonts w:hint="eastAsia" w:asciiTheme="minorEastAsia" w:hAnsiTheme="minorEastAsia" w:eastAsiaTheme="minorEastAsia" w:cstheme="minorEastAsia"/>
          <w:color w:val="auto"/>
          <w:sz w:val="24"/>
          <w:szCs w:val="24"/>
        </w:rPr>
        <w:t>缴纳成交服务费。</w:t>
      </w:r>
    </w:p>
    <w:p w14:paraId="202BACE6">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11、所有关于本次磋商的函电，请按下列地址联系。</w:t>
      </w:r>
    </w:p>
    <w:p w14:paraId="2BA8A9CA">
      <w:pPr>
        <w:spacing w:line="360" w:lineRule="auto"/>
        <w:ind w:firstLine="40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pacing w:val="-20"/>
          <w:sz w:val="24"/>
        </w:rPr>
        <w:t>注</w:t>
      </w:r>
      <w:r>
        <w:rPr>
          <w:rFonts w:hint="eastAsia" w:asciiTheme="minorEastAsia" w:hAnsiTheme="minorEastAsia" w:eastAsiaTheme="minorEastAsia" w:cstheme="minorEastAsia"/>
          <w:color w:val="auto"/>
          <w:sz w:val="24"/>
        </w:rPr>
        <w:t>：磋商报价应与清单的报价汇总表数字一致。精确到元.角.分。</w:t>
      </w:r>
    </w:p>
    <w:p w14:paraId="03410ED0">
      <w:pPr>
        <w:spacing w:line="360" w:lineRule="auto"/>
        <w:ind w:firstLine="1200" w:firstLineChars="5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  应  商：</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（盖章）   </w:t>
      </w:r>
    </w:p>
    <w:p w14:paraId="1A5DDC37">
      <w:pPr>
        <w:spacing w:line="360" w:lineRule="auto"/>
        <w:ind w:firstLine="1200" w:firstLineChars="5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 位 地 址：</w:t>
      </w:r>
      <w:r>
        <w:rPr>
          <w:rFonts w:hint="eastAsia" w:asciiTheme="minorEastAsia" w:hAnsiTheme="minorEastAsia" w:eastAsiaTheme="minorEastAsia" w:cstheme="minorEastAsia"/>
          <w:color w:val="auto"/>
          <w:sz w:val="24"/>
          <w:u w:val="single"/>
        </w:rPr>
        <w:t xml:space="preserve">                                           </w:t>
      </w:r>
    </w:p>
    <w:p w14:paraId="45D43285">
      <w:pPr>
        <w:spacing w:line="360" w:lineRule="auto"/>
        <w:ind w:firstLine="1200" w:firstLineChars="5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法定代表人或被授权人：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签字或盖章）</w:t>
      </w:r>
    </w:p>
    <w:p w14:paraId="6B51C8B9">
      <w:pPr>
        <w:spacing w:line="360" w:lineRule="auto"/>
        <w:ind w:firstLine="1200" w:firstLineChars="5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电话：</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w:t>
      </w:r>
    </w:p>
    <w:p w14:paraId="600888A9">
      <w:pPr>
        <w:spacing w:line="360" w:lineRule="auto"/>
        <w:ind w:firstLine="1200" w:firstLineChars="500"/>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 xml:space="preserve">日      期：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年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月</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日</w:t>
      </w:r>
    </w:p>
    <w:bookmarkEnd w:id="86"/>
    <w:bookmarkEnd w:id="87"/>
    <w:p w14:paraId="25FCE402">
      <w:pPr>
        <w:autoSpaceDE w:val="0"/>
        <w:autoSpaceDN w:val="0"/>
        <w:adjustRightInd w:val="0"/>
        <w:snapToGrid w:val="0"/>
        <w:spacing w:line="360" w:lineRule="auto"/>
        <w:outlineLvl w:val="0"/>
        <w:rPr>
          <w:rFonts w:hint="eastAsia" w:asciiTheme="minorEastAsia" w:hAnsiTheme="minorEastAsia" w:eastAsiaTheme="minorEastAsia" w:cstheme="minorEastAsia"/>
          <w:b/>
          <w:bCs/>
          <w:color w:val="auto"/>
          <w:sz w:val="24"/>
          <w:szCs w:val="24"/>
        </w:rPr>
      </w:pPr>
      <w:bookmarkStart w:id="91" w:name="_Toc31858"/>
      <w:bookmarkStart w:id="92" w:name="_Toc26930"/>
      <w:bookmarkStart w:id="93" w:name="_Toc5315"/>
      <w:bookmarkStart w:id="94" w:name="_Toc7447442"/>
    </w:p>
    <w:p w14:paraId="0026F3B7">
      <w:pPr>
        <w:autoSpaceDE w:val="0"/>
        <w:autoSpaceDN w:val="0"/>
        <w:adjustRightInd w:val="0"/>
        <w:snapToGrid w:val="0"/>
        <w:spacing w:line="360" w:lineRule="auto"/>
        <w:outlineLvl w:val="0"/>
        <w:rPr>
          <w:rFonts w:hint="eastAsia" w:asciiTheme="minorEastAsia" w:hAnsiTheme="minorEastAsia" w:eastAsiaTheme="minorEastAsia" w:cstheme="minorEastAsia"/>
          <w:b/>
          <w:bCs/>
          <w:color w:val="auto"/>
          <w:sz w:val="24"/>
          <w:szCs w:val="24"/>
        </w:rPr>
      </w:pPr>
    </w:p>
    <w:p w14:paraId="4C6ADB19">
      <w:pPr>
        <w:autoSpaceDE w:val="0"/>
        <w:autoSpaceDN w:val="0"/>
        <w:adjustRightInd w:val="0"/>
        <w:snapToGrid w:val="0"/>
        <w:spacing w:line="360" w:lineRule="auto"/>
        <w:outlineLvl w:val="0"/>
        <w:rPr>
          <w:rFonts w:hint="eastAsia" w:asciiTheme="minorEastAsia" w:hAnsiTheme="minorEastAsia" w:eastAsiaTheme="minorEastAsia" w:cstheme="minorEastAsia"/>
          <w:b/>
          <w:bCs/>
          <w:color w:val="auto"/>
          <w:sz w:val="24"/>
          <w:szCs w:val="24"/>
        </w:rPr>
      </w:pPr>
      <w:bookmarkStart w:id="95" w:name="_Toc569"/>
      <w:bookmarkStart w:id="96" w:name="_Toc28855"/>
      <w:bookmarkStart w:id="97" w:name="_Toc4268"/>
      <w:r>
        <w:rPr>
          <w:rFonts w:hint="eastAsia" w:asciiTheme="minorEastAsia" w:hAnsiTheme="minorEastAsia" w:eastAsiaTheme="minorEastAsia" w:cstheme="minorEastAsia"/>
          <w:b/>
          <w:bCs/>
          <w:color w:val="auto"/>
          <w:sz w:val="24"/>
          <w:szCs w:val="24"/>
        </w:rPr>
        <w:t>2、第一次磋商报价表</w:t>
      </w:r>
      <w:bookmarkEnd w:id="91"/>
      <w:bookmarkEnd w:id="92"/>
      <w:bookmarkEnd w:id="93"/>
      <w:bookmarkEnd w:id="95"/>
      <w:bookmarkEnd w:id="96"/>
      <w:bookmarkEnd w:id="97"/>
    </w:p>
    <w:p w14:paraId="5A6D49B1">
      <w:pPr>
        <w:jc w:val="center"/>
        <w:outlineLvl w:val="1"/>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 磋商报价表</w:t>
      </w:r>
      <w:bookmarkEnd w:id="94"/>
    </w:p>
    <w:p w14:paraId="20F081B4">
      <w:pPr>
        <w:pStyle w:val="14"/>
        <w:spacing w:line="360" w:lineRule="auto"/>
        <w:rPr>
          <w:rFonts w:hint="eastAsia" w:asciiTheme="minorEastAsia" w:hAnsiTheme="minorEastAsia" w:eastAsiaTheme="minorEastAsia" w:cstheme="minorEastAsia"/>
          <w:color w:val="auto"/>
          <w:sz w:val="24"/>
        </w:rPr>
      </w:pPr>
    </w:p>
    <w:p w14:paraId="31D5FF0A">
      <w:pPr>
        <w:pStyle w:val="1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采购编号：</w:t>
      </w:r>
      <w:r>
        <w:rPr>
          <w:rFonts w:hint="eastAsia" w:asciiTheme="minorEastAsia" w:hAnsiTheme="minorEastAsia" w:eastAsiaTheme="minorEastAsia" w:cstheme="minorEastAsia"/>
          <w:color w:val="auto"/>
          <w:sz w:val="24"/>
          <w:u w:val="single"/>
        </w:rPr>
        <w:t xml:space="preserve">                          </w:t>
      </w:r>
    </w:p>
    <w:p w14:paraId="63940675">
      <w:pPr>
        <w:pStyle w:val="14"/>
        <w:spacing w:line="360" w:lineRule="auto"/>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项目名称：</w:t>
      </w:r>
      <w:r>
        <w:rPr>
          <w:rFonts w:hint="eastAsia" w:asciiTheme="minorEastAsia" w:hAnsiTheme="minorEastAsia" w:eastAsiaTheme="minorEastAsia" w:cstheme="minorEastAsia"/>
          <w:color w:val="auto"/>
          <w:sz w:val="24"/>
          <w:u w:val="single"/>
        </w:rPr>
        <w:t xml:space="preserve">                          </w:t>
      </w:r>
    </w:p>
    <w:p w14:paraId="3F4DCA00">
      <w:pPr>
        <w:pStyle w:val="1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w:t>
      </w:r>
      <w:r>
        <w:rPr>
          <w:rFonts w:hint="eastAsia" w:asciiTheme="minorEastAsia" w:hAnsiTheme="minorEastAsia" w:eastAsiaTheme="minorEastAsia" w:cstheme="minorEastAsia"/>
          <w:color w:val="auto"/>
          <w:sz w:val="24"/>
          <w:u w:val="single"/>
        </w:rPr>
        <w:t xml:space="preserve">                    </w:t>
      </w:r>
    </w:p>
    <w:p w14:paraId="4F0FC69D">
      <w:pPr>
        <w:spacing w:line="360" w:lineRule="auto"/>
        <w:jc w:val="right"/>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color w:val="auto"/>
          <w:sz w:val="24"/>
        </w:rPr>
        <w:t>单位 ：元（保留小数点后两位）</w:t>
      </w:r>
    </w:p>
    <w:tbl>
      <w:tblPr>
        <w:tblStyle w:val="25"/>
        <w:tblW w:w="9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060"/>
      </w:tblGrid>
      <w:tr w14:paraId="63C7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245" w:type="dxa"/>
          </w:tcPr>
          <w:p w14:paraId="6A8F8B4D">
            <w:pPr>
              <w:pStyle w:val="54"/>
              <w:tabs>
                <w:tab w:val="left" w:pos="1860"/>
                <w:tab w:val="center" w:pos="4680"/>
              </w:tabs>
              <w:spacing w:line="540" w:lineRule="exact"/>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磋商报价</w:t>
            </w:r>
          </w:p>
          <w:p w14:paraId="2C0C7C5C">
            <w:pPr>
              <w:pStyle w:val="54"/>
              <w:tabs>
                <w:tab w:val="left" w:pos="1860"/>
                <w:tab w:val="center" w:pos="4680"/>
              </w:tabs>
              <w:spacing w:line="5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color w:val="auto"/>
                <w:sz w:val="24"/>
                <w:szCs w:val="24"/>
              </w:rPr>
              <w:t>（人民币:元）</w:t>
            </w:r>
          </w:p>
        </w:tc>
        <w:tc>
          <w:tcPr>
            <w:tcW w:w="7060" w:type="dxa"/>
          </w:tcPr>
          <w:p w14:paraId="46002830">
            <w:pPr>
              <w:pStyle w:val="54"/>
              <w:tabs>
                <w:tab w:val="left" w:pos="1860"/>
                <w:tab w:val="center" w:pos="4680"/>
              </w:tabs>
              <w:spacing w:line="540" w:lineRule="exact"/>
              <w:jc w:val="both"/>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大  写：</w:t>
            </w:r>
          </w:p>
          <w:p w14:paraId="784ABCD3">
            <w:pPr>
              <w:pStyle w:val="54"/>
              <w:tabs>
                <w:tab w:val="left" w:pos="1860"/>
                <w:tab w:val="center" w:pos="4680"/>
              </w:tabs>
              <w:spacing w:line="54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color w:val="auto"/>
                <w:sz w:val="24"/>
                <w:szCs w:val="24"/>
              </w:rPr>
              <w:t>小  写：</w:t>
            </w:r>
          </w:p>
        </w:tc>
      </w:tr>
      <w:tr w14:paraId="5A459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245" w:type="dxa"/>
          </w:tcPr>
          <w:p w14:paraId="106FD108">
            <w:pPr>
              <w:pStyle w:val="54"/>
              <w:tabs>
                <w:tab w:val="left" w:pos="1860"/>
                <w:tab w:val="center" w:pos="4680"/>
              </w:tabs>
              <w:spacing w:line="5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color w:val="auto"/>
                <w:sz w:val="24"/>
                <w:szCs w:val="24"/>
              </w:rPr>
              <w:t>服务期</w:t>
            </w:r>
          </w:p>
        </w:tc>
        <w:tc>
          <w:tcPr>
            <w:tcW w:w="7060" w:type="dxa"/>
          </w:tcPr>
          <w:p w14:paraId="36F7FA7A">
            <w:pPr>
              <w:pStyle w:val="54"/>
              <w:tabs>
                <w:tab w:val="left" w:pos="1860"/>
                <w:tab w:val="center" w:pos="4680"/>
              </w:tabs>
              <w:spacing w:line="540" w:lineRule="exact"/>
              <w:jc w:val="both"/>
              <w:rPr>
                <w:rFonts w:hint="eastAsia" w:asciiTheme="minorEastAsia" w:hAnsiTheme="minorEastAsia" w:eastAsiaTheme="minorEastAsia" w:cstheme="minorEastAsia"/>
                <w:color w:val="auto"/>
                <w:sz w:val="24"/>
                <w:szCs w:val="24"/>
              </w:rPr>
            </w:pPr>
          </w:p>
        </w:tc>
      </w:tr>
      <w:tr w14:paraId="6A7C2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305" w:type="dxa"/>
            <w:gridSpan w:val="2"/>
          </w:tcPr>
          <w:p w14:paraId="0C9B4FC6">
            <w:pPr>
              <w:shd w:val="clear"/>
              <w:spacing w:line="360" w:lineRule="auto"/>
              <w:rPr>
                <w:rFonts w:hint="eastAsia" w:asciiTheme="minorEastAsia" w:hAnsiTheme="minorEastAsia" w:eastAsiaTheme="minorEastAsia" w:cstheme="minorEastAsia"/>
                <w:b w:val="0"/>
                <w:color w:val="auto"/>
                <w:kern w:val="0"/>
                <w:sz w:val="24"/>
                <w:szCs w:val="24"/>
                <w:lang w:val="en-US" w:eastAsia="zh-CN" w:bidi="ar-SA"/>
              </w:rPr>
            </w:pPr>
            <w:r>
              <w:rPr>
                <w:rFonts w:hint="eastAsia" w:asciiTheme="minorEastAsia" w:hAnsiTheme="minorEastAsia" w:eastAsiaTheme="minorEastAsia" w:cstheme="minorEastAsia"/>
                <w:b w:val="0"/>
                <w:color w:val="auto"/>
                <w:kern w:val="0"/>
                <w:sz w:val="24"/>
                <w:szCs w:val="24"/>
                <w:lang w:val="en-US" w:eastAsia="zh-CN" w:bidi="ar-SA"/>
              </w:rPr>
              <w:t>说明：1、磋商报价应是竞争性磋商响应文件所确定的磋商范围内的全部工作内容的价格体现，包括本项目所涉及的服务费、人工费、设备费、管理费、税费、规费、保险费等所有与完成本项目相关服务及履行合同义务有关的一切费用。</w:t>
            </w:r>
          </w:p>
          <w:p w14:paraId="0C5E77E2">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color w:val="auto"/>
                <w:kern w:val="0"/>
                <w:sz w:val="24"/>
                <w:szCs w:val="24"/>
                <w:lang w:val="en-US" w:eastAsia="zh-CN" w:bidi="ar-SA"/>
              </w:rPr>
              <w:t>2、所有报价保留小数点后两位，第三位按四舍五入计。大小写不一致时，以大写为准。</w:t>
            </w:r>
          </w:p>
        </w:tc>
      </w:tr>
    </w:tbl>
    <w:p w14:paraId="343C87E6">
      <w:pPr>
        <w:spacing w:beforeLines="50"/>
        <w:ind w:left="470" w:hanging="470" w:hangingChars="196"/>
        <w:jc w:val="left"/>
        <w:rPr>
          <w:rFonts w:hint="eastAsia" w:asciiTheme="minorEastAsia" w:hAnsiTheme="minorEastAsia" w:eastAsiaTheme="minorEastAsia" w:cstheme="minorEastAsia"/>
          <w:color w:val="auto"/>
          <w:sz w:val="24"/>
          <w:szCs w:val="24"/>
        </w:rPr>
      </w:pPr>
      <w:bookmarkStart w:id="98" w:name="_Toc433961643"/>
      <w:bookmarkStart w:id="99" w:name="_Toc7447443"/>
    </w:p>
    <w:p w14:paraId="7FE13ABB">
      <w:pPr>
        <w:spacing w:beforeLines="50"/>
        <w:ind w:firstLine="720" w:firstLineChars="300"/>
        <w:jc w:val="left"/>
        <w:rPr>
          <w:rFonts w:hint="eastAsia" w:asciiTheme="minorEastAsia" w:hAnsiTheme="minorEastAsia" w:eastAsiaTheme="minorEastAsia" w:cstheme="minorEastAsia"/>
          <w:color w:val="auto"/>
          <w:sz w:val="24"/>
          <w:szCs w:val="24"/>
        </w:rPr>
      </w:pPr>
    </w:p>
    <w:p w14:paraId="52E2839E">
      <w:pPr>
        <w:spacing w:line="360" w:lineRule="auto"/>
        <w:rPr>
          <w:rFonts w:hint="eastAsia" w:asciiTheme="minorEastAsia" w:hAnsiTheme="minorEastAsia" w:eastAsiaTheme="minorEastAsia" w:cstheme="minorEastAsia"/>
          <w:color w:val="auto"/>
          <w:sz w:val="24"/>
          <w:szCs w:val="28"/>
        </w:rPr>
      </w:pPr>
    </w:p>
    <w:p w14:paraId="0372196B">
      <w:pPr>
        <w:spacing w:line="360" w:lineRule="auto"/>
        <w:rPr>
          <w:rFonts w:hint="eastAsia" w:asciiTheme="minorEastAsia" w:hAnsiTheme="minorEastAsia" w:eastAsiaTheme="minorEastAsia" w:cstheme="minorEastAsia"/>
          <w:color w:val="auto"/>
          <w:sz w:val="24"/>
          <w:szCs w:val="28"/>
        </w:rPr>
      </w:pPr>
    </w:p>
    <w:p w14:paraId="6C955489">
      <w:pPr>
        <w:spacing w:line="360" w:lineRule="auto"/>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rPr>
        <w:t>供应商</w:t>
      </w:r>
      <w:r>
        <w:rPr>
          <w:rFonts w:hint="eastAsia" w:asciiTheme="minorEastAsia" w:hAnsiTheme="minorEastAsia" w:eastAsiaTheme="minorEastAsia" w:cstheme="minorEastAsia"/>
          <w:color w:val="auto"/>
          <w:sz w:val="24"/>
          <w:szCs w:val="28"/>
        </w:rPr>
        <w:t>全称(盖章)：</w:t>
      </w:r>
    </w:p>
    <w:p w14:paraId="2E43461F">
      <w:pPr>
        <w:spacing w:line="360" w:lineRule="auto"/>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法定代表人或授权代表人(</w:t>
      </w:r>
      <w:r>
        <w:rPr>
          <w:rFonts w:hint="eastAsia" w:asciiTheme="minorEastAsia" w:hAnsiTheme="minorEastAsia" w:eastAsiaTheme="minorEastAsia" w:cstheme="minorEastAsia"/>
          <w:color w:val="auto"/>
          <w:sz w:val="24"/>
        </w:rPr>
        <w:t>签字或盖章</w:t>
      </w:r>
      <w:r>
        <w:rPr>
          <w:rFonts w:hint="eastAsia" w:asciiTheme="minorEastAsia" w:hAnsiTheme="minorEastAsia" w:eastAsiaTheme="minorEastAsia" w:cstheme="minorEastAsia"/>
          <w:color w:val="auto"/>
          <w:sz w:val="24"/>
          <w:szCs w:val="28"/>
        </w:rPr>
        <w:t>)：</w:t>
      </w:r>
    </w:p>
    <w:p w14:paraId="5364B5BE">
      <w:pPr>
        <w:spacing w:line="360" w:lineRule="auto"/>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日  期：</w:t>
      </w:r>
    </w:p>
    <w:p w14:paraId="0631D440">
      <w:pPr>
        <w:spacing w:line="360" w:lineRule="auto"/>
        <w:rPr>
          <w:rFonts w:hint="eastAsia" w:asciiTheme="minorEastAsia" w:hAnsiTheme="minorEastAsia" w:eastAsiaTheme="minorEastAsia" w:cstheme="minorEastAsia"/>
          <w:color w:val="auto"/>
          <w:szCs w:val="28"/>
        </w:rPr>
        <w:sectPr>
          <w:headerReference r:id="rId13" w:type="first"/>
          <w:footerReference r:id="rId15" w:type="first"/>
          <w:headerReference r:id="rId12" w:type="default"/>
          <w:footerReference r:id="rId14" w:type="default"/>
          <w:pgSz w:w="11905" w:h="16838"/>
          <w:pgMar w:top="1417" w:right="1134" w:bottom="1417" w:left="1304" w:header="935" w:footer="771" w:gutter="567"/>
          <w:cols w:space="0" w:num="1"/>
          <w:titlePg/>
          <w:docGrid w:linePitch="312" w:charSpace="0"/>
        </w:sectPr>
      </w:pPr>
      <w:r>
        <w:rPr>
          <w:rFonts w:hint="eastAsia" w:asciiTheme="minorEastAsia" w:hAnsiTheme="minorEastAsia" w:eastAsiaTheme="minorEastAsia" w:cstheme="minorEastAsia"/>
          <w:color w:val="auto"/>
          <w:szCs w:val="28"/>
        </w:rPr>
        <w:br w:type="page"/>
      </w:r>
      <w:bookmarkEnd w:id="98"/>
      <w:bookmarkEnd w:id="99"/>
      <w:bookmarkStart w:id="100" w:name="_Toc467246302"/>
    </w:p>
    <w:p w14:paraId="2DC097D3">
      <w:pPr>
        <w:numPr>
          <w:ilvl w:val="0"/>
          <w:numId w:val="5"/>
        </w:numPr>
        <w:spacing w:line="360" w:lineRule="auto"/>
        <w:rPr>
          <w:rFonts w:hint="eastAsia" w:asciiTheme="minorEastAsia" w:hAnsiTheme="minorEastAsia" w:eastAsiaTheme="minorEastAsia" w:cstheme="minorEastAsia"/>
          <w:b/>
          <w:bCs/>
          <w:color w:val="auto"/>
          <w:sz w:val="24"/>
          <w:szCs w:val="24"/>
        </w:rPr>
      </w:pPr>
      <w:bookmarkStart w:id="101" w:name="_Toc7447445"/>
      <w:r>
        <w:rPr>
          <w:rFonts w:hint="eastAsia" w:asciiTheme="minorEastAsia" w:hAnsiTheme="minorEastAsia" w:eastAsiaTheme="minorEastAsia" w:cstheme="minorEastAsia"/>
          <w:b/>
          <w:bCs/>
          <w:color w:val="auto"/>
          <w:sz w:val="24"/>
          <w:szCs w:val="24"/>
        </w:rPr>
        <w:t>磋商保证金缴纳凭证</w:t>
      </w:r>
    </w:p>
    <w:p w14:paraId="55242DD6">
      <w:pPr>
        <w:spacing w:line="360" w:lineRule="auto"/>
        <w:rPr>
          <w:rFonts w:hint="eastAsia" w:asciiTheme="minorEastAsia" w:hAnsiTheme="minorEastAsia" w:eastAsiaTheme="minorEastAsia" w:cstheme="minorEastAsia"/>
          <w:color w:val="auto"/>
          <w:sz w:val="24"/>
          <w:szCs w:val="28"/>
        </w:rPr>
      </w:pPr>
    </w:p>
    <w:p w14:paraId="16C4D66D">
      <w:pPr>
        <w:spacing w:line="360" w:lineRule="auto"/>
        <w:rPr>
          <w:rFonts w:hint="eastAsia" w:asciiTheme="minorEastAsia" w:hAnsiTheme="minorEastAsia" w:eastAsiaTheme="minorEastAsia" w:cstheme="minorEastAsia"/>
          <w:color w:val="auto"/>
          <w:sz w:val="24"/>
          <w:szCs w:val="28"/>
        </w:rPr>
      </w:pPr>
    </w:p>
    <w:p w14:paraId="2321A904">
      <w:pPr>
        <w:spacing w:line="360" w:lineRule="auto"/>
        <w:rPr>
          <w:rFonts w:hint="eastAsia" w:asciiTheme="minorEastAsia" w:hAnsiTheme="minorEastAsia" w:eastAsiaTheme="minorEastAsia" w:cstheme="minorEastAsia"/>
          <w:color w:val="auto"/>
          <w:sz w:val="24"/>
          <w:szCs w:val="28"/>
        </w:rPr>
      </w:pPr>
    </w:p>
    <w:p w14:paraId="43C6A9A0">
      <w:pPr>
        <w:spacing w:line="360" w:lineRule="auto"/>
        <w:rPr>
          <w:rFonts w:hint="eastAsia" w:asciiTheme="minorEastAsia" w:hAnsiTheme="minorEastAsia" w:eastAsiaTheme="minorEastAsia" w:cstheme="minorEastAsia"/>
          <w:color w:val="auto"/>
          <w:sz w:val="24"/>
          <w:szCs w:val="28"/>
        </w:rPr>
      </w:pPr>
    </w:p>
    <w:p w14:paraId="62205F64">
      <w:pPr>
        <w:numPr>
          <w:ilvl w:val="0"/>
          <w:numId w:val="5"/>
        </w:numPr>
        <w:spacing w:line="360" w:lineRule="auto"/>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bCs/>
          <w:color w:val="auto"/>
          <w:kern w:val="0"/>
          <w:sz w:val="22"/>
          <w:szCs w:val="22"/>
        </w:rPr>
        <w:br w:type="page"/>
      </w:r>
      <w:bookmarkEnd w:id="100"/>
      <w:bookmarkEnd w:id="101"/>
    </w:p>
    <w:p w14:paraId="46466A97">
      <w:pPr>
        <w:rPr>
          <w:rFonts w:hint="eastAsia" w:asciiTheme="minorEastAsia" w:hAnsiTheme="minorEastAsia" w:eastAsiaTheme="minorEastAsia" w:cstheme="minorEastAsia"/>
          <w:b/>
          <w:bCs/>
          <w:color w:val="auto"/>
          <w:sz w:val="24"/>
          <w:szCs w:val="24"/>
          <w:lang w:val="zh-CN"/>
        </w:rPr>
        <w:sectPr>
          <w:headerReference r:id="rId17" w:type="first"/>
          <w:footerReference r:id="rId19" w:type="first"/>
          <w:headerReference r:id="rId16" w:type="default"/>
          <w:footerReference r:id="rId18" w:type="default"/>
          <w:pgSz w:w="11905" w:h="16838"/>
          <w:pgMar w:top="1417" w:right="1134" w:bottom="1417" w:left="1304" w:header="935" w:footer="771" w:gutter="567"/>
          <w:cols w:space="0" w:num="1"/>
          <w:titlePg/>
          <w:docGrid w:linePitch="312" w:charSpace="0"/>
        </w:sectPr>
      </w:pPr>
    </w:p>
    <w:p w14:paraId="4B0EFC80">
      <w:pPr>
        <w:widowControl/>
        <w:spacing w:line="360" w:lineRule="auto"/>
        <w:outlineLvl w:val="2"/>
        <w:rPr>
          <w:rFonts w:hint="eastAsia" w:asciiTheme="minorEastAsia" w:hAnsiTheme="minorEastAsia" w:eastAsiaTheme="minorEastAsia" w:cstheme="minorEastAsia"/>
          <w:color w:val="auto"/>
          <w:sz w:val="24"/>
        </w:rPr>
      </w:pPr>
      <w:bookmarkStart w:id="102" w:name="_Toc7447451"/>
      <w:r>
        <w:rPr>
          <w:rFonts w:hint="eastAsia" w:asciiTheme="minorEastAsia" w:hAnsiTheme="minorEastAsia" w:eastAsiaTheme="minorEastAsia" w:cstheme="minorEastAsia"/>
          <w:b/>
          <w:bCs/>
          <w:color w:val="auto"/>
          <w:sz w:val="24"/>
        </w:rPr>
        <w:t>4、供应商承诺书</w:t>
      </w:r>
      <w:r>
        <w:rPr>
          <w:rFonts w:hint="eastAsia" w:asciiTheme="minorEastAsia" w:hAnsiTheme="minorEastAsia" w:eastAsiaTheme="minorEastAsia" w:cstheme="minorEastAsia"/>
          <w:color w:val="auto"/>
          <w:sz w:val="24"/>
        </w:rPr>
        <w:t xml:space="preserve">        </w:t>
      </w:r>
    </w:p>
    <w:p w14:paraId="5D7FB562">
      <w:pPr>
        <w:widowControl/>
        <w:spacing w:line="360" w:lineRule="auto"/>
        <w:ind w:firstLine="3092" w:firstLineChars="1100"/>
        <w:rPr>
          <w:rFonts w:hint="eastAsia" w:asciiTheme="minorEastAsia" w:hAnsiTheme="minorEastAsia" w:eastAsiaTheme="minorEastAsia" w:cstheme="minorEastAsia"/>
          <w:b/>
          <w:bCs/>
          <w:color w:val="auto"/>
          <w:kern w:val="0"/>
          <w:szCs w:val="28"/>
        </w:rPr>
      </w:pPr>
      <w:r>
        <w:rPr>
          <w:rFonts w:hint="eastAsia" w:asciiTheme="minorEastAsia" w:hAnsiTheme="minorEastAsia" w:eastAsiaTheme="minorEastAsia" w:cstheme="minorEastAsia"/>
          <w:b/>
          <w:bCs/>
          <w:color w:val="auto"/>
          <w:kern w:val="0"/>
          <w:szCs w:val="28"/>
        </w:rPr>
        <w:t>陕西省政府采购供应商</w:t>
      </w:r>
    </w:p>
    <w:p w14:paraId="4FAEEF2F">
      <w:pPr>
        <w:widowControl/>
        <w:spacing w:line="360" w:lineRule="auto"/>
        <w:jc w:val="center"/>
        <w:rPr>
          <w:rFonts w:hint="eastAsia" w:asciiTheme="minorEastAsia" w:hAnsiTheme="minorEastAsia" w:eastAsiaTheme="minorEastAsia" w:cstheme="minorEastAsia"/>
          <w:b/>
          <w:bCs/>
          <w:color w:val="auto"/>
          <w:kern w:val="0"/>
          <w:szCs w:val="28"/>
        </w:rPr>
      </w:pPr>
      <w:r>
        <w:rPr>
          <w:rFonts w:hint="eastAsia" w:asciiTheme="minorEastAsia" w:hAnsiTheme="minorEastAsia" w:eastAsiaTheme="minorEastAsia" w:cstheme="minorEastAsia"/>
          <w:b/>
          <w:bCs/>
          <w:color w:val="auto"/>
          <w:kern w:val="0"/>
          <w:szCs w:val="28"/>
        </w:rPr>
        <w:t>拒绝政府采购领域商业贿赂承诺书</w:t>
      </w:r>
    </w:p>
    <w:p w14:paraId="669C55DA">
      <w:pPr>
        <w:jc w:val="center"/>
        <w:rPr>
          <w:rFonts w:hint="eastAsia" w:asciiTheme="minorEastAsia" w:hAnsiTheme="minorEastAsia" w:eastAsiaTheme="minorEastAsia" w:cstheme="minorEastAsia"/>
          <w:b/>
          <w:bCs/>
          <w:color w:val="auto"/>
          <w:szCs w:val="28"/>
        </w:rPr>
      </w:pPr>
    </w:p>
    <w:p w14:paraId="4D26A9CF">
      <w:pPr>
        <w:pStyle w:val="57"/>
        <w:spacing w:line="360" w:lineRule="auto"/>
        <w:ind w:left="239" w:firstLine="470"/>
        <w:jc w:val="left"/>
        <w:rPr>
          <w:rFonts w:hint="eastAsia" w:asciiTheme="minorEastAsia" w:hAnsiTheme="minorEastAsia" w:eastAsiaTheme="minorEastAsia" w:cstheme="minorEastAsia"/>
          <w:color w:val="auto"/>
          <w:sz w:val="24"/>
          <w:szCs w:val="24"/>
        </w:rPr>
      </w:pPr>
    </w:p>
    <w:p w14:paraId="2914D8DC">
      <w:pPr>
        <w:pStyle w:val="57"/>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为响应党中央、国务院关于治理政府采购领域商业贿赂行为的号召，我公司在此庄严承诺：</w:t>
      </w:r>
    </w:p>
    <w:p w14:paraId="13369878">
      <w:pPr>
        <w:pStyle w:val="57"/>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1、在参与政府采购活动中遵纪守法、诚信经营、公平竞标。</w:t>
      </w:r>
    </w:p>
    <w:p w14:paraId="2A9735CC">
      <w:pPr>
        <w:pStyle w:val="57"/>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2、不向政府采购人、采购代理机构和政府采购评审专家进行任何形式的商业贿赂以谋取交易机会。</w:t>
      </w:r>
    </w:p>
    <w:p w14:paraId="14ABE409">
      <w:pPr>
        <w:pStyle w:val="57"/>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3、不向政府采购代理机构和采购人提供虚假资质文件或采用虚假应标方式参与政府采购市场竞争并谋取中标、成交。</w:t>
      </w:r>
    </w:p>
    <w:p w14:paraId="11DC2028">
      <w:pPr>
        <w:pStyle w:val="57"/>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4、不采取“围标、陪标”等商业欺诈手段获得政府采购定单。</w:t>
      </w:r>
    </w:p>
    <w:p w14:paraId="1C72A31D">
      <w:pPr>
        <w:pStyle w:val="57"/>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5、不采取不正当手段诋毁、排挤其他供应商。</w:t>
      </w:r>
    </w:p>
    <w:p w14:paraId="1E72C8B6">
      <w:pPr>
        <w:pStyle w:val="57"/>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6、不在提供商品和服务时“偷梁换柱、以次充好”损害采购人的合法权益。</w:t>
      </w:r>
    </w:p>
    <w:p w14:paraId="08AE304D">
      <w:pPr>
        <w:pStyle w:val="57"/>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7、不与采购人、采购代理机构政府采购评审专家或其它供应商恶意串通，进行质疑和投诉，维护政府采购市场秩序。</w:t>
      </w:r>
    </w:p>
    <w:p w14:paraId="64D67D8D">
      <w:pPr>
        <w:pStyle w:val="57"/>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8、尊重和接受政府采购监督管理部门的监督和政府采购代理机构招标采购要求，承担因违约行为给采购人造成的损失。</w:t>
      </w:r>
    </w:p>
    <w:p w14:paraId="61F0A51C">
      <w:pPr>
        <w:pStyle w:val="57"/>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9、不发生其他有悖于政府采购公开、公平、公正和诚信原则的行为。</w:t>
      </w:r>
    </w:p>
    <w:p w14:paraId="695FDDB3">
      <w:pPr>
        <w:pStyle w:val="57"/>
        <w:spacing w:line="360" w:lineRule="auto"/>
        <w:jc w:val="left"/>
        <w:rPr>
          <w:rFonts w:hint="eastAsia" w:asciiTheme="minorEastAsia" w:hAnsiTheme="minorEastAsia" w:eastAsiaTheme="minorEastAsia" w:cstheme="minorEastAsia"/>
          <w:color w:val="auto"/>
          <w:sz w:val="24"/>
          <w:szCs w:val="24"/>
        </w:rPr>
      </w:pPr>
    </w:p>
    <w:p w14:paraId="012F48F9">
      <w:pPr>
        <w:pStyle w:val="57"/>
        <w:spacing w:line="360" w:lineRule="auto"/>
        <w:jc w:val="left"/>
        <w:rPr>
          <w:rFonts w:hint="eastAsia" w:asciiTheme="minorEastAsia" w:hAnsiTheme="minorEastAsia" w:eastAsiaTheme="minorEastAsia" w:cstheme="minorEastAsia"/>
          <w:color w:val="auto"/>
          <w:sz w:val="24"/>
          <w:szCs w:val="24"/>
        </w:rPr>
      </w:pPr>
    </w:p>
    <w:p w14:paraId="2BEBF9F6">
      <w:pPr>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承诺单位：　</w:t>
      </w:r>
      <w:r>
        <w:rPr>
          <w:rFonts w:hint="eastAsia" w:asciiTheme="minorEastAsia" w:hAnsiTheme="minorEastAsia" w:eastAsiaTheme="minorEastAsia" w:cstheme="minorEastAsia"/>
          <w:color w:val="auto"/>
          <w:kern w:val="0"/>
          <w:szCs w:val="24"/>
          <w:u w:val="single"/>
        </w:rPr>
        <w:t>　                 　</w:t>
      </w:r>
      <w:r>
        <w:rPr>
          <w:rFonts w:hint="eastAsia" w:asciiTheme="minorEastAsia" w:hAnsiTheme="minorEastAsia" w:eastAsiaTheme="minorEastAsia" w:cstheme="minorEastAsia"/>
          <w:color w:val="auto"/>
          <w:kern w:val="0"/>
          <w:sz w:val="24"/>
          <w:szCs w:val="24"/>
        </w:rPr>
        <w:t>（盖章）</w:t>
      </w:r>
    </w:p>
    <w:p w14:paraId="7BFCBF88">
      <w:pPr>
        <w:spacing w:line="360" w:lineRule="auto"/>
        <w:jc w:val="center"/>
        <w:rPr>
          <w:rFonts w:hint="eastAsia" w:asciiTheme="minorEastAsia" w:hAnsiTheme="minorEastAsia" w:eastAsiaTheme="minorEastAsia" w:cstheme="minorEastAsia"/>
          <w:b/>
          <w:bCs/>
          <w:color w:val="auto"/>
          <w:szCs w:val="28"/>
        </w:rPr>
      </w:pPr>
      <w:bookmarkStart w:id="103" w:name="_Toc7447450"/>
    </w:p>
    <w:p w14:paraId="59BAC065">
      <w:pPr>
        <w:spacing w:line="360" w:lineRule="auto"/>
        <w:ind w:firstLine="2160" w:firstLineChars="900"/>
        <w:rPr>
          <w:rFonts w:hint="eastAsia" w:asciiTheme="minorEastAsia" w:hAnsiTheme="minorEastAsia" w:eastAsiaTheme="minorEastAsia" w:cstheme="minorEastAsia"/>
          <w:color w:val="auto"/>
          <w:kern w:val="0"/>
          <w:sz w:val="24"/>
          <w:szCs w:val="24"/>
        </w:rPr>
        <w:sectPr>
          <w:headerReference r:id="rId21" w:type="first"/>
          <w:footerReference r:id="rId23" w:type="first"/>
          <w:headerReference r:id="rId20" w:type="default"/>
          <w:footerReference r:id="rId22" w:type="default"/>
          <w:pgSz w:w="11905" w:h="16838"/>
          <w:pgMar w:top="1417" w:right="1134" w:bottom="1417" w:left="1304" w:header="935" w:footer="1020" w:gutter="567"/>
          <w:cols w:space="0" w:num="1"/>
          <w:titlePg/>
          <w:docGrid w:linePitch="312" w:charSpace="0"/>
        </w:sectPr>
      </w:pPr>
      <w:r>
        <w:rPr>
          <w:rFonts w:hint="eastAsia" w:asciiTheme="minorEastAsia" w:hAnsiTheme="minorEastAsia" w:eastAsiaTheme="minorEastAsia" w:cstheme="minorEastAsia"/>
          <w:color w:val="auto"/>
          <w:kern w:val="0"/>
          <w:sz w:val="24"/>
          <w:szCs w:val="24"/>
        </w:rPr>
        <w:t xml:space="preserve">年　　月　　日 </w:t>
      </w:r>
    </w:p>
    <w:bookmarkEnd w:id="102"/>
    <w:bookmarkEnd w:id="103"/>
    <w:p w14:paraId="78428303">
      <w:pPr>
        <w:spacing w:line="360" w:lineRule="auto"/>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5、 商务响应表</w:t>
      </w:r>
    </w:p>
    <w:p w14:paraId="307539C0">
      <w:pPr>
        <w:pStyle w:val="14"/>
        <w:spacing w:line="360" w:lineRule="auto"/>
        <w:rPr>
          <w:rFonts w:hint="eastAsia" w:asciiTheme="minorEastAsia" w:hAnsiTheme="minorEastAsia" w:eastAsiaTheme="minorEastAsia" w:cstheme="minorEastAsia"/>
          <w:color w:val="auto"/>
          <w:sz w:val="24"/>
        </w:rPr>
      </w:pPr>
    </w:p>
    <w:p w14:paraId="23B79658">
      <w:pPr>
        <w:pStyle w:val="1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采购编号：</w:t>
      </w:r>
      <w:r>
        <w:rPr>
          <w:rFonts w:hint="eastAsia" w:asciiTheme="minorEastAsia" w:hAnsiTheme="minorEastAsia" w:eastAsiaTheme="minorEastAsia" w:cstheme="minorEastAsia"/>
          <w:color w:val="auto"/>
          <w:sz w:val="24"/>
          <w:u w:val="single"/>
        </w:rPr>
        <w:t xml:space="preserve">                          </w:t>
      </w:r>
    </w:p>
    <w:p w14:paraId="2B5896D0">
      <w:pPr>
        <w:pStyle w:val="14"/>
        <w:spacing w:line="360" w:lineRule="auto"/>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项目名称：</w:t>
      </w:r>
      <w:r>
        <w:rPr>
          <w:rFonts w:hint="eastAsia" w:asciiTheme="minorEastAsia" w:hAnsiTheme="minorEastAsia" w:eastAsiaTheme="minorEastAsia" w:cstheme="minorEastAsia"/>
          <w:color w:val="auto"/>
          <w:sz w:val="24"/>
          <w:u w:val="single"/>
        </w:rPr>
        <w:t xml:space="preserve">                          </w:t>
      </w:r>
    </w:p>
    <w:p w14:paraId="574E0711">
      <w:pPr>
        <w:pStyle w:val="1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w:t>
      </w:r>
      <w:r>
        <w:rPr>
          <w:rFonts w:hint="eastAsia" w:asciiTheme="minorEastAsia" w:hAnsiTheme="minorEastAsia" w:eastAsiaTheme="minorEastAsia" w:cstheme="minorEastAsia"/>
          <w:color w:val="auto"/>
          <w:sz w:val="24"/>
          <w:u w:val="single"/>
        </w:rPr>
        <w:t xml:space="preserve">                  </w:t>
      </w:r>
    </w:p>
    <w:tbl>
      <w:tblPr>
        <w:tblStyle w:val="25"/>
        <w:tblW w:w="91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2"/>
        <w:gridCol w:w="1825"/>
        <w:gridCol w:w="2416"/>
        <w:gridCol w:w="3154"/>
        <w:gridCol w:w="960"/>
      </w:tblGrid>
      <w:tr w14:paraId="49DE3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2" w:hRule="atLeast"/>
          <w:jc w:val="center"/>
        </w:trPr>
        <w:tc>
          <w:tcPr>
            <w:tcW w:w="772" w:type="dxa"/>
            <w:vAlign w:val="center"/>
          </w:tcPr>
          <w:p w14:paraId="1015FBFF">
            <w:pPr>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序号</w:t>
            </w:r>
          </w:p>
        </w:tc>
        <w:tc>
          <w:tcPr>
            <w:tcW w:w="1825" w:type="dxa"/>
            <w:vAlign w:val="center"/>
          </w:tcPr>
          <w:p w14:paraId="1067B956">
            <w:pPr>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磋商文件条目号</w:t>
            </w:r>
          </w:p>
        </w:tc>
        <w:tc>
          <w:tcPr>
            <w:tcW w:w="2416" w:type="dxa"/>
            <w:vAlign w:val="center"/>
          </w:tcPr>
          <w:p w14:paraId="6DD719B7">
            <w:pPr>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磋商文件商务要求</w:t>
            </w:r>
          </w:p>
        </w:tc>
        <w:tc>
          <w:tcPr>
            <w:tcW w:w="3154" w:type="dxa"/>
            <w:vAlign w:val="center"/>
          </w:tcPr>
          <w:p w14:paraId="68F6C12F">
            <w:pPr>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磋商响应文件商务响应描述</w:t>
            </w:r>
          </w:p>
        </w:tc>
        <w:tc>
          <w:tcPr>
            <w:tcW w:w="960" w:type="dxa"/>
            <w:vAlign w:val="center"/>
          </w:tcPr>
          <w:p w14:paraId="252F1355">
            <w:pPr>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偏离</w:t>
            </w:r>
          </w:p>
        </w:tc>
      </w:tr>
      <w:tr w14:paraId="44BD4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4" w:hRule="atLeast"/>
          <w:jc w:val="center"/>
        </w:trPr>
        <w:tc>
          <w:tcPr>
            <w:tcW w:w="772" w:type="dxa"/>
            <w:vAlign w:val="center"/>
          </w:tcPr>
          <w:p w14:paraId="7519FD30">
            <w:pPr>
              <w:spacing w:line="360" w:lineRule="auto"/>
              <w:jc w:val="center"/>
              <w:rPr>
                <w:rFonts w:hint="eastAsia" w:asciiTheme="minorEastAsia" w:hAnsiTheme="minorEastAsia" w:eastAsiaTheme="minorEastAsia" w:cstheme="minorEastAsia"/>
                <w:color w:val="auto"/>
                <w:sz w:val="24"/>
              </w:rPr>
            </w:pPr>
          </w:p>
        </w:tc>
        <w:tc>
          <w:tcPr>
            <w:tcW w:w="1825" w:type="dxa"/>
            <w:vAlign w:val="center"/>
          </w:tcPr>
          <w:p w14:paraId="22B88B3C">
            <w:pPr>
              <w:spacing w:line="360" w:lineRule="auto"/>
              <w:jc w:val="center"/>
              <w:rPr>
                <w:rFonts w:hint="eastAsia" w:asciiTheme="minorEastAsia" w:hAnsiTheme="minorEastAsia" w:eastAsiaTheme="minorEastAsia" w:cstheme="minorEastAsia"/>
                <w:color w:val="auto"/>
                <w:sz w:val="24"/>
              </w:rPr>
            </w:pPr>
          </w:p>
        </w:tc>
        <w:tc>
          <w:tcPr>
            <w:tcW w:w="2416" w:type="dxa"/>
            <w:vAlign w:val="center"/>
          </w:tcPr>
          <w:p w14:paraId="3B0C6E8E">
            <w:pPr>
              <w:spacing w:line="360" w:lineRule="auto"/>
              <w:jc w:val="center"/>
              <w:rPr>
                <w:rFonts w:hint="eastAsia" w:asciiTheme="minorEastAsia" w:hAnsiTheme="minorEastAsia" w:eastAsiaTheme="minorEastAsia" w:cstheme="minorEastAsia"/>
                <w:color w:val="auto"/>
                <w:sz w:val="24"/>
              </w:rPr>
            </w:pPr>
          </w:p>
        </w:tc>
        <w:tc>
          <w:tcPr>
            <w:tcW w:w="3154" w:type="dxa"/>
            <w:vAlign w:val="center"/>
          </w:tcPr>
          <w:p w14:paraId="562606D7">
            <w:pPr>
              <w:spacing w:line="360" w:lineRule="auto"/>
              <w:jc w:val="center"/>
              <w:rPr>
                <w:rFonts w:hint="eastAsia" w:asciiTheme="minorEastAsia" w:hAnsiTheme="minorEastAsia" w:eastAsiaTheme="minorEastAsia" w:cstheme="minorEastAsia"/>
                <w:color w:val="auto"/>
                <w:sz w:val="24"/>
              </w:rPr>
            </w:pPr>
          </w:p>
        </w:tc>
        <w:tc>
          <w:tcPr>
            <w:tcW w:w="960" w:type="dxa"/>
            <w:vAlign w:val="center"/>
          </w:tcPr>
          <w:p w14:paraId="1DE7B841">
            <w:pPr>
              <w:spacing w:line="360" w:lineRule="auto"/>
              <w:jc w:val="center"/>
              <w:rPr>
                <w:rFonts w:hint="eastAsia" w:asciiTheme="minorEastAsia" w:hAnsiTheme="minorEastAsia" w:eastAsiaTheme="minorEastAsia" w:cstheme="minorEastAsia"/>
                <w:b/>
                <w:color w:val="auto"/>
                <w:sz w:val="24"/>
              </w:rPr>
            </w:pPr>
          </w:p>
        </w:tc>
      </w:tr>
      <w:tr w14:paraId="081B9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jc w:val="center"/>
        </w:trPr>
        <w:tc>
          <w:tcPr>
            <w:tcW w:w="772" w:type="dxa"/>
            <w:vAlign w:val="center"/>
          </w:tcPr>
          <w:p w14:paraId="07F459BA">
            <w:pPr>
              <w:spacing w:line="360" w:lineRule="auto"/>
              <w:jc w:val="center"/>
              <w:rPr>
                <w:rFonts w:hint="eastAsia" w:asciiTheme="minorEastAsia" w:hAnsiTheme="minorEastAsia" w:eastAsiaTheme="minorEastAsia" w:cstheme="minorEastAsia"/>
                <w:color w:val="auto"/>
                <w:sz w:val="24"/>
              </w:rPr>
            </w:pPr>
          </w:p>
        </w:tc>
        <w:tc>
          <w:tcPr>
            <w:tcW w:w="1825" w:type="dxa"/>
            <w:vAlign w:val="center"/>
          </w:tcPr>
          <w:p w14:paraId="2B24472C">
            <w:pPr>
              <w:spacing w:line="360" w:lineRule="auto"/>
              <w:jc w:val="center"/>
              <w:rPr>
                <w:rFonts w:hint="eastAsia" w:asciiTheme="minorEastAsia" w:hAnsiTheme="minorEastAsia" w:eastAsiaTheme="minorEastAsia" w:cstheme="minorEastAsia"/>
                <w:color w:val="auto"/>
                <w:sz w:val="24"/>
              </w:rPr>
            </w:pPr>
          </w:p>
        </w:tc>
        <w:tc>
          <w:tcPr>
            <w:tcW w:w="2416" w:type="dxa"/>
            <w:vAlign w:val="center"/>
          </w:tcPr>
          <w:p w14:paraId="0CB92271">
            <w:pPr>
              <w:spacing w:line="360" w:lineRule="auto"/>
              <w:jc w:val="center"/>
              <w:rPr>
                <w:rFonts w:hint="eastAsia" w:asciiTheme="minorEastAsia" w:hAnsiTheme="minorEastAsia" w:eastAsiaTheme="minorEastAsia" w:cstheme="minorEastAsia"/>
                <w:color w:val="auto"/>
                <w:sz w:val="24"/>
              </w:rPr>
            </w:pPr>
          </w:p>
        </w:tc>
        <w:tc>
          <w:tcPr>
            <w:tcW w:w="3154" w:type="dxa"/>
            <w:vAlign w:val="center"/>
          </w:tcPr>
          <w:p w14:paraId="798B9867">
            <w:pPr>
              <w:spacing w:line="360" w:lineRule="auto"/>
              <w:jc w:val="center"/>
              <w:rPr>
                <w:rFonts w:hint="eastAsia" w:asciiTheme="minorEastAsia" w:hAnsiTheme="minorEastAsia" w:eastAsiaTheme="minorEastAsia" w:cstheme="minorEastAsia"/>
                <w:color w:val="auto"/>
                <w:sz w:val="24"/>
              </w:rPr>
            </w:pPr>
          </w:p>
        </w:tc>
        <w:tc>
          <w:tcPr>
            <w:tcW w:w="960" w:type="dxa"/>
            <w:vAlign w:val="center"/>
          </w:tcPr>
          <w:p w14:paraId="1F56F83A">
            <w:pPr>
              <w:spacing w:line="360" w:lineRule="auto"/>
              <w:jc w:val="center"/>
              <w:rPr>
                <w:rFonts w:hint="eastAsia" w:asciiTheme="minorEastAsia" w:hAnsiTheme="minorEastAsia" w:eastAsiaTheme="minorEastAsia" w:cstheme="minorEastAsia"/>
                <w:b/>
                <w:color w:val="auto"/>
                <w:sz w:val="24"/>
              </w:rPr>
            </w:pPr>
          </w:p>
        </w:tc>
      </w:tr>
      <w:tr w14:paraId="6D807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4" w:hRule="atLeast"/>
          <w:jc w:val="center"/>
        </w:trPr>
        <w:tc>
          <w:tcPr>
            <w:tcW w:w="772" w:type="dxa"/>
            <w:vAlign w:val="center"/>
          </w:tcPr>
          <w:p w14:paraId="04DF019B">
            <w:pPr>
              <w:spacing w:line="360" w:lineRule="auto"/>
              <w:jc w:val="center"/>
              <w:rPr>
                <w:rFonts w:hint="eastAsia" w:asciiTheme="minorEastAsia" w:hAnsiTheme="minorEastAsia" w:eastAsiaTheme="minorEastAsia" w:cstheme="minorEastAsia"/>
                <w:color w:val="auto"/>
                <w:sz w:val="24"/>
              </w:rPr>
            </w:pPr>
          </w:p>
        </w:tc>
        <w:tc>
          <w:tcPr>
            <w:tcW w:w="1825" w:type="dxa"/>
            <w:vAlign w:val="center"/>
          </w:tcPr>
          <w:p w14:paraId="4DE4308B">
            <w:pPr>
              <w:spacing w:line="360" w:lineRule="auto"/>
              <w:jc w:val="center"/>
              <w:rPr>
                <w:rFonts w:hint="eastAsia" w:asciiTheme="minorEastAsia" w:hAnsiTheme="minorEastAsia" w:eastAsiaTheme="minorEastAsia" w:cstheme="minorEastAsia"/>
                <w:color w:val="auto"/>
                <w:sz w:val="24"/>
              </w:rPr>
            </w:pPr>
          </w:p>
        </w:tc>
        <w:tc>
          <w:tcPr>
            <w:tcW w:w="2416" w:type="dxa"/>
            <w:vAlign w:val="center"/>
          </w:tcPr>
          <w:p w14:paraId="1FC2F9B1">
            <w:pPr>
              <w:spacing w:line="360" w:lineRule="auto"/>
              <w:jc w:val="center"/>
              <w:rPr>
                <w:rFonts w:hint="eastAsia" w:asciiTheme="minorEastAsia" w:hAnsiTheme="minorEastAsia" w:eastAsiaTheme="minorEastAsia" w:cstheme="minorEastAsia"/>
                <w:color w:val="auto"/>
                <w:sz w:val="24"/>
              </w:rPr>
            </w:pPr>
          </w:p>
        </w:tc>
        <w:tc>
          <w:tcPr>
            <w:tcW w:w="3154" w:type="dxa"/>
            <w:vAlign w:val="center"/>
          </w:tcPr>
          <w:p w14:paraId="65EC48D1">
            <w:pPr>
              <w:spacing w:line="360" w:lineRule="auto"/>
              <w:jc w:val="center"/>
              <w:rPr>
                <w:rFonts w:hint="eastAsia" w:asciiTheme="minorEastAsia" w:hAnsiTheme="minorEastAsia" w:eastAsiaTheme="minorEastAsia" w:cstheme="minorEastAsia"/>
                <w:color w:val="auto"/>
                <w:sz w:val="24"/>
              </w:rPr>
            </w:pPr>
          </w:p>
        </w:tc>
        <w:tc>
          <w:tcPr>
            <w:tcW w:w="960" w:type="dxa"/>
            <w:vAlign w:val="center"/>
          </w:tcPr>
          <w:p w14:paraId="233961A0">
            <w:pPr>
              <w:spacing w:line="360" w:lineRule="auto"/>
              <w:jc w:val="center"/>
              <w:rPr>
                <w:rFonts w:hint="eastAsia" w:asciiTheme="minorEastAsia" w:hAnsiTheme="minorEastAsia" w:eastAsiaTheme="minorEastAsia" w:cstheme="minorEastAsia"/>
                <w:b/>
                <w:color w:val="auto"/>
                <w:sz w:val="24"/>
              </w:rPr>
            </w:pPr>
          </w:p>
        </w:tc>
      </w:tr>
      <w:tr w14:paraId="7C031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4" w:hRule="atLeast"/>
          <w:jc w:val="center"/>
        </w:trPr>
        <w:tc>
          <w:tcPr>
            <w:tcW w:w="772" w:type="dxa"/>
            <w:vAlign w:val="center"/>
          </w:tcPr>
          <w:p w14:paraId="25F428F7">
            <w:pPr>
              <w:spacing w:line="360" w:lineRule="auto"/>
              <w:jc w:val="center"/>
              <w:rPr>
                <w:rFonts w:hint="eastAsia" w:asciiTheme="minorEastAsia" w:hAnsiTheme="minorEastAsia" w:eastAsiaTheme="minorEastAsia" w:cstheme="minorEastAsia"/>
                <w:color w:val="auto"/>
                <w:sz w:val="24"/>
              </w:rPr>
            </w:pPr>
          </w:p>
        </w:tc>
        <w:tc>
          <w:tcPr>
            <w:tcW w:w="1825" w:type="dxa"/>
            <w:vAlign w:val="center"/>
          </w:tcPr>
          <w:p w14:paraId="76B01E04">
            <w:pPr>
              <w:spacing w:line="360" w:lineRule="auto"/>
              <w:jc w:val="center"/>
              <w:rPr>
                <w:rFonts w:hint="eastAsia" w:asciiTheme="minorEastAsia" w:hAnsiTheme="minorEastAsia" w:eastAsiaTheme="minorEastAsia" w:cstheme="minorEastAsia"/>
                <w:color w:val="auto"/>
                <w:sz w:val="24"/>
              </w:rPr>
            </w:pPr>
          </w:p>
        </w:tc>
        <w:tc>
          <w:tcPr>
            <w:tcW w:w="2416" w:type="dxa"/>
            <w:vAlign w:val="center"/>
          </w:tcPr>
          <w:p w14:paraId="4BF4690D">
            <w:pPr>
              <w:spacing w:line="360" w:lineRule="auto"/>
              <w:jc w:val="center"/>
              <w:rPr>
                <w:rFonts w:hint="eastAsia" w:asciiTheme="minorEastAsia" w:hAnsiTheme="minorEastAsia" w:eastAsiaTheme="minorEastAsia" w:cstheme="minorEastAsia"/>
                <w:color w:val="auto"/>
                <w:sz w:val="24"/>
              </w:rPr>
            </w:pPr>
          </w:p>
        </w:tc>
        <w:tc>
          <w:tcPr>
            <w:tcW w:w="3154" w:type="dxa"/>
            <w:vAlign w:val="center"/>
          </w:tcPr>
          <w:p w14:paraId="7E73C72F">
            <w:pPr>
              <w:spacing w:line="360" w:lineRule="auto"/>
              <w:jc w:val="center"/>
              <w:rPr>
                <w:rFonts w:hint="eastAsia" w:asciiTheme="minorEastAsia" w:hAnsiTheme="minorEastAsia" w:eastAsiaTheme="minorEastAsia" w:cstheme="minorEastAsia"/>
                <w:color w:val="auto"/>
                <w:sz w:val="24"/>
              </w:rPr>
            </w:pPr>
          </w:p>
        </w:tc>
        <w:tc>
          <w:tcPr>
            <w:tcW w:w="960" w:type="dxa"/>
            <w:vAlign w:val="center"/>
          </w:tcPr>
          <w:p w14:paraId="3F8EC344">
            <w:pPr>
              <w:spacing w:line="360" w:lineRule="auto"/>
              <w:jc w:val="center"/>
              <w:rPr>
                <w:rFonts w:hint="eastAsia" w:asciiTheme="minorEastAsia" w:hAnsiTheme="minorEastAsia" w:eastAsiaTheme="minorEastAsia" w:cstheme="minorEastAsia"/>
                <w:b/>
                <w:color w:val="auto"/>
                <w:sz w:val="24"/>
              </w:rPr>
            </w:pPr>
          </w:p>
        </w:tc>
      </w:tr>
      <w:tr w14:paraId="18C21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4" w:hRule="atLeast"/>
          <w:jc w:val="center"/>
        </w:trPr>
        <w:tc>
          <w:tcPr>
            <w:tcW w:w="772" w:type="dxa"/>
            <w:vAlign w:val="center"/>
          </w:tcPr>
          <w:p w14:paraId="469FE27E">
            <w:pPr>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备注</w:t>
            </w:r>
          </w:p>
        </w:tc>
        <w:tc>
          <w:tcPr>
            <w:tcW w:w="8355" w:type="dxa"/>
            <w:gridSpan w:val="4"/>
            <w:vAlign w:val="center"/>
          </w:tcPr>
          <w:p w14:paraId="09D0D27F">
            <w:pPr>
              <w:spacing w:line="360" w:lineRule="auto"/>
              <w:jc w:val="center"/>
              <w:rPr>
                <w:rFonts w:hint="eastAsia" w:asciiTheme="minorEastAsia" w:hAnsiTheme="minorEastAsia" w:eastAsiaTheme="minorEastAsia" w:cstheme="minorEastAsia"/>
                <w:b/>
                <w:color w:val="auto"/>
                <w:sz w:val="24"/>
              </w:rPr>
            </w:pPr>
          </w:p>
        </w:tc>
      </w:tr>
    </w:tbl>
    <w:p w14:paraId="36368337">
      <w:pPr>
        <w:autoSpaceDE w:val="0"/>
        <w:autoSpaceDN w:val="0"/>
        <w:adjustRightInd w:val="0"/>
        <w:spacing w:line="360" w:lineRule="auto"/>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注：1、</w:t>
      </w:r>
      <w:r>
        <w:rPr>
          <w:rFonts w:hint="eastAsia" w:asciiTheme="minorEastAsia" w:hAnsiTheme="minorEastAsia" w:eastAsiaTheme="minorEastAsia" w:cstheme="minorEastAsia"/>
          <w:color w:val="auto"/>
          <w:sz w:val="24"/>
        </w:rPr>
        <w:t>商务合同条款各条目是对供应商提出的最低要求，将作为采购人与成交人签定合同的基本要求。</w:t>
      </w:r>
    </w:p>
    <w:p w14:paraId="2C2045B9">
      <w:pPr>
        <w:pStyle w:val="14"/>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2、凡是磋商响应文件的商务条款与磋商文件的商务条款之间存在负偏离（即不能满足磋商文件要求）的，按无效响应处理。</w:t>
      </w:r>
    </w:p>
    <w:p w14:paraId="3E3A2CC5">
      <w:pPr>
        <w:pStyle w:val="14"/>
        <w:spacing w:line="360" w:lineRule="auto"/>
        <w:rPr>
          <w:rFonts w:hint="eastAsia" w:asciiTheme="minorEastAsia" w:hAnsiTheme="minorEastAsia" w:eastAsiaTheme="minorEastAsia" w:cstheme="minorEastAsia"/>
          <w:color w:val="auto"/>
          <w:sz w:val="24"/>
        </w:rPr>
      </w:pPr>
    </w:p>
    <w:p w14:paraId="60CBE2EA">
      <w:pPr>
        <w:spacing w:line="360" w:lineRule="auto"/>
        <w:ind w:firstLine="4759" w:firstLineChars="1983"/>
        <w:rPr>
          <w:rFonts w:hint="eastAsia" w:asciiTheme="minorEastAsia" w:hAnsiTheme="minorEastAsia" w:eastAsiaTheme="minorEastAsia" w:cstheme="minorEastAsia"/>
          <w:color w:val="auto"/>
          <w:sz w:val="24"/>
          <w:szCs w:val="28"/>
        </w:rPr>
      </w:pPr>
    </w:p>
    <w:p w14:paraId="263DC36C">
      <w:pPr>
        <w:spacing w:line="360" w:lineRule="auto"/>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rPr>
        <w:t>供应商</w:t>
      </w:r>
      <w:r>
        <w:rPr>
          <w:rFonts w:hint="eastAsia" w:asciiTheme="minorEastAsia" w:hAnsiTheme="minorEastAsia" w:eastAsiaTheme="minorEastAsia" w:cstheme="minorEastAsia"/>
          <w:color w:val="auto"/>
          <w:sz w:val="24"/>
          <w:szCs w:val="28"/>
        </w:rPr>
        <w:t>全称(盖章)：</w:t>
      </w:r>
    </w:p>
    <w:p w14:paraId="1FA0A8A2">
      <w:pPr>
        <w:spacing w:line="360" w:lineRule="auto"/>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日  期：</w:t>
      </w:r>
    </w:p>
    <w:p w14:paraId="3B3CEC8C">
      <w:pPr>
        <w:pStyle w:val="11"/>
        <w:rPr>
          <w:rFonts w:hint="eastAsia" w:asciiTheme="minorEastAsia" w:hAnsiTheme="minorEastAsia" w:eastAsiaTheme="minorEastAsia" w:cstheme="minorEastAsia"/>
          <w:color w:val="auto"/>
        </w:rPr>
        <w:sectPr>
          <w:pgSz w:w="11905" w:h="16838"/>
          <w:pgMar w:top="1417" w:right="1134" w:bottom="1417" w:left="1304" w:header="935" w:footer="771" w:gutter="567"/>
          <w:cols w:space="0" w:num="1"/>
          <w:titlePg/>
          <w:docGrid w:linePitch="312" w:charSpace="0"/>
        </w:sectPr>
      </w:pPr>
    </w:p>
    <w:p w14:paraId="49EE249A">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color w:val="auto"/>
          <w:sz w:val="24"/>
          <w:szCs w:val="24"/>
          <w:lang w:val="zh-CN"/>
        </w:rPr>
        <w:t>四、响应方案</w:t>
      </w:r>
    </w:p>
    <w:p w14:paraId="6A6FFE80">
      <w:pPr>
        <w:rPr>
          <w:rFonts w:hint="eastAsia" w:asciiTheme="minorEastAsia" w:hAnsiTheme="minorEastAsia" w:eastAsiaTheme="minorEastAsia" w:cstheme="minorEastAsia"/>
          <w:b/>
          <w:bCs/>
          <w:color w:val="auto"/>
          <w:sz w:val="24"/>
          <w:szCs w:val="24"/>
        </w:rPr>
      </w:pPr>
    </w:p>
    <w:p w14:paraId="760EEC2A">
      <w:pPr>
        <w:rPr>
          <w:rFonts w:hint="eastAsia" w:asciiTheme="minorEastAsia" w:hAnsiTheme="minorEastAsia" w:eastAsiaTheme="minorEastAsia" w:cstheme="minorEastAsia"/>
          <w:b/>
          <w:color w:val="auto"/>
          <w:szCs w:val="28"/>
        </w:rPr>
      </w:pPr>
      <w:r>
        <w:rPr>
          <w:rFonts w:hint="eastAsia" w:asciiTheme="minorEastAsia" w:hAnsiTheme="minorEastAsia" w:eastAsiaTheme="minorEastAsia" w:cstheme="minorEastAsia"/>
          <w:b/>
          <w:bCs/>
          <w:color w:val="auto"/>
          <w:sz w:val="24"/>
          <w:szCs w:val="24"/>
        </w:rPr>
        <w:t>1、供应商概况及其性质</w:t>
      </w:r>
    </w:p>
    <w:tbl>
      <w:tblPr>
        <w:tblStyle w:val="25"/>
        <w:tblW w:w="883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88"/>
        <w:gridCol w:w="1536"/>
        <w:gridCol w:w="1925"/>
        <w:gridCol w:w="1428"/>
        <w:gridCol w:w="2462"/>
      </w:tblGrid>
      <w:tr w14:paraId="446519B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488" w:type="dxa"/>
            <w:vAlign w:val="center"/>
          </w:tcPr>
          <w:p w14:paraId="00D4815F">
            <w:pPr>
              <w:keepNext/>
              <w:keepLines/>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供应商名称</w:t>
            </w:r>
          </w:p>
        </w:tc>
        <w:tc>
          <w:tcPr>
            <w:tcW w:w="7351" w:type="dxa"/>
            <w:gridSpan w:val="4"/>
            <w:vAlign w:val="center"/>
          </w:tcPr>
          <w:p w14:paraId="09448B9B">
            <w:pPr>
              <w:keepNext/>
              <w:keepLines/>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rPr>
            </w:pPr>
          </w:p>
        </w:tc>
      </w:tr>
      <w:tr w14:paraId="3EF9417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61" w:hRule="atLeast"/>
          <w:jc w:val="center"/>
        </w:trPr>
        <w:tc>
          <w:tcPr>
            <w:tcW w:w="1488" w:type="dxa"/>
            <w:vAlign w:val="center"/>
          </w:tcPr>
          <w:p w14:paraId="31AC90CE">
            <w:pPr>
              <w:keepNext/>
              <w:keepLines/>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注册地址</w:t>
            </w:r>
          </w:p>
        </w:tc>
        <w:tc>
          <w:tcPr>
            <w:tcW w:w="3461" w:type="dxa"/>
            <w:gridSpan w:val="2"/>
            <w:vAlign w:val="center"/>
          </w:tcPr>
          <w:p w14:paraId="3A50405F">
            <w:pPr>
              <w:keepNext/>
              <w:keepLines/>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rPr>
            </w:pPr>
          </w:p>
        </w:tc>
        <w:tc>
          <w:tcPr>
            <w:tcW w:w="1428" w:type="dxa"/>
            <w:vAlign w:val="center"/>
          </w:tcPr>
          <w:p w14:paraId="3165DB14">
            <w:pPr>
              <w:keepNext/>
              <w:keepLines/>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邮政编码</w:t>
            </w:r>
          </w:p>
        </w:tc>
        <w:tc>
          <w:tcPr>
            <w:tcW w:w="2462" w:type="dxa"/>
            <w:vAlign w:val="center"/>
          </w:tcPr>
          <w:p w14:paraId="6C28E656">
            <w:pPr>
              <w:keepNext/>
              <w:keepLines/>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rPr>
            </w:pPr>
          </w:p>
        </w:tc>
      </w:tr>
      <w:tr w14:paraId="50DC51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2" w:hRule="atLeast"/>
          <w:jc w:val="center"/>
        </w:trPr>
        <w:tc>
          <w:tcPr>
            <w:tcW w:w="1488" w:type="dxa"/>
            <w:vMerge w:val="restart"/>
            <w:vAlign w:val="center"/>
          </w:tcPr>
          <w:p w14:paraId="52F1361A">
            <w:pPr>
              <w:keepNext/>
              <w:keepLines/>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联系方式</w:t>
            </w:r>
          </w:p>
        </w:tc>
        <w:tc>
          <w:tcPr>
            <w:tcW w:w="1536" w:type="dxa"/>
            <w:vAlign w:val="center"/>
          </w:tcPr>
          <w:p w14:paraId="0FA6458D">
            <w:pPr>
              <w:keepNext/>
              <w:keepLines/>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联系人</w:t>
            </w:r>
          </w:p>
        </w:tc>
        <w:tc>
          <w:tcPr>
            <w:tcW w:w="1925" w:type="dxa"/>
            <w:vAlign w:val="center"/>
          </w:tcPr>
          <w:p w14:paraId="7A955ED5">
            <w:pPr>
              <w:keepNext/>
              <w:keepLines/>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rPr>
            </w:pPr>
          </w:p>
        </w:tc>
        <w:tc>
          <w:tcPr>
            <w:tcW w:w="1428" w:type="dxa"/>
            <w:vAlign w:val="center"/>
          </w:tcPr>
          <w:p w14:paraId="01BFDA02">
            <w:pPr>
              <w:keepNext/>
              <w:keepLines/>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电话</w:t>
            </w:r>
          </w:p>
        </w:tc>
        <w:tc>
          <w:tcPr>
            <w:tcW w:w="2462" w:type="dxa"/>
            <w:vAlign w:val="center"/>
          </w:tcPr>
          <w:p w14:paraId="18A8EA5C">
            <w:pPr>
              <w:keepNext/>
              <w:keepLines/>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rPr>
            </w:pPr>
          </w:p>
        </w:tc>
      </w:tr>
      <w:tr w14:paraId="3D5B892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488" w:type="dxa"/>
            <w:vMerge w:val="continue"/>
            <w:vAlign w:val="center"/>
          </w:tcPr>
          <w:p w14:paraId="47E4137D">
            <w:pP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rPr>
            </w:pPr>
          </w:p>
        </w:tc>
        <w:tc>
          <w:tcPr>
            <w:tcW w:w="1536" w:type="dxa"/>
            <w:vAlign w:val="center"/>
          </w:tcPr>
          <w:p w14:paraId="091460A9">
            <w:pP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传真</w:t>
            </w:r>
          </w:p>
        </w:tc>
        <w:tc>
          <w:tcPr>
            <w:tcW w:w="1925" w:type="dxa"/>
            <w:vAlign w:val="center"/>
          </w:tcPr>
          <w:p w14:paraId="38B0633B">
            <w:pP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rPr>
            </w:pPr>
          </w:p>
        </w:tc>
        <w:tc>
          <w:tcPr>
            <w:tcW w:w="1428" w:type="dxa"/>
            <w:vAlign w:val="center"/>
          </w:tcPr>
          <w:p w14:paraId="7AC324E9">
            <w:pP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网址</w:t>
            </w:r>
          </w:p>
        </w:tc>
        <w:tc>
          <w:tcPr>
            <w:tcW w:w="2462" w:type="dxa"/>
            <w:vAlign w:val="center"/>
          </w:tcPr>
          <w:p w14:paraId="792E912E">
            <w:pP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rPr>
            </w:pPr>
          </w:p>
        </w:tc>
      </w:tr>
      <w:tr w14:paraId="5EA0A30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03" w:hRule="atLeast"/>
          <w:jc w:val="center"/>
        </w:trPr>
        <w:tc>
          <w:tcPr>
            <w:tcW w:w="1488" w:type="dxa"/>
            <w:vAlign w:val="center"/>
          </w:tcPr>
          <w:p w14:paraId="37706C5B">
            <w:pP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法定代表人</w:t>
            </w:r>
          </w:p>
        </w:tc>
        <w:tc>
          <w:tcPr>
            <w:tcW w:w="1536" w:type="dxa"/>
            <w:vAlign w:val="center"/>
          </w:tcPr>
          <w:p w14:paraId="47C35F1B">
            <w:pP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姓名</w:t>
            </w:r>
          </w:p>
        </w:tc>
        <w:tc>
          <w:tcPr>
            <w:tcW w:w="1925" w:type="dxa"/>
            <w:vAlign w:val="center"/>
          </w:tcPr>
          <w:p w14:paraId="6AD3677E">
            <w:pP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rPr>
            </w:pPr>
          </w:p>
        </w:tc>
        <w:tc>
          <w:tcPr>
            <w:tcW w:w="1428" w:type="dxa"/>
            <w:vAlign w:val="center"/>
          </w:tcPr>
          <w:p w14:paraId="0BBBF0F9">
            <w:pP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电话</w:t>
            </w:r>
          </w:p>
        </w:tc>
        <w:tc>
          <w:tcPr>
            <w:tcW w:w="2462" w:type="dxa"/>
            <w:vAlign w:val="center"/>
          </w:tcPr>
          <w:p w14:paraId="1462DE3E">
            <w:pPr>
              <w:autoSpaceDE w:val="0"/>
              <w:autoSpaceDN w:val="0"/>
              <w:adjustRightInd w:val="0"/>
              <w:spacing w:line="400" w:lineRule="exact"/>
              <w:jc w:val="center"/>
              <w:rPr>
                <w:rFonts w:hint="eastAsia" w:asciiTheme="minorEastAsia" w:hAnsiTheme="minorEastAsia" w:eastAsiaTheme="minorEastAsia" w:cstheme="minorEastAsia"/>
                <w:b/>
                <w:bCs/>
                <w:color w:val="auto"/>
                <w:kern w:val="0"/>
                <w:sz w:val="24"/>
                <w:szCs w:val="24"/>
              </w:rPr>
            </w:pPr>
          </w:p>
        </w:tc>
      </w:tr>
      <w:tr w14:paraId="1368E44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1488" w:type="dxa"/>
            <w:vAlign w:val="center"/>
          </w:tcPr>
          <w:p w14:paraId="2A747AE0">
            <w:pP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项目负责人</w:t>
            </w:r>
          </w:p>
        </w:tc>
        <w:tc>
          <w:tcPr>
            <w:tcW w:w="1536" w:type="dxa"/>
            <w:vAlign w:val="center"/>
          </w:tcPr>
          <w:p w14:paraId="5DEF6C26">
            <w:pP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姓名</w:t>
            </w:r>
          </w:p>
        </w:tc>
        <w:tc>
          <w:tcPr>
            <w:tcW w:w="1925" w:type="dxa"/>
            <w:vAlign w:val="center"/>
          </w:tcPr>
          <w:p w14:paraId="6C7C1B72">
            <w:pP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rPr>
            </w:pPr>
          </w:p>
        </w:tc>
        <w:tc>
          <w:tcPr>
            <w:tcW w:w="1428" w:type="dxa"/>
            <w:vAlign w:val="center"/>
          </w:tcPr>
          <w:p w14:paraId="1D0C3442">
            <w:pP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电话</w:t>
            </w:r>
          </w:p>
        </w:tc>
        <w:tc>
          <w:tcPr>
            <w:tcW w:w="2462" w:type="dxa"/>
            <w:vAlign w:val="center"/>
          </w:tcPr>
          <w:p w14:paraId="7C450CAE">
            <w:pPr>
              <w:autoSpaceDE w:val="0"/>
              <w:autoSpaceDN w:val="0"/>
              <w:adjustRightInd w:val="0"/>
              <w:spacing w:line="400" w:lineRule="exact"/>
              <w:jc w:val="center"/>
              <w:rPr>
                <w:rFonts w:hint="eastAsia" w:asciiTheme="minorEastAsia" w:hAnsiTheme="minorEastAsia" w:eastAsiaTheme="minorEastAsia" w:cstheme="minorEastAsia"/>
                <w:b/>
                <w:bCs/>
                <w:color w:val="auto"/>
                <w:kern w:val="0"/>
                <w:sz w:val="24"/>
                <w:szCs w:val="24"/>
              </w:rPr>
            </w:pPr>
          </w:p>
        </w:tc>
      </w:tr>
      <w:tr w14:paraId="3A90EFE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61" w:hRule="atLeast"/>
          <w:jc w:val="center"/>
        </w:trPr>
        <w:tc>
          <w:tcPr>
            <w:tcW w:w="1488" w:type="dxa"/>
            <w:vAlign w:val="center"/>
          </w:tcPr>
          <w:p w14:paraId="501B37C3">
            <w:pP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成立时间</w:t>
            </w:r>
          </w:p>
        </w:tc>
        <w:tc>
          <w:tcPr>
            <w:tcW w:w="3461" w:type="dxa"/>
            <w:gridSpan w:val="2"/>
            <w:vAlign w:val="center"/>
          </w:tcPr>
          <w:p w14:paraId="45C755B7">
            <w:pP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rPr>
            </w:pPr>
          </w:p>
        </w:tc>
        <w:tc>
          <w:tcPr>
            <w:tcW w:w="1428" w:type="dxa"/>
            <w:vAlign w:val="center"/>
          </w:tcPr>
          <w:p w14:paraId="2AFBE781">
            <w:pP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开户银行</w:t>
            </w:r>
          </w:p>
        </w:tc>
        <w:tc>
          <w:tcPr>
            <w:tcW w:w="2462" w:type="dxa"/>
            <w:vAlign w:val="center"/>
          </w:tcPr>
          <w:p w14:paraId="5EE73BA2">
            <w:pPr>
              <w:autoSpaceDE w:val="0"/>
              <w:autoSpaceDN w:val="0"/>
              <w:adjustRightInd w:val="0"/>
              <w:spacing w:line="400" w:lineRule="exact"/>
              <w:jc w:val="center"/>
              <w:rPr>
                <w:rFonts w:hint="eastAsia" w:asciiTheme="minorEastAsia" w:hAnsiTheme="minorEastAsia" w:eastAsiaTheme="minorEastAsia" w:cstheme="minorEastAsia"/>
                <w:b/>
                <w:bCs/>
                <w:color w:val="auto"/>
                <w:kern w:val="0"/>
                <w:sz w:val="24"/>
                <w:szCs w:val="24"/>
              </w:rPr>
            </w:pPr>
          </w:p>
        </w:tc>
      </w:tr>
      <w:tr w14:paraId="53AA248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2" w:hRule="atLeast"/>
          <w:jc w:val="center"/>
        </w:trPr>
        <w:tc>
          <w:tcPr>
            <w:tcW w:w="1488" w:type="dxa"/>
            <w:vAlign w:val="center"/>
          </w:tcPr>
          <w:p w14:paraId="14897C27">
            <w:pP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统一社会信用代码</w:t>
            </w:r>
          </w:p>
        </w:tc>
        <w:tc>
          <w:tcPr>
            <w:tcW w:w="3461" w:type="dxa"/>
            <w:gridSpan w:val="2"/>
            <w:vAlign w:val="center"/>
          </w:tcPr>
          <w:p w14:paraId="406EBEC4">
            <w:pP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rPr>
            </w:pPr>
          </w:p>
        </w:tc>
        <w:tc>
          <w:tcPr>
            <w:tcW w:w="1428" w:type="dxa"/>
            <w:vAlign w:val="center"/>
          </w:tcPr>
          <w:p w14:paraId="3D05CBF9">
            <w:pP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账号</w:t>
            </w:r>
          </w:p>
        </w:tc>
        <w:tc>
          <w:tcPr>
            <w:tcW w:w="2462" w:type="dxa"/>
            <w:vAlign w:val="center"/>
          </w:tcPr>
          <w:p w14:paraId="68C517BE">
            <w:pPr>
              <w:autoSpaceDE w:val="0"/>
              <w:autoSpaceDN w:val="0"/>
              <w:adjustRightInd w:val="0"/>
              <w:spacing w:line="400" w:lineRule="exact"/>
              <w:jc w:val="center"/>
              <w:rPr>
                <w:rFonts w:hint="eastAsia" w:asciiTheme="minorEastAsia" w:hAnsiTheme="minorEastAsia" w:eastAsiaTheme="minorEastAsia" w:cstheme="minorEastAsia"/>
                <w:b/>
                <w:bCs/>
                <w:color w:val="auto"/>
                <w:kern w:val="0"/>
                <w:sz w:val="24"/>
                <w:szCs w:val="24"/>
              </w:rPr>
            </w:pPr>
          </w:p>
        </w:tc>
      </w:tr>
      <w:tr w14:paraId="2DCC178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992" w:hRule="atLeast"/>
          <w:jc w:val="center"/>
        </w:trPr>
        <w:tc>
          <w:tcPr>
            <w:tcW w:w="1488" w:type="dxa"/>
            <w:vAlign w:val="center"/>
          </w:tcPr>
          <w:p w14:paraId="42264D9C">
            <w:pP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经营范围</w:t>
            </w:r>
          </w:p>
        </w:tc>
        <w:tc>
          <w:tcPr>
            <w:tcW w:w="7351" w:type="dxa"/>
            <w:gridSpan w:val="4"/>
            <w:vAlign w:val="center"/>
          </w:tcPr>
          <w:p w14:paraId="279442A9">
            <w:pPr>
              <w:autoSpaceDE w:val="0"/>
              <w:autoSpaceDN w:val="0"/>
              <w:adjustRightInd w:val="0"/>
              <w:spacing w:line="400" w:lineRule="exact"/>
              <w:rPr>
                <w:rFonts w:hint="eastAsia" w:asciiTheme="minorEastAsia" w:hAnsiTheme="minorEastAsia" w:eastAsiaTheme="minorEastAsia" w:cstheme="minorEastAsia"/>
                <w:b/>
                <w:bCs/>
                <w:color w:val="auto"/>
                <w:kern w:val="0"/>
                <w:sz w:val="24"/>
                <w:szCs w:val="24"/>
              </w:rPr>
            </w:pPr>
          </w:p>
        </w:tc>
      </w:tr>
      <w:tr w14:paraId="6D2FD01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4" w:hRule="atLeast"/>
          <w:jc w:val="center"/>
        </w:trPr>
        <w:tc>
          <w:tcPr>
            <w:tcW w:w="1488" w:type="dxa"/>
          </w:tcPr>
          <w:p w14:paraId="09FFA97C">
            <w:pP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备注</w:t>
            </w:r>
          </w:p>
        </w:tc>
        <w:tc>
          <w:tcPr>
            <w:tcW w:w="7351" w:type="dxa"/>
            <w:gridSpan w:val="4"/>
          </w:tcPr>
          <w:p w14:paraId="559C27EB">
            <w:pPr>
              <w:autoSpaceDE w:val="0"/>
              <w:autoSpaceDN w:val="0"/>
              <w:adjustRightInd w:val="0"/>
              <w:spacing w:line="400" w:lineRule="exact"/>
              <w:jc w:val="left"/>
              <w:rPr>
                <w:rFonts w:hint="eastAsia" w:asciiTheme="minorEastAsia" w:hAnsiTheme="minorEastAsia" w:eastAsiaTheme="minorEastAsia" w:cstheme="minorEastAsia"/>
                <w:color w:val="auto"/>
                <w:kern w:val="0"/>
                <w:sz w:val="24"/>
                <w:szCs w:val="24"/>
              </w:rPr>
            </w:pPr>
          </w:p>
        </w:tc>
      </w:tr>
    </w:tbl>
    <w:p w14:paraId="74479B67">
      <w:pPr>
        <w:rPr>
          <w:rFonts w:hint="eastAsia" w:asciiTheme="minorEastAsia" w:hAnsiTheme="minorEastAsia" w:eastAsiaTheme="minorEastAsia" w:cstheme="minorEastAsia"/>
          <w:b/>
          <w:color w:val="auto"/>
          <w:sz w:val="32"/>
          <w:szCs w:val="32"/>
        </w:rPr>
      </w:pPr>
    </w:p>
    <w:p w14:paraId="041F888A">
      <w:pPr>
        <w:pStyle w:val="24"/>
        <w:ind w:firstLine="0" w:firstLineChars="0"/>
        <w:rPr>
          <w:rFonts w:hint="eastAsia" w:asciiTheme="minorEastAsia" w:hAnsiTheme="minorEastAsia" w:eastAsiaTheme="minorEastAsia" w:cstheme="minorEastAsia"/>
          <w:color w:val="auto"/>
          <w:sz w:val="24"/>
          <w:szCs w:val="22"/>
        </w:rPr>
      </w:pPr>
    </w:p>
    <w:p w14:paraId="51720AA6">
      <w:pPr>
        <w:pStyle w:val="24"/>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2"/>
        </w:rPr>
        <w:t xml:space="preserve">供应商名称： </w:t>
      </w:r>
      <w:r>
        <w:rPr>
          <w:rFonts w:hint="eastAsia" w:asciiTheme="minorEastAsia" w:hAnsiTheme="minorEastAsia" w:eastAsiaTheme="minorEastAsia" w:cstheme="minorEastAsia"/>
          <w:color w:val="auto"/>
          <w:sz w:val="24"/>
          <w:szCs w:val="22"/>
          <w:u w:val="single"/>
        </w:rPr>
        <w:t xml:space="preserve">                 </w:t>
      </w:r>
      <w:r>
        <w:rPr>
          <w:rFonts w:hint="eastAsia" w:asciiTheme="minorEastAsia" w:hAnsiTheme="minorEastAsia" w:eastAsiaTheme="minorEastAsia" w:cstheme="minorEastAsia"/>
          <w:color w:val="auto"/>
          <w:sz w:val="24"/>
          <w:szCs w:val="22"/>
        </w:rPr>
        <w:t>（</w:t>
      </w:r>
      <w:r>
        <w:rPr>
          <w:rFonts w:hint="eastAsia" w:asciiTheme="minorEastAsia" w:hAnsiTheme="minorEastAsia" w:eastAsiaTheme="minorEastAsia" w:cstheme="minorEastAsia"/>
          <w:color w:val="auto"/>
          <w:sz w:val="24"/>
          <w:szCs w:val="28"/>
        </w:rPr>
        <w:t>加盖公</w:t>
      </w:r>
      <w:r>
        <w:rPr>
          <w:rFonts w:hint="eastAsia" w:asciiTheme="minorEastAsia" w:hAnsiTheme="minorEastAsia" w:eastAsiaTheme="minorEastAsia" w:cstheme="minorEastAsia"/>
          <w:color w:val="auto"/>
          <w:sz w:val="24"/>
          <w:szCs w:val="22"/>
        </w:rPr>
        <w:t xml:space="preserve">章）  </w:t>
      </w:r>
    </w:p>
    <w:p w14:paraId="28AA45F5">
      <w:pPr>
        <w:autoSpaceDE w:val="0"/>
        <w:autoSpaceDN w:val="0"/>
        <w:adjustRightInd w:val="0"/>
        <w:snapToGrid w:val="0"/>
        <w:spacing w:line="360" w:lineRule="auto"/>
        <w:outlineLvl w:val="0"/>
        <w:rPr>
          <w:rFonts w:hint="eastAsia" w:asciiTheme="minorEastAsia" w:hAnsiTheme="minorEastAsia" w:eastAsiaTheme="minorEastAsia" w:cstheme="minorEastAsia"/>
          <w:b/>
          <w:bCs/>
          <w:color w:val="auto"/>
          <w:szCs w:val="28"/>
        </w:rPr>
      </w:pPr>
      <w:bookmarkStart w:id="104" w:name="_Toc554"/>
      <w:bookmarkStart w:id="105" w:name="_Toc6950"/>
      <w:bookmarkStart w:id="106" w:name="_Toc4945"/>
      <w:r>
        <w:rPr>
          <w:rFonts w:hint="eastAsia" w:asciiTheme="minorEastAsia" w:hAnsiTheme="minorEastAsia" w:eastAsiaTheme="minorEastAsia" w:cstheme="minorEastAsia"/>
          <w:color w:val="auto"/>
          <w:sz w:val="24"/>
          <w:szCs w:val="22"/>
        </w:rPr>
        <w:t>日  期：</w:t>
      </w:r>
      <w:bookmarkEnd w:id="104"/>
      <w:bookmarkEnd w:id="105"/>
      <w:bookmarkEnd w:id="106"/>
      <w:r>
        <w:rPr>
          <w:rFonts w:hint="eastAsia" w:asciiTheme="minorEastAsia" w:hAnsiTheme="minorEastAsia" w:eastAsiaTheme="minorEastAsia" w:cstheme="minorEastAsia"/>
          <w:color w:val="auto"/>
          <w:sz w:val="24"/>
          <w:szCs w:val="22"/>
        </w:rPr>
        <w:t xml:space="preserve"> </w:t>
      </w:r>
      <w:r>
        <w:rPr>
          <w:rFonts w:hint="eastAsia" w:asciiTheme="minorEastAsia" w:hAnsiTheme="minorEastAsia" w:eastAsiaTheme="minorEastAsia" w:cstheme="minorEastAsia"/>
          <w:color w:val="auto"/>
          <w:sz w:val="24"/>
          <w:szCs w:val="22"/>
          <w:u w:val="single"/>
        </w:rPr>
        <w:t xml:space="preserve">                 </w:t>
      </w:r>
    </w:p>
    <w:p w14:paraId="4EAC7434">
      <w:pPr>
        <w:rPr>
          <w:rFonts w:hint="eastAsia" w:asciiTheme="minorEastAsia" w:hAnsiTheme="minorEastAsia" w:eastAsiaTheme="minorEastAsia" w:cstheme="minorEastAsia"/>
          <w:color w:val="auto"/>
          <w:sz w:val="24"/>
          <w:szCs w:val="24"/>
        </w:rPr>
      </w:pPr>
    </w:p>
    <w:p w14:paraId="0A1BE58F">
      <w:pPr>
        <w:pStyle w:val="24"/>
        <w:ind w:firstLine="280"/>
        <w:rPr>
          <w:rFonts w:hint="eastAsia" w:asciiTheme="minorEastAsia" w:hAnsiTheme="minorEastAsia" w:eastAsiaTheme="minorEastAsia" w:cstheme="minorEastAsia"/>
          <w:color w:val="auto"/>
        </w:rPr>
      </w:pPr>
    </w:p>
    <w:p w14:paraId="22599BC9">
      <w:pPr>
        <w:pStyle w:val="49"/>
        <w:spacing w:line="360" w:lineRule="auto"/>
        <w:ind w:firstLine="173" w:firstLineChars="62"/>
        <w:jc w:val="left"/>
        <w:outlineLvl w:val="1"/>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color w:val="auto"/>
        </w:rPr>
        <w:br w:type="page"/>
      </w:r>
    </w:p>
    <w:p w14:paraId="223FE025">
      <w:pPr>
        <w:spacing w:line="360" w:lineRule="auto"/>
        <w:outlineLvl w:val="1"/>
        <w:rPr>
          <w:rFonts w:hint="eastAsia" w:asciiTheme="minorEastAsia" w:hAnsiTheme="minorEastAsia" w:eastAsiaTheme="minorEastAsia" w:cstheme="minorEastAsia"/>
          <w:b/>
          <w:bCs/>
          <w:color w:val="auto"/>
          <w:sz w:val="24"/>
          <w:szCs w:val="24"/>
        </w:rPr>
        <w:sectPr>
          <w:headerReference r:id="rId24" w:type="default"/>
          <w:footerReference r:id="rId25" w:type="default"/>
          <w:pgSz w:w="11850" w:h="16783"/>
          <w:pgMar w:top="1440" w:right="1800" w:bottom="1440" w:left="1800" w:header="851" w:footer="992" w:gutter="0"/>
          <w:cols w:space="720" w:num="1"/>
          <w:docGrid w:linePitch="312" w:charSpace="0"/>
        </w:sectPr>
      </w:pPr>
    </w:p>
    <w:p w14:paraId="1F85A2EE">
      <w:pPr>
        <w:spacing w:before="162"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Cs w:val="28"/>
        </w:rPr>
        <w:t>附件三：《中小企业声明函》</w:t>
      </w:r>
      <w:r>
        <w:rPr>
          <w:rFonts w:hint="eastAsia" w:asciiTheme="minorEastAsia" w:hAnsiTheme="minorEastAsia" w:eastAsiaTheme="minorEastAsia" w:cstheme="minorEastAsia"/>
          <w:b/>
          <w:color w:val="auto"/>
          <w:sz w:val="24"/>
        </w:rPr>
        <w:t>（若有）</w:t>
      </w:r>
    </w:p>
    <w:p w14:paraId="7B8669E9">
      <w:pPr>
        <w:spacing w:line="360" w:lineRule="auto"/>
        <w:ind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中小企业声明函</w:t>
      </w:r>
    </w:p>
    <w:p w14:paraId="430F463A">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（本公司（联合体）郑重声明，根据《政府采购促进中小企业发展管理办法》（财库﹝2020﹞46 号）的规定，本公司 （联合体）参加</w:t>
      </w:r>
      <w:r>
        <w:rPr>
          <w:rFonts w:hint="eastAsia" w:asciiTheme="minorEastAsia" w:hAnsiTheme="minorEastAsia" w:eastAsiaTheme="minorEastAsia" w:cstheme="minorEastAsia"/>
          <w:color w:val="auto"/>
          <w:sz w:val="24"/>
          <w:szCs w:val="24"/>
          <w:u w:val="single"/>
        </w:rPr>
        <w:t>（单位名称）</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auto"/>
          <w:sz w:val="24"/>
          <w:szCs w:val="24"/>
          <w:u w:val="single"/>
        </w:rPr>
        <w:t>（项目名称）</w:t>
      </w:r>
      <w:r>
        <w:rPr>
          <w:rFonts w:hint="eastAsia" w:asciiTheme="minorEastAsia" w:hAnsiTheme="minorEastAsia" w:eastAsiaTheme="minorEastAsia" w:cstheme="minorEastAsia"/>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4F0A12E6">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1.</w:t>
      </w:r>
      <w:r>
        <w:rPr>
          <w:rFonts w:hint="eastAsia" w:asciiTheme="minorEastAsia" w:hAnsiTheme="minorEastAsia" w:eastAsiaTheme="minorEastAsia" w:cstheme="minorEastAsia"/>
          <w:color w:val="auto"/>
          <w:sz w:val="24"/>
          <w:szCs w:val="24"/>
          <w:u w:val="single"/>
        </w:rPr>
        <w:t xml:space="preserve"> （标的名称） </w:t>
      </w:r>
      <w:r>
        <w:rPr>
          <w:rFonts w:hint="eastAsia" w:asciiTheme="minorEastAsia" w:hAnsiTheme="minorEastAsia" w:eastAsiaTheme="minorEastAsia" w:cstheme="minorEastAsia"/>
          <w:color w:val="auto"/>
          <w:sz w:val="24"/>
          <w:szCs w:val="24"/>
        </w:rPr>
        <w:t>，属于</w:t>
      </w:r>
      <w:r>
        <w:rPr>
          <w:rFonts w:hint="eastAsia" w:asciiTheme="minorEastAsia" w:hAnsiTheme="minorEastAsia" w:eastAsiaTheme="minorEastAsia" w:cstheme="minorEastAsia"/>
          <w:color w:val="auto"/>
          <w:sz w:val="24"/>
          <w:szCs w:val="24"/>
          <w:u w:val="single"/>
        </w:rPr>
        <w:t>（采购文件中明确的所属行业）</w:t>
      </w:r>
      <w:r>
        <w:rPr>
          <w:rFonts w:hint="eastAsia" w:asciiTheme="minorEastAsia" w:hAnsiTheme="minorEastAsia" w:eastAsiaTheme="minorEastAsia" w:cstheme="minorEastAsia"/>
          <w:color w:val="auto"/>
          <w:sz w:val="24"/>
          <w:szCs w:val="24"/>
        </w:rPr>
        <w:t>承建（承接）企业为</w:t>
      </w:r>
      <w:r>
        <w:rPr>
          <w:rFonts w:hint="eastAsia" w:asciiTheme="minorEastAsia" w:hAnsiTheme="minorEastAsia" w:eastAsiaTheme="minorEastAsia" w:cstheme="minorEastAsia"/>
          <w:color w:val="auto"/>
          <w:sz w:val="24"/>
          <w:szCs w:val="24"/>
          <w:u w:val="single"/>
        </w:rPr>
        <w:t>（企业名称）</w:t>
      </w:r>
      <w:r>
        <w:rPr>
          <w:rFonts w:hint="eastAsia" w:asciiTheme="minorEastAsia" w:hAnsiTheme="minorEastAsia" w:eastAsiaTheme="minorEastAsia" w:cstheme="minorEastAsia"/>
          <w:color w:val="auto"/>
          <w:sz w:val="24"/>
          <w:szCs w:val="24"/>
        </w:rPr>
        <w:t>，从业人员</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人，营业收入为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万元，资产总额为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万元 ，属于（</w:t>
      </w:r>
      <w:r>
        <w:rPr>
          <w:rFonts w:hint="eastAsia" w:asciiTheme="minorEastAsia" w:hAnsiTheme="minorEastAsia" w:eastAsiaTheme="minorEastAsia" w:cstheme="minorEastAsia"/>
          <w:color w:val="auto"/>
          <w:sz w:val="24"/>
          <w:szCs w:val="24"/>
          <w:u w:val="single"/>
        </w:rPr>
        <w:t>中型企业、 小型企业、微型企业</w:t>
      </w:r>
      <w:r>
        <w:rPr>
          <w:rFonts w:hint="eastAsia" w:asciiTheme="minorEastAsia" w:hAnsiTheme="minorEastAsia" w:eastAsiaTheme="minorEastAsia" w:cstheme="minorEastAsia"/>
          <w:color w:val="auto"/>
          <w:sz w:val="24"/>
          <w:szCs w:val="24"/>
        </w:rPr>
        <w:t>）；</w:t>
      </w:r>
    </w:p>
    <w:p w14:paraId="23F63A49">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2.</w:t>
      </w:r>
      <w:r>
        <w:rPr>
          <w:rFonts w:hint="eastAsia" w:asciiTheme="minorEastAsia" w:hAnsiTheme="minorEastAsia" w:eastAsiaTheme="minorEastAsia" w:cstheme="minorEastAsia"/>
          <w:color w:val="auto"/>
          <w:sz w:val="24"/>
          <w:szCs w:val="24"/>
          <w:u w:val="single"/>
        </w:rPr>
        <w:t xml:space="preserve"> （标的名称） </w:t>
      </w:r>
      <w:r>
        <w:rPr>
          <w:rFonts w:hint="eastAsia" w:asciiTheme="minorEastAsia" w:hAnsiTheme="minorEastAsia" w:eastAsiaTheme="minorEastAsia" w:cstheme="minorEastAsia"/>
          <w:color w:val="auto"/>
          <w:sz w:val="24"/>
          <w:szCs w:val="24"/>
        </w:rPr>
        <w:t>，属于</w:t>
      </w:r>
      <w:r>
        <w:rPr>
          <w:rFonts w:hint="eastAsia" w:asciiTheme="minorEastAsia" w:hAnsiTheme="minorEastAsia" w:eastAsiaTheme="minorEastAsia" w:cstheme="minorEastAsia"/>
          <w:color w:val="auto"/>
          <w:sz w:val="24"/>
          <w:szCs w:val="24"/>
          <w:u w:val="single"/>
        </w:rPr>
        <w:t>（采购文件中明确的所属行业）</w:t>
      </w:r>
      <w:r>
        <w:rPr>
          <w:rFonts w:hint="eastAsia" w:asciiTheme="minorEastAsia" w:hAnsiTheme="minorEastAsia" w:eastAsiaTheme="minorEastAsia" w:cstheme="minorEastAsia"/>
          <w:color w:val="auto"/>
          <w:sz w:val="24"/>
          <w:szCs w:val="24"/>
        </w:rPr>
        <w:t>；承建（承接）企业为</w:t>
      </w:r>
      <w:r>
        <w:rPr>
          <w:rFonts w:hint="eastAsia" w:asciiTheme="minorEastAsia" w:hAnsiTheme="minorEastAsia" w:eastAsiaTheme="minorEastAsia" w:cstheme="minorEastAsia"/>
          <w:color w:val="auto"/>
          <w:sz w:val="24"/>
          <w:szCs w:val="24"/>
          <w:u w:val="single"/>
        </w:rPr>
        <w:t>（企业名称）</w:t>
      </w:r>
      <w:r>
        <w:rPr>
          <w:rFonts w:hint="eastAsia" w:asciiTheme="minorEastAsia" w:hAnsiTheme="minorEastAsia" w:eastAsiaTheme="minorEastAsia" w:cstheme="minorEastAsia"/>
          <w:color w:val="auto"/>
          <w:sz w:val="24"/>
          <w:szCs w:val="24"/>
        </w:rPr>
        <w:t>，从业人员</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人，营业收入为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万元，资产总额为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万元，属于（</w:t>
      </w:r>
      <w:r>
        <w:rPr>
          <w:rFonts w:hint="eastAsia" w:asciiTheme="minorEastAsia" w:hAnsiTheme="minorEastAsia" w:eastAsiaTheme="minorEastAsia" w:cstheme="minorEastAsia"/>
          <w:color w:val="auto"/>
          <w:sz w:val="24"/>
          <w:szCs w:val="24"/>
          <w:u w:val="single"/>
        </w:rPr>
        <w:t>中型企业、 小型企业、微型企业</w:t>
      </w:r>
      <w:r>
        <w:rPr>
          <w:rFonts w:hint="eastAsia" w:asciiTheme="minorEastAsia" w:hAnsiTheme="minorEastAsia" w:eastAsiaTheme="minorEastAsia" w:cstheme="minorEastAsia"/>
          <w:color w:val="auto"/>
          <w:sz w:val="24"/>
          <w:szCs w:val="24"/>
        </w:rPr>
        <w:t>）；</w:t>
      </w:r>
    </w:p>
    <w:p w14:paraId="093D11B6">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 </w:t>
      </w:r>
    </w:p>
    <w:p w14:paraId="727F4BA3">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以上企业，不属于大企业的分支机构，不存在控股股东为大企业的情形，也不存在与大企业的负责人为同一人的情形。 </w:t>
      </w:r>
    </w:p>
    <w:p w14:paraId="12EEA623">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本企业对上述声明内容的真实性负责。如有虚假，将依法承担相应责任。 </w:t>
      </w:r>
    </w:p>
    <w:p w14:paraId="0369AC11">
      <w:pPr>
        <w:spacing w:beforeLines="50" w:afterLines="50" w:line="360" w:lineRule="auto"/>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4"/>
        </w:rPr>
        <w:t xml:space="preserve">                                   </w:t>
      </w:r>
      <w:r>
        <w:rPr>
          <w:rFonts w:hint="eastAsia" w:asciiTheme="minorEastAsia" w:hAnsiTheme="minorEastAsia" w:eastAsiaTheme="minorEastAsia" w:cstheme="minorEastAsia"/>
          <w:color w:val="auto"/>
          <w:sz w:val="24"/>
          <w:szCs w:val="24"/>
        </w:rPr>
        <w:t xml:space="preserve"> 供应商名</w:t>
      </w:r>
      <w:r>
        <w:rPr>
          <w:rFonts w:hint="eastAsia" w:asciiTheme="minorEastAsia" w:hAnsiTheme="minorEastAsia" w:eastAsiaTheme="minorEastAsia" w:cstheme="minorEastAsia"/>
          <w:color w:val="auto"/>
          <w:spacing w:val="4"/>
          <w:sz w:val="24"/>
          <w:szCs w:val="24"/>
        </w:rPr>
        <w:t>称：</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单位公章）</w:t>
      </w:r>
    </w:p>
    <w:p w14:paraId="73D4FC97">
      <w:pPr>
        <w:adjustRightInd w:val="0"/>
        <w:snapToGrid w:val="0"/>
        <w:spacing w:line="360" w:lineRule="auto"/>
        <w:ind w:right="420"/>
        <w:jc w:val="center"/>
        <w:rPr>
          <w:rFonts w:hint="eastAsia" w:asciiTheme="minorEastAsia" w:hAnsiTheme="minorEastAsia" w:eastAsiaTheme="minorEastAsia" w:cstheme="minorEastAsia"/>
          <w:color w:val="auto"/>
          <w:sz w:val="22"/>
          <w:szCs w:val="22"/>
          <w:vertAlign w:val="superscript"/>
        </w:rPr>
      </w:pPr>
      <w:r>
        <w:rPr>
          <w:rFonts w:hint="eastAsia" w:asciiTheme="minorEastAsia" w:hAnsiTheme="minorEastAsia" w:eastAsiaTheme="minorEastAsia" w:cstheme="minorEastAsia"/>
          <w:color w:val="auto"/>
          <w:sz w:val="24"/>
          <w:szCs w:val="24"/>
        </w:rPr>
        <w:t xml:space="preserve">                           日    期：    年   月   日</w:t>
      </w:r>
    </w:p>
    <w:p w14:paraId="6D08D5D9">
      <w:pPr>
        <w:pStyle w:val="11"/>
        <w:rPr>
          <w:rFonts w:hint="eastAsia" w:asciiTheme="minorEastAsia" w:hAnsiTheme="minorEastAsia" w:eastAsiaTheme="minorEastAsia" w:cstheme="minorEastAsia"/>
          <w:color w:val="auto"/>
        </w:rPr>
      </w:pPr>
    </w:p>
    <w:p w14:paraId="4127BC9F">
      <w:pPr>
        <w:rPr>
          <w:rFonts w:hint="eastAsia" w:asciiTheme="minorEastAsia" w:hAnsiTheme="minorEastAsia" w:eastAsiaTheme="minorEastAsia" w:cstheme="minorEastAsia"/>
          <w:color w:val="auto"/>
          <w:sz w:val="22"/>
          <w:szCs w:val="22"/>
          <w:vertAlign w:val="superscript"/>
        </w:rPr>
      </w:pPr>
    </w:p>
    <w:p w14:paraId="7DAC00C1">
      <w:pPr>
        <w:rPr>
          <w:rFonts w:hint="eastAsia" w:asciiTheme="minorEastAsia" w:hAnsiTheme="minorEastAsia" w:eastAsiaTheme="minorEastAsia" w:cstheme="minorEastAsia"/>
          <w:color w:val="auto"/>
          <w:sz w:val="22"/>
          <w:szCs w:val="22"/>
          <w:vertAlign w:val="superscript"/>
        </w:rPr>
      </w:pPr>
    </w:p>
    <w:p w14:paraId="676955A9">
      <w:pPr>
        <w:pStyle w:val="49"/>
        <w:spacing w:line="312" w:lineRule="auto"/>
        <w:ind w:firstLine="0" w:firstLineChars="0"/>
        <w:rPr>
          <w:rFonts w:hint="eastAsia" w:asciiTheme="minorEastAsia" w:hAnsiTheme="minorEastAsia" w:eastAsiaTheme="minorEastAsia" w:cstheme="minorEastAsia"/>
          <w:b/>
          <w:bCs/>
          <w:color w:val="auto"/>
          <w:kern w:val="2"/>
          <w:sz w:val="22"/>
        </w:rPr>
      </w:pPr>
      <w:r>
        <w:rPr>
          <w:rFonts w:hint="eastAsia" w:asciiTheme="minorEastAsia" w:hAnsiTheme="minorEastAsia" w:eastAsiaTheme="minorEastAsia" w:cstheme="minorEastAsia"/>
          <w:b/>
          <w:bCs/>
          <w:color w:val="auto"/>
          <w:kern w:val="2"/>
          <w:sz w:val="22"/>
        </w:rPr>
        <w:t>备注：</w:t>
      </w:r>
    </w:p>
    <w:p w14:paraId="78290B53">
      <w:pPr>
        <w:pStyle w:val="49"/>
        <w:spacing w:line="312" w:lineRule="auto"/>
        <w:ind w:firstLine="0" w:firstLineChars="0"/>
        <w:rPr>
          <w:rFonts w:hint="eastAsia" w:asciiTheme="minorEastAsia" w:hAnsiTheme="minorEastAsia" w:eastAsiaTheme="minorEastAsia" w:cstheme="minorEastAsia"/>
          <w:b/>
          <w:bCs/>
          <w:color w:val="auto"/>
          <w:kern w:val="2"/>
          <w:sz w:val="22"/>
        </w:rPr>
      </w:pPr>
      <w:r>
        <w:rPr>
          <w:rFonts w:hint="eastAsia" w:asciiTheme="minorEastAsia" w:hAnsiTheme="minorEastAsia" w:eastAsiaTheme="minorEastAsia" w:cstheme="minorEastAsia"/>
          <w:b/>
          <w:bCs/>
          <w:color w:val="auto"/>
          <w:kern w:val="2"/>
          <w:sz w:val="22"/>
        </w:rPr>
        <w:t>1.从业人员、营业收入、资产总额填报上一年度数据，无上一年度数据的新成立企业可不填报。</w:t>
      </w:r>
    </w:p>
    <w:p w14:paraId="6100B7CB">
      <w:pPr>
        <w:pStyle w:val="49"/>
        <w:spacing w:line="312" w:lineRule="auto"/>
        <w:ind w:firstLine="0" w:firstLineChars="0"/>
        <w:rPr>
          <w:rFonts w:hint="eastAsia" w:asciiTheme="minorEastAsia" w:hAnsiTheme="minorEastAsia" w:eastAsiaTheme="minorEastAsia" w:cstheme="minorEastAsia"/>
          <w:b/>
          <w:bCs/>
          <w:color w:val="auto"/>
          <w:kern w:val="2"/>
          <w:sz w:val="22"/>
        </w:rPr>
      </w:pPr>
      <w:r>
        <w:rPr>
          <w:rFonts w:hint="eastAsia" w:asciiTheme="minorEastAsia" w:hAnsiTheme="minorEastAsia" w:eastAsiaTheme="minorEastAsia" w:cstheme="minorEastAsia"/>
          <w:b/>
          <w:bCs/>
          <w:color w:val="auto"/>
          <w:kern w:val="2"/>
          <w:sz w:val="22"/>
        </w:rPr>
        <w:t>2.填写前请认真阅读《工业和信息化部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财政部关于印发中小企业划型标准规定的通知》(工信部联企业〔2011〕300号)和《财政部、工业和信息化部关于印发〈政府采购促进中小企业发展管理办法〉的通知》（财库﹝2020﹞46号）相关规定。</w:t>
      </w:r>
    </w:p>
    <w:p w14:paraId="125087EA">
      <w:pPr>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22"/>
          <w:szCs w:val="22"/>
        </w:rPr>
        <w:t>3.本项目采购标的对应的中小企业划分标准</w:t>
      </w:r>
      <w:r>
        <w:rPr>
          <w:rFonts w:hint="eastAsia" w:asciiTheme="minorEastAsia" w:hAnsiTheme="minorEastAsia" w:eastAsiaTheme="minorEastAsia" w:cstheme="minorEastAsia"/>
          <w:b/>
          <w:bCs/>
          <w:color w:val="auto"/>
          <w:sz w:val="22"/>
          <w:szCs w:val="22"/>
          <w:highlight w:val="none"/>
        </w:rPr>
        <w:t>所属行业为其他未列明行业。（所属行业类别供应商不得更改，否则，造成不利影响供应商自行承担）</w:t>
      </w:r>
      <w:r>
        <w:rPr>
          <w:rFonts w:hint="eastAsia" w:asciiTheme="minorEastAsia" w:hAnsiTheme="minorEastAsia" w:eastAsiaTheme="minorEastAsia" w:cstheme="minorEastAsia"/>
          <w:b/>
          <w:bCs/>
          <w:color w:val="auto"/>
          <w:sz w:val="18"/>
          <w:szCs w:val="18"/>
          <w:highlight w:val="none"/>
        </w:rPr>
        <w:br w:type="page"/>
      </w:r>
    </w:p>
    <w:p w14:paraId="2FC86F08">
      <w:pPr>
        <w:spacing w:line="480" w:lineRule="auto"/>
        <w:rPr>
          <w:rFonts w:hint="eastAsia" w:asciiTheme="minorEastAsia" w:hAnsiTheme="minorEastAsia" w:eastAsiaTheme="minorEastAsia" w:cstheme="minorEastAsia"/>
          <w:b/>
          <w:bCs/>
          <w:color w:val="auto"/>
          <w:sz w:val="24"/>
          <w:szCs w:val="24"/>
        </w:rPr>
        <w:sectPr>
          <w:headerReference r:id="rId27" w:type="first"/>
          <w:footerReference r:id="rId29" w:type="first"/>
          <w:headerReference r:id="rId26" w:type="default"/>
          <w:footerReference r:id="rId28" w:type="default"/>
          <w:pgSz w:w="11905" w:h="16838"/>
          <w:pgMar w:top="1417" w:right="1134" w:bottom="1417" w:left="1304" w:header="935" w:footer="771" w:gutter="567"/>
          <w:cols w:space="0" w:num="1"/>
          <w:titlePg/>
          <w:docGrid w:linePitch="312" w:charSpace="0"/>
        </w:sectPr>
      </w:pPr>
    </w:p>
    <w:p w14:paraId="1E0BCE8C">
      <w:pPr>
        <w:spacing w:line="360" w:lineRule="auto"/>
        <w:jc w:val="center"/>
        <w:rPr>
          <w:rFonts w:hint="eastAsia" w:asciiTheme="minorEastAsia" w:hAnsiTheme="minorEastAsia" w:eastAsiaTheme="minorEastAsia" w:cstheme="minorEastAsia"/>
          <w:b/>
          <w:bCs/>
          <w:color w:val="auto"/>
          <w:sz w:val="24"/>
          <w:szCs w:val="24"/>
        </w:rPr>
      </w:pPr>
    </w:p>
    <w:p w14:paraId="073C63B8">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残疾人福利性单位声明函</w:t>
      </w:r>
      <w:r>
        <w:rPr>
          <w:rFonts w:hint="eastAsia" w:asciiTheme="minorEastAsia" w:hAnsiTheme="minorEastAsia" w:eastAsiaTheme="minorEastAsia" w:cstheme="minorEastAsia"/>
          <w:b/>
          <w:color w:val="auto"/>
          <w:sz w:val="24"/>
        </w:rPr>
        <w:t>（若有）</w:t>
      </w:r>
    </w:p>
    <w:p w14:paraId="4480D8D1">
      <w:pPr>
        <w:spacing w:line="360" w:lineRule="auto"/>
        <w:rPr>
          <w:rFonts w:hint="eastAsia" w:asciiTheme="minorEastAsia" w:hAnsiTheme="minorEastAsia" w:eastAsiaTheme="minorEastAsia" w:cstheme="minorEastAsia"/>
          <w:b/>
          <w:bCs/>
          <w:color w:val="auto"/>
          <w:sz w:val="24"/>
          <w:szCs w:val="24"/>
        </w:rPr>
      </w:pPr>
    </w:p>
    <w:p w14:paraId="532641A2">
      <w:pPr>
        <w:spacing w:line="360" w:lineRule="auto"/>
        <w:ind w:firstLine="504" w:firstLineChars="200"/>
        <w:rPr>
          <w:rFonts w:hint="eastAsia" w:asciiTheme="minorEastAsia" w:hAnsiTheme="minorEastAsia" w:eastAsiaTheme="minorEastAsia" w:cstheme="minorEastAsia"/>
          <w:color w:val="auto"/>
          <w:spacing w:val="6"/>
          <w:sz w:val="24"/>
          <w:szCs w:val="22"/>
        </w:rPr>
      </w:pPr>
      <w:r>
        <w:rPr>
          <w:rFonts w:hint="eastAsia" w:asciiTheme="minorEastAsia" w:hAnsiTheme="minorEastAsia" w:eastAsiaTheme="minorEastAsia" w:cstheme="minorEastAsia"/>
          <w:color w:val="auto"/>
          <w:spacing w:val="6"/>
          <w:sz w:val="24"/>
          <w:szCs w:val="22"/>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 w:val="24"/>
          <w:szCs w:val="22"/>
        </w:rPr>
        <w:t>〔2017〕 141</w:t>
      </w:r>
      <w:r>
        <w:rPr>
          <w:rFonts w:hint="eastAsia" w:asciiTheme="minorEastAsia" w:hAnsiTheme="minorEastAsia" w:eastAsiaTheme="minorEastAsia" w:cstheme="minorEastAsia"/>
          <w:color w:val="auto"/>
          <w:spacing w:val="6"/>
          <w:sz w:val="24"/>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7B3A3C1">
      <w:pPr>
        <w:spacing w:line="360" w:lineRule="auto"/>
        <w:ind w:firstLine="504" w:firstLineChars="200"/>
        <w:rPr>
          <w:rFonts w:hint="eastAsia" w:asciiTheme="minorEastAsia" w:hAnsiTheme="minorEastAsia" w:eastAsiaTheme="minorEastAsia" w:cstheme="minorEastAsia"/>
          <w:color w:val="auto"/>
          <w:spacing w:val="6"/>
          <w:sz w:val="24"/>
          <w:szCs w:val="22"/>
        </w:rPr>
      </w:pPr>
      <w:r>
        <w:rPr>
          <w:rFonts w:hint="eastAsia" w:asciiTheme="minorEastAsia" w:hAnsiTheme="minorEastAsia" w:eastAsiaTheme="minorEastAsia" w:cstheme="minorEastAsia"/>
          <w:color w:val="auto"/>
          <w:spacing w:val="6"/>
          <w:sz w:val="24"/>
          <w:szCs w:val="22"/>
        </w:rPr>
        <w:t>本单位对上述声明的真实性负责。如有虚假，将依法承担相应责任。</w:t>
      </w:r>
    </w:p>
    <w:p w14:paraId="591BCCC9">
      <w:pPr>
        <w:spacing w:line="360" w:lineRule="auto"/>
        <w:ind w:firstLine="584" w:firstLineChars="200"/>
        <w:rPr>
          <w:rFonts w:hint="eastAsia" w:asciiTheme="minorEastAsia" w:hAnsiTheme="minorEastAsia" w:eastAsiaTheme="minorEastAsia" w:cstheme="minorEastAsia"/>
          <w:color w:val="auto"/>
          <w:spacing w:val="6"/>
          <w:szCs w:val="24"/>
        </w:rPr>
      </w:pPr>
    </w:p>
    <w:p w14:paraId="27D88D70">
      <w:pPr>
        <w:spacing w:line="360" w:lineRule="auto"/>
        <w:ind w:firstLine="584" w:firstLineChars="200"/>
        <w:rPr>
          <w:rFonts w:hint="eastAsia" w:asciiTheme="minorEastAsia" w:hAnsiTheme="minorEastAsia" w:eastAsiaTheme="minorEastAsia" w:cstheme="minorEastAsia"/>
          <w:color w:val="auto"/>
          <w:spacing w:val="6"/>
          <w:szCs w:val="24"/>
        </w:rPr>
      </w:pPr>
    </w:p>
    <w:p w14:paraId="4EE128FB">
      <w:pPr>
        <w:spacing w:beforeLines="50" w:afterLines="50" w:line="360" w:lineRule="auto"/>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4"/>
        </w:rPr>
        <w:t xml:space="preserve">                            供应商</w:t>
      </w:r>
      <w:r>
        <w:rPr>
          <w:rFonts w:hint="eastAsia" w:asciiTheme="minorEastAsia" w:hAnsiTheme="minorEastAsia" w:eastAsiaTheme="minorEastAsia" w:cstheme="minorEastAsia"/>
          <w:bCs/>
          <w:color w:val="auto"/>
          <w:sz w:val="24"/>
          <w:szCs w:val="24"/>
        </w:rPr>
        <w:t>名称</w:t>
      </w:r>
      <w:r>
        <w:rPr>
          <w:rFonts w:hint="eastAsia" w:asciiTheme="minorEastAsia" w:hAnsiTheme="minorEastAsia" w:eastAsiaTheme="minorEastAsia" w:cstheme="minorEastAsia"/>
          <w:color w:val="auto"/>
          <w:spacing w:val="4"/>
          <w:sz w:val="24"/>
          <w:szCs w:val="24"/>
        </w:rPr>
        <w:t>：</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单位公章）</w:t>
      </w:r>
    </w:p>
    <w:p w14:paraId="58D5A336">
      <w:pPr>
        <w:adjustRightInd w:val="0"/>
        <w:snapToGrid w:val="0"/>
        <w:spacing w:line="360" w:lineRule="auto"/>
        <w:ind w:right="42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日    期：    年   月   日</w:t>
      </w:r>
    </w:p>
    <w:p w14:paraId="7688CFAB">
      <w:pP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br w:type="page"/>
      </w:r>
    </w:p>
    <w:p w14:paraId="32AA3A0F">
      <w:pPr>
        <w:spacing w:line="360" w:lineRule="auto"/>
        <w:outlineLvl w:val="1"/>
        <w:rPr>
          <w:rFonts w:hint="eastAsia" w:asciiTheme="minorEastAsia" w:hAnsiTheme="minorEastAsia" w:eastAsiaTheme="minorEastAsia" w:cstheme="minorEastAsia"/>
          <w:b/>
          <w:bCs/>
          <w:color w:val="auto"/>
          <w:sz w:val="24"/>
          <w:szCs w:val="24"/>
        </w:rPr>
        <w:sectPr>
          <w:pgSz w:w="11850" w:h="16783"/>
          <w:pgMar w:top="1440" w:right="1800" w:bottom="1440" w:left="1800" w:header="851" w:footer="992" w:gutter="0"/>
          <w:cols w:space="720" w:num="1"/>
          <w:docGrid w:linePitch="312" w:charSpace="0"/>
        </w:sectPr>
      </w:pPr>
      <w:bookmarkStart w:id="107" w:name="_GoBack"/>
      <w:bookmarkEnd w:id="107"/>
    </w:p>
    <w:p w14:paraId="3BAE2316">
      <w:pPr>
        <w:spacing w:line="360" w:lineRule="auto"/>
        <w:outlineLvl w:val="1"/>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2、技术方案</w:t>
      </w:r>
    </w:p>
    <w:p w14:paraId="61174085">
      <w:pPr>
        <w:spacing w:line="360" w:lineRule="auto"/>
        <w:outlineLvl w:val="1"/>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（供应商根据评标办法及评分标准所有细则自拟、自行阐述）</w:t>
      </w:r>
    </w:p>
    <w:p w14:paraId="11F2BF5B">
      <w:pPr>
        <w:rPr>
          <w:rFonts w:hint="eastAsia" w:asciiTheme="minorEastAsia" w:hAnsiTheme="minorEastAsia" w:eastAsiaTheme="minorEastAsia" w:cstheme="minorEastAsia"/>
          <w:color w:val="auto"/>
        </w:rPr>
      </w:pPr>
    </w:p>
    <w:p w14:paraId="1A42D8DD">
      <w:pPr>
        <w:pStyle w:val="21"/>
        <w:rPr>
          <w:rFonts w:hint="eastAsia" w:asciiTheme="minorEastAsia" w:hAnsiTheme="minorEastAsia" w:eastAsiaTheme="minorEastAsia" w:cstheme="minorEastAsia"/>
          <w:color w:val="auto"/>
          <w:sz w:val="24"/>
          <w:szCs w:val="28"/>
        </w:rPr>
      </w:pPr>
    </w:p>
    <w:p w14:paraId="789A9CE5">
      <w:pPr>
        <w:pStyle w:val="21"/>
        <w:rPr>
          <w:rFonts w:hint="eastAsia" w:asciiTheme="minorEastAsia" w:hAnsiTheme="minorEastAsia" w:eastAsiaTheme="minorEastAsia" w:cstheme="minorEastAsia"/>
          <w:color w:val="auto"/>
          <w:sz w:val="24"/>
          <w:szCs w:val="28"/>
        </w:rPr>
      </w:pPr>
    </w:p>
    <w:p w14:paraId="0C54B655">
      <w:pPr>
        <w:pStyle w:val="21"/>
        <w:rPr>
          <w:rFonts w:hint="eastAsia" w:asciiTheme="minorEastAsia" w:hAnsiTheme="minorEastAsia" w:eastAsiaTheme="minorEastAsia" w:cstheme="minorEastAsia"/>
          <w:color w:val="auto"/>
          <w:sz w:val="24"/>
          <w:szCs w:val="28"/>
        </w:rPr>
      </w:pPr>
    </w:p>
    <w:p w14:paraId="40AD0D44">
      <w:pPr>
        <w:pStyle w:val="21"/>
        <w:rPr>
          <w:rFonts w:hint="eastAsia" w:asciiTheme="minorEastAsia" w:hAnsiTheme="minorEastAsia" w:eastAsiaTheme="minorEastAsia" w:cstheme="minorEastAsia"/>
          <w:color w:val="auto"/>
          <w:sz w:val="24"/>
          <w:szCs w:val="28"/>
        </w:rPr>
      </w:pPr>
    </w:p>
    <w:p w14:paraId="3DE23CEB">
      <w:pPr>
        <w:pStyle w:val="21"/>
        <w:rPr>
          <w:rFonts w:hint="eastAsia" w:asciiTheme="minorEastAsia" w:hAnsiTheme="minorEastAsia" w:eastAsiaTheme="minorEastAsia" w:cstheme="minorEastAsia"/>
          <w:color w:val="auto"/>
          <w:sz w:val="24"/>
          <w:szCs w:val="28"/>
        </w:rPr>
      </w:pPr>
    </w:p>
    <w:p w14:paraId="2C99A8A5">
      <w:pPr>
        <w:pStyle w:val="11"/>
        <w:rPr>
          <w:rFonts w:hint="eastAsia" w:asciiTheme="minorEastAsia" w:hAnsiTheme="minorEastAsia" w:eastAsiaTheme="minorEastAsia" w:cstheme="minorEastAsia"/>
          <w:b/>
          <w:color w:val="auto"/>
          <w:sz w:val="44"/>
          <w:szCs w:val="44"/>
        </w:rPr>
      </w:pPr>
    </w:p>
    <w:p w14:paraId="1F178293">
      <w:pPr>
        <w:rPr>
          <w:rFonts w:hint="eastAsia" w:asciiTheme="minorEastAsia" w:hAnsiTheme="minorEastAsia" w:eastAsiaTheme="minorEastAsia" w:cstheme="minorEastAsia"/>
          <w:b/>
          <w:color w:val="auto"/>
          <w:sz w:val="44"/>
          <w:szCs w:val="44"/>
        </w:rPr>
      </w:pPr>
    </w:p>
    <w:p w14:paraId="42155FE7">
      <w:pPr>
        <w:pStyle w:val="13"/>
        <w:ind w:firstLine="883"/>
        <w:rPr>
          <w:rFonts w:hint="eastAsia" w:asciiTheme="minorEastAsia" w:hAnsiTheme="minorEastAsia" w:eastAsiaTheme="minorEastAsia" w:cstheme="minorEastAsia"/>
          <w:b/>
          <w:color w:val="auto"/>
          <w:sz w:val="44"/>
          <w:szCs w:val="44"/>
        </w:rPr>
      </w:pPr>
    </w:p>
    <w:p w14:paraId="41A9DAE7">
      <w:pPr>
        <w:pStyle w:val="24"/>
        <w:ind w:firstLine="442"/>
        <w:rPr>
          <w:rFonts w:hint="eastAsia" w:asciiTheme="minorEastAsia" w:hAnsiTheme="minorEastAsia" w:eastAsiaTheme="minorEastAsia" w:cstheme="minorEastAsia"/>
          <w:b/>
          <w:color w:val="auto"/>
          <w:sz w:val="44"/>
          <w:szCs w:val="44"/>
        </w:rPr>
      </w:pPr>
    </w:p>
    <w:p w14:paraId="193A3DD9">
      <w:pPr>
        <w:pStyle w:val="13"/>
        <w:ind w:firstLine="883"/>
        <w:rPr>
          <w:rFonts w:hint="eastAsia" w:asciiTheme="minorEastAsia" w:hAnsiTheme="minorEastAsia" w:eastAsiaTheme="minorEastAsia" w:cstheme="minorEastAsia"/>
          <w:b/>
          <w:color w:val="auto"/>
          <w:sz w:val="44"/>
          <w:szCs w:val="44"/>
        </w:rPr>
      </w:pPr>
    </w:p>
    <w:p w14:paraId="683BBAD8">
      <w:pPr>
        <w:pStyle w:val="24"/>
        <w:ind w:firstLine="442"/>
        <w:rPr>
          <w:rFonts w:hint="eastAsia" w:asciiTheme="minorEastAsia" w:hAnsiTheme="minorEastAsia" w:eastAsiaTheme="minorEastAsia" w:cstheme="minorEastAsia"/>
          <w:b/>
          <w:color w:val="auto"/>
          <w:sz w:val="44"/>
          <w:szCs w:val="44"/>
        </w:rPr>
      </w:pPr>
    </w:p>
    <w:p w14:paraId="6FD00690">
      <w:pPr>
        <w:pStyle w:val="13"/>
        <w:ind w:firstLine="883"/>
        <w:rPr>
          <w:rFonts w:hint="eastAsia" w:asciiTheme="minorEastAsia" w:hAnsiTheme="minorEastAsia" w:eastAsiaTheme="minorEastAsia" w:cstheme="minorEastAsia"/>
          <w:b/>
          <w:color w:val="auto"/>
          <w:sz w:val="44"/>
          <w:szCs w:val="44"/>
        </w:rPr>
      </w:pPr>
    </w:p>
    <w:p w14:paraId="48A77DFA">
      <w:pPr>
        <w:pStyle w:val="24"/>
        <w:ind w:firstLine="442"/>
        <w:rPr>
          <w:rFonts w:hint="eastAsia" w:asciiTheme="minorEastAsia" w:hAnsiTheme="minorEastAsia" w:eastAsiaTheme="minorEastAsia" w:cstheme="minorEastAsia"/>
          <w:b/>
          <w:color w:val="auto"/>
          <w:sz w:val="44"/>
          <w:szCs w:val="44"/>
        </w:rPr>
      </w:pPr>
    </w:p>
    <w:p w14:paraId="6C7B141A">
      <w:pPr>
        <w:pStyle w:val="13"/>
        <w:ind w:firstLine="883"/>
        <w:rPr>
          <w:rFonts w:hint="eastAsia" w:asciiTheme="minorEastAsia" w:hAnsiTheme="minorEastAsia" w:eastAsiaTheme="minorEastAsia" w:cstheme="minorEastAsia"/>
          <w:b/>
          <w:color w:val="auto"/>
          <w:sz w:val="44"/>
          <w:szCs w:val="44"/>
        </w:rPr>
      </w:pPr>
    </w:p>
    <w:p w14:paraId="78DEB2BB">
      <w:pPr>
        <w:pStyle w:val="24"/>
        <w:ind w:firstLine="442"/>
        <w:rPr>
          <w:rFonts w:hint="eastAsia" w:asciiTheme="minorEastAsia" w:hAnsiTheme="minorEastAsia" w:eastAsiaTheme="minorEastAsia" w:cstheme="minorEastAsia"/>
          <w:b/>
          <w:color w:val="auto"/>
          <w:sz w:val="44"/>
          <w:szCs w:val="44"/>
        </w:rPr>
      </w:pPr>
    </w:p>
    <w:p w14:paraId="37904C48">
      <w:pP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br w:type="page"/>
      </w:r>
    </w:p>
    <w:p w14:paraId="6202410E">
      <w:pPr>
        <w:pStyle w:val="13"/>
        <w:ind w:left="0" w:firstLine="0" w:firstLineChars="0"/>
        <w:rPr>
          <w:rFonts w:hint="eastAsia" w:asciiTheme="minorEastAsia" w:hAnsiTheme="minorEastAsia" w:eastAsiaTheme="minorEastAsia" w:cstheme="minorEastAsia"/>
          <w:b/>
          <w:bCs/>
          <w:color w:val="auto"/>
          <w:kern w:val="2"/>
          <w:sz w:val="24"/>
          <w:szCs w:val="24"/>
        </w:rPr>
      </w:pPr>
      <w:r>
        <w:rPr>
          <w:rFonts w:hint="eastAsia" w:asciiTheme="minorEastAsia" w:hAnsiTheme="minorEastAsia" w:eastAsiaTheme="minorEastAsia" w:cstheme="minorEastAsia"/>
          <w:b/>
          <w:bCs/>
          <w:color w:val="auto"/>
          <w:kern w:val="2"/>
          <w:sz w:val="24"/>
          <w:szCs w:val="24"/>
        </w:rPr>
        <w:t>3、</w:t>
      </w:r>
      <w:r>
        <w:rPr>
          <w:rFonts w:hint="eastAsia" w:asciiTheme="minorEastAsia" w:hAnsiTheme="minorEastAsia" w:eastAsiaTheme="minorEastAsia" w:cstheme="minorEastAsia"/>
          <w:b/>
          <w:bCs/>
          <w:color w:val="auto"/>
          <w:kern w:val="2"/>
          <w:sz w:val="24"/>
          <w:szCs w:val="24"/>
          <w:lang w:val="zh-CN"/>
        </w:rPr>
        <w:t>类似业绩</w:t>
      </w:r>
    </w:p>
    <w:p w14:paraId="7A5F89C5">
      <w:pPr>
        <w:pStyle w:val="24"/>
        <w:ind w:firstLine="442"/>
        <w:rPr>
          <w:rFonts w:hint="eastAsia" w:asciiTheme="minorEastAsia" w:hAnsiTheme="minorEastAsia" w:eastAsiaTheme="minorEastAsia" w:cstheme="minorEastAsia"/>
          <w:b/>
          <w:color w:val="auto"/>
          <w:sz w:val="44"/>
          <w:szCs w:val="44"/>
        </w:rPr>
      </w:pPr>
    </w:p>
    <w:p w14:paraId="60103CCB">
      <w:pPr>
        <w:pStyle w:val="13"/>
        <w:ind w:firstLine="883"/>
        <w:rPr>
          <w:rFonts w:hint="eastAsia" w:asciiTheme="minorEastAsia" w:hAnsiTheme="minorEastAsia" w:eastAsiaTheme="minorEastAsia" w:cstheme="minorEastAsia"/>
          <w:b/>
          <w:color w:val="auto"/>
          <w:sz w:val="44"/>
          <w:szCs w:val="44"/>
        </w:rPr>
      </w:pPr>
    </w:p>
    <w:p w14:paraId="05F26645">
      <w:pPr>
        <w:pStyle w:val="24"/>
        <w:ind w:firstLine="442"/>
        <w:rPr>
          <w:rFonts w:hint="eastAsia" w:asciiTheme="minorEastAsia" w:hAnsiTheme="minorEastAsia" w:eastAsiaTheme="minorEastAsia" w:cstheme="minorEastAsia"/>
          <w:b/>
          <w:color w:val="auto"/>
          <w:sz w:val="44"/>
          <w:szCs w:val="44"/>
        </w:rPr>
      </w:pPr>
    </w:p>
    <w:p w14:paraId="03227D90">
      <w:pPr>
        <w:pStyle w:val="13"/>
        <w:ind w:firstLine="560"/>
        <w:rPr>
          <w:rFonts w:hint="eastAsia" w:asciiTheme="minorEastAsia" w:hAnsiTheme="minorEastAsia" w:eastAsiaTheme="minorEastAsia" w:cstheme="minorEastAsia"/>
          <w:color w:val="auto"/>
        </w:rPr>
      </w:pPr>
    </w:p>
    <w:p w14:paraId="6276E3A0">
      <w:pPr>
        <w:pStyle w:val="11"/>
        <w:rPr>
          <w:rFonts w:hint="eastAsia" w:asciiTheme="minorEastAsia" w:hAnsiTheme="minorEastAsia" w:eastAsiaTheme="minorEastAsia" w:cstheme="minorEastAsia"/>
          <w:b/>
          <w:color w:val="auto"/>
          <w:sz w:val="44"/>
          <w:szCs w:val="44"/>
        </w:rPr>
      </w:pPr>
    </w:p>
    <w:p w14:paraId="298FAF6F">
      <w:pPr>
        <w:rPr>
          <w:rFonts w:hint="eastAsia" w:asciiTheme="minorEastAsia" w:hAnsiTheme="minorEastAsia" w:eastAsiaTheme="minorEastAsia" w:cstheme="minorEastAsia"/>
          <w:b/>
          <w:color w:val="auto"/>
          <w:sz w:val="44"/>
          <w:szCs w:val="44"/>
        </w:rPr>
      </w:pPr>
    </w:p>
    <w:p w14:paraId="414B2759">
      <w:pPr>
        <w:pStyle w:val="11"/>
        <w:rPr>
          <w:rFonts w:hint="eastAsia" w:asciiTheme="minorEastAsia" w:hAnsiTheme="minorEastAsia" w:eastAsiaTheme="minorEastAsia" w:cstheme="minorEastAsia"/>
          <w:color w:val="auto"/>
        </w:rPr>
      </w:pPr>
    </w:p>
    <w:p w14:paraId="47512C2F">
      <w:pPr>
        <w:pStyle w:val="11"/>
        <w:rPr>
          <w:rFonts w:hint="eastAsia" w:asciiTheme="minorEastAsia" w:hAnsiTheme="minorEastAsia" w:eastAsiaTheme="minorEastAsia" w:cstheme="minorEastAsia"/>
          <w:b/>
          <w:color w:val="auto"/>
          <w:sz w:val="44"/>
          <w:szCs w:val="44"/>
        </w:rPr>
      </w:pPr>
    </w:p>
    <w:p w14:paraId="789ECF01">
      <w:pPr>
        <w:jc w:val="center"/>
        <w:rPr>
          <w:rFonts w:hint="eastAsia" w:asciiTheme="minorEastAsia" w:hAnsiTheme="minorEastAsia" w:eastAsiaTheme="minorEastAsia" w:cstheme="minorEastAsia"/>
          <w:b/>
          <w:color w:val="auto"/>
          <w:sz w:val="44"/>
          <w:szCs w:val="44"/>
        </w:rPr>
      </w:pPr>
    </w:p>
    <w:p w14:paraId="66C32D98">
      <w:pPr>
        <w:jc w:val="center"/>
        <w:rPr>
          <w:rFonts w:hint="eastAsia" w:asciiTheme="minorEastAsia" w:hAnsiTheme="minorEastAsia" w:eastAsiaTheme="minorEastAsia" w:cstheme="minorEastAsia"/>
          <w:b/>
          <w:color w:val="auto"/>
          <w:sz w:val="44"/>
          <w:szCs w:val="44"/>
        </w:rPr>
      </w:pPr>
    </w:p>
    <w:p w14:paraId="05783FDA">
      <w:pPr>
        <w:jc w:val="center"/>
        <w:rPr>
          <w:rFonts w:hint="eastAsia" w:asciiTheme="minorEastAsia" w:hAnsiTheme="minorEastAsia" w:eastAsiaTheme="minorEastAsia" w:cstheme="minorEastAsia"/>
          <w:b/>
          <w:color w:val="auto"/>
          <w:sz w:val="44"/>
          <w:szCs w:val="44"/>
        </w:rPr>
      </w:pPr>
    </w:p>
    <w:p w14:paraId="2742556A">
      <w:pPr>
        <w:jc w:val="center"/>
        <w:rPr>
          <w:rFonts w:hint="eastAsia" w:asciiTheme="minorEastAsia" w:hAnsiTheme="minorEastAsia" w:eastAsiaTheme="minorEastAsia" w:cstheme="minorEastAsia"/>
          <w:b/>
          <w:color w:val="auto"/>
          <w:sz w:val="44"/>
          <w:szCs w:val="44"/>
        </w:rPr>
      </w:pPr>
    </w:p>
    <w:p w14:paraId="7A8AEAEA">
      <w:pPr>
        <w:jc w:val="center"/>
        <w:rPr>
          <w:rFonts w:hint="eastAsia" w:asciiTheme="minorEastAsia" w:hAnsiTheme="minorEastAsia" w:eastAsiaTheme="minorEastAsia" w:cstheme="minorEastAsia"/>
          <w:b/>
          <w:color w:val="auto"/>
          <w:sz w:val="44"/>
          <w:szCs w:val="44"/>
        </w:rPr>
      </w:pPr>
    </w:p>
    <w:p w14:paraId="09D5276C">
      <w:pPr>
        <w:jc w:val="center"/>
        <w:rPr>
          <w:rFonts w:hint="eastAsia" w:asciiTheme="minorEastAsia" w:hAnsiTheme="minorEastAsia" w:eastAsiaTheme="minorEastAsia" w:cstheme="minorEastAsia"/>
          <w:b/>
          <w:color w:val="auto"/>
          <w:sz w:val="44"/>
          <w:szCs w:val="44"/>
        </w:rPr>
      </w:pPr>
    </w:p>
    <w:p w14:paraId="67B4ADBE">
      <w:pPr>
        <w:jc w:val="center"/>
        <w:rPr>
          <w:rFonts w:hint="eastAsia" w:asciiTheme="minorEastAsia" w:hAnsiTheme="minorEastAsia" w:eastAsiaTheme="minorEastAsia" w:cstheme="minorEastAsia"/>
          <w:b/>
          <w:color w:val="auto"/>
          <w:sz w:val="44"/>
          <w:szCs w:val="44"/>
        </w:rPr>
      </w:pPr>
    </w:p>
    <w:p w14:paraId="2DB8E30B">
      <w:pPr>
        <w:jc w:val="center"/>
        <w:rPr>
          <w:rFonts w:hint="eastAsia" w:asciiTheme="minorEastAsia" w:hAnsiTheme="minorEastAsia" w:eastAsiaTheme="minorEastAsia" w:cstheme="minorEastAsia"/>
          <w:b/>
          <w:color w:val="auto"/>
          <w:sz w:val="44"/>
          <w:szCs w:val="44"/>
        </w:rPr>
      </w:pPr>
    </w:p>
    <w:p w14:paraId="3767809F">
      <w:pPr>
        <w:jc w:val="center"/>
        <w:rPr>
          <w:rFonts w:hint="eastAsia" w:asciiTheme="minorEastAsia" w:hAnsiTheme="minorEastAsia" w:eastAsiaTheme="minorEastAsia" w:cstheme="minorEastAsia"/>
          <w:b/>
          <w:color w:val="auto"/>
          <w:sz w:val="44"/>
          <w:szCs w:val="44"/>
        </w:rPr>
      </w:pPr>
    </w:p>
    <w:p w14:paraId="3D55D6B6">
      <w:pPr>
        <w:rPr>
          <w:rFonts w:hint="eastAsia" w:asciiTheme="minorEastAsia" w:hAnsiTheme="minorEastAsia" w:eastAsiaTheme="minorEastAsia" w:cstheme="minorEastAsia"/>
          <w:b/>
          <w:color w:val="auto"/>
          <w:sz w:val="44"/>
          <w:szCs w:val="44"/>
        </w:rPr>
      </w:pPr>
    </w:p>
    <w:p w14:paraId="13618DB8">
      <w:pPr>
        <w:rPr>
          <w:rFonts w:hint="eastAsia" w:asciiTheme="minorEastAsia" w:hAnsiTheme="minorEastAsia" w:eastAsiaTheme="minorEastAsia" w:cstheme="minorEastAsia"/>
          <w:b/>
          <w:color w:val="auto"/>
          <w:sz w:val="44"/>
          <w:szCs w:val="44"/>
        </w:rPr>
      </w:pPr>
    </w:p>
    <w:p w14:paraId="2075ACF8">
      <w:pPr>
        <w:rPr>
          <w:rFonts w:hint="eastAsia" w:asciiTheme="minorEastAsia" w:hAnsiTheme="minorEastAsia" w:eastAsiaTheme="minorEastAsia" w:cstheme="minorEastAsia"/>
          <w:b/>
          <w:color w:val="auto"/>
          <w:sz w:val="44"/>
          <w:szCs w:val="44"/>
        </w:rPr>
      </w:pPr>
    </w:p>
    <w:p w14:paraId="407B3AA0">
      <w:pPr>
        <w:rPr>
          <w:rFonts w:hint="eastAsia" w:asciiTheme="minorEastAsia" w:hAnsiTheme="minorEastAsia" w:eastAsiaTheme="minorEastAsia" w:cstheme="minorEastAsia"/>
          <w:b/>
          <w:color w:val="auto"/>
          <w:sz w:val="44"/>
          <w:szCs w:val="44"/>
        </w:rPr>
      </w:pPr>
    </w:p>
    <w:p w14:paraId="2174B015">
      <w:pPr>
        <w:jc w:val="center"/>
        <w:rPr>
          <w:rFonts w:hint="eastAsia" w:asciiTheme="minorEastAsia" w:hAnsiTheme="minorEastAsia" w:eastAsiaTheme="minorEastAsia" w:cstheme="minorEastAsia"/>
          <w:b/>
          <w:color w:val="auto"/>
          <w:sz w:val="44"/>
          <w:szCs w:val="44"/>
        </w:rPr>
      </w:pPr>
    </w:p>
    <w:p w14:paraId="3F9756BD">
      <w:pPr>
        <w:jc w:val="center"/>
        <w:rPr>
          <w:rFonts w:hint="eastAsia" w:asciiTheme="minorEastAsia" w:hAnsiTheme="minorEastAsia" w:eastAsiaTheme="minorEastAsia" w:cstheme="minorEastAsia"/>
          <w:b/>
          <w:color w:val="auto"/>
          <w:sz w:val="44"/>
          <w:szCs w:val="44"/>
        </w:rPr>
      </w:pPr>
    </w:p>
    <w:p w14:paraId="2664785C">
      <w:pPr>
        <w:jc w:val="both"/>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4、其他资料（如有）</w:t>
      </w:r>
    </w:p>
    <w:p w14:paraId="629E6D72">
      <w:pPr>
        <w:jc w:val="center"/>
        <w:rPr>
          <w:rFonts w:hint="eastAsia" w:asciiTheme="minorEastAsia" w:hAnsiTheme="minorEastAsia" w:eastAsiaTheme="minorEastAsia" w:cstheme="minorEastAsia"/>
          <w:b/>
          <w:color w:val="auto"/>
          <w:sz w:val="44"/>
          <w:szCs w:val="44"/>
        </w:rPr>
      </w:pPr>
    </w:p>
    <w:p w14:paraId="07462CCE">
      <w:pPr>
        <w:jc w:val="center"/>
        <w:rPr>
          <w:rFonts w:hint="eastAsia" w:asciiTheme="minorEastAsia" w:hAnsiTheme="minorEastAsia" w:eastAsiaTheme="minorEastAsia" w:cstheme="minorEastAsia"/>
          <w:b/>
          <w:color w:val="auto"/>
          <w:sz w:val="44"/>
          <w:szCs w:val="44"/>
        </w:rPr>
      </w:pPr>
    </w:p>
    <w:p w14:paraId="3D5B0538">
      <w:pPr>
        <w:jc w:val="center"/>
        <w:rPr>
          <w:rFonts w:hint="eastAsia" w:asciiTheme="minorEastAsia" w:hAnsiTheme="minorEastAsia" w:eastAsiaTheme="minorEastAsia" w:cstheme="minorEastAsia"/>
          <w:b/>
          <w:color w:val="auto"/>
          <w:sz w:val="44"/>
          <w:szCs w:val="44"/>
        </w:rPr>
      </w:pPr>
    </w:p>
    <w:p w14:paraId="64E2AA77">
      <w:pPr>
        <w:jc w:val="center"/>
        <w:rPr>
          <w:rFonts w:hint="eastAsia" w:asciiTheme="minorEastAsia" w:hAnsiTheme="minorEastAsia" w:eastAsiaTheme="minorEastAsia" w:cstheme="minorEastAsia"/>
          <w:b/>
          <w:color w:val="auto"/>
          <w:sz w:val="44"/>
          <w:szCs w:val="44"/>
        </w:rPr>
      </w:pPr>
    </w:p>
    <w:p w14:paraId="3E39DCE8">
      <w:pPr>
        <w:jc w:val="center"/>
        <w:rPr>
          <w:rFonts w:hint="eastAsia" w:asciiTheme="minorEastAsia" w:hAnsiTheme="minorEastAsia" w:eastAsiaTheme="minorEastAsia" w:cstheme="minorEastAsia"/>
          <w:b/>
          <w:color w:val="auto"/>
          <w:sz w:val="44"/>
          <w:szCs w:val="44"/>
        </w:rPr>
      </w:pPr>
    </w:p>
    <w:p w14:paraId="1BACD718">
      <w:pPr>
        <w:jc w:val="center"/>
        <w:rPr>
          <w:rFonts w:hint="eastAsia" w:asciiTheme="minorEastAsia" w:hAnsiTheme="minorEastAsia" w:eastAsiaTheme="minorEastAsia" w:cstheme="minorEastAsia"/>
          <w:b/>
          <w:color w:val="auto"/>
          <w:sz w:val="44"/>
          <w:szCs w:val="44"/>
        </w:rPr>
      </w:pPr>
    </w:p>
    <w:p w14:paraId="0D719463">
      <w:pPr>
        <w:jc w:val="center"/>
        <w:rPr>
          <w:rFonts w:hint="eastAsia" w:asciiTheme="minorEastAsia" w:hAnsiTheme="minorEastAsia" w:eastAsiaTheme="minorEastAsia" w:cstheme="minorEastAsia"/>
          <w:b/>
          <w:color w:val="auto"/>
          <w:sz w:val="44"/>
          <w:szCs w:val="44"/>
        </w:rPr>
      </w:pPr>
    </w:p>
    <w:p w14:paraId="6EC55474">
      <w:pPr>
        <w:jc w:val="center"/>
        <w:rPr>
          <w:rFonts w:hint="eastAsia" w:asciiTheme="minorEastAsia" w:hAnsiTheme="minorEastAsia" w:eastAsiaTheme="minorEastAsia" w:cstheme="minorEastAsia"/>
          <w:b/>
          <w:color w:val="auto"/>
          <w:sz w:val="44"/>
          <w:szCs w:val="44"/>
        </w:rPr>
      </w:pPr>
    </w:p>
    <w:p w14:paraId="132A35E3">
      <w:pPr>
        <w:jc w:val="center"/>
        <w:rPr>
          <w:rFonts w:hint="eastAsia" w:asciiTheme="minorEastAsia" w:hAnsiTheme="minorEastAsia" w:eastAsiaTheme="minorEastAsia" w:cstheme="minorEastAsia"/>
          <w:b/>
          <w:color w:val="auto"/>
          <w:sz w:val="44"/>
          <w:szCs w:val="44"/>
        </w:rPr>
      </w:pPr>
    </w:p>
    <w:p w14:paraId="2AB88F69">
      <w:pPr>
        <w:jc w:val="center"/>
        <w:rPr>
          <w:rFonts w:hint="eastAsia" w:asciiTheme="minorEastAsia" w:hAnsiTheme="minorEastAsia" w:eastAsiaTheme="minorEastAsia" w:cstheme="minorEastAsia"/>
          <w:b/>
          <w:color w:val="auto"/>
          <w:sz w:val="44"/>
          <w:szCs w:val="44"/>
        </w:rPr>
      </w:pPr>
    </w:p>
    <w:p w14:paraId="56B56856">
      <w:pPr>
        <w:jc w:val="center"/>
        <w:rPr>
          <w:rFonts w:hint="eastAsia" w:asciiTheme="minorEastAsia" w:hAnsiTheme="minorEastAsia" w:eastAsiaTheme="minorEastAsia" w:cstheme="minorEastAsia"/>
          <w:b/>
          <w:color w:val="auto"/>
          <w:sz w:val="44"/>
          <w:szCs w:val="44"/>
        </w:rPr>
      </w:pPr>
    </w:p>
    <w:p w14:paraId="435B4B71">
      <w:pPr>
        <w:jc w:val="center"/>
        <w:rPr>
          <w:rFonts w:hint="eastAsia" w:asciiTheme="minorEastAsia" w:hAnsiTheme="minorEastAsia" w:eastAsiaTheme="minorEastAsia" w:cstheme="minorEastAsia"/>
          <w:b/>
          <w:color w:val="auto"/>
          <w:sz w:val="44"/>
          <w:szCs w:val="44"/>
        </w:rPr>
      </w:pPr>
    </w:p>
    <w:p w14:paraId="360DC029">
      <w:pPr>
        <w:jc w:val="center"/>
        <w:rPr>
          <w:rFonts w:hint="eastAsia" w:asciiTheme="minorEastAsia" w:hAnsiTheme="minorEastAsia" w:eastAsiaTheme="minorEastAsia" w:cstheme="minorEastAsia"/>
          <w:b/>
          <w:color w:val="auto"/>
          <w:sz w:val="44"/>
          <w:szCs w:val="44"/>
        </w:rPr>
      </w:pPr>
    </w:p>
    <w:p w14:paraId="2669E043">
      <w:pPr>
        <w:jc w:val="center"/>
        <w:rPr>
          <w:rFonts w:hint="eastAsia" w:asciiTheme="minorEastAsia" w:hAnsiTheme="minorEastAsia" w:eastAsiaTheme="minorEastAsia" w:cstheme="minorEastAsia"/>
          <w:b/>
          <w:color w:val="auto"/>
          <w:sz w:val="44"/>
          <w:szCs w:val="44"/>
        </w:rPr>
      </w:pPr>
    </w:p>
    <w:p w14:paraId="0118F2FC">
      <w:pPr>
        <w:jc w:val="center"/>
        <w:rPr>
          <w:rFonts w:hint="eastAsia" w:asciiTheme="minorEastAsia" w:hAnsiTheme="minorEastAsia" w:eastAsiaTheme="minorEastAsia" w:cstheme="minorEastAsia"/>
          <w:b/>
          <w:color w:val="auto"/>
          <w:sz w:val="44"/>
          <w:szCs w:val="44"/>
        </w:rPr>
      </w:pPr>
    </w:p>
    <w:p w14:paraId="546A8EE7">
      <w:pPr>
        <w:jc w:val="center"/>
        <w:rPr>
          <w:rFonts w:hint="eastAsia" w:asciiTheme="minorEastAsia" w:hAnsiTheme="minorEastAsia" w:eastAsiaTheme="minorEastAsia" w:cstheme="minorEastAsia"/>
          <w:b/>
          <w:color w:val="auto"/>
          <w:sz w:val="44"/>
          <w:szCs w:val="44"/>
        </w:rPr>
      </w:pPr>
    </w:p>
    <w:p w14:paraId="0A329B36">
      <w:pPr>
        <w:jc w:val="center"/>
        <w:rPr>
          <w:rFonts w:hint="eastAsia" w:asciiTheme="minorEastAsia" w:hAnsiTheme="minorEastAsia" w:eastAsiaTheme="minorEastAsia" w:cstheme="minorEastAsia"/>
          <w:b/>
          <w:color w:val="auto"/>
          <w:sz w:val="44"/>
          <w:szCs w:val="44"/>
        </w:rPr>
      </w:pPr>
    </w:p>
    <w:p w14:paraId="1964BE43">
      <w:pPr>
        <w:jc w:val="center"/>
        <w:rPr>
          <w:rFonts w:hint="eastAsia" w:asciiTheme="minorEastAsia" w:hAnsiTheme="minorEastAsia" w:eastAsiaTheme="minorEastAsia" w:cstheme="minorEastAsia"/>
          <w:b/>
          <w:color w:val="auto"/>
          <w:sz w:val="44"/>
          <w:szCs w:val="44"/>
        </w:rPr>
      </w:pPr>
    </w:p>
    <w:p w14:paraId="3EE78252">
      <w:pPr>
        <w:jc w:val="center"/>
        <w:rPr>
          <w:rFonts w:hint="eastAsia" w:asciiTheme="minorEastAsia" w:hAnsiTheme="minorEastAsia" w:eastAsiaTheme="minorEastAsia" w:cstheme="minorEastAsia"/>
          <w:b/>
          <w:color w:val="auto"/>
          <w:sz w:val="44"/>
          <w:szCs w:val="44"/>
        </w:rPr>
      </w:pPr>
    </w:p>
    <w:p w14:paraId="7789AD5E">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44"/>
          <w:szCs w:val="44"/>
        </w:rPr>
        <w:t>本页以下无内容</w:t>
      </w:r>
    </w:p>
    <w:sectPr>
      <w:pgSz w:w="11850" w:h="16783"/>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ActionIcon ! important">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modern"/>
    <w:pitch w:val="default"/>
    <w:sig w:usb0="E10002FF" w:usb1="4000FCFF" w:usb2="00000009" w:usb3="00000000" w:csb0="6000019F" w:csb1="DFD70000"/>
  </w:font>
  <w:font w:name="Arial Unicode MS">
    <w:altName w:val="Arial"/>
    <w:panose1 w:val="020B0604020202020204"/>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5EDDA">
    <w:pPr>
      <w:spacing w:line="280" w:lineRule="exact"/>
      <w:jc w:val="center"/>
      <w:rPr>
        <w:rFonts w:ascii="宋体" w:hAnsi="宋体"/>
        <w:b/>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E4398">
    <w:pPr>
      <w:pStyle w:val="17"/>
      <w:rPr>
        <w:rFonts w:ascii="宋体" w:hAnsi="宋体"/>
        <w:b/>
      </w:rPr>
    </w:pPr>
    <w:r>
      <w:pict>
        <v:shape id="文本框 19" o:spid="_x0000_s3082"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path/>
          <v:fill on="f" focussize="0,0"/>
          <v:stroke on="f" weight="0.5pt" joinstyle="miter"/>
          <v:imagedata o:title=""/>
          <o:lock v:ext="edit"/>
          <v:textbox inset="0mm,0mm,0mm,0mm" style="mso-fit-shape-to-text:t;">
            <w:txbxContent>
              <w:p w14:paraId="12644344">
                <w:pPr>
                  <w:pStyle w:val="17"/>
                </w:pPr>
                <w:r>
                  <w:fldChar w:fldCharType="begin"/>
                </w:r>
                <w:r>
                  <w:instrText xml:space="preserve"> PAGE  \* MERGEFORMAT </w:instrText>
                </w:r>
                <w:r>
                  <w:fldChar w:fldCharType="separate"/>
                </w:r>
                <w:r>
                  <w:t>48</w:t>
                </w:r>
                <w:r>
                  <w:fldChar w:fldCharType="end"/>
                </w:r>
              </w:p>
            </w:txbxContent>
          </v:textbox>
        </v:shape>
      </w:pict>
    </w:r>
  </w:p>
  <w:p w14:paraId="75AAB172">
    <w:pPr>
      <w:spacing w:line="280" w:lineRule="exact"/>
      <w:jc w:val="left"/>
      <w:rPr>
        <w:rFonts w:ascii="楷体" w:hAnsi="楷体" w:eastAsia="楷体" w:cs="楷体"/>
        <w:b/>
        <w:sz w:val="18"/>
        <w:szCs w:val="18"/>
        <w:u w:val="single"/>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89049">
    <w:pPr>
      <w:pStyle w:val="17"/>
      <w:rPr>
        <w:rFonts w:ascii="楷体" w:hAnsi="楷体" w:eastAsia="楷体" w:cs="楷体"/>
        <w:b/>
      </w:rPr>
    </w:pPr>
    <w:r>
      <w:pict>
        <v:shape id="文本框 20" o:spid="_x0000_s3081"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path/>
          <v:fill on="f" focussize="0,0"/>
          <v:stroke on="f" weight="0.5pt" joinstyle="miter"/>
          <v:imagedata o:title=""/>
          <o:lock v:ext="edit"/>
          <v:textbox inset="0mm,0mm,0mm,0mm" style="mso-fit-shape-to-text:t;">
            <w:txbxContent>
              <w:p w14:paraId="0C35A280">
                <w:pPr>
                  <w:pStyle w:val="17"/>
                </w:pPr>
                <w:r>
                  <w:fldChar w:fldCharType="begin"/>
                </w:r>
                <w:r>
                  <w:instrText xml:space="preserve"> PAGE  \* MERGEFORMAT </w:instrText>
                </w:r>
                <w:r>
                  <w:fldChar w:fldCharType="separate"/>
                </w:r>
                <w:r>
                  <w:t>53</w:t>
                </w:r>
                <w:r>
                  <w:fldChar w:fldCharType="end"/>
                </w:r>
              </w:p>
            </w:txbxContent>
          </v:textbox>
        </v:shape>
      </w:pict>
    </w:r>
  </w:p>
  <w:p w14:paraId="05DE54B3">
    <w:pPr>
      <w:pStyle w:val="17"/>
      <w:tabs>
        <w:tab w:val="left" w:pos="8415"/>
        <w:tab w:val="clear" w:pos="4153"/>
      </w:tabs>
      <w:rPr>
        <w:rFonts w:ascii="楷体" w:hAnsi="楷体" w:eastAsia="楷体" w:cs="楷体"/>
        <w:b/>
        <w:u w:val="single"/>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7E8A3">
    <w:pPr>
      <w:pStyle w:val="17"/>
      <w:ind w:right="360"/>
    </w:pPr>
    <w:r>
      <w:pict>
        <v:shape id="文本框 5"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LqJ8EtABAACkAwAADgAAAAAAAAABACAAAAAeAQAAZHJz&#10;L2Uyb0RvYy54bWxQSwUGAAAAAAYABgBZAQAAYAUAAAAA&#10;">
          <v:path/>
          <v:fill on="f" focussize="0,0"/>
          <v:stroke on="f" joinstyle="miter"/>
          <v:imagedata o:title=""/>
          <o:lock v:ext="edit"/>
          <v:textbox inset="0mm,0mm,0mm,0mm" style="mso-fit-shape-to-text:t;">
            <w:txbxContent>
              <w:p w14:paraId="70A9414E">
                <w:pPr>
                  <w:pStyle w:val="17"/>
                </w:pPr>
                <w:r>
                  <w:fldChar w:fldCharType="begin"/>
                </w:r>
                <w:r>
                  <w:instrText xml:space="preserve"> PAGE  \* MERGEFORMAT </w:instrText>
                </w:r>
                <w:r>
                  <w:fldChar w:fldCharType="separate"/>
                </w:r>
                <w:r>
                  <w:t>56</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1AF01">
    <w:pPr>
      <w:pStyle w:val="17"/>
      <w:rPr>
        <w:rFonts w:ascii="宋体" w:hAnsi="宋体" w:cs="宋体"/>
        <w:b/>
        <w:u w:val="single"/>
      </w:rPr>
    </w:pPr>
    <w:r>
      <w:pict>
        <v:shape id="_x0000_s3092" o:spid="_x0000_s3092"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ZFACV0QEAAKQDAAAOAAAAAAAAAAEAIAAAAB8BAABk&#10;cnMvZTJvRG9jLnhtbFBLBQYAAAAABgAGAFkBAABiBQAAAAA=&#10;">
          <v:path/>
          <v:fill on="f" focussize="0,0"/>
          <v:stroke on="f" weight="0.5pt" joinstyle="miter"/>
          <v:imagedata o:title=""/>
          <o:lock v:ext="edit"/>
          <v:textbox inset="0mm,0mm,0mm,0mm" style="mso-fit-shape-to-text:t;">
            <w:txbxContent>
              <w:p w14:paraId="6A423F82">
                <w:pPr>
                  <w:pStyle w:val="17"/>
                </w:pPr>
                <w:r>
                  <w:fldChar w:fldCharType="begin"/>
                </w:r>
                <w:r>
                  <w:instrText xml:space="preserve"> PAGE  \* MERGEFORMAT </w:instrText>
                </w:r>
                <w:r>
                  <w:fldChar w:fldCharType="separate"/>
                </w:r>
                <w:r>
                  <w:t>66</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4B12C">
    <w:pPr>
      <w:pStyle w:val="17"/>
      <w:jc w:val="center"/>
      <w:rPr>
        <w:rFonts w:ascii="宋体" w:hAnsi="宋体" w:cs="宋体"/>
        <w:b/>
      </w:rPr>
    </w:pPr>
    <w:r>
      <w:pict>
        <v:shape id="_x0000_s3091" o:spid="_x0000_s3091"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hiUwl0QEAAKIDAAAOAAAAAAAAAAEAIAAAAB8BAABk&#10;cnMvZTJvRG9jLnhtbFBLBQYAAAAABgAGAFkBAABiBQAAAAA=&#10;">
          <v:path/>
          <v:fill on="f" focussize="0,0"/>
          <v:stroke on="f" weight="0.5pt" joinstyle="miter"/>
          <v:imagedata o:title=""/>
          <o:lock v:ext="edit"/>
          <v:textbox inset="0mm,0mm,0mm,0mm" style="mso-fit-shape-to-text:t;">
            <w:txbxContent>
              <w:p w14:paraId="423B93C8">
                <w:pPr>
                  <w:pStyle w:val="17"/>
                </w:pPr>
                <w:r>
                  <w:fldChar w:fldCharType="begin"/>
                </w:r>
                <w:r>
                  <w:instrText xml:space="preserve"> PAGE  \* MERGEFORMAT </w:instrText>
                </w:r>
                <w:r>
                  <w:fldChar w:fldCharType="separate"/>
                </w:r>
                <w:r>
                  <w:t>47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1611D">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BD78B">
    <w:pPr>
      <w:spacing w:line="280" w:lineRule="exact"/>
      <w:jc w:val="center"/>
      <w:rPr>
        <w:rFonts w:ascii="宋体" w:hAnsi="宋体"/>
        <w:b/>
        <w:sz w:val="18"/>
        <w:szCs w:val="18"/>
      </w:rPr>
    </w:pPr>
    <w:r>
      <w:rPr>
        <w:sz w:val="18"/>
      </w:rPr>
      <w:pict>
        <v:shape id="_x0000_s3083" o:spid="_x0000_s3083"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1D1sIBAACP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8nINSDcHhMWLv1k1BFqKoZzKoymncqL8Oe9ZD3+R9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C9Q9bCAQAAjwMAAA4AAAAAAAAAAQAgAAAAHgEAAGRycy9lMm9Eb2MueG1sUEsF&#10;BgAAAAAGAAYAWQEAAFIFAAAAAA==&#10;">
          <v:path/>
          <v:fill on="f" focussize="0,0"/>
          <v:stroke on="f" joinstyle="miter"/>
          <v:imagedata o:title=""/>
          <o:lock v:ext="edit"/>
          <v:textbox inset="0mm,0mm,0mm,0mm" style="mso-fit-shape-to-text:t;">
            <w:txbxContent>
              <w:p w14:paraId="566804F5">
                <w:pPr>
                  <w:pStyle w:val="17"/>
                </w:pPr>
                <w:r>
                  <w:fldChar w:fldCharType="begin"/>
                </w:r>
                <w:r>
                  <w:instrText xml:space="preserve"> PAGE  \* MERGEFORMAT </w:instrText>
                </w:r>
                <w:r>
                  <w:fldChar w:fldCharType="separate"/>
                </w:r>
                <w:r>
                  <w:t>28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FBAAB">
    <w:pPr>
      <w:pStyle w:val="17"/>
    </w:pPr>
    <w:r>
      <w:pict>
        <v:shape id="_x0000_s3084" o:spid="_x0000_s3084"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14:paraId="482E90DC">
                <w:pPr>
                  <w:pStyle w:val="17"/>
                </w:pPr>
                <w:r>
                  <w:fldChar w:fldCharType="begin"/>
                </w:r>
                <w:r>
                  <w:instrText xml:space="preserve"> PAGE  \* MERGEFORMAT </w:instrText>
                </w:r>
                <w:r>
                  <w:fldChar w:fldCharType="separate"/>
                </w:r>
                <w:r>
                  <w:t>40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97472">
    <w:pPr>
      <w:pStyle w:val="17"/>
      <w:tabs>
        <w:tab w:val="center" w:pos="4588"/>
        <w:tab w:val="clear" w:pos="4153"/>
        <w:tab w:val="clear" w:pos="8306"/>
      </w:tabs>
      <w:ind w:right="360"/>
    </w:pPr>
    <w:r>
      <w:pict>
        <v:shape id="_x0000_s3076" o:spid="_x0000_s307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path/>
          <v:fill on="f" focussize="0,0"/>
          <v:stroke on="f" joinstyle="miter"/>
          <v:imagedata o:title=""/>
          <o:lock v:ext="edit"/>
          <v:textbox inset="0mm,0mm,0mm,0mm" style="mso-fit-shape-to-text:t;">
            <w:txbxContent>
              <w:p w14:paraId="00F7D009">
                <w:pPr>
                  <w:pStyle w:val="17"/>
                </w:pPr>
                <w:r>
                  <w:fldChar w:fldCharType="begin"/>
                </w:r>
                <w:r>
                  <w:instrText xml:space="preserve"> PAGE  \* MERGEFORMAT </w:instrText>
                </w:r>
                <w:r>
                  <w:fldChar w:fldCharType="separate"/>
                </w:r>
                <w:r>
                  <w:t>46</w:t>
                </w:r>
                <w:r>
                  <w:fldChar w:fldCharType="end"/>
                </w:r>
              </w:p>
            </w:txbxContent>
          </v:textbox>
        </v:shape>
      </w:pict>
    </w:r>
    <w:r>
      <w:rPr>
        <w:rFonts w:hint="eastAsia"/>
      </w:rPr>
      <w:tab/>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6AA42">
    <w:pPr>
      <w:pStyle w:val="17"/>
      <w:rPr>
        <w:rFonts w:ascii="宋体" w:hAnsi="宋体" w:cs="宋体"/>
        <w:b/>
        <w:u w:val="single"/>
      </w:rPr>
    </w:pPr>
    <w:r>
      <w:pict>
        <v:shape id="_x0000_s3074" o:spid="_x0000_s307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ZFACV0QEAAKQDAAAOAAAAAAAAAAEAIAAAAB8BAABk&#10;cnMvZTJvRG9jLnhtbFBLBQYAAAAABgAGAFkBAABiBQAAAAA=&#10;">
          <v:path/>
          <v:fill on="f" focussize="0,0"/>
          <v:stroke on="f" weight="0.5pt" joinstyle="miter"/>
          <v:imagedata o:title=""/>
          <o:lock v:ext="edit"/>
          <v:textbox inset="0mm,0mm,0mm,0mm" style="mso-fit-shape-to-text:t;">
            <w:txbxContent>
              <w:p w14:paraId="7D1FFF7F">
                <w:pPr>
                  <w:pStyle w:val="17"/>
                </w:pPr>
                <w:r>
                  <w:fldChar w:fldCharType="begin"/>
                </w:r>
                <w:r>
                  <w:instrText xml:space="preserve"> PAGE  \* MERGEFORMAT </w:instrText>
                </w:r>
                <w:r>
                  <w:fldChar w:fldCharType="separate"/>
                </w:r>
                <w:r>
                  <w:t>50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FA950">
    <w:pPr>
      <w:pStyle w:val="17"/>
      <w:jc w:val="center"/>
      <w:rPr>
        <w:rFonts w:ascii="宋体" w:hAnsi="宋体" w:cs="宋体"/>
        <w:b/>
      </w:rPr>
    </w:pPr>
    <w:r>
      <w:pict>
        <v:shape id="_x0000_s3075" o:spid="_x0000_s3075"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hiUwl0QEAAKIDAAAOAAAAAAAAAAEAIAAAAB8BAABk&#10;cnMvZTJvRG9jLnhtbFBLBQYAAAAABgAGAFkBAABiBQAAAAA=&#10;">
          <v:path/>
          <v:fill on="f" focussize="0,0"/>
          <v:stroke on="f" weight="0.5pt" joinstyle="miter"/>
          <v:imagedata o:title=""/>
          <o:lock v:ext="edit"/>
          <v:textbox inset="0mm,0mm,0mm,0mm" style="mso-fit-shape-to-text:t;">
            <w:txbxContent>
              <w:p w14:paraId="0F797D99">
                <w:pPr>
                  <w:pStyle w:val="17"/>
                </w:pPr>
                <w:r>
                  <w:fldChar w:fldCharType="begin"/>
                </w:r>
                <w:r>
                  <w:instrText xml:space="preserve"> PAGE  \* MERGEFORMAT </w:instrText>
                </w:r>
                <w:r>
                  <w:fldChar w:fldCharType="separate"/>
                </w:r>
                <w:r>
                  <w:t>48</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7A2E4">
    <w:pPr>
      <w:pStyle w:val="17"/>
      <w:rPr>
        <w:rFonts w:ascii="宋体" w:hAnsi="宋体"/>
        <w:b/>
      </w:rPr>
    </w:pPr>
    <w:r>
      <w:pict>
        <v:shape id="文本框 13" o:spid="_x0000_s3079"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path/>
          <v:fill on="f" focussize="0,0"/>
          <v:stroke on="f" weight="0.5pt" joinstyle="miter"/>
          <v:imagedata o:title=""/>
          <o:lock v:ext="edit"/>
          <v:textbox inset="0mm,0mm,0mm,0mm" style="mso-fit-shape-to-text:t;">
            <w:txbxContent>
              <w:p w14:paraId="5B01CA79">
                <w:pPr>
                  <w:pStyle w:val="17"/>
                </w:pPr>
                <w:r>
                  <w:fldChar w:fldCharType="begin"/>
                </w:r>
                <w:r>
                  <w:instrText xml:space="preserve"> PAGE  \* MERGEFORMAT </w:instrText>
                </w:r>
                <w:r>
                  <w:fldChar w:fldCharType="separate"/>
                </w:r>
                <w:r>
                  <w:t>63</w:t>
                </w:r>
                <w:r>
                  <w:fldChar w:fldCharType="end"/>
                </w:r>
              </w:p>
            </w:txbxContent>
          </v:textbox>
        </v:shape>
      </w:pict>
    </w:r>
  </w:p>
  <w:p w14:paraId="0C762051">
    <w:pPr>
      <w:spacing w:line="280" w:lineRule="exact"/>
      <w:jc w:val="left"/>
      <w:rPr>
        <w:rFonts w:ascii="楷体" w:hAnsi="楷体" w:eastAsia="楷体" w:cs="楷体"/>
        <w:b/>
        <w:sz w:val="18"/>
        <w:szCs w:val="18"/>
        <w:u w:val="single"/>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111B4">
    <w:pPr>
      <w:pStyle w:val="17"/>
      <w:rPr>
        <w:rFonts w:ascii="楷体" w:hAnsi="楷体" w:eastAsia="楷体" w:cs="楷体"/>
        <w:b/>
      </w:rPr>
    </w:pPr>
    <w:r>
      <w:pict>
        <v:shape id="文本框 15" o:spid="_x0000_s3080"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path/>
          <v:fill on="f" focussize="0,0"/>
          <v:stroke on="f" weight="0.5pt" joinstyle="miter"/>
          <v:imagedata o:title=""/>
          <o:lock v:ext="edit"/>
          <v:textbox inset="0mm,0mm,0mm,0mm" style="mso-fit-shape-to-text:t;">
            <w:txbxContent>
              <w:p w14:paraId="51DC2620">
                <w:pPr>
                  <w:pStyle w:val="17"/>
                </w:pPr>
                <w:r>
                  <w:fldChar w:fldCharType="begin"/>
                </w:r>
                <w:r>
                  <w:instrText xml:space="preserve"> PAGE  \* MERGEFORMAT </w:instrText>
                </w:r>
                <w:r>
                  <w:fldChar w:fldCharType="separate"/>
                </w:r>
                <w:r>
                  <w:t>51</w:t>
                </w:r>
                <w:r>
                  <w:fldChar w:fldCharType="end"/>
                </w:r>
              </w:p>
            </w:txbxContent>
          </v:textbox>
        </v:shape>
      </w:pict>
    </w:r>
  </w:p>
  <w:p w14:paraId="1A97F0C9">
    <w:pPr>
      <w:pStyle w:val="17"/>
      <w:tabs>
        <w:tab w:val="left" w:pos="8415"/>
        <w:tab w:val="clear" w:pos="4153"/>
      </w:tabs>
      <w:rPr>
        <w:rFonts w:ascii="楷体" w:hAnsi="楷体" w:eastAsia="楷体" w:cs="楷体"/>
        <w:b/>
        <w:u w:val="singl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FCB26">
    <w:pPr>
      <w:spacing w:line="480" w:lineRule="exact"/>
      <w:rPr>
        <w:rFonts w:ascii="宋体" w:hAnsi="宋体" w:cs="宋体"/>
        <w:bCs/>
        <w:sz w:val="16"/>
        <w:szCs w:val="16"/>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BA177">
    <w:pPr>
      <w:spacing w:line="480" w:lineRule="exact"/>
      <w:rPr>
        <w:rFonts w:ascii="宋体" w:hAnsi="宋体" w:cs="宋体"/>
        <w:b/>
        <w:sz w:val="18"/>
        <w:szCs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16178">
    <w:pPr>
      <w:spacing w:line="480" w:lineRule="exact"/>
      <w:rPr>
        <w:rFonts w:ascii="黑体" w:hAnsi="黑体" w:eastAsia="黑体"/>
        <w:bCs/>
        <w:color w:val="000000"/>
        <w:sz w:val="20"/>
        <w:szCs w:val="36"/>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5FFFA">
    <w:pPr>
      <w:spacing w:line="480"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03C06">
    <w:pPr>
      <w:spacing w:line="480" w:lineRule="exact"/>
      <w:rPr>
        <w:rFonts w:ascii="宋体" w:hAnsi="宋体" w:cs="宋体"/>
        <w:b/>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DED5A">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9AE51">
    <w:pPr>
      <w:pStyle w:val="1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72341">
    <w:pPr>
      <w:autoSpaceDE w:val="0"/>
      <w:autoSpaceDN w:val="0"/>
      <w:adjustRightInd w:val="0"/>
      <w:snapToGrid w:val="0"/>
      <w:spacing w:line="360" w:lineRule="auto"/>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241BF">
    <w:pPr>
      <w:spacing w:line="480"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D0D8E">
    <w:pPr>
      <w:spacing w:line="480" w:lineRule="exact"/>
      <w:rPr>
        <w:rFonts w:ascii="宋体" w:hAnsi="宋体" w:cs="宋体"/>
        <w:b/>
        <w:sz w:val="18"/>
        <w:szCs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92026">
    <w:pPr>
      <w:spacing w:line="480" w:lineRule="exact"/>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FDD53">
    <w:pPr>
      <w:spacing w:line="480" w:lineRule="exact"/>
      <w:rPr>
        <w:rFonts w:ascii="宋体" w:hAnsi="宋体" w:cs="宋体"/>
        <w:b/>
        <w:sz w:val="18"/>
        <w:szCs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F7BE1">
    <w:pPr>
      <w:spacing w:line="480" w:lineRule="exact"/>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3D7C1D"/>
    <w:multiLevelType w:val="singleLevel"/>
    <w:tmpl w:val="A33D7C1D"/>
    <w:lvl w:ilvl="0" w:tentative="0">
      <w:start w:val="1"/>
      <w:numFmt w:val="decimal"/>
      <w:suff w:val="nothing"/>
      <w:lvlText w:val="（%1）"/>
      <w:lvlJc w:val="left"/>
    </w:lvl>
  </w:abstractNum>
  <w:abstractNum w:abstractNumId="1">
    <w:nsid w:val="DEACFBDC"/>
    <w:multiLevelType w:val="singleLevel"/>
    <w:tmpl w:val="DEACFBDC"/>
    <w:lvl w:ilvl="0" w:tentative="0">
      <w:start w:val="1"/>
      <w:numFmt w:val="decimal"/>
      <w:suff w:val="nothing"/>
      <w:lvlText w:val="（%1）"/>
      <w:lvlJc w:val="left"/>
    </w:lvl>
  </w:abstractNum>
  <w:abstractNum w:abstractNumId="2">
    <w:nsid w:val="0D899E01"/>
    <w:multiLevelType w:val="singleLevel"/>
    <w:tmpl w:val="0D899E01"/>
    <w:lvl w:ilvl="0" w:tentative="0">
      <w:start w:val="1"/>
      <w:numFmt w:val="chineseCounting"/>
      <w:suff w:val="space"/>
      <w:lvlText w:val="第%1章"/>
      <w:lvlJc w:val="left"/>
      <w:rPr>
        <w:rFonts w:hint="eastAsia"/>
      </w:rPr>
    </w:lvl>
  </w:abstractNum>
  <w:abstractNum w:abstractNumId="3">
    <w:nsid w:val="44B6A82E"/>
    <w:multiLevelType w:val="singleLevel"/>
    <w:tmpl w:val="44B6A82E"/>
    <w:lvl w:ilvl="0" w:tentative="0">
      <w:start w:val="3"/>
      <w:numFmt w:val="decimal"/>
      <w:suff w:val="nothing"/>
      <w:lvlText w:val="%1、"/>
      <w:lvlJc w:val="left"/>
    </w:lvl>
  </w:abstractNum>
  <w:abstractNum w:abstractNumId="4">
    <w:nsid w:val="74466E67"/>
    <w:multiLevelType w:val="singleLevel"/>
    <w:tmpl w:val="74466E67"/>
    <w:lvl w:ilvl="0" w:tentative="0">
      <w:start w:val="9"/>
      <w:numFmt w:val="decimal"/>
      <w:suff w:val="nothing"/>
      <w:lvlText w:val="（%1）"/>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M4ZGQ1MjJmNGM4MzBhZTVkM2UyYzdkYzIxMmYwNDcifQ=="/>
  </w:docVars>
  <w:rsids>
    <w:rsidRoot w:val="00172A27"/>
    <w:rsid w:val="0001308C"/>
    <w:rsid w:val="000327F6"/>
    <w:rsid w:val="00045065"/>
    <w:rsid w:val="000727C9"/>
    <w:rsid w:val="00083916"/>
    <w:rsid w:val="000A5622"/>
    <w:rsid w:val="000A76ED"/>
    <w:rsid w:val="000B6C73"/>
    <w:rsid w:val="000C2BD6"/>
    <w:rsid w:val="000C4415"/>
    <w:rsid w:val="00100064"/>
    <w:rsid w:val="00115AAC"/>
    <w:rsid w:val="0011644B"/>
    <w:rsid w:val="00122C37"/>
    <w:rsid w:val="00143E47"/>
    <w:rsid w:val="00171711"/>
    <w:rsid w:val="00172A27"/>
    <w:rsid w:val="00185B7D"/>
    <w:rsid w:val="0019698F"/>
    <w:rsid w:val="001B22D4"/>
    <w:rsid w:val="001C06FB"/>
    <w:rsid w:val="001C1ABD"/>
    <w:rsid w:val="001D2BD3"/>
    <w:rsid w:val="001D426C"/>
    <w:rsid w:val="001E4660"/>
    <w:rsid w:val="0020267C"/>
    <w:rsid w:val="002033ED"/>
    <w:rsid w:val="00207591"/>
    <w:rsid w:val="0022181C"/>
    <w:rsid w:val="002235CA"/>
    <w:rsid w:val="00226DAE"/>
    <w:rsid w:val="00240E88"/>
    <w:rsid w:val="00250CBA"/>
    <w:rsid w:val="002535DB"/>
    <w:rsid w:val="0027327C"/>
    <w:rsid w:val="002838FF"/>
    <w:rsid w:val="002A34CB"/>
    <w:rsid w:val="002B4F45"/>
    <w:rsid w:val="002B5A21"/>
    <w:rsid w:val="002C24B9"/>
    <w:rsid w:val="002E2B94"/>
    <w:rsid w:val="002F0354"/>
    <w:rsid w:val="002F2353"/>
    <w:rsid w:val="003002FF"/>
    <w:rsid w:val="00343467"/>
    <w:rsid w:val="003B0418"/>
    <w:rsid w:val="003B6D91"/>
    <w:rsid w:val="003C12E5"/>
    <w:rsid w:val="003D6B36"/>
    <w:rsid w:val="004154A2"/>
    <w:rsid w:val="0042300E"/>
    <w:rsid w:val="004240D3"/>
    <w:rsid w:val="00440BD6"/>
    <w:rsid w:val="004446F2"/>
    <w:rsid w:val="00451D19"/>
    <w:rsid w:val="00480631"/>
    <w:rsid w:val="0049673E"/>
    <w:rsid w:val="004A15BB"/>
    <w:rsid w:val="004A1C92"/>
    <w:rsid w:val="004A2CEB"/>
    <w:rsid w:val="004B0F3F"/>
    <w:rsid w:val="004F2018"/>
    <w:rsid w:val="0050445E"/>
    <w:rsid w:val="0050638A"/>
    <w:rsid w:val="005212ED"/>
    <w:rsid w:val="005322C2"/>
    <w:rsid w:val="005614EC"/>
    <w:rsid w:val="00561A71"/>
    <w:rsid w:val="005644F0"/>
    <w:rsid w:val="00574013"/>
    <w:rsid w:val="00593135"/>
    <w:rsid w:val="00593DC2"/>
    <w:rsid w:val="005A0BB2"/>
    <w:rsid w:val="005D08EF"/>
    <w:rsid w:val="005D40F4"/>
    <w:rsid w:val="005D4C63"/>
    <w:rsid w:val="005D6F65"/>
    <w:rsid w:val="005E6C89"/>
    <w:rsid w:val="005E73F8"/>
    <w:rsid w:val="00612345"/>
    <w:rsid w:val="00630BA2"/>
    <w:rsid w:val="006447BD"/>
    <w:rsid w:val="00670BE6"/>
    <w:rsid w:val="00696295"/>
    <w:rsid w:val="006D228F"/>
    <w:rsid w:val="006D7240"/>
    <w:rsid w:val="006D7968"/>
    <w:rsid w:val="006E3ABD"/>
    <w:rsid w:val="0071157D"/>
    <w:rsid w:val="00716C3B"/>
    <w:rsid w:val="00717621"/>
    <w:rsid w:val="007446A3"/>
    <w:rsid w:val="00764BA1"/>
    <w:rsid w:val="00773939"/>
    <w:rsid w:val="007807AC"/>
    <w:rsid w:val="007848F5"/>
    <w:rsid w:val="0078569D"/>
    <w:rsid w:val="007A5641"/>
    <w:rsid w:val="007C00EE"/>
    <w:rsid w:val="007C661F"/>
    <w:rsid w:val="007E2899"/>
    <w:rsid w:val="007F0790"/>
    <w:rsid w:val="007F728E"/>
    <w:rsid w:val="0080580E"/>
    <w:rsid w:val="00810E6D"/>
    <w:rsid w:val="00815F66"/>
    <w:rsid w:val="008233A0"/>
    <w:rsid w:val="00827953"/>
    <w:rsid w:val="008367A0"/>
    <w:rsid w:val="00836F53"/>
    <w:rsid w:val="00841734"/>
    <w:rsid w:val="00852266"/>
    <w:rsid w:val="008540C9"/>
    <w:rsid w:val="008624DE"/>
    <w:rsid w:val="00873D7C"/>
    <w:rsid w:val="008A18E7"/>
    <w:rsid w:val="008A40BE"/>
    <w:rsid w:val="008A5B2E"/>
    <w:rsid w:val="008A5B39"/>
    <w:rsid w:val="008B55CF"/>
    <w:rsid w:val="008C0B23"/>
    <w:rsid w:val="008C4A57"/>
    <w:rsid w:val="008F2B4E"/>
    <w:rsid w:val="0090097E"/>
    <w:rsid w:val="00953321"/>
    <w:rsid w:val="00975801"/>
    <w:rsid w:val="00987446"/>
    <w:rsid w:val="009C06B1"/>
    <w:rsid w:val="009D02D1"/>
    <w:rsid w:val="009E68AC"/>
    <w:rsid w:val="009F2E6D"/>
    <w:rsid w:val="00A24BA3"/>
    <w:rsid w:val="00A3235E"/>
    <w:rsid w:val="00A3396F"/>
    <w:rsid w:val="00A33C3E"/>
    <w:rsid w:val="00A46E95"/>
    <w:rsid w:val="00A54F18"/>
    <w:rsid w:val="00A625F3"/>
    <w:rsid w:val="00A64246"/>
    <w:rsid w:val="00A77550"/>
    <w:rsid w:val="00A83DDA"/>
    <w:rsid w:val="00A948D4"/>
    <w:rsid w:val="00AB1812"/>
    <w:rsid w:val="00AB4B44"/>
    <w:rsid w:val="00AB7CBD"/>
    <w:rsid w:val="00AD2ECE"/>
    <w:rsid w:val="00AE4074"/>
    <w:rsid w:val="00AF2AA8"/>
    <w:rsid w:val="00AF4AE0"/>
    <w:rsid w:val="00AF5B67"/>
    <w:rsid w:val="00B04B38"/>
    <w:rsid w:val="00B11373"/>
    <w:rsid w:val="00B12E38"/>
    <w:rsid w:val="00B5117E"/>
    <w:rsid w:val="00B83327"/>
    <w:rsid w:val="00B8680E"/>
    <w:rsid w:val="00BA0FA9"/>
    <w:rsid w:val="00BA4CCA"/>
    <w:rsid w:val="00BB6708"/>
    <w:rsid w:val="00BC3A6C"/>
    <w:rsid w:val="00BD09FC"/>
    <w:rsid w:val="00C11035"/>
    <w:rsid w:val="00C45AF9"/>
    <w:rsid w:val="00C577DE"/>
    <w:rsid w:val="00C62A64"/>
    <w:rsid w:val="00C62CC5"/>
    <w:rsid w:val="00CA303A"/>
    <w:rsid w:val="00CB5577"/>
    <w:rsid w:val="00CC7B04"/>
    <w:rsid w:val="00CF2944"/>
    <w:rsid w:val="00D061D0"/>
    <w:rsid w:val="00D11DA0"/>
    <w:rsid w:val="00D1355C"/>
    <w:rsid w:val="00D52B67"/>
    <w:rsid w:val="00D52F63"/>
    <w:rsid w:val="00D533F8"/>
    <w:rsid w:val="00D74114"/>
    <w:rsid w:val="00D86811"/>
    <w:rsid w:val="00D97E9A"/>
    <w:rsid w:val="00DA2E3D"/>
    <w:rsid w:val="00DB2123"/>
    <w:rsid w:val="00DB5E90"/>
    <w:rsid w:val="00DC01F9"/>
    <w:rsid w:val="00DC6AF9"/>
    <w:rsid w:val="00E17760"/>
    <w:rsid w:val="00E17F64"/>
    <w:rsid w:val="00E2335E"/>
    <w:rsid w:val="00E255C8"/>
    <w:rsid w:val="00E6394A"/>
    <w:rsid w:val="00EA5DF1"/>
    <w:rsid w:val="00EB4222"/>
    <w:rsid w:val="00EC04CE"/>
    <w:rsid w:val="00EC4B0F"/>
    <w:rsid w:val="00EC5246"/>
    <w:rsid w:val="00ED3BFA"/>
    <w:rsid w:val="00EF5DC7"/>
    <w:rsid w:val="00F24C3F"/>
    <w:rsid w:val="00F31F5A"/>
    <w:rsid w:val="00F440D8"/>
    <w:rsid w:val="00F54007"/>
    <w:rsid w:val="00F56EA8"/>
    <w:rsid w:val="00F87796"/>
    <w:rsid w:val="00FA380A"/>
    <w:rsid w:val="00FA7B49"/>
    <w:rsid w:val="00FB2306"/>
    <w:rsid w:val="00FC2388"/>
    <w:rsid w:val="00FD1BB0"/>
    <w:rsid w:val="00FF2556"/>
    <w:rsid w:val="011B6335"/>
    <w:rsid w:val="01247E92"/>
    <w:rsid w:val="012515C4"/>
    <w:rsid w:val="01301BC0"/>
    <w:rsid w:val="013531F3"/>
    <w:rsid w:val="013B0DE8"/>
    <w:rsid w:val="013C690E"/>
    <w:rsid w:val="013D01DA"/>
    <w:rsid w:val="013D4B60"/>
    <w:rsid w:val="0146666F"/>
    <w:rsid w:val="01537696"/>
    <w:rsid w:val="01626374"/>
    <w:rsid w:val="016320EC"/>
    <w:rsid w:val="016B438A"/>
    <w:rsid w:val="016E79BB"/>
    <w:rsid w:val="017165B7"/>
    <w:rsid w:val="017442FA"/>
    <w:rsid w:val="01787946"/>
    <w:rsid w:val="017B0014"/>
    <w:rsid w:val="017F3B76"/>
    <w:rsid w:val="0189362A"/>
    <w:rsid w:val="018C33F1"/>
    <w:rsid w:val="01957E27"/>
    <w:rsid w:val="019C2A3A"/>
    <w:rsid w:val="01B85F94"/>
    <w:rsid w:val="01D3571A"/>
    <w:rsid w:val="01DB7EBC"/>
    <w:rsid w:val="01E52B01"/>
    <w:rsid w:val="01ED2EAC"/>
    <w:rsid w:val="01EE0F89"/>
    <w:rsid w:val="01F9035B"/>
    <w:rsid w:val="02042EC7"/>
    <w:rsid w:val="020E7FE4"/>
    <w:rsid w:val="021B6523"/>
    <w:rsid w:val="02317AF5"/>
    <w:rsid w:val="02330D66"/>
    <w:rsid w:val="02402483"/>
    <w:rsid w:val="025A3CA1"/>
    <w:rsid w:val="02777BFD"/>
    <w:rsid w:val="02781BC8"/>
    <w:rsid w:val="028E2239"/>
    <w:rsid w:val="028E4F47"/>
    <w:rsid w:val="029929F4"/>
    <w:rsid w:val="02B96008"/>
    <w:rsid w:val="02BA5F5E"/>
    <w:rsid w:val="02EC4D9D"/>
    <w:rsid w:val="03037514"/>
    <w:rsid w:val="030D2310"/>
    <w:rsid w:val="03154BFE"/>
    <w:rsid w:val="031B7704"/>
    <w:rsid w:val="03284584"/>
    <w:rsid w:val="0328714A"/>
    <w:rsid w:val="032D4760"/>
    <w:rsid w:val="03373831"/>
    <w:rsid w:val="0337542F"/>
    <w:rsid w:val="035F26D2"/>
    <w:rsid w:val="03631A11"/>
    <w:rsid w:val="037F2CA6"/>
    <w:rsid w:val="0384101C"/>
    <w:rsid w:val="03863E70"/>
    <w:rsid w:val="0389225D"/>
    <w:rsid w:val="038A7E04"/>
    <w:rsid w:val="038B5BC4"/>
    <w:rsid w:val="03A21034"/>
    <w:rsid w:val="03B15391"/>
    <w:rsid w:val="03B64756"/>
    <w:rsid w:val="03BE185C"/>
    <w:rsid w:val="03C351AA"/>
    <w:rsid w:val="03D27EB0"/>
    <w:rsid w:val="03DB240E"/>
    <w:rsid w:val="03EE0393"/>
    <w:rsid w:val="03F54682"/>
    <w:rsid w:val="03F87596"/>
    <w:rsid w:val="04022BFE"/>
    <w:rsid w:val="043A7135"/>
    <w:rsid w:val="044A1427"/>
    <w:rsid w:val="044C6E68"/>
    <w:rsid w:val="046442CB"/>
    <w:rsid w:val="046D4438"/>
    <w:rsid w:val="04810C66"/>
    <w:rsid w:val="0482288A"/>
    <w:rsid w:val="04A06914"/>
    <w:rsid w:val="04A46CB4"/>
    <w:rsid w:val="04AF3C14"/>
    <w:rsid w:val="04C20084"/>
    <w:rsid w:val="04CB0091"/>
    <w:rsid w:val="04CD0710"/>
    <w:rsid w:val="04DC643E"/>
    <w:rsid w:val="04E56551"/>
    <w:rsid w:val="04E92909"/>
    <w:rsid w:val="04E946B7"/>
    <w:rsid w:val="04F81308"/>
    <w:rsid w:val="05031C1C"/>
    <w:rsid w:val="050634BB"/>
    <w:rsid w:val="050665A2"/>
    <w:rsid w:val="050A3B09"/>
    <w:rsid w:val="050B6D23"/>
    <w:rsid w:val="051A7389"/>
    <w:rsid w:val="052C47CE"/>
    <w:rsid w:val="053D6438"/>
    <w:rsid w:val="054479A4"/>
    <w:rsid w:val="05471E36"/>
    <w:rsid w:val="054933A7"/>
    <w:rsid w:val="05745EE7"/>
    <w:rsid w:val="0583125F"/>
    <w:rsid w:val="05880374"/>
    <w:rsid w:val="058C5B63"/>
    <w:rsid w:val="05924D4E"/>
    <w:rsid w:val="0593682F"/>
    <w:rsid w:val="05940AC6"/>
    <w:rsid w:val="05A63BA7"/>
    <w:rsid w:val="05A90737"/>
    <w:rsid w:val="05B20F4D"/>
    <w:rsid w:val="05C018BB"/>
    <w:rsid w:val="05C56ED2"/>
    <w:rsid w:val="05CF6454"/>
    <w:rsid w:val="05DA305B"/>
    <w:rsid w:val="05DC1650"/>
    <w:rsid w:val="05E63E64"/>
    <w:rsid w:val="05EF21D2"/>
    <w:rsid w:val="05F41C11"/>
    <w:rsid w:val="05F93A16"/>
    <w:rsid w:val="05FB0B46"/>
    <w:rsid w:val="060834FC"/>
    <w:rsid w:val="06107E61"/>
    <w:rsid w:val="06152050"/>
    <w:rsid w:val="061B574F"/>
    <w:rsid w:val="062539FF"/>
    <w:rsid w:val="06313475"/>
    <w:rsid w:val="063E2174"/>
    <w:rsid w:val="06465301"/>
    <w:rsid w:val="064B142F"/>
    <w:rsid w:val="064C314F"/>
    <w:rsid w:val="06533E7D"/>
    <w:rsid w:val="065456E8"/>
    <w:rsid w:val="066761DB"/>
    <w:rsid w:val="066A5AAD"/>
    <w:rsid w:val="067508F8"/>
    <w:rsid w:val="067F3398"/>
    <w:rsid w:val="06805006"/>
    <w:rsid w:val="0680729D"/>
    <w:rsid w:val="068F173C"/>
    <w:rsid w:val="06946962"/>
    <w:rsid w:val="06AC0092"/>
    <w:rsid w:val="06C453DB"/>
    <w:rsid w:val="06E92D95"/>
    <w:rsid w:val="06ED0F82"/>
    <w:rsid w:val="06F84E27"/>
    <w:rsid w:val="06FA011B"/>
    <w:rsid w:val="0701711F"/>
    <w:rsid w:val="070A0C8B"/>
    <w:rsid w:val="071023CF"/>
    <w:rsid w:val="071F3C81"/>
    <w:rsid w:val="073B34E2"/>
    <w:rsid w:val="073F0AAA"/>
    <w:rsid w:val="074A2F16"/>
    <w:rsid w:val="076158D7"/>
    <w:rsid w:val="076A5EBC"/>
    <w:rsid w:val="076D638D"/>
    <w:rsid w:val="07744E5F"/>
    <w:rsid w:val="077A2252"/>
    <w:rsid w:val="0780696F"/>
    <w:rsid w:val="078337E2"/>
    <w:rsid w:val="07873D7E"/>
    <w:rsid w:val="07A07BF6"/>
    <w:rsid w:val="07A22D90"/>
    <w:rsid w:val="07A50D69"/>
    <w:rsid w:val="07B1083A"/>
    <w:rsid w:val="07B30AD6"/>
    <w:rsid w:val="07DA257E"/>
    <w:rsid w:val="07DF5C96"/>
    <w:rsid w:val="07EE10FD"/>
    <w:rsid w:val="07EF46DA"/>
    <w:rsid w:val="07FE491D"/>
    <w:rsid w:val="08017F69"/>
    <w:rsid w:val="08074D9A"/>
    <w:rsid w:val="08147C2D"/>
    <w:rsid w:val="08237D7E"/>
    <w:rsid w:val="083F4163"/>
    <w:rsid w:val="08420CAE"/>
    <w:rsid w:val="084558C8"/>
    <w:rsid w:val="08477B23"/>
    <w:rsid w:val="086D2DAD"/>
    <w:rsid w:val="088E55AF"/>
    <w:rsid w:val="08915791"/>
    <w:rsid w:val="089820E6"/>
    <w:rsid w:val="08B43636"/>
    <w:rsid w:val="08B5088C"/>
    <w:rsid w:val="08B81AB7"/>
    <w:rsid w:val="08CE4F66"/>
    <w:rsid w:val="08D8516E"/>
    <w:rsid w:val="08DB07BA"/>
    <w:rsid w:val="08E27D9B"/>
    <w:rsid w:val="08EC0C19"/>
    <w:rsid w:val="08F2432F"/>
    <w:rsid w:val="08F57ACE"/>
    <w:rsid w:val="08FA50E4"/>
    <w:rsid w:val="090A4693"/>
    <w:rsid w:val="090B5E50"/>
    <w:rsid w:val="091B46C8"/>
    <w:rsid w:val="0933033E"/>
    <w:rsid w:val="093D1475"/>
    <w:rsid w:val="09447444"/>
    <w:rsid w:val="09472B84"/>
    <w:rsid w:val="094D16B8"/>
    <w:rsid w:val="09606A75"/>
    <w:rsid w:val="09717ADB"/>
    <w:rsid w:val="097C14E4"/>
    <w:rsid w:val="09B13158"/>
    <w:rsid w:val="09B63701"/>
    <w:rsid w:val="09C35018"/>
    <w:rsid w:val="09CA0D26"/>
    <w:rsid w:val="09CB04E0"/>
    <w:rsid w:val="09DE594A"/>
    <w:rsid w:val="0A000297"/>
    <w:rsid w:val="0A0328E2"/>
    <w:rsid w:val="0A147843"/>
    <w:rsid w:val="0A193C90"/>
    <w:rsid w:val="0A200B7B"/>
    <w:rsid w:val="0A2166A1"/>
    <w:rsid w:val="0A25011B"/>
    <w:rsid w:val="0A283ED3"/>
    <w:rsid w:val="0A326B00"/>
    <w:rsid w:val="0A381EFB"/>
    <w:rsid w:val="0A39513C"/>
    <w:rsid w:val="0A411229"/>
    <w:rsid w:val="0A4A67CC"/>
    <w:rsid w:val="0A4F4254"/>
    <w:rsid w:val="0A560A40"/>
    <w:rsid w:val="0A613847"/>
    <w:rsid w:val="0A6846F0"/>
    <w:rsid w:val="0A6D18E6"/>
    <w:rsid w:val="0A704A0A"/>
    <w:rsid w:val="0AA634B8"/>
    <w:rsid w:val="0AA97D04"/>
    <w:rsid w:val="0ABA1FAF"/>
    <w:rsid w:val="0AC5352E"/>
    <w:rsid w:val="0AC567DB"/>
    <w:rsid w:val="0AC97464"/>
    <w:rsid w:val="0AD54E41"/>
    <w:rsid w:val="0AE709DF"/>
    <w:rsid w:val="0AEA2F37"/>
    <w:rsid w:val="0AF67B2D"/>
    <w:rsid w:val="0AF7675C"/>
    <w:rsid w:val="0AFA72AE"/>
    <w:rsid w:val="0B071D3B"/>
    <w:rsid w:val="0B0D2A56"/>
    <w:rsid w:val="0B0E58C2"/>
    <w:rsid w:val="0B200E5B"/>
    <w:rsid w:val="0B4765DB"/>
    <w:rsid w:val="0B50723E"/>
    <w:rsid w:val="0B513759"/>
    <w:rsid w:val="0B5C3E34"/>
    <w:rsid w:val="0B6E6D14"/>
    <w:rsid w:val="0B77312B"/>
    <w:rsid w:val="0B7F3FC7"/>
    <w:rsid w:val="0B884C29"/>
    <w:rsid w:val="0B9C6927"/>
    <w:rsid w:val="0BA650B0"/>
    <w:rsid w:val="0BAD28E2"/>
    <w:rsid w:val="0BCC2F96"/>
    <w:rsid w:val="0BD04822"/>
    <w:rsid w:val="0BF00A21"/>
    <w:rsid w:val="0C281F69"/>
    <w:rsid w:val="0C2F012D"/>
    <w:rsid w:val="0C3B56A2"/>
    <w:rsid w:val="0C3D3FF4"/>
    <w:rsid w:val="0C4D19CF"/>
    <w:rsid w:val="0C5C7E64"/>
    <w:rsid w:val="0C9F6722"/>
    <w:rsid w:val="0CB25A78"/>
    <w:rsid w:val="0CB4281B"/>
    <w:rsid w:val="0CBD6B55"/>
    <w:rsid w:val="0CC55A09"/>
    <w:rsid w:val="0CD77550"/>
    <w:rsid w:val="0CD96BAA"/>
    <w:rsid w:val="0CE15B30"/>
    <w:rsid w:val="0D046532"/>
    <w:rsid w:val="0D1500CF"/>
    <w:rsid w:val="0D1D75F3"/>
    <w:rsid w:val="0D240982"/>
    <w:rsid w:val="0D3606B5"/>
    <w:rsid w:val="0D565170"/>
    <w:rsid w:val="0D6214AA"/>
    <w:rsid w:val="0DA25EB9"/>
    <w:rsid w:val="0DC20E8F"/>
    <w:rsid w:val="0DC465E5"/>
    <w:rsid w:val="0DD136ED"/>
    <w:rsid w:val="0DDC125D"/>
    <w:rsid w:val="0DE53ECB"/>
    <w:rsid w:val="0DF143AE"/>
    <w:rsid w:val="0E001623"/>
    <w:rsid w:val="0E2A6683"/>
    <w:rsid w:val="0E381816"/>
    <w:rsid w:val="0E3C2E78"/>
    <w:rsid w:val="0E457A83"/>
    <w:rsid w:val="0E547045"/>
    <w:rsid w:val="0E5F3AD9"/>
    <w:rsid w:val="0E67019E"/>
    <w:rsid w:val="0E6B59B6"/>
    <w:rsid w:val="0E763266"/>
    <w:rsid w:val="0E7D2086"/>
    <w:rsid w:val="0E903DF5"/>
    <w:rsid w:val="0E930ADC"/>
    <w:rsid w:val="0E951C6F"/>
    <w:rsid w:val="0E9C09EC"/>
    <w:rsid w:val="0EA224A6"/>
    <w:rsid w:val="0EAF71B9"/>
    <w:rsid w:val="0EB04152"/>
    <w:rsid w:val="0EB21FBD"/>
    <w:rsid w:val="0EB472AB"/>
    <w:rsid w:val="0EB9334C"/>
    <w:rsid w:val="0EBA4655"/>
    <w:rsid w:val="0EBD3686"/>
    <w:rsid w:val="0EDF39E8"/>
    <w:rsid w:val="0EEE110C"/>
    <w:rsid w:val="0F136F00"/>
    <w:rsid w:val="0F153475"/>
    <w:rsid w:val="0F1A1CEB"/>
    <w:rsid w:val="0F43251F"/>
    <w:rsid w:val="0F5E5D8C"/>
    <w:rsid w:val="0F6459AD"/>
    <w:rsid w:val="0F6A3D2C"/>
    <w:rsid w:val="0F706100"/>
    <w:rsid w:val="0F81189A"/>
    <w:rsid w:val="0F8366B0"/>
    <w:rsid w:val="0F9116F1"/>
    <w:rsid w:val="0F917E25"/>
    <w:rsid w:val="0F921E5B"/>
    <w:rsid w:val="0F960548"/>
    <w:rsid w:val="0F9C51B3"/>
    <w:rsid w:val="0FB241F9"/>
    <w:rsid w:val="0FDB1E05"/>
    <w:rsid w:val="0FDC029C"/>
    <w:rsid w:val="10036F74"/>
    <w:rsid w:val="101A0148"/>
    <w:rsid w:val="10220057"/>
    <w:rsid w:val="10233173"/>
    <w:rsid w:val="10246EEB"/>
    <w:rsid w:val="10270B27"/>
    <w:rsid w:val="102D5D9F"/>
    <w:rsid w:val="102E38C6"/>
    <w:rsid w:val="103E3BC2"/>
    <w:rsid w:val="1046495F"/>
    <w:rsid w:val="10482BD9"/>
    <w:rsid w:val="104D6442"/>
    <w:rsid w:val="10596B94"/>
    <w:rsid w:val="105E23FD"/>
    <w:rsid w:val="105E2D2D"/>
    <w:rsid w:val="105E41AB"/>
    <w:rsid w:val="107A5A50"/>
    <w:rsid w:val="108341D3"/>
    <w:rsid w:val="108A1444"/>
    <w:rsid w:val="10945E1E"/>
    <w:rsid w:val="1097352B"/>
    <w:rsid w:val="10B04957"/>
    <w:rsid w:val="10B265D2"/>
    <w:rsid w:val="10B4201D"/>
    <w:rsid w:val="10BA2E7E"/>
    <w:rsid w:val="10BC578F"/>
    <w:rsid w:val="10C347AE"/>
    <w:rsid w:val="10C44735"/>
    <w:rsid w:val="10C910D8"/>
    <w:rsid w:val="10CD30DE"/>
    <w:rsid w:val="10D9656E"/>
    <w:rsid w:val="10DC65A3"/>
    <w:rsid w:val="10E022CF"/>
    <w:rsid w:val="10E52127"/>
    <w:rsid w:val="10F16E41"/>
    <w:rsid w:val="10F5774F"/>
    <w:rsid w:val="10FD39C4"/>
    <w:rsid w:val="11020FDA"/>
    <w:rsid w:val="11050ACA"/>
    <w:rsid w:val="11074842"/>
    <w:rsid w:val="11147358"/>
    <w:rsid w:val="112076B2"/>
    <w:rsid w:val="11410EBA"/>
    <w:rsid w:val="11427674"/>
    <w:rsid w:val="11877731"/>
    <w:rsid w:val="118E6D12"/>
    <w:rsid w:val="11951E4E"/>
    <w:rsid w:val="11981101"/>
    <w:rsid w:val="11AB78C4"/>
    <w:rsid w:val="11B568C8"/>
    <w:rsid w:val="11C4650B"/>
    <w:rsid w:val="11C664AC"/>
    <w:rsid w:val="11CE5360"/>
    <w:rsid w:val="11D0238A"/>
    <w:rsid w:val="11D566EF"/>
    <w:rsid w:val="11DD1A47"/>
    <w:rsid w:val="11FD0FCC"/>
    <w:rsid w:val="121D3BF2"/>
    <w:rsid w:val="122519E7"/>
    <w:rsid w:val="122A4C8C"/>
    <w:rsid w:val="12353631"/>
    <w:rsid w:val="123A0387"/>
    <w:rsid w:val="123F1DBA"/>
    <w:rsid w:val="124D5887"/>
    <w:rsid w:val="125624A5"/>
    <w:rsid w:val="126D73FC"/>
    <w:rsid w:val="12706417"/>
    <w:rsid w:val="12747CB6"/>
    <w:rsid w:val="127B6546"/>
    <w:rsid w:val="127E0B34"/>
    <w:rsid w:val="12836D9F"/>
    <w:rsid w:val="12866890"/>
    <w:rsid w:val="12890C4A"/>
    <w:rsid w:val="128A0C76"/>
    <w:rsid w:val="1293075D"/>
    <w:rsid w:val="12A156A8"/>
    <w:rsid w:val="12B409A5"/>
    <w:rsid w:val="12B66520"/>
    <w:rsid w:val="12B97435"/>
    <w:rsid w:val="12B97DBE"/>
    <w:rsid w:val="12C74322"/>
    <w:rsid w:val="12D93FBD"/>
    <w:rsid w:val="12DD347B"/>
    <w:rsid w:val="12EC1224"/>
    <w:rsid w:val="1305613B"/>
    <w:rsid w:val="13170976"/>
    <w:rsid w:val="13193128"/>
    <w:rsid w:val="131B2827"/>
    <w:rsid w:val="131C52B5"/>
    <w:rsid w:val="131F54E6"/>
    <w:rsid w:val="13235868"/>
    <w:rsid w:val="13346CAC"/>
    <w:rsid w:val="1336396D"/>
    <w:rsid w:val="13533D6F"/>
    <w:rsid w:val="13596EAB"/>
    <w:rsid w:val="135E5D77"/>
    <w:rsid w:val="13643A08"/>
    <w:rsid w:val="136D627A"/>
    <w:rsid w:val="136E2957"/>
    <w:rsid w:val="138111EE"/>
    <w:rsid w:val="138A4EA7"/>
    <w:rsid w:val="138C2043"/>
    <w:rsid w:val="13B25D24"/>
    <w:rsid w:val="13C33F86"/>
    <w:rsid w:val="13C7475D"/>
    <w:rsid w:val="13E929AC"/>
    <w:rsid w:val="13E930BA"/>
    <w:rsid w:val="13F16E5E"/>
    <w:rsid w:val="13FC5058"/>
    <w:rsid w:val="141259D8"/>
    <w:rsid w:val="1416492A"/>
    <w:rsid w:val="142C5957"/>
    <w:rsid w:val="14333BA0"/>
    <w:rsid w:val="14355A25"/>
    <w:rsid w:val="143771ED"/>
    <w:rsid w:val="1446686F"/>
    <w:rsid w:val="145E6E6F"/>
    <w:rsid w:val="14660439"/>
    <w:rsid w:val="14667AD2"/>
    <w:rsid w:val="146C35B2"/>
    <w:rsid w:val="146C5222"/>
    <w:rsid w:val="146D2ACB"/>
    <w:rsid w:val="1489757B"/>
    <w:rsid w:val="14900FF3"/>
    <w:rsid w:val="14972381"/>
    <w:rsid w:val="14E530ED"/>
    <w:rsid w:val="15003A82"/>
    <w:rsid w:val="150C32EC"/>
    <w:rsid w:val="151117F4"/>
    <w:rsid w:val="15167956"/>
    <w:rsid w:val="152139F9"/>
    <w:rsid w:val="153E27FD"/>
    <w:rsid w:val="154020D1"/>
    <w:rsid w:val="15471A97"/>
    <w:rsid w:val="154D33BD"/>
    <w:rsid w:val="15500D3E"/>
    <w:rsid w:val="15512C1A"/>
    <w:rsid w:val="15545B7C"/>
    <w:rsid w:val="15690045"/>
    <w:rsid w:val="157E709D"/>
    <w:rsid w:val="15940F8F"/>
    <w:rsid w:val="15973CBB"/>
    <w:rsid w:val="159B37AB"/>
    <w:rsid w:val="15A46B04"/>
    <w:rsid w:val="15AA1C40"/>
    <w:rsid w:val="15B8610B"/>
    <w:rsid w:val="15BD7BC5"/>
    <w:rsid w:val="15D37B32"/>
    <w:rsid w:val="15D72551"/>
    <w:rsid w:val="15D8055B"/>
    <w:rsid w:val="15DC3758"/>
    <w:rsid w:val="15EB77CB"/>
    <w:rsid w:val="15ED414A"/>
    <w:rsid w:val="15F03BC4"/>
    <w:rsid w:val="160550C9"/>
    <w:rsid w:val="16117F11"/>
    <w:rsid w:val="161E6418"/>
    <w:rsid w:val="16242ACF"/>
    <w:rsid w:val="163C264A"/>
    <w:rsid w:val="163C4F8E"/>
    <w:rsid w:val="16443E43"/>
    <w:rsid w:val="16493F29"/>
    <w:rsid w:val="164A09B4"/>
    <w:rsid w:val="16554771"/>
    <w:rsid w:val="16585CCF"/>
    <w:rsid w:val="165967D8"/>
    <w:rsid w:val="165A7400"/>
    <w:rsid w:val="166938A9"/>
    <w:rsid w:val="168A1109"/>
    <w:rsid w:val="169225DB"/>
    <w:rsid w:val="16AE0DFA"/>
    <w:rsid w:val="16B14A23"/>
    <w:rsid w:val="16BA18F3"/>
    <w:rsid w:val="16BB7FDD"/>
    <w:rsid w:val="16BE1E47"/>
    <w:rsid w:val="16C35E35"/>
    <w:rsid w:val="16C80BA2"/>
    <w:rsid w:val="16D058F4"/>
    <w:rsid w:val="16E8283F"/>
    <w:rsid w:val="16F2564D"/>
    <w:rsid w:val="16FB6BF7"/>
    <w:rsid w:val="16FD38E2"/>
    <w:rsid w:val="17035AAC"/>
    <w:rsid w:val="17081314"/>
    <w:rsid w:val="170F4521"/>
    <w:rsid w:val="171C4DC0"/>
    <w:rsid w:val="171E1B23"/>
    <w:rsid w:val="171F40CB"/>
    <w:rsid w:val="17255A22"/>
    <w:rsid w:val="172942B2"/>
    <w:rsid w:val="17302FB6"/>
    <w:rsid w:val="17343EB7"/>
    <w:rsid w:val="1763479D"/>
    <w:rsid w:val="176F07FB"/>
    <w:rsid w:val="177C171E"/>
    <w:rsid w:val="178B4A91"/>
    <w:rsid w:val="179D1A5D"/>
    <w:rsid w:val="17A42169"/>
    <w:rsid w:val="17AA23CB"/>
    <w:rsid w:val="17AF2C3B"/>
    <w:rsid w:val="17B13C76"/>
    <w:rsid w:val="17B40C26"/>
    <w:rsid w:val="17B9377D"/>
    <w:rsid w:val="17BA0860"/>
    <w:rsid w:val="17BC1C5C"/>
    <w:rsid w:val="17C0399D"/>
    <w:rsid w:val="17C074F9"/>
    <w:rsid w:val="17C50FB3"/>
    <w:rsid w:val="17C76AD9"/>
    <w:rsid w:val="17DE3E23"/>
    <w:rsid w:val="17EB1309"/>
    <w:rsid w:val="17F513E1"/>
    <w:rsid w:val="17FB00E8"/>
    <w:rsid w:val="17FC5493"/>
    <w:rsid w:val="18004664"/>
    <w:rsid w:val="18096C97"/>
    <w:rsid w:val="1812319A"/>
    <w:rsid w:val="181746F0"/>
    <w:rsid w:val="182757CA"/>
    <w:rsid w:val="182E6B59"/>
    <w:rsid w:val="183577CF"/>
    <w:rsid w:val="18433922"/>
    <w:rsid w:val="184A3267"/>
    <w:rsid w:val="18502F88"/>
    <w:rsid w:val="1853036D"/>
    <w:rsid w:val="187338B5"/>
    <w:rsid w:val="188449CB"/>
    <w:rsid w:val="188C1B9A"/>
    <w:rsid w:val="18922161"/>
    <w:rsid w:val="18950986"/>
    <w:rsid w:val="18AF5EEB"/>
    <w:rsid w:val="18CE3E98"/>
    <w:rsid w:val="18F733EE"/>
    <w:rsid w:val="19124546"/>
    <w:rsid w:val="19143FA0"/>
    <w:rsid w:val="191E39FF"/>
    <w:rsid w:val="191E489B"/>
    <w:rsid w:val="19241D0A"/>
    <w:rsid w:val="19306900"/>
    <w:rsid w:val="19320D13"/>
    <w:rsid w:val="194130FD"/>
    <w:rsid w:val="194A24B2"/>
    <w:rsid w:val="194A79C2"/>
    <w:rsid w:val="195257A2"/>
    <w:rsid w:val="195C14A3"/>
    <w:rsid w:val="198146A5"/>
    <w:rsid w:val="199852BB"/>
    <w:rsid w:val="199F78EA"/>
    <w:rsid w:val="19A05834"/>
    <w:rsid w:val="19A35324"/>
    <w:rsid w:val="19B17A41"/>
    <w:rsid w:val="19BE56ED"/>
    <w:rsid w:val="19FC3BBB"/>
    <w:rsid w:val="1A073B05"/>
    <w:rsid w:val="1A0C2EC9"/>
    <w:rsid w:val="1A135C0D"/>
    <w:rsid w:val="1A2E72EB"/>
    <w:rsid w:val="1A4968EB"/>
    <w:rsid w:val="1A6333FE"/>
    <w:rsid w:val="1A6E5932"/>
    <w:rsid w:val="1A7F6362"/>
    <w:rsid w:val="1A9176CF"/>
    <w:rsid w:val="1A922568"/>
    <w:rsid w:val="1AA827BF"/>
    <w:rsid w:val="1AA9696A"/>
    <w:rsid w:val="1AAC1492"/>
    <w:rsid w:val="1AAC5EFB"/>
    <w:rsid w:val="1AAE3F81"/>
    <w:rsid w:val="1ABD386B"/>
    <w:rsid w:val="1ABF12A4"/>
    <w:rsid w:val="1AC165E2"/>
    <w:rsid w:val="1AC90DBB"/>
    <w:rsid w:val="1AD968F1"/>
    <w:rsid w:val="1ADA0917"/>
    <w:rsid w:val="1AED191D"/>
    <w:rsid w:val="1AEE25CF"/>
    <w:rsid w:val="1AFA293C"/>
    <w:rsid w:val="1B010554"/>
    <w:rsid w:val="1B075D1D"/>
    <w:rsid w:val="1B141CEE"/>
    <w:rsid w:val="1B1C538E"/>
    <w:rsid w:val="1B1E69E8"/>
    <w:rsid w:val="1B24410A"/>
    <w:rsid w:val="1B245FF1"/>
    <w:rsid w:val="1B2770C4"/>
    <w:rsid w:val="1B2D71D1"/>
    <w:rsid w:val="1B371349"/>
    <w:rsid w:val="1B375D24"/>
    <w:rsid w:val="1B3F2E2B"/>
    <w:rsid w:val="1B4346C9"/>
    <w:rsid w:val="1B542B81"/>
    <w:rsid w:val="1B56062E"/>
    <w:rsid w:val="1B570174"/>
    <w:rsid w:val="1B634E28"/>
    <w:rsid w:val="1B68176B"/>
    <w:rsid w:val="1B7667F7"/>
    <w:rsid w:val="1B835B95"/>
    <w:rsid w:val="1B846C1B"/>
    <w:rsid w:val="1B862808"/>
    <w:rsid w:val="1B8865E6"/>
    <w:rsid w:val="1B917B2A"/>
    <w:rsid w:val="1BAA0724"/>
    <w:rsid w:val="1BB80002"/>
    <w:rsid w:val="1BC33A5C"/>
    <w:rsid w:val="1BCA6649"/>
    <w:rsid w:val="1BD21EF1"/>
    <w:rsid w:val="1BD6553D"/>
    <w:rsid w:val="1BDC68CC"/>
    <w:rsid w:val="1BF73705"/>
    <w:rsid w:val="1BFF3836"/>
    <w:rsid w:val="1C052A7D"/>
    <w:rsid w:val="1C13053F"/>
    <w:rsid w:val="1C1E0C92"/>
    <w:rsid w:val="1C27223D"/>
    <w:rsid w:val="1C2D168A"/>
    <w:rsid w:val="1C2D19DF"/>
    <w:rsid w:val="1C330BE1"/>
    <w:rsid w:val="1C5015D9"/>
    <w:rsid w:val="1C5F782F"/>
    <w:rsid w:val="1C6F4E53"/>
    <w:rsid w:val="1C7B4A4F"/>
    <w:rsid w:val="1C7F5BD5"/>
    <w:rsid w:val="1C9468DC"/>
    <w:rsid w:val="1CA75D01"/>
    <w:rsid w:val="1CAB2142"/>
    <w:rsid w:val="1CAE0268"/>
    <w:rsid w:val="1CC17F9B"/>
    <w:rsid w:val="1CC42BDF"/>
    <w:rsid w:val="1CCC4B92"/>
    <w:rsid w:val="1CE6771E"/>
    <w:rsid w:val="1CE8451F"/>
    <w:rsid w:val="1CEE2D5A"/>
    <w:rsid w:val="1D037CB9"/>
    <w:rsid w:val="1D1B65B7"/>
    <w:rsid w:val="1D24052A"/>
    <w:rsid w:val="1D2C6FF5"/>
    <w:rsid w:val="1D312395"/>
    <w:rsid w:val="1D3520E4"/>
    <w:rsid w:val="1D396D4A"/>
    <w:rsid w:val="1D3F5364"/>
    <w:rsid w:val="1D4973CD"/>
    <w:rsid w:val="1D542100"/>
    <w:rsid w:val="1D5B0857"/>
    <w:rsid w:val="1D6A3F1B"/>
    <w:rsid w:val="1D6D1775"/>
    <w:rsid w:val="1D927929"/>
    <w:rsid w:val="1DA32FFE"/>
    <w:rsid w:val="1DB52A07"/>
    <w:rsid w:val="1DB679B6"/>
    <w:rsid w:val="1DC01001"/>
    <w:rsid w:val="1DC0379C"/>
    <w:rsid w:val="1DDE06FD"/>
    <w:rsid w:val="1DE46B66"/>
    <w:rsid w:val="1DE81B9C"/>
    <w:rsid w:val="1E282DB0"/>
    <w:rsid w:val="1E283E93"/>
    <w:rsid w:val="1E320A25"/>
    <w:rsid w:val="1E334EC9"/>
    <w:rsid w:val="1E3E5514"/>
    <w:rsid w:val="1E3E73CA"/>
    <w:rsid w:val="1E546BED"/>
    <w:rsid w:val="1E576198"/>
    <w:rsid w:val="1E6E5F01"/>
    <w:rsid w:val="1E71154D"/>
    <w:rsid w:val="1E776FA8"/>
    <w:rsid w:val="1E976754"/>
    <w:rsid w:val="1E993FE8"/>
    <w:rsid w:val="1ECB7DAD"/>
    <w:rsid w:val="1EE36AF5"/>
    <w:rsid w:val="1EEE0597"/>
    <w:rsid w:val="1EFA59E6"/>
    <w:rsid w:val="1F09049D"/>
    <w:rsid w:val="1F183FC9"/>
    <w:rsid w:val="1F232988"/>
    <w:rsid w:val="1F31586A"/>
    <w:rsid w:val="1F3200E5"/>
    <w:rsid w:val="1F330EF8"/>
    <w:rsid w:val="1F39012D"/>
    <w:rsid w:val="1F3B231E"/>
    <w:rsid w:val="1F4C5B16"/>
    <w:rsid w:val="1F552C1D"/>
    <w:rsid w:val="1F58270D"/>
    <w:rsid w:val="1F774B6C"/>
    <w:rsid w:val="1F7D51C6"/>
    <w:rsid w:val="1F9C084C"/>
    <w:rsid w:val="1FB913FE"/>
    <w:rsid w:val="1FC76194"/>
    <w:rsid w:val="1FD60D4C"/>
    <w:rsid w:val="1FD61EA2"/>
    <w:rsid w:val="1FD926CB"/>
    <w:rsid w:val="1FDE0E75"/>
    <w:rsid w:val="1FE37FA8"/>
    <w:rsid w:val="1FE6737E"/>
    <w:rsid w:val="1FE87B63"/>
    <w:rsid w:val="1FF12140"/>
    <w:rsid w:val="1FF71F26"/>
    <w:rsid w:val="2000527E"/>
    <w:rsid w:val="202251F5"/>
    <w:rsid w:val="20295438"/>
    <w:rsid w:val="202C474F"/>
    <w:rsid w:val="2035677C"/>
    <w:rsid w:val="204D4CD3"/>
    <w:rsid w:val="2059562E"/>
    <w:rsid w:val="205B1ADF"/>
    <w:rsid w:val="207417C9"/>
    <w:rsid w:val="20847771"/>
    <w:rsid w:val="208A4B48"/>
    <w:rsid w:val="208F6602"/>
    <w:rsid w:val="20B56086"/>
    <w:rsid w:val="20C216BE"/>
    <w:rsid w:val="20C5313C"/>
    <w:rsid w:val="20D5745A"/>
    <w:rsid w:val="20D67D8D"/>
    <w:rsid w:val="20DE02E1"/>
    <w:rsid w:val="20E467EA"/>
    <w:rsid w:val="20F578AD"/>
    <w:rsid w:val="210757FE"/>
    <w:rsid w:val="21093CBF"/>
    <w:rsid w:val="21113BF7"/>
    <w:rsid w:val="211C7E96"/>
    <w:rsid w:val="212A3A32"/>
    <w:rsid w:val="21465993"/>
    <w:rsid w:val="21495E9E"/>
    <w:rsid w:val="21701E78"/>
    <w:rsid w:val="217869A3"/>
    <w:rsid w:val="218E68BA"/>
    <w:rsid w:val="21A8172A"/>
    <w:rsid w:val="21C36564"/>
    <w:rsid w:val="21C56400"/>
    <w:rsid w:val="21CB5418"/>
    <w:rsid w:val="21CD1190"/>
    <w:rsid w:val="21D91DC1"/>
    <w:rsid w:val="21E1488C"/>
    <w:rsid w:val="22056B7C"/>
    <w:rsid w:val="220D4F50"/>
    <w:rsid w:val="221A59A6"/>
    <w:rsid w:val="221C3EC6"/>
    <w:rsid w:val="221C5C74"/>
    <w:rsid w:val="222839F2"/>
    <w:rsid w:val="2231303B"/>
    <w:rsid w:val="224079F9"/>
    <w:rsid w:val="224551CB"/>
    <w:rsid w:val="225418B2"/>
    <w:rsid w:val="22696476"/>
    <w:rsid w:val="226D64CF"/>
    <w:rsid w:val="22736D94"/>
    <w:rsid w:val="227975A9"/>
    <w:rsid w:val="227C3D97"/>
    <w:rsid w:val="22844BA2"/>
    <w:rsid w:val="228A0E2F"/>
    <w:rsid w:val="22965A26"/>
    <w:rsid w:val="229A08CC"/>
    <w:rsid w:val="229D6DB5"/>
    <w:rsid w:val="22B20386"/>
    <w:rsid w:val="22BA2AC9"/>
    <w:rsid w:val="22BA4FCF"/>
    <w:rsid w:val="22E744D4"/>
    <w:rsid w:val="22EB3FC4"/>
    <w:rsid w:val="22FF7A6F"/>
    <w:rsid w:val="23111926"/>
    <w:rsid w:val="231C1863"/>
    <w:rsid w:val="231D4C95"/>
    <w:rsid w:val="232C638A"/>
    <w:rsid w:val="232F2E19"/>
    <w:rsid w:val="233D0598"/>
    <w:rsid w:val="23492FEA"/>
    <w:rsid w:val="23580F2E"/>
    <w:rsid w:val="235A4CA6"/>
    <w:rsid w:val="2371604F"/>
    <w:rsid w:val="237D6BE6"/>
    <w:rsid w:val="2383244E"/>
    <w:rsid w:val="2392443F"/>
    <w:rsid w:val="23955CDE"/>
    <w:rsid w:val="23957A8C"/>
    <w:rsid w:val="239E692A"/>
    <w:rsid w:val="23A46882"/>
    <w:rsid w:val="23BA683B"/>
    <w:rsid w:val="23BD043D"/>
    <w:rsid w:val="23DD1CA1"/>
    <w:rsid w:val="23F01166"/>
    <w:rsid w:val="23F24841"/>
    <w:rsid w:val="23FA1861"/>
    <w:rsid w:val="240115C5"/>
    <w:rsid w:val="2435110C"/>
    <w:rsid w:val="243769C2"/>
    <w:rsid w:val="24376D95"/>
    <w:rsid w:val="243D7A29"/>
    <w:rsid w:val="24423D78"/>
    <w:rsid w:val="24455865"/>
    <w:rsid w:val="244947F8"/>
    <w:rsid w:val="245D6E4F"/>
    <w:rsid w:val="246A40FC"/>
    <w:rsid w:val="247E6772"/>
    <w:rsid w:val="248024EA"/>
    <w:rsid w:val="2483022C"/>
    <w:rsid w:val="248D2E59"/>
    <w:rsid w:val="24AA6BDC"/>
    <w:rsid w:val="24AF0749"/>
    <w:rsid w:val="24AF12B2"/>
    <w:rsid w:val="24BE0243"/>
    <w:rsid w:val="24CC0250"/>
    <w:rsid w:val="24CF3471"/>
    <w:rsid w:val="24D16FC9"/>
    <w:rsid w:val="24D3608E"/>
    <w:rsid w:val="24D701A9"/>
    <w:rsid w:val="24F0333E"/>
    <w:rsid w:val="24F370CF"/>
    <w:rsid w:val="24F55290"/>
    <w:rsid w:val="24F8107D"/>
    <w:rsid w:val="2503311B"/>
    <w:rsid w:val="25130217"/>
    <w:rsid w:val="252058E2"/>
    <w:rsid w:val="2527505B"/>
    <w:rsid w:val="25471B1B"/>
    <w:rsid w:val="254C79E0"/>
    <w:rsid w:val="255236F4"/>
    <w:rsid w:val="25540DD0"/>
    <w:rsid w:val="25570F74"/>
    <w:rsid w:val="255913B1"/>
    <w:rsid w:val="256A41AE"/>
    <w:rsid w:val="257432E3"/>
    <w:rsid w:val="25755904"/>
    <w:rsid w:val="2577464B"/>
    <w:rsid w:val="258204E4"/>
    <w:rsid w:val="258C61EB"/>
    <w:rsid w:val="25AA73F4"/>
    <w:rsid w:val="25B06DFF"/>
    <w:rsid w:val="25B679B8"/>
    <w:rsid w:val="25DA5423"/>
    <w:rsid w:val="25ED7C21"/>
    <w:rsid w:val="260F2758"/>
    <w:rsid w:val="26137BEB"/>
    <w:rsid w:val="26197880"/>
    <w:rsid w:val="26243349"/>
    <w:rsid w:val="262D48F3"/>
    <w:rsid w:val="264F6618"/>
    <w:rsid w:val="266046AC"/>
    <w:rsid w:val="26945741"/>
    <w:rsid w:val="26982FEF"/>
    <w:rsid w:val="26AD20FF"/>
    <w:rsid w:val="26B95798"/>
    <w:rsid w:val="26D46B1D"/>
    <w:rsid w:val="26EB3E67"/>
    <w:rsid w:val="26F431BA"/>
    <w:rsid w:val="271433BD"/>
    <w:rsid w:val="271E1A50"/>
    <w:rsid w:val="27231852"/>
    <w:rsid w:val="27263CA1"/>
    <w:rsid w:val="272A4721"/>
    <w:rsid w:val="272C0D3F"/>
    <w:rsid w:val="272D3F2A"/>
    <w:rsid w:val="27391066"/>
    <w:rsid w:val="27547C5E"/>
    <w:rsid w:val="275F43DA"/>
    <w:rsid w:val="27651E6B"/>
    <w:rsid w:val="276537A2"/>
    <w:rsid w:val="27732C02"/>
    <w:rsid w:val="277D0F63"/>
    <w:rsid w:val="279E4EF7"/>
    <w:rsid w:val="27A97FAA"/>
    <w:rsid w:val="27AE639B"/>
    <w:rsid w:val="27B079C1"/>
    <w:rsid w:val="27BA3F65"/>
    <w:rsid w:val="27D17500"/>
    <w:rsid w:val="27D642F4"/>
    <w:rsid w:val="27E3288F"/>
    <w:rsid w:val="27E6001E"/>
    <w:rsid w:val="27E7184E"/>
    <w:rsid w:val="2801047B"/>
    <w:rsid w:val="280D0539"/>
    <w:rsid w:val="28133675"/>
    <w:rsid w:val="281F5DBD"/>
    <w:rsid w:val="282F71E1"/>
    <w:rsid w:val="28327F9F"/>
    <w:rsid w:val="28446343"/>
    <w:rsid w:val="28577A06"/>
    <w:rsid w:val="285A74F6"/>
    <w:rsid w:val="28610762"/>
    <w:rsid w:val="286C41F3"/>
    <w:rsid w:val="287211CA"/>
    <w:rsid w:val="28757E8C"/>
    <w:rsid w:val="287E20ED"/>
    <w:rsid w:val="28811E52"/>
    <w:rsid w:val="2883240B"/>
    <w:rsid w:val="289004D4"/>
    <w:rsid w:val="28AF2C05"/>
    <w:rsid w:val="28CB4DDC"/>
    <w:rsid w:val="28D178EA"/>
    <w:rsid w:val="28E45DF1"/>
    <w:rsid w:val="28F16720"/>
    <w:rsid w:val="28F80E75"/>
    <w:rsid w:val="29025905"/>
    <w:rsid w:val="291E3799"/>
    <w:rsid w:val="292D69B8"/>
    <w:rsid w:val="293164A9"/>
    <w:rsid w:val="29364810"/>
    <w:rsid w:val="29513E9D"/>
    <w:rsid w:val="29591D3F"/>
    <w:rsid w:val="295D729E"/>
    <w:rsid w:val="295E2A75"/>
    <w:rsid w:val="296323DF"/>
    <w:rsid w:val="296C5733"/>
    <w:rsid w:val="29742150"/>
    <w:rsid w:val="2976035F"/>
    <w:rsid w:val="297B5976"/>
    <w:rsid w:val="297B7724"/>
    <w:rsid w:val="298C36DF"/>
    <w:rsid w:val="2990381D"/>
    <w:rsid w:val="29905216"/>
    <w:rsid w:val="29B16187"/>
    <w:rsid w:val="29CF2848"/>
    <w:rsid w:val="29E54E2D"/>
    <w:rsid w:val="29E658FB"/>
    <w:rsid w:val="29F00112"/>
    <w:rsid w:val="29F01EC0"/>
    <w:rsid w:val="29F8108E"/>
    <w:rsid w:val="29FB2613"/>
    <w:rsid w:val="29FE3F5A"/>
    <w:rsid w:val="2A063491"/>
    <w:rsid w:val="2A2953D2"/>
    <w:rsid w:val="2A297180"/>
    <w:rsid w:val="2A3A75DF"/>
    <w:rsid w:val="2A3C7518"/>
    <w:rsid w:val="2A3E2EBF"/>
    <w:rsid w:val="2A484A56"/>
    <w:rsid w:val="2A72150C"/>
    <w:rsid w:val="2A754076"/>
    <w:rsid w:val="2A97058D"/>
    <w:rsid w:val="2AA10AF4"/>
    <w:rsid w:val="2AC86999"/>
    <w:rsid w:val="2AD4533E"/>
    <w:rsid w:val="2ADA66CC"/>
    <w:rsid w:val="2AE141B6"/>
    <w:rsid w:val="2AF03B34"/>
    <w:rsid w:val="2B116592"/>
    <w:rsid w:val="2B125E66"/>
    <w:rsid w:val="2B1E2CD5"/>
    <w:rsid w:val="2B275DB5"/>
    <w:rsid w:val="2B285689"/>
    <w:rsid w:val="2B2D0EF2"/>
    <w:rsid w:val="2B303442"/>
    <w:rsid w:val="2B345CDB"/>
    <w:rsid w:val="2B37601D"/>
    <w:rsid w:val="2B451883"/>
    <w:rsid w:val="2B487ADA"/>
    <w:rsid w:val="2B502995"/>
    <w:rsid w:val="2B512E9C"/>
    <w:rsid w:val="2B51698E"/>
    <w:rsid w:val="2B5E5693"/>
    <w:rsid w:val="2B5F5ABE"/>
    <w:rsid w:val="2B6228C3"/>
    <w:rsid w:val="2B892DDD"/>
    <w:rsid w:val="2B9C3BB7"/>
    <w:rsid w:val="2BAA0794"/>
    <w:rsid w:val="2BAD7356"/>
    <w:rsid w:val="2BAD7CE4"/>
    <w:rsid w:val="2BBE7D9C"/>
    <w:rsid w:val="2BCA4992"/>
    <w:rsid w:val="2BCA63E5"/>
    <w:rsid w:val="2BCC4C6B"/>
    <w:rsid w:val="2BD25E8D"/>
    <w:rsid w:val="2BD33847"/>
    <w:rsid w:val="2BD44863"/>
    <w:rsid w:val="2BD452E8"/>
    <w:rsid w:val="2BD85ABC"/>
    <w:rsid w:val="2BDF28B4"/>
    <w:rsid w:val="2BE877BB"/>
    <w:rsid w:val="2BE91B3D"/>
    <w:rsid w:val="2BF8042B"/>
    <w:rsid w:val="2C0D56DE"/>
    <w:rsid w:val="2C0F631D"/>
    <w:rsid w:val="2C11436F"/>
    <w:rsid w:val="2C1300E8"/>
    <w:rsid w:val="2C153E60"/>
    <w:rsid w:val="2C195BCB"/>
    <w:rsid w:val="2C2E396A"/>
    <w:rsid w:val="2C31676C"/>
    <w:rsid w:val="2C3D3EC5"/>
    <w:rsid w:val="2C45359F"/>
    <w:rsid w:val="2C564D86"/>
    <w:rsid w:val="2C5801F0"/>
    <w:rsid w:val="2C5B4E2B"/>
    <w:rsid w:val="2C6721E1"/>
    <w:rsid w:val="2C73502A"/>
    <w:rsid w:val="2C797B17"/>
    <w:rsid w:val="2C9224AC"/>
    <w:rsid w:val="2C9B12CE"/>
    <w:rsid w:val="2CA8303D"/>
    <w:rsid w:val="2CA86A82"/>
    <w:rsid w:val="2CB35427"/>
    <w:rsid w:val="2CBA0563"/>
    <w:rsid w:val="2CC46C39"/>
    <w:rsid w:val="2CC6515A"/>
    <w:rsid w:val="2CC656B3"/>
    <w:rsid w:val="2CD00DE0"/>
    <w:rsid w:val="2CD61401"/>
    <w:rsid w:val="2CF123CB"/>
    <w:rsid w:val="2D085772"/>
    <w:rsid w:val="2D0D656C"/>
    <w:rsid w:val="2D1C6DA5"/>
    <w:rsid w:val="2D1E3E67"/>
    <w:rsid w:val="2D2D0D2A"/>
    <w:rsid w:val="2D2F0ED7"/>
    <w:rsid w:val="2D452523"/>
    <w:rsid w:val="2D641E53"/>
    <w:rsid w:val="2D64734A"/>
    <w:rsid w:val="2D6A1F89"/>
    <w:rsid w:val="2D6C3387"/>
    <w:rsid w:val="2D7C0D07"/>
    <w:rsid w:val="2D8748E9"/>
    <w:rsid w:val="2D964DEF"/>
    <w:rsid w:val="2D99461C"/>
    <w:rsid w:val="2DB07F59"/>
    <w:rsid w:val="2DB87198"/>
    <w:rsid w:val="2DBB27E5"/>
    <w:rsid w:val="2DCE44C2"/>
    <w:rsid w:val="2DFE26D1"/>
    <w:rsid w:val="2E13617D"/>
    <w:rsid w:val="2E151B50"/>
    <w:rsid w:val="2E1F2D74"/>
    <w:rsid w:val="2E200FA9"/>
    <w:rsid w:val="2E257331"/>
    <w:rsid w:val="2E3256A1"/>
    <w:rsid w:val="2E370DEE"/>
    <w:rsid w:val="2E382DE5"/>
    <w:rsid w:val="2E383E35"/>
    <w:rsid w:val="2E3D769E"/>
    <w:rsid w:val="2E4D6547"/>
    <w:rsid w:val="2E4E3659"/>
    <w:rsid w:val="2E74387D"/>
    <w:rsid w:val="2E7D4E58"/>
    <w:rsid w:val="2E7D7A9A"/>
    <w:rsid w:val="2E930F46"/>
    <w:rsid w:val="2E9C2616"/>
    <w:rsid w:val="2E9E2C80"/>
    <w:rsid w:val="2EA57831"/>
    <w:rsid w:val="2EAD4823"/>
    <w:rsid w:val="2EAE482B"/>
    <w:rsid w:val="2EB95320"/>
    <w:rsid w:val="2EBB4650"/>
    <w:rsid w:val="2EBD1E5E"/>
    <w:rsid w:val="2ECE640C"/>
    <w:rsid w:val="2ED0406E"/>
    <w:rsid w:val="2EDC0C65"/>
    <w:rsid w:val="2EE21B01"/>
    <w:rsid w:val="2EE356A6"/>
    <w:rsid w:val="2EEC0DD1"/>
    <w:rsid w:val="2EF24461"/>
    <w:rsid w:val="2EF91817"/>
    <w:rsid w:val="2EFD2D39"/>
    <w:rsid w:val="2EFF109D"/>
    <w:rsid w:val="2F0158C0"/>
    <w:rsid w:val="2F167482"/>
    <w:rsid w:val="2F236894"/>
    <w:rsid w:val="2F2E01CA"/>
    <w:rsid w:val="2F324093"/>
    <w:rsid w:val="2F3C7955"/>
    <w:rsid w:val="2F5C1DA5"/>
    <w:rsid w:val="2F6A2443"/>
    <w:rsid w:val="2F7A4D80"/>
    <w:rsid w:val="2F8256E8"/>
    <w:rsid w:val="2F94032C"/>
    <w:rsid w:val="2FB36078"/>
    <w:rsid w:val="2FBD0A96"/>
    <w:rsid w:val="2FC524E1"/>
    <w:rsid w:val="2FC905A9"/>
    <w:rsid w:val="2FCC5E07"/>
    <w:rsid w:val="2FDB7672"/>
    <w:rsid w:val="2FE0721C"/>
    <w:rsid w:val="2FE53B49"/>
    <w:rsid w:val="300D740D"/>
    <w:rsid w:val="300F0BC6"/>
    <w:rsid w:val="301047AD"/>
    <w:rsid w:val="3015291F"/>
    <w:rsid w:val="301601A6"/>
    <w:rsid w:val="302B7D68"/>
    <w:rsid w:val="3036148E"/>
    <w:rsid w:val="303F0287"/>
    <w:rsid w:val="30420F9B"/>
    <w:rsid w:val="30567D0A"/>
    <w:rsid w:val="30600615"/>
    <w:rsid w:val="306B6744"/>
    <w:rsid w:val="307B42B2"/>
    <w:rsid w:val="307E7949"/>
    <w:rsid w:val="308A7D8A"/>
    <w:rsid w:val="30952304"/>
    <w:rsid w:val="30A92DC8"/>
    <w:rsid w:val="30B2178C"/>
    <w:rsid w:val="30BE41F9"/>
    <w:rsid w:val="30BF6B2B"/>
    <w:rsid w:val="30C87E20"/>
    <w:rsid w:val="30CC1D15"/>
    <w:rsid w:val="30D02144"/>
    <w:rsid w:val="30DF4157"/>
    <w:rsid w:val="30EA42FD"/>
    <w:rsid w:val="30EB1633"/>
    <w:rsid w:val="30ED7159"/>
    <w:rsid w:val="310B327A"/>
    <w:rsid w:val="312D1C4B"/>
    <w:rsid w:val="31371E66"/>
    <w:rsid w:val="313B4EF9"/>
    <w:rsid w:val="314F4AAE"/>
    <w:rsid w:val="31501496"/>
    <w:rsid w:val="3157339C"/>
    <w:rsid w:val="31633E12"/>
    <w:rsid w:val="3179279B"/>
    <w:rsid w:val="317E61DA"/>
    <w:rsid w:val="319637E8"/>
    <w:rsid w:val="31A57A34"/>
    <w:rsid w:val="31AC5F6D"/>
    <w:rsid w:val="31B5579D"/>
    <w:rsid w:val="31B9528D"/>
    <w:rsid w:val="31BC773E"/>
    <w:rsid w:val="31C31761"/>
    <w:rsid w:val="31C5610F"/>
    <w:rsid w:val="31CC63F4"/>
    <w:rsid w:val="31D71BB7"/>
    <w:rsid w:val="31DA376C"/>
    <w:rsid w:val="31F02BF1"/>
    <w:rsid w:val="32090E37"/>
    <w:rsid w:val="32155EF0"/>
    <w:rsid w:val="322D2641"/>
    <w:rsid w:val="323B661A"/>
    <w:rsid w:val="323E0027"/>
    <w:rsid w:val="32506261"/>
    <w:rsid w:val="325B7388"/>
    <w:rsid w:val="326C191E"/>
    <w:rsid w:val="3273368E"/>
    <w:rsid w:val="32895D67"/>
    <w:rsid w:val="328E04C8"/>
    <w:rsid w:val="3293193F"/>
    <w:rsid w:val="32936E35"/>
    <w:rsid w:val="32A4602F"/>
    <w:rsid w:val="32A63A63"/>
    <w:rsid w:val="32B13C6D"/>
    <w:rsid w:val="32B83797"/>
    <w:rsid w:val="32B876D8"/>
    <w:rsid w:val="32CA6456"/>
    <w:rsid w:val="32CC7242"/>
    <w:rsid w:val="32CF18CC"/>
    <w:rsid w:val="32E12CEE"/>
    <w:rsid w:val="32F07E9E"/>
    <w:rsid w:val="32FB2F34"/>
    <w:rsid w:val="33045CC5"/>
    <w:rsid w:val="330975F6"/>
    <w:rsid w:val="330D0BEB"/>
    <w:rsid w:val="330D25C6"/>
    <w:rsid w:val="330D738E"/>
    <w:rsid w:val="3314149D"/>
    <w:rsid w:val="331A2870"/>
    <w:rsid w:val="33287688"/>
    <w:rsid w:val="333F56B5"/>
    <w:rsid w:val="334024C5"/>
    <w:rsid w:val="33415D84"/>
    <w:rsid w:val="33434310"/>
    <w:rsid w:val="334B3FAB"/>
    <w:rsid w:val="33527747"/>
    <w:rsid w:val="33541711"/>
    <w:rsid w:val="335A2349"/>
    <w:rsid w:val="33635381"/>
    <w:rsid w:val="33752891"/>
    <w:rsid w:val="338656E4"/>
    <w:rsid w:val="339133B6"/>
    <w:rsid w:val="33B50C44"/>
    <w:rsid w:val="33C07AF4"/>
    <w:rsid w:val="33C5616B"/>
    <w:rsid w:val="34140EA1"/>
    <w:rsid w:val="342A5E41"/>
    <w:rsid w:val="343D21A6"/>
    <w:rsid w:val="344B6ED4"/>
    <w:rsid w:val="344C4197"/>
    <w:rsid w:val="34673B12"/>
    <w:rsid w:val="3476002E"/>
    <w:rsid w:val="34867522"/>
    <w:rsid w:val="34887B2C"/>
    <w:rsid w:val="34945B3E"/>
    <w:rsid w:val="349B16E9"/>
    <w:rsid w:val="349C3EFF"/>
    <w:rsid w:val="34A76F0A"/>
    <w:rsid w:val="34B624CD"/>
    <w:rsid w:val="34BE1690"/>
    <w:rsid w:val="34D36666"/>
    <w:rsid w:val="34DB2F73"/>
    <w:rsid w:val="34E03DB5"/>
    <w:rsid w:val="34F0546A"/>
    <w:rsid w:val="35041D35"/>
    <w:rsid w:val="350807A8"/>
    <w:rsid w:val="3510672F"/>
    <w:rsid w:val="351B1DBB"/>
    <w:rsid w:val="35224BBB"/>
    <w:rsid w:val="352819E8"/>
    <w:rsid w:val="35335357"/>
    <w:rsid w:val="35450298"/>
    <w:rsid w:val="355B616C"/>
    <w:rsid w:val="355B7C45"/>
    <w:rsid w:val="35747E49"/>
    <w:rsid w:val="35802D60"/>
    <w:rsid w:val="358D55F1"/>
    <w:rsid w:val="3590064E"/>
    <w:rsid w:val="359027A9"/>
    <w:rsid w:val="35972A5A"/>
    <w:rsid w:val="35B069A7"/>
    <w:rsid w:val="35B20971"/>
    <w:rsid w:val="35B93CDA"/>
    <w:rsid w:val="35CF32D1"/>
    <w:rsid w:val="35E61BC9"/>
    <w:rsid w:val="35E94AF3"/>
    <w:rsid w:val="35EB7AF0"/>
    <w:rsid w:val="35EE06C2"/>
    <w:rsid w:val="36034D29"/>
    <w:rsid w:val="360D1836"/>
    <w:rsid w:val="3614549C"/>
    <w:rsid w:val="361A0C8A"/>
    <w:rsid w:val="362152FD"/>
    <w:rsid w:val="362241CC"/>
    <w:rsid w:val="363650FE"/>
    <w:rsid w:val="36390B9E"/>
    <w:rsid w:val="363A5D48"/>
    <w:rsid w:val="36675EE2"/>
    <w:rsid w:val="36712425"/>
    <w:rsid w:val="367528E0"/>
    <w:rsid w:val="367857C3"/>
    <w:rsid w:val="369B64AE"/>
    <w:rsid w:val="369C2AC2"/>
    <w:rsid w:val="36A561C0"/>
    <w:rsid w:val="36A6210C"/>
    <w:rsid w:val="36AA5AEC"/>
    <w:rsid w:val="36BE599C"/>
    <w:rsid w:val="36D16BD5"/>
    <w:rsid w:val="36D6690A"/>
    <w:rsid w:val="36E47938"/>
    <w:rsid w:val="36E52680"/>
    <w:rsid w:val="36E92171"/>
    <w:rsid w:val="36EB5659"/>
    <w:rsid w:val="36F87994"/>
    <w:rsid w:val="36FD7B0D"/>
    <w:rsid w:val="37082CF7"/>
    <w:rsid w:val="37133692"/>
    <w:rsid w:val="37135440"/>
    <w:rsid w:val="37154F64"/>
    <w:rsid w:val="37217B5C"/>
    <w:rsid w:val="37276F67"/>
    <w:rsid w:val="37277667"/>
    <w:rsid w:val="37346646"/>
    <w:rsid w:val="373C66E6"/>
    <w:rsid w:val="37464DA1"/>
    <w:rsid w:val="37621F23"/>
    <w:rsid w:val="377D6D5D"/>
    <w:rsid w:val="37995199"/>
    <w:rsid w:val="37B00EE0"/>
    <w:rsid w:val="37B15BCB"/>
    <w:rsid w:val="37B564F7"/>
    <w:rsid w:val="37B81B43"/>
    <w:rsid w:val="37D5242B"/>
    <w:rsid w:val="37EB1AE5"/>
    <w:rsid w:val="37F92BAC"/>
    <w:rsid w:val="37FD7D7C"/>
    <w:rsid w:val="381E13AC"/>
    <w:rsid w:val="38237904"/>
    <w:rsid w:val="38267191"/>
    <w:rsid w:val="382800C5"/>
    <w:rsid w:val="383704C4"/>
    <w:rsid w:val="383A2745"/>
    <w:rsid w:val="38404012"/>
    <w:rsid w:val="38415FDC"/>
    <w:rsid w:val="384D4981"/>
    <w:rsid w:val="38517A5C"/>
    <w:rsid w:val="38545D10"/>
    <w:rsid w:val="386A108F"/>
    <w:rsid w:val="38782A52"/>
    <w:rsid w:val="387A3DF1"/>
    <w:rsid w:val="38867B64"/>
    <w:rsid w:val="38AC78FA"/>
    <w:rsid w:val="38B70A56"/>
    <w:rsid w:val="38D536BD"/>
    <w:rsid w:val="38DC150C"/>
    <w:rsid w:val="38E31684"/>
    <w:rsid w:val="38EC419A"/>
    <w:rsid w:val="38FC59F0"/>
    <w:rsid w:val="38FE5C7B"/>
    <w:rsid w:val="39005CE7"/>
    <w:rsid w:val="39007C46"/>
    <w:rsid w:val="390B1242"/>
    <w:rsid w:val="39182A0E"/>
    <w:rsid w:val="393D67A4"/>
    <w:rsid w:val="395B30CE"/>
    <w:rsid w:val="3962620A"/>
    <w:rsid w:val="39680B72"/>
    <w:rsid w:val="39810D86"/>
    <w:rsid w:val="398217F2"/>
    <w:rsid w:val="39850192"/>
    <w:rsid w:val="399E405C"/>
    <w:rsid w:val="39A700C1"/>
    <w:rsid w:val="39AE41DE"/>
    <w:rsid w:val="39D2513E"/>
    <w:rsid w:val="39D36E4D"/>
    <w:rsid w:val="39D709A6"/>
    <w:rsid w:val="39DB6ED1"/>
    <w:rsid w:val="39E62C55"/>
    <w:rsid w:val="39EA208D"/>
    <w:rsid w:val="39F50E33"/>
    <w:rsid w:val="3A030CCA"/>
    <w:rsid w:val="3A06784F"/>
    <w:rsid w:val="3A092EFA"/>
    <w:rsid w:val="3A241712"/>
    <w:rsid w:val="3A3C4CAD"/>
    <w:rsid w:val="3A4A1178"/>
    <w:rsid w:val="3A576C59"/>
    <w:rsid w:val="3A6D3E8C"/>
    <w:rsid w:val="3A707CC0"/>
    <w:rsid w:val="3A770A16"/>
    <w:rsid w:val="3A77338E"/>
    <w:rsid w:val="3A851961"/>
    <w:rsid w:val="3A863A18"/>
    <w:rsid w:val="3A94290B"/>
    <w:rsid w:val="3A9875CD"/>
    <w:rsid w:val="3AA50AA5"/>
    <w:rsid w:val="3AB5279B"/>
    <w:rsid w:val="3ABD5DEE"/>
    <w:rsid w:val="3AC27A31"/>
    <w:rsid w:val="3AD13648"/>
    <w:rsid w:val="3AD51B36"/>
    <w:rsid w:val="3AE93E68"/>
    <w:rsid w:val="3AEC54A8"/>
    <w:rsid w:val="3AEE41FA"/>
    <w:rsid w:val="3AF2458C"/>
    <w:rsid w:val="3AF30F35"/>
    <w:rsid w:val="3B051543"/>
    <w:rsid w:val="3B0D14D6"/>
    <w:rsid w:val="3B186BAE"/>
    <w:rsid w:val="3B212110"/>
    <w:rsid w:val="3B3616FD"/>
    <w:rsid w:val="3B3E47CB"/>
    <w:rsid w:val="3B415444"/>
    <w:rsid w:val="3B431FB2"/>
    <w:rsid w:val="3B44499C"/>
    <w:rsid w:val="3B4460CA"/>
    <w:rsid w:val="3B4958D4"/>
    <w:rsid w:val="3B4E2997"/>
    <w:rsid w:val="3B655A3A"/>
    <w:rsid w:val="3B844B5E"/>
    <w:rsid w:val="3B954675"/>
    <w:rsid w:val="3B957CDF"/>
    <w:rsid w:val="3B985F13"/>
    <w:rsid w:val="3BBF0221"/>
    <w:rsid w:val="3BCF4AA0"/>
    <w:rsid w:val="3BD62D21"/>
    <w:rsid w:val="3BE15B0C"/>
    <w:rsid w:val="3BE677F1"/>
    <w:rsid w:val="3BE858FF"/>
    <w:rsid w:val="3BF523F3"/>
    <w:rsid w:val="3BFF4A3E"/>
    <w:rsid w:val="3C0D2551"/>
    <w:rsid w:val="3C0F1D99"/>
    <w:rsid w:val="3C117AFC"/>
    <w:rsid w:val="3C196564"/>
    <w:rsid w:val="3C1D71F6"/>
    <w:rsid w:val="3C1E1F51"/>
    <w:rsid w:val="3C244F05"/>
    <w:rsid w:val="3C31002E"/>
    <w:rsid w:val="3C3927B0"/>
    <w:rsid w:val="3C626BC9"/>
    <w:rsid w:val="3C672E60"/>
    <w:rsid w:val="3C694662"/>
    <w:rsid w:val="3C8A009E"/>
    <w:rsid w:val="3C975A23"/>
    <w:rsid w:val="3CB03F3A"/>
    <w:rsid w:val="3CB44FCF"/>
    <w:rsid w:val="3CBF0DCB"/>
    <w:rsid w:val="3CCF5D27"/>
    <w:rsid w:val="3CD127FC"/>
    <w:rsid w:val="3CDE0DDF"/>
    <w:rsid w:val="3CEB6971"/>
    <w:rsid w:val="3CEE62D5"/>
    <w:rsid w:val="3D1612F6"/>
    <w:rsid w:val="3D1D0DC6"/>
    <w:rsid w:val="3D232155"/>
    <w:rsid w:val="3D2A2933"/>
    <w:rsid w:val="3D347EBE"/>
    <w:rsid w:val="3D3C3AED"/>
    <w:rsid w:val="3D49491C"/>
    <w:rsid w:val="3D4C4951"/>
    <w:rsid w:val="3D4E71D1"/>
    <w:rsid w:val="3D506198"/>
    <w:rsid w:val="3D540560"/>
    <w:rsid w:val="3D6562C9"/>
    <w:rsid w:val="3D7D1865"/>
    <w:rsid w:val="3D8166A2"/>
    <w:rsid w:val="3D822082"/>
    <w:rsid w:val="3D8C7CFA"/>
    <w:rsid w:val="3D982CB1"/>
    <w:rsid w:val="3DA51518"/>
    <w:rsid w:val="3DA74B34"/>
    <w:rsid w:val="3DAA0345"/>
    <w:rsid w:val="3DB334D8"/>
    <w:rsid w:val="3DB64C6E"/>
    <w:rsid w:val="3DBF5617"/>
    <w:rsid w:val="3DC01453"/>
    <w:rsid w:val="3DD85298"/>
    <w:rsid w:val="3DDC4E4C"/>
    <w:rsid w:val="3DF75171"/>
    <w:rsid w:val="3DFD1F83"/>
    <w:rsid w:val="3DFE042B"/>
    <w:rsid w:val="3E051DE8"/>
    <w:rsid w:val="3E064613"/>
    <w:rsid w:val="3E151A9D"/>
    <w:rsid w:val="3E1D67D6"/>
    <w:rsid w:val="3E3E516D"/>
    <w:rsid w:val="3E410AE4"/>
    <w:rsid w:val="3E4D2EF7"/>
    <w:rsid w:val="3E4F60C2"/>
    <w:rsid w:val="3E5527E2"/>
    <w:rsid w:val="3E684914"/>
    <w:rsid w:val="3E6D40DE"/>
    <w:rsid w:val="3E75078E"/>
    <w:rsid w:val="3E976956"/>
    <w:rsid w:val="3EA52AE3"/>
    <w:rsid w:val="3EB017C6"/>
    <w:rsid w:val="3EB0577A"/>
    <w:rsid w:val="3EB968CD"/>
    <w:rsid w:val="3ECF7E9E"/>
    <w:rsid w:val="3EDE4585"/>
    <w:rsid w:val="3EEF6704"/>
    <w:rsid w:val="3EF23B8C"/>
    <w:rsid w:val="3EF267BD"/>
    <w:rsid w:val="3EF841D3"/>
    <w:rsid w:val="3EF9255F"/>
    <w:rsid w:val="3EF95FFE"/>
    <w:rsid w:val="3F0F4B6A"/>
    <w:rsid w:val="3F1104B7"/>
    <w:rsid w:val="3F1D7BCF"/>
    <w:rsid w:val="3F204A99"/>
    <w:rsid w:val="3F2D7071"/>
    <w:rsid w:val="3F32132C"/>
    <w:rsid w:val="3F332837"/>
    <w:rsid w:val="3F3643C1"/>
    <w:rsid w:val="3F38621C"/>
    <w:rsid w:val="3F3D5750"/>
    <w:rsid w:val="3F4F2BC5"/>
    <w:rsid w:val="3F57699B"/>
    <w:rsid w:val="3F5860E5"/>
    <w:rsid w:val="3F631478"/>
    <w:rsid w:val="3F8E13DE"/>
    <w:rsid w:val="3F9907C4"/>
    <w:rsid w:val="3FA13DEA"/>
    <w:rsid w:val="3FAC1A48"/>
    <w:rsid w:val="3FB1682D"/>
    <w:rsid w:val="3FB3410F"/>
    <w:rsid w:val="3FC512A1"/>
    <w:rsid w:val="3FC84C9E"/>
    <w:rsid w:val="3FCA1B42"/>
    <w:rsid w:val="3FD41E4F"/>
    <w:rsid w:val="3FDA14C3"/>
    <w:rsid w:val="3FEC2CD2"/>
    <w:rsid w:val="3FF24437"/>
    <w:rsid w:val="3FF51B86"/>
    <w:rsid w:val="3FF651C6"/>
    <w:rsid w:val="400718BA"/>
    <w:rsid w:val="4008024D"/>
    <w:rsid w:val="40090017"/>
    <w:rsid w:val="40096AA5"/>
    <w:rsid w:val="4021297B"/>
    <w:rsid w:val="402146F9"/>
    <w:rsid w:val="403365E8"/>
    <w:rsid w:val="405016DC"/>
    <w:rsid w:val="40646D0C"/>
    <w:rsid w:val="40684300"/>
    <w:rsid w:val="406C464C"/>
    <w:rsid w:val="40840CD2"/>
    <w:rsid w:val="409C70B2"/>
    <w:rsid w:val="40B2779A"/>
    <w:rsid w:val="40C477AB"/>
    <w:rsid w:val="40CD59A9"/>
    <w:rsid w:val="40D53766"/>
    <w:rsid w:val="40ED4F53"/>
    <w:rsid w:val="40F94FF7"/>
    <w:rsid w:val="410302D3"/>
    <w:rsid w:val="411150E1"/>
    <w:rsid w:val="411E0EED"/>
    <w:rsid w:val="41322966"/>
    <w:rsid w:val="41342F1C"/>
    <w:rsid w:val="413606A8"/>
    <w:rsid w:val="413A43FF"/>
    <w:rsid w:val="41401527"/>
    <w:rsid w:val="41452699"/>
    <w:rsid w:val="41594AAB"/>
    <w:rsid w:val="416255A9"/>
    <w:rsid w:val="416408B3"/>
    <w:rsid w:val="41697F3F"/>
    <w:rsid w:val="41746D4A"/>
    <w:rsid w:val="417B26FB"/>
    <w:rsid w:val="41967399"/>
    <w:rsid w:val="41986C6D"/>
    <w:rsid w:val="41A926E2"/>
    <w:rsid w:val="41BB0BAE"/>
    <w:rsid w:val="41C7462F"/>
    <w:rsid w:val="41C95079"/>
    <w:rsid w:val="41DA54D8"/>
    <w:rsid w:val="41DA6BD5"/>
    <w:rsid w:val="41E66E11"/>
    <w:rsid w:val="41E95812"/>
    <w:rsid w:val="41F12FE5"/>
    <w:rsid w:val="41FA4A3C"/>
    <w:rsid w:val="42254279"/>
    <w:rsid w:val="42312482"/>
    <w:rsid w:val="4234358D"/>
    <w:rsid w:val="42424EE2"/>
    <w:rsid w:val="42483274"/>
    <w:rsid w:val="42555CF4"/>
    <w:rsid w:val="425B0788"/>
    <w:rsid w:val="4268594D"/>
    <w:rsid w:val="426E6B65"/>
    <w:rsid w:val="42756FAE"/>
    <w:rsid w:val="428C42F8"/>
    <w:rsid w:val="42A94EAA"/>
    <w:rsid w:val="42B23D5F"/>
    <w:rsid w:val="42C43F0C"/>
    <w:rsid w:val="42DB44A1"/>
    <w:rsid w:val="42DE47BD"/>
    <w:rsid w:val="42E566F8"/>
    <w:rsid w:val="42E8372F"/>
    <w:rsid w:val="42F00D2B"/>
    <w:rsid w:val="430D78C6"/>
    <w:rsid w:val="431033BD"/>
    <w:rsid w:val="43195B8C"/>
    <w:rsid w:val="434626F9"/>
    <w:rsid w:val="434A21E9"/>
    <w:rsid w:val="434B19EE"/>
    <w:rsid w:val="43584C70"/>
    <w:rsid w:val="43721740"/>
    <w:rsid w:val="43726013"/>
    <w:rsid w:val="43741014"/>
    <w:rsid w:val="4381785E"/>
    <w:rsid w:val="4383495D"/>
    <w:rsid w:val="438376F3"/>
    <w:rsid w:val="4387467C"/>
    <w:rsid w:val="438B1F09"/>
    <w:rsid w:val="43956DE7"/>
    <w:rsid w:val="43A11EC0"/>
    <w:rsid w:val="43A60DED"/>
    <w:rsid w:val="43A60E53"/>
    <w:rsid w:val="43B835F7"/>
    <w:rsid w:val="43BD3D85"/>
    <w:rsid w:val="43DF347A"/>
    <w:rsid w:val="43F665B9"/>
    <w:rsid w:val="44240331"/>
    <w:rsid w:val="44343752"/>
    <w:rsid w:val="443D58AA"/>
    <w:rsid w:val="444A101C"/>
    <w:rsid w:val="445E66A7"/>
    <w:rsid w:val="446F759B"/>
    <w:rsid w:val="4473751E"/>
    <w:rsid w:val="447B63D2"/>
    <w:rsid w:val="447F09DF"/>
    <w:rsid w:val="44816F9D"/>
    <w:rsid w:val="448750D5"/>
    <w:rsid w:val="448C4B7D"/>
    <w:rsid w:val="44901E7E"/>
    <w:rsid w:val="44AB5D13"/>
    <w:rsid w:val="44B44858"/>
    <w:rsid w:val="44DF53DF"/>
    <w:rsid w:val="44ED5263"/>
    <w:rsid w:val="44F91551"/>
    <w:rsid w:val="450665E4"/>
    <w:rsid w:val="45332247"/>
    <w:rsid w:val="454809AA"/>
    <w:rsid w:val="454A0A68"/>
    <w:rsid w:val="45561319"/>
    <w:rsid w:val="45570BED"/>
    <w:rsid w:val="45857508"/>
    <w:rsid w:val="458A0FC3"/>
    <w:rsid w:val="458E23F3"/>
    <w:rsid w:val="45992FB4"/>
    <w:rsid w:val="45A35BE1"/>
    <w:rsid w:val="45AA32FA"/>
    <w:rsid w:val="45AD4CB1"/>
    <w:rsid w:val="45C34DF0"/>
    <w:rsid w:val="45C36C83"/>
    <w:rsid w:val="45CE2A73"/>
    <w:rsid w:val="45CF2E79"/>
    <w:rsid w:val="45D93CF8"/>
    <w:rsid w:val="45F91CA4"/>
    <w:rsid w:val="46026DAB"/>
    <w:rsid w:val="4607616F"/>
    <w:rsid w:val="46094EB3"/>
    <w:rsid w:val="46162E4E"/>
    <w:rsid w:val="461A17B1"/>
    <w:rsid w:val="46205E07"/>
    <w:rsid w:val="46262D58"/>
    <w:rsid w:val="46334018"/>
    <w:rsid w:val="463827CD"/>
    <w:rsid w:val="4638462A"/>
    <w:rsid w:val="464E7278"/>
    <w:rsid w:val="46517D32"/>
    <w:rsid w:val="46582E6F"/>
    <w:rsid w:val="465B53CD"/>
    <w:rsid w:val="46613679"/>
    <w:rsid w:val="468518EA"/>
    <w:rsid w:val="4689127A"/>
    <w:rsid w:val="469D20E2"/>
    <w:rsid w:val="46A77952"/>
    <w:rsid w:val="46A9191C"/>
    <w:rsid w:val="46CE47EC"/>
    <w:rsid w:val="46CE4EDF"/>
    <w:rsid w:val="46DC24F1"/>
    <w:rsid w:val="46DD20EA"/>
    <w:rsid w:val="46F47709"/>
    <w:rsid w:val="47082795"/>
    <w:rsid w:val="470C4586"/>
    <w:rsid w:val="471144A8"/>
    <w:rsid w:val="4712301E"/>
    <w:rsid w:val="471F398D"/>
    <w:rsid w:val="471F573B"/>
    <w:rsid w:val="47226130"/>
    <w:rsid w:val="4778684C"/>
    <w:rsid w:val="4779309D"/>
    <w:rsid w:val="477F53F3"/>
    <w:rsid w:val="47835CCA"/>
    <w:rsid w:val="47890EBA"/>
    <w:rsid w:val="479144EB"/>
    <w:rsid w:val="47923B78"/>
    <w:rsid w:val="47A619B8"/>
    <w:rsid w:val="47AF3744"/>
    <w:rsid w:val="47B24801"/>
    <w:rsid w:val="47B265AF"/>
    <w:rsid w:val="47B623AD"/>
    <w:rsid w:val="47C22C96"/>
    <w:rsid w:val="47C54534"/>
    <w:rsid w:val="47CB7671"/>
    <w:rsid w:val="47CD6B6F"/>
    <w:rsid w:val="47D60F4A"/>
    <w:rsid w:val="47E744AA"/>
    <w:rsid w:val="47EB3DDE"/>
    <w:rsid w:val="482617AF"/>
    <w:rsid w:val="48380285"/>
    <w:rsid w:val="483E6094"/>
    <w:rsid w:val="48401776"/>
    <w:rsid w:val="48414E86"/>
    <w:rsid w:val="48546305"/>
    <w:rsid w:val="485F5CAF"/>
    <w:rsid w:val="48861F15"/>
    <w:rsid w:val="489B7650"/>
    <w:rsid w:val="48A56114"/>
    <w:rsid w:val="48C53DC3"/>
    <w:rsid w:val="48C7608A"/>
    <w:rsid w:val="48C96EBA"/>
    <w:rsid w:val="48CB08FD"/>
    <w:rsid w:val="48D373C6"/>
    <w:rsid w:val="48D61428"/>
    <w:rsid w:val="48D77B39"/>
    <w:rsid w:val="48DF33D4"/>
    <w:rsid w:val="49025314"/>
    <w:rsid w:val="49166B47"/>
    <w:rsid w:val="491D58A0"/>
    <w:rsid w:val="492152F7"/>
    <w:rsid w:val="49275E34"/>
    <w:rsid w:val="49282FCC"/>
    <w:rsid w:val="492E0B35"/>
    <w:rsid w:val="494B2817"/>
    <w:rsid w:val="494C4442"/>
    <w:rsid w:val="49521CA9"/>
    <w:rsid w:val="49544A87"/>
    <w:rsid w:val="495F62C2"/>
    <w:rsid w:val="4967648B"/>
    <w:rsid w:val="49870D1A"/>
    <w:rsid w:val="498A2ACB"/>
    <w:rsid w:val="498F599D"/>
    <w:rsid w:val="499A554C"/>
    <w:rsid w:val="499B5CB2"/>
    <w:rsid w:val="49A36F87"/>
    <w:rsid w:val="49A93BD9"/>
    <w:rsid w:val="49B303BC"/>
    <w:rsid w:val="49D2118A"/>
    <w:rsid w:val="49D97E23"/>
    <w:rsid w:val="49DE18DD"/>
    <w:rsid w:val="49E37654"/>
    <w:rsid w:val="49E77726"/>
    <w:rsid w:val="49EE37B0"/>
    <w:rsid w:val="49F51EDB"/>
    <w:rsid w:val="4A0B01F8"/>
    <w:rsid w:val="4A0F5443"/>
    <w:rsid w:val="4A0F6F03"/>
    <w:rsid w:val="4A113A61"/>
    <w:rsid w:val="4A1277D9"/>
    <w:rsid w:val="4A1A56B6"/>
    <w:rsid w:val="4A256B80"/>
    <w:rsid w:val="4A2D016F"/>
    <w:rsid w:val="4A2F6758"/>
    <w:rsid w:val="4A3A2304"/>
    <w:rsid w:val="4A417D43"/>
    <w:rsid w:val="4A45195C"/>
    <w:rsid w:val="4A4B0B6E"/>
    <w:rsid w:val="4A4E2219"/>
    <w:rsid w:val="4A5676C5"/>
    <w:rsid w:val="4A6B0275"/>
    <w:rsid w:val="4A791606"/>
    <w:rsid w:val="4A7B074B"/>
    <w:rsid w:val="4A8107D4"/>
    <w:rsid w:val="4A871F75"/>
    <w:rsid w:val="4A881849"/>
    <w:rsid w:val="4A885999"/>
    <w:rsid w:val="4A8E50B1"/>
    <w:rsid w:val="4A9641DF"/>
    <w:rsid w:val="4AD90A31"/>
    <w:rsid w:val="4ADF590D"/>
    <w:rsid w:val="4AE74C1E"/>
    <w:rsid w:val="4AFE6B89"/>
    <w:rsid w:val="4B097BAB"/>
    <w:rsid w:val="4B0A3436"/>
    <w:rsid w:val="4B11183E"/>
    <w:rsid w:val="4B150E0C"/>
    <w:rsid w:val="4B1D2F8C"/>
    <w:rsid w:val="4B1D4687"/>
    <w:rsid w:val="4B271062"/>
    <w:rsid w:val="4B33411D"/>
    <w:rsid w:val="4B461F2B"/>
    <w:rsid w:val="4B4A12C3"/>
    <w:rsid w:val="4B4C380F"/>
    <w:rsid w:val="4B693428"/>
    <w:rsid w:val="4B6C16A6"/>
    <w:rsid w:val="4B8B5A92"/>
    <w:rsid w:val="4BA14D61"/>
    <w:rsid w:val="4BA52C90"/>
    <w:rsid w:val="4BA77ED2"/>
    <w:rsid w:val="4BA821A3"/>
    <w:rsid w:val="4BB1347D"/>
    <w:rsid w:val="4BB66FC3"/>
    <w:rsid w:val="4BB87F0C"/>
    <w:rsid w:val="4BBA72B0"/>
    <w:rsid w:val="4BBF129A"/>
    <w:rsid w:val="4BC32129"/>
    <w:rsid w:val="4BC36FDC"/>
    <w:rsid w:val="4BC54262"/>
    <w:rsid w:val="4BDA0ED5"/>
    <w:rsid w:val="4BDF599F"/>
    <w:rsid w:val="4BF03B4A"/>
    <w:rsid w:val="4BF46E98"/>
    <w:rsid w:val="4BFB6776"/>
    <w:rsid w:val="4C030443"/>
    <w:rsid w:val="4C03562B"/>
    <w:rsid w:val="4C040C28"/>
    <w:rsid w:val="4C097B79"/>
    <w:rsid w:val="4C0A0767"/>
    <w:rsid w:val="4C0D2006"/>
    <w:rsid w:val="4C0F2222"/>
    <w:rsid w:val="4C1415E6"/>
    <w:rsid w:val="4C251A45"/>
    <w:rsid w:val="4C2537F3"/>
    <w:rsid w:val="4C3C7455"/>
    <w:rsid w:val="4C553FE1"/>
    <w:rsid w:val="4C5639AD"/>
    <w:rsid w:val="4C5D40AD"/>
    <w:rsid w:val="4C6A119A"/>
    <w:rsid w:val="4C742085"/>
    <w:rsid w:val="4C773B54"/>
    <w:rsid w:val="4C997D3D"/>
    <w:rsid w:val="4C9C45AC"/>
    <w:rsid w:val="4CA846DC"/>
    <w:rsid w:val="4CA94BB7"/>
    <w:rsid w:val="4CAF5386"/>
    <w:rsid w:val="4CB30DFF"/>
    <w:rsid w:val="4CBA50E3"/>
    <w:rsid w:val="4CC85386"/>
    <w:rsid w:val="4D037ABE"/>
    <w:rsid w:val="4D06044C"/>
    <w:rsid w:val="4D0F7FFF"/>
    <w:rsid w:val="4D3505C9"/>
    <w:rsid w:val="4D465DA8"/>
    <w:rsid w:val="4D4759EB"/>
    <w:rsid w:val="4D4C6B4F"/>
    <w:rsid w:val="4D537083"/>
    <w:rsid w:val="4D554986"/>
    <w:rsid w:val="4D557D51"/>
    <w:rsid w:val="4D5932DC"/>
    <w:rsid w:val="4D7378CF"/>
    <w:rsid w:val="4D9B33CB"/>
    <w:rsid w:val="4DA82DA2"/>
    <w:rsid w:val="4DBB14D7"/>
    <w:rsid w:val="4DFC0584"/>
    <w:rsid w:val="4E0260A9"/>
    <w:rsid w:val="4E074369"/>
    <w:rsid w:val="4E143B1F"/>
    <w:rsid w:val="4E322FBF"/>
    <w:rsid w:val="4E3F0301"/>
    <w:rsid w:val="4E4F6905"/>
    <w:rsid w:val="4E6924D8"/>
    <w:rsid w:val="4E74636C"/>
    <w:rsid w:val="4E853B08"/>
    <w:rsid w:val="4E9407BC"/>
    <w:rsid w:val="4E9E23DD"/>
    <w:rsid w:val="4EA47356"/>
    <w:rsid w:val="4EA54396"/>
    <w:rsid w:val="4EA62C8C"/>
    <w:rsid w:val="4EB4216F"/>
    <w:rsid w:val="4EB86BA1"/>
    <w:rsid w:val="4EBA52B1"/>
    <w:rsid w:val="4EBC2D80"/>
    <w:rsid w:val="4EC40568"/>
    <w:rsid w:val="4ED67027"/>
    <w:rsid w:val="4F0040A4"/>
    <w:rsid w:val="4F0202C8"/>
    <w:rsid w:val="4F021BCA"/>
    <w:rsid w:val="4F0F42E7"/>
    <w:rsid w:val="4F115764"/>
    <w:rsid w:val="4F371340"/>
    <w:rsid w:val="4F3D4505"/>
    <w:rsid w:val="4F546152"/>
    <w:rsid w:val="4F5C0387"/>
    <w:rsid w:val="4F6208BA"/>
    <w:rsid w:val="4F6E3703"/>
    <w:rsid w:val="4F7A3E56"/>
    <w:rsid w:val="4F7A7412"/>
    <w:rsid w:val="4F7B2E66"/>
    <w:rsid w:val="4F837021"/>
    <w:rsid w:val="4F8C3B89"/>
    <w:rsid w:val="4FBA3ACA"/>
    <w:rsid w:val="4FBB4517"/>
    <w:rsid w:val="4FCB3237"/>
    <w:rsid w:val="4FCE44B1"/>
    <w:rsid w:val="4FD95020"/>
    <w:rsid w:val="4FE007A6"/>
    <w:rsid w:val="4FE47521"/>
    <w:rsid w:val="4FF16AEC"/>
    <w:rsid w:val="4FFD256E"/>
    <w:rsid w:val="50037246"/>
    <w:rsid w:val="500D2F12"/>
    <w:rsid w:val="501039DF"/>
    <w:rsid w:val="502A762A"/>
    <w:rsid w:val="50357D7D"/>
    <w:rsid w:val="50424664"/>
    <w:rsid w:val="504274B2"/>
    <w:rsid w:val="5043693E"/>
    <w:rsid w:val="504D47CC"/>
    <w:rsid w:val="50624FF5"/>
    <w:rsid w:val="5066262C"/>
    <w:rsid w:val="507032D0"/>
    <w:rsid w:val="50715259"/>
    <w:rsid w:val="50760251"/>
    <w:rsid w:val="508769D8"/>
    <w:rsid w:val="508B02F3"/>
    <w:rsid w:val="508E7F3C"/>
    <w:rsid w:val="50927935"/>
    <w:rsid w:val="509E3B74"/>
    <w:rsid w:val="50A32F39"/>
    <w:rsid w:val="50A839D1"/>
    <w:rsid w:val="50AA3EE6"/>
    <w:rsid w:val="50D72926"/>
    <w:rsid w:val="50DE31B0"/>
    <w:rsid w:val="50E269EF"/>
    <w:rsid w:val="50EC2BCA"/>
    <w:rsid w:val="50F43794"/>
    <w:rsid w:val="510F5CB6"/>
    <w:rsid w:val="51134562"/>
    <w:rsid w:val="5126166B"/>
    <w:rsid w:val="512C2E00"/>
    <w:rsid w:val="513242BC"/>
    <w:rsid w:val="51450494"/>
    <w:rsid w:val="514C175F"/>
    <w:rsid w:val="515B5BEE"/>
    <w:rsid w:val="51600E2A"/>
    <w:rsid w:val="519035B6"/>
    <w:rsid w:val="5191496F"/>
    <w:rsid w:val="51951DEF"/>
    <w:rsid w:val="519A433C"/>
    <w:rsid w:val="519B2FFB"/>
    <w:rsid w:val="51A21442"/>
    <w:rsid w:val="51AE4DB8"/>
    <w:rsid w:val="51D05FAF"/>
    <w:rsid w:val="51DC0DF8"/>
    <w:rsid w:val="51DC3F8A"/>
    <w:rsid w:val="51E43809"/>
    <w:rsid w:val="51E608FC"/>
    <w:rsid w:val="51ED5F84"/>
    <w:rsid w:val="51ED60AC"/>
    <w:rsid w:val="51F50FAE"/>
    <w:rsid w:val="51F903FC"/>
    <w:rsid w:val="51FB1986"/>
    <w:rsid w:val="51FE2487"/>
    <w:rsid w:val="5208399B"/>
    <w:rsid w:val="520B1386"/>
    <w:rsid w:val="5222639A"/>
    <w:rsid w:val="52272346"/>
    <w:rsid w:val="522741A6"/>
    <w:rsid w:val="523F4EE3"/>
    <w:rsid w:val="52583B2C"/>
    <w:rsid w:val="525C314D"/>
    <w:rsid w:val="52614A8E"/>
    <w:rsid w:val="52635D44"/>
    <w:rsid w:val="52776CE2"/>
    <w:rsid w:val="527821A3"/>
    <w:rsid w:val="527F656A"/>
    <w:rsid w:val="528F1931"/>
    <w:rsid w:val="529B5B9D"/>
    <w:rsid w:val="529F5124"/>
    <w:rsid w:val="52A00ECB"/>
    <w:rsid w:val="52A70384"/>
    <w:rsid w:val="52B14033"/>
    <w:rsid w:val="52B636DD"/>
    <w:rsid w:val="52BB6C5F"/>
    <w:rsid w:val="52C43E23"/>
    <w:rsid w:val="52C71500"/>
    <w:rsid w:val="52C74E1E"/>
    <w:rsid w:val="52D03D8D"/>
    <w:rsid w:val="52D3090B"/>
    <w:rsid w:val="52E34DBC"/>
    <w:rsid w:val="52E857FE"/>
    <w:rsid w:val="52EA12F3"/>
    <w:rsid w:val="52F14884"/>
    <w:rsid w:val="53001F5C"/>
    <w:rsid w:val="530D4FE1"/>
    <w:rsid w:val="531A7A3B"/>
    <w:rsid w:val="53234805"/>
    <w:rsid w:val="53371F50"/>
    <w:rsid w:val="535733B5"/>
    <w:rsid w:val="53576453"/>
    <w:rsid w:val="536275BE"/>
    <w:rsid w:val="5372614B"/>
    <w:rsid w:val="537644A3"/>
    <w:rsid w:val="5387235B"/>
    <w:rsid w:val="539179C0"/>
    <w:rsid w:val="5393457C"/>
    <w:rsid w:val="53AC1D52"/>
    <w:rsid w:val="53B05DCE"/>
    <w:rsid w:val="53B46C9D"/>
    <w:rsid w:val="53B65CA7"/>
    <w:rsid w:val="53CA4429"/>
    <w:rsid w:val="53D963A2"/>
    <w:rsid w:val="53E50B71"/>
    <w:rsid w:val="53E8662E"/>
    <w:rsid w:val="53FB3972"/>
    <w:rsid w:val="53FF0DCE"/>
    <w:rsid w:val="540B5711"/>
    <w:rsid w:val="54280D1A"/>
    <w:rsid w:val="54324CFF"/>
    <w:rsid w:val="54325F10"/>
    <w:rsid w:val="5440264B"/>
    <w:rsid w:val="54501629"/>
    <w:rsid w:val="545A4256"/>
    <w:rsid w:val="545E17F4"/>
    <w:rsid w:val="546143E9"/>
    <w:rsid w:val="546A1687"/>
    <w:rsid w:val="546E1AAF"/>
    <w:rsid w:val="5475299E"/>
    <w:rsid w:val="54761801"/>
    <w:rsid w:val="547B37BB"/>
    <w:rsid w:val="54841300"/>
    <w:rsid w:val="54880DC3"/>
    <w:rsid w:val="5489250E"/>
    <w:rsid w:val="54985506"/>
    <w:rsid w:val="54AB4AB2"/>
    <w:rsid w:val="54B03E76"/>
    <w:rsid w:val="54B5784B"/>
    <w:rsid w:val="54BA7EA4"/>
    <w:rsid w:val="54BF2D11"/>
    <w:rsid w:val="54E41CA2"/>
    <w:rsid w:val="54E921AD"/>
    <w:rsid w:val="54F55D2D"/>
    <w:rsid w:val="54FF79A8"/>
    <w:rsid w:val="55056BCC"/>
    <w:rsid w:val="550B5550"/>
    <w:rsid w:val="55216B22"/>
    <w:rsid w:val="55245A59"/>
    <w:rsid w:val="552B2379"/>
    <w:rsid w:val="553D6107"/>
    <w:rsid w:val="55572544"/>
    <w:rsid w:val="55610682"/>
    <w:rsid w:val="559B524A"/>
    <w:rsid w:val="55AE4B76"/>
    <w:rsid w:val="55AF05D2"/>
    <w:rsid w:val="55BB5298"/>
    <w:rsid w:val="55BD52C8"/>
    <w:rsid w:val="55CC551E"/>
    <w:rsid w:val="55DB13C7"/>
    <w:rsid w:val="55EC390A"/>
    <w:rsid w:val="55F06C20"/>
    <w:rsid w:val="55F32475"/>
    <w:rsid w:val="55F6001A"/>
    <w:rsid w:val="560839BA"/>
    <w:rsid w:val="560E1C75"/>
    <w:rsid w:val="56134213"/>
    <w:rsid w:val="562A168B"/>
    <w:rsid w:val="56301712"/>
    <w:rsid w:val="563D798B"/>
    <w:rsid w:val="56505911"/>
    <w:rsid w:val="566861D2"/>
    <w:rsid w:val="56701B0F"/>
    <w:rsid w:val="56927CD7"/>
    <w:rsid w:val="569B72DC"/>
    <w:rsid w:val="56AB0D99"/>
    <w:rsid w:val="56BA0FDC"/>
    <w:rsid w:val="56BA722E"/>
    <w:rsid w:val="56BD725A"/>
    <w:rsid w:val="56BF08AB"/>
    <w:rsid w:val="56CD0D0F"/>
    <w:rsid w:val="56D36446"/>
    <w:rsid w:val="56D54068"/>
    <w:rsid w:val="56DE4CCA"/>
    <w:rsid w:val="56E352D7"/>
    <w:rsid w:val="56E61DD1"/>
    <w:rsid w:val="56F221ED"/>
    <w:rsid w:val="56F40992"/>
    <w:rsid w:val="5704678E"/>
    <w:rsid w:val="57064096"/>
    <w:rsid w:val="57182EFE"/>
    <w:rsid w:val="57316FCA"/>
    <w:rsid w:val="573E1C0D"/>
    <w:rsid w:val="574C5AC3"/>
    <w:rsid w:val="57654793"/>
    <w:rsid w:val="57743436"/>
    <w:rsid w:val="577D144A"/>
    <w:rsid w:val="577D428D"/>
    <w:rsid w:val="578E07D6"/>
    <w:rsid w:val="57A02FAD"/>
    <w:rsid w:val="57A61D96"/>
    <w:rsid w:val="57A80454"/>
    <w:rsid w:val="57A95DBD"/>
    <w:rsid w:val="57AC4BFF"/>
    <w:rsid w:val="57B10004"/>
    <w:rsid w:val="57C00874"/>
    <w:rsid w:val="57C540DC"/>
    <w:rsid w:val="57CA524F"/>
    <w:rsid w:val="57CC4E3B"/>
    <w:rsid w:val="57E26B8D"/>
    <w:rsid w:val="57E81072"/>
    <w:rsid w:val="58123A8F"/>
    <w:rsid w:val="581559E9"/>
    <w:rsid w:val="581666E6"/>
    <w:rsid w:val="58201313"/>
    <w:rsid w:val="5824556F"/>
    <w:rsid w:val="58454D01"/>
    <w:rsid w:val="58501BF8"/>
    <w:rsid w:val="585E53D0"/>
    <w:rsid w:val="58613A3F"/>
    <w:rsid w:val="58694A68"/>
    <w:rsid w:val="586E26F4"/>
    <w:rsid w:val="58723C7C"/>
    <w:rsid w:val="58747421"/>
    <w:rsid w:val="5875340D"/>
    <w:rsid w:val="587D4A6C"/>
    <w:rsid w:val="588949DD"/>
    <w:rsid w:val="58A62BA4"/>
    <w:rsid w:val="58BD4DB3"/>
    <w:rsid w:val="58C12AF6"/>
    <w:rsid w:val="58D02D39"/>
    <w:rsid w:val="58D60995"/>
    <w:rsid w:val="58D96D95"/>
    <w:rsid w:val="58E10AA2"/>
    <w:rsid w:val="58EA2684"/>
    <w:rsid w:val="58F75CB5"/>
    <w:rsid w:val="59145DC3"/>
    <w:rsid w:val="59274A42"/>
    <w:rsid w:val="592F76F7"/>
    <w:rsid w:val="59396B30"/>
    <w:rsid w:val="593F3293"/>
    <w:rsid w:val="594B6459"/>
    <w:rsid w:val="5974265D"/>
    <w:rsid w:val="597D4C6F"/>
    <w:rsid w:val="598221CE"/>
    <w:rsid w:val="598475E5"/>
    <w:rsid w:val="598B6B18"/>
    <w:rsid w:val="598B6C60"/>
    <w:rsid w:val="59A77200"/>
    <w:rsid w:val="59AF0404"/>
    <w:rsid w:val="59B811D2"/>
    <w:rsid w:val="59BE403A"/>
    <w:rsid w:val="59C14ADA"/>
    <w:rsid w:val="59C503C4"/>
    <w:rsid w:val="59D92F77"/>
    <w:rsid w:val="59E7556E"/>
    <w:rsid w:val="59EE791A"/>
    <w:rsid w:val="59F92E55"/>
    <w:rsid w:val="5A01761B"/>
    <w:rsid w:val="5A0507C0"/>
    <w:rsid w:val="5A1D0200"/>
    <w:rsid w:val="5A201F46"/>
    <w:rsid w:val="5A3C63D1"/>
    <w:rsid w:val="5A3D7BE8"/>
    <w:rsid w:val="5A3F1C9A"/>
    <w:rsid w:val="5A435B69"/>
    <w:rsid w:val="5A5974B5"/>
    <w:rsid w:val="5A6951F3"/>
    <w:rsid w:val="5A7F7417"/>
    <w:rsid w:val="5A925F77"/>
    <w:rsid w:val="5A9304C2"/>
    <w:rsid w:val="5A9D4E9D"/>
    <w:rsid w:val="5AB578A0"/>
    <w:rsid w:val="5AB81209"/>
    <w:rsid w:val="5AC54F7B"/>
    <w:rsid w:val="5AC63126"/>
    <w:rsid w:val="5ACA61DE"/>
    <w:rsid w:val="5ACD0FBF"/>
    <w:rsid w:val="5AE25D78"/>
    <w:rsid w:val="5AEB6E3E"/>
    <w:rsid w:val="5AF80757"/>
    <w:rsid w:val="5AFE2270"/>
    <w:rsid w:val="5B0359C4"/>
    <w:rsid w:val="5B0C4CAD"/>
    <w:rsid w:val="5B0E72B6"/>
    <w:rsid w:val="5B1102A4"/>
    <w:rsid w:val="5B132DCD"/>
    <w:rsid w:val="5B340E49"/>
    <w:rsid w:val="5B3F3E24"/>
    <w:rsid w:val="5B413A7A"/>
    <w:rsid w:val="5B491B70"/>
    <w:rsid w:val="5B4D241F"/>
    <w:rsid w:val="5B5C259B"/>
    <w:rsid w:val="5B6F4A8B"/>
    <w:rsid w:val="5B7871DF"/>
    <w:rsid w:val="5B830895"/>
    <w:rsid w:val="5BAF4E87"/>
    <w:rsid w:val="5BBB382C"/>
    <w:rsid w:val="5BC03756"/>
    <w:rsid w:val="5BF3378B"/>
    <w:rsid w:val="5BFF3207"/>
    <w:rsid w:val="5C063CBF"/>
    <w:rsid w:val="5C092DAD"/>
    <w:rsid w:val="5C096452"/>
    <w:rsid w:val="5C0C4088"/>
    <w:rsid w:val="5C156FF2"/>
    <w:rsid w:val="5C171A1B"/>
    <w:rsid w:val="5C1902CA"/>
    <w:rsid w:val="5C1B4CCD"/>
    <w:rsid w:val="5C337866"/>
    <w:rsid w:val="5C3C3432"/>
    <w:rsid w:val="5C4833FA"/>
    <w:rsid w:val="5C6043D4"/>
    <w:rsid w:val="5C7514E3"/>
    <w:rsid w:val="5C760207"/>
    <w:rsid w:val="5C7F3569"/>
    <w:rsid w:val="5C806824"/>
    <w:rsid w:val="5CA009AE"/>
    <w:rsid w:val="5CB34038"/>
    <w:rsid w:val="5CBE5FD4"/>
    <w:rsid w:val="5CC02A2D"/>
    <w:rsid w:val="5CC10B53"/>
    <w:rsid w:val="5CD34A43"/>
    <w:rsid w:val="5CEC2016"/>
    <w:rsid w:val="5CF16BBD"/>
    <w:rsid w:val="5CF76AE6"/>
    <w:rsid w:val="5D1551BE"/>
    <w:rsid w:val="5D157B4B"/>
    <w:rsid w:val="5D197C22"/>
    <w:rsid w:val="5D2E4F87"/>
    <w:rsid w:val="5D3B1572"/>
    <w:rsid w:val="5D506423"/>
    <w:rsid w:val="5D6B3030"/>
    <w:rsid w:val="5D8044CD"/>
    <w:rsid w:val="5D865323"/>
    <w:rsid w:val="5D8E0ABF"/>
    <w:rsid w:val="5D912BD6"/>
    <w:rsid w:val="5D944335"/>
    <w:rsid w:val="5D9B1BF7"/>
    <w:rsid w:val="5DA02272"/>
    <w:rsid w:val="5DA16A52"/>
    <w:rsid w:val="5DA362FB"/>
    <w:rsid w:val="5DA36E72"/>
    <w:rsid w:val="5DBA19EB"/>
    <w:rsid w:val="5DBC5B7A"/>
    <w:rsid w:val="5DC80482"/>
    <w:rsid w:val="5DD40BD5"/>
    <w:rsid w:val="5DD44A34"/>
    <w:rsid w:val="5DD7237A"/>
    <w:rsid w:val="5DEA5A02"/>
    <w:rsid w:val="5DF671F6"/>
    <w:rsid w:val="5DFC1EDA"/>
    <w:rsid w:val="5DFD09B2"/>
    <w:rsid w:val="5E0C4813"/>
    <w:rsid w:val="5E162F9C"/>
    <w:rsid w:val="5E3B6EA6"/>
    <w:rsid w:val="5E3E2B7D"/>
    <w:rsid w:val="5E435D5B"/>
    <w:rsid w:val="5E446844"/>
    <w:rsid w:val="5E877319"/>
    <w:rsid w:val="5EA277F6"/>
    <w:rsid w:val="5EB70430"/>
    <w:rsid w:val="5EB822A5"/>
    <w:rsid w:val="5EBE2B1D"/>
    <w:rsid w:val="5EC450EE"/>
    <w:rsid w:val="5EC56770"/>
    <w:rsid w:val="5ED00BDD"/>
    <w:rsid w:val="5ED510A9"/>
    <w:rsid w:val="5EF56019"/>
    <w:rsid w:val="5EFD23AE"/>
    <w:rsid w:val="5F0507BC"/>
    <w:rsid w:val="5F324694"/>
    <w:rsid w:val="5F4A1EEF"/>
    <w:rsid w:val="5F4A4601"/>
    <w:rsid w:val="5F5F0972"/>
    <w:rsid w:val="5F645F89"/>
    <w:rsid w:val="5F69507D"/>
    <w:rsid w:val="5F742670"/>
    <w:rsid w:val="5F8A1C50"/>
    <w:rsid w:val="5F8E0142"/>
    <w:rsid w:val="5F965F3F"/>
    <w:rsid w:val="5F9E149B"/>
    <w:rsid w:val="5F9E593F"/>
    <w:rsid w:val="5FA12037"/>
    <w:rsid w:val="5FA9244A"/>
    <w:rsid w:val="5FB55316"/>
    <w:rsid w:val="5FCD1325"/>
    <w:rsid w:val="5FD72BFF"/>
    <w:rsid w:val="5FD90725"/>
    <w:rsid w:val="5FEB66AA"/>
    <w:rsid w:val="601A422B"/>
    <w:rsid w:val="602005D7"/>
    <w:rsid w:val="602F2A3B"/>
    <w:rsid w:val="603349F6"/>
    <w:rsid w:val="60373A03"/>
    <w:rsid w:val="60485260"/>
    <w:rsid w:val="604C7106"/>
    <w:rsid w:val="60531502"/>
    <w:rsid w:val="60536017"/>
    <w:rsid w:val="60550939"/>
    <w:rsid w:val="60636507"/>
    <w:rsid w:val="60760CD7"/>
    <w:rsid w:val="607E60DD"/>
    <w:rsid w:val="60874625"/>
    <w:rsid w:val="608A1236"/>
    <w:rsid w:val="60912CAB"/>
    <w:rsid w:val="60A70823"/>
    <w:rsid w:val="60AF6A08"/>
    <w:rsid w:val="60B028DC"/>
    <w:rsid w:val="60B151FE"/>
    <w:rsid w:val="60C30418"/>
    <w:rsid w:val="60C50EA7"/>
    <w:rsid w:val="60E8781E"/>
    <w:rsid w:val="60E92BEA"/>
    <w:rsid w:val="60FD7918"/>
    <w:rsid w:val="60FF065F"/>
    <w:rsid w:val="610B51F0"/>
    <w:rsid w:val="61146CF4"/>
    <w:rsid w:val="611934DB"/>
    <w:rsid w:val="61277B90"/>
    <w:rsid w:val="612B00AD"/>
    <w:rsid w:val="6146003C"/>
    <w:rsid w:val="61516DE0"/>
    <w:rsid w:val="61534507"/>
    <w:rsid w:val="615545F7"/>
    <w:rsid w:val="615C44CF"/>
    <w:rsid w:val="61660A6E"/>
    <w:rsid w:val="61767D47"/>
    <w:rsid w:val="617912AD"/>
    <w:rsid w:val="618958B2"/>
    <w:rsid w:val="61902523"/>
    <w:rsid w:val="619C08C2"/>
    <w:rsid w:val="61A524A3"/>
    <w:rsid w:val="61BE1DA1"/>
    <w:rsid w:val="61C53457"/>
    <w:rsid w:val="61CD42B9"/>
    <w:rsid w:val="61D11C46"/>
    <w:rsid w:val="61D92C5E"/>
    <w:rsid w:val="61F90087"/>
    <w:rsid w:val="620A72BB"/>
    <w:rsid w:val="620D2908"/>
    <w:rsid w:val="622A170C"/>
    <w:rsid w:val="622B7371"/>
    <w:rsid w:val="62326812"/>
    <w:rsid w:val="62552403"/>
    <w:rsid w:val="625737B6"/>
    <w:rsid w:val="625B7B17"/>
    <w:rsid w:val="628B309E"/>
    <w:rsid w:val="629253D6"/>
    <w:rsid w:val="629D0130"/>
    <w:rsid w:val="629D16DF"/>
    <w:rsid w:val="62AE5E99"/>
    <w:rsid w:val="62CA25A7"/>
    <w:rsid w:val="62CD7D0E"/>
    <w:rsid w:val="62CF4061"/>
    <w:rsid w:val="62DE42A4"/>
    <w:rsid w:val="62DF384D"/>
    <w:rsid w:val="62F12229"/>
    <w:rsid w:val="62FD6821"/>
    <w:rsid w:val="6306375E"/>
    <w:rsid w:val="631321A0"/>
    <w:rsid w:val="63145DAC"/>
    <w:rsid w:val="63216698"/>
    <w:rsid w:val="63367C3C"/>
    <w:rsid w:val="63491078"/>
    <w:rsid w:val="634A37D1"/>
    <w:rsid w:val="63605AB8"/>
    <w:rsid w:val="63620A31"/>
    <w:rsid w:val="636447A9"/>
    <w:rsid w:val="63651355"/>
    <w:rsid w:val="638210D3"/>
    <w:rsid w:val="638B43E1"/>
    <w:rsid w:val="639420DB"/>
    <w:rsid w:val="6397584A"/>
    <w:rsid w:val="63B15515"/>
    <w:rsid w:val="63B303C2"/>
    <w:rsid w:val="63B86EAA"/>
    <w:rsid w:val="63BF40D6"/>
    <w:rsid w:val="63CC1042"/>
    <w:rsid w:val="63D90944"/>
    <w:rsid w:val="63F83144"/>
    <w:rsid w:val="64035A9B"/>
    <w:rsid w:val="640B10C9"/>
    <w:rsid w:val="640E58D1"/>
    <w:rsid w:val="641461CF"/>
    <w:rsid w:val="642D2C6F"/>
    <w:rsid w:val="642F3009"/>
    <w:rsid w:val="64326D27"/>
    <w:rsid w:val="64374055"/>
    <w:rsid w:val="6448099E"/>
    <w:rsid w:val="6448736A"/>
    <w:rsid w:val="64504D2E"/>
    <w:rsid w:val="64650188"/>
    <w:rsid w:val="647A2F18"/>
    <w:rsid w:val="64833355"/>
    <w:rsid w:val="64913B23"/>
    <w:rsid w:val="64AC4960"/>
    <w:rsid w:val="64BE5FF1"/>
    <w:rsid w:val="64C645DF"/>
    <w:rsid w:val="64CF03AB"/>
    <w:rsid w:val="64DB0A9B"/>
    <w:rsid w:val="64DD2A65"/>
    <w:rsid w:val="64DD3919"/>
    <w:rsid w:val="64DE058B"/>
    <w:rsid w:val="64FB113D"/>
    <w:rsid w:val="650136CD"/>
    <w:rsid w:val="65055B18"/>
    <w:rsid w:val="65071890"/>
    <w:rsid w:val="651925FD"/>
    <w:rsid w:val="651F307E"/>
    <w:rsid w:val="652017A8"/>
    <w:rsid w:val="65297A59"/>
    <w:rsid w:val="65362175"/>
    <w:rsid w:val="65381C0E"/>
    <w:rsid w:val="655B17E2"/>
    <w:rsid w:val="656755AB"/>
    <w:rsid w:val="656942F9"/>
    <w:rsid w:val="65716C34"/>
    <w:rsid w:val="65766A16"/>
    <w:rsid w:val="657D59D8"/>
    <w:rsid w:val="65852BD6"/>
    <w:rsid w:val="65A06CCA"/>
    <w:rsid w:val="65A672FB"/>
    <w:rsid w:val="65A96DEB"/>
    <w:rsid w:val="65AB2B63"/>
    <w:rsid w:val="65BA4B36"/>
    <w:rsid w:val="65C60C19"/>
    <w:rsid w:val="65D06126"/>
    <w:rsid w:val="65D26342"/>
    <w:rsid w:val="65D522B9"/>
    <w:rsid w:val="660101C9"/>
    <w:rsid w:val="660364FC"/>
    <w:rsid w:val="66100C18"/>
    <w:rsid w:val="66153231"/>
    <w:rsid w:val="66261918"/>
    <w:rsid w:val="66284820"/>
    <w:rsid w:val="662B2A66"/>
    <w:rsid w:val="662E5667"/>
    <w:rsid w:val="662F72F1"/>
    <w:rsid w:val="66401D55"/>
    <w:rsid w:val="66402691"/>
    <w:rsid w:val="66613222"/>
    <w:rsid w:val="66660838"/>
    <w:rsid w:val="666845B1"/>
    <w:rsid w:val="666F1DE3"/>
    <w:rsid w:val="667411A7"/>
    <w:rsid w:val="66747DFB"/>
    <w:rsid w:val="66846F11"/>
    <w:rsid w:val="669335F3"/>
    <w:rsid w:val="66951DEB"/>
    <w:rsid w:val="669B1E03"/>
    <w:rsid w:val="669B2BD8"/>
    <w:rsid w:val="66A80E51"/>
    <w:rsid w:val="66AB16A8"/>
    <w:rsid w:val="66BC2660"/>
    <w:rsid w:val="66BD0D09"/>
    <w:rsid w:val="66CA0555"/>
    <w:rsid w:val="66D06C26"/>
    <w:rsid w:val="66D103A8"/>
    <w:rsid w:val="66E84077"/>
    <w:rsid w:val="66E856F1"/>
    <w:rsid w:val="66EA286B"/>
    <w:rsid w:val="66F62740"/>
    <w:rsid w:val="67065B78"/>
    <w:rsid w:val="670818F0"/>
    <w:rsid w:val="670A709F"/>
    <w:rsid w:val="67114C48"/>
    <w:rsid w:val="67204E8B"/>
    <w:rsid w:val="672A5D0A"/>
    <w:rsid w:val="67340937"/>
    <w:rsid w:val="673B1CC5"/>
    <w:rsid w:val="67407191"/>
    <w:rsid w:val="67441E1C"/>
    <w:rsid w:val="674F678A"/>
    <w:rsid w:val="67535248"/>
    <w:rsid w:val="6764121C"/>
    <w:rsid w:val="67650AF0"/>
    <w:rsid w:val="676E5BF7"/>
    <w:rsid w:val="677127D1"/>
    <w:rsid w:val="678371C8"/>
    <w:rsid w:val="6791557B"/>
    <w:rsid w:val="679B287B"/>
    <w:rsid w:val="67D64059"/>
    <w:rsid w:val="67DE35A2"/>
    <w:rsid w:val="67E34E14"/>
    <w:rsid w:val="67E46CB1"/>
    <w:rsid w:val="67EE31DB"/>
    <w:rsid w:val="67FB1B8B"/>
    <w:rsid w:val="67FD7926"/>
    <w:rsid w:val="680D3662"/>
    <w:rsid w:val="68166C2B"/>
    <w:rsid w:val="68180529"/>
    <w:rsid w:val="683230C8"/>
    <w:rsid w:val="684400AB"/>
    <w:rsid w:val="68701E42"/>
    <w:rsid w:val="68725BBA"/>
    <w:rsid w:val="687C4343"/>
    <w:rsid w:val="688A4CB2"/>
    <w:rsid w:val="68937E00"/>
    <w:rsid w:val="6898252F"/>
    <w:rsid w:val="689D55EC"/>
    <w:rsid w:val="68AB6102"/>
    <w:rsid w:val="68AF6678"/>
    <w:rsid w:val="68B34466"/>
    <w:rsid w:val="68B55D06"/>
    <w:rsid w:val="68B952A7"/>
    <w:rsid w:val="68BD37F2"/>
    <w:rsid w:val="68C83A2C"/>
    <w:rsid w:val="68E76E46"/>
    <w:rsid w:val="68EF2D67"/>
    <w:rsid w:val="6906180C"/>
    <w:rsid w:val="690D484B"/>
    <w:rsid w:val="692C024E"/>
    <w:rsid w:val="69396506"/>
    <w:rsid w:val="6940217B"/>
    <w:rsid w:val="69450BD9"/>
    <w:rsid w:val="694766FF"/>
    <w:rsid w:val="694C1F68"/>
    <w:rsid w:val="69500B79"/>
    <w:rsid w:val="695157D0"/>
    <w:rsid w:val="69584526"/>
    <w:rsid w:val="69730836"/>
    <w:rsid w:val="69766FE4"/>
    <w:rsid w:val="69845BA5"/>
    <w:rsid w:val="698C4A5A"/>
    <w:rsid w:val="699C0FB6"/>
    <w:rsid w:val="69A237F1"/>
    <w:rsid w:val="69A27DD9"/>
    <w:rsid w:val="69A47FF6"/>
    <w:rsid w:val="69B95123"/>
    <w:rsid w:val="69BB710C"/>
    <w:rsid w:val="69D163C0"/>
    <w:rsid w:val="69DC1BB5"/>
    <w:rsid w:val="69E345E8"/>
    <w:rsid w:val="69EC3867"/>
    <w:rsid w:val="6A07766D"/>
    <w:rsid w:val="6A1004EA"/>
    <w:rsid w:val="6A3953BC"/>
    <w:rsid w:val="6A4031C4"/>
    <w:rsid w:val="6A49294B"/>
    <w:rsid w:val="6A5449E6"/>
    <w:rsid w:val="6A623161"/>
    <w:rsid w:val="6A7752CC"/>
    <w:rsid w:val="6A7F33A9"/>
    <w:rsid w:val="6A905F36"/>
    <w:rsid w:val="6A916F52"/>
    <w:rsid w:val="6A97383E"/>
    <w:rsid w:val="6A9F1D97"/>
    <w:rsid w:val="6AB75B07"/>
    <w:rsid w:val="6ACE260D"/>
    <w:rsid w:val="6AFE3735"/>
    <w:rsid w:val="6B02105A"/>
    <w:rsid w:val="6B0A3E88"/>
    <w:rsid w:val="6B241461"/>
    <w:rsid w:val="6B2B3DFF"/>
    <w:rsid w:val="6B525520"/>
    <w:rsid w:val="6B625A72"/>
    <w:rsid w:val="6B752EC5"/>
    <w:rsid w:val="6B7F3314"/>
    <w:rsid w:val="6B83565B"/>
    <w:rsid w:val="6B910106"/>
    <w:rsid w:val="6B9E58E7"/>
    <w:rsid w:val="6B9F3924"/>
    <w:rsid w:val="6BA3608B"/>
    <w:rsid w:val="6BB24E23"/>
    <w:rsid w:val="6BCD3880"/>
    <w:rsid w:val="6BD91E39"/>
    <w:rsid w:val="6BD9508A"/>
    <w:rsid w:val="6BDF3567"/>
    <w:rsid w:val="6BE91CF0"/>
    <w:rsid w:val="6C045B35"/>
    <w:rsid w:val="6C117498"/>
    <w:rsid w:val="6C1720CA"/>
    <w:rsid w:val="6C1F3963"/>
    <w:rsid w:val="6C322A94"/>
    <w:rsid w:val="6C3E1D8C"/>
    <w:rsid w:val="6C4F1D22"/>
    <w:rsid w:val="6C53185F"/>
    <w:rsid w:val="6C5850C7"/>
    <w:rsid w:val="6C5B77B1"/>
    <w:rsid w:val="6C643A6C"/>
    <w:rsid w:val="6C691082"/>
    <w:rsid w:val="6C6E7361"/>
    <w:rsid w:val="6C7C7E4B"/>
    <w:rsid w:val="6C977F2F"/>
    <w:rsid w:val="6CAD0F6F"/>
    <w:rsid w:val="6CAE0D30"/>
    <w:rsid w:val="6CB05520"/>
    <w:rsid w:val="6CB30550"/>
    <w:rsid w:val="6CB93EE7"/>
    <w:rsid w:val="6CBE79C6"/>
    <w:rsid w:val="6CC12AE2"/>
    <w:rsid w:val="6CC84FD3"/>
    <w:rsid w:val="6CDA55DB"/>
    <w:rsid w:val="6CE30E35"/>
    <w:rsid w:val="6CE95B2F"/>
    <w:rsid w:val="6CF46B9E"/>
    <w:rsid w:val="6CF5432A"/>
    <w:rsid w:val="6D093871"/>
    <w:rsid w:val="6D21370B"/>
    <w:rsid w:val="6D3A754E"/>
    <w:rsid w:val="6D400035"/>
    <w:rsid w:val="6D573318"/>
    <w:rsid w:val="6D5767B8"/>
    <w:rsid w:val="6D6637D0"/>
    <w:rsid w:val="6D723F67"/>
    <w:rsid w:val="6DA90413"/>
    <w:rsid w:val="6DAF3888"/>
    <w:rsid w:val="6DB1683D"/>
    <w:rsid w:val="6DBB590E"/>
    <w:rsid w:val="6DBC2EBB"/>
    <w:rsid w:val="6DD24A05"/>
    <w:rsid w:val="6DF40E20"/>
    <w:rsid w:val="6DF8799B"/>
    <w:rsid w:val="6E014B77"/>
    <w:rsid w:val="6E0476FE"/>
    <w:rsid w:val="6E25722B"/>
    <w:rsid w:val="6E2C3AD0"/>
    <w:rsid w:val="6E453429"/>
    <w:rsid w:val="6E533D98"/>
    <w:rsid w:val="6E5B2C4D"/>
    <w:rsid w:val="6E600263"/>
    <w:rsid w:val="6E601A68"/>
    <w:rsid w:val="6E7770F6"/>
    <w:rsid w:val="6EBC31C7"/>
    <w:rsid w:val="6EC66318"/>
    <w:rsid w:val="6ED01875"/>
    <w:rsid w:val="6EDE1629"/>
    <w:rsid w:val="6EE3511C"/>
    <w:rsid w:val="6EE82E5B"/>
    <w:rsid w:val="6EF50254"/>
    <w:rsid w:val="6EF50DEC"/>
    <w:rsid w:val="6EFC14BD"/>
    <w:rsid w:val="6EFE1F56"/>
    <w:rsid w:val="6F046E40"/>
    <w:rsid w:val="6F0B58D2"/>
    <w:rsid w:val="6F0D666B"/>
    <w:rsid w:val="6F1352D6"/>
    <w:rsid w:val="6F1F7EE2"/>
    <w:rsid w:val="6F2430DF"/>
    <w:rsid w:val="6F250C8F"/>
    <w:rsid w:val="6F3A0AB4"/>
    <w:rsid w:val="6F51652A"/>
    <w:rsid w:val="6F524178"/>
    <w:rsid w:val="6F563B40"/>
    <w:rsid w:val="6F5778B8"/>
    <w:rsid w:val="6F6618A9"/>
    <w:rsid w:val="6F671BDB"/>
    <w:rsid w:val="6F6A4777"/>
    <w:rsid w:val="6F6F326D"/>
    <w:rsid w:val="6F777EAE"/>
    <w:rsid w:val="6F7B6482"/>
    <w:rsid w:val="6F7B7A02"/>
    <w:rsid w:val="6F806276"/>
    <w:rsid w:val="6F9B5D69"/>
    <w:rsid w:val="6F9D22F1"/>
    <w:rsid w:val="6FBA18BB"/>
    <w:rsid w:val="6FC37F08"/>
    <w:rsid w:val="6FCD36D6"/>
    <w:rsid w:val="6FF9271D"/>
    <w:rsid w:val="700C41FF"/>
    <w:rsid w:val="701B4F41"/>
    <w:rsid w:val="702F4391"/>
    <w:rsid w:val="705B5186"/>
    <w:rsid w:val="70630281"/>
    <w:rsid w:val="706A53C9"/>
    <w:rsid w:val="70704677"/>
    <w:rsid w:val="70716758"/>
    <w:rsid w:val="70736DF9"/>
    <w:rsid w:val="7096077F"/>
    <w:rsid w:val="70990584"/>
    <w:rsid w:val="70A1703D"/>
    <w:rsid w:val="70AE379B"/>
    <w:rsid w:val="70BE1773"/>
    <w:rsid w:val="70C464AE"/>
    <w:rsid w:val="70C823F9"/>
    <w:rsid w:val="70CE142D"/>
    <w:rsid w:val="70DA42FD"/>
    <w:rsid w:val="70E138DD"/>
    <w:rsid w:val="70E826D9"/>
    <w:rsid w:val="70F25AEA"/>
    <w:rsid w:val="70F537D8"/>
    <w:rsid w:val="70F64F61"/>
    <w:rsid w:val="70F9789F"/>
    <w:rsid w:val="710A100B"/>
    <w:rsid w:val="71112066"/>
    <w:rsid w:val="71216126"/>
    <w:rsid w:val="713A23A1"/>
    <w:rsid w:val="71517EE3"/>
    <w:rsid w:val="717E2663"/>
    <w:rsid w:val="71863E99"/>
    <w:rsid w:val="71C034F3"/>
    <w:rsid w:val="71CD3E62"/>
    <w:rsid w:val="71CF0B0E"/>
    <w:rsid w:val="71EC078C"/>
    <w:rsid w:val="71FB5DE1"/>
    <w:rsid w:val="72035716"/>
    <w:rsid w:val="7207180A"/>
    <w:rsid w:val="721101F2"/>
    <w:rsid w:val="72146978"/>
    <w:rsid w:val="722874FA"/>
    <w:rsid w:val="722F0678"/>
    <w:rsid w:val="72477770"/>
    <w:rsid w:val="725D51E5"/>
    <w:rsid w:val="72671BC0"/>
    <w:rsid w:val="72710C91"/>
    <w:rsid w:val="72810791"/>
    <w:rsid w:val="72A72905"/>
    <w:rsid w:val="72D229A4"/>
    <w:rsid w:val="72D27193"/>
    <w:rsid w:val="7309711B"/>
    <w:rsid w:val="730E0277"/>
    <w:rsid w:val="7310553B"/>
    <w:rsid w:val="73243F55"/>
    <w:rsid w:val="732D4BB8"/>
    <w:rsid w:val="733D059E"/>
    <w:rsid w:val="73410663"/>
    <w:rsid w:val="73416402"/>
    <w:rsid w:val="735D61C9"/>
    <w:rsid w:val="735E7467"/>
    <w:rsid w:val="7361512A"/>
    <w:rsid w:val="73696C7E"/>
    <w:rsid w:val="736B1B84"/>
    <w:rsid w:val="737C1B7D"/>
    <w:rsid w:val="73A0012B"/>
    <w:rsid w:val="73A62BBC"/>
    <w:rsid w:val="73B21197"/>
    <w:rsid w:val="73D56FFD"/>
    <w:rsid w:val="73E51333"/>
    <w:rsid w:val="73E613F5"/>
    <w:rsid w:val="73F97679"/>
    <w:rsid w:val="740022CC"/>
    <w:rsid w:val="74025CA1"/>
    <w:rsid w:val="740A314B"/>
    <w:rsid w:val="740D6797"/>
    <w:rsid w:val="740F0863"/>
    <w:rsid w:val="740F1765"/>
    <w:rsid w:val="741445C2"/>
    <w:rsid w:val="7419315D"/>
    <w:rsid w:val="74341F76"/>
    <w:rsid w:val="744C64FD"/>
    <w:rsid w:val="745B11C0"/>
    <w:rsid w:val="74716BB5"/>
    <w:rsid w:val="747D3BF3"/>
    <w:rsid w:val="749420DC"/>
    <w:rsid w:val="74A40406"/>
    <w:rsid w:val="74A96AE7"/>
    <w:rsid w:val="74AE6FA0"/>
    <w:rsid w:val="74E120FE"/>
    <w:rsid w:val="74E41BEE"/>
    <w:rsid w:val="74FE7827"/>
    <w:rsid w:val="74FF4332"/>
    <w:rsid w:val="75466405"/>
    <w:rsid w:val="756D0BFC"/>
    <w:rsid w:val="757A3FB0"/>
    <w:rsid w:val="75986535"/>
    <w:rsid w:val="759C73E8"/>
    <w:rsid w:val="75AA5940"/>
    <w:rsid w:val="75AB0AA6"/>
    <w:rsid w:val="75C839E5"/>
    <w:rsid w:val="75CF09BA"/>
    <w:rsid w:val="75D9535A"/>
    <w:rsid w:val="75DE488F"/>
    <w:rsid w:val="75DF4163"/>
    <w:rsid w:val="75E557F7"/>
    <w:rsid w:val="75E7607C"/>
    <w:rsid w:val="75F220E9"/>
    <w:rsid w:val="76040BF4"/>
    <w:rsid w:val="7621477C"/>
    <w:rsid w:val="7625426C"/>
    <w:rsid w:val="762C626B"/>
    <w:rsid w:val="76391AC6"/>
    <w:rsid w:val="76425D2A"/>
    <w:rsid w:val="7647766F"/>
    <w:rsid w:val="765863F0"/>
    <w:rsid w:val="766D6295"/>
    <w:rsid w:val="76764AC8"/>
    <w:rsid w:val="767856CA"/>
    <w:rsid w:val="767A1407"/>
    <w:rsid w:val="76831738"/>
    <w:rsid w:val="768A78DE"/>
    <w:rsid w:val="7692546B"/>
    <w:rsid w:val="769F6CE8"/>
    <w:rsid w:val="76A21126"/>
    <w:rsid w:val="76B70F18"/>
    <w:rsid w:val="76CA684A"/>
    <w:rsid w:val="76CE0460"/>
    <w:rsid w:val="76D87B0D"/>
    <w:rsid w:val="76F8372F"/>
    <w:rsid w:val="77171366"/>
    <w:rsid w:val="771D2B87"/>
    <w:rsid w:val="771F5DAD"/>
    <w:rsid w:val="77256998"/>
    <w:rsid w:val="7730111A"/>
    <w:rsid w:val="77493F8A"/>
    <w:rsid w:val="77556600"/>
    <w:rsid w:val="77660933"/>
    <w:rsid w:val="776C1A27"/>
    <w:rsid w:val="777D3C34"/>
    <w:rsid w:val="77843214"/>
    <w:rsid w:val="77976AA4"/>
    <w:rsid w:val="779C055E"/>
    <w:rsid w:val="779F420C"/>
    <w:rsid w:val="77AB254F"/>
    <w:rsid w:val="77B45455"/>
    <w:rsid w:val="77B770C7"/>
    <w:rsid w:val="77B83E65"/>
    <w:rsid w:val="77BC475C"/>
    <w:rsid w:val="77BE6726"/>
    <w:rsid w:val="77C3668D"/>
    <w:rsid w:val="77DF044B"/>
    <w:rsid w:val="77ED0DBA"/>
    <w:rsid w:val="77FB0A5B"/>
    <w:rsid w:val="780E2EA7"/>
    <w:rsid w:val="78104AA8"/>
    <w:rsid w:val="781833D7"/>
    <w:rsid w:val="78281DF2"/>
    <w:rsid w:val="78287F4D"/>
    <w:rsid w:val="78323777"/>
    <w:rsid w:val="786100F2"/>
    <w:rsid w:val="78622141"/>
    <w:rsid w:val="78670B6C"/>
    <w:rsid w:val="78680440"/>
    <w:rsid w:val="786E00B9"/>
    <w:rsid w:val="7882385F"/>
    <w:rsid w:val="788334CC"/>
    <w:rsid w:val="788E574F"/>
    <w:rsid w:val="789161F9"/>
    <w:rsid w:val="78986E25"/>
    <w:rsid w:val="78A376CA"/>
    <w:rsid w:val="78B404DC"/>
    <w:rsid w:val="78CD7DE0"/>
    <w:rsid w:val="78E75809"/>
    <w:rsid w:val="78EA52F9"/>
    <w:rsid w:val="78EA70A7"/>
    <w:rsid w:val="78ED13FE"/>
    <w:rsid w:val="78F90A0C"/>
    <w:rsid w:val="78FA2C4B"/>
    <w:rsid w:val="790243F1"/>
    <w:rsid w:val="790311D7"/>
    <w:rsid w:val="79134850"/>
    <w:rsid w:val="791F31F5"/>
    <w:rsid w:val="792D123F"/>
    <w:rsid w:val="79420C91"/>
    <w:rsid w:val="79440EAD"/>
    <w:rsid w:val="79524DA4"/>
    <w:rsid w:val="79532E9E"/>
    <w:rsid w:val="7975478C"/>
    <w:rsid w:val="79782905"/>
    <w:rsid w:val="79796CE2"/>
    <w:rsid w:val="79812BB1"/>
    <w:rsid w:val="7984196A"/>
    <w:rsid w:val="798474FC"/>
    <w:rsid w:val="7986485D"/>
    <w:rsid w:val="798C5A9C"/>
    <w:rsid w:val="798D4602"/>
    <w:rsid w:val="79A11E5C"/>
    <w:rsid w:val="79A72DAD"/>
    <w:rsid w:val="79B31B8F"/>
    <w:rsid w:val="79B778D1"/>
    <w:rsid w:val="79DA711C"/>
    <w:rsid w:val="79DF2984"/>
    <w:rsid w:val="79E13F3E"/>
    <w:rsid w:val="79F04B91"/>
    <w:rsid w:val="79F0693F"/>
    <w:rsid w:val="79F91C98"/>
    <w:rsid w:val="79FC52E4"/>
    <w:rsid w:val="7A1C2AF8"/>
    <w:rsid w:val="7A261C3A"/>
    <w:rsid w:val="7A2F5B83"/>
    <w:rsid w:val="7A3F3423"/>
    <w:rsid w:val="7A475B7A"/>
    <w:rsid w:val="7A4D387C"/>
    <w:rsid w:val="7A4E5D81"/>
    <w:rsid w:val="7A560E98"/>
    <w:rsid w:val="7A5D1F16"/>
    <w:rsid w:val="7A5F5873"/>
    <w:rsid w:val="7A802D36"/>
    <w:rsid w:val="7A8552D9"/>
    <w:rsid w:val="7A8D23E0"/>
    <w:rsid w:val="7AA37C6A"/>
    <w:rsid w:val="7AA62D8E"/>
    <w:rsid w:val="7AA95740"/>
    <w:rsid w:val="7ABA52F4"/>
    <w:rsid w:val="7AC027B5"/>
    <w:rsid w:val="7ACB1B9D"/>
    <w:rsid w:val="7AD3235D"/>
    <w:rsid w:val="7AD445A1"/>
    <w:rsid w:val="7AD85D51"/>
    <w:rsid w:val="7AE213CC"/>
    <w:rsid w:val="7AE3103E"/>
    <w:rsid w:val="7AF24A8F"/>
    <w:rsid w:val="7AF97A75"/>
    <w:rsid w:val="7B105B71"/>
    <w:rsid w:val="7B116B6D"/>
    <w:rsid w:val="7B157BF2"/>
    <w:rsid w:val="7B1E0BE4"/>
    <w:rsid w:val="7B2368A0"/>
    <w:rsid w:val="7B241EFA"/>
    <w:rsid w:val="7B292109"/>
    <w:rsid w:val="7B346CFF"/>
    <w:rsid w:val="7B3936B6"/>
    <w:rsid w:val="7B3C3442"/>
    <w:rsid w:val="7B433220"/>
    <w:rsid w:val="7B462B56"/>
    <w:rsid w:val="7B4F7695"/>
    <w:rsid w:val="7B551150"/>
    <w:rsid w:val="7B5C7E9F"/>
    <w:rsid w:val="7B656EB9"/>
    <w:rsid w:val="7B746733"/>
    <w:rsid w:val="7B7A78AA"/>
    <w:rsid w:val="7B7D06A6"/>
    <w:rsid w:val="7B7E5ABE"/>
    <w:rsid w:val="7B8414B2"/>
    <w:rsid w:val="7B896288"/>
    <w:rsid w:val="7B9B585B"/>
    <w:rsid w:val="7BA23C69"/>
    <w:rsid w:val="7BB51EF2"/>
    <w:rsid w:val="7BBA6099"/>
    <w:rsid w:val="7BBB5161"/>
    <w:rsid w:val="7BBC4E09"/>
    <w:rsid w:val="7BC11BFB"/>
    <w:rsid w:val="7BD1454E"/>
    <w:rsid w:val="7BD14D95"/>
    <w:rsid w:val="7BD34D19"/>
    <w:rsid w:val="7BEB3800"/>
    <w:rsid w:val="7C035163"/>
    <w:rsid w:val="7C0B3DB1"/>
    <w:rsid w:val="7C192DB2"/>
    <w:rsid w:val="7C1D7794"/>
    <w:rsid w:val="7C2F3340"/>
    <w:rsid w:val="7C321491"/>
    <w:rsid w:val="7C3D4512"/>
    <w:rsid w:val="7C3F595C"/>
    <w:rsid w:val="7C501917"/>
    <w:rsid w:val="7C650823"/>
    <w:rsid w:val="7C6E25C8"/>
    <w:rsid w:val="7C730367"/>
    <w:rsid w:val="7CAB4D9F"/>
    <w:rsid w:val="7CAD6D69"/>
    <w:rsid w:val="7CAF31F7"/>
    <w:rsid w:val="7CC77E2B"/>
    <w:rsid w:val="7CED53B8"/>
    <w:rsid w:val="7CF36E72"/>
    <w:rsid w:val="7CFB5D27"/>
    <w:rsid w:val="7CFF64A5"/>
    <w:rsid w:val="7D180687"/>
    <w:rsid w:val="7D1D3160"/>
    <w:rsid w:val="7D242E7E"/>
    <w:rsid w:val="7D6353C5"/>
    <w:rsid w:val="7D677AB7"/>
    <w:rsid w:val="7D864362"/>
    <w:rsid w:val="7D8E6B9B"/>
    <w:rsid w:val="7DC10D1E"/>
    <w:rsid w:val="7DC87CFA"/>
    <w:rsid w:val="7DDF61F2"/>
    <w:rsid w:val="7DE81ADB"/>
    <w:rsid w:val="7DF72FDB"/>
    <w:rsid w:val="7E064983"/>
    <w:rsid w:val="7E186464"/>
    <w:rsid w:val="7E1B0636"/>
    <w:rsid w:val="7E1D666F"/>
    <w:rsid w:val="7E1F3C97"/>
    <w:rsid w:val="7E372623"/>
    <w:rsid w:val="7E4C0500"/>
    <w:rsid w:val="7E6A36E6"/>
    <w:rsid w:val="7E747B3F"/>
    <w:rsid w:val="7E7C2950"/>
    <w:rsid w:val="7E9958A6"/>
    <w:rsid w:val="7EAA17B2"/>
    <w:rsid w:val="7EB74AC2"/>
    <w:rsid w:val="7EB77A2B"/>
    <w:rsid w:val="7EB96B62"/>
    <w:rsid w:val="7EC550D4"/>
    <w:rsid w:val="7ECD0781"/>
    <w:rsid w:val="7ECD74CA"/>
    <w:rsid w:val="7ECF2FC7"/>
    <w:rsid w:val="7ED44A81"/>
    <w:rsid w:val="7EE2275E"/>
    <w:rsid w:val="7EF94661"/>
    <w:rsid w:val="7EFC5D86"/>
    <w:rsid w:val="7F0B7D77"/>
    <w:rsid w:val="7F115112"/>
    <w:rsid w:val="7F1C2A22"/>
    <w:rsid w:val="7F2826D7"/>
    <w:rsid w:val="7F2F1CB8"/>
    <w:rsid w:val="7F3C10EB"/>
    <w:rsid w:val="7F3E6020"/>
    <w:rsid w:val="7F434318"/>
    <w:rsid w:val="7F4834BE"/>
    <w:rsid w:val="7F522778"/>
    <w:rsid w:val="7F5B2CBA"/>
    <w:rsid w:val="7F5C5679"/>
    <w:rsid w:val="7F645E05"/>
    <w:rsid w:val="7F771520"/>
    <w:rsid w:val="7F78365F"/>
    <w:rsid w:val="7F8F589D"/>
    <w:rsid w:val="7F927DE0"/>
    <w:rsid w:val="7FB43907"/>
    <w:rsid w:val="7FBB614D"/>
    <w:rsid w:val="7FC20EB5"/>
    <w:rsid w:val="7FC407E2"/>
    <w:rsid w:val="7FC71EF0"/>
    <w:rsid w:val="7FD5285F"/>
    <w:rsid w:val="7FE24F7C"/>
    <w:rsid w:val="7FE744F8"/>
    <w:rsid w:val="7FF64583"/>
    <w:rsid w:val="7FF802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Cambria" w:hAnsi="Cambria"/>
      <w:b/>
      <w:bCs/>
      <w:szCs w:val="28"/>
    </w:rPr>
  </w:style>
  <w:style w:type="paragraph" w:styleId="6">
    <w:name w:val="heading 6"/>
    <w:basedOn w:val="1"/>
    <w:next w:val="1"/>
    <w:semiHidden/>
    <w:unhideWhenUsed/>
    <w:qFormat/>
    <w:uiPriority w:val="0"/>
    <w:pPr>
      <w:spacing w:line="17" w:lineRule="atLeast"/>
      <w:jc w:val="left"/>
      <w:outlineLvl w:val="5"/>
    </w:pPr>
    <w:rPr>
      <w:rFonts w:hint="eastAsia" w:ascii="宋体" w:hAnsi="宋体"/>
      <w:b/>
      <w:kern w:val="0"/>
      <w:sz w:val="24"/>
      <w:szCs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qFormat/>
    <w:uiPriority w:val="0"/>
    <w:pPr>
      <w:ind w:firstLine="420"/>
    </w:pPr>
  </w:style>
  <w:style w:type="paragraph" w:styleId="8">
    <w:name w:val="toc 4"/>
    <w:basedOn w:val="1"/>
    <w:next w:val="1"/>
    <w:qFormat/>
    <w:uiPriority w:val="39"/>
    <w:pPr>
      <w:ind w:left="630"/>
      <w:jc w:val="left"/>
    </w:pPr>
    <w:rPr>
      <w:rFonts w:cs="Calibri"/>
      <w:sz w:val="18"/>
      <w:szCs w:val="18"/>
    </w:rPr>
  </w:style>
  <w:style w:type="paragraph" w:styleId="9">
    <w:name w:val="toa heading"/>
    <w:basedOn w:val="1"/>
    <w:next w:val="1"/>
    <w:qFormat/>
    <w:uiPriority w:val="0"/>
    <w:pPr>
      <w:spacing w:before="120"/>
    </w:pPr>
    <w:rPr>
      <w:rFonts w:ascii="Arial" w:hAnsi="Arial"/>
      <w:sz w:val="24"/>
    </w:rPr>
  </w:style>
  <w:style w:type="paragraph" w:styleId="10">
    <w:name w:val="Salutation"/>
    <w:basedOn w:val="1"/>
    <w:next w:val="1"/>
    <w:qFormat/>
    <w:uiPriority w:val="0"/>
  </w:style>
  <w:style w:type="paragraph" w:styleId="11">
    <w:name w:val="Body Text"/>
    <w:basedOn w:val="1"/>
    <w:next w:val="1"/>
    <w:qFormat/>
    <w:uiPriority w:val="0"/>
    <w:pPr>
      <w:spacing w:after="120"/>
    </w:pPr>
  </w:style>
  <w:style w:type="paragraph" w:styleId="12">
    <w:name w:val="Body Text Indent"/>
    <w:basedOn w:val="1"/>
    <w:next w:val="13"/>
    <w:qFormat/>
    <w:uiPriority w:val="0"/>
    <w:pPr>
      <w:widowControl/>
      <w:ind w:left="426" w:hanging="426" w:hangingChars="152"/>
      <w:jc w:val="left"/>
    </w:pPr>
    <w:rPr>
      <w:rFonts w:ascii="宋体"/>
      <w:kern w:val="0"/>
    </w:rPr>
  </w:style>
  <w:style w:type="paragraph" w:styleId="13">
    <w:name w:val="Body Text First Indent 2"/>
    <w:basedOn w:val="12"/>
    <w:qFormat/>
    <w:uiPriority w:val="0"/>
    <w:pPr>
      <w:ind w:firstLine="420" w:firstLineChars="200"/>
    </w:pPr>
  </w:style>
  <w:style w:type="paragraph" w:styleId="14">
    <w:name w:val="Plain Text"/>
    <w:basedOn w:val="1"/>
    <w:qFormat/>
    <w:uiPriority w:val="0"/>
    <w:rPr>
      <w:rFonts w:ascii="宋体" w:hAnsi="Courier New"/>
    </w:rPr>
  </w:style>
  <w:style w:type="paragraph" w:styleId="15">
    <w:name w:val="Date"/>
    <w:basedOn w:val="1"/>
    <w:next w:val="1"/>
    <w:link w:val="74"/>
    <w:qFormat/>
    <w:uiPriority w:val="0"/>
  </w:style>
  <w:style w:type="paragraph" w:styleId="16">
    <w:name w:val="Body Text Indent 2"/>
    <w:basedOn w:val="1"/>
    <w:next w:val="1"/>
    <w:qFormat/>
    <w:uiPriority w:val="0"/>
    <w:pPr>
      <w:spacing w:after="120" w:line="480" w:lineRule="auto"/>
      <w:ind w:left="420" w:leftChars="200"/>
    </w:pPr>
  </w:style>
  <w:style w:type="paragraph" w:styleId="17">
    <w:name w:val="footer"/>
    <w:basedOn w:val="1"/>
    <w:link w:val="72"/>
    <w:qFormat/>
    <w:uiPriority w:val="99"/>
    <w:pPr>
      <w:tabs>
        <w:tab w:val="center" w:pos="4153"/>
        <w:tab w:val="right" w:pos="8306"/>
      </w:tabs>
      <w:snapToGrid w:val="0"/>
      <w:jc w:val="left"/>
    </w:pPr>
    <w:rPr>
      <w:sz w:val="18"/>
      <w:szCs w:val="18"/>
    </w:rPr>
  </w:style>
  <w:style w:type="paragraph" w:styleId="18">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style>
  <w:style w:type="paragraph" w:styleId="20">
    <w:name w:val="Body Text Indent 3"/>
    <w:basedOn w:val="1"/>
    <w:qFormat/>
    <w:uiPriority w:val="0"/>
    <w:pPr>
      <w:spacing w:line="440" w:lineRule="exact"/>
      <w:ind w:firstLine="480" w:firstLineChars="200"/>
    </w:pPr>
    <w:rPr>
      <w:rFonts w:ascii="宋体" w:hAnsi="宋体"/>
      <w:color w:val="000000"/>
      <w:sz w:val="24"/>
    </w:rPr>
  </w:style>
  <w:style w:type="paragraph" w:styleId="21">
    <w:name w:val="Body Text 2"/>
    <w:basedOn w:val="1"/>
    <w:unhideWhenUsed/>
    <w:qFormat/>
    <w:uiPriority w:val="99"/>
    <w:rPr>
      <w:rFonts w:ascii="楷体_GB2312" w:hAnsi="Copperplate Gothic Bold" w:eastAsia="楷体_GB2312"/>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4">
    <w:name w:val="Body Text First Indent"/>
    <w:basedOn w:val="11"/>
    <w:next w:val="13"/>
    <w:qFormat/>
    <w:uiPriority w:val="0"/>
    <w:pPr>
      <w:ind w:firstLine="420" w:firstLineChars="100"/>
    </w:pPr>
    <w:rPr>
      <w:rFonts w:eastAsia="仿宋_GB2312"/>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page number"/>
    <w:basedOn w:val="27"/>
    <w:qFormat/>
    <w:uiPriority w:val="0"/>
  </w:style>
  <w:style w:type="character" w:styleId="30">
    <w:name w:val="FollowedHyperlink"/>
    <w:basedOn w:val="27"/>
    <w:qFormat/>
    <w:uiPriority w:val="0"/>
    <w:rPr>
      <w:color w:val="333333"/>
      <w:u w:val="none"/>
    </w:rPr>
  </w:style>
  <w:style w:type="character" w:styleId="31">
    <w:name w:val="Emphasis"/>
    <w:basedOn w:val="27"/>
    <w:qFormat/>
    <w:uiPriority w:val="0"/>
  </w:style>
  <w:style w:type="character" w:styleId="32">
    <w:name w:val="HTML Definition"/>
    <w:basedOn w:val="27"/>
    <w:qFormat/>
    <w:uiPriority w:val="0"/>
    <w:rPr>
      <w:i/>
      <w:iCs/>
    </w:rPr>
  </w:style>
  <w:style w:type="character" w:styleId="33">
    <w:name w:val="HTML Typewriter"/>
    <w:basedOn w:val="27"/>
    <w:qFormat/>
    <w:uiPriority w:val="0"/>
    <w:rPr>
      <w:rFonts w:hint="default" w:ascii="monospace" w:hAnsi="monospace" w:eastAsia="monospace" w:cs="monospace"/>
      <w:sz w:val="20"/>
    </w:rPr>
  </w:style>
  <w:style w:type="character" w:styleId="34">
    <w:name w:val="HTML Acronym"/>
    <w:basedOn w:val="27"/>
    <w:qFormat/>
    <w:uiPriority w:val="0"/>
    <w:rPr>
      <w:rFonts w:ascii="ActionIcon ! important" w:hAnsi="ActionIcon ! important" w:eastAsia="ActionIcon ! important" w:cs="ActionIcon ! important"/>
      <w:vanish/>
      <w:color w:val="3D4B62"/>
      <w:sz w:val="24"/>
      <w:szCs w:val="24"/>
    </w:rPr>
  </w:style>
  <w:style w:type="character" w:styleId="35">
    <w:name w:val="HTML Variable"/>
    <w:basedOn w:val="27"/>
    <w:qFormat/>
    <w:uiPriority w:val="0"/>
    <w:rPr>
      <w:sz w:val="0"/>
      <w:szCs w:val="0"/>
      <w:bdr w:val="single" w:color="auto" w:sz="2" w:space="0"/>
    </w:rPr>
  </w:style>
  <w:style w:type="character" w:styleId="36">
    <w:name w:val="Hyperlink"/>
    <w:basedOn w:val="27"/>
    <w:qFormat/>
    <w:uiPriority w:val="0"/>
    <w:rPr>
      <w:color w:val="0000FF"/>
      <w:u w:val="none"/>
    </w:rPr>
  </w:style>
  <w:style w:type="character" w:styleId="37">
    <w:name w:val="HTML Code"/>
    <w:basedOn w:val="27"/>
    <w:qFormat/>
    <w:uiPriority w:val="0"/>
    <w:rPr>
      <w:rFonts w:hint="default" w:ascii="Consolas" w:hAnsi="Consolas" w:eastAsia="Consolas" w:cs="Consolas"/>
      <w:color w:val="C7254E"/>
      <w:sz w:val="21"/>
      <w:szCs w:val="21"/>
      <w:shd w:val="clear" w:color="auto" w:fill="F9F2F4"/>
    </w:rPr>
  </w:style>
  <w:style w:type="character" w:styleId="38">
    <w:name w:val="HTML Cite"/>
    <w:basedOn w:val="27"/>
    <w:qFormat/>
    <w:uiPriority w:val="0"/>
  </w:style>
  <w:style w:type="character" w:styleId="39">
    <w:name w:val="HTML Keyboard"/>
    <w:basedOn w:val="27"/>
    <w:qFormat/>
    <w:uiPriority w:val="0"/>
    <w:rPr>
      <w:rFonts w:ascii="Consolas" w:hAnsi="Consolas" w:eastAsia="Consolas" w:cs="Consolas"/>
      <w:color w:val="FFFFFF"/>
      <w:sz w:val="21"/>
      <w:szCs w:val="21"/>
      <w:shd w:val="clear" w:color="auto" w:fill="333333"/>
    </w:rPr>
  </w:style>
  <w:style w:type="character" w:styleId="40">
    <w:name w:val="HTML Sample"/>
    <w:basedOn w:val="27"/>
    <w:qFormat/>
    <w:uiPriority w:val="0"/>
    <w:rPr>
      <w:rFonts w:hint="default" w:ascii="Consolas" w:hAnsi="Consolas" w:eastAsia="Consolas" w:cs="Consolas"/>
      <w:sz w:val="21"/>
      <w:szCs w:val="21"/>
    </w:rPr>
  </w:style>
  <w:style w:type="paragraph" w:customStyle="1" w:styleId="41">
    <w:name w:val="BodyText"/>
    <w:basedOn w:val="1"/>
    <w:next w:val="42"/>
    <w:qFormat/>
    <w:uiPriority w:val="0"/>
    <w:rPr>
      <w:rFonts w:cs="Calibri"/>
      <w:sz w:val="20"/>
    </w:rPr>
  </w:style>
  <w:style w:type="paragraph" w:customStyle="1" w:styleId="42">
    <w:name w:val="UserStyle_0"/>
    <w:basedOn w:val="1"/>
    <w:next w:val="43"/>
    <w:qFormat/>
    <w:uiPriority w:val="0"/>
    <w:pPr>
      <w:spacing w:line="300" w:lineRule="auto"/>
    </w:pPr>
    <w:rPr>
      <w:rFonts w:cs="Calibri"/>
      <w:szCs w:val="21"/>
    </w:rPr>
  </w:style>
  <w:style w:type="paragraph" w:customStyle="1" w:styleId="43">
    <w:name w:val="UserStyle_1"/>
    <w:basedOn w:val="44"/>
    <w:next w:val="1"/>
    <w:qFormat/>
    <w:uiPriority w:val="0"/>
    <w:pPr>
      <w:spacing w:before="120" w:line="360" w:lineRule="auto"/>
      <w:ind w:left="420" w:firstLine="527"/>
    </w:pPr>
    <w:rPr>
      <w:rFonts w:hAnsi="宋体"/>
      <w:sz w:val="24"/>
    </w:rPr>
  </w:style>
  <w:style w:type="paragraph" w:customStyle="1" w:styleId="44">
    <w:name w:val="NavPane"/>
    <w:basedOn w:val="1"/>
    <w:qFormat/>
    <w:uiPriority w:val="0"/>
    <w:pPr>
      <w:shd w:val="clear" w:color="auto" w:fill="000080"/>
    </w:pPr>
  </w:style>
  <w:style w:type="paragraph" w:customStyle="1" w:styleId="45">
    <w:name w:val="正文文本11"/>
    <w:basedOn w:val="1"/>
    <w:next w:val="1"/>
    <w:qFormat/>
    <w:uiPriority w:val="0"/>
    <w:pPr>
      <w:spacing w:before="34"/>
      <w:ind w:left="118"/>
    </w:pPr>
    <w:rPr>
      <w:rFonts w:ascii="宋体" w:hAnsi="宋体"/>
      <w:sz w:val="24"/>
      <w:szCs w:val="24"/>
    </w:rPr>
  </w:style>
  <w:style w:type="paragraph" w:styleId="46">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7">
    <w:name w:val="列出段落1"/>
    <w:basedOn w:val="1"/>
    <w:qFormat/>
    <w:uiPriority w:val="34"/>
    <w:pPr>
      <w:ind w:firstLine="420" w:firstLineChars="200"/>
      <w:jc w:val="left"/>
    </w:pPr>
    <w:rPr>
      <w:rFonts w:ascii="Times New Roman" w:hAnsi="Times New Roman"/>
      <w:szCs w:val="24"/>
    </w:rPr>
  </w:style>
  <w:style w:type="paragraph" w:customStyle="1" w:styleId="48">
    <w:name w:val="正文缩进1"/>
    <w:basedOn w:val="1"/>
    <w:qFormat/>
    <w:uiPriority w:val="0"/>
    <w:pPr>
      <w:ind w:firstLine="420" w:firstLineChars="200"/>
    </w:pPr>
  </w:style>
  <w:style w:type="paragraph" w:customStyle="1" w:styleId="49">
    <w:name w:val="09正文_wh"/>
    <w:qFormat/>
    <w:uiPriority w:val="0"/>
    <w:pPr>
      <w:spacing w:line="300" w:lineRule="auto"/>
      <w:ind w:firstLine="200" w:firstLineChars="200"/>
      <w:jc w:val="both"/>
    </w:pPr>
    <w:rPr>
      <w:rFonts w:ascii="Calibri" w:hAnsi="Calibri" w:eastAsia="宋体" w:cs="Times New Roman"/>
      <w:sz w:val="28"/>
      <w:szCs w:val="22"/>
      <w:lang w:val="en-US" w:eastAsia="zh-CN" w:bidi="ar-SA"/>
    </w:rPr>
  </w:style>
  <w:style w:type="paragraph" w:customStyle="1" w:styleId="50">
    <w:name w:val="xl48"/>
    <w:basedOn w:val="1"/>
    <w:qFormat/>
    <w:uiPriority w:val="0"/>
    <w:pPr>
      <w:widowControl/>
      <w:pBdr>
        <w:bottom w:val="single" w:color="auto" w:sz="4" w:space="0"/>
      </w:pBdr>
      <w:spacing w:before="100" w:beforeAutospacing="1" w:after="100" w:afterAutospacing="1"/>
      <w:jc w:val="center"/>
    </w:pPr>
    <w:rPr>
      <w:rFonts w:eastAsia="Arial Unicode MS"/>
      <w:kern w:val="0"/>
      <w:sz w:val="24"/>
      <w:szCs w:val="24"/>
    </w:rPr>
  </w:style>
  <w:style w:type="paragraph" w:customStyle="1" w:styleId="51">
    <w:name w:val="（符号）二标题总则"/>
    <w:basedOn w:val="1"/>
    <w:qFormat/>
    <w:uiPriority w:val="0"/>
    <w:pPr>
      <w:spacing w:beforeLines="100" w:line="500" w:lineRule="atLeast"/>
      <w:jc w:val="center"/>
      <w:outlineLvl w:val="1"/>
    </w:pPr>
    <w:rPr>
      <w:rFonts w:ascii="华文中宋" w:hAnsi="华文中宋" w:eastAsia="华文中宋"/>
      <w:b/>
      <w:bCs/>
      <w:sz w:val="32"/>
      <w:szCs w:val="32"/>
    </w:rPr>
  </w:style>
  <w:style w:type="paragraph" w:customStyle="1" w:styleId="5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53">
    <w:name w:val="(符号)四标题1.1"/>
    <w:basedOn w:val="1"/>
    <w:qFormat/>
    <w:uiPriority w:val="0"/>
    <w:pPr>
      <w:tabs>
        <w:tab w:val="left" w:pos="700"/>
      </w:tabs>
      <w:spacing w:line="500" w:lineRule="atLeast"/>
      <w:ind w:left="700" w:hanging="700"/>
    </w:pPr>
    <w:rPr>
      <w:rFonts w:ascii="宋体" w:hAnsi="宋体"/>
      <w:color w:val="000000"/>
      <w:kern w:val="0"/>
      <w:sz w:val="24"/>
    </w:rPr>
  </w:style>
  <w:style w:type="paragraph" w:customStyle="1" w:styleId="54">
    <w:name w:val="目录"/>
    <w:basedOn w:val="1"/>
    <w:qFormat/>
    <w:uiPriority w:val="0"/>
    <w:pPr>
      <w:widowControl/>
      <w:jc w:val="center"/>
    </w:pPr>
    <w:rPr>
      <w:rFonts w:ascii="宋体"/>
      <w:b/>
      <w:kern w:val="0"/>
      <w:sz w:val="36"/>
    </w:rPr>
  </w:style>
  <w:style w:type="paragraph" w:customStyle="1" w:styleId="55">
    <w:name w:val="目录文字"/>
    <w:basedOn w:val="1"/>
    <w:qFormat/>
    <w:uiPriority w:val="0"/>
    <w:pPr>
      <w:widowControl/>
      <w:spacing w:line="480" w:lineRule="auto"/>
      <w:jc w:val="left"/>
    </w:pPr>
    <w:rPr>
      <w:rFonts w:ascii="宋体" w:hAnsi="宋体"/>
      <w:kern w:val="0"/>
      <w:sz w:val="24"/>
    </w:rPr>
  </w:style>
  <w:style w:type="paragraph" w:customStyle="1" w:styleId="56">
    <w:name w:val="默认段落字体 Para Char Char Char Char"/>
    <w:basedOn w:val="1"/>
    <w:qFormat/>
    <w:uiPriority w:val="0"/>
  </w:style>
  <w:style w:type="paragraph" w:customStyle="1" w:styleId="57">
    <w:name w:val="p0"/>
    <w:basedOn w:val="1"/>
    <w:qFormat/>
    <w:uiPriority w:val="0"/>
    <w:pPr>
      <w:widowControl/>
    </w:pPr>
    <w:rPr>
      <w:kern w:val="0"/>
      <w:szCs w:val="21"/>
    </w:rPr>
  </w:style>
  <w:style w:type="paragraph" w:customStyle="1" w:styleId="58">
    <w:name w:val="列表段落1"/>
    <w:basedOn w:val="1"/>
    <w:qFormat/>
    <w:uiPriority w:val="0"/>
    <w:pPr>
      <w:ind w:firstLine="420" w:firstLineChars="200"/>
    </w:pPr>
    <w:rPr>
      <w:rFonts w:ascii="宋体"/>
      <w:kern w:val="0"/>
      <w:sz w:val="24"/>
    </w:rPr>
  </w:style>
  <w:style w:type="paragraph" w:customStyle="1" w:styleId="59">
    <w:name w:val="Table Paragraph"/>
    <w:basedOn w:val="1"/>
    <w:qFormat/>
    <w:uiPriority w:val="99"/>
    <w:pPr>
      <w:spacing w:before="13" w:line="192" w:lineRule="exact"/>
      <w:ind w:left="20"/>
      <w:jc w:val="center"/>
    </w:pPr>
    <w:rPr>
      <w:rFonts w:ascii="微软雅黑" w:hAnsi="微软雅黑" w:eastAsia="微软雅黑" w:cs="微软雅黑"/>
      <w:lang w:val="pt-PT" w:eastAsia="pt-PT"/>
    </w:rPr>
  </w:style>
  <w:style w:type="paragraph" w:customStyle="1" w:styleId="60">
    <w:name w:val="标书"/>
    <w:basedOn w:val="1"/>
    <w:qFormat/>
    <w:uiPriority w:val="0"/>
    <w:pPr>
      <w:shd w:val="clear" w:color="auto" w:fill="FFFFFF"/>
      <w:spacing w:line="360" w:lineRule="auto"/>
      <w:ind w:firstLine="480"/>
      <w:jc w:val="left"/>
    </w:pPr>
    <w:rPr>
      <w:rFonts w:ascii="宋体" w:hAnsi="宋体"/>
      <w:sz w:val="24"/>
      <w:shd w:val="clear" w:color="auto" w:fill="FFFFFF"/>
    </w:rPr>
  </w:style>
  <w:style w:type="paragraph" w:customStyle="1" w:styleId="61">
    <w:name w:val="表 靠左"/>
    <w:basedOn w:val="1"/>
    <w:qFormat/>
    <w:uiPriority w:val="0"/>
    <w:rPr>
      <w:rFonts w:ascii="宋体" w:hAnsi="宋体"/>
      <w:sz w:val="21"/>
      <w:szCs w:val="21"/>
    </w:rPr>
  </w:style>
  <w:style w:type="paragraph" w:customStyle="1" w:styleId="62">
    <w:name w:val="(符号)三标题1."/>
    <w:basedOn w:val="1"/>
    <w:qFormat/>
    <w:uiPriority w:val="0"/>
    <w:pPr>
      <w:tabs>
        <w:tab w:val="left" w:pos="420"/>
      </w:tabs>
      <w:spacing w:before="140" w:after="140" w:line="500" w:lineRule="atLeast"/>
      <w:ind w:left="430" w:hanging="430"/>
      <w:outlineLvl w:val="2"/>
    </w:pPr>
    <w:rPr>
      <w:rFonts w:ascii="楷体_GB2312" w:hAnsi="宋体" w:eastAsia="楷体_GB2312"/>
      <w:b/>
      <w:bCs/>
    </w:rPr>
  </w:style>
  <w:style w:type="paragraph" w:customStyle="1" w:styleId="63">
    <w:name w:val="xl36"/>
    <w:basedOn w:val="1"/>
    <w:qFormat/>
    <w:uiPriority w:val="0"/>
    <w:pPr>
      <w:widowControl/>
      <w:spacing w:before="100" w:after="100"/>
      <w:jc w:val="center"/>
    </w:pPr>
    <w:rPr>
      <w:rFonts w:hint="eastAsia" w:ascii="宋体" w:hAnsi="宋体"/>
      <w:kern w:val="0"/>
      <w:sz w:val="24"/>
    </w:rPr>
  </w:style>
  <w:style w:type="paragraph" w:customStyle="1" w:styleId="64">
    <w:name w:val="p15"/>
    <w:basedOn w:val="1"/>
    <w:qFormat/>
    <w:uiPriority w:val="99"/>
    <w:pPr>
      <w:widowControl/>
    </w:pPr>
    <w:rPr>
      <w:kern w:val="0"/>
      <w:szCs w:val="21"/>
    </w:rPr>
  </w:style>
  <w:style w:type="paragraph" w:customStyle="1" w:styleId="65">
    <w:name w:val="标题 11"/>
    <w:basedOn w:val="1"/>
    <w:qFormat/>
    <w:uiPriority w:val="0"/>
    <w:pPr>
      <w:autoSpaceDE w:val="0"/>
      <w:autoSpaceDN w:val="0"/>
      <w:adjustRightInd w:val="0"/>
      <w:ind w:left="1704"/>
      <w:jc w:val="left"/>
      <w:outlineLvl w:val="0"/>
    </w:pPr>
    <w:rPr>
      <w:rFonts w:ascii="黑体" w:eastAsia="黑体" w:cs="黑体"/>
      <w:b/>
      <w:bCs/>
      <w:kern w:val="0"/>
      <w:sz w:val="32"/>
      <w:szCs w:val="32"/>
    </w:rPr>
  </w:style>
  <w:style w:type="character" w:customStyle="1" w:styleId="66">
    <w:name w:val="font12"/>
    <w:basedOn w:val="27"/>
    <w:qFormat/>
    <w:uiPriority w:val="0"/>
    <w:rPr>
      <w:rFonts w:ascii="Calibri" w:hAnsi="Calibri" w:cs="Calibri"/>
      <w:color w:val="000000"/>
      <w:sz w:val="21"/>
      <w:szCs w:val="21"/>
      <w:u w:val="none"/>
    </w:rPr>
  </w:style>
  <w:style w:type="character" w:customStyle="1" w:styleId="67">
    <w:name w:val="font81"/>
    <w:basedOn w:val="27"/>
    <w:qFormat/>
    <w:uiPriority w:val="0"/>
    <w:rPr>
      <w:rFonts w:hint="eastAsia" w:ascii="宋体" w:hAnsi="宋体" w:eastAsia="宋体" w:cs="宋体"/>
      <w:color w:val="0070C0"/>
      <w:sz w:val="20"/>
      <w:szCs w:val="20"/>
      <w:u w:val="none"/>
    </w:rPr>
  </w:style>
  <w:style w:type="character" w:customStyle="1" w:styleId="68">
    <w:name w:val="font11"/>
    <w:qFormat/>
    <w:uiPriority w:val="0"/>
    <w:rPr>
      <w:rFonts w:hint="eastAsia" w:ascii="宋体" w:hAnsi="宋体" w:eastAsia="宋体" w:cs="宋体"/>
      <w:color w:val="000000"/>
      <w:sz w:val="24"/>
      <w:szCs w:val="24"/>
      <w:u w:val="none"/>
    </w:rPr>
  </w:style>
  <w:style w:type="character" w:customStyle="1" w:styleId="69">
    <w:name w:val="font41"/>
    <w:qFormat/>
    <w:uiPriority w:val="0"/>
    <w:rPr>
      <w:rFonts w:hint="eastAsia" w:ascii="仿宋" w:hAnsi="仿宋" w:eastAsia="仿宋" w:cs="仿宋"/>
      <w:color w:val="000000"/>
      <w:sz w:val="24"/>
      <w:szCs w:val="24"/>
      <w:u w:val="none"/>
    </w:rPr>
  </w:style>
  <w:style w:type="character" w:customStyle="1" w:styleId="70">
    <w:name w:val="font71"/>
    <w:qFormat/>
    <w:uiPriority w:val="0"/>
    <w:rPr>
      <w:rFonts w:hint="eastAsia" w:ascii="宋体" w:hAnsi="宋体" w:eastAsia="宋体" w:cs="宋体"/>
      <w:color w:val="000000"/>
      <w:sz w:val="20"/>
      <w:szCs w:val="20"/>
      <w:u w:val="none"/>
    </w:rPr>
  </w:style>
  <w:style w:type="character" w:customStyle="1" w:styleId="71">
    <w:name w:val="font131"/>
    <w:basedOn w:val="27"/>
    <w:qFormat/>
    <w:uiPriority w:val="0"/>
    <w:rPr>
      <w:rFonts w:hint="eastAsia" w:ascii="宋体" w:hAnsi="宋体" w:eastAsia="宋体" w:cs="宋体"/>
      <w:color w:val="000000"/>
      <w:sz w:val="20"/>
      <w:szCs w:val="20"/>
      <w:u w:val="none"/>
    </w:rPr>
  </w:style>
  <w:style w:type="character" w:customStyle="1" w:styleId="72">
    <w:name w:val="页脚 Char"/>
    <w:link w:val="17"/>
    <w:qFormat/>
    <w:uiPriority w:val="99"/>
    <w:rPr>
      <w:rFonts w:eastAsia="宋体"/>
      <w:kern w:val="2"/>
      <w:sz w:val="18"/>
      <w:szCs w:val="18"/>
      <w:lang w:val="en-US" w:eastAsia="zh-CN" w:bidi="ar-SA"/>
    </w:rPr>
  </w:style>
  <w:style w:type="character" w:customStyle="1" w:styleId="73">
    <w:name w:val="font31"/>
    <w:basedOn w:val="27"/>
    <w:qFormat/>
    <w:uiPriority w:val="0"/>
    <w:rPr>
      <w:rFonts w:hint="default" w:ascii="等线" w:hAnsi="等线" w:eastAsia="等线" w:cs="等线"/>
      <w:b/>
      <w:color w:val="000000"/>
      <w:sz w:val="20"/>
      <w:szCs w:val="20"/>
      <w:u w:val="none"/>
    </w:rPr>
  </w:style>
  <w:style w:type="character" w:customStyle="1" w:styleId="74">
    <w:name w:val="日期 Char"/>
    <w:link w:val="15"/>
    <w:qFormat/>
    <w:locked/>
    <w:uiPriority w:val="0"/>
    <w:rPr>
      <w:kern w:val="2"/>
      <w:sz w:val="28"/>
    </w:rPr>
  </w:style>
  <w:style w:type="character" w:customStyle="1" w:styleId="75">
    <w:name w:val="font51"/>
    <w:qFormat/>
    <w:uiPriority w:val="0"/>
    <w:rPr>
      <w:rFonts w:hint="eastAsia" w:ascii="宋体" w:hAnsi="宋体" w:eastAsia="宋体" w:cs="宋体"/>
      <w:color w:val="000000"/>
      <w:sz w:val="18"/>
      <w:szCs w:val="18"/>
      <w:u w:val="none"/>
    </w:rPr>
  </w:style>
  <w:style w:type="character" w:customStyle="1" w:styleId="76">
    <w:name w:val="font61"/>
    <w:qFormat/>
    <w:uiPriority w:val="0"/>
    <w:rPr>
      <w:rFonts w:hint="eastAsia" w:ascii="宋体" w:hAnsi="宋体" w:eastAsia="宋体" w:cs="宋体"/>
      <w:b/>
      <w:color w:val="000000"/>
      <w:sz w:val="28"/>
      <w:szCs w:val="28"/>
      <w:u w:val="none"/>
    </w:rPr>
  </w:style>
  <w:style w:type="character" w:customStyle="1" w:styleId="77">
    <w:name w:val="页眉 Char"/>
    <w:link w:val="18"/>
    <w:qFormat/>
    <w:uiPriority w:val="0"/>
    <w:rPr>
      <w:kern w:val="2"/>
      <w:sz w:val="18"/>
      <w:szCs w:val="18"/>
    </w:rPr>
  </w:style>
  <w:style w:type="character" w:customStyle="1" w:styleId="78">
    <w:name w:val="font141"/>
    <w:basedOn w:val="27"/>
    <w:qFormat/>
    <w:uiPriority w:val="0"/>
    <w:rPr>
      <w:rFonts w:hint="eastAsia" w:ascii="宋体" w:hAnsi="宋体" w:eastAsia="宋体" w:cs="宋体"/>
      <w:color w:val="FF0000"/>
      <w:sz w:val="20"/>
      <w:szCs w:val="20"/>
      <w:u w:val="none"/>
    </w:rPr>
  </w:style>
  <w:style w:type="character" w:customStyle="1" w:styleId="79">
    <w:name w:val="页码1"/>
    <w:basedOn w:val="27"/>
    <w:qFormat/>
    <w:uiPriority w:val="0"/>
  </w:style>
  <w:style w:type="character" w:customStyle="1" w:styleId="80">
    <w:name w:val="font01"/>
    <w:basedOn w:val="27"/>
    <w:qFormat/>
    <w:uiPriority w:val="0"/>
    <w:rPr>
      <w:rFonts w:hint="default" w:ascii="等线" w:hAnsi="等线" w:eastAsia="等线" w:cs="等线"/>
      <w:b/>
      <w:color w:val="FF0000"/>
      <w:sz w:val="20"/>
      <w:szCs w:val="20"/>
      <w:u w:val="none"/>
    </w:rPr>
  </w:style>
  <w:style w:type="paragraph" w:customStyle="1" w:styleId="81">
    <w:name w:val="12 Table Text"/>
    <w:basedOn w:val="1"/>
    <w:qFormat/>
    <w:uiPriority w:val="0"/>
    <w:pPr>
      <w:spacing w:beforeLines="10" w:afterLines="10"/>
      <w:jc w:val="left"/>
    </w:pPr>
    <w:rPr>
      <w:szCs w:val="24"/>
    </w:rPr>
  </w:style>
  <w:style w:type="character" w:customStyle="1" w:styleId="82">
    <w:name w:val="button"/>
    <w:basedOn w:val="27"/>
    <w:qFormat/>
    <w:uiPriority w:val="0"/>
  </w:style>
  <w:style w:type="character" w:customStyle="1" w:styleId="83">
    <w:name w:val="indent"/>
    <w:basedOn w:val="27"/>
    <w:qFormat/>
    <w:uiPriority w:val="0"/>
  </w:style>
  <w:style w:type="character" w:customStyle="1" w:styleId="84">
    <w:name w:val="old"/>
    <w:basedOn w:val="27"/>
    <w:qFormat/>
    <w:uiPriority w:val="0"/>
    <w:rPr>
      <w:color w:val="999999"/>
    </w:rPr>
  </w:style>
  <w:style w:type="character" w:customStyle="1" w:styleId="85">
    <w:name w:val="hour_am"/>
    <w:basedOn w:val="27"/>
    <w:qFormat/>
    <w:uiPriority w:val="0"/>
  </w:style>
  <w:style w:type="character" w:customStyle="1" w:styleId="86">
    <w:name w:val="hover3"/>
    <w:basedOn w:val="27"/>
    <w:qFormat/>
    <w:uiPriority w:val="0"/>
    <w:rPr>
      <w:shd w:val="clear" w:color="auto" w:fill="EEEEEE"/>
    </w:rPr>
  </w:style>
  <w:style w:type="character" w:customStyle="1" w:styleId="87">
    <w:name w:val="glyphicon4"/>
    <w:basedOn w:val="27"/>
    <w:qFormat/>
    <w:uiPriority w:val="0"/>
  </w:style>
  <w:style w:type="character" w:customStyle="1" w:styleId="88">
    <w:name w:val="hour_pm"/>
    <w:basedOn w:val="27"/>
    <w:qFormat/>
    <w:uiPriority w:val="0"/>
  </w:style>
  <w:style w:type="character" w:customStyle="1" w:styleId="89">
    <w:name w:val="tmpztreemove_arrow"/>
    <w:basedOn w:val="27"/>
    <w:qFormat/>
    <w:uiPriority w:val="0"/>
    <w:rPr>
      <w:shd w:val="clear" w:color="auto" w:fill="FFFFFF"/>
    </w:rPr>
  </w:style>
  <w:style w:type="character" w:customStyle="1" w:styleId="90">
    <w:name w:val="proollist"/>
    <w:basedOn w:val="27"/>
    <w:qFormat/>
    <w:uiPriority w:val="0"/>
  </w:style>
  <w:style w:type="character" w:customStyle="1" w:styleId="91">
    <w:name w:val="input-direction"/>
    <w:basedOn w:val="27"/>
    <w:qFormat/>
    <w:uiPriority w:val="0"/>
    <w:rPr>
      <w:color w:val="FF6600"/>
    </w:rPr>
  </w:style>
  <w:style w:type="character" w:customStyle="1" w:styleId="92">
    <w:name w:val="span-long"/>
    <w:basedOn w:val="27"/>
    <w:qFormat/>
    <w:uiPriority w:val="0"/>
  </w:style>
  <w:style w:type="character" w:customStyle="1" w:styleId="93">
    <w:name w:val="beforeinfotext"/>
    <w:basedOn w:val="27"/>
    <w:qFormat/>
    <w:uiPriority w:val="0"/>
    <w:rPr>
      <w:color w:val="666666"/>
    </w:rPr>
  </w:style>
  <w:style w:type="character" w:customStyle="1" w:styleId="94">
    <w:name w:val="phone"/>
    <w:basedOn w:val="27"/>
    <w:qFormat/>
    <w:uiPriority w:val="0"/>
    <w:rPr>
      <w:color w:val="FF8833"/>
      <w:sz w:val="18"/>
      <w:szCs w:val="18"/>
    </w:rPr>
  </w:style>
  <w:style w:type="character" w:customStyle="1" w:styleId="95">
    <w:name w:val="stclosebtn"/>
    <w:basedOn w:val="27"/>
    <w:qFormat/>
    <w:uiPriority w:val="0"/>
  </w:style>
  <w:style w:type="character" w:customStyle="1" w:styleId="96">
    <w:name w:val="number"/>
    <w:basedOn w:val="27"/>
    <w:qFormat/>
    <w:uiPriority w:val="0"/>
    <w:rPr>
      <w:color w:val="FF8833"/>
      <w:sz w:val="18"/>
      <w:szCs w:val="18"/>
    </w:rPr>
  </w:style>
  <w:style w:type="character" w:customStyle="1" w:styleId="97">
    <w:name w:val="hilite6"/>
    <w:basedOn w:val="27"/>
    <w:qFormat/>
    <w:uiPriority w:val="0"/>
    <w:rPr>
      <w:color w:val="FFFFFF"/>
      <w:shd w:val="clear" w:color="auto" w:fill="666677"/>
    </w:rPr>
  </w:style>
  <w:style w:type="character" w:customStyle="1" w:styleId="98">
    <w:name w:val="active6"/>
    <w:basedOn w:val="27"/>
    <w:qFormat/>
    <w:uiPriority w:val="0"/>
    <w:rPr>
      <w:color w:val="00FF00"/>
      <w:shd w:val="clear" w:color="auto" w:fill="000000"/>
    </w:rPr>
  </w:style>
  <w:style w:type="character" w:customStyle="1" w:styleId="99">
    <w:name w:val="hilite"/>
    <w:basedOn w:val="27"/>
    <w:qFormat/>
    <w:uiPriority w:val="0"/>
    <w:rPr>
      <w:color w:val="FFFFFF"/>
      <w:shd w:val="clear" w:color="auto" w:fill="666677"/>
    </w:rPr>
  </w:style>
  <w:style w:type="character" w:customStyle="1" w:styleId="100">
    <w:name w:val="button2"/>
    <w:basedOn w:val="27"/>
    <w:qFormat/>
    <w:uiPriority w:val="0"/>
  </w:style>
  <w:style w:type="character" w:customStyle="1" w:styleId="101">
    <w:name w:val="hilite5"/>
    <w:basedOn w:val="27"/>
    <w:qFormat/>
    <w:uiPriority w:val="0"/>
    <w:rPr>
      <w:color w:val="FFFFFF"/>
      <w:shd w:val="clear" w:color="auto" w:fill="666677"/>
    </w:rPr>
  </w:style>
  <w:style w:type="character" w:customStyle="1" w:styleId="102">
    <w:name w:val="active4"/>
    <w:basedOn w:val="27"/>
    <w:qFormat/>
    <w:uiPriority w:val="0"/>
    <w:rPr>
      <w:color w:val="00FF00"/>
      <w:shd w:val="clear" w:color="auto" w:fill="000000"/>
    </w:rPr>
  </w:style>
  <w:style w:type="character" w:customStyle="1" w:styleId="103">
    <w:name w:val="hilite4"/>
    <w:basedOn w:val="27"/>
    <w:qFormat/>
    <w:uiPriority w:val="0"/>
    <w:rPr>
      <w:color w:val="FFFFFF"/>
      <w:shd w:val="clear" w:color="auto" w:fill="666677"/>
    </w:rPr>
  </w:style>
  <w:style w:type="character" w:customStyle="1" w:styleId="104">
    <w:name w:val="active"/>
    <w:basedOn w:val="27"/>
    <w:qFormat/>
    <w:uiPriority w:val="0"/>
    <w:rPr>
      <w:color w:val="00FF00"/>
      <w:shd w:val="clear" w:color="auto" w:fill="000000"/>
    </w:rPr>
  </w:style>
  <w:style w:type="paragraph" w:customStyle="1" w:styleId="105">
    <w:name w:val="纯文本1"/>
    <w:basedOn w:val="1"/>
    <w:qFormat/>
    <w:uiPriority w:val="0"/>
    <w:rPr>
      <w:rFonts w:ascii="宋体" w:hAnsi="宋体" w:cs="Courier New"/>
      <w:szCs w:val="21"/>
    </w:rPr>
  </w:style>
  <w:style w:type="paragraph" w:customStyle="1" w:styleId="106">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07">
    <w:name w:val="List Paragraph1"/>
    <w:qFormat/>
    <w:uiPriority w:val="99"/>
    <w:pPr>
      <w:ind w:firstLine="420" w:firstLineChars="200"/>
    </w:pPr>
    <w:rPr>
      <w:rFonts w:ascii="Calibri" w:hAnsi="Calibri" w:eastAsia="宋体" w:cs="Times New Roman"/>
      <w:sz w:val="21"/>
      <w:szCs w:val="22"/>
      <w:lang w:val="en-US" w:eastAsia="zh-CN" w:bidi="ar-SA"/>
    </w:rPr>
  </w:style>
  <w:style w:type="paragraph" w:styleId="108">
    <w:name w:val="List Paragraph"/>
    <w:basedOn w:val="1"/>
    <w:qFormat/>
    <w:uiPriority w:val="34"/>
    <w:pPr>
      <w:ind w:firstLine="420" w:firstLineChars="200"/>
    </w:pPr>
    <w:rPr>
      <w:sz w:val="21"/>
    </w:rPr>
  </w:style>
  <w:style w:type="character" w:customStyle="1" w:styleId="109">
    <w:name w:val="mini-tree-nodetext3"/>
    <w:basedOn w:val="27"/>
    <w:qFormat/>
    <w:uiPriority w:val="0"/>
  </w:style>
  <w:style w:type="character" w:customStyle="1" w:styleId="110">
    <w:name w:val="mini-tree-nodetext2"/>
    <w:basedOn w:val="27"/>
    <w:qFormat/>
    <w:uiPriority w:val="0"/>
  </w:style>
  <w:style w:type="paragraph" w:customStyle="1" w:styleId="1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112">
    <w:name w:val="Table Normal"/>
    <w:semiHidden/>
    <w:unhideWhenUsed/>
    <w:qFormat/>
    <w:uiPriority w:val="0"/>
    <w:tblPr>
      <w:tblCellMar>
        <w:top w:w="0" w:type="dxa"/>
        <w:left w:w="0" w:type="dxa"/>
        <w:bottom w:w="0" w:type="dxa"/>
        <w:right w:w="0" w:type="dxa"/>
      </w:tblCellMar>
    </w:tblPr>
  </w:style>
  <w:style w:type="paragraph" w:customStyle="1" w:styleId="113">
    <w:name w:val="Normal_0"/>
    <w:qFormat/>
    <w:uiPriority w:val="0"/>
    <w:rPr>
      <w:rFonts w:ascii="Times New Roman" w:hAnsi="Times New Roman" w:eastAsia="Times New Roman" w:cs="Times New Roman"/>
      <w:sz w:val="24"/>
      <w:szCs w:val="24"/>
      <w:lang w:val="en-US" w:eastAsia="zh-CN" w:bidi="ar-SA"/>
    </w:rPr>
  </w:style>
  <w:style w:type="paragraph" w:customStyle="1" w:styleId="114">
    <w:name w:val="正文 New"/>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15">
    <w:name w:val="NormalCharacter"/>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3083"/>
    <customShpInfo spid="_x0000_s3084"/>
    <customShpInfo spid="_x0000_s3076"/>
    <customShpInfo spid="_x0000_s3074"/>
    <customShpInfo spid="_x0000_s3075"/>
    <customShpInfo spid="_x0000_s3079"/>
    <customShpInfo spid="_x0000_s3080"/>
    <customShpInfo spid="_x0000_s3082"/>
    <customShpInfo spid="_x0000_s3081"/>
    <customShpInfo spid="_x0000_s3073"/>
    <customShpInfo spid="_x0000_s3092"/>
    <customShpInfo spid="_x0000_s3091"/>
    <customShpInfo spid="_x0000_s2063"/>
    <customShpInfo spid="_x0000_s205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E9AFD1-2CF2-40A1-9059-4DEDAC0B9B4F}">
  <ds:schemaRefs/>
</ds:datastoreItem>
</file>

<file path=docProps/app.xml><?xml version="1.0" encoding="utf-8"?>
<Properties xmlns="http://schemas.openxmlformats.org/officeDocument/2006/extended-properties" xmlns:vt="http://schemas.openxmlformats.org/officeDocument/2006/docPropsVTypes">
  <Template>Normal</Template>
  <Company>ylmfeng.com</Company>
  <Pages>69</Pages>
  <Words>9006</Words>
  <Characters>10136</Characters>
  <Lines>234</Lines>
  <Paragraphs>65</Paragraphs>
  <TotalTime>80</TotalTime>
  <ScaleCrop>false</ScaleCrop>
  <LinksUpToDate>false</LinksUpToDate>
  <CharactersWithSpaces>10299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2025-06-16T06:14:00Z</dcterms:created>
  <dc:creator>MC SYSTEM</dc:creator>
  <cp:lastModifiedBy>WPS_1658106135</cp:lastModifiedBy>
  <cp:lastPrinted>2025-09-08T00:37:05Z</cp:lastPrinted>
  <dcterms:modified xsi:type="dcterms:W3CDTF">2025-09-08T00:39:19Z</dcterms:modified>
  <dc:title>政 府 采 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F7C3D392AAEA49F8A33AF0CA8E9D21F1</vt:lpwstr>
  </property>
  <property fmtid="{D5CDD505-2E9C-101B-9397-08002B2CF9AE}" pid="4" name="KSOTemplateDocerSaveRecord">
    <vt:lpwstr>eyJoZGlkIjoiMzBlOTRhNzY0ZmNjYWMzMDI4ZjUyMWQxY2I2YWY5YmIiLCJ1c2VySWQiOiIxMzg5MDA5NDczIn0=</vt:lpwstr>
  </property>
</Properties>
</file>