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483"/>
        <w:gridCol w:w="6227"/>
        <w:gridCol w:w="720"/>
        <w:gridCol w:w="650"/>
      </w:tblGrid>
      <w:tr w14:paraId="2B74A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4" w:space="0"/>
              <w:left w:val="single" w:color="auto" w:sz="4" w:space="0"/>
              <w:bottom w:val="single" w:color="auto" w:sz="8" w:space="0"/>
              <w:right w:val="single" w:color="auto" w:sz="8" w:space="0"/>
            </w:tcBorders>
            <w:noWrap w:val="0"/>
            <w:vAlign w:val="center"/>
          </w:tcPr>
          <w:p w14:paraId="257E47FF">
            <w:pPr>
              <w:widowControl/>
              <w:jc w:val="center"/>
              <w:rPr>
                <w:rFonts w:hint="eastAsia" w:ascii="宋体" w:hAnsi="宋体" w:eastAsia="宋体" w:cs="宋体"/>
                <w:b/>
                <w:bCs/>
                <w:color w:val="000000" w:themeColor="text1"/>
                <w:kern w:val="0"/>
                <w:sz w:val="21"/>
                <w:szCs w:val="21"/>
                <w14:textFill>
                  <w14:solidFill>
                    <w14:schemeClr w14:val="tx1"/>
                  </w14:solidFill>
                </w14:textFill>
              </w:rPr>
            </w:pPr>
            <w:bookmarkStart w:id="0" w:name="_Hlk203137394"/>
            <w:r>
              <w:rPr>
                <w:rFonts w:hint="eastAsia" w:ascii="宋体" w:hAnsi="宋体" w:eastAsia="宋体" w:cs="宋体"/>
                <w:b/>
                <w:bCs/>
                <w:color w:val="000000" w:themeColor="text1"/>
                <w:kern w:val="0"/>
                <w:sz w:val="21"/>
                <w:szCs w:val="21"/>
                <w:lang w:bidi="ar"/>
                <w14:textFill>
                  <w14:solidFill>
                    <w14:schemeClr w14:val="tx1"/>
                  </w14:solidFill>
                </w14:textFill>
              </w:rPr>
              <w:t>编号</w:t>
            </w:r>
            <w:bookmarkEnd w:id="0"/>
          </w:p>
        </w:tc>
        <w:tc>
          <w:tcPr>
            <w:tcW w:w="1483" w:type="dxa"/>
            <w:tcBorders>
              <w:top w:val="single" w:color="auto" w:sz="4" w:space="0"/>
              <w:left w:val="single" w:color="auto" w:sz="8" w:space="0"/>
              <w:bottom w:val="single" w:color="auto" w:sz="8" w:space="0"/>
              <w:right w:val="single" w:color="auto" w:sz="8" w:space="0"/>
            </w:tcBorders>
            <w:noWrap w:val="0"/>
            <w:vAlign w:val="center"/>
          </w:tcPr>
          <w:p w14:paraId="409E7496">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设备名称</w:t>
            </w:r>
          </w:p>
        </w:tc>
        <w:tc>
          <w:tcPr>
            <w:tcW w:w="6227" w:type="dxa"/>
            <w:tcBorders>
              <w:top w:val="single" w:color="auto" w:sz="4" w:space="0"/>
              <w:left w:val="single" w:color="auto" w:sz="8" w:space="0"/>
              <w:bottom w:val="single" w:color="auto" w:sz="8" w:space="0"/>
              <w:right w:val="single" w:color="auto" w:sz="8" w:space="0"/>
            </w:tcBorders>
            <w:noWrap w:val="0"/>
            <w:vAlign w:val="center"/>
          </w:tcPr>
          <w:p w14:paraId="5EE648D9">
            <w:pPr>
              <w:widowControl/>
              <w:jc w:val="center"/>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技术参数</w:t>
            </w:r>
            <w:r>
              <w:rPr>
                <w:rFonts w:hint="eastAsia" w:ascii="宋体" w:hAnsi="宋体" w:eastAsia="宋体" w:cs="宋体"/>
                <w:color w:val="000000" w:themeColor="text1"/>
                <w:sz w:val="21"/>
                <w:szCs w:val="21"/>
                <w:lang w:val="en-US" w:eastAsia="zh-CN"/>
                <w14:textFill>
                  <w14:solidFill>
                    <w14:schemeClr w14:val="tx1"/>
                  </w14:solidFill>
                </w14:textFill>
              </w:rPr>
              <w:t>要求</w:t>
            </w:r>
          </w:p>
        </w:tc>
        <w:tc>
          <w:tcPr>
            <w:tcW w:w="720" w:type="dxa"/>
            <w:tcBorders>
              <w:top w:val="single" w:color="auto" w:sz="4" w:space="0"/>
              <w:left w:val="single" w:color="auto" w:sz="8" w:space="0"/>
              <w:bottom w:val="single" w:color="auto" w:sz="8" w:space="0"/>
              <w:right w:val="single" w:color="auto" w:sz="4" w:space="0"/>
            </w:tcBorders>
            <w:noWrap w:val="0"/>
            <w:vAlign w:val="center"/>
          </w:tcPr>
          <w:p w14:paraId="791EA593">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数量</w:t>
            </w:r>
          </w:p>
        </w:tc>
        <w:tc>
          <w:tcPr>
            <w:tcW w:w="650" w:type="dxa"/>
            <w:tcBorders>
              <w:top w:val="single" w:color="auto" w:sz="4" w:space="0"/>
              <w:left w:val="single" w:color="auto" w:sz="8" w:space="0"/>
              <w:bottom w:val="single" w:color="auto" w:sz="8" w:space="0"/>
              <w:right w:val="single" w:color="auto" w:sz="4" w:space="0"/>
            </w:tcBorders>
            <w:noWrap w:val="0"/>
            <w:vAlign w:val="center"/>
          </w:tcPr>
          <w:p w14:paraId="27BBB947">
            <w:pPr>
              <w:widowControl/>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r>
      <w:tr w14:paraId="189D8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369798CE">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FDC2C28">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车牌识别高速摄像机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61B743F6">
            <w:pPr>
              <w:numPr>
                <w:ilvl w:val="0"/>
                <w:numId w:val="0"/>
              </w:numPr>
              <w:spacing w:line="4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高清卡口一体机主机</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≥500W像素、车牌识别仪、语音播报、控制卡、补光灯</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LED全彩屏</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屏幕具有防反光功能</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外观尺寸284*180*1213mm</w:t>
            </w:r>
            <w:r>
              <w:rPr>
                <w:rFonts w:hint="eastAsia" w:ascii="宋体" w:hAnsi="宋体" w:eastAsia="宋体" w:cs="宋体"/>
                <w:color w:val="000000" w:themeColor="text1"/>
                <w:kern w:val="0"/>
                <w:sz w:val="21"/>
                <w:szCs w:val="21"/>
                <w:lang w:eastAsia="zh-CN" w:bidi="ar"/>
                <w14:textFill>
                  <w14:solidFill>
                    <w14:schemeClr w14:val="tx1"/>
                  </w14:solidFill>
                </w14:textFill>
              </w:rPr>
              <w:t>。</w:t>
            </w:r>
          </w:p>
        </w:tc>
        <w:tc>
          <w:tcPr>
            <w:tcW w:w="720" w:type="dxa"/>
            <w:tcBorders>
              <w:top w:val="single" w:color="auto" w:sz="8" w:space="0"/>
              <w:left w:val="single" w:color="auto" w:sz="8" w:space="0"/>
              <w:bottom w:val="single" w:color="auto" w:sz="4" w:space="0"/>
              <w:right w:val="single" w:color="auto" w:sz="4" w:space="0"/>
            </w:tcBorders>
            <w:noWrap w:val="0"/>
            <w:vAlign w:val="center"/>
          </w:tcPr>
          <w:p w14:paraId="76AB6724">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50" w:type="dxa"/>
            <w:tcBorders>
              <w:top w:val="single" w:color="auto" w:sz="8" w:space="0"/>
              <w:left w:val="single" w:color="auto" w:sz="8" w:space="0"/>
              <w:bottom w:val="single" w:color="auto" w:sz="4" w:space="0"/>
              <w:right w:val="single" w:color="auto" w:sz="4" w:space="0"/>
            </w:tcBorders>
            <w:noWrap w:val="0"/>
            <w:vAlign w:val="center"/>
          </w:tcPr>
          <w:p w14:paraId="5A505B60">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台</w:t>
            </w:r>
          </w:p>
        </w:tc>
      </w:tr>
      <w:tr w14:paraId="253F5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8C8823D">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7E6AC67">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车辆道闸</w:t>
            </w:r>
          </w:p>
          <w:p w14:paraId="5CCCD9FD">
            <w:pPr>
              <w:widowControl/>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核心产品</w:t>
            </w:r>
            <w:r>
              <w:rPr>
                <w:rFonts w:hint="eastAsia" w:ascii="宋体" w:hAnsi="宋体" w:eastAsia="宋体" w:cs="宋体"/>
                <w:color w:val="000000" w:themeColor="text1"/>
                <w:kern w:val="0"/>
                <w:sz w:val="21"/>
                <w:szCs w:val="21"/>
                <w:lang w:eastAsia="zh-CN"/>
                <w14:textFill>
                  <w14:solidFill>
                    <w14:schemeClr w14:val="tx1"/>
                  </w14:solidFill>
                </w14:textFill>
              </w:rPr>
              <w:t>）</w:t>
            </w:r>
          </w:p>
        </w:tc>
        <w:tc>
          <w:tcPr>
            <w:tcW w:w="6227" w:type="dxa"/>
            <w:tcBorders>
              <w:top w:val="single" w:color="auto" w:sz="8" w:space="0"/>
              <w:left w:val="single" w:color="auto" w:sz="8" w:space="0"/>
              <w:bottom w:val="single" w:color="auto" w:sz="8" w:space="0"/>
              <w:right w:val="single" w:color="auto" w:sz="4" w:space="0"/>
            </w:tcBorders>
            <w:noWrap w:val="0"/>
            <w:vAlign w:val="center"/>
          </w:tcPr>
          <w:p w14:paraId="6D07AD9A">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1.直杆长度≤3.5m；</w:t>
            </w:r>
          </w:p>
          <w:p w14:paraId="39DF7EE8">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2.3D车检防砸：闸杆在下落过程中若接收到3D车检输入触发信号则立即抬杆，触发期间不会落杆，待红外线输入恢复后自动落杆（栅栏杆使用地感防砸）。</w:t>
            </w:r>
          </w:p>
          <w:p w14:paraId="53628667">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3.断电自动抬杆：设备断电时自动抬杆放行，保障车场畅通。</w:t>
            </w:r>
          </w:p>
          <w:p w14:paraId="14FD79DE">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4.电喷塑，防锈、不褪色，防尘防水等级符合室外设备 IP54 级别要求。</w:t>
            </w:r>
          </w:p>
          <w:p w14:paraId="7B56D3A7">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5.高性能减速电机，免维护，堵转时无电流冲击、具有过热自保护功能，能有效保护控制器，延长控制器使用寿命。</w:t>
            </w:r>
          </w:p>
          <w:p w14:paraId="3EC96D75">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6.道闸控制板需要内置高灵敏的</w:t>
            </w:r>
            <w:r>
              <w:rPr>
                <w:rFonts w:hint="eastAsia" w:ascii="宋体" w:hAnsi="宋体" w:eastAsia="宋体" w:cs="宋体"/>
                <w:color w:val="000000" w:themeColor="text1"/>
                <w:kern w:val="0"/>
                <w:sz w:val="21"/>
                <w:szCs w:val="21"/>
                <w:highlight w:val="none"/>
                <w:lang w:bidi="ar"/>
                <w14:textFill>
                  <w14:solidFill>
                    <w14:schemeClr w14:val="tx1"/>
                  </w14:solidFill>
                </w14:textFill>
              </w:rPr>
              <w:t>优先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升杆</w:t>
            </w:r>
            <w:r>
              <w:rPr>
                <w:rFonts w:hint="eastAsia" w:ascii="宋体" w:hAnsi="宋体" w:eastAsia="宋体" w:cs="宋体"/>
                <w:color w:val="000000" w:themeColor="text1"/>
                <w:kern w:val="0"/>
                <w:sz w:val="21"/>
                <w:szCs w:val="21"/>
                <w:lang w:bidi="ar"/>
                <w14:textFill>
                  <w14:solidFill>
                    <w14:schemeClr w14:val="tx1"/>
                  </w14:solidFill>
                </w14:textFill>
              </w:rPr>
              <w:t>和压力遇阻反弹功能，确保控制板集成了地感、红外防砸接口，或适配带压力波检测，以防砸杆。</w:t>
            </w:r>
          </w:p>
          <w:p w14:paraId="28C71995">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至少具</w:t>
            </w:r>
            <w:r>
              <w:rPr>
                <w:rFonts w:hint="eastAsia" w:ascii="宋体" w:hAnsi="宋体" w:eastAsia="宋体" w:cs="宋体"/>
                <w:color w:val="000000" w:themeColor="text1"/>
                <w:kern w:val="0"/>
                <w:sz w:val="21"/>
                <w:szCs w:val="21"/>
                <w:lang w:bidi="ar"/>
                <w14:textFill>
                  <w14:solidFill>
                    <w14:schemeClr w14:val="tx1"/>
                  </w14:solidFill>
                </w14:textFill>
              </w:rPr>
              <w:t>有座式遥控器、遥控手柄、RS485命令三种控制闸机升降的方式。</w:t>
            </w:r>
          </w:p>
          <w:p w14:paraId="6D494400">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8.物理防砸：闸杆配带有橡胶胶条或外层包裹泡沫珍珠棉，防止意外造成损失。</w:t>
            </w:r>
          </w:p>
          <w:p w14:paraId="6C037EEF">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9.遇阻反弹功能：闸杆在下落过程中遇到外力阻挡后立即抬杠，灵敏度高。</w:t>
            </w:r>
          </w:p>
          <w:p w14:paraId="3AC9253E">
            <w:pPr>
              <w:widowControl/>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bidi="ar"/>
                <w14:textFill>
                  <w14:solidFill>
                    <w14:schemeClr w14:val="tx1"/>
                  </w14:solidFill>
                </w14:textFill>
              </w:rPr>
              <w:t>.提供来源渠道合法证明文件（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noWrap w:val="0"/>
            <w:vAlign w:val="center"/>
          </w:tcPr>
          <w:p w14:paraId="02900FB0">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50" w:type="dxa"/>
            <w:tcBorders>
              <w:top w:val="single" w:color="auto" w:sz="4" w:space="0"/>
              <w:left w:val="nil"/>
              <w:bottom w:val="single" w:color="auto" w:sz="4" w:space="0"/>
              <w:right w:val="single" w:color="auto" w:sz="4" w:space="0"/>
            </w:tcBorders>
            <w:noWrap w:val="0"/>
            <w:vAlign w:val="center"/>
          </w:tcPr>
          <w:p w14:paraId="53BC4E7B">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台</w:t>
            </w:r>
          </w:p>
        </w:tc>
      </w:tr>
      <w:tr w14:paraId="6E733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444FC64">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F8B3D64">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管理软件</w:t>
            </w:r>
          </w:p>
        </w:tc>
        <w:tc>
          <w:tcPr>
            <w:tcW w:w="6227" w:type="dxa"/>
            <w:tcBorders>
              <w:top w:val="single" w:color="auto" w:sz="8" w:space="0"/>
              <w:left w:val="single" w:color="auto" w:sz="8" w:space="0"/>
              <w:bottom w:val="single" w:color="auto" w:sz="8" w:space="0"/>
              <w:right w:val="single" w:color="auto" w:sz="4" w:space="0"/>
            </w:tcBorders>
            <w:noWrap w:val="0"/>
            <w:vAlign w:val="center"/>
          </w:tcPr>
          <w:p w14:paraId="3A421764">
            <w:pPr>
              <w:widowControl/>
              <w:spacing w:line="44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满足与学校现有管理系统（机动车辆办证平台）无缝对接。</w:t>
            </w:r>
          </w:p>
        </w:tc>
        <w:tc>
          <w:tcPr>
            <w:tcW w:w="720" w:type="dxa"/>
            <w:tcBorders>
              <w:top w:val="single" w:color="auto" w:sz="4" w:space="0"/>
              <w:left w:val="nil"/>
              <w:bottom w:val="single" w:color="auto" w:sz="4" w:space="0"/>
              <w:right w:val="single" w:color="auto" w:sz="4" w:space="0"/>
            </w:tcBorders>
            <w:noWrap w:val="0"/>
            <w:vAlign w:val="center"/>
          </w:tcPr>
          <w:p w14:paraId="4FB9132A">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50" w:type="dxa"/>
            <w:tcBorders>
              <w:top w:val="single" w:color="auto" w:sz="4" w:space="0"/>
              <w:left w:val="nil"/>
              <w:bottom w:val="single" w:color="auto" w:sz="4" w:space="0"/>
              <w:right w:val="single" w:color="auto" w:sz="4" w:space="0"/>
            </w:tcBorders>
            <w:noWrap w:val="0"/>
            <w:vAlign w:val="center"/>
          </w:tcPr>
          <w:p w14:paraId="4EB5E08B">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r>
      <w:tr w14:paraId="1214C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31517DB">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6D3FCC80">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管理服务器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0339964">
            <w:pPr>
              <w:widowControl/>
              <w:numPr>
                <w:ilvl w:val="0"/>
                <w:numId w:val="0"/>
              </w:num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运行安全可靠稳定</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61688B79">
            <w:pPr>
              <w:widowControl/>
              <w:spacing w:line="4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数据处理快</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性能高</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5B8CE395">
            <w:pPr>
              <w:widowControl/>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软件集成度高</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1AA38215">
            <w:pPr>
              <w:widowControl/>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系统软件支持远程自动升级</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B9DD02A">
            <w:pPr>
              <w:widowControl/>
              <w:spacing w:line="440" w:lineRule="exac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外观小巧</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使用方便快捷</w:t>
            </w:r>
            <w:r>
              <w:rPr>
                <w:rFonts w:hint="eastAsia" w:ascii="宋体" w:hAnsi="宋体" w:eastAsia="宋体" w:cs="宋体"/>
                <w:color w:val="000000" w:themeColor="text1"/>
                <w:kern w:val="0"/>
                <w:sz w:val="21"/>
                <w:szCs w:val="21"/>
                <w:lang w:eastAsia="zh-CN"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2DCCD37B">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1286298">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台</w:t>
            </w:r>
          </w:p>
        </w:tc>
      </w:tr>
      <w:tr w14:paraId="74A75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C2F5747">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368317A">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车辆检测器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6A6B1B">
            <w:pPr>
              <w:numPr>
                <w:ilvl w:val="0"/>
                <w:numId w:val="0"/>
              </w:num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具备自动调节电感量功能</w:t>
            </w:r>
            <w:r>
              <w:rPr>
                <w:rFonts w:hint="eastAsia" w:ascii="宋体" w:hAnsi="宋体" w:eastAsia="宋体" w:cs="宋体"/>
                <w:color w:val="000000" w:themeColor="text1"/>
                <w:sz w:val="21"/>
                <w:szCs w:val="21"/>
                <w:lang w:eastAsia="zh-CN" w:bidi="ar"/>
                <w14:textFill>
                  <w14:solidFill>
                    <w14:schemeClr w14:val="tx1"/>
                  </w14:solidFill>
                </w14:textFill>
              </w:rPr>
              <w:t>。</w:t>
            </w:r>
          </w:p>
          <w:p w14:paraId="58B9F528">
            <w:pPr>
              <w:numPr>
                <w:ilvl w:val="0"/>
                <w:numId w:val="0"/>
              </w:num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2</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灵敏度四级可调</w:t>
            </w:r>
            <w:r>
              <w:rPr>
                <w:rFonts w:hint="eastAsia" w:ascii="宋体" w:hAnsi="宋体" w:eastAsia="宋体" w:cs="宋体"/>
                <w:color w:val="000000" w:themeColor="text1"/>
                <w:sz w:val="21"/>
                <w:szCs w:val="21"/>
                <w:lang w:eastAsia="zh-CN" w:bidi="ar"/>
                <w14:textFill>
                  <w14:solidFill>
                    <w14:schemeClr w14:val="tx1"/>
                  </w14:solidFill>
                </w14:textFill>
              </w:rPr>
              <w:t>。</w:t>
            </w:r>
          </w:p>
          <w:p w14:paraId="7A416819">
            <w:pPr>
              <w:numPr>
                <w:ilvl w:val="0"/>
                <w:numId w:val="0"/>
              </w:num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3</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存在继电器开关可选</w:t>
            </w:r>
            <w:r>
              <w:rPr>
                <w:rFonts w:hint="eastAsia" w:ascii="宋体" w:hAnsi="宋体" w:eastAsia="宋体" w:cs="宋体"/>
                <w:color w:val="000000" w:themeColor="text1"/>
                <w:sz w:val="21"/>
                <w:szCs w:val="21"/>
                <w:lang w:eastAsia="zh-CN" w:bidi="ar"/>
                <w14:textFill>
                  <w14:solidFill>
                    <w14:schemeClr w14:val="tx1"/>
                  </w14:solidFill>
                </w14:textFill>
              </w:rPr>
              <w:t>。</w:t>
            </w:r>
          </w:p>
          <w:p w14:paraId="5245C2F0">
            <w:pPr>
              <w:spacing w:line="4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脉冲继电器时间可选</w:t>
            </w:r>
            <w:r>
              <w:rPr>
                <w:rFonts w:hint="eastAsia" w:ascii="宋体" w:hAnsi="宋体" w:eastAsia="宋体" w:cs="宋体"/>
                <w:color w:val="000000" w:themeColor="text1"/>
                <w:sz w:val="21"/>
                <w:szCs w:val="21"/>
                <w:lang w:eastAsia="zh-CN" w:bidi="ar"/>
                <w14:textFill>
                  <w14:solidFill>
                    <w14:schemeClr w14:val="tx1"/>
                  </w14:solidFill>
                </w14:textFill>
              </w:rPr>
              <w:t>。</w:t>
            </w:r>
          </w:p>
          <w:p w14:paraId="2C378F3F">
            <w:p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脉冲输出持续时间 ：≤150毫秒</w:t>
            </w:r>
            <w:r>
              <w:rPr>
                <w:rFonts w:hint="eastAsia" w:ascii="宋体" w:hAnsi="宋体" w:eastAsia="宋体" w:cs="宋体"/>
                <w:color w:val="000000" w:themeColor="text1"/>
                <w:sz w:val="21"/>
                <w:szCs w:val="21"/>
                <w:lang w:eastAsia="zh-CN" w:bidi="ar"/>
                <w14:textFill>
                  <w14:solidFill>
                    <w14:schemeClr w14:val="tx1"/>
                  </w14:solidFill>
                </w14:textFill>
              </w:rPr>
              <w:t>。</w:t>
            </w:r>
          </w:p>
          <w:p w14:paraId="012B87DF">
            <w:p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6</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响应时间： ≤100毫秒</w:t>
            </w:r>
            <w:r>
              <w:rPr>
                <w:rFonts w:hint="eastAsia" w:ascii="宋体" w:hAnsi="宋体" w:eastAsia="宋体" w:cs="宋体"/>
                <w:color w:val="000000" w:themeColor="text1"/>
                <w:sz w:val="21"/>
                <w:szCs w:val="21"/>
                <w:lang w:eastAsia="zh-CN" w:bidi="ar"/>
                <w14:textFill>
                  <w14:solidFill>
                    <w14:schemeClr w14:val="tx1"/>
                  </w14:solidFill>
                </w14:textFill>
              </w:rPr>
              <w:t>。</w:t>
            </w:r>
          </w:p>
          <w:p w14:paraId="6EE983C3">
            <w:p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7</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具有复位开关</w:t>
            </w:r>
            <w:r>
              <w:rPr>
                <w:rFonts w:hint="eastAsia" w:ascii="宋体" w:hAnsi="宋体" w:eastAsia="宋体" w:cs="宋体"/>
                <w:color w:val="000000" w:themeColor="text1"/>
                <w:sz w:val="21"/>
                <w:szCs w:val="21"/>
                <w:lang w:eastAsia="zh-CN" w:bidi="ar"/>
                <w14:textFill>
                  <w14:solidFill>
                    <w14:schemeClr w14:val="tx1"/>
                  </w14:solidFill>
                </w14:textFill>
              </w:rPr>
              <w:t>。</w:t>
            </w:r>
          </w:p>
          <w:p w14:paraId="39F65A8A">
            <w:pPr>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8</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工作电压：230V AC ±15% ( 48至60Hz ）</w:t>
            </w:r>
            <w:r>
              <w:rPr>
                <w:rFonts w:hint="eastAsia" w:ascii="宋体" w:hAnsi="宋体" w:eastAsia="宋体" w:cs="宋体"/>
                <w:color w:val="000000" w:themeColor="text1"/>
                <w:sz w:val="21"/>
                <w:szCs w:val="21"/>
                <w:lang w:eastAsia="zh-CN" w:bidi="ar"/>
                <w14:textFill>
                  <w14:solidFill>
                    <w14:schemeClr w14:val="tx1"/>
                  </w14:solidFill>
                </w14:textFill>
              </w:rPr>
              <w:t>。</w:t>
            </w:r>
          </w:p>
          <w:p w14:paraId="3E3519F4">
            <w:pPr>
              <w:spacing w:line="4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9</w:t>
            </w:r>
            <w:r>
              <w:rPr>
                <w:rFonts w:hint="eastAsia" w:ascii="宋体" w:hAnsi="宋体" w:eastAsia="宋体" w:cs="宋体"/>
                <w:color w:val="000000" w:themeColor="text1"/>
                <w:sz w:val="21"/>
                <w:szCs w:val="21"/>
                <w:lang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工作温度：</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-40℃至+80℃</w:t>
            </w:r>
            <w:r>
              <w:rPr>
                <w:rFonts w:hint="eastAsia" w:ascii="宋体" w:hAnsi="宋体" w:eastAsia="宋体" w:cs="宋体"/>
                <w:color w:val="000000" w:themeColor="text1"/>
                <w:sz w:val="21"/>
                <w:szCs w:val="21"/>
                <w:lang w:eastAsia="zh-CN"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78E3CAC7">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E85F095">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台</w:t>
            </w:r>
          </w:p>
        </w:tc>
      </w:tr>
      <w:tr w14:paraId="17A22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5A0D504">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583AA32">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道闸杆</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9BF3D7">
            <w:pPr>
              <w:spacing w:line="440" w:lineRule="exac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根据</w:t>
            </w:r>
            <w:r>
              <w:rPr>
                <w:rFonts w:hint="eastAsia" w:ascii="宋体" w:hAnsi="宋体" w:eastAsia="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kern w:val="0"/>
                <w:sz w:val="21"/>
                <w:szCs w:val="21"/>
                <w:lang w:bidi="ar"/>
                <w14:textFill>
                  <w14:solidFill>
                    <w14:schemeClr w14:val="tx1"/>
                  </w14:solidFill>
                </w14:textFill>
              </w:rPr>
              <w:t>现场实际要求选配</w:t>
            </w:r>
            <w:r>
              <w:rPr>
                <w:rFonts w:hint="eastAsia" w:ascii="宋体" w:hAnsi="宋体" w:eastAsia="宋体" w:cs="宋体"/>
                <w:color w:val="000000" w:themeColor="text1"/>
                <w:kern w:val="0"/>
                <w:sz w:val="21"/>
                <w:szCs w:val="21"/>
                <w:lang w:eastAsia="zh-CN"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6D9B0E1E">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2F5B6DBD">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根</w:t>
            </w:r>
          </w:p>
        </w:tc>
      </w:tr>
      <w:tr w14:paraId="7D1E5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0611CDE">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305DFAB">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地感线圈</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B2C3197">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1.为防止砸车事故，在道闸的车辆出入口，须敷设地感线圈，用于</w:t>
            </w:r>
          </w:p>
          <w:p w14:paraId="04F2FCFB">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检测道闸下方有无车辆。</w:t>
            </w:r>
          </w:p>
          <w:p w14:paraId="4B9C06E5">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bidi="ar"/>
                <w14:textFill>
                  <w14:solidFill>
                    <w14:schemeClr w14:val="tx1"/>
                  </w14:solidFill>
                </w14:textFill>
              </w:rPr>
              <w:t>地感线圈材质满足：耐腐蚀、抗油、抗强酸、抗强碱、强氧化剂</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5332E345">
            <w:pPr>
              <w:widowControl/>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bidi="ar"/>
                <w14:textFill>
                  <w14:solidFill>
                    <w14:schemeClr w14:val="tx1"/>
                  </w14:solidFill>
                </w14:textFill>
              </w:rPr>
              <w:t>地感线圈性能满足：良好缘性能、耐高电压、不吸潮、绝缘电阻大；具备耐燃、耐老化、使用寿命长。</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113653F">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37EBE70E">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r>
      <w:tr w14:paraId="66F54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176FA6F">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7A37E728">
            <w:pPr>
              <w:widowControl/>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行人闸机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AE1668E">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1.闸机采用箱体材质：SUS304拉丝不锈钢；顶盖不锈钢板材厚度应≥1.2mm，机箱不锈钢板材厚度应≥1.0mm。</w:t>
            </w:r>
          </w:p>
          <w:p w14:paraId="33B63EDA">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2.闸机为摆闸箱体，每个通道雷达检测数量</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6个。</w:t>
            </w:r>
          </w:p>
          <w:p w14:paraId="1B1940A6">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3.应支持门翼开/关门速度</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0.5s～1.5s 10档可调，支持延时关门，延时时长</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0s～10s可调。</w:t>
            </w:r>
          </w:p>
          <w:p w14:paraId="473B08E8">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4.需配置刷卡、刷码模块。</w:t>
            </w:r>
          </w:p>
          <w:p w14:paraId="29172893">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5.驱动电机：直流无刷电机。</w:t>
            </w:r>
          </w:p>
          <w:p w14:paraId="69F11904">
            <w:pPr>
              <w:spacing w:line="440" w:lineRule="exact"/>
              <w:jc w:val="left"/>
              <w:rPr>
                <w:rFonts w:hint="eastAsia" w:ascii="宋体" w:hAnsi="宋体" w:eastAsia="宋体" w:cs="宋体"/>
                <w:b w:val="0"/>
                <w:bCs w:val="0"/>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6.正常使用寿命：≥1100万次。</w:t>
            </w:r>
          </w:p>
          <w:p w14:paraId="3DEF9E61">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7.通行速度：≥40人次/分钟。</w:t>
            </w:r>
          </w:p>
          <w:p w14:paraId="3260AEB9">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8通道宽度：≥600mm。</w:t>
            </w:r>
          </w:p>
          <w:p w14:paraId="1688AD30">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9.工作环境：室外，外壳防护等级应达到IP54的要求。</w:t>
            </w:r>
          </w:p>
          <w:p w14:paraId="70315CF5">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10.闸机通道应具有消防联动接口，当消防信号触发时，门翼处于常开状态，当消防联动信号恢复时，门翼将自动复位。</w:t>
            </w:r>
          </w:p>
          <w:p w14:paraId="0A1C0A71">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11.设备支持语音播报各类异常通行事件如尾随、反向通行、翻越等。</w:t>
            </w:r>
          </w:p>
          <w:p w14:paraId="16EBB00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12.设备应同时支持电流防夹（机械防夹）和激光雷达防夹两种模式。</w:t>
            </w:r>
          </w:p>
          <w:p w14:paraId="1832A685">
            <w:pPr>
              <w:numPr>
                <w:ilvl w:val="0"/>
                <w:numId w:val="0"/>
              </w:num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r>
              <w:rPr>
                <w:rFonts w:hint="eastAsia" w:ascii="宋体" w:hAnsi="宋体" w:eastAsia="宋体" w:cs="宋体"/>
                <w:color w:val="000000" w:themeColor="text1"/>
                <w:kern w:val="0"/>
                <w:sz w:val="21"/>
                <w:szCs w:val="21"/>
                <w:lang w:bidi="ar"/>
                <w14:textFill>
                  <w14:solidFill>
                    <w14:schemeClr w14:val="tx1"/>
                  </w14:solidFill>
                </w14:textFill>
              </w:rPr>
              <w:t>设备应支持仅使用一根网线实现一组通道主从闸机的同步与网络通讯。</w:t>
            </w:r>
          </w:p>
          <w:p w14:paraId="37F0A125">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14.设备应支持单侧通道独立使用，具有雷达探测防夹功能、防尾随功能、雷达探测识别开门功能。</w:t>
            </w:r>
          </w:p>
          <w:p w14:paraId="4660518C">
            <w:pPr>
              <w:spacing w:line="440" w:lineRule="exact"/>
              <w:jc w:val="left"/>
              <w:rPr>
                <w:rFonts w:hint="eastAsia" w:ascii="宋体" w:hAnsi="宋体" w:eastAsia="宋体" w:cs="宋体"/>
                <w:b/>
                <w:bCs/>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设备支持通过管理软件和交互终端对通道实现远程开门、关门、常开、常闭、解除常开、解除常闭等功能。交互终端应能实时监控设备的运行状态</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53EDEB8D">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w:t>
            </w:r>
            <w:r>
              <w:rPr>
                <w:rFonts w:hint="eastAsia" w:ascii="宋体" w:hAnsi="宋体" w:eastAsia="宋体" w:cs="宋体"/>
                <w:color w:val="000000" w:themeColor="text1"/>
                <w:kern w:val="0"/>
                <w:sz w:val="21"/>
                <w:szCs w:val="21"/>
                <w:lang w:bidi="ar"/>
                <w14:textFill>
                  <w14:solidFill>
                    <w14:schemeClr w14:val="tx1"/>
                  </w14:solidFill>
                </w14:textFill>
              </w:rPr>
              <w:t>提供标准的硬件SDK开发文档，满足第三方平台硬件直接接入管理的需要。</w:t>
            </w:r>
          </w:p>
          <w:p w14:paraId="0FA69CDE">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7</w:t>
            </w:r>
            <w:r>
              <w:rPr>
                <w:rFonts w:hint="eastAsia" w:ascii="宋体" w:hAnsi="宋体" w:eastAsia="宋体" w:cs="宋体"/>
                <w:color w:val="000000" w:themeColor="text1"/>
                <w:kern w:val="0"/>
                <w:sz w:val="21"/>
                <w:szCs w:val="21"/>
                <w:lang w:bidi="ar"/>
                <w14:textFill>
                  <w14:solidFill>
                    <w14:schemeClr w14:val="tx1"/>
                  </w14:solidFill>
                </w14:textFill>
              </w:rPr>
              <w:t>.能够与学校现有人脸识别道闸管理系统无缝对接。</w:t>
            </w:r>
          </w:p>
          <w:p w14:paraId="6A8B8F95">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r>
              <w:rPr>
                <w:rFonts w:hint="eastAsia" w:ascii="宋体" w:hAnsi="宋体" w:eastAsia="宋体" w:cs="宋体"/>
                <w:color w:val="000000" w:themeColor="text1"/>
                <w:kern w:val="0"/>
                <w:sz w:val="21"/>
                <w:szCs w:val="21"/>
                <w:lang w:bidi="ar"/>
                <w14:textFill>
                  <w14:solidFill>
                    <w14:schemeClr w14:val="tx1"/>
                  </w14:solidFill>
                </w14:textFill>
              </w:rPr>
              <w:t>.提供来源渠道合法证明文件（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E2D8545">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3F445BF9">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r>
      <w:tr w14:paraId="7793A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306A52B5">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FFE1625">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非机动车闸机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5F38BCC5">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闸机采用箱体材质：SUS304拉丝不锈钢；顶盖不锈钢板材厚度应≥1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2mm</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机箱不锈钢板材厚度应≥1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0mm</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0D43223">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闸机为摆闸箱体</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每个通道雷达检测数量</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6个</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2F86228C">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应支持门翼开/关门速度</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5s～1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5s 10档可调</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支持延时关门</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延时时长</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0s～10s可调</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07FA6D6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支持拓展刷卡、刷码、人脸识别等功能</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5F22BC2E">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驱动电机：直流无刷电机</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2E02953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正常使用寿命：≥1100万次</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53E34AF">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通行速度：≥40人次/分钟</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3E7C689D">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8通道宽度：</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1400mm</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5D46055F">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工作环境：室外</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39F7F66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闸机通道应具有消防联动接口</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当消防信号触发时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门翼处于常开状态</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当消防联动信号恢复时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门翼将自动复位</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07AE8DC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设备支持语音播报各类异常通行事件如尾随、反向通行、翻越等</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1B5978C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12</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设备应同时支持电流防夹（机械防夹）和激光雷达防夹两种模式</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48677A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设备应支持仅使用一根网线实现一组通道主从闸机的同步与网络通讯</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B7CFB40">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14</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设备应支持单侧通道独立使用</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具有雷达探测防夹功能、防尾随功能、雷达探测识别开门功能</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622ADBF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提供标准的硬件SDK开发文档</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满足第三方平台硬件直接接入管理的需要</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13EEA0C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能够与学校现有非机动车管理系统无缝对接</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3C1969FD">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17</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本套包含一组单通道闸机</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包含门翼、单通道闸机、遥控器</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5D1E249">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r>
              <w:rPr>
                <w:rFonts w:hint="eastAsia" w:ascii="宋体" w:hAnsi="宋体" w:eastAsia="宋体" w:cs="宋体"/>
                <w:color w:val="000000" w:themeColor="text1"/>
                <w:kern w:val="0"/>
                <w:sz w:val="21"/>
                <w:szCs w:val="21"/>
                <w:lang w:bidi="ar"/>
                <w14:textFill>
                  <w14:solidFill>
                    <w14:schemeClr w14:val="tx1"/>
                  </w14:solidFill>
                </w14:textFill>
              </w:rPr>
              <w:t>.提供来源渠道合法证明文件（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0074B0E">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2385F6C8">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r>
      <w:tr w14:paraId="2E658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2"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12B067BC">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049A22B">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人脸识别设备</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104BF06F">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具有</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7英寸的触控屏幕</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分辨率</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600*1024</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66FD2096">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操作系统：嵌入式Linux操作系统</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2E41AB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支持最大人像数据存储量</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5万、卡存储量</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5万</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2E12519">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支持人脸识别、戴口罩识别</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2FC9C926">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支持网口</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继电器输出</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韦根输出</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RS485接口1个USB</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喇叭扬声器</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Wi-Fi</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C6C232A">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人脸识别平均响应时间</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2秒</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0BCECE4">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静态人脸识别通过率</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99%</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1C9F44CA">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防护等级</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IP65</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6BAD0078">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配置双目摄像头</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红外和可见光摄像头</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200万像素</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3CD8C08D">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前端机人脸库仅存储人像特征值</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不允许存储人像信息</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2A844ECA">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支持活体检测</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判断影像中的人像是活体而非其他非真人影像</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有效防止恶意攻击</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包括屏幕视频、打印照片、面具等攻击</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A2FF57C">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设备支持黑名单功能</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本地</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50000个人脸黑名单比对</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支持本地黑名单事件信息上传平台</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有授权人员和未授权陌生人刷脸时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设备支持抓拍图片并实时上传平台</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068B85CF">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13</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设备支持防拆报警、门被外力开启报警、胁迫卡和胁迫密码报警、黑名单报警等</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2536D85">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14</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在线状态下将设备认证结果及联动抓拍照片实时上传给平台</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支持断网续传功能</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设备离线状态下产生事件在与平台连接后会重新上传</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10D6DFDC">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配套人员通道支架、遮阳罩</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744C2765">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16.提供来源渠道合法证明文件（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38438A3D">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57A13F94">
            <w:pPr>
              <w:widowControl/>
              <w:jc w:val="center"/>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套</w:t>
            </w:r>
          </w:p>
        </w:tc>
      </w:tr>
      <w:tr w14:paraId="75C13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3D64FBB">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0630C33">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800万测速一体机（含</w:t>
            </w:r>
          </w:p>
          <w:p w14:paraId="5437B1F4">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摄像机和雷达）</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D3EC13B">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1.内置专业AI智能算法，支持实时输出目标的结构化信息，结构化信息包括车牌号、车牌颜色、车辆类型、车辆颜色、速度、车道号等</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1/1.8"CMOS，视频和抓拍图片分辨率支持</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3840×2160像素，融合高精度毫米波雷达与深度学习相机单元，从结构、场景、采集方式到数据信息等多维度深度融合。</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支持目标轨迹跟踪和显示，可在web端展示目标轨迹，支持实时输出检测目标的经纬度信息，支持联动屏幕，实时显示车牌号、车速值。</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满足</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bidi="ar"/>
                <w14:textFill>
                  <w14:solidFill>
                    <w14:schemeClr w14:val="tx1"/>
                  </w14:solidFill>
                </w14:textFill>
              </w:rPr>
              <w:t>车道256个目标轨迹跟踪，可对交通目标进行轨迹跟踪监测</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支持强光抑制、宽动态、3D降噪，并具有多种白平衡模式，适合各种场景需要。</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内置流量统计功能，可实现过车流量，平均速度，车头时距和间距，时间占有率和空间占有率等数据统计，交通拥堵上报，道路状态监测；雷达检测到的车流量与实际过车样本数误差</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7</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供电方式支持DC36V电源接入。</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8</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集成</w:t>
            </w:r>
            <w:r>
              <w:rPr>
                <w:rFonts w:hint="eastAsia" w:ascii="宋体" w:hAnsi="宋体" w:eastAsia="宋体" w:cs="宋体"/>
                <w:color w:val="000000" w:themeColor="text1"/>
                <w:kern w:val="0"/>
                <w:sz w:val="21"/>
                <w:szCs w:val="21"/>
                <w:lang w:val="en-US" w:eastAsia="zh-CN" w:bidi="ar"/>
                <w14:textFill>
                  <w14:solidFill>
                    <w14:schemeClr w14:val="tx1"/>
                  </w14:solidFill>
                </w14:textFill>
              </w:rPr>
              <w:t>双网口</w:t>
            </w:r>
            <w:r>
              <w:rPr>
                <w:rFonts w:hint="eastAsia" w:ascii="宋体" w:hAnsi="宋体" w:eastAsia="宋体" w:cs="宋体"/>
                <w:color w:val="000000" w:themeColor="text1"/>
                <w:kern w:val="0"/>
                <w:sz w:val="21"/>
                <w:szCs w:val="21"/>
                <w:lang w:bidi="ar"/>
                <w14:textFill>
                  <w14:solidFill>
                    <w14:schemeClr w14:val="tx1"/>
                  </w14:solidFill>
                </w14:textFill>
              </w:rPr>
              <w:t>数据传输方式，方便</w:t>
            </w:r>
            <w:r>
              <w:rPr>
                <w:rFonts w:hint="eastAsia" w:ascii="宋体" w:hAnsi="宋体" w:eastAsia="宋体" w:cs="宋体"/>
                <w:color w:val="000000" w:themeColor="text1"/>
                <w:kern w:val="0"/>
                <w:sz w:val="21"/>
                <w:szCs w:val="21"/>
                <w:lang w:eastAsia="zh-CN" w:bidi="ar"/>
                <w14:textFill>
                  <w14:solidFill>
                    <w14:schemeClr w14:val="tx1"/>
                  </w14:solidFill>
                </w14:textFill>
              </w:rPr>
              <w:t>使用者</w:t>
            </w:r>
            <w:r>
              <w:rPr>
                <w:rFonts w:hint="eastAsia" w:ascii="宋体" w:hAnsi="宋体" w:eastAsia="宋体" w:cs="宋体"/>
                <w:color w:val="000000" w:themeColor="text1"/>
                <w:kern w:val="0"/>
                <w:sz w:val="21"/>
                <w:szCs w:val="21"/>
                <w:lang w:bidi="ar"/>
                <w14:textFill>
                  <w14:solidFill>
                    <w14:schemeClr w14:val="tx1"/>
                  </w14:solidFill>
                </w14:textFill>
              </w:rPr>
              <w:t>使用。</w:t>
            </w:r>
          </w:p>
          <w:p w14:paraId="5B87C61B">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支持对单车道的平均速度进行统计，在（-3km/h）的误差范围内，经过检测区域的平均速度统计准确率≥99%。</w:t>
            </w:r>
          </w:p>
          <w:p w14:paraId="31A58E2E">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支持区分距离≤0.5m的相邻交通目标。</w:t>
            </w:r>
          </w:p>
          <w:p w14:paraId="46FE19C1">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支持雷达检测和视频检测结果坐标融合，支持手动标定，自动标定</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4E433664">
            <w:pPr>
              <w:numPr>
                <w:ilvl w:val="0"/>
                <w:numId w:val="0"/>
              </w:num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w:t>
            </w:r>
            <w:r>
              <w:rPr>
                <w:rFonts w:hint="eastAsia" w:ascii="宋体" w:hAnsi="宋体" w:eastAsia="宋体" w:cs="宋体"/>
                <w:color w:val="000000" w:themeColor="text1"/>
                <w:kern w:val="0"/>
                <w:sz w:val="21"/>
                <w:szCs w:val="21"/>
                <w:lang w:bidi="ar"/>
                <w14:textFill>
                  <w14:solidFill>
                    <w14:schemeClr w14:val="tx1"/>
                  </w14:solidFill>
                </w14:textFill>
              </w:rPr>
              <w:t>提供配套的安装支架、电源。</w:t>
            </w:r>
          </w:p>
          <w:p w14:paraId="1D616064">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r>
              <w:rPr>
                <w:rFonts w:hint="eastAsia" w:ascii="宋体" w:hAnsi="宋体" w:eastAsia="宋体" w:cs="宋体"/>
                <w:color w:val="000000" w:themeColor="text1"/>
                <w:kern w:val="0"/>
                <w:sz w:val="21"/>
                <w:szCs w:val="21"/>
                <w:lang w:bidi="ar"/>
                <w14:textFill>
                  <w14:solidFill>
                    <w14:schemeClr w14:val="tx1"/>
                  </w14:solidFill>
                </w14:textFill>
              </w:rPr>
              <w:t>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33335CD3">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56CE76C">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个</w:t>
            </w:r>
          </w:p>
        </w:tc>
      </w:tr>
      <w:tr w14:paraId="48C21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47BE506">
            <w:pPr>
              <w:widowControl/>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2AF39A53">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柱装支架</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63D16D37">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1.尺寸：安装杆件直径范围60~300mm</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2.默认周长范围：340~950mm</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3.钢带数目：≥3</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461937FC">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0B3C925">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套</w:t>
            </w:r>
          </w:p>
        </w:tc>
      </w:tr>
      <w:tr w14:paraId="39767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2E74EF2">
            <w:pPr>
              <w:widowControl/>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5CE8C03">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LED常亮灯</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BD436FF">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1.光源类型：高性能LED。</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2.采用≥16颗高亮LED。</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3.支持环境亮度检测，低照度下自动开启。</w:t>
            </w:r>
          </w:p>
          <w:p w14:paraId="674E9D64">
            <w:pPr>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4.支持通过相机远程控制亮度等级，控制补光灯点亮和熄灭。</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5.防护等级≥IP66。</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6.支持串口485和相机亮度可调亮度。</w:t>
            </w:r>
          </w:p>
          <w:p w14:paraId="7DB08DFF">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7.响应时间：≤20us</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D5C2A2B">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66AE7291">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台</w:t>
            </w:r>
          </w:p>
        </w:tc>
      </w:tr>
      <w:tr w14:paraId="7EEF6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60ED3E6F">
            <w:pPr>
              <w:widowControl/>
              <w:jc w:val="center"/>
              <w:rPr>
                <w:rFonts w:hint="eastAsia" w:ascii="宋体" w:hAnsi="宋体" w:eastAsia="宋体" w:cs="宋体"/>
                <w:color w:val="000000" w:themeColor="text1"/>
                <w:kern w:val="0"/>
                <w:sz w:val="21"/>
                <w:szCs w:val="21"/>
                <w:lang w:val="en-US"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BB3E597">
            <w:pPr>
              <w:widowControl/>
              <w:spacing w:line="440" w:lineRule="exact"/>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交通信息发布屏</w:t>
            </w:r>
            <w:r>
              <w:rPr>
                <w:rFonts w:hint="eastAsia" w:ascii="宋体" w:hAnsi="宋体" w:eastAsia="宋体" w:cs="宋体"/>
                <w:color w:val="000000" w:themeColor="text1"/>
                <w:sz w:val="21"/>
                <w:szCs w:val="21"/>
                <w:lang w:val="en-US" w:eastAsia="zh-CN" w:bidi="ar"/>
                <w14:textFill>
                  <w14:solidFill>
                    <w14:schemeClr w14:val="tx1"/>
                  </w14:solidFill>
                </w14:textFill>
              </w:rPr>
              <w:t>/车速提醒牌</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4988ED51">
            <w:pPr>
              <w:widowControl/>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外壳材质：铝板折边、表面喷塑贴反光膜。限速帖尺寸符合国标；</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当车辆超速时，显示红色车速；车辆未超速时，显示绿色车速；</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显示屏LED亮度：红</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5000 cd/㎡；黄</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5000 cd/㎡ ；绿</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5000 cd/㎡</w:t>
            </w:r>
            <w:r>
              <w:rPr>
                <w:rFonts w:hint="eastAsia" w:ascii="宋体" w:hAnsi="宋体" w:eastAsia="宋体" w:cs="宋体"/>
                <w:color w:val="000000" w:themeColor="text1"/>
                <w:kern w:val="0"/>
                <w:sz w:val="21"/>
                <w:szCs w:val="21"/>
                <w:lang w:eastAsia="zh-CN" w:bidi="ar"/>
                <w14:textFill>
                  <w14:solidFill>
                    <w14:schemeClr w14:val="tx1"/>
                  </w14:solidFill>
                </w14:textFill>
              </w:rPr>
              <w:t>。</w:t>
            </w:r>
          </w:p>
          <w:p w14:paraId="35989990">
            <w:p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LED可视角度：水平：≥110°±10°，垂直：≥60°±10°</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LED寿命：≥100000小时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工作温度：≥-30℃~70℃。</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防护等级≥IP53。</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1BCB7E4">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7DDC3358">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块</w:t>
            </w:r>
          </w:p>
        </w:tc>
      </w:tr>
      <w:tr w14:paraId="54A98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0E30F50D">
            <w:pPr>
              <w:widowControl/>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15</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45BF1D2">
            <w:pPr>
              <w:widowControl/>
              <w:spacing w:line="440" w:lineRule="exact"/>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智能终端管理盒</w:t>
            </w:r>
            <w:r>
              <w:rPr>
                <w:rFonts w:hint="eastAsia" w:ascii="宋体" w:hAnsi="宋体" w:eastAsia="宋体" w:cs="宋体"/>
                <w:color w:val="000000" w:themeColor="text1"/>
                <w:sz w:val="21"/>
                <w:szCs w:val="21"/>
                <w:lang w:val="en-US" w:eastAsia="zh-CN" w:bidi="ar"/>
                <w14:textFill>
                  <w14:solidFill>
                    <w14:schemeClr w14:val="tx1"/>
                  </w14:solidFill>
                </w14:textFill>
              </w:rPr>
              <w:t>/服务器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9533E45">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可接入≥12路网络摄像机进行视音频存储、图片存储与上传。</w:t>
            </w:r>
          </w:p>
          <w:p w14:paraId="1283BB27">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可配置多种字符叠加、图片合成模式。</w:t>
            </w:r>
          </w:p>
          <w:p w14:paraId="0E7972E1">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配置≥2TB硬盘存储，图片与录像可设置配额；</w:t>
            </w:r>
          </w:p>
          <w:p w14:paraId="676F0BFF">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支持对通行车辆的信息（记录和图片、录像）存储；</w:t>
            </w:r>
          </w:p>
          <w:p w14:paraId="5D563C27">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对于在记录过程中出现的系统死机或意外故障，设备能够在规定的时间内自动恢复其正常工作状态并使故障前的信息不丢失。</w:t>
            </w:r>
          </w:p>
          <w:p w14:paraId="119615E9">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设备内的录像、图片文件无法直接删除或者修改，只能通过循环覆盖和硬盘格式化操作。</w:t>
            </w:r>
          </w:p>
          <w:p w14:paraId="07D178C0">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08FC4D4B">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设备具有≥8个10M/100M/1000M自适应RJ45接口、2个1000M SFP光口。</w:t>
            </w:r>
          </w:p>
          <w:p w14:paraId="7B87A789">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9</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不少于1路报警输入、1路报警输出，2个RS232串口、1个RS485,1个USB2.0 。</w:t>
            </w:r>
          </w:p>
          <w:p w14:paraId="7F67D6B7">
            <w:pPr>
              <w:widowControl/>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bidi="ar"/>
                <w14:textFill>
                  <w14:solidFill>
                    <w14:schemeClr w14:val="tx1"/>
                  </w14:solidFill>
                </w14:textFill>
              </w:rPr>
              <w:t>提供来源渠道合法证明文件（</w:t>
            </w:r>
            <w:r>
              <w:rPr>
                <w:rFonts w:hint="eastAsia" w:ascii="宋体" w:hAnsi="宋体" w:eastAsia="宋体" w:cs="宋体"/>
                <w:color w:val="000000" w:themeColor="text1"/>
                <w:kern w:val="0"/>
                <w:sz w:val="21"/>
                <w:szCs w:val="21"/>
                <w:lang w:eastAsia="zh-CN" w:bidi="ar"/>
                <w14:textFill>
                  <w14:solidFill>
                    <w14:schemeClr w14:val="tx1"/>
                  </w14:solidFill>
                </w14:textFill>
              </w:rPr>
              <w:t>不限于销售协议或代理协议或原厂授权或检测报告等</w:t>
            </w:r>
            <w:r>
              <w:rPr>
                <w:rFonts w:hint="eastAsia" w:ascii="宋体" w:hAnsi="宋体" w:eastAsia="宋体" w:cs="宋体"/>
                <w:color w:val="000000" w:themeColor="text1"/>
                <w:kern w:val="0"/>
                <w:sz w:val="21"/>
                <w:szCs w:val="21"/>
                <w:lang w:bidi="ar"/>
                <w14:textFill>
                  <w14:solidFill>
                    <w14:schemeClr w14:val="tx1"/>
                  </w14:solidFill>
                </w14:textFill>
              </w:rPr>
              <w:t>）。</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517B803">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09BBF192">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个</w:t>
            </w:r>
          </w:p>
        </w:tc>
      </w:tr>
      <w:tr w14:paraId="4F6DA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E9D895D">
            <w:pPr>
              <w:widowControl/>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6</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07441B23">
            <w:pPr>
              <w:widowControl/>
              <w:spacing w:line="440" w:lineRule="exact"/>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八棱杆测速立杆（含设备箱、地笼等配件）</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BE37EC0">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立杆规格：立杆高度</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6.5米，横臂：</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11米。</w:t>
            </w:r>
          </w:p>
          <w:p w14:paraId="19F4954B">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主杆规格：</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340mm～280mm-8mm。</w:t>
            </w:r>
          </w:p>
          <w:p w14:paraId="37DCCD22">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横杆规格：</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240mm～100mm-5mm。</w:t>
            </w:r>
          </w:p>
          <w:p w14:paraId="5BD2D5B9">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底法兰规格：</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600*600*20mm。</w:t>
            </w:r>
          </w:p>
          <w:p w14:paraId="610C08E7">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上法兰规格：</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 xml:space="preserve">380*380*18mm*2块。 </w:t>
            </w:r>
          </w:p>
          <w:p w14:paraId="743B0E25">
            <w:pPr>
              <w:widowControl/>
              <w:spacing w:line="4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含设备箱、地笼等配件</w:t>
            </w:r>
            <w:r>
              <w:rPr>
                <w:rFonts w:hint="eastAsia" w:ascii="宋体" w:hAnsi="宋体" w:eastAsia="宋体" w:cs="宋体"/>
                <w:color w:val="000000" w:themeColor="text1"/>
                <w:sz w:val="21"/>
                <w:szCs w:val="21"/>
                <w:lang w:bidi="ar"/>
                <w14:textFill>
                  <w14:solidFill>
                    <w14:schemeClr w14:val="tx1"/>
                  </w14:solidFill>
                </w14:textFill>
              </w:rPr>
              <w:t>、基础开挖、浇筑、工程车立杆安装等</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22A19373">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644A09BD">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套</w:t>
            </w:r>
          </w:p>
        </w:tc>
      </w:tr>
      <w:tr w14:paraId="1CEA0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5CD6DD74">
            <w:pPr>
              <w:widowControl/>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7</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7EF92F15">
            <w:pPr>
              <w:widowControl/>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光纤收发器</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256965A8">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lang w:bidi="ar"/>
                <w14:textFill>
                  <w14:solidFill>
                    <w14:schemeClr w14:val="tx1"/>
                  </w14:solidFill>
                </w14:textFill>
              </w:rPr>
              <w:t>独立台式，内置电源，</w:t>
            </w:r>
            <w:r>
              <w:rPr>
                <w:rFonts w:hint="eastAsia" w:ascii="宋体" w:hAnsi="宋体" w:eastAsia="宋体" w:cs="宋体"/>
                <w:color w:val="000000" w:themeColor="text1"/>
                <w:kern w:val="0"/>
                <w:sz w:val="21"/>
                <w:szCs w:val="21"/>
                <w:lang w:bidi="ar"/>
                <w14:textFill>
                  <w14:solidFill>
                    <w14:schemeClr w14:val="tx1"/>
                  </w14:solidFill>
                </w14:textFill>
              </w:rPr>
              <w:t>支持10/100/1000M传输，接口支持单模双纤以太网光纤收发器</w:t>
            </w:r>
            <w:r>
              <w:rPr>
                <w:rFonts w:hint="eastAsia" w:ascii="宋体" w:hAnsi="宋体" w:eastAsia="宋体" w:cs="宋体"/>
                <w:color w:val="000000" w:themeColor="text1"/>
                <w:sz w:val="21"/>
                <w:szCs w:val="21"/>
                <w:lang w:bidi="ar"/>
                <w14:textFill>
                  <w14:solidFill>
                    <w14:schemeClr w14:val="tx1"/>
                  </w14:solidFill>
                </w14:textFill>
              </w:rPr>
              <w:t>。</w:t>
            </w:r>
          </w:p>
          <w:p w14:paraId="41F3BFA9">
            <w:pPr>
              <w:widowControl/>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bidi="ar"/>
                <w14:textFill>
                  <w14:solidFill>
                    <w14:schemeClr w14:val="tx1"/>
                  </w14:solidFill>
                </w14:textFill>
              </w:rPr>
              <w:t>不少于RJ45接口。</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D161216">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7</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0BE877D8">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对</w:t>
            </w:r>
          </w:p>
        </w:tc>
      </w:tr>
      <w:tr w14:paraId="08DA2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289CC5C7">
            <w:pPr>
              <w:widowControl/>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8</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1B950F3A">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1光8电千兆交换机（含千兆光模块）</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700BC976">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交换容量：</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20Gbps，包转发率：</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14.88Mpps；</w:t>
            </w:r>
          </w:p>
          <w:p w14:paraId="1CA36E80">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接口：</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8</w:t>
            </w:r>
            <w:r>
              <w:rPr>
                <w:rFonts w:hint="eastAsia" w:ascii="宋体" w:hAnsi="宋体" w:eastAsia="宋体" w:cs="宋体"/>
                <w:color w:val="000000" w:themeColor="text1"/>
                <w:kern w:val="0"/>
                <w:sz w:val="21"/>
                <w:szCs w:val="21"/>
                <w:lang w:bidi="ar"/>
                <w14:textFill>
                  <w14:solidFill>
                    <w14:schemeClr w14:val="tx1"/>
                  </w14:solidFill>
                </w14:textFill>
              </w:rPr>
              <w:t>个10/100/1000Mbps自适应电口，1个SFP千兆光口；</w:t>
            </w:r>
          </w:p>
          <w:p w14:paraId="5BD3BEC1">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支持广播风暴抑制、MAC地址过滤、端口限速等功能，支持APP管理交换机；</w:t>
            </w:r>
          </w:p>
          <w:p w14:paraId="292BEC83">
            <w:pPr>
              <w:widowControl/>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4.含光口使用的千兆光模块；</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296584E">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7</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145BB423">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台</w:t>
            </w:r>
          </w:p>
        </w:tc>
      </w:tr>
      <w:tr w14:paraId="30D52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67B7A72">
            <w:pPr>
              <w:widowControl/>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19</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4D44759D">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管理计算机</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0036908A">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处理器：</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I5-12400同性能处理器；</w:t>
            </w:r>
          </w:p>
          <w:p w14:paraId="690A92D8">
            <w:pPr>
              <w:widowControl/>
              <w:spacing w:line="440" w:lineRule="exact"/>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内存：≤16G</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4FB14DAA">
            <w:pPr>
              <w:widowControl/>
              <w:spacing w:line="440" w:lineRule="exact"/>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硬盘存储容量：≤512GB</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555D7DD4">
            <w:pPr>
              <w:widowControl/>
              <w:spacing w:line="440" w:lineRule="exact"/>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显示器尺寸：≥24寸；</w:t>
            </w:r>
          </w:p>
          <w:p w14:paraId="7F695F65">
            <w:pPr>
              <w:widowControl/>
              <w:spacing w:line="440" w:lineRule="exact"/>
              <w:jc w:val="left"/>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r>
              <w:rPr>
                <w:rFonts w:hint="eastAsia" w:ascii="宋体" w:hAnsi="宋体" w:eastAsia="宋体" w:cs="宋体"/>
                <w:color w:val="000000" w:themeColor="text1"/>
                <w:kern w:val="0"/>
                <w:sz w:val="21"/>
                <w:szCs w:val="21"/>
                <w:lang w:eastAsia="zh-CN" w:bidi="ar"/>
                <w14:textFill>
                  <w14:solidFill>
                    <w14:schemeClr w14:val="tx1"/>
                  </w14:solidFill>
                </w14:textFill>
              </w:rPr>
              <w:t>所投产品必须为强制节能产品，并提供由国家确定的认证机构出具的节能产品认证证书（处于有效期内）</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1BDB41F7">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1E434777">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台</w:t>
            </w:r>
          </w:p>
        </w:tc>
      </w:tr>
      <w:tr w14:paraId="759E8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7BC78EAA">
            <w:pPr>
              <w:widowControl/>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20</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631B2F78">
            <w:pPr>
              <w:widowControl/>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UPS电源</w:t>
            </w:r>
          </w:p>
        </w:tc>
        <w:tc>
          <w:tcPr>
            <w:tcW w:w="6227" w:type="dxa"/>
            <w:tcBorders>
              <w:top w:val="single" w:color="auto" w:sz="8" w:space="0"/>
              <w:left w:val="single" w:color="auto" w:sz="8" w:space="0"/>
              <w:bottom w:val="single" w:color="auto" w:sz="8" w:space="0"/>
              <w:right w:val="single" w:color="auto" w:sz="8" w:space="0"/>
            </w:tcBorders>
            <w:noWrap w:val="0"/>
            <w:vAlign w:val="center"/>
          </w:tcPr>
          <w:p w14:paraId="5936C88A">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lang w:bidi="ar"/>
                <w14:textFill>
                  <w14:solidFill>
                    <w14:schemeClr w14:val="tx1"/>
                  </w14:solidFill>
                </w14:textFill>
              </w:rPr>
              <w:t>输入电压范围：176-276V；</w:t>
            </w:r>
          </w:p>
          <w:p w14:paraId="52EDE8F5">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输入频率范围：46- 54Hz；</w:t>
            </w:r>
          </w:p>
          <w:p w14:paraId="218A979D">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输出电压范围：220（1±1%）V；</w:t>
            </w:r>
          </w:p>
          <w:p w14:paraId="762C9BB2">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输出频率范围：50×(1±0.1%）Hz输出电压波形；</w:t>
            </w:r>
          </w:p>
          <w:p w14:paraId="7354572E">
            <w:pPr>
              <w:widowControl/>
              <w:numPr>
                <w:ilvl w:val="0"/>
                <w:numId w:val="0"/>
              </w:numPr>
              <w:spacing w:line="440" w:lineRule="exact"/>
              <w:jc w:val="left"/>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电池柜</w:t>
            </w: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bidi="ar"/>
                <w14:textFill>
                  <w14:solidFill>
                    <w14:schemeClr w14:val="tx1"/>
                  </w14:solidFill>
                </w14:textFill>
              </w:rPr>
              <w:t xml:space="preserve">8节12v100ah免维护铅酸电池； </w:t>
            </w:r>
          </w:p>
        </w:tc>
        <w:tc>
          <w:tcPr>
            <w:tcW w:w="720" w:type="dxa"/>
            <w:tcBorders>
              <w:top w:val="single" w:color="auto" w:sz="8" w:space="0"/>
              <w:left w:val="single" w:color="auto" w:sz="8" w:space="0"/>
              <w:bottom w:val="single" w:color="auto" w:sz="8" w:space="0"/>
              <w:right w:val="single" w:color="auto" w:sz="4" w:space="0"/>
            </w:tcBorders>
            <w:noWrap w:val="0"/>
            <w:vAlign w:val="center"/>
          </w:tcPr>
          <w:p w14:paraId="0B3B154B">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w:t>
            </w:r>
          </w:p>
        </w:tc>
        <w:tc>
          <w:tcPr>
            <w:tcW w:w="650" w:type="dxa"/>
            <w:tcBorders>
              <w:top w:val="single" w:color="auto" w:sz="8" w:space="0"/>
              <w:left w:val="single" w:color="auto" w:sz="8" w:space="0"/>
              <w:bottom w:val="single" w:color="auto" w:sz="8" w:space="0"/>
              <w:right w:val="single" w:color="auto" w:sz="4" w:space="0"/>
            </w:tcBorders>
            <w:noWrap w:val="0"/>
            <w:vAlign w:val="center"/>
          </w:tcPr>
          <w:p w14:paraId="460FD3F8">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台</w:t>
            </w:r>
          </w:p>
        </w:tc>
      </w:tr>
      <w:tr w14:paraId="39D76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677" w:type="dxa"/>
            <w:tcBorders>
              <w:top w:val="single" w:color="auto" w:sz="8" w:space="0"/>
              <w:left w:val="single" w:color="auto" w:sz="4" w:space="0"/>
              <w:bottom w:val="single" w:color="auto" w:sz="8" w:space="0"/>
              <w:right w:val="single" w:color="auto" w:sz="8" w:space="0"/>
            </w:tcBorders>
            <w:noWrap w:val="0"/>
            <w:vAlign w:val="center"/>
          </w:tcPr>
          <w:p w14:paraId="470B0362">
            <w:pPr>
              <w:widowControl/>
              <w:jc w:val="center"/>
              <w:rPr>
                <w:rFonts w:hint="default"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21</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3C1A432E">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其他要求</w:t>
            </w:r>
          </w:p>
        </w:tc>
        <w:tc>
          <w:tcPr>
            <w:tcW w:w="7597" w:type="dxa"/>
            <w:gridSpan w:val="3"/>
            <w:tcBorders>
              <w:top w:val="single" w:color="auto" w:sz="8" w:space="0"/>
              <w:left w:val="single" w:color="auto" w:sz="8" w:space="0"/>
              <w:bottom w:val="single" w:color="auto" w:sz="8" w:space="0"/>
              <w:right w:val="single" w:color="auto" w:sz="4" w:space="0"/>
            </w:tcBorders>
            <w:noWrap w:val="0"/>
            <w:vAlign w:val="center"/>
          </w:tcPr>
          <w:p w14:paraId="1984299F">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lang w:bidi="ar"/>
                <w14:textFill>
                  <w14:solidFill>
                    <w14:schemeClr w14:val="tx1"/>
                  </w14:solidFill>
                </w14:textFill>
              </w:rPr>
              <w:t>.在质保期内，提供所购设备最新的主机软件的维护性版本并享有与原有软件相同的许可权利，如软件补丁、更新软件及其配套文档资料。</w:t>
            </w:r>
          </w:p>
          <w:p w14:paraId="556C22BC">
            <w:pPr>
              <w:widowControl/>
              <w:spacing w:line="440" w:lineRule="exact"/>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2</w:t>
            </w:r>
            <w:r>
              <w:rPr>
                <w:rFonts w:hint="eastAsia" w:ascii="宋体" w:hAnsi="宋体" w:eastAsia="宋体" w:cs="宋体"/>
                <w:color w:val="000000" w:themeColor="text1"/>
                <w:sz w:val="21"/>
                <w:szCs w:val="21"/>
                <w:lang w:bidi="ar"/>
                <w14:textFill>
                  <w14:solidFill>
                    <w14:schemeClr w14:val="tx1"/>
                  </w14:solidFill>
                </w14:textFill>
              </w:rPr>
              <w:t>.采购设备及管理软件均需与现有管理平台或软件进行对接；报价中包含施工安装调试费、培训费、所有接口对接等费用。</w:t>
            </w:r>
          </w:p>
        </w:tc>
      </w:tr>
    </w:tbl>
    <w:p w14:paraId="0776496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42721"/>
    <w:rsid w:val="7D54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2025-09-10T07:53:00Z</dcterms:created>
  <dc:creator>好好的</dc:creator>
  <cp:lastModifiedBy>好好的</cp:lastModifiedBy>
  <dcterms:modified xsi:type="dcterms:W3CDTF">2025-09-10T07:53:37Z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AE740038F9B74CE28939BC8FA6AD5696_11</vt:lpwstr>
  </property>
  <property fmtid="{D5CDD505-2E9C-101B-9397-08002B2CF9AE}" pid="4" name="KSOTemplateDocerSaveRecord">
    <vt:lpwstr>eyJoZGlkIjoiNGI5OTM1M2UwMTUxOGI1ZjZmZGRiNjY2YjkzZTljYmIiLCJ1c2VySWQiOiIzMzEzMzk0MDUifQ==</vt:lpwstr>
  </property>
</Properties>
</file>