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B866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采购需求</w:t>
      </w:r>
    </w:p>
    <w:p w14:paraId="34E9512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b/>
          <w:bCs/>
          <w:sz w:val="21"/>
          <w:szCs w:val="21"/>
        </w:rPr>
      </w:pPr>
      <w:r>
        <w:rPr>
          <w:rFonts w:hint="eastAsia" w:ascii="宋体" w:hAnsi="宋体" w:eastAsia="宋体" w:cs="宋体"/>
          <w:b/>
          <w:bCs/>
          <w:sz w:val="21"/>
          <w:szCs w:val="21"/>
        </w:rPr>
        <w:t>3.1采购项目概况</w:t>
      </w:r>
    </w:p>
    <w:p w14:paraId="27535E2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rPr>
        <w:t>名称:陕西省计生特殊家庭父母意外、疾病住院护理保险</w:t>
      </w:r>
    </w:p>
    <w:p w14:paraId="1E05665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采购内容:为全省49岁以上</w:t>
      </w:r>
      <w:r>
        <w:rPr>
          <w:rFonts w:hint="eastAsia" w:ascii="宋体" w:hAnsi="宋体" w:eastAsia="宋体" w:cs="宋体"/>
          <w:sz w:val="21"/>
          <w:szCs w:val="21"/>
          <w:lang w:eastAsia="zh-CN"/>
        </w:rPr>
        <w:t>计生</w:t>
      </w:r>
      <w:r>
        <w:rPr>
          <w:rFonts w:hint="eastAsia" w:ascii="宋体" w:hAnsi="宋体" w:eastAsia="宋体" w:cs="宋体"/>
          <w:sz w:val="21"/>
          <w:szCs w:val="21"/>
        </w:rPr>
        <w:t>特殊家庭父母购买意外、疾病住院护理保险</w:t>
      </w:r>
    </w:p>
    <w:p w14:paraId="617827C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主要功能或目标:投保总人数</w:t>
      </w:r>
      <w:r>
        <w:rPr>
          <w:rFonts w:hint="eastAsia" w:ascii="宋体" w:hAnsi="宋体" w:eastAsia="宋体" w:cs="宋体"/>
          <w:sz w:val="21"/>
          <w:szCs w:val="21"/>
          <w:lang w:val="en-US" w:eastAsia="zh-CN"/>
        </w:rPr>
        <w:t>31681</w:t>
      </w:r>
      <w:r>
        <w:rPr>
          <w:rFonts w:hint="eastAsia" w:ascii="宋体" w:hAnsi="宋体" w:eastAsia="宋体" w:cs="宋体"/>
          <w:sz w:val="21"/>
          <w:szCs w:val="21"/>
        </w:rPr>
        <w:t>人。意外、疾病住院的对象赔付标准为全年累计90天、特级护理每人每天130元、其他护理级别每人每天11</w:t>
      </w:r>
      <w:bookmarkStart w:id="0" w:name="_GoBack"/>
      <w:bookmarkEnd w:id="0"/>
      <w:r>
        <w:rPr>
          <w:rFonts w:hint="eastAsia" w:ascii="宋体" w:hAnsi="宋体" w:eastAsia="宋体" w:cs="宋体"/>
          <w:sz w:val="21"/>
          <w:szCs w:val="21"/>
        </w:rPr>
        <w:t>0元，对于身故的一次性赔付6000元，因意外或疾病致残的保险金额为10000元/人/年，理赔时按伤残比例一次性支付(以上赔付包含既往病史)</w:t>
      </w:r>
    </w:p>
    <w:p w14:paraId="3F28D9A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需满足的要求:因意外住院护理 、疾病住院护理 、丧葬补助金、残疾补助金</w:t>
      </w:r>
    </w:p>
    <w:p w14:paraId="11A7406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注：被保险人因疾病出险，须包含既往病史疾病</w:t>
      </w:r>
    </w:p>
    <w:p w14:paraId="716A5CA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b/>
          <w:bCs/>
          <w:sz w:val="21"/>
          <w:szCs w:val="21"/>
        </w:rPr>
      </w:pPr>
      <w:r>
        <w:rPr>
          <w:rFonts w:hint="eastAsia" w:ascii="宋体" w:hAnsi="宋体" w:eastAsia="宋体" w:cs="宋体"/>
          <w:b/>
          <w:bCs/>
          <w:sz w:val="21"/>
          <w:szCs w:val="21"/>
        </w:rPr>
        <w:t>3.2服务内容及服务要求</w:t>
      </w:r>
    </w:p>
    <w:p w14:paraId="5B11484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3.2.1服务内容</w:t>
      </w:r>
    </w:p>
    <w:p w14:paraId="68682C1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采购包1：</w:t>
      </w:r>
    </w:p>
    <w:p w14:paraId="5867889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采购包预算金额（元）:6</w:t>
      </w:r>
      <w:r>
        <w:rPr>
          <w:rFonts w:hint="eastAsia" w:ascii="宋体" w:hAnsi="宋体" w:eastAsia="宋体" w:cs="宋体"/>
          <w:sz w:val="21"/>
          <w:szCs w:val="21"/>
          <w:lang w:val="en-US" w:eastAsia="zh-CN"/>
        </w:rPr>
        <w:t>,</w:t>
      </w:r>
      <w:r>
        <w:rPr>
          <w:rFonts w:hint="eastAsia" w:ascii="宋体" w:hAnsi="宋体" w:eastAsia="宋体" w:cs="宋体"/>
          <w:sz w:val="21"/>
          <w:szCs w:val="21"/>
        </w:rPr>
        <w:t>230,000.00</w:t>
      </w:r>
    </w:p>
    <w:p w14:paraId="3B179FD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采购包最高限价（元）:6</w:t>
      </w:r>
      <w:r>
        <w:rPr>
          <w:rFonts w:hint="eastAsia" w:ascii="宋体" w:hAnsi="宋体" w:eastAsia="宋体" w:cs="宋体"/>
          <w:sz w:val="21"/>
          <w:szCs w:val="21"/>
          <w:lang w:val="en-US" w:eastAsia="zh-CN"/>
        </w:rPr>
        <w:t>,</w:t>
      </w:r>
      <w:r>
        <w:rPr>
          <w:rFonts w:hint="eastAsia" w:ascii="宋体" w:hAnsi="宋体" w:eastAsia="宋体" w:cs="宋体"/>
          <w:sz w:val="21"/>
          <w:szCs w:val="21"/>
        </w:rPr>
        <w:t>230,000.00</w:t>
      </w:r>
    </w:p>
    <w:p w14:paraId="2A2977A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供应商报价不允许超过标的金额</w:t>
      </w:r>
    </w:p>
    <w:p w14:paraId="15554C1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（招标总价的）供应商报价不允许超过标的总价</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34"/>
        <w:gridCol w:w="1311"/>
        <w:gridCol w:w="600"/>
        <w:gridCol w:w="1270"/>
        <w:gridCol w:w="334"/>
        <w:gridCol w:w="424"/>
        <w:gridCol w:w="387"/>
        <w:gridCol w:w="502"/>
        <w:gridCol w:w="502"/>
        <w:gridCol w:w="624"/>
      </w:tblGrid>
      <w:tr w14:paraId="77EA9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003343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3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AFBF87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2836EE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2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83457C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标的金额 （元）</w:t>
            </w:r>
          </w:p>
        </w:tc>
        <w:tc>
          <w:tcPr>
            <w:tcW w:w="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5F56C8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计量单位</w:t>
            </w:r>
          </w:p>
        </w:tc>
        <w:tc>
          <w:tcPr>
            <w:tcW w:w="4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30CE15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所属行业</w:t>
            </w:r>
          </w:p>
        </w:tc>
        <w:tc>
          <w:tcPr>
            <w:tcW w:w="3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D183AB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是否核心产品</w:t>
            </w:r>
          </w:p>
        </w:tc>
        <w:tc>
          <w:tcPr>
            <w:tcW w:w="5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58D7E4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是否允许进口产品</w:t>
            </w:r>
          </w:p>
        </w:tc>
        <w:tc>
          <w:tcPr>
            <w:tcW w:w="5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4B891A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是否属于节能产品</w:t>
            </w:r>
          </w:p>
        </w:tc>
        <w:tc>
          <w:tcPr>
            <w:tcW w:w="6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23394E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是否属于环境标志产品</w:t>
            </w:r>
          </w:p>
        </w:tc>
      </w:tr>
      <w:tr w14:paraId="2D1859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3A17B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311BC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详见该项目随附上传的采购清单</w:t>
            </w:r>
          </w:p>
        </w:tc>
        <w:tc>
          <w:tcPr>
            <w:tcW w:w="6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6FEED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12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E6BF0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230,000.00</w:t>
            </w:r>
          </w:p>
        </w:tc>
        <w:tc>
          <w:tcPr>
            <w:tcW w:w="3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20960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E5AF4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租赁和商务服务业</w:t>
            </w:r>
          </w:p>
        </w:tc>
        <w:tc>
          <w:tcPr>
            <w:tcW w:w="3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34B10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否</w:t>
            </w:r>
          </w:p>
        </w:tc>
        <w:tc>
          <w:tcPr>
            <w:tcW w:w="5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F47B1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否</w:t>
            </w:r>
          </w:p>
        </w:tc>
        <w:tc>
          <w:tcPr>
            <w:tcW w:w="5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56BF6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否</w:t>
            </w:r>
          </w:p>
        </w:tc>
        <w:tc>
          <w:tcPr>
            <w:tcW w:w="6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A8002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否</w:t>
            </w:r>
          </w:p>
        </w:tc>
      </w:tr>
    </w:tbl>
    <w:p w14:paraId="4F170CE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3.2.2服务要求 </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6"/>
        <w:gridCol w:w="484"/>
        <w:gridCol w:w="5109"/>
      </w:tblGrid>
      <w:tr w14:paraId="64D392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7550AA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参数性质</w:t>
            </w:r>
          </w:p>
        </w:tc>
        <w:tc>
          <w:tcPr>
            <w:tcW w:w="4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5F440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51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B8A612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技术参数与性能指标</w:t>
            </w:r>
          </w:p>
        </w:tc>
      </w:tr>
      <w:tr w14:paraId="102243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B09D78">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p>
        </w:tc>
        <w:tc>
          <w:tcPr>
            <w:tcW w:w="48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089EA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1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4F88E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为方便49岁以上计生特殊家庭成员理赔，尽量选择在全省10个地市均有理赔服务网点的保险公司</w:t>
            </w:r>
          </w:p>
        </w:tc>
      </w:tr>
    </w:tbl>
    <w:p w14:paraId="5796D20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b/>
          <w:bCs/>
          <w:sz w:val="21"/>
          <w:szCs w:val="21"/>
        </w:rPr>
      </w:pPr>
      <w:r>
        <w:rPr>
          <w:rFonts w:hint="eastAsia" w:ascii="宋体" w:hAnsi="宋体" w:eastAsia="宋体" w:cs="宋体"/>
          <w:b/>
          <w:bCs/>
          <w:sz w:val="21"/>
          <w:szCs w:val="21"/>
        </w:rPr>
        <w:t>3.3商务要求</w:t>
      </w:r>
    </w:p>
    <w:p w14:paraId="1BD25DA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3.3.1服务期限 </w:t>
      </w:r>
    </w:p>
    <w:p w14:paraId="1E2F1BB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  采购包1：202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日0点到202</w:t>
      </w:r>
      <w:r>
        <w:rPr>
          <w:rFonts w:hint="eastAsia" w:ascii="宋体" w:hAnsi="宋体" w:eastAsia="宋体" w:cs="宋体"/>
          <w:sz w:val="21"/>
          <w:szCs w:val="21"/>
          <w:lang w:val="en-US" w:eastAsia="zh-CN"/>
        </w:rPr>
        <w:t>6</w:t>
      </w:r>
      <w:r>
        <w:rPr>
          <w:rFonts w:hint="eastAsia" w:ascii="宋体" w:hAnsi="宋体" w:eastAsia="宋体" w:cs="宋体"/>
          <w:sz w:val="21"/>
          <w:szCs w:val="21"/>
        </w:rPr>
        <w:t>年6月30日24点。</w:t>
      </w:r>
    </w:p>
    <w:p w14:paraId="5FADFB9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3.3.2服务地点 </w:t>
      </w:r>
    </w:p>
    <w:p w14:paraId="26DC318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采购包1：</w:t>
      </w:r>
    </w:p>
    <w:p w14:paraId="71A6799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采购人指定地点。</w:t>
      </w:r>
    </w:p>
    <w:p w14:paraId="500653E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3.3.3考核（验收）标准和方法 </w:t>
      </w:r>
    </w:p>
    <w:p w14:paraId="7BCF9D6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 采购包1：按照合同要求</w:t>
      </w:r>
    </w:p>
    <w:p w14:paraId="2CD79C7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3.3.4支付方式</w:t>
      </w:r>
    </w:p>
    <w:p w14:paraId="01075BD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采购包1：</w:t>
      </w:r>
    </w:p>
    <w:p w14:paraId="2622506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一次付清</w:t>
      </w:r>
    </w:p>
    <w:p w14:paraId="38880EA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3.3.5.支付约定</w:t>
      </w:r>
    </w:p>
    <w:p w14:paraId="629F46A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采购包1： 付款条件说明：合同签订生效后30日内一次性支付合同总价，成交单位在五个工作日内向采购人出具正式保险单。</w:t>
      </w:r>
    </w:p>
    <w:p w14:paraId="7F0A84EE">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3.3.6违约责任与解决争议的方法</w:t>
      </w:r>
    </w:p>
    <w:p w14:paraId="193F9D8B">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采购包1：</w:t>
      </w:r>
    </w:p>
    <w:p w14:paraId="77C5B7B3">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执行本合同中产生纠纷，由双方协商解决；协商不成，向有管辖权的人民法院提起诉讼。</w:t>
      </w:r>
    </w:p>
    <w:p w14:paraId="55328A3C">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3.4</w:t>
      </w:r>
      <w:r>
        <w:rPr>
          <w:rFonts w:hint="eastAsia" w:ascii="宋体" w:hAnsi="宋体" w:eastAsia="宋体" w:cs="宋体"/>
          <w:b/>
          <w:bCs/>
          <w:sz w:val="21"/>
          <w:szCs w:val="21"/>
        </w:rPr>
        <w:t>售后服务：</w:t>
      </w:r>
    </w:p>
    <w:p w14:paraId="0CA43E7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（1）供应商应在全省下辖机构，指定专人负责并提供联系电话，负责受理被保险人的咨询及理赔服务。</w:t>
      </w:r>
    </w:p>
    <w:p w14:paraId="3B82A57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（2）理赔手续应简单合理，设有快速理赔通道，提供上门理赔服务。</w:t>
      </w:r>
    </w:p>
    <w:p w14:paraId="6126BBF1">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3）保险公司应在做出理赔核定并划拨保险金后及时将理赔金额告知被保险人。服务形式为电话、网络、现场等，确保解决问题时限，发生参保人员提出赔付申请等相关问题，接到参保人联系后，应于工作时间内2小时（非工作时间日内4小时）及时联系参保人员主动提供解决赔付等相关问题的解决流程及方式；</w:t>
      </w:r>
    </w:p>
    <w:p w14:paraId="6DE126C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（4）供应商定期向采购人提供服务分析报告，包含赔付、日常服务执行情况等。</w:t>
      </w:r>
    </w:p>
    <w:p w14:paraId="6678C5D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b/>
          <w:bCs/>
          <w:sz w:val="21"/>
          <w:szCs w:val="21"/>
        </w:rPr>
      </w:pPr>
      <w:r>
        <w:rPr>
          <w:rFonts w:hint="eastAsia" w:ascii="宋体" w:hAnsi="宋体" w:eastAsia="宋体" w:cs="宋体"/>
          <w:b/>
          <w:bCs/>
          <w:sz w:val="21"/>
          <w:szCs w:val="21"/>
        </w:rPr>
        <w:t>3.5关于投保等待期</w:t>
      </w:r>
    </w:p>
    <w:p w14:paraId="06348307">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上一年度已投保过人员不因中标保险公司的变化产生等待期，本年度新增投保人员可依照有关法律规定保留投保等待期；</w:t>
      </w:r>
    </w:p>
    <w:p w14:paraId="0E42DEB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备注：</w:t>
      </w:r>
    </w:p>
    <w:p w14:paraId="6471DF4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（1）关于后期服务：中标公司需要保障采购方的日常走访慰问活动；</w:t>
      </w:r>
    </w:p>
    <w:p w14:paraId="3E337E16">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（2）关于招标服务费及项目自评的费用，含在总预算里面。</w:t>
      </w:r>
    </w:p>
    <w:p w14:paraId="5274746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b/>
          <w:bCs/>
          <w:sz w:val="21"/>
          <w:szCs w:val="21"/>
        </w:rPr>
      </w:pPr>
      <w:r>
        <w:rPr>
          <w:rFonts w:hint="eastAsia" w:ascii="宋体" w:hAnsi="宋体" w:eastAsia="宋体" w:cs="宋体"/>
          <w:b/>
          <w:bCs/>
          <w:sz w:val="21"/>
          <w:szCs w:val="21"/>
        </w:rPr>
        <w:t>3.6费用与付款方式</w:t>
      </w:r>
    </w:p>
    <w:p w14:paraId="7916962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1.本项目服务费采用包干制，应包括服务成本、法定税费和利润。由供应商根据采购文件所提供的资料自行测算投标报价；一经中标，报价总价作为中标人与采购人签定的合同金额，合同期限内不做调整； </w:t>
      </w:r>
    </w:p>
    <w:p w14:paraId="2F2A9D3D">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2.投标人应当根据本机构的成本自行决定报价，但不得以低于成本的报价投标； </w:t>
      </w:r>
    </w:p>
    <w:p w14:paraId="50F33A0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3.投标人的报价，不得超过项目预算金额； </w:t>
      </w:r>
    </w:p>
    <w:p w14:paraId="57F0E5F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4.投标人的报价，应当是本项目采购范围和采购文件及合同条款上所列的各项内容中所述的全部，不得以任何理由予以重复； </w:t>
      </w:r>
    </w:p>
    <w:p w14:paraId="395B1A0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 xml:space="preserve">5.除非采购人通过修改采购文件予以更正，否则，投标供应商应毫无例外地按响应文件所列的清单中项目和数量填报综合单价和合价。投标人未填综合单价或合价的项目，在实施后，将不得以支付，并视作该项费用已包括在其它有价款的综合单价或合价内； </w:t>
      </w:r>
    </w:p>
    <w:p w14:paraId="1ADC59E0">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6.投标人不得期望通过索赔等方式获取补偿，否则，除可能遭到拒绝外，还可能将被作为不良行为记录在案，并可能影响其以后参加政府采购的项目投标。各投标人在报价时，应充分考虑报价的风险。</w:t>
      </w:r>
    </w:p>
    <w:p w14:paraId="2B840E74">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7.付款方式：按合同约定方式支付。</w:t>
      </w:r>
    </w:p>
    <w:p w14:paraId="31E3E8EF">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3.7服务范围：</w:t>
      </w:r>
      <w:r>
        <w:rPr>
          <w:rFonts w:hint="eastAsia" w:ascii="宋体" w:hAnsi="宋体" w:eastAsia="宋体" w:cs="宋体"/>
          <w:sz w:val="21"/>
          <w:szCs w:val="21"/>
          <w:lang w:val="en-US" w:eastAsia="zh-CN"/>
        </w:rPr>
        <w:t>招标文件中要求的所有服务范围。</w:t>
      </w:r>
    </w:p>
    <w:p w14:paraId="4A91E68A">
      <w:r>
        <w:rPr>
          <w:rFonts w:hint="eastAsia" w:ascii="宋体" w:hAnsi="宋体" w:eastAsia="宋体" w:cs="宋体"/>
          <w:b/>
          <w:bCs/>
          <w:sz w:val="21"/>
          <w:szCs w:val="21"/>
          <w:lang w:val="en-US" w:eastAsia="zh-CN"/>
        </w:rPr>
        <w:t>3.8服务标准：</w:t>
      </w:r>
      <w:r>
        <w:rPr>
          <w:rFonts w:hint="eastAsia" w:ascii="宋体" w:hAnsi="宋体" w:eastAsia="宋体" w:cs="宋体"/>
          <w:sz w:val="21"/>
          <w:szCs w:val="21"/>
          <w:lang w:val="en-US" w:eastAsia="zh-CN"/>
        </w:rPr>
        <w:t>符合国家及相关行业标准，满足采购人要求。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E2CED"/>
    <w:rsid w:val="77DE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2025-09-10T08:16:00Z</dcterms:created>
  <dc:creator>。</dc:creator>
  <cp:lastModifiedBy>。</cp:lastModifiedBy>
  <dcterms:modified xsi:type="dcterms:W3CDTF">2025-09-10T08:16:43Z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FC6B2C64E7464F44A16C8F31D62BA1F8_11</vt:lpwstr>
  </property>
  <property fmtid="{D5CDD505-2E9C-101B-9397-08002B2CF9AE}" pid="4" name="KSOTemplateDocerSaveRecord">
    <vt:lpwstr>eyJoZGlkIjoiOGZhMGY4NGI5YmU5OGE3YjRiMDgyODliZGQxOWY2MGYiLCJ1c2VySWQiOiI3MjI4MjA5NTgifQ==</vt:lpwstr>
  </property>
</Properties>
</file>