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C07FE">
      <w:pPr>
        <w:pStyle w:val="3"/>
        <w:keepNext w:val="0"/>
        <w:keepLines w:val="0"/>
        <w:rPr>
          <w:rFonts w:hint="eastAsia" w:ascii="宋体" w:hAnsi="宋体"/>
          <w:b w:val="0"/>
          <w:sz w:val="32"/>
          <w:szCs w:val="32"/>
        </w:rPr>
      </w:pPr>
      <w:r>
        <w:rPr>
          <w:rFonts w:hint="eastAsia" w:ascii="宋体" w:hAnsi="宋体"/>
          <w:sz w:val="32"/>
          <w:szCs w:val="32"/>
        </w:rPr>
        <w:t>技术参数及要求</w:t>
      </w:r>
    </w:p>
    <w:p w14:paraId="749571B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一、项目背景</w:t>
      </w:r>
    </w:p>
    <w:p w14:paraId="2CF3E48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为了贯彻落实《中华人民共和国网络安全法》《互联网政务应用安全管理规定》《关于信息安全等级保护工作的实施意见》（公通字[2004]66号）、《信息安全等级保护管理办法》（公通字[2007]43号）等相关文件要求，保证陕西科技馆信息系统的网络安全和官方网站的正常运维，按照省委网信办、省科协及西安市公安局新城分局网安大队关于网络安全建设的相关要求，对陕西科技馆官方网站开展网络安全等级保护测评、网站技术维护服务工作，同时实施网络安全培训以及网络安全应急预案和实战演练等工作。</w:t>
      </w:r>
    </w:p>
    <w:p w14:paraId="11193B1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二、服务内容</w:t>
      </w:r>
    </w:p>
    <w:p w14:paraId="6860B2E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1.依据国家等级保护2.0标准（GB/T 22239-2019），对陕西科技馆官网开展网络安全等级保护（二级）测评，针对网站技术防护和安全管理等内容，确保官网符合网络安全等级保护（二级）标准定级备案。</w:t>
      </w:r>
    </w:p>
    <w:p w14:paraId="1AF1653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2.根据陕西科技馆网络安全与信息化建设工作要求，实施网络安全培训以及网络安全应急预案和实战演练等内容，提升应急处置能力。</w:t>
      </w:r>
    </w:p>
    <w:p w14:paraId="09F3C7E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3.通过专业化、规范化运维服务，及时、快速、准确发现并解决问题，确保陕西科技馆官网的安全、平稳、高效运行。</w:t>
      </w:r>
    </w:p>
    <w:p w14:paraId="3979F9C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三、服务需求</w:t>
      </w:r>
    </w:p>
    <w:p w14:paraId="01A73B2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1.测评准备工作服务：测评前期准备、测评资产调研、测试环境确认；测试工具接入点确定；测评方案编写。</w:t>
      </w:r>
    </w:p>
    <w:p w14:paraId="6C1B08C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2.测评服务：物理测评，服务器、数据库测评，安全管理制度测评，应用安全测评，数据备份恢复安全测评，网络安全测评等。</w:t>
      </w:r>
    </w:p>
    <w:p w14:paraId="4D89941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3.整改建议服务：根据测评结果，出具整改建议书，协助整改，复查。</w:t>
      </w:r>
    </w:p>
    <w:p w14:paraId="4426152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4.根据等保2.0标准出具测评报告：经过持续整改，满足等保对应级别要求后，编制完善的网络安全等级保护测评报告。</w:t>
      </w:r>
    </w:p>
    <w:p w14:paraId="2800960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5.协助备案服务：协助采购人进行项目备案准备工作、整改工作，包括协助编制定级报告、组织专家评审、分析业务系统出具相关报告，收集和编制各类备案资料和递交资料审核通过等。</w:t>
      </w:r>
    </w:p>
    <w:p w14:paraId="26074CD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6.对陕西科技馆官网进行系统维护，持续开展网站程序优化、漏洞修补、数据库维护及数据备份，并建立常态化安全监测机制，定期巡检并处置潜在风险和突发网络安全事件，维护周期为二年。</w:t>
      </w:r>
    </w:p>
    <w:p w14:paraId="02FF26B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7.保障官网稳定运行。运维方需按照运维服务方案要求，定期对系统进行巡检，对系统存在的隐患及时排查解决，提高故障预发现、预处理能力，防止宕机、数据丢失等故障发生。</w:t>
      </w:r>
    </w:p>
    <w:p w14:paraId="5D9C60F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8.运维服务及时有效。针对系统运行出现的问题</w:t>
      </w:r>
      <w:r>
        <w:rPr>
          <w:rFonts w:hint="eastAsia" w:ascii="宋体" w:hAnsi="宋体" w:eastAsia="宋体" w:cs="宋体"/>
          <w:snapToGrid/>
          <w:kern w:val="2"/>
          <w:sz w:val="24"/>
          <w:szCs w:val="24"/>
          <w:highlight w:val="none"/>
          <w:lang w:eastAsia="zh-CN"/>
        </w:rPr>
        <w:t>，提供24小时内快速</w:t>
      </w:r>
      <w:r>
        <w:rPr>
          <w:rFonts w:hint="eastAsia" w:ascii="宋体" w:hAnsi="宋体" w:eastAsia="宋体" w:cs="宋体"/>
          <w:snapToGrid/>
          <w:kern w:val="2"/>
          <w:sz w:val="24"/>
          <w:szCs w:val="24"/>
          <w:lang w:eastAsia="zh-CN"/>
        </w:rPr>
        <w:t>及时的维护响应，第一时间进行故障排除；安排运维服务人员为陕西科技馆官网提供日常运维服务，对于提</w:t>
      </w:r>
      <w:bookmarkStart w:id="0" w:name="_GoBack"/>
      <w:bookmarkEnd w:id="0"/>
      <w:r>
        <w:rPr>
          <w:rFonts w:hint="eastAsia" w:ascii="宋体" w:hAnsi="宋体" w:eastAsia="宋体" w:cs="宋体"/>
          <w:snapToGrid/>
          <w:kern w:val="2"/>
          <w:sz w:val="24"/>
          <w:szCs w:val="24"/>
          <w:lang w:eastAsia="zh-CN"/>
        </w:rPr>
        <w:t>出的问题做到及时有效响应和解决。</w:t>
      </w:r>
    </w:p>
    <w:p w14:paraId="1BD1110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napToGrid/>
          <w:kern w:val="2"/>
          <w:sz w:val="24"/>
          <w:szCs w:val="24"/>
          <w:lang w:eastAsia="zh-CN"/>
        </w:rPr>
        <w:t>9.</w:t>
      </w:r>
      <w:r>
        <w:rPr>
          <w:rFonts w:hint="eastAsia" w:ascii="宋体" w:hAnsi="宋体" w:eastAsia="宋体" w:cs="宋体"/>
          <w:sz w:val="24"/>
          <w:szCs w:val="24"/>
          <w:lang w:eastAsia="zh-CN"/>
        </w:rPr>
        <w:t>根据陕西科技馆网络安全与信息化建设工作要求，实施完成网络安全培训以及网络安全应急预案和实战演练等内容，提升应急处置能力，周期为两年，共四次。</w:t>
      </w:r>
    </w:p>
    <w:p w14:paraId="005721C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10.日常技术支持</w:t>
      </w:r>
    </w:p>
    <w:p w14:paraId="6A5A6B3F">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napToGrid/>
          <w:kern w:val="2"/>
          <w:sz w:val="24"/>
          <w:szCs w:val="24"/>
          <w:lang w:eastAsia="zh-CN"/>
        </w:rPr>
        <w:t>供应商应为采购人提供信息系统建设、等级保护等咨询服务，每年对采购人信息系统进行至少两次漏洞扫描，且出具对应的《安全检查报告》。积极配合采购人开展信息安全自查及其它信息安全工作，为采购人信息安全工作提供技术支撑保障服务。</w:t>
      </w:r>
    </w:p>
    <w:p w14:paraId="74ED4A5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11.网络安全管理制度</w:t>
      </w:r>
    </w:p>
    <w:p w14:paraId="735A8B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积极配合采购人制定和完善陕西科技馆网络安全管理制度及相关其它涉及网络安全制度或规定的编写。</w:t>
      </w:r>
    </w:p>
    <w:p w14:paraId="1B12178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四、测评服务文件编制要求：</w:t>
      </w:r>
    </w:p>
    <w:p w14:paraId="476D96A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本项目等保测评须按照以下文件要求编制：</w:t>
      </w:r>
    </w:p>
    <w:p w14:paraId="73CA498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《信息安全等级保护管理办法》 (公通字〔2007〕43 号)</w:t>
      </w:r>
    </w:p>
    <w:p w14:paraId="1CBDCA2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《信息安全技术网络安全等级保护基本要求》（GB/T 22239-2019）</w:t>
      </w:r>
    </w:p>
    <w:p w14:paraId="62BDC16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《信息安全技术信息系统安全等级保护实施指南》 (GB/T 25058-2019)</w:t>
      </w:r>
    </w:p>
    <w:p w14:paraId="3296ACD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《信息安全技术网络安全等级保护测评要求》（GB/T 28448-2019）</w:t>
      </w:r>
    </w:p>
    <w:p w14:paraId="74AE4DC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《信息安全技术网络安全等级保护定级指南》（GB/T 22240-2020）</w:t>
      </w:r>
    </w:p>
    <w:p w14:paraId="197E4FB8">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《信息安全技术网络安全等级保护安全设计要求》（GB/T 25070-2019）</w:t>
      </w:r>
    </w:p>
    <w:p w14:paraId="573C97A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《信息安全技术网络安全等级保护安全管理中心技术要求》（GB/T 36958-2018）</w:t>
      </w:r>
    </w:p>
    <w:p w14:paraId="68630FD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《信息安全技术网络安全等级保护测评过程指南》（GB/T 28449-2018）</w:t>
      </w:r>
    </w:p>
    <w:p w14:paraId="3B5A59C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《信息安全技术网络安全等级保护测试评估技术指南》（GB/T 36627-2018）</w:t>
      </w:r>
    </w:p>
    <w:p w14:paraId="1C52023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《信息技术安全技术信息安全管理体系要求》（GB/T 22080-2008）</w:t>
      </w:r>
    </w:p>
    <w:p w14:paraId="548DFC5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《信息安全技术信息系统通用安全技术要求》（GB/T20271-2006）</w:t>
      </w:r>
    </w:p>
    <w:p w14:paraId="13AAA3B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《信息安全技术网络基础安全技术要求》（GB/T 20270-2006）</w:t>
      </w:r>
    </w:p>
    <w:p w14:paraId="1D75131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《信息安全技术终端计算机系统安全等级技术要求》（GA/T671-2006）</w:t>
      </w:r>
    </w:p>
    <w:p w14:paraId="7A926E0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五、服务期限</w:t>
      </w:r>
    </w:p>
    <w:p w14:paraId="0C57155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两年</w:t>
      </w:r>
    </w:p>
    <w:p w14:paraId="3A4DC84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六、服务成果</w:t>
      </w:r>
    </w:p>
    <w:p w14:paraId="1802F5C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服务成果包括但不限于：《网络安全等级保护等级测评方案》《网络安全等级保护等级测评报告》《信息系统网络安全问题汇 总及安全整改建议》《安全检查报告》《</w:t>
      </w:r>
      <w:r>
        <w:rPr>
          <w:rFonts w:hint="eastAsia" w:ascii="宋体" w:hAnsi="宋体" w:eastAsia="宋体" w:cs="宋体"/>
          <w:sz w:val="24"/>
          <w:szCs w:val="24"/>
          <w:lang w:eastAsia="zh-CN"/>
        </w:rPr>
        <w:t>网络安全培训方案</w:t>
      </w:r>
      <w:r>
        <w:rPr>
          <w:rFonts w:hint="eastAsia" w:ascii="宋体" w:hAnsi="宋体" w:eastAsia="宋体" w:cs="宋体"/>
          <w:snapToGrid/>
          <w:kern w:val="2"/>
          <w:sz w:val="24"/>
          <w:szCs w:val="24"/>
          <w:lang w:eastAsia="zh-CN"/>
        </w:rPr>
        <w:t>》</w:t>
      </w:r>
      <w:r>
        <w:rPr>
          <w:rFonts w:hint="eastAsia" w:ascii="宋体" w:hAnsi="宋体" w:eastAsia="宋体" w:cs="宋体"/>
          <w:sz w:val="24"/>
          <w:szCs w:val="24"/>
          <w:lang w:eastAsia="zh-CN"/>
        </w:rPr>
        <w:t>《网络安全应急预案和实战演练》</w:t>
      </w:r>
      <w:r>
        <w:rPr>
          <w:rFonts w:hint="eastAsia" w:ascii="宋体" w:hAnsi="宋体" w:eastAsia="宋体" w:cs="宋体"/>
          <w:snapToGrid/>
          <w:kern w:val="2"/>
          <w:sz w:val="24"/>
          <w:szCs w:val="24"/>
          <w:lang w:eastAsia="zh-CN"/>
        </w:rPr>
        <w:t>等；协助获取备案号及备案证书等。</w:t>
      </w:r>
    </w:p>
    <w:p w14:paraId="2D9A2D4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七、保密要求</w:t>
      </w:r>
    </w:p>
    <w:p w14:paraId="73A3209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eastAsia="zh-CN"/>
        </w:rPr>
        <w:sectPr>
          <w:headerReference r:id="rId5" w:type="default"/>
          <w:footerReference r:id="rId6" w:type="default"/>
          <w:pgSz w:w="11906" w:h="16839"/>
          <w:pgMar w:top="1423" w:right="1183" w:bottom="1156" w:left="1256" w:header="0" w:footer="994" w:gutter="0"/>
          <w:pgNumType w:fmt="decimal" w:start="1"/>
          <w:cols w:space="720" w:num="1"/>
        </w:sectPr>
      </w:pPr>
      <w:r>
        <w:rPr>
          <w:rFonts w:hint="eastAsia" w:ascii="宋体" w:hAnsi="宋体" w:eastAsia="宋体" w:cs="宋体"/>
          <w:snapToGrid/>
          <w:kern w:val="2"/>
          <w:sz w:val="24"/>
          <w:szCs w:val="24"/>
          <w:lang w:eastAsia="zh-CN"/>
        </w:rPr>
        <w:t>非经采购人的书面许可，服务商不得将本项目相关的内容透露给任何第三方。服务团队成员须接受采购人的背景审查，并签署保密承诺</w:t>
      </w:r>
    </w:p>
    <w:p w14:paraId="4D8A66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0FDA">
    <w:pPr>
      <w:spacing w:line="176" w:lineRule="auto"/>
      <w:ind w:left="4614"/>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68C3">
    <w:pPr>
      <w:pStyle w:val="5"/>
      <w:pBdr>
        <w:bottom w:val="none" w:color="auto" w:sz="0" w:space="0"/>
      </w:pBdr>
      <w:jc w:val="left"/>
    </w:pPr>
  </w:p>
  <w:p w14:paraId="79572203">
    <w:pPr>
      <w:pStyle w:val="5"/>
      <w:pBdr>
        <w:bottom w:val="none" w:color="auto" w:sz="0" w:space="0"/>
      </w:pBdr>
      <w:jc w:val="left"/>
    </w:pPr>
  </w:p>
  <w:p w14:paraId="52305A15">
    <w:pPr>
      <w:pStyle w:val="5"/>
      <w:pBdr>
        <w:bottom w:val="none" w:color="auto" w:sz="0" w:space="0"/>
      </w:pBdr>
      <w:jc w:val="left"/>
    </w:pPr>
  </w:p>
  <w:p w14:paraId="584FAB42">
    <w:pPr>
      <w:pStyle w:val="5"/>
      <w:pBdr>
        <w:bottom w:val="none" w:color="auto" w:sz="0" w:space="0"/>
      </w:pBdr>
      <w:jc w:val="left"/>
    </w:pPr>
  </w:p>
  <w:p w14:paraId="56EBBD03">
    <w:pPr>
      <w:pStyle w:val="5"/>
      <w:pBdr>
        <w:bottom w:val="none" w:color="auto" w:sz="0" w:space="0"/>
      </w:pBdr>
      <w:jc w:val="left"/>
    </w:pPr>
  </w:p>
  <w:p w14:paraId="3E5C9F70">
    <w:pPr>
      <w:pStyle w:val="5"/>
      <w:pBdr>
        <w:bottom w:val="none" w:color="auto" w:sz="0" w:space="0"/>
      </w:pBdr>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226AE"/>
    <w:rsid w:val="08F226AE"/>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paragraph" w:styleId="2">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2025-09-15T07:58:00Z</dcterms:created>
  <dc:creator>张娜</dc:creator>
  <cp:lastModifiedBy>张娜</cp:lastModifiedBy>
  <dcterms:modified xsi:type="dcterms:W3CDTF">2025-09-15T07:59:08Z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3B16BD6330A94570885737669D6F1247_11</vt:lpwstr>
  </property>
  <property fmtid="{D5CDD505-2E9C-101B-9397-08002B2CF9AE}" pid="4" name="KSOTemplateDocerSaveRecord">
    <vt:lpwstr>eyJoZGlkIjoiOGFlZDBjMTkxMjAyY2VhMDJmNjJkYjY5NWY5ZGZmNGMiLCJ1c2VySWQiOiI0NTE5NDQwNTQifQ==</vt:lpwstr>
  </property>
</Properties>
</file>