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30ED3">
      <w:pPr>
        <w:pStyle w:val="3"/>
        <w:spacing w:before="0" w:after="0" w:line="240" w:lineRule="auto"/>
      </w:pPr>
      <w:r>
        <w:rPr>
          <w:rFonts w:hint="eastAsia"/>
        </w:rPr>
        <w:t>采购内容及要求</w:t>
      </w:r>
    </w:p>
    <w:p w14:paraId="0CD8E050">
      <w:pPr>
        <w:pStyle w:val="6"/>
        <w:keepNext w:val="0"/>
        <w:keepLines w:val="0"/>
        <w:pageBreakBefore w:val="0"/>
        <w:kinsoku/>
        <w:wordWrap/>
        <w:overflowPunct/>
        <w:topLinePunct w:val="0"/>
        <w:autoSpaceDE w:val="0"/>
        <w:autoSpaceDN w:val="0"/>
        <w:bidi w:val="0"/>
        <w:adjustRightInd/>
        <w:snapToGrid/>
        <w:spacing w:before="0" w:after="0" w:line="360" w:lineRule="auto"/>
        <w:ind w:left="0" w:leftChars="0" w:firstLine="0" w:firstLineChars="0"/>
        <w:textAlignment w:val="auto"/>
        <w:outlineLvl w:val="1"/>
        <w:rPr>
          <w:rFonts w:hint="eastAsia" w:ascii="宋体" w:hAnsi="宋体" w:eastAsia="宋体" w:cs="宋体"/>
          <w:color w:val="auto"/>
          <w:sz w:val="24"/>
          <w:szCs w:val="24"/>
          <w:highlight w:val="none"/>
        </w:rPr>
      </w:pPr>
      <w:bookmarkStart w:id="0" w:name="_Toc1679"/>
      <w:bookmarkStart w:id="1" w:name="_Toc9821"/>
      <w:r>
        <w:rPr>
          <w:rFonts w:hint="eastAsia" w:ascii="宋体" w:hAnsi="宋体" w:eastAsia="宋体" w:cs="宋体"/>
          <w:color w:val="auto"/>
          <w:sz w:val="24"/>
          <w:szCs w:val="24"/>
          <w:highlight w:val="none"/>
        </w:rPr>
        <w:t>一、项目概况</w:t>
      </w:r>
      <w:bookmarkEnd w:id="0"/>
      <w:bookmarkEnd w:id="1"/>
    </w:p>
    <w:p w14:paraId="0385E4DA">
      <w:pPr>
        <w:pStyle w:val="7"/>
        <w:keepNext w:val="0"/>
        <w:keepLines w:val="0"/>
        <w:pageBreakBefore w:val="0"/>
        <w:kinsoku/>
        <w:wordWrap/>
        <w:overflowPunct/>
        <w:topLinePunct w:val="0"/>
        <w:autoSpaceDE w:val="0"/>
        <w:autoSpaceDN w:val="0"/>
        <w:bidi w:val="0"/>
        <w:adjustRightInd/>
        <w:snapToGrid/>
        <w:spacing w:before="0" w:after="0" w:line="360" w:lineRule="auto"/>
        <w:ind w:left="220" w:right="567" w:firstLine="24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西安医学院第一附属医院</w:t>
      </w:r>
    </w:p>
    <w:p w14:paraId="0DFB7548">
      <w:pPr>
        <w:pStyle w:val="7"/>
        <w:keepNext w:val="0"/>
        <w:keepLines w:val="0"/>
        <w:pageBreakBefore w:val="0"/>
        <w:kinsoku/>
        <w:wordWrap/>
        <w:overflowPunct/>
        <w:topLinePunct w:val="0"/>
        <w:autoSpaceDE w:val="0"/>
        <w:autoSpaceDN w:val="0"/>
        <w:bidi w:val="0"/>
        <w:adjustRightInd/>
        <w:snapToGrid/>
        <w:spacing w:before="0" w:after="0" w:line="360" w:lineRule="auto"/>
        <w:ind w:left="46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cs="宋体"/>
          <w:color w:val="auto"/>
          <w:sz w:val="24"/>
          <w:szCs w:val="24"/>
          <w:highlight w:val="none"/>
          <w:lang w:val="en-US" w:eastAsia="zh-CN"/>
        </w:rPr>
        <w:t>项目</w:t>
      </w:r>
      <w:r>
        <w:rPr>
          <w:rFonts w:hint="eastAsia" w:ascii="宋体" w:hAnsi="宋体" w:eastAsia="宋体" w:cs="宋体"/>
          <w:color w:val="auto"/>
          <w:sz w:val="24"/>
          <w:szCs w:val="24"/>
          <w:highlight w:val="none"/>
        </w:rPr>
        <w:t>名称：</w:t>
      </w:r>
      <w:r>
        <w:rPr>
          <w:rFonts w:hint="eastAsia" w:cs="宋体"/>
          <w:color w:val="auto"/>
          <w:sz w:val="24"/>
          <w:szCs w:val="24"/>
          <w:highlight w:val="none"/>
          <w:lang w:eastAsia="zh-CN"/>
        </w:rPr>
        <w:t xml:space="preserve"> 西安医学院第一附属医院网络安全等级保护测评服务项目</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服务期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自合同签订后一年</w:t>
      </w:r>
    </w:p>
    <w:p w14:paraId="1DEF9A3A">
      <w:pPr>
        <w:pStyle w:val="6"/>
        <w:keepNext w:val="0"/>
        <w:keepLines w:val="0"/>
        <w:pageBreakBefore w:val="0"/>
        <w:kinsoku/>
        <w:wordWrap/>
        <w:overflowPunct/>
        <w:topLinePunct w:val="0"/>
        <w:autoSpaceDE w:val="0"/>
        <w:autoSpaceDN w:val="0"/>
        <w:bidi w:val="0"/>
        <w:adjustRightInd/>
        <w:snapToGrid/>
        <w:spacing w:before="0" w:after="0" w:line="360" w:lineRule="auto"/>
        <w:ind w:left="0" w:leftChars="0" w:firstLine="0" w:firstLineChars="0"/>
        <w:textAlignment w:val="auto"/>
        <w:outlineLvl w:val="1"/>
        <w:rPr>
          <w:rFonts w:hint="eastAsia" w:ascii="宋体" w:hAnsi="宋体" w:eastAsia="宋体" w:cs="宋体"/>
          <w:color w:val="auto"/>
          <w:sz w:val="24"/>
          <w:szCs w:val="24"/>
          <w:highlight w:val="none"/>
          <w:lang w:val="en-US" w:eastAsia="zh-CN"/>
        </w:rPr>
      </w:pPr>
      <w:bookmarkStart w:id="2" w:name="_Toc18404"/>
      <w:bookmarkStart w:id="3" w:name="_Toc11073"/>
      <w:r>
        <w:rPr>
          <w:rFonts w:hint="eastAsia"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、服务内容</w:t>
      </w:r>
    </w:p>
    <w:p w14:paraId="591BA8AC">
      <w:pPr>
        <w:keepNext w:val="0"/>
        <w:keepLines w:val="0"/>
        <w:pageBreakBefore w:val="0"/>
        <w:kinsoku/>
        <w:wordWrap/>
        <w:overflowPunct/>
        <w:topLinePunct w:val="0"/>
        <w:bidi w:val="0"/>
        <w:adjustRightInd w:val="0"/>
        <w:snapToGrid w:val="0"/>
        <w:spacing w:before="0"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国家《信息安全等级保护管理办法》(公通字[2007]43号)、《关于推动信息安全等级保护测评体系建设和开展等级测评工作的通知》（公信安[2010]303号）、《陕西省信息安全等级保护安全建设整改工作指导意见》（陕等保办</w:t>
      </w:r>
      <w:r>
        <w:rPr>
          <w:rFonts w:hint="eastAsia" w:ascii="宋体" w:hAnsi="宋体"/>
          <w:sz w:val="24"/>
        </w:rPr>
        <w:t>[</w:t>
      </w:r>
      <w:r>
        <w:rPr>
          <w:rFonts w:hint="eastAsia" w:ascii="宋体" w:hAnsi="宋体" w:eastAsia="宋体" w:cs="宋体"/>
          <w:color w:val="auto"/>
          <w:kern w:val="2"/>
          <w:sz w:val="24"/>
          <w:szCs w:val="24"/>
          <w:highlight w:val="none"/>
          <w:lang w:val="en-US" w:eastAsia="zh-CN" w:bidi="ar-SA"/>
        </w:rPr>
        <w:t>2011] 2号）等相关文件要求，对西安医学院第一附属医院的5个三级信息系统实施网络安全等级保护测评工作。</w:t>
      </w:r>
    </w:p>
    <w:p w14:paraId="58691DD8">
      <w:pPr>
        <w:keepNext w:val="0"/>
        <w:keepLines w:val="0"/>
        <w:pageBreakBefore w:val="0"/>
        <w:kinsoku/>
        <w:wordWrap/>
        <w:overflowPunct/>
        <w:topLinePunct w:val="0"/>
        <w:bidi w:val="0"/>
        <w:adjustRightInd w:val="0"/>
        <w:snapToGrid w:val="0"/>
        <w:spacing w:before="0" w:after="0" w:line="360" w:lineRule="auto"/>
        <w:ind w:firstLine="482"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1.系统调研：</w:t>
      </w:r>
      <w:r>
        <w:rPr>
          <w:rFonts w:hint="eastAsia" w:ascii="宋体" w:hAnsi="宋体" w:eastAsia="宋体" w:cs="宋体"/>
          <w:color w:val="auto"/>
          <w:kern w:val="2"/>
          <w:sz w:val="24"/>
          <w:szCs w:val="24"/>
          <w:highlight w:val="none"/>
          <w:lang w:val="en-US" w:eastAsia="zh-CN" w:bidi="ar-SA"/>
        </w:rPr>
        <w:t>在系统相关人员的协助下，对上述信息系统进行调研和梳理，了解系统当前信息系统资产现状。</w:t>
      </w:r>
    </w:p>
    <w:p w14:paraId="5D213D3C">
      <w:pPr>
        <w:keepNext w:val="0"/>
        <w:keepLines w:val="0"/>
        <w:pageBreakBefore w:val="0"/>
        <w:kinsoku/>
        <w:wordWrap/>
        <w:overflowPunct/>
        <w:topLinePunct w:val="0"/>
        <w:bidi w:val="0"/>
        <w:adjustRightInd w:val="0"/>
        <w:snapToGrid w:val="0"/>
        <w:spacing w:before="0" w:after="0" w:line="360" w:lineRule="auto"/>
        <w:ind w:firstLine="482"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2.现场测评：</w:t>
      </w:r>
      <w:r>
        <w:rPr>
          <w:rFonts w:hint="eastAsia" w:ascii="宋体" w:hAnsi="宋体" w:eastAsia="宋体" w:cs="宋体"/>
          <w:color w:val="auto"/>
          <w:kern w:val="2"/>
          <w:sz w:val="24"/>
          <w:szCs w:val="24"/>
          <w:highlight w:val="none"/>
          <w:lang w:val="en-US" w:eastAsia="zh-CN" w:bidi="ar-SA"/>
        </w:rPr>
        <w:t>根据国家等级测评的相关标准及已编制的相关等级保护测评指导书对信息系统中的相关资产进行测评项的检查、记录检查结果。</w:t>
      </w:r>
    </w:p>
    <w:p w14:paraId="61685144">
      <w:pPr>
        <w:keepNext w:val="0"/>
        <w:keepLines w:val="0"/>
        <w:pageBreakBefore w:val="0"/>
        <w:kinsoku/>
        <w:wordWrap/>
        <w:overflowPunct/>
        <w:topLinePunct w:val="0"/>
        <w:bidi w:val="0"/>
        <w:adjustRightInd w:val="0"/>
        <w:snapToGrid w:val="0"/>
        <w:spacing w:before="0" w:after="0" w:line="360" w:lineRule="auto"/>
        <w:ind w:firstLine="482"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3.分析整改：</w:t>
      </w:r>
      <w:r>
        <w:rPr>
          <w:rFonts w:hint="eastAsia" w:ascii="宋体" w:hAnsi="宋体" w:eastAsia="宋体" w:cs="宋体"/>
          <w:color w:val="auto"/>
          <w:kern w:val="2"/>
          <w:sz w:val="24"/>
          <w:szCs w:val="24"/>
          <w:highlight w:val="none"/>
          <w:lang w:val="en-US" w:eastAsia="zh-CN" w:bidi="ar-SA"/>
        </w:rPr>
        <w:t>根据前述工作内容，分析信息系统安全情况与等级保护基本要求的差距,提供差异化测评服务并进行风险分析，可根据现场情况出具科学合理的整改建议及整改方案，配合西安医学院第一附属医院安全整改工作。</w:t>
      </w:r>
    </w:p>
    <w:p w14:paraId="4018A4B7">
      <w:pPr>
        <w:keepNext w:val="0"/>
        <w:keepLines w:val="0"/>
        <w:pageBreakBefore w:val="0"/>
        <w:kinsoku/>
        <w:wordWrap/>
        <w:overflowPunct/>
        <w:topLinePunct w:val="0"/>
        <w:bidi w:val="0"/>
        <w:adjustRightInd w:val="0"/>
        <w:snapToGrid w:val="0"/>
        <w:spacing w:before="0" w:after="0" w:line="360" w:lineRule="auto"/>
        <w:ind w:firstLine="482"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4.结论报告：</w:t>
      </w:r>
      <w:r>
        <w:rPr>
          <w:rFonts w:hint="eastAsia" w:ascii="宋体" w:hAnsi="宋体" w:eastAsia="宋体" w:cs="宋体"/>
          <w:color w:val="auto"/>
          <w:kern w:val="2"/>
          <w:sz w:val="24"/>
          <w:szCs w:val="24"/>
          <w:highlight w:val="none"/>
          <w:lang w:val="en-US" w:eastAsia="zh-CN" w:bidi="ar-SA"/>
        </w:rPr>
        <w:t>根据前述工作内容，分析当前信息系统安全保护能力是否符合相应等级的安全要求，针对整改项进行再次测评，提供安全等级符合性测评服务，出具相关系统测评报告。</w:t>
      </w:r>
    </w:p>
    <w:p w14:paraId="7FC3E586">
      <w:pPr>
        <w:keepNext w:val="0"/>
        <w:keepLines w:val="0"/>
        <w:pageBreakBefore w:val="0"/>
        <w:kinsoku/>
        <w:wordWrap/>
        <w:overflowPunct/>
        <w:topLinePunct w:val="0"/>
        <w:bidi w:val="0"/>
        <w:adjustRightInd w:val="0"/>
        <w:snapToGrid w:val="0"/>
        <w:spacing w:before="0" w:after="0" w:line="360" w:lineRule="auto"/>
        <w:ind w:firstLine="482"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5.配合验收：</w:t>
      </w:r>
      <w:r>
        <w:rPr>
          <w:rFonts w:hint="eastAsia" w:ascii="宋体" w:hAnsi="宋体" w:eastAsia="宋体" w:cs="宋体"/>
          <w:color w:val="auto"/>
          <w:kern w:val="2"/>
          <w:sz w:val="24"/>
          <w:szCs w:val="24"/>
          <w:highlight w:val="none"/>
          <w:lang w:val="en-US" w:eastAsia="zh-CN" w:bidi="ar-SA"/>
        </w:rPr>
        <w:t>整理项目过程中所有相关的过程文档，提交系统相关人员。服务商应按等级保护测评要求制定测评过程中产生的文档，做到科学、规范、详尽、统一。</w:t>
      </w:r>
    </w:p>
    <w:p w14:paraId="1E38E0E6">
      <w:pPr>
        <w:numPr>
          <w:ilvl w:val="0"/>
          <w:numId w:val="0"/>
        </w:numPr>
        <w:spacing w:before="156" w:beforeLines="50" w:after="156" w:afterLines="50" w:line="360" w:lineRule="auto"/>
        <w:ind w:left="0" w:leftChars="0" w:firstLine="425" w:firstLineChars="0"/>
        <w:jc w:val="both"/>
        <w:rPr>
          <w:rFonts w:hint="eastAsia" w:ascii="宋体" w:hAnsi="宋体"/>
          <w:sz w:val="24"/>
        </w:rPr>
      </w:pPr>
      <w:r>
        <w:rPr>
          <w:rFonts w:hint="eastAsia" w:ascii="宋体" w:hAnsi="宋体" w:eastAsia="宋体" w:cs="宋体"/>
          <w:b/>
          <w:bCs/>
          <w:color w:val="auto"/>
          <w:kern w:val="2"/>
          <w:sz w:val="24"/>
          <w:szCs w:val="24"/>
          <w:highlight w:val="none"/>
          <w:lang w:val="en-US" w:eastAsia="zh-CN" w:bidi="ar-SA"/>
        </w:rPr>
        <w:t>6.</w:t>
      </w:r>
      <w:r>
        <w:rPr>
          <w:rFonts w:hint="eastAsia" w:ascii="宋体" w:hAnsi="宋体" w:eastAsia="宋体" w:cs="宋体"/>
          <w:b/>
          <w:bCs/>
          <w:color w:val="auto"/>
          <w:kern w:val="2"/>
          <w:sz w:val="24"/>
          <w:szCs w:val="24"/>
          <w:highlight w:val="none"/>
          <w:lang w:val="en-US" w:eastAsia="zh-Hans" w:bidi="ar-SA"/>
        </w:rPr>
        <w:t>本</w:t>
      </w:r>
      <w:r>
        <w:rPr>
          <w:rFonts w:hint="eastAsia" w:ascii="宋体" w:hAnsi="宋体" w:eastAsia="宋体" w:cs="宋体"/>
          <w:b/>
          <w:bCs/>
          <w:color w:val="auto"/>
          <w:kern w:val="2"/>
          <w:sz w:val="24"/>
          <w:szCs w:val="24"/>
          <w:highlight w:val="none"/>
          <w:lang w:val="en-US" w:eastAsia="zh-CN" w:bidi="ar-SA"/>
        </w:rPr>
        <w:t>项目包括的系统清单如下</w:t>
      </w:r>
      <w:r>
        <w:rPr>
          <w:rFonts w:hint="eastAsia" w:ascii="宋体" w:hAnsi="宋体"/>
          <w:sz w:val="24"/>
        </w:rPr>
        <w:t>：</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4308"/>
        <w:gridCol w:w="1590"/>
        <w:gridCol w:w="2186"/>
      </w:tblGrid>
      <w:tr w14:paraId="43F82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tcBorders>
              <w:top w:val="single" w:color="auto" w:sz="4" w:space="0"/>
              <w:left w:val="single" w:color="auto" w:sz="4" w:space="0"/>
              <w:bottom w:val="single" w:color="auto" w:sz="4" w:space="0"/>
              <w:right w:val="single" w:color="auto" w:sz="4" w:space="0"/>
            </w:tcBorders>
            <w:shd w:val="clear" w:color="auto" w:fill="BFBFBF"/>
            <w:vAlign w:val="center"/>
          </w:tcPr>
          <w:p w14:paraId="07188916">
            <w:pPr>
              <w:spacing w:line="360" w:lineRule="auto"/>
              <w:jc w:val="center"/>
              <w:rPr>
                <w:rFonts w:hint="eastAsia" w:ascii="宋体" w:hAnsi="宋体" w:cs="宋体"/>
                <w:b/>
                <w:szCs w:val="21"/>
              </w:rPr>
            </w:pPr>
            <w:r>
              <w:rPr>
                <w:rFonts w:hint="eastAsia" w:ascii="宋体" w:hAnsi="宋体" w:cs="宋体"/>
                <w:b/>
                <w:szCs w:val="21"/>
              </w:rPr>
              <w:t>序号</w:t>
            </w:r>
          </w:p>
        </w:tc>
        <w:tc>
          <w:tcPr>
            <w:tcW w:w="4308" w:type="dxa"/>
            <w:tcBorders>
              <w:top w:val="single" w:color="auto" w:sz="4" w:space="0"/>
              <w:left w:val="single" w:color="auto" w:sz="4" w:space="0"/>
              <w:bottom w:val="single" w:color="auto" w:sz="4" w:space="0"/>
              <w:right w:val="single" w:color="auto" w:sz="4" w:space="0"/>
            </w:tcBorders>
            <w:shd w:val="clear" w:color="auto" w:fill="BFBFBF"/>
            <w:vAlign w:val="center"/>
          </w:tcPr>
          <w:p w14:paraId="534FC6F1">
            <w:pPr>
              <w:spacing w:line="360" w:lineRule="auto"/>
              <w:jc w:val="center"/>
              <w:rPr>
                <w:rFonts w:hint="eastAsia" w:ascii="宋体" w:hAnsi="宋体" w:cs="宋体"/>
                <w:b/>
                <w:szCs w:val="21"/>
              </w:rPr>
            </w:pPr>
            <w:r>
              <w:rPr>
                <w:rFonts w:hint="eastAsia" w:ascii="宋体" w:hAnsi="宋体" w:cs="宋体"/>
                <w:b/>
                <w:szCs w:val="21"/>
              </w:rPr>
              <w:t>系统名称</w:t>
            </w:r>
          </w:p>
        </w:tc>
        <w:tc>
          <w:tcPr>
            <w:tcW w:w="1590" w:type="dxa"/>
            <w:tcBorders>
              <w:top w:val="single" w:color="auto" w:sz="4" w:space="0"/>
              <w:left w:val="single" w:color="auto" w:sz="4" w:space="0"/>
              <w:bottom w:val="single" w:color="auto" w:sz="4" w:space="0"/>
              <w:right w:val="single" w:color="auto" w:sz="4" w:space="0"/>
            </w:tcBorders>
            <w:shd w:val="clear" w:color="auto" w:fill="BFBFBF"/>
            <w:vAlign w:val="center"/>
          </w:tcPr>
          <w:p w14:paraId="368FDD00">
            <w:pPr>
              <w:spacing w:line="360" w:lineRule="auto"/>
              <w:jc w:val="center"/>
              <w:rPr>
                <w:rFonts w:hint="eastAsia" w:ascii="宋体" w:hAnsi="宋体" w:cs="宋体"/>
                <w:b/>
                <w:szCs w:val="21"/>
              </w:rPr>
            </w:pPr>
            <w:r>
              <w:rPr>
                <w:rFonts w:hint="eastAsia" w:ascii="宋体" w:hAnsi="宋体" w:cs="宋体"/>
                <w:b/>
                <w:szCs w:val="21"/>
              </w:rPr>
              <w:t>系统级别</w:t>
            </w:r>
          </w:p>
        </w:tc>
        <w:tc>
          <w:tcPr>
            <w:tcW w:w="2186" w:type="dxa"/>
            <w:tcBorders>
              <w:top w:val="single" w:color="auto" w:sz="4" w:space="0"/>
              <w:left w:val="single" w:color="auto" w:sz="4" w:space="0"/>
              <w:bottom w:val="single" w:color="auto" w:sz="4" w:space="0"/>
              <w:right w:val="single" w:color="auto" w:sz="4" w:space="0"/>
            </w:tcBorders>
            <w:shd w:val="clear" w:color="auto" w:fill="BFBFBF"/>
            <w:vAlign w:val="center"/>
          </w:tcPr>
          <w:p w14:paraId="481E0D7C">
            <w:pPr>
              <w:spacing w:line="360" w:lineRule="auto"/>
              <w:jc w:val="center"/>
              <w:rPr>
                <w:rFonts w:hint="eastAsia" w:ascii="宋体" w:hAnsi="宋体" w:cs="宋体"/>
                <w:b/>
                <w:szCs w:val="21"/>
              </w:rPr>
            </w:pPr>
            <w:r>
              <w:rPr>
                <w:rFonts w:hint="eastAsia" w:ascii="宋体" w:hAnsi="宋体" w:cs="宋体"/>
                <w:b/>
                <w:szCs w:val="21"/>
              </w:rPr>
              <w:t>服务类型</w:t>
            </w:r>
          </w:p>
        </w:tc>
      </w:tr>
      <w:tr w14:paraId="1AAC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tcBorders>
              <w:top w:val="single" w:color="auto" w:sz="4" w:space="0"/>
              <w:left w:val="single" w:color="auto" w:sz="4" w:space="0"/>
              <w:bottom w:val="single" w:color="auto" w:sz="4" w:space="0"/>
              <w:right w:val="single" w:color="auto" w:sz="4" w:space="0"/>
            </w:tcBorders>
            <w:vAlign w:val="center"/>
          </w:tcPr>
          <w:p w14:paraId="223BBFD8">
            <w:pPr>
              <w:numPr>
                <w:ilvl w:val="0"/>
                <w:numId w:val="0"/>
              </w:numPr>
              <w:spacing w:after="0" w:line="360" w:lineRule="auto"/>
              <w:ind w:left="425" w:leftChars="0" w:hanging="425" w:firstLineChars="0"/>
              <w:jc w:val="center"/>
              <w:rPr>
                <w:rFonts w:hint="eastAsia" w:ascii="宋体" w:hAnsi="宋体" w:cs="宋体"/>
                <w:szCs w:val="22"/>
              </w:rPr>
            </w:pPr>
            <w:r>
              <w:rPr>
                <w:rFonts w:hint="default" w:ascii="宋体" w:hAnsi="宋体" w:eastAsia="宋体" w:cs="宋体"/>
                <w:kern w:val="2"/>
                <w:sz w:val="21"/>
                <w:szCs w:val="22"/>
                <w:lang w:val="en-US" w:eastAsia="zh-CN" w:bidi="ar-SA"/>
              </w:rPr>
              <w:t>1</w:t>
            </w:r>
          </w:p>
        </w:tc>
        <w:tc>
          <w:tcPr>
            <w:tcW w:w="4308" w:type="dxa"/>
            <w:tcBorders>
              <w:top w:val="single" w:color="auto" w:sz="4" w:space="0"/>
              <w:left w:val="single" w:color="auto" w:sz="4" w:space="0"/>
              <w:bottom w:val="single" w:color="auto" w:sz="4" w:space="0"/>
              <w:right w:val="single" w:color="auto" w:sz="4" w:space="0"/>
            </w:tcBorders>
            <w:vAlign w:val="center"/>
          </w:tcPr>
          <w:p w14:paraId="693B9802">
            <w:pPr>
              <w:widowControl/>
              <w:spacing w:line="360" w:lineRule="auto"/>
              <w:jc w:val="center"/>
              <w:rPr>
                <w:rFonts w:hint="eastAsia" w:ascii="宋体" w:hAnsi="宋体" w:cs="宋体"/>
                <w:color w:val="000000"/>
                <w:kern w:val="0"/>
                <w:szCs w:val="22"/>
              </w:rPr>
            </w:pPr>
            <w:r>
              <w:rPr>
                <w:rFonts w:hint="eastAsia" w:ascii="宋体" w:hAnsi="宋体" w:cs="宋体"/>
                <w:color w:val="000000"/>
                <w:kern w:val="0"/>
                <w:szCs w:val="22"/>
                <w:lang w:eastAsia="zh-Hans"/>
              </w:rPr>
              <w:t>HIS</w:t>
            </w:r>
            <w:r>
              <w:rPr>
                <w:rFonts w:hint="eastAsia" w:ascii="宋体" w:hAnsi="宋体" w:eastAsia="宋体" w:cs="宋体"/>
                <w:color w:val="000000"/>
                <w:kern w:val="0"/>
                <w:szCs w:val="22"/>
                <w:lang w:eastAsia="zh-Hans"/>
              </w:rPr>
              <w:t>系统</w:t>
            </w:r>
          </w:p>
        </w:tc>
        <w:tc>
          <w:tcPr>
            <w:tcW w:w="1590" w:type="dxa"/>
            <w:tcBorders>
              <w:top w:val="single" w:color="auto" w:sz="4" w:space="0"/>
              <w:left w:val="single" w:color="auto" w:sz="4" w:space="0"/>
              <w:bottom w:val="single" w:color="auto" w:sz="4" w:space="0"/>
              <w:right w:val="single" w:color="auto" w:sz="4" w:space="0"/>
            </w:tcBorders>
            <w:vAlign w:val="center"/>
          </w:tcPr>
          <w:p w14:paraId="2E437D10">
            <w:pPr>
              <w:widowControl/>
              <w:spacing w:line="360" w:lineRule="auto"/>
              <w:jc w:val="center"/>
              <w:rPr>
                <w:rFonts w:hint="eastAsia" w:ascii="宋体" w:hAnsi="宋体" w:cs="宋体"/>
                <w:color w:val="000000"/>
                <w:kern w:val="0"/>
                <w:szCs w:val="22"/>
              </w:rPr>
            </w:pPr>
            <w:r>
              <w:rPr>
                <w:rFonts w:hint="eastAsia" w:ascii="宋体" w:hAnsi="宋体" w:cs="宋体"/>
                <w:color w:val="000000"/>
                <w:kern w:val="0"/>
                <w:szCs w:val="22"/>
              </w:rPr>
              <w:t>三级</w:t>
            </w:r>
          </w:p>
        </w:tc>
        <w:tc>
          <w:tcPr>
            <w:tcW w:w="2186" w:type="dxa"/>
            <w:tcBorders>
              <w:top w:val="single" w:color="auto" w:sz="4" w:space="0"/>
              <w:left w:val="single" w:color="auto" w:sz="4" w:space="0"/>
              <w:bottom w:val="single" w:color="auto" w:sz="4" w:space="0"/>
              <w:right w:val="single" w:color="auto" w:sz="4" w:space="0"/>
            </w:tcBorders>
            <w:vAlign w:val="center"/>
          </w:tcPr>
          <w:p w14:paraId="6E219DB6">
            <w:pPr>
              <w:widowControl/>
              <w:spacing w:line="360" w:lineRule="auto"/>
              <w:jc w:val="center"/>
              <w:rPr>
                <w:rFonts w:hint="eastAsia" w:ascii="宋体" w:hAnsi="宋体" w:cs="宋体"/>
                <w:color w:val="000000"/>
                <w:kern w:val="0"/>
                <w:szCs w:val="22"/>
              </w:rPr>
            </w:pPr>
            <w:r>
              <w:rPr>
                <w:rFonts w:hint="eastAsia" w:ascii="宋体" w:hAnsi="宋体" w:cs="宋体"/>
                <w:color w:val="000000"/>
                <w:kern w:val="0"/>
                <w:szCs w:val="22"/>
              </w:rPr>
              <w:t>等级保护测评</w:t>
            </w:r>
          </w:p>
        </w:tc>
      </w:tr>
      <w:tr w14:paraId="47119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tcBorders>
              <w:top w:val="single" w:color="auto" w:sz="4" w:space="0"/>
              <w:left w:val="single" w:color="auto" w:sz="4" w:space="0"/>
              <w:bottom w:val="single" w:color="auto" w:sz="4" w:space="0"/>
              <w:right w:val="single" w:color="auto" w:sz="4" w:space="0"/>
            </w:tcBorders>
            <w:vAlign w:val="center"/>
          </w:tcPr>
          <w:p w14:paraId="5B35DEF5">
            <w:pPr>
              <w:numPr>
                <w:ilvl w:val="0"/>
                <w:numId w:val="0"/>
              </w:numPr>
              <w:spacing w:after="0" w:line="360" w:lineRule="auto"/>
              <w:ind w:left="425" w:leftChars="0" w:hanging="425" w:firstLineChars="0"/>
              <w:jc w:val="center"/>
              <w:rPr>
                <w:rFonts w:hint="eastAsia" w:ascii="宋体" w:hAnsi="宋体" w:cs="宋体"/>
                <w:szCs w:val="22"/>
              </w:rPr>
            </w:pPr>
            <w:r>
              <w:rPr>
                <w:rFonts w:hint="default" w:ascii="宋体" w:hAnsi="宋体" w:eastAsia="宋体" w:cs="宋体"/>
                <w:kern w:val="2"/>
                <w:sz w:val="21"/>
                <w:szCs w:val="22"/>
                <w:lang w:val="en-US" w:eastAsia="zh-CN" w:bidi="ar-SA"/>
              </w:rPr>
              <w:t>2</w:t>
            </w:r>
          </w:p>
        </w:tc>
        <w:tc>
          <w:tcPr>
            <w:tcW w:w="4308" w:type="dxa"/>
            <w:tcBorders>
              <w:top w:val="single" w:color="auto" w:sz="4" w:space="0"/>
              <w:left w:val="single" w:color="auto" w:sz="4" w:space="0"/>
              <w:bottom w:val="single" w:color="auto" w:sz="4" w:space="0"/>
              <w:right w:val="single" w:color="auto" w:sz="4" w:space="0"/>
            </w:tcBorders>
            <w:vAlign w:val="center"/>
          </w:tcPr>
          <w:p w14:paraId="3CB74142">
            <w:pPr>
              <w:widowControl/>
              <w:spacing w:line="360" w:lineRule="auto"/>
              <w:jc w:val="center"/>
              <w:rPr>
                <w:rFonts w:hint="eastAsia" w:ascii="宋体" w:hAnsi="宋体" w:cs="宋体"/>
                <w:color w:val="000000"/>
                <w:kern w:val="0"/>
                <w:szCs w:val="22"/>
                <w:lang w:eastAsia="zh-Hans"/>
              </w:rPr>
            </w:pPr>
            <w:r>
              <w:rPr>
                <w:rFonts w:hint="eastAsia" w:ascii="宋体" w:hAnsi="宋体" w:cs="宋体"/>
                <w:color w:val="000000"/>
                <w:kern w:val="0"/>
                <w:szCs w:val="22"/>
                <w:lang w:eastAsia="zh-Hans"/>
              </w:rPr>
              <w:t>LIS</w:t>
            </w:r>
            <w:r>
              <w:rPr>
                <w:rFonts w:hint="eastAsia" w:ascii="宋体" w:hAnsi="宋体" w:eastAsia="宋体" w:cs="宋体"/>
                <w:color w:val="000000"/>
                <w:kern w:val="0"/>
                <w:szCs w:val="22"/>
                <w:lang w:eastAsia="zh-Hans"/>
              </w:rPr>
              <w:t>系统</w:t>
            </w:r>
          </w:p>
        </w:tc>
        <w:tc>
          <w:tcPr>
            <w:tcW w:w="1590" w:type="dxa"/>
            <w:tcBorders>
              <w:top w:val="single" w:color="auto" w:sz="4" w:space="0"/>
              <w:left w:val="single" w:color="auto" w:sz="4" w:space="0"/>
              <w:bottom w:val="single" w:color="auto" w:sz="4" w:space="0"/>
              <w:right w:val="single" w:color="auto" w:sz="4" w:space="0"/>
            </w:tcBorders>
            <w:vAlign w:val="center"/>
          </w:tcPr>
          <w:p w14:paraId="5D4F5C2A">
            <w:pPr>
              <w:widowControl/>
              <w:spacing w:line="360" w:lineRule="auto"/>
              <w:jc w:val="center"/>
              <w:rPr>
                <w:rFonts w:hint="eastAsia" w:ascii="宋体" w:hAnsi="宋体" w:cs="宋体"/>
                <w:color w:val="000000"/>
                <w:kern w:val="0"/>
                <w:szCs w:val="22"/>
              </w:rPr>
            </w:pPr>
            <w:r>
              <w:rPr>
                <w:rFonts w:hint="eastAsia" w:ascii="宋体" w:hAnsi="宋体" w:cs="宋体"/>
                <w:color w:val="000000"/>
                <w:kern w:val="0"/>
                <w:szCs w:val="22"/>
              </w:rPr>
              <w:t>三级</w:t>
            </w:r>
          </w:p>
        </w:tc>
        <w:tc>
          <w:tcPr>
            <w:tcW w:w="2186" w:type="dxa"/>
            <w:tcBorders>
              <w:top w:val="single" w:color="auto" w:sz="4" w:space="0"/>
              <w:left w:val="single" w:color="auto" w:sz="4" w:space="0"/>
              <w:bottom w:val="single" w:color="auto" w:sz="4" w:space="0"/>
              <w:right w:val="single" w:color="auto" w:sz="4" w:space="0"/>
            </w:tcBorders>
            <w:vAlign w:val="center"/>
          </w:tcPr>
          <w:p w14:paraId="488F9345">
            <w:pPr>
              <w:widowControl/>
              <w:spacing w:line="360" w:lineRule="auto"/>
              <w:jc w:val="center"/>
              <w:rPr>
                <w:rFonts w:hint="eastAsia" w:ascii="宋体" w:hAnsi="宋体" w:cs="宋体"/>
                <w:color w:val="000000"/>
                <w:kern w:val="0"/>
                <w:szCs w:val="22"/>
              </w:rPr>
            </w:pPr>
            <w:r>
              <w:rPr>
                <w:rFonts w:hint="eastAsia" w:ascii="宋体" w:hAnsi="宋体" w:cs="宋体"/>
                <w:color w:val="000000"/>
                <w:kern w:val="0"/>
                <w:szCs w:val="22"/>
              </w:rPr>
              <w:t>等级保护测评</w:t>
            </w:r>
          </w:p>
        </w:tc>
      </w:tr>
      <w:tr w14:paraId="27134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tcBorders>
              <w:top w:val="single" w:color="auto" w:sz="4" w:space="0"/>
              <w:left w:val="single" w:color="auto" w:sz="4" w:space="0"/>
              <w:bottom w:val="single" w:color="auto" w:sz="4" w:space="0"/>
              <w:right w:val="single" w:color="auto" w:sz="4" w:space="0"/>
            </w:tcBorders>
            <w:vAlign w:val="center"/>
          </w:tcPr>
          <w:p w14:paraId="094DED56">
            <w:pPr>
              <w:numPr>
                <w:ilvl w:val="0"/>
                <w:numId w:val="0"/>
              </w:numPr>
              <w:spacing w:after="0" w:line="360" w:lineRule="auto"/>
              <w:ind w:left="425" w:leftChars="0" w:hanging="425" w:firstLineChars="0"/>
              <w:jc w:val="center"/>
              <w:rPr>
                <w:rFonts w:hint="eastAsia" w:ascii="宋体" w:hAnsi="宋体" w:cs="宋体"/>
                <w:szCs w:val="22"/>
              </w:rPr>
            </w:pPr>
            <w:r>
              <w:rPr>
                <w:rFonts w:hint="default" w:ascii="宋体" w:hAnsi="宋体" w:eastAsia="宋体" w:cs="宋体"/>
                <w:kern w:val="2"/>
                <w:sz w:val="21"/>
                <w:szCs w:val="22"/>
                <w:lang w:val="en-US" w:eastAsia="zh-CN" w:bidi="ar-SA"/>
              </w:rPr>
              <w:t>3</w:t>
            </w:r>
          </w:p>
        </w:tc>
        <w:tc>
          <w:tcPr>
            <w:tcW w:w="4308" w:type="dxa"/>
            <w:tcBorders>
              <w:top w:val="single" w:color="auto" w:sz="4" w:space="0"/>
              <w:left w:val="single" w:color="auto" w:sz="4" w:space="0"/>
              <w:bottom w:val="single" w:color="auto" w:sz="4" w:space="0"/>
              <w:right w:val="single" w:color="auto" w:sz="4" w:space="0"/>
            </w:tcBorders>
            <w:vAlign w:val="center"/>
          </w:tcPr>
          <w:p w14:paraId="0D96AEF9">
            <w:pPr>
              <w:widowControl/>
              <w:spacing w:line="360" w:lineRule="auto"/>
              <w:jc w:val="center"/>
              <w:rPr>
                <w:rFonts w:hint="eastAsia" w:ascii="宋体" w:hAnsi="宋体" w:cs="宋体"/>
                <w:color w:val="000000"/>
                <w:kern w:val="0"/>
                <w:szCs w:val="22"/>
                <w:lang w:eastAsia="zh-Hans"/>
              </w:rPr>
            </w:pPr>
            <w:r>
              <w:rPr>
                <w:rFonts w:hint="eastAsia" w:ascii="宋体" w:hAnsi="宋体" w:eastAsia="宋体" w:cs="宋体"/>
                <w:color w:val="000000"/>
                <w:kern w:val="0"/>
                <w:szCs w:val="22"/>
                <w:lang w:eastAsia="zh-Hans"/>
              </w:rPr>
              <w:t>PACS系统</w:t>
            </w:r>
          </w:p>
        </w:tc>
        <w:tc>
          <w:tcPr>
            <w:tcW w:w="1590" w:type="dxa"/>
            <w:tcBorders>
              <w:top w:val="single" w:color="auto" w:sz="4" w:space="0"/>
              <w:left w:val="single" w:color="auto" w:sz="4" w:space="0"/>
              <w:bottom w:val="single" w:color="auto" w:sz="4" w:space="0"/>
              <w:right w:val="single" w:color="auto" w:sz="4" w:space="0"/>
            </w:tcBorders>
            <w:vAlign w:val="center"/>
          </w:tcPr>
          <w:p w14:paraId="68C338CF">
            <w:pPr>
              <w:widowControl/>
              <w:spacing w:line="360" w:lineRule="auto"/>
              <w:jc w:val="center"/>
              <w:rPr>
                <w:rFonts w:hint="eastAsia" w:ascii="宋体" w:hAnsi="宋体" w:cs="宋体"/>
                <w:color w:val="000000"/>
                <w:kern w:val="0"/>
                <w:szCs w:val="22"/>
              </w:rPr>
            </w:pPr>
            <w:r>
              <w:rPr>
                <w:rFonts w:hint="eastAsia" w:ascii="宋体" w:hAnsi="宋体" w:cs="宋体"/>
                <w:color w:val="000000"/>
                <w:kern w:val="0"/>
                <w:szCs w:val="22"/>
              </w:rPr>
              <w:t>三级</w:t>
            </w:r>
          </w:p>
        </w:tc>
        <w:tc>
          <w:tcPr>
            <w:tcW w:w="2186" w:type="dxa"/>
            <w:tcBorders>
              <w:top w:val="single" w:color="auto" w:sz="4" w:space="0"/>
              <w:left w:val="single" w:color="auto" w:sz="4" w:space="0"/>
              <w:bottom w:val="single" w:color="auto" w:sz="4" w:space="0"/>
              <w:right w:val="single" w:color="auto" w:sz="4" w:space="0"/>
            </w:tcBorders>
            <w:vAlign w:val="center"/>
          </w:tcPr>
          <w:p w14:paraId="24673970">
            <w:pPr>
              <w:widowControl/>
              <w:spacing w:line="360" w:lineRule="auto"/>
              <w:jc w:val="center"/>
              <w:rPr>
                <w:rFonts w:hint="eastAsia" w:ascii="宋体" w:hAnsi="宋体" w:cs="宋体"/>
                <w:color w:val="000000"/>
                <w:kern w:val="0"/>
                <w:szCs w:val="22"/>
              </w:rPr>
            </w:pPr>
            <w:r>
              <w:rPr>
                <w:rFonts w:hint="eastAsia" w:ascii="宋体" w:hAnsi="宋体" w:cs="宋体"/>
                <w:color w:val="000000"/>
                <w:kern w:val="0"/>
                <w:szCs w:val="22"/>
              </w:rPr>
              <w:t>等级保护测评</w:t>
            </w:r>
          </w:p>
        </w:tc>
      </w:tr>
      <w:tr w14:paraId="096C6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tcBorders>
              <w:top w:val="single" w:color="auto" w:sz="4" w:space="0"/>
              <w:left w:val="single" w:color="auto" w:sz="4" w:space="0"/>
              <w:bottom w:val="single" w:color="auto" w:sz="4" w:space="0"/>
              <w:right w:val="single" w:color="auto" w:sz="4" w:space="0"/>
            </w:tcBorders>
            <w:vAlign w:val="center"/>
          </w:tcPr>
          <w:p w14:paraId="29C4623A">
            <w:pPr>
              <w:numPr>
                <w:ilvl w:val="0"/>
                <w:numId w:val="0"/>
              </w:numPr>
              <w:spacing w:after="0" w:line="360" w:lineRule="auto"/>
              <w:ind w:left="425" w:leftChars="0" w:hanging="425" w:firstLineChars="0"/>
              <w:jc w:val="center"/>
              <w:rPr>
                <w:rFonts w:hint="eastAsia" w:ascii="宋体" w:hAnsi="宋体" w:cs="宋体"/>
                <w:szCs w:val="22"/>
              </w:rPr>
            </w:pPr>
            <w:r>
              <w:rPr>
                <w:rFonts w:hint="default" w:ascii="宋体" w:hAnsi="宋体" w:eastAsia="宋体" w:cs="宋体"/>
                <w:kern w:val="2"/>
                <w:sz w:val="21"/>
                <w:szCs w:val="22"/>
                <w:lang w:val="en-US" w:eastAsia="zh-CN" w:bidi="ar-SA"/>
              </w:rPr>
              <w:t>4</w:t>
            </w:r>
          </w:p>
        </w:tc>
        <w:tc>
          <w:tcPr>
            <w:tcW w:w="4308" w:type="dxa"/>
            <w:tcBorders>
              <w:top w:val="single" w:color="auto" w:sz="4" w:space="0"/>
              <w:left w:val="single" w:color="auto" w:sz="4" w:space="0"/>
              <w:bottom w:val="single" w:color="auto" w:sz="4" w:space="0"/>
              <w:right w:val="single" w:color="auto" w:sz="4" w:space="0"/>
            </w:tcBorders>
            <w:vAlign w:val="center"/>
          </w:tcPr>
          <w:p w14:paraId="6DF92548">
            <w:pPr>
              <w:widowControl/>
              <w:spacing w:line="360" w:lineRule="auto"/>
              <w:jc w:val="center"/>
              <w:rPr>
                <w:rFonts w:hint="eastAsia" w:ascii="宋体" w:hAnsi="宋体" w:cs="宋体"/>
                <w:color w:val="000000"/>
                <w:kern w:val="0"/>
                <w:szCs w:val="22"/>
                <w:lang w:eastAsia="zh-Hans"/>
              </w:rPr>
            </w:pPr>
            <w:r>
              <w:rPr>
                <w:rFonts w:hint="eastAsia" w:ascii="宋体" w:hAnsi="宋体" w:eastAsia="宋体" w:cs="宋体"/>
                <w:color w:val="000000"/>
                <w:kern w:val="0"/>
                <w:szCs w:val="22"/>
                <w:lang w:eastAsia="zh-Hans"/>
              </w:rPr>
              <w:t>集成平台</w:t>
            </w:r>
          </w:p>
        </w:tc>
        <w:tc>
          <w:tcPr>
            <w:tcW w:w="1590" w:type="dxa"/>
            <w:tcBorders>
              <w:top w:val="single" w:color="auto" w:sz="4" w:space="0"/>
              <w:left w:val="single" w:color="auto" w:sz="4" w:space="0"/>
              <w:bottom w:val="single" w:color="auto" w:sz="4" w:space="0"/>
              <w:right w:val="single" w:color="auto" w:sz="4" w:space="0"/>
            </w:tcBorders>
            <w:vAlign w:val="center"/>
          </w:tcPr>
          <w:p w14:paraId="0A182FAC">
            <w:pPr>
              <w:widowControl/>
              <w:spacing w:line="360" w:lineRule="auto"/>
              <w:jc w:val="center"/>
              <w:rPr>
                <w:rFonts w:hint="eastAsia" w:ascii="宋体" w:hAnsi="宋体" w:cs="宋体"/>
                <w:color w:val="000000"/>
                <w:kern w:val="0"/>
                <w:szCs w:val="22"/>
              </w:rPr>
            </w:pPr>
            <w:r>
              <w:rPr>
                <w:rFonts w:hint="eastAsia" w:ascii="宋体" w:hAnsi="宋体" w:cs="宋体"/>
                <w:color w:val="000000"/>
                <w:kern w:val="0"/>
                <w:szCs w:val="22"/>
              </w:rPr>
              <w:t>三级</w:t>
            </w:r>
          </w:p>
        </w:tc>
        <w:tc>
          <w:tcPr>
            <w:tcW w:w="2186" w:type="dxa"/>
            <w:tcBorders>
              <w:top w:val="single" w:color="auto" w:sz="4" w:space="0"/>
              <w:left w:val="single" w:color="auto" w:sz="4" w:space="0"/>
              <w:bottom w:val="single" w:color="auto" w:sz="4" w:space="0"/>
              <w:right w:val="single" w:color="auto" w:sz="4" w:space="0"/>
            </w:tcBorders>
            <w:vAlign w:val="center"/>
          </w:tcPr>
          <w:p w14:paraId="5CE99E58">
            <w:pPr>
              <w:widowControl/>
              <w:spacing w:line="360" w:lineRule="auto"/>
              <w:jc w:val="center"/>
              <w:rPr>
                <w:rFonts w:hint="eastAsia" w:ascii="宋体" w:hAnsi="宋体" w:cs="宋体"/>
                <w:color w:val="000000"/>
                <w:kern w:val="0"/>
                <w:szCs w:val="22"/>
              </w:rPr>
            </w:pPr>
            <w:r>
              <w:rPr>
                <w:rFonts w:hint="eastAsia" w:ascii="宋体" w:hAnsi="宋体" w:cs="宋体"/>
                <w:color w:val="000000"/>
                <w:kern w:val="0"/>
                <w:szCs w:val="22"/>
              </w:rPr>
              <w:t>等级保护测评</w:t>
            </w:r>
          </w:p>
        </w:tc>
      </w:tr>
      <w:tr w14:paraId="4FC5D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089" w:type="dxa"/>
            <w:tcBorders>
              <w:top w:val="single" w:color="auto" w:sz="4" w:space="0"/>
              <w:left w:val="single" w:color="auto" w:sz="4" w:space="0"/>
              <w:bottom w:val="single" w:color="auto" w:sz="4" w:space="0"/>
              <w:right w:val="single" w:color="auto" w:sz="4" w:space="0"/>
            </w:tcBorders>
            <w:vAlign w:val="center"/>
          </w:tcPr>
          <w:p w14:paraId="1F9FCEA9">
            <w:pPr>
              <w:numPr>
                <w:ilvl w:val="0"/>
                <w:numId w:val="0"/>
              </w:numPr>
              <w:spacing w:after="0" w:line="360" w:lineRule="auto"/>
              <w:ind w:leftChars="0"/>
              <w:jc w:val="center"/>
              <w:rPr>
                <w:rFonts w:hint="eastAsia" w:ascii="宋体" w:hAnsi="宋体" w:eastAsia="宋体" w:cs="宋体"/>
                <w:szCs w:val="22"/>
                <w:lang w:val="en-US" w:eastAsia="zh-CN"/>
              </w:rPr>
            </w:pPr>
            <w:r>
              <w:rPr>
                <w:rFonts w:hint="eastAsia" w:ascii="宋体" w:hAnsi="宋体" w:cs="宋体"/>
                <w:szCs w:val="22"/>
                <w:lang w:val="en-US" w:eastAsia="zh-CN"/>
              </w:rPr>
              <w:t>5</w:t>
            </w:r>
          </w:p>
        </w:tc>
        <w:tc>
          <w:tcPr>
            <w:tcW w:w="4308" w:type="dxa"/>
            <w:tcBorders>
              <w:top w:val="single" w:color="auto" w:sz="4" w:space="0"/>
              <w:left w:val="single" w:color="auto" w:sz="4" w:space="0"/>
              <w:bottom w:val="single" w:color="auto" w:sz="4" w:space="0"/>
              <w:right w:val="single" w:color="auto" w:sz="4" w:space="0"/>
            </w:tcBorders>
            <w:vAlign w:val="center"/>
          </w:tcPr>
          <w:p w14:paraId="50C7DB72">
            <w:pPr>
              <w:widowControl/>
              <w:spacing w:line="360" w:lineRule="auto"/>
              <w:jc w:val="center"/>
              <w:rPr>
                <w:rFonts w:hint="eastAsia" w:ascii="宋体" w:hAnsi="宋体" w:cs="宋体"/>
                <w:szCs w:val="22"/>
                <w:lang w:eastAsia="zh-Hans"/>
              </w:rPr>
            </w:pPr>
            <w:r>
              <w:rPr>
                <w:rFonts w:hint="eastAsia" w:ascii="宋体" w:hAnsi="宋体" w:cs="宋体"/>
                <w:szCs w:val="22"/>
                <w:lang w:eastAsia="zh-Hans"/>
              </w:rPr>
              <w:t>互联网医疗服务平台</w:t>
            </w:r>
          </w:p>
        </w:tc>
        <w:tc>
          <w:tcPr>
            <w:tcW w:w="1590" w:type="dxa"/>
            <w:tcBorders>
              <w:top w:val="single" w:color="auto" w:sz="4" w:space="0"/>
              <w:left w:val="single" w:color="auto" w:sz="4" w:space="0"/>
              <w:bottom w:val="single" w:color="auto" w:sz="4" w:space="0"/>
              <w:right w:val="single" w:color="auto" w:sz="4" w:space="0"/>
            </w:tcBorders>
            <w:vAlign w:val="center"/>
          </w:tcPr>
          <w:p w14:paraId="1E3A8B25">
            <w:pPr>
              <w:widowControl/>
              <w:spacing w:line="360" w:lineRule="auto"/>
              <w:jc w:val="center"/>
              <w:rPr>
                <w:rFonts w:hint="eastAsia" w:ascii="宋体" w:hAnsi="宋体" w:cs="宋体"/>
                <w:color w:val="000000"/>
                <w:kern w:val="0"/>
                <w:szCs w:val="22"/>
              </w:rPr>
            </w:pPr>
            <w:r>
              <w:rPr>
                <w:rFonts w:hint="eastAsia" w:ascii="宋体" w:hAnsi="宋体" w:cs="宋体"/>
                <w:color w:val="000000"/>
                <w:kern w:val="0"/>
                <w:szCs w:val="22"/>
              </w:rPr>
              <w:t>三级</w:t>
            </w:r>
          </w:p>
        </w:tc>
        <w:tc>
          <w:tcPr>
            <w:tcW w:w="2186" w:type="dxa"/>
            <w:tcBorders>
              <w:top w:val="single" w:color="auto" w:sz="4" w:space="0"/>
              <w:left w:val="single" w:color="auto" w:sz="4" w:space="0"/>
              <w:bottom w:val="single" w:color="auto" w:sz="4" w:space="0"/>
              <w:right w:val="single" w:color="auto" w:sz="4" w:space="0"/>
            </w:tcBorders>
            <w:vAlign w:val="center"/>
          </w:tcPr>
          <w:p w14:paraId="46F8BF0A">
            <w:pPr>
              <w:widowControl/>
              <w:spacing w:line="360" w:lineRule="auto"/>
              <w:jc w:val="center"/>
              <w:rPr>
                <w:rFonts w:hint="eastAsia" w:ascii="宋体" w:hAnsi="宋体" w:cs="宋体"/>
                <w:color w:val="000000"/>
                <w:kern w:val="0"/>
                <w:szCs w:val="22"/>
              </w:rPr>
            </w:pPr>
            <w:r>
              <w:rPr>
                <w:rFonts w:hint="eastAsia" w:ascii="宋体" w:hAnsi="宋体" w:cs="宋体"/>
                <w:color w:val="000000"/>
                <w:kern w:val="0"/>
                <w:szCs w:val="22"/>
              </w:rPr>
              <w:t>等级保护测评</w:t>
            </w:r>
          </w:p>
        </w:tc>
      </w:tr>
    </w:tbl>
    <w:p w14:paraId="78AD930F">
      <w:pPr>
        <w:pStyle w:val="6"/>
        <w:keepNext w:val="0"/>
        <w:keepLines w:val="0"/>
        <w:pageBreakBefore w:val="0"/>
        <w:kinsoku/>
        <w:wordWrap/>
        <w:overflowPunct/>
        <w:topLinePunct w:val="0"/>
        <w:autoSpaceDE w:val="0"/>
        <w:autoSpaceDN w:val="0"/>
        <w:bidi w:val="0"/>
        <w:adjustRightInd/>
        <w:snapToGrid/>
        <w:spacing w:before="0" w:after="0" w:line="360" w:lineRule="auto"/>
        <w:ind w:left="0" w:leftChars="0" w:firstLine="0" w:firstLineChars="0"/>
        <w:textAlignment w:val="auto"/>
        <w:outlineLvl w:val="1"/>
        <w:rPr>
          <w:rFonts w:hint="eastAsia" w:cs="宋体"/>
          <w:color w:val="auto"/>
          <w:sz w:val="24"/>
          <w:szCs w:val="24"/>
          <w:highlight w:val="none"/>
          <w:lang w:val="en-US" w:eastAsia="zh-CN"/>
        </w:rPr>
      </w:pPr>
    </w:p>
    <w:p w14:paraId="23BB9CA4">
      <w:pPr>
        <w:pStyle w:val="6"/>
        <w:keepNext w:val="0"/>
        <w:keepLines w:val="0"/>
        <w:pageBreakBefore w:val="0"/>
        <w:kinsoku/>
        <w:wordWrap/>
        <w:overflowPunct/>
        <w:topLinePunct w:val="0"/>
        <w:autoSpaceDE w:val="0"/>
        <w:autoSpaceDN w:val="0"/>
        <w:bidi w:val="0"/>
        <w:adjustRightInd/>
        <w:snapToGrid/>
        <w:spacing w:before="0" w:after="0" w:line="360" w:lineRule="auto"/>
        <w:ind w:left="0" w:leftChars="0" w:firstLine="0" w:firstLineChars="0"/>
        <w:textAlignment w:val="auto"/>
        <w:outlineLvl w:val="1"/>
        <w:rPr>
          <w:rFonts w:hint="eastAsia" w:cs="宋体"/>
          <w:color w:val="auto"/>
          <w:sz w:val="24"/>
          <w:szCs w:val="24"/>
          <w:highlight w:val="none"/>
          <w:lang w:val="en-US" w:eastAsia="zh-CN"/>
        </w:rPr>
      </w:pPr>
      <w:r>
        <w:rPr>
          <w:rFonts w:hint="eastAsia" w:cs="宋体"/>
          <w:color w:val="auto"/>
          <w:sz w:val="24"/>
          <w:szCs w:val="24"/>
          <w:highlight w:val="none"/>
          <w:lang w:val="en-US" w:eastAsia="zh-CN"/>
        </w:rPr>
        <w:t>三、服务要求</w:t>
      </w:r>
    </w:p>
    <w:p w14:paraId="12CDE0A2">
      <w:pPr>
        <w:keepNext w:val="0"/>
        <w:keepLines w:val="0"/>
        <w:pageBreakBefore w:val="0"/>
        <w:kinsoku/>
        <w:wordWrap/>
        <w:overflowPunct/>
        <w:topLinePunct w:val="0"/>
        <w:bidi w:val="0"/>
        <w:adjustRightInd w:val="0"/>
        <w:snapToGrid w:val="0"/>
        <w:spacing w:before="0" w:after="0"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1、等保测评技术标准及要求</w:t>
      </w:r>
    </w:p>
    <w:p w14:paraId="7F2F5D52">
      <w:pPr>
        <w:keepNext w:val="0"/>
        <w:keepLines w:val="0"/>
        <w:pageBreakBefore w:val="0"/>
        <w:kinsoku/>
        <w:wordWrap/>
        <w:overflowPunct/>
        <w:topLinePunct w:val="0"/>
        <w:bidi w:val="0"/>
        <w:adjustRightInd w:val="0"/>
        <w:snapToGrid w:val="0"/>
        <w:spacing w:before="0" w:after="0"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1.1、总体要求</w:t>
      </w:r>
    </w:p>
    <w:p w14:paraId="571C1503">
      <w:pPr>
        <w:keepNext w:val="0"/>
        <w:keepLines w:val="0"/>
        <w:pageBreakBefore w:val="0"/>
        <w:kinsoku/>
        <w:wordWrap/>
        <w:overflowPunct/>
        <w:topLinePunct w:val="0"/>
        <w:bidi w:val="0"/>
        <w:adjustRightInd w:val="0"/>
        <w:snapToGrid w:val="0"/>
        <w:spacing w:before="0"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根据国家《信息安全等级保护管理办法》(公通字[2007]43号)与《信息安全技术 网络安全等级保护基本要求》GB/T22239-2019要求，等级测评工作须覆盖安全物理环境、安全通信网络、安全区域边界、安全计算环境、安全管理中心、安全管理制度、安全管理机构、安全管理人员、安全建设管理、安全运维管理等方面的内容，并根据现场实际情况完成风险分析工作,最终为完善等级保护安全防护体系提供指导依据。</w:t>
      </w:r>
    </w:p>
    <w:p w14:paraId="6B5F089A">
      <w:pPr>
        <w:keepNext w:val="0"/>
        <w:keepLines w:val="0"/>
        <w:pageBreakBefore w:val="0"/>
        <w:kinsoku/>
        <w:wordWrap/>
        <w:overflowPunct/>
        <w:topLinePunct w:val="0"/>
        <w:bidi w:val="0"/>
        <w:adjustRightInd w:val="0"/>
        <w:snapToGrid w:val="0"/>
        <w:spacing w:before="0" w:after="0"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1.2、</w:t>
      </w:r>
      <w:r>
        <w:rPr>
          <w:rFonts w:hint="eastAsia" w:ascii="宋体" w:hAnsi="宋体" w:eastAsia="宋体" w:cs="宋体"/>
          <w:b/>
          <w:bCs/>
          <w:color w:val="auto"/>
          <w:kern w:val="2"/>
          <w:sz w:val="24"/>
          <w:szCs w:val="24"/>
          <w:highlight w:val="none"/>
          <w:lang w:val="en-US" w:eastAsia="zh-Hans" w:bidi="ar-SA"/>
        </w:rPr>
        <w:t>技术</w:t>
      </w:r>
      <w:r>
        <w:rPr>
          <w:rFonts w:hint="eastAsia" w:ascii="宋体" w:hAnsi="宋体" w:eastAsia="宋体" w:cs="宋体"/>
          <w:b/>
          <w:bCs/>
          <w:color w:val="auto"/>
          <w:kern w:val="2"/>
          <w:sz w:val="24"/>
          <w:szCs w:val="24"/>
          <w:highlight w:val="none"/>
          <w:lang w:val="en-US" w:eastAsia="zh-CN" w:bidi="ar-SA"/>
        </w:rPr>
        <w:t>要求</w:t>
      </w:r>
    </w:p>
    <w:p w14:paraId="37D9E718">
      <w:pPr>
        <w:keepNext w:val="0"/>
        <w:keepLines w:val="0"/>
        <w:pageBreakBefore w:val="0"/>
        <w:kinsoku/>
        <w:wordWrap/>
        <w:overflowPunct/>
        <w:topLinePunct w:val="0"/>
        <w:bidi w:val="0"/>
        <w:adjustRightInd w:val="0"/>
        <w:snapToGrid w:val="0"/>
        <w:spacing w:before="0"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1.2.1、本项目的测评人员需具有2年或2年以上测评工作经验，项目经理和质量负责人必须具备丰富的安全服务经验及相关资质认证，并提供人员管理及配备方案，并确保人员稳定。如需更换测评人员，须由采购单位同意。</w:t>
      </w:r>
    </w:p>
    <w:p w14:paraId="3D8353F8">
      <w:pPr>
        <w:keepNext w:val="0"/>
        <w:keepLines w:val="0"/>
        <w:pageBreakBefore w:val="0"/>
        <w:kinsoku/>
        <w:wordWrap/>
        <w:overflowPunct/>
        <w:topLinePunct w:val="0"/>
        <w:bidi w:val="0"/>
        <w:adjustRightInd w:val="0"/>
        <w:snapToGrid w:val="0"/>
        <w:spacing w:before="0"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1.2.2、 服务商必须为本项目成立本地化等级保护测评小组，由</w:t>
      </w:r>
      <w:r>
        <w:rPr>
          <w:rFonts w:hint="eastAsia" w:ascii="宋体" w:hAnsi="宋体" w:eastAsia="宋体" w:cs="宋体"/>
          <w:color w:val="auto"/>
          <w:kern w:val="2"/>
          <w:sz w:val="24"/>
          <w:szCs w:val="24"/>
          <w:highlight w:val="none"/>
          <w:lang w:val="en-US" w:eastAsia="zh-Hans" w:bidi="ar-SA"/>
        </w:rPr>
        <w:t>项目经理</w:t>
      </w:r>
      <w:r>
        <w:rPr>
          <w:rFonts w:hint="eastAsia" w:ascii="宋体" w:hAnsi="宋体" w:eastAsia="宋体" w:cs="宋体"/>
          <w:color w:val="auto"/>
          <w:kern w:val="2"/>
          <w:sz w:val="24"/>
          <w:szCs w:val="24"/>
          <w:highlight w:val="none"/>
          <w:lang w:val="en-US" w:eastAsia="zh-CN" w:bidi="ar-SA"/>
        </w:rPr>
        <w:t>统一负责，</w:t>
      </w:r>
      <w:r>
        <w:rPr>
          <w:rFonts w:hint="eastAsia" w:ascii="宋体" w:hAnsi="宋体" w:eastAsia="宋体" w:cs="宋体"/>
          <w:color w:val="auto"/>
          <w:kern w:val="2"/>
          <w:sz w:val="24"/>
          <w:szCs w:val="24"/>
          <w:highlight w:val="none"/>
          <w:lang w:val="en-US" w:eastAsia="zh-Hans" w:bidi="ar-SA"/>
        </w:rPr>
        <w:t>项目经理</w:t>
      </w:r>
      <w:r>
        <w:rPr>
          <w:rFonts w:hint="eastAsia" w:ascii="宋体" w:hAnsi="宋体" w:eastAsia="宋体" w:cs="宋体"/>
          <w:color w:val="auto"/>
          <w:kern w:val="2"/>
          <w:sz w:val="24"/>
          <w:szCs w:val="24"/>
          <w:highlight w:val="none"/>
          <w:lang w:val="en-US" w:eastAsia="zh-CN" w:bidi="ar-SA"/>
        </w:rPr>
        <w:t>具有一定的技术及管理知识和经验，能容易地与客户沟通，能很好的执行与完成测评工作，并根据适当情况增加测评人员；</w:t>
      </w:r>
    </w:p>
    <w:p w14:paraId="7239192C">
      <w:pPr>
        <w:keepNext w:val="0"/>
        <w:keepLines w:val="0"/>
        <w:pageBreakBefore w:val="0"/>
        <w:kinsoku/>
        <w:wordWrap/>
        <w:overflowPunct/>
        <w:topLinePunct w:val="0"/>
        <w:bidi w:val="0"/>
        <w:adjustRightInd w:val="0"/>
        <w:snapToGrid w:val="0"/>
        <w:spacing w:before="0"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1.2.3、 为保障测评</w:t>
      </w:r>
      <w:r>
        <w:rPr>
          <w:rFonts w:hint="eastAsia" w:ascii="宋体" w:hAnsi="宋体" w:eastAsia="宋体" w:cs="宋体"/>
          <w:color w:val="auto"/>
          <w:kern w:val="2"/>
          <w:sz w:val="24"/>
          <w:szCs w:val="24"/>
          <w:highlight w:val="none"/>
          <w:lang w:val="en-US" w:eastAsia="zh-Hans" w:bidi="ar-SA"/>
        </w:rPr>
        <w:t>过程</w:t>
      </w:r>
      <w:r>
        <w:rPr>
          <w:rFonts w:hint="eastAsia" w:ascii="宋体" w:hAnsi="宋体" w:eastAsia="宋体" w:cs="宋体"/>
          <w:color w:val="auto"/>
          <w:kern w:val="2"/>
          <w:sz w:val="24"/>
          <w:szCs w:val="24"/>
          <w:highlight w:val="none"/>
          <w:lang w:val="en-US" w:eastAsia="zh-CN" w:bidi="ar-SA"/>
        </w:rPr>
        <w:t>安全审计的</w:t>
      </w:r>
      <w:r>
        <w:rPr>
          <w:rFonts w:hint="eastAsia" w:ascii="宋体" w:hAnsi="宋体" w:eastAsia="宋体" w:cs="宋体"/>
          <w:color w:val="auto"/>
          <w:kern w:val="2"/>
          <w:sz w:val="24"/>
          <w:szCs w:val="24"/>
          <w:highlight w:val="none"/>
          <w:lang w:val="en-US" w:eastAsia="zh-Hans" w:bidi="ar-SA"/>
        </w:rPr>
        <w:t>合规</w:t>
      </w:r>
      <w:r>
        <w:rPr>
          <w:rFonts w:hint="eastAsia" w:ascii="宋体" w:hAnsi="宋体" w:eastAsia="宋体" w:cs="宋体"/>
          <w:color w:val="auto"/>
          <w:kern w:val="2"/>
          <w:sz w:val="24"/>
          <w:szCs w:val="24"/>
          <w:highlight w:val="none"/>
          <w:lang w:val="en-US" w:eastAsia="zh-CN" w:bidi="ar-SA"/>
        </w:rPr>
        <w:t>性，服务商</w:t>
      </w:r>
      <w:r>
        <w:rPr>
          <w:rFonts w:hint="eastAsia" w:ascii="宋体" w:hAnsi="宋体" w:eastAsia="宋体" w:cs="宋体"/>
          <w:color w:val="auto"/>
          <w:kern w:val="2"/>
          <w:sz w:val="24"/>
          <w:szCs w:val="24"/>
          <w:highlight w:val="none"/>
          <w:lang w:val="en-US" w:eastAsia="zh-Hans" w:bidi="ar-SA"/>
        </w:rPr>
        <w:t>需</w:t>
      </w:r>
      <w:r>
        <w:rPr>
          <w:rFonts w:hint="eastAsia" w:ascii="宋体" w:hAnsi="宋体" w:eastAsia="宋体" w:cs="宋体"/>
          <w:color w:val="auto"/>
          <w:kern w:val="2"/>
          <w:sz w:val="24"/>
          <w:szCs w:val="24"/>
          <w:highlight w:val="none"/>
          <w:lang w:val="en-US" w:eastAsia="zh-CN" w:bidi="ar-SA"/>
        </w:rPr>
        <w:t>具有中国网络安全审查技术与认证中心或中国网络安全审查认证和市场监管大数据中心颁发的网络安全审计资质证书。</w:t>
      </w:r>
    </w:p>
    <w:p w14:paraId="1387A326">
      <w:pPr>
        <w:keepNext w:val="0"/>
        <w:keepLines w:val="0"/>
        <w:pageBreakBefore w:val="0"/>
        <w:kinsoku/>
        <w:wordWrap/>
        <w:overflowPunct/>
        <w:topLinePunct w:val="0"/>
        <w:bidi w:val="0"/>
        <w:adjustRightInd w:val="0"/>
        <w:snapToGrid w:val="0"/>
        <w:spacing w:before="0" w:after="0"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1.3、第一阶段：等级保护</w:t>
      </w:r>
    </w:p>
    <w:p w14:paraId="558AAD83">
      <w:pPr>
        <w:keepNext w:val="0"/>
        <w:keepLines w:val="0"/>
        <w:pageBreakBefore w:val="0"/>
        <w:kinsoku/>
        <w:wordWrap/>
        <w:overflowPunct/>
        <w:topLinePunct w:val="0"/>
        <w:bidi w:val="0"/>
        <w:adjustRightInd w:val="0"/>
        <w:snapToGrid w:val="0"/>
        <w:spacing w:before="0"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Hans" w:bidi="ar-SA"/>
        </w:rPr>
        <w:t>网络</w:t>
      </w:r>
      <w:r>
        <w:rPr>
          <w:rFonts w:hint="eastAsia" w:ascii="宋体" w:hAnsi="宋体" w:eastAsia="宋体" w:cs="宋体"/>
          <w:color w:val="auto"/>
          <w:kern w:val="2"/>
          <w:sz w:val="24"/>
          <w:szCs w:val="24"/>
          <w:highlight w:val="none"/>
          <w:lang w:val="en-US" w:eastAsia="zh-CN" w:bidi="ar-SA"/>
        </w:rPr>
        <w:t>安全等级保护工作共分为五步，分别是：“定级、备案、建设整改、等级测评、监督检查”。该项目主要完成系统的安全测评工作，依据安全技术和安全管理两个方面的测评要求，分别从安全物理环境、安全通信网络、安全区域边界、安全计算环境、安全管理中心、安全管理制度、安全管理机构、安全管理人员、安全建设管理、安全运维管理十个安全类别进行安全测评。</w:t>
      </w:r>
    </w:p>
    <w:p w14:paraId="442F6A15">
      <w:pPr>
        <w:keepNext w:val="0"/>
        <w:keepLines w:val="0"/>
        <w:pageBreakBefore w:val="0"/>
        <w:kinsoku/>
        <w:wordWrap/>
        <w:overflowPunct/>
        <w:topLinePunct w:val="0"/>
        <w:bidi w:val="0"/>
        <w:adjustRightInd w:val="0"/>
        <w:snapToGrid w:val="0"/>
        <w:spacing w:before="0"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1.3.1、定级要求</w:t>
      </w:r>
    </w:p>
    <w:p w14:paraId="6A058C41">
      <w:pPr>
        <w:keepNext w:val="0"/>
        <w:keepLines w:val="0"/>
        <w:pageBreakBefore w:val="0"/>
        <w:kinsoku/>
        <w:wordWrap/>
        <w:overflowPunct/>
        <w:topLinePunct w:val="0"/>
        <w:bidi w:val="0"/>
        <w:adjustRightInd w:val="0"/>
        <w:snapToGrid w:val="0"/>
        <w:spacing w:before="0"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该项工作依据《网络安全等级保护定级指南》（G</w:t>
      </w:r>
      <w:r>
        <w:rPr>
          <w:rFonts w:hint="eastAsia" w:ascii="宋体" w:hAnsi="宋体" w:eastAsia="宋体" w:cs="宋体"/>
          <w:color w:val="auto"/>
          <w:kern w:val="2"/>
          <w:sz w:val="24"/>
          <w:szCs w:val="24"/>
          <w:highlight w:val="none"/>
          <w:lang w:val="en-US" w:eastAsia="zh-Hans" w:bidi="ar-SA"/>
        </w:rPr>
        <w:t>B</w:t>
      </w:r>
      <w:r>
        <w:rPr>
          <w:rFonts w:hint="eastAsia" w:ascii="宋体" w:hAnsi="宋体" w:eastAsia="宋体" w:cs="宋体"/>
          <w:color w:val="auto"/>
          <w:kern w:val="2"/>
          <w:sz w:val="24"/>
          <w:szCs w:val="24"/>
          <w:highlight w:val="none"/>
          <w:lang w:val="en-US" w:eastAsia="zh-CN" w:bidi="ar-SA"/>
        </w:rPr>
        <w:t>/T 22240-2020）确定系统等级。</w:t>
      </w:r>
    </w:p>
    <w:p w14:paraId="71E297A4">
      <w:pPr>
        <w:keepNext w:val="0"/>
        <w:keepLines w:val="0"/>
        <w:pageBreakBefore w:val="0"/>
        <w:kinsoku/>
        <w:wordWrap/>
        <w:overflowPunct/>
        <w:topLinePunct w:val="0"/>
        <w:bidi w:val="0"/>
        <w:adjustRightInd w:val="0"/>
        <w:snapToGrid w:val="0"/>
        <w:spacing w:before="0"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bookmarkStart w:id="4" w:name="_Toc420584915"/>
      <w:r>
        <w:rPr>
          <w:rFonts w:hint="eastAsia" w:ascii="宋体" w:hAnsi="宋体" w:eastAsia="宋体" w:cs="宋体"/>
          <w:color w:val="auto"/>
          <w:kern w:val="2"/>
          <w:sz w:val="24"/>
          <w:szCs w:val="24"/>
          <w:highlight w:val="none"/>
          <w:lang w:val="en-US" w:eastAsia="zh-CN" w:bidi="ar-SA"/>
        </w:rPr>
        <w:t>1.3.2、备案</w:t>
      </w:r>
      <w:bookmarkEnd w:id="4"/>
    </w:p>
    <w:p w14:paraId="1CE05C5A">
      <w:pPr>
        <w:keepNext w:val="0"/>
        <w:keepLines w:val="0"/>
        <w:pageBreakBefore w:val="0"/>
        <w:kinsoku/>
        <w:wordWrap/>
        <w:overflowPunct/>
        <w:topLinePunct w:val="0"/>
        <w:bidi w:val="0"/>
        <w:adjustRightInd w:val="0"/>
        <w:snapToGrid w:val="0"/>
        <w:spacing w:before="0"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信息系统的安全保护等级确定后，二级以上（含二级）信息系统的运营使用单位或主管部门应到属地公安机关办理备案手续。按照国家政策要求，跨省或者全国统一联网运行的信息系统在各地运行、应用的分支系统，向当地设区的市级以上公安机关备案。该项目系统应向归属地网络安全监察支队申请重要信息系统备案。</w:t>
      </w:r>
    </w:p>
    <w:p w14:paraId="6643A037">
      <w:pPr>
        <w:keepNext w:val="0"/>
        <w:keepLines w:val="0"/>
        <w:pageBreakBefore w:val="0"/>
        <w:kinsoku/>
        <w:wordWrap/>
        <w:overflowPunct/>
        <w:topLinePunct w:val="0"/>
        <w:bidi w:val="0"/>
        <w:adjustRightInd w:val="0"/>
        <w:snapToGrid w:val="0"/>
        <w:spacing w:before="0"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完成备案的信息系统，将获得公安机关颁发的《信息系统安全等级保护备案证明》。</w:t>
      </w:r>
    </w:p>
    <w:p w14:paraId="4B664EAC">
      <w:pPr>
        <w:keepNext w:val="0"/>
        <w:keepLines w:val="0"/>
        <w:pageBreakBefore w:val="0"/>
        <w:kinsoku/>
        <w:wordWrap/>
        <w:overflowPunct/>
        <w:topLinePunct w:val="0"/>
        <w:bidi w:val="0"/>
        <w:adjustRightInd w:val="0"/>
        <w:snapToGrid w:val="0"/>
        <w:spacing w:before="0"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bookmarkStart w:id="5" w:name="_Toc359339955"/>
      <w:bookmarkEnd w:id="5"/>
      <w:bookmarkStart w:id="6" w:name="_Toc359486626"/>
      <w:bookmarkStart w:id="7" w:name="_Toc359485979"/>
      <w:bookmarkStart w:id="8" w:name="_Toc359487272"/>
      <w:bookmarkStart w:id="9" w:name="_Toc359487172"/>
      <w:bookmarkStart w:id="10" w:name="_Toc359486791"/>
      <w:r>
        <w:rPr>
          <w:rFonts w:hint="eastAsia" w:ascii="宋体" w:hAnsi="宋体" w:eastAsia="宋体" w:cs="宋体"/>
          <w:color w:val="auto"/>
          <w:kern w:val="2"/>
          <w:sz w:val="24"/>
          <w:szCs w:val="24"/>
          <w:highlight w:val="none"/>
          <w:lang w:val="en-US" w:eastAsia="zh-CN" w:bidi="ar-SA"/>
        </w:rPr>
        <w:t>1.3.3、等级保护测评要求</w:t>
      </w:r>
      <w:bookmarkEnd w:id="6"/>
      <w:bookmarkEnd w:id="7"/>
      <w:bookmarkEnd w:id="8"/>
      <w:bookmarkEnd w:id="9"/>
      <w:bookmarkEnd w:id="10"/>
    </w:p>
    <w:p w14:paraId="65231F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lang w:val="en-US" w:eastAsia="zh-CN"/>
        </w:rPr>
      </w:pPr>
      <w:r>
        <w:rPr>
          <w:rFonts w:hint="eastAsia" w:ascii="宋体" w:hAnsi="宋体"/>
          <w:sz w:val="24"/>
        </w:rPr>
        <w:t xml:space="preserve">服务商在测评过程中要求按照《计算机信息系统安全保护等级划分准则》（GB17859-1999）、《信息安全技术 </w:t>
      </w:r>
      <w:r>
        <w:rPr>
          <w:rFonts w:hint="eastAsia" w:ascii="宋体" w:hAnsi="宋体"/>
          <w:sz w:val="24"/>
          <w:lang w:eastAsia="zh-Hans"/>
        </w:rPr>
        <w:t>网络</w:t>
      </w:r>
      <w:r>
        <w:rPr>
          <w:rFonts w:hint="eastAsia" w:ascii="宋体" w:hAnsi="宋体"/>
          <w:sz w:val="24"/>
        </w:rPr>
        <w:t>安全等级保护实施指南》（GB/T25058-201</w:t>
      </w:r>
      <w:r>
        <w:rPr>
          <w:rFonts w:ascii="宋体" w:hAnsi="宋体"/>
          <w:sz w:val="24"/>
        </w:rPr>
        <w:t>9</w:t>
      </w:r>
      <w:r>
        <w:rPr>
          <w:rFonts w:hint="eastAsia" w:ascii="宋体" w:hAnsi="宋体"/>
          <w:sz w:val="24"/>
        </w:rPr>
        <w:t>）、《信息安全技术 网络安全等级保护基本要求》（GB/T22239-2019）、《信息安全技术 网络安全等级保护测评要求》（GB/T2</w:t>
      </w:r>
      <w:r>
        <w:rPr>
          <w:rFonts w:ascii="宋体" w:hAnsi="宋体"/>
          <w:sz w:val="24"/>
        </w:rPr>
        <w:t>8448</w:t>
      </w:r>
      <w:r>
        <w:rPr>
          <w:rFonts w:hint="eastAsia" w:ascii="宋体" w:hAnsi="宋体"/>
          <w:sz w:val="24"/>
        </w:rPr>
        <w:t>-2019）、《信息安全技术 网络安全等级保护测评过程指南》（GB/T28449-2018）等相关的标准规范开展等级测评工作，对系统的</w:t>
      </w:r>
      <w:r>
        <w:rPr>
          <w:rFonts w:ascii="宋体" w:hAnsi="宋体" w:cs="仿宋_GB2312"/>
          <w:color w:val="000000"/>
          <w:sz w:val="24"/>
        </w:rPr>
        <w:t>安全物理环境、安全通信网络、安全区域边界、安全计算环境、安全管理中心、安全管理制度、安全管理机构、安全管理人员、安全建设管理、安全运维管理</w:t>
      </w:r>
      <w:r>
        <w:rPr>
          <w:rFonts w:hint="eastAsia" w:ascii="宋体" w:hAnsi="宋体"/>
          <w:sz w:val="24"/>
        </w:rPr>
        <w:t>共10个层面进行安全等级保护测评。测评指标如下</w:t>
      </w:r>
      <w:r>
        <w:rPr>
          <w:rFonts w:hint="eastAsia" w:ascii="宋体" w:hAnsi="宋体"/>
          <w:sz w:val="24"/>
          <w:lang w:eastAsia="zh-CN"/>
        </w:rPr>
        <w:t>：</w:t>
      </w:r>
    </w:p>
    <w:bookmarkEnd w:id="2"/>
    <w:bookmarkEnd w:id="3"/>
    <w:p w14:paraId="21DE9369">
      <w:pPr>
        <w:pStyle w:val="5"/>
        <w:spacing w:line="240" w:lineRule="auto"/>
        <w:jc w:val="center"/>
      </w:pPr>
      <w:r>
        <w:rPr>
          <w:rFonts w:hint="eastAsia" w:eastAsia="宋体"/>
        </w:rPr>
        <w:t>等级保护技术要求（</w:t>
      </w:r>
      <w:r>
        <w:rPr>
          <w:rFonts w:hint="eastAsia" w:eastAsia="宋体"/>
          <w:lang w:eastAsia="zh-Hans"/>
        </w:rPr>
        <w:t>三</w:t>
      </w:r>
      <w:r>
        <w:rPr>
          <w:rFonts w:hint="eastAsia" w:eastAsia="宋体"/>
        </w:rPr>
        <w:t>级）</w:t>
      </w:r>
    </w:p>
    <w:tbl>
      <w:tblPr>
        <w:tblStyle w:val="9"/>
        <w:tblW w:w="51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5"/>
        <w:gridCol w:w="1917"/>
        <w:gridCol w:w="7534"/>
      </w:tblGrid>
      <w:tr w14:paraId="11FC0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tblHeader/>
          <w:jc w:val="center"/>
        </w:trPr>
        <w:tc>
          <w:tcPr>
            <w:tcW w:w="301" w:type="pct"/>
            <w:shd w:val="clear" w:color="auto" w:fill="BFBFBF"/>
            <w:tcMar>
              <w:top w:w="15" w:type="dxa"/>
              <w:left w:w="15" w:type="dxa"/>
              <w:right w:w="15" w:type="dxa"/>
            </w:tcMar>
            <w:vAlign w:val="center"/>
          </w:tcPr>
          <w:p w14:paraId="72C9F08B">
            <w:pPr>
              <w:spacing w:line="360" w:lineRule="auto"/>
              <w:jc w:val="center"/>
              <w:rPr>
                <w:rFonts w:hint="eastAsia" w:ascii="宋体" w:hAnsi="宋体" w:cs="宋体"/>
                <w:b/>
                <w:bCs/>
                <w:szCs w:val="21"/>
                <w:lang w:val="zh-CN"/>
              </w:rPr>
            </w:pPr>
            <w:r>
              <w:rPr>
                <w:rFonts w:hint="eastAsia" w:ascii="宋体" w:hAnsi="宋体" w:eastAsia="宋体" w:cs="宋体"/>
                <w:b/>
                <w:bCs/>
                <w:sz w:val="21"/>
                <w:szCs w:val="21"/>
                <w:lang w:val="zh-CN"/>
              </w:rPr>
              <w:t>安全层面</w:t>
            </w:r>
          </w:p>
        </w:tc>
        <w:tc>
          <w:tcPr>
            <w:tcW w:w="953" w:type="pct"/>
            <w:shd w:val="clear" w:color="auto" w:fill="BFBFBF"/>
            <w:tcMar>
              <w:top w:w="15" w:type="dxa"/>
              <w:left w:w="15" w:type="dxa"/>
              <w:right w:w="15" w:type="dxa"/>
            </w:tcMar>
            <w:vAlign w:val="center"/>
          </w:tcPr>
          <w:p w14:paraId="481DF6B0">
            <w:pPr>
              <w:spacing w:line="360" w:lineRule="auto"/>
              <w:jc w:val="center"/>
              <w:rPr>
                <w:rFonts w:hint="eastAsia" w:ascii="宋体" w:hAnsi="宋体" w:cs="宋体"/>
                <w:b/>
                <w:bCs/>
                <w:szCs w:val="21"/>
                <w:lang w:val="zh-CN"/>
              </w:rPr>
            </w:pPr>
            <w:r>
              <w:rPr>
                <w:rFonts w:hint="eastAsia" w:ascii="宋体" w:hAnsi="宋体" w:eastAsia="宋体" w:cs="宋体"/>
                <w:b/>
                <w:bCs/>
                <w:sz w:val="21"/>
                <w:szCs w:val="21"/>
                <w:lang w:val="zh-CN"/>
              </w:rPr>
              <w:t>安全控制点</w:t>
            </w:r>
          </w:p>
        </w:tc>
        <w:tc>
          <w:tcPr>
            <w:tcW w:w="3745" w:type="pct"/>
            <w:shd w:val="clear" w:color="auto" w:fill="BFBFBF"/>
            <w:tcMar>
              <w:top w:w="15" w:type="dxa"/>
              <w:left w:w="15" w:type="dxa"/>
              <w:right w:w="15" w:type="dxa"/>
            </w:tcMar>
            <w:vAlign w:val="center"/>
          </w:tcPr>
          <w:p w14:paraId="408D90E2">
            <w:pPr>
              <w:spacing w:line="360" w:lineRule="auto"/>
              <w:jc w:val="center"/>
              <w:rPr>
                <w:rFonts w:hint="eastAsia" w:ascii="宋体" w:hAnsi="宋体" w:cs="宋体"/>
                <w:b/>
                <w:bCs/>
                <w:szCs w:val="21"/>
                <w:lang w:val="zh-CN"/>
              </w:rPr>
            </w:pPr>
            <w:r>
              <w:rPr>
                <w:rFonts w:hint="eastAsia" w:ascii="宋体" w:hAnsi="宋体" w:eastAsia="宋体" w:cs="宋体"/>
                <w:b/>
                <w:bCs/>
                <w:sz w:val="21"/>
                <w:szCs w:val="21"/>
                <w:lang w:val="zh-CN"/>
              </w:rPr>
              <w:t>测评指标</w:t>
            </w:r>
          </w:p>
        </w:tc>
      </w:tr>
      <w:tr w14:paraId="37E9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301" w:type="pct"/>
            <w:vMerge w:val="restart"/>
            <w:tcMar>
              <w:top w:w="15" w:type="dxa"/>
              <w:left w:w="15" w:type="dxa"/>
              <w:right w:w="15" w:type="dxa"/>
            </w:tcMar>
            <w:vAlign w:val="center"/>
          </w:tcPr>
          <w:p w14:paraId="0D39952F">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安全物理</w:t>
            </w:r>
          </w:p>
          <w:p w14:paraId="751CD7D4">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环境</w:t>
            </w:r>
          </w:p>
        </w:tc>
        <w:tc>
          <w:tcPr>
            <w:tcW w:w="953" w:type="pct"/>
            <w:vMerge w:val="restart"/>
            <w:tcMar>
              <w:top w:w="15" w:type="dxa"/>
              <w:left w:w="15" w:type="dxa"/>
              <w:right w:w="15" w:type="dxa"/>
            </w:tcMar>
            <w:vAlign w:val="center"/>
          </w:tcPr>
          <w:p w14:paraId="6E90E336">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物理位置选择</w:t>
            </w:r>
          </w:p>
        </w:tc>
        <w:tc>
          <w:tcPr>
            <w:tcW w:w="3745" w:type="pct"/>
            <w:tcMar>
              <w:top w:w="15" w:type="dxa"/>
              <w:left w:w="15" w:type="dxa"/>
              <w:right w:w="15" w:type="dxa"/>
            </w:tcMar>
            <w:vAlign w:val="center"/>
          </w:tcPr>
          <w:p w14:paraId="476990EB">
            <w:pPr>
              <w:spacing w:line="360" w:lineRule="auto"/>
              <w:rPr>
                <w:rFonts w:hint="eastAsia" w:ascii="宋体" w:hAnsi="宋体" w:cs="宋体"/>
                <w:szCs w:val="21"/>
                <w:lang w:val="zh-CN"/>
              </w:rPr>
            </w:pPr>
            <w:r>
              <w:rPr>
                <w:rFonts w:hint="eastAsia" w:ascii="宋体" w:hAnsi="宋体" w:eastAsia="宋体" w:cs="宋体"/>
                <w:sz w:val="21"/>
                <w:szCs w:val="21"/>
                <w:lang w:val="zh-CN"/>
              </w:rPr>
              <w:t>a）机房和办公场地应选择在具有防震、防风和防雨等能力的建筑内；</w:t>
            </w:r>
          </w:p>
        </w:tc>
      </w:tr>
      <w:tr w14:paraId="55838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301" w:type="pct"/>
            <w:vMerge w:val="continue"/>
            <w:tcMar>
              <w:top w:w="15" w:type="dxa"/>
              <w:left w:w="15" w:type="dxa"/>
              <w:right w:w="15" w:type="dxa"/>
            </w:tcMar>
            <w:vAlign w:val="center"/>
          </w:tcPr>
          <w:p w14:paraId="0E8B2E92">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0C864546">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161C44AE">
            <w:pPr>
              <w:spacing w:line="360" w:lineRule="auto"/>
              <w:rPr>
                <w:rFonts w:hint="eastAsia" w:ascii="宋体" w:hAnsi="宋体" w:cs="宋体"/>
                <w:szCs w:val="21"/>
                <w:lang w:val="zh-CN"/>
              </w:rPr>
            </w:pPr>
            <w:r>
              <w:rPr>
                <w:rFonts w:hint="eastAsia" w:ascii="宋体" w:hAnsi="宋体" w:eastAsia="宋体" w:cs="宋体"/>
                <w:sz w:val="21"/>
                <w:szCs w:val="21"/>
                <w:lang w:val="zh-CN"/>
              </w:rPr>
              <w:t>b）机房场地应避免设在建筑物的高层或地下室，否则应加强防水和防潮措施。</w:t>
            </w:r>
          </w:p>
        </w:tc>
      </w:tr>
      <w:tr w14:paraId="40630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jc w:val="center"/>
        </w:trPr>
        <w:tc>
          <w:tcPr>
            <w:tcW w:w="301" w:type="pct"/>
            <w:vMerge w:val="continue"/>
            <w:tcMar>
              <w:top w:w="15" w:type="dxa"/>
              <w:left w:w="15" w:type="dxa"/>
              <w:right w:w="15" w:type="dxa"/>
            </w:tcMar>
            <w:vAlign w:val="center"/>
          </w:tcPr>
          <w:p w14:paraId="32F1E1FC">
            <w:pPr>
              <w:spacing w:line="360" w:lineRule="auto"/>
              <w:jc w:val="center"/>
              <w:rPr>
                <w:rFonts w:hint="eastAsia" w:ascii="宋体" w:hAnsi="宋体" w:cs="宋体"/>
                <w:szCs w:val="21"/>
                <w:lang w:val="zh-CN"/>
              </w:rPr>
            </w:pPr>
          </w:p>
        </w:tc>
        <w:tc>
          <w:tcPr>
            <w:tcW w:w="953" w:type="pct"/>
            <w:tcMar>
              <w:top w:w="15" w:type="dxa"/>
              <w:left w:w="15" w:type="dxa"/>
              <w:right w:w="15" w:type="dxa"/>
            </w:tcMar>
            <w:vAlign w:val="center"/>
          </w:tcPr>
          <w:p w14:paraId="04775CA3">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物理访问控制</w:t>
            </w:r>
          </w:p>
        </w:tc>
        <w:tc>
          <w:tcPr>
            <w:tcW w:w="3745" w:type="pct"/>
            <w:tcMar>
              <w:top w:w="15" w:type="dxa"/>
              <w:left w:w="15" w:type="dxa"/>
              <w:right w:w="15" w:type="dxa"/>
            </w:tcMar>
            <w:vAlign w:val="center"/>
          </w:tcPr>
          <w:p w14:paraId="722995C1">
            <w:pPr>
              <w:spacing w:line="360" w:lineRule="auto"/>
              <w:rPr>
                <w:rFonts w:hint="eastAsia" w:ascii="宋体" w:hAnsi="宋体" w:cs="宋体"/>
                <w:szCs w:val="21"/>
                <w:lang w:val="zh-CN"/>
              </w:rPr>
            </w:pPr>
            <w:r>
              <w:rPr>
                <w:rFonts w:hint="eastAsia" w:ascii="宋体" w:hAnsi="宋体" w:eastAsia="宋体" w:cs="宋体"/>
                <w:sz w:val="21"/>
                <w:szCs w:val="21"/>
                <w:lang w:val="zh-CN"/>
              </w:rPr>
              <w:t>机房出入口应有专人值守，控制、鉴别和记录进入的人员。</w:t>
            </w:r>
          </w:p>
        </w:tc>
      </w:tr>
      <w:tr w14:paraId="5E152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jc w:val="center"/>
        </w:trPr>
        <w:tc>
          <w:tcPr>
            <w:tcW w:w="301" w:type="pct"/>
            <w:vMerge w:val="continue"/>
            <w:tcMar>
              <w:top w:w="15" w:type="dxa"/>
              <w:left w:w="15" w:type="dxa"/>
              <w:right w:w="15" w:type="dxa"/>
            </w:tcMar>
            <w:vAlign w:val="center"/>
          </w:tcPr>
          <w:p w14:paraId="31A9BDB1">
            <w:pPr>
              <w:spacing w:line="360" w:lineRule="auto"/>
              <w:jc w:val="center"/>
              <w:rPr>
                <w:rFonts w:hint="eastAsia" w:ascii="宋体" w:hAnsi="宋体" w:cs="宋体"/>
                <w:szCs w:val="21"/>
                <w:lang w:val="zh-CN"/>
              </w:rPr>
            </w:pPr>
          </w:p>
        </w:tc>
        <w:tc>
          <w:tcPr>
            <w:tcW w:w="953" w:type="pct"/>
            <w:vMerge w:val="restart"/>
            <w:tcMar>
              <w:top w:w="15" w:type="dxa"/>
              <w:left w:w="15" w:type="dxa"/>
              <w:right w:w="15" w:type="dxa"/>
            </w:tcMar>
            <w:vAlign w:val="center"/>
          </w:tcPr>
          <w:p w14:paraId="57DF0B76">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防盗窃和防破坏</w:t>
            </w:r>
          </w:p>
        </w:tc>
        <w:tc>
          <w:tcPr>
            <w:tcW w:w="3745" w:type="pct"/>
            <w:tcMar>
              <w:top w:w="15" w:type="dxa"/>
              <w:left w:w="15" w:type="dxa"/>
              <w:right w:w="15" w:type="dxa"/>
            </w:tcMar>
            <w:vAlign w:val="center"/>
          </w:tcPr>
          <w:p w14:paraId="22C797BE">
            <w:pPr>
              <w:spacing w:line="360" w:lineRule="auto"/>
              <w:rPr>
                <w:rFonts w:hint="eastAsia" w:ascii="宋体" w:hAnsi="宋体" w:cs="宋体"/>
                <w:szCs w:val="21"/>
                <w:lang w:val="zh-CN"/>
              </w:rPr>
            </w:pPr>
            <w:r>
              <w:rPr>
                <w:rFonts w:hint="eastAsia" w:ascii="宋体" w:hAnsi="宋体" w:eastAsia="宋体" w:cs="宋体"/>
                <w:sz w:val="21"/>
                <w:szCs w:val="21"/>
                <w:lang w:val="zh-CN"/>
              </w:rPr>
              <w:t>a）应将设备或主要部件进行固定，并设置明显的不易除去的标记；</w:t>
            </w:r>
          </w:p>
        </w:tc>
      </w:tr>
      <w:tr w14:paraId="4F453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01" w:type="pct"/>
            <w:vMerge w:val="continue"/>
            <w:tcMar>
              <w:top w:w="15" w:type="dxa"/>
              <w:left w:w="15" w:type="dxa"/>
              <w:right w:w="15" w:type="dxa"/>
            </w:tcMar>
            <w:vAlign w:val="center"/>
          </w:tcPr>
          <w:p w14:paraId="6B963F96">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7E125586">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2067F596">
            <w:pPr>
              <w:spacing w:line="360" w:lineRule="auto"/>
              <w:rPr>
                <w:rFonts w:hint="eastAsia" w:ascii="宋体" w:hAnsi="宋体" w:cs="宋体"/>
                <w:szCs w:val="21"/>
                <w:lang w:val="zh-CN"/>
              </w:rPr>
            </w:pPr>
            <w:r>
              <w:rPr>
                <w:rFonts w:hint="eastAsia" w:ascii="宋体" w:hAnsi="宋体" w:eastAsia="宋体" w:cs="宋体"/>
                <w:sz w:val="21"/>
                <w:szCs w:val="21"/>
                <w:lang w:val="zh-CN"/>
              </w:rPr>
              <w:t>b）应将通信线缆铺设在隐蔽安全处；</w:t>
            </w:r>
          </w:p>
        </w:tc>
      </w:tr>
      <w:tr w14:paraId="1CD05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301" w:type="pct"/>
            <w:vMerge w:val="continue"/>
            <w:tcMar>
              <w:top w:w="15" w:type="dxa"/>
              <w:left w:w="15" w:type="dxa"/>
              <w:right w:w="15" w:type="dxa"/>
            </w:tcMar>
            <w:vAlign w:val="center"/>
          </w:tcPr>
          <w:p w14:paraId="2C83ADA1">
            <w:pPr>
              <w:spacing w:line="360" w:lineRule="auto"/>
              <w:jc w:val="center"/>
              <w:rPr>
                <w:rFonts w:hint="eastAsia" w:ascii="宋体" w:hAnsi="宋体" w:cs="宋体"/>
                <w:szCs w:val="21"/>
                <w:lang w:val="zh-CN"/>
              </w:rPr>
            </w:pPr>
          </w:p>
        </w:tc>
        <w:tc>
          <w:tcPr>
            <w:tcW w:w="953" w:type="pct"/>
            <w:tcMar>
              <w:top w:w="15" w:type="dxa"/>
              <w:left w:w="15" w:type="dxa"/>
              <w:right w:w="15" w:type="dxa"/>
            </w:tcMar>
            <w:vAlign w:val="center"/>
          </w:tcPr>
          <w:p w14:paraId="52A8C218">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防雷击</w:t>
            </w:r>
          </w:p>
        </w:tc>
        <w:tc>
          <w:tcPr>
            <w:tcW w:w="3745" w:type="pct"/>
            <w:tcMar>
              <w:top w:w="15" w:type="dxa"/>
              <w:left w:w="15" w:type="dxa"/>
              <w:right w:w="15" w:type="dxa"/>
            </w:tcMar>
            <w:vAlign w:val="center"/>
          </w:tcPr>
          <w:p w14:paraId="2F2AECEF">
            <w:pPr>
              <w:spacing w:line="360" w:lineRule="auto"/>
              <w:rPr>
                <w:rFonts w:hint="eastAsia" w:ascii="宋体" w:hAnsi="宋体" w:cs="宋体"/>
                <w:szCs w:val="21"/>
                <w:lang w:val="zh-CN"/>
              </w:rPr>
            </w:pPr>
            <w:r>
              <w:rPr>
                <w:rFonts w:hint="eastAsia" w:ascii="宋体" w:hAnsi="宋体" w:eastAsia="宋体" w:cs="宋体"/>
                <w:sz w:val="21"/>
                <w:szCs w:val="21"/>
                <w:lang w:val="zh-CN"/>
              </w:rPr>
              <w:t>应将各类机柜、设施和设备等通过接地系统安全接地。</w:t>
            </w:r>
          </w:p>
        </w:tc>
      </w:tr>
      <w:tr w14:paraId="10035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jc w:val="center"/>
        </w:trPr>
        <w:tc>
          <w:tcPr>
            <w:tcW w:w="301" w:type="pct"/>
            <w:vMerge w:val="continue"/>
            <w:tcMar>
              <w:top w:w="15" w:type="dxa"/>
              <w:left w:w="15" w:type="dxa"/>
              <w:right w:w="15" w:type="dxa"/>
            </w:tcMar>
            <w:vAlign w:val="center"/>
          </w:tcPr>
          <w:p w14:paraId="003EED9C">
            <w:pPr>
              <w:spacing w:line="360" w:lineRule="auto"/>
              <w:jc w:val="center"/>
              <w:rPr>
                <w:rFonts w:hint="eastAsia" w:ascii="宋体" w:hAnsi="宋体" w:cs="宋体"/>
                <w:szCs w:val="21"/>
                <w:lang w:val="zh-CN"/>
              </w:rPr>
            </w:pPr>
          </w:p>
        </w:tc>
        <w:tc>
          <w:tcPr>
            <w:tcW w:w="953" w:type="pct"/>
            <w:vMerge w:val="restart"/>
            <w:tcMar>
              <w:top w:w="15" w:type="dxa"/>
              <w:left w:w="15" w:type="dxa"/>
              <w:right w:w="15" w:type="dxa"/>
            </w:tcMar>
            <w:vAlign w:val="center"/>
          </w:tcPr>
          <w:p w14:paraId="092E2369">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防火</w:t>
            </w:r>
          </w:p>
        </w:tc>
        <w:tc>
          <w:tcPr>
            <w:tcW w:w="3745" w:type="pct"/>
            <w:tcMar>
              <w:top w:w="15" w:type="dxa"/>
              <w:left w:w="15" w:type="dxa"/>
              <w:right w:w="15" w:type="dxa"/>
            </w:tcMar>
            <w:vAlign w:val="center"/>
          </w:tcPr>
          <w:p w14:paraId="4A112D4A">
            <w:pPr>
              <w:spacing w:line="360" w:lineRule="auto"/>
              <w:rPr>
                <w:rFonts w:hint="eastAsia" w:ascii="宋体" w:hAnsi="宋体" w:cs="宋体"/>
                <w:szCs w:val="21"/>
                <w:lang w:val="zh-CN"/>
              </w:rPr>
            </w:pPr>
            <w:r>
              <w:rPr>
                <w:rFonts w:hint="eastAsia" w:ascii="宋体" w:hAnsi="宋体" w:eastAsia="宋体" w:cs="宋体"/>
                <w:sz w:val="21"/>
                <w:szCs w:val="21"/>
                <w:lang w:val="zh-CN"/>
              </w:rPr>
              <w:t>a）机房应设置火灾自动消防系统，自动检测火情、自动报警，并自动灭火；</w:t>
            </w:r>
          </w:p>
        </w:tc>
      </w:tr>
      <w:tr w14:paraId="78CC6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301" w:type="pct"/>
            <w:vMerge w:val="continue"/>
            <w:tcMar>
              <w:top w:w="15" w:type="dxa"/>
              <w:left w:w="15" w:type="dxa"/>
              <w:right w:w="15" w:type="dxa"/>
            </w:tcMar>
            <w:vAlign w:val="center"/>
          </w:tcPr>
          <w:p w14:paraId="6B129E23">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4449A092">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57A1E49E">
            <w:pPr>
              <w:spacing w:line="360" w:lineRule="auto"/>
              <w:rPr>
                <w:rFonts w:hint="eastAsia" w:ascii="宋体" w:hAnsi="宋体" w:cs="宋体"/>
                <w:szCs w:val="21"/>
                <w:lang w:val="zh-CN"/>
              </w:rPr>
            </w:pPr>
            <w:r>
              <w:rPr>
                <w:rFonts w:hint="eastAsia" w:ascii="宋体" w:hAnsi="宋体" w:eastAsia="宋体" w:cs="宋体"/>
                <w:sz w:val="21"/>
                <w:szCs w:val="21"/>
                <w:lang w:val="zh-CN"/>
              </w:rPr>
              <w:t>b）机房及相关的工作房间和辅助房应采用具有耐火等级的建筑材料；</w:t>
            </w:r>
          </w:p>
        </w:tc>
      </w:tr>
      <w:tr w14:paraId="73133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301" w:type="pct"/>
            <w:vMerge w:val="continue"/>
            <w:tcMar>
              <w:top w:w="15" w:type="dxa"/>
              <w:left w:w="15" w:type="dxa"/>
              <w:right w:w="15" w:type="dxa"/>
            </w:tcMar>
            <w:vAlign w:val="center"/>
          </w:tcPr>
          <w:p w14:paraId="55224A52">
            <w:pPr>
              <w:spacing w:line="360" w:lineRule="auto"/>
              <w:jc w:val="center"/>
              <w:rPr>
                <w:rFonts w:hint="eastAsia" w:ascii="宋体" w:hAnsi="宋体" w:cs="宋体"/>
                <w:szCs w:val="21"/>
                <w:lang w:val="zh-CN"/>
              </w:rPr>
            </w:pPr>
          </w:p>
        </w:tc>
        <w:tc>
          <w:tcPr>
            <w:tcW w:w="953" w:type="pct"/>
            <w:vMerge w:val="restart"/>
            <w:tcMar>
              <w:top w:w="15" w:type="dxa"/>
              <w:left w:w="15" w:type="dxa"/>
              <w:right w:w="15" w:type="dxa"/>
            </w:tcMar>
            <w:vAlign w:val="center"/>
          </w:tcPr>
          <w:p w14:paraId="1F8A046E">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防水和防潮</w:t>
            </w:r>
          </w:p>
        </w:tc>
        <w:tc>
          <w:tcPr>
            <w:tcW w:w="3745" w:type="pct"/>
            <w:tcMar>
              <w:top w:w="15" w:type="dxa"/>
              <w:left w:w="15" w:type="dxa"/>
              <w:right w:w="15" w:type="dxa"/>
            </w:tcMar>
            <w:vAlign w:val="center"/>
          </w:tcPr>
          <w:p w14:paraId="0CD8C53C">
            <w:pPr>
              <w:spacing w:line="360" w:lineRule="auto"/>
              <w:rPr>
                <w:rFonts w:hint="eastAsia" w:ascii="宋体" w:hAnsi="宋体" w:cs="宋体"/>
                <w:szCs w:val="21"/>
                <w:lang w:val="zh-CN"/>
              </w:rPr>
            </w:pPr>
            <w:r>
              <w:rPr>
                <w:rFonts w:hint="eastAsia" w:ascii="宋体" w:hAnsi="宋体" w:eastAsia="宋体" w:cs="宋体"/>
                <w:sz w:val="21"/>
                <w:szCs w:val="21"/>
                <w:lang w:val="zh-CN"/>
              </w:rPr>
              <w:t>a）应采取措施防止雨水通过机房窗户、屋顶和墙壁渗透；</w:t>
            </w:r>
          </w:p>
        </w:tc>
      </w:tr>
      <w:tr w14:paraId="6C39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301" w:type="pct"/>
            <w:vMerge w:val="continue"/>
            <w:tcMar>
              <w:top w:w="15" w:type="dxa"/>
              <w:left w:w="15" w:type="dxa"/>
              <w:right w:w="15" w:type="dxa"/>
            </w:tcMar>
            <w:vAlign w:val="center"/>
          </w:tcPr>
          <w:p w14:paraId="43331C80">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1AD9383D">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1A4F388E">
            <w:pPr>
              <w:spacing w:line="360" w:lineRule="auto"/>
              <w:rPr>
                <w:rFonts w:hint="eastAsia" w:ascii="宋体" w:hAnsi="宋体" w:cs="宋体"/>
                <w:szCs w:val="21"/>
                <w:lang w:val="zh-CN"/>
              </w:rPr>
            </w:pPr>
            <w:r>
              <w:rPr>
                <w:rFonts w:hint="eastAsia" w:ascii="宋体" w:hAnsi="宋体" w:eastAsia="宋体" w:cs="宋体"/>
                <w:sz w:val="21"/>
                <w:szCs w:val="21"/>
                <w:lang w:val="zh-CN"/>
              </w:rPr>
              <w:t>b）应采取措施防止机房内水蒸气结露和地下积水的转移与渗透。</w:t>
            </w:r>
          </w:p>
        </w:tc>
      </w:tr>
      <w:tr w14:paraId="4AFC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301" w:type="pct"/>
            <w:vMerge w:val="continue"/>
            <w:tcMar>
              <w:top w:w="15" w:type="dxa"/>
              <w:left w:w="15" w:type="dxa"/>
              <w:right w:w="15" w:type="dxa"/>
            </w:tcMar>
            <w:vAlign w:val="center"/>
          </w:tcPr>
          <w:p w14:paraId="708483D7">
            <w:pPr>
              <w:spacing w:line="360" w:lineRule="auto"/>
              <w:jc w:val="center"/>
              <w:rPr>
                <w:rFonts w:hint="eastAsia" w:ascii="宋体" w:hAnsi="宋体" w:cs="宋体"/>
                <w:szCs w:val="21"/>
                <w:lang w:val="zh-CN"/>
              </w:rPr>
            </w:pPr>
          </w:p>
        </w:tc>
        <w:tc>
          <w:tcPr>
            <w:tcW w:w="953" w:type="pct"/>
            <w:tcMar>
              <w:top w:w="15" w:type="dxa"/>
              <w:left w:w="15" w:type="dxa"/>
              <w:right w:w="15" w:type="dxa"/>
            </w:tcMar>
            <w:vAlign w:val="center"/>
          </w:tcPr>
          <w:p w14:paraId="26C2C9EA">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防静电</w:t>
            </w:r>
          </w:p>
        </w:tc>
        <w:tc>
          <w:tcPr>
            <w:tcW w:w="3745" w:type="pct"/>
            <w:tcMar>
              <w:top w:w="15" w:type="dxa"/>
              <w:left w:w="15" w:type="dxa"/>
              <w:right w:w="15" w:type="dxa"/>
            </w:tcMar>
            <w:vAlign w:val="center"/>
          </w:tcPr>
          <w:p w14:paraId="19C8E4C3">
            <w:pPr>
              <w:spacing w:line="360" w:lineRule="auto"/>
              <w:rPr>
                <w:rFonts w:hint="eastAsia" w:ascii="宋体" w:hAnsi="宋体" w:cs="宋体"/>
                <w:szCs w:val="21"/>
                <w:lang w:val="zh-CN"/>
              </w:rPr>
            </w:pPr>
            <w:r>
              <w:rPr>
                <w:rFonts w:hint="eastAsia" w:ascii="宋体" w:hAnsi="宋体" w:eastAsia="宋体" w:cs="宋体"/>
                <w:sz w:val="21"/>
                <w:szCs w:val="21"/>
                <w:lang w:val="zh-CN"/>
              </w:rPr>
              <w:t>应采用防静电地板或地面并采用必要的接地防静电措施。</w:t>
            </w:r>
          </w:p>
        </w:tc>
      </w:tr>
      <w:tr w14:paraId="0FE4A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jc w:val="center"/>
        </w:trPr>
        <w:tc>
          <w:tcPr>
            <w:tcW w:w="301" w:type="pct"/>
            <w:vMerge w:val="continue"/>
            <w:tcMar>
              <w:top w:w="15" w:type="dxa"/>
              <w:left w:w="15" w:type="dxa"/>
              <w:right w:w="15" w:type="dxa"/>
            </w:tcMar>
            <w:vAlign w:val="center"/>
          </w:tcPr>
          <w:p w14:paraId="5CDDDB6F">
            <w:pPr>
              <w:spacing w:line="360" w:lineRule="auto"/>
              <w:jc w:val="center"/>
              <w:rPr>
                <w:rFonts w:hint="eastAsia" w:ascii="宋体" w:hAnsi="宋体" w:cs="宋体"/>
                <w:szCs w:val="21"/>
                <w:lang w:val="zh-CN"/>
              </w:rPr>
            </w:pPr>
          </w:p>
        </w:tc>
        <w:tc>
          <w:tcPr>
            <w:tcW w:w="953" w:type="pct"/>
            <w:tcMar>
              <w:top w:w="15" w:type="dxa"/>
              <w:left w:w="15" w:type="dxa"/>
              <w:right w:w="15" w:type="dxa"/>
            </w:tcMar>
            <w:vAlign w:val="center"/>
          </w:tcPr>
          <w:p w14:paraId="463814D4">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温湿度控制</w:t>
            </w:r>
          </w:p>
        </w:tc>
        <w:tc>
          <w:tcPr>
            <w:tcW w:w="3745" w:type="pct"/>
            <w:tcMar>
              <w:top w:w="15" w:type="dxa"/>
              <w:left w:w="15" w:type="dxa"/>
              <w:right w:w="15" w:type="dxa"/>
            </w:tcMar>
            <w:vAlign w:val="center"/>
          </w:tcPr>
          <w:p w14:paraId="7083EB3E">
            <w:pPr>
              <w:spacing w:line="360" w:lineRule="auto"/>
              <w:rPr>
                <w:rFonts w:hint="eastAsia" w:ascii="宋体" w:hAnsi="宋体" w:cs="宋体"/>
                <w:szCs w:val="21"/>
                <w:lang w:val="zh-CN"/>
              </w:rPr>
            </w:pPr>
            <w:r>
              <w:rPr>
                <w:rFonts w:hint="eastAsia" w:ascii="宋体" w:hAnsi="宋体" w:eastAsia="宋体" w:cs="宋体"/>
                <w:sz w:val="21"/>
                <w:szCs w:val="21"/>
                <w:lang w:val="zh-CN"/>
              </w:rPr>
              <w:t>应设置温湿度自动调节设施，使机房温、湿度的变化在设备运行所允许的范围之内。</w:t>
            </w:r>
          </w:p>
        </w:tc>
      </w:tr>
      <w:tr w14:paraId="613DB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 w:hRule="atLeast"/>
          <w:jc w:val="center"/>
        </w:trPr>
        <w:tc>
          <w:tcPr>
            <w:tcW w:w="301" w:type="pct"/>
            <w:vMerge w:val="continue"/>
            <w:tcMar>
              <w:top w:w="15" w:type="dxa"/>
              <w:left w:w="15" w:type="dxa"/>
              <w:right w:w="15" w:type="dxa"/>
            </w:tcMar>
            <w:vAlign w:val="center"/>
          </w:tcPr>
          <w:p w14:paraId="5310ADBA">
            <w:pPr>
              <w:spacing w:line="360" w:lineRule="auto"/>
              <w:jc w:val="center"/>
              <w:rPr>
                <w:rFonts w:hint="eastAsia" w:ascii="宋体" w:hAnsi="宋体" w:cs="宋体"/>
                <w:szCs w:val="21"/>
                <w:lang w:val="zh-CN"/>
              </w:rPr>
            </w:pPr>
          </w:p>
        </w:tc>
        <w:tc>
          <w:tcPr>
            <w:tcW w:w="953" w:type="pct"/>
            <w:vMerge w:val="restart"/>
            <w:tcMar>
              <w:top w:w="15" w:type="dxa"/>
              <w:left w:w="15" w:type="dxa"/>
              <w:right w:w="15" w:type="dxa"/>
            </w:tcMar>
            <w:vAlign w:val="center"/>
          </w:tcPr>
          <w:p w14:paraId="41E59854">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电力供应</w:t>
            </w:r>
          </w:p>
        </w:tc>
        <w:tc>
          <w:tcPr>
            <w:tcW w:w="3745" w:type="pct"/>
            <w:tcMar>
              <w:top w:w="15" w:type="dxa"/>
              <w:left w:w="15" w:type="dxa"/>
              <w:right w:w="15" w:type="dxa"/>
            </w:tcMar>
            <w:vAlign w:val="center"/>
          </w:tcPr>
          <w:p w14:paraId="2011AD9A">
            <w:pPr>
              <w:spacing w:line="360" w:lineRule="auto"/>
              <w:rPr>
                <w:rFonts w:hint="eastAsia" w:ascii="宋体" w:hAnsi="宋体" w:cs="宋体"/>
                <w:szCs w:val="21"/>
                <w:lang w:val="zh-CN"/>
              </w:rPr>
            </w:pPr>
            <w:r>
              <w:rPr>
                <w:rFonts w:hint="eastAsia" w:ascii="宋体" w:hAnsi="宋体" w:eastAsia="宋体" w:cs="宋体"/>
                <w:sz w:val="21"/>
                <w:szCs w:val="21"/>
                <w:lang w:val="zh-CN"/>
              </w:rPr>
              <w:t>a）应在机房供电线路上配置稳压器和过电压防护设备；</w:t>
            </w:r>
          </w:p>
        </w:tc>
      </w:tr>
      <w:tr w14:paraId="5A27F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301" w:type="pct"/>
            <w:vMerge w:val="continue"/>
            <w:tcMar>
              <w:top w:w="15" w:type="dxa"/>
              <w:left w:w="15" w:type="dxa"/>
              <w:right w:w="15" w:type="dxa"/>
            </w:tcMar>
            <w:vAlign w:val="center"/>
          </w:tcPr>
          <w:p w14:paraId="1722DFAC">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2FEB8B93">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7A5641D1">
            <w:pPr>
              <w:spacing w:line="360" w:lineRule="auto"/>
              <w:rPr>
                <w:rFonts w:hint="eastAsia" w:ascii="宋体" w:hAnsi="宋体" w:cs="宋体"/>
                <w:szCs w:val="21"/>
                <w:lang w:val="zh-CN"/>
              </w:rPr>
            </w:pPr>
            <w:r>
              <w:rPr>
                <w:rFonts w:hint="eastAsia" w:ascii="宋体" w:hAnsi="宋体" w:eastAsia="宋体" w:cs="宋体"/>
                <w:sz w:val="21"/>
                <w:szCs w:val="21"/>
                <w:lang w:val="zh-CN"/>
              </w:rPr>
              <w:t>b）应提供短期的备用电力供应，至少满足主要设备在断电情况下的正常运行要求。</w:t>
            </w:r>
          </w:p>
        </w:tc>
      </w:tr>
      <w:tr w14:paraId="63F6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301" w:type="pct"/>
            <w:vMerge w:val="continue"/>
            <w:tcMar>
              <w:top w:w="15" w:type="dxa"/>
              <w:left w:w="15" w:type="dxa"/>
              <w:right w:w="15" w:type="dxa"/>
            </w:tcMar>
            <w:vAlign w:val="center"/>
          </w:tcPr>
          <w:p w14:paraId="4949F3F2">
            <w:pPr>
              <w:spacing w:line="360" w:lineRule="auto"/>
              <w:jc w:val="center"/>
              <w:rPr>
                <w:rFonts w:hint="eastAsia" w:ascii="宋体" w:hAnsi="宋体" w:cs="宋体"/>
                <w:szCs w:val="21"/>
                <w:lang w:val="zh-CN"/>
              </w:rPr>
            </w:pPr>
          </w:p>
        </w:tc>
        <w:tc>
          <w:tcPr>
            <w:tcW w:w="953" w:type="pct"/>
            <w:tcMar>
              <w:top w:w="15" w:type="dxa"/>
              <w:left w:w="15" w:type="dxa"/>
              <w:right w:w="15" w:type="dxa"/>
            </w:tcMar>
            <w:vAlign w:val="center"/>
          </w:tcPr>
          <w:p w14:paraId="35205A7D">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电磁防护</w:t>
            </w:r>
          </w:p>
        </w:tc>
        <w:tc>
          <w:tcPr>
            <w:tcW w:w="3745" w:type="pct"/>
            <w:tcMar>
              <w:top w:w="15" w:type="dxa"/>
              <w:left w:w="15" w:type="dxa"/>
              <w:right w:w="15" w:type="dxa"/>
            </w:tcMar>
            <w:vAlign w:val="center"/>
          </w:tcPr>
          <w:p w14:paraId="353C4381">
            <w:pPr>
              <w:spacing w:line="360" w:lineRule="auto"/>
              <w:rPr>
                <w:rFonts w:hint="eastAsia" w:ascii="宋体" w:hAnsi="宋体" w:cs="宋体"/>
                <w:szCs w:val="21"/>
                <w:lang w:val="zh-CN"/>
              </w:rPr>
            </w:pPr>
            <w:r>
              <w:rPr>
                <w:rFonts w:hint="eastAsia" w:ascii="宋体" w:hAnsi="宋体" w:eastAsia="宋体" w:cs="宋体"/>
                <w:sz w:val="21"/>
                <w:szCs w:val="21"/>
                <w:lang w:val="zh-CN"/>
              </w:rPr>
              <w:t>电源线和通信线缆应隔离铺设，避免互相干扰。</w:t>
            </w:r>
          </w:p>
        </w:tc>
      </w:tr>
      <w:tr w14:paraId="7403F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301" w:type="pct"/>
            <w:vMerge w:val="restart"/>
            <w:tcMar>
              <w:top w:w="15" w:type="dxa"/>
              <w:left w:w="15" w:type="dxa"/>
              <w:right w:w="15" w:type="dxa"/>
            </w:tcMar>
            <w:vAlign w:val="center"/>
          </w:tcPr>
          <w:p w14:paraId="01C20F98">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安全通信网络</w:t>
            </w:r>
          </w:p>
        </w:tc>
        <w:tc>
          <w:tcPr>
            <w:tcW w:w="953" w:type="pct"/>
            <w:vMerge w:val="restart"/>
            <w:tcMar>
              <w:top w:w="15" w:type="dxa"/>
              <w:left w:w="15" w:type="dxa"/>
              <w:right w:w="15" w:type="dxa"/>
            </w:tcMar>
            <w:vAlign w:val="center"/>
          </w:tcPr>
          <w:p w14:paraId="0CDCF5B7">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网络架构</w:t>
            </w:r>
          </w:p>
        </w:tc>
        <w:tc>
          <w:tcPr>
            <w:tcW w:w="3745" w:type="pct"/>
            <w:tcMar>
              <w:top w:w="15" w:type="dxa"/>
              <w:left w:w="15" w:type="dxa"/>
              <w:right w:w="15" w:type="dxa"/>
            </w:tcMar>
            <w:vAlign w:val="center"/>
          </w:tcPr>
          <w:p w14:paraId="13CB2981">
            <w:pPr>
              <w:spacing w:line="360" w:lineRule="auto"/>
              <w:rPr>
                <w:rFonts w:hint="eastAsia" w:ascii="宋体" w:hAnsi="宋体" w:cs="宋体"/>
                <w:szCs w:val="21"/>
                <w:lang w:val="zh-CN"/>
              </w:rPr>
            </w:pPr>
            <w:r>
              <w:rPr>
                <w:rFonts w:hint="eastAsia" w:ascii="宋体" w:hAnsi="宋体" w:eastAsia="宋体" w:cs="宋体"/>
                <w:sz w:val="21"/>
                <w:szCs w:val="21"/>
                <w:lang w:val="zh-CN"/>
              </w:rPr>
              <w:t>a) 应划分不同的网络区域，并按照方便管理和控制的原则为各网络区域分配地址；</w:t>
            </w:r>
          </w:p>
        </w:tc>
      </w:tr>
      <w:tr w14:paraId="3D8E8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301" w:type="pct"/>
            <w:vMerge w:val="continue"/>
            <w:tcMar>
              <w:top w:w="15" w:type="dxa"/>
              <w:left w:w="15" w:type="dxa"/>
              <w:right w:w="15" w:type="dxa"/>
            </w:tcMar>
            <w:vAlign w:val="center"/>
          </w:tcPr>
          <w:p w14:paraId="563E9218">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39778ACB">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3A14730D">
            <w:pPr>
              <w:spacing w:line="360" w:lineRule="auto"/>
              <w:rPr>
                <w:rFonts w:hint="eastAsia" w:ascii="宋体" w:hAnsi="宋体" w:cs="宋体"/>
                <w:szCs w:val="21"/>
                <w:lang w:val="zh-CN"/>
              </w:rPr>
            </w:pPr>
            <w:r>
              <w:rPr>
                <w:rFonts w:hint="eastAsia" w:ascii="宋体" w:hAnsi="宋体" w:eastAsia="宋体" w:cs="宋体"/>
                <w:sz w:val="21"/>
                <w:szCs w:val="21"/>
                <w:lang w:val="zh-CN"/>
              </w:rPr>
              <w:t>b) 应避免将重要网络区域部署在边界处，重要网络区域与其他网络区域之间应采取可靠的技术隔离于段。</w:t>
            </w:r>
          </w:p>
        </w:tc>
      </w:tr>
      <w:tr w14:paraId="6163F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301" w:type="pct"/>
            <w:vMerge w:val="continue"/>
            <w:tcMar>
              <w:top w:w="15" w:type="dxa"/>
              <w:left w:w="15" w:type="dxa"/>
              <w:right w:w="15" w:type="dxa"/>
            </w:tcMar>
            <w:vAlign w:val="center"/>
          </w:tcPr>
          <w:p w14:paraId="1F52E8EC">
            <w:pPr>
              <w:spacing w:line="360" w:lineRule="auto"/>
              <w:jc w:val="center"/>
              <w:rPr>
                <w:rFonts w:hint="eastAsia" w:ascii="宋体" w:hAnsi="宋体" w:cs="宋体"/>
                <w:szCs w:val="21"/>
                <w:lang w:val="zh-CN"/>
              </w:rPr>
            </w:pPr>
          </w:p>
        </w:tc>
        <w:tc>
          <w:tcPr>
            <w:tcW w:w="953" w:type="pct"/>
            <w:tcMar>
              <w:top w:w="15" w:type="dxa"/>
              <w:left w:w="15" w:type="dxa"/>
              <w:right w:w="15" w:type="dxa"/>
            </w:tcMar>
            <w:vAlign w:val="center"/>
          </w:tcPr>
          <w:p w14:paraId="4ABE608E">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通信传输</w:t>
            </w:r>
          </w:p>
        </w:tc>
        <w:tc>
          <w:tcPr>
            <w:tcW w:w="3745" w:type="pct"/>
            <w:tcMar>
              <w:top w:w="15" w:type="dxa"/>
              <w:left w:w="15" w:type="dxa"/>
              <w:right w:w="15" w:type="dxa"/>
            </w:tcMar>
            <w:vAlign w:val="center"/>
          </w:tcPr>
          <w:p w14:paraId="048AF19E">
            <w:pPr>
              <w:spacing w:line="360" w:lineRule="auto"/>
              <w:rPr>
                <w:rFonts w:hint="eastAsia" w:ascii="宋体" w:hAnsi="宋体" w:cs="宋体"/>
                <w:szCs w:val="21"/>
                <w:lang w:val="zh-CN"/>
              </w:rPr>
            </w:pPr>
            <w:r>
              <w:rPr>
                <w:rFonts w:hint="eastAsia" w:ascii="宋体" w:hAnsi="宋体" w:eastAsia="宋体" w:cs="宋体"/>
                <w:sz w:val="21"/>
                <w:szCs w:val="21"/>
                <w:lang w:val="zh-CN"/>
              </w:rPr>
              <w:t>应采用校验技术保证通信过程中数据的完整性。</w:t>
            </w:r>
          </w:p>
        </w:tc>
      </w:tr>
      <w:tr w14:paraId="1FE5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0" w:hRule="atLeast"/>
          <w:jc w:val="center"/>
        </w:trPr>
        <w:tc>
          <w:tcPr>
            <w:tcW w:w="301" w:type="pct"/>
            <w:vMerge w:val="continue"/>
            <w:tcMar>
              <w:top w:w="15" w:type="dxa"/>
              <w:left w:w="15" w:type="dxa"/>
              <w:right w:w="15" w:type="dxa"/>
            </w:tcMar>
            <w:vAlign w:val="center"/>
          </w:tcPr>
          <w:p w14:paraId="544FDD86">
            <w:pPr>
              <w:spacing w:line="360" w:lineRule="auto"/>
              <w:jc w:val="center"/>
              <w:rPr>
                <w:rFonts w:hint="eastAsia" w:ascii="宋体" w:hAnsi="宋体" w:cs="宋体"/>
                <w:szCs w:val="21"/>
                <w:lang w:val="zh-CN"/>
              </w:rPr>
            </w:pPr>
          </w:p>
        </w:tc>
        <w:tc>
          <w:tcPr>
            <w:tcW w:w="953" w:type="pct"/>
            <w:tcMar>
              <w:top w:w="15" w:type="dxa"/>
              <w:left w:w="15" w:type="dxa"/>
              <w:right w:w="15" w:type="dxa"/>
            </w:tcMar>
            <w:vAlign w:val="center"/>
          </w:tcPr>
          <w:p w14:paraId="16F24FF3">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可信验证</w:t>
            </w:r>
          </w:p>
        </w:tc>
        <w:tc>
          <w:tcPr>
            <w:tcW w:w="3745" w:type="pct"/>
            <w:tcMar>
              <w:top w:w="15" w:type="dxa"/>
              <w:left w:w="15" w:type="dxa"/>
              <w:right w:w="15" w:type="dxa"/>
            </w:tcMar>
            <w:vAlign w:val="center"/>
          </w:tcPr>
          <w:p w14:paraId="68F1D0D3">
            <w:pPr>
              <w:spacing w:line="360" w:lineRule="auto"/>
              <w:rPr>
                <w:rFonts w:hint="eastAsia" w:ascii="宋体" w:hAnsi="宋体" w:cs="宋体"/>
                <w:szCs w:val="21"/>
                <w:lang w:val="zh-CN"/>
              </w:rPr>
            </w:pPr>
            <w:r>
              <w:rPr>
                <w:rFonts w:hint="eastAsia" w:ascii="宋体" w:hAnsi="宋体" w:eastAsia="宋体" w:cs="宋体"/>
                <w:sz w:val="21"/>
                <w:szCs w:val="21"/>
                <w:lang w:val="zh-CN"/>
              </w:rPr>
              <w:t>可基于可信根对通信设备的系统引导程序、系统程序、重要配置参数和通信应用程序等进行可信验证，并在检测到其可信性受到破坏后进行报警，并将验证结果形成审计记录送至安全管理中心。</w:t>
            </w:r>
          </w:p>
        </w:tc>
      </w:tr>
      <w:tr w14:paraId="471C3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301" w:type="pct"/>
            <w:vMerge w:val="restart"/>
            <w:tcMar>
              <w:top w:w="15" w:type="dxa"/>
              <w:left w:w="15" w:type="dxa"/>
              <w:right w:w="15" w:type="dxa"/>
            </w:tcMar>
            <w:vAlign w:val="center"/>
          </w:tcPr>
          <w:p w14:paraId="36155B4D">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安全区域边界</w:t>
            </w:r>
          </w:p>
        </w:tc>
        <w:tc>
          <w:tcPr>
            <w:tcW w:w="953" w:type="pct"/>
            <w:tcMar>
              <w:top w:w="15" w:type="dxa"/>
              <w:left w:w="15" w:type="dxa"/>
              <w:right w:w="15" w:type="dxa"/>
            </w:tcMar>
            <w:vAlign w:val="center"/>
          </w:tcPr>
          <w:p w14:paraId="6C5C6792">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边界防护</w:t>
            </w:r>
          </w:p>
        </w:tc>
        <w:tc>
          <w:tcPr>
            <w:tcW w:w="3745" w:type="pct"/>
            <w:tcMar>
              <w:top w:w="15" w:type="dxa"/>
              <w:left w:w="15" w:type="dxa"/>
              <w:right w:w="15" w:type="dxa"/>
            </w:tcMar>
            <w:vAlign w:val="center"/>
          </w:tcPr>
          <w:p w14:paraId="2FFE3AA2">
            <w:pPr>
              <w:spacing w:line="360" w:lineRule="auto"/>
              <w:rPr>
                <w:rFonts w:hint="eastAsia" w:ascii="宋体" w:hAnsi="宋体" w:cs="宋体"/>
                <w:szCs w:val="21"/>
                <w:lang w:val="zh-CN"/>
              </w:rPr>
            </w:pPr>
            <w:r>
              <w:rPr>
                <w:rFonts w:hint="eastAsia" w:ascii="宋体" w:hAnsi="宋体" w:eastAsia="宋体" w:cs="宋体"/>
                <w:sz w:val="21"/>
                <w:szCs w:val="21"/>
                <w:lang w:val="zh-CN"/>
              </w:rPr>
              <w:t>应保证跨越边界的访问和数据流通过边界设备提供的受控接口进行通信。</w:t>
            </w:r>
          </w:p>
        </w:tc>
      </w:tr>
      <w:tr w14:paraId="260AA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jc w:val="center"/>
        </w:trPr>
        <w:tc>
          <w:tcPr>
            <w:tcW w:w="301" w:type="pct"/>
            <w:vMerge w:val="continue"/>
            <w:tcMar>
              <w:top w:w="15" w:type="dxa"/>
              <w:left w:w="15" w:type="dxa"/>
              <w:right w:w="15" w:type="dxa"/>
            </w:tcMar>
            <w:vAlign w:val="center"/>
          </w:tcPr>
          <w:p w14:paraId="2066FB40">
            <w:pPr>
              <w:spacing w:line="360" w:lineRule="auto"/>
              <w:jc w:val="center"/>
              <w:rPr>
                <w:rFonts w:hint="eastAsia" w:ascii="宋体" w:hAnsi="宋体" w:cs="宋体"/>
                <w:szCs w:val="21"/>
                <w:lang w:val="zh-CN"/>
              </w:rPr>
            </w:pPr>
          </w:p>
        </w:tc>
        <w:tc>
          <w:tcPr>
            <w:tcW w:w="953" w:type="pct"/>
            <w:vMerge w:val="restart"/>
            <w:tcMar>
              <w:top w:w="15" w:type="dxa"/>
              <w:left w:w="15" w:type="dxa"/>
              <w:right w:w="15" w:type="dxa"/>
            </w:tcMar>
            <w:vAlign w:val="center"/>
          </w:tcPr>
          <w:p w14:paraId="29C1892A">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访问控制</w:t>
            </w:r>
          </w:p>
        </w:tc>
        <w:tc>
          <w:tcPr>
            <w:tcW w:w="3745" w:type="pct"/>
            <w:tcMar>
              <w:top w:w="15" w:type="dxa"/>
              <w:left w:w="15" w:type="dxa"/>
              <w:right w:w="15" w:type="dxa"/>
            </w:tcMar>
            <w:vAlign w:val="center"/>
          </w:tcPr>
          <w:p w14:paraId="00B7CB9B">
            <w:pPr>
              <w:spacing w:line="360" w:lineRule="auto"/>
              <w:rPr>
                <w:rFonts w:hint="eastAsia" w:ascii="宋体" w:hAnsi="宋体" w:cs="宋体"/>
                <w:szCs w:val="21"/>
                <w:lang w:val="zh-CN"/>
              </w:rPr>
            </w:pPr>
            <w:r>
              <w:rPr>
                <w:rFonts w:hint="eastAsia" w:ascii="宋体" w:hAnsi="宋体" w:eastAsia="宋体" w:cs="宋体"/>
                <w:sz w:val="21"/>
                <w:szCs w:val="21"/>
                <w:lang w:val="zh-CN"/>
              </w:rPr>
              <w:t>a）应在网络边界或区域之间根据访问控制策略设置访问控制规则，默认情况下除允许通信外受控接口拒绝所有通信；</w:t>
            </w:r>
          </w:p>
        </w:tc>
      </w:tr>
      <w:tr w14:paraId="122C4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jc w:val="center"/>
        </w:trPr>
        <w:tc>
          <w:tcPr>
            <w:tcW w:w="301" w:type="pct"/>
            <w:vMerge w:val="continue"/>
            <w:tcMar>
              <w:top w:w="15" w:type="dxa"/>
              <w:left w:w="15" w:type="dxa"/>
              <w:right w:w="15" w:type="dxa"/>
            </w:tcMar>
            <w:vAlign w:val="center"/>
          </w:tcPr>
          <w:p w14:paraId="01C47602">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68EFDF10">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554D5114">
            <w:pPr>
              <w:spacing w:line="360" w:lineRule="auto"/>
              <w:rPr>
                <w:rFonts w:hint="eastAsia" w:ascii="宋体" w:hAnsi="宋体" w:cs="宋体"/>
                <w:szCs w:val="21"/>
                <w:lang w:val="zh-CN"/>
              </w:rPr>
            </w:pPr>
            <w:r>
              <w:rPr>
                <w:rFonts w:hint="eastAsia" w:ascii="宋体" w:hAnsi="宋体" w:eastAsia="宋体" w:cs="宋体"/>
                <w:sz w:val="21"/>
                <w:szCs w:val="21"/>
                <w:lang w:val="zh-CN"/>
              </w:rPr>
              <w:t>b) 应删除多余或无效的访问控制规则，优化访问控制列表，并保证访问控制规则数量最小化；</w:t>
            </w:r>
          </w:p>
        </w:tc>
      </w:tr>
      <w:tr w14:paraId="27CE7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301" w:type="pct"/>
            <w:vMerge w:val="continue"/>
            <w:tcMar>
              <w:top w:w="15" w:type="dxa"/>
              <w:left w:w="15" w:type="dxa"/>
              <w:right w:w="15" w:type="dxa"/>
            </w:tcMar>
            <w:vAlign w:val="center"/>
          </w:tcPr>
          <w:p w14:paraId="46AFD54F">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62971762">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5968E2B7">
            <w:pPr>
              <w:spacing w:line="360" w:lineRule="auto"/>
              <w:rPr>
                <w:rFonts w:hint="eastAsia" w:ascii="宋体" w:hAnsi="宋体" w:cs="宋体"/>
                <w:szCs w:val="21"/>
                <w:lang w:val="zh-CN"/>
              </w:rPr>
            </w:pPr>
            <w:r>
              <w:rPr>
                <w:rFonts w:hint="eastAsia" w:ascii="宋体" w:hAnsi="宋体" w:eastAsia="宋体" w:cs="宋体"/>
                <w:sz w:val="21"/>
                <w:szCs w:val="21"/>
                <w:lang w:val="zh-CN"/>
              </w:rPr>
              <w:t>c) 应对源地址、目的地址、源端口、目的端口和协议等进行检查，以允许／拒绝数据包进出；</w:t>
            </w:r>
          </w:p>
        </w:tc>
      </w:tr>
      <w:tr w14:paraId="1FD86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301" w:type="pct"/>
            <w:vMerge w:val="continue"/>
            <w:tcMar>
              <w:top w:w="15" w:type="dxa"/>
              <w:left w:w="15" w:type="dxa"/>
              <w:right w:w="15" w:type="dxa"/>
            </w:tcMar>
            <w:vAlign w:val="center"/>
          </w:tcPr>
          <w:p w14:paraId="36D2D31D">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50F9C525">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190CEC78">
            <w:pPr>
              <w:spacing w:line="360" w:lineRule="auto"/>
              <w:rPr>
                <w:rFonts w:hint="eastAsia" w:ascii="宋体" w:hAnsi="宋体" w:cs="宋体"/>
                <w:szCs w:val="21"/>
                <w:lang w:val="zh-CN"/>
              </w:rPr>
            </w:pPr>
            <w:r>
              <w:rPr>
                <w:rFonts w:hint="eastAsia" w:ascii="宋体" w:hAnsi="宋体" w:eastAsia="宋体" w:cs="宋体"/>
                <w:sz w:val="21"/>
                <w:szCs w:val="21"/>
                <w:lang w:val="zh-CN"/>
              </w:rPr>
              <w:t>d） 应能根据会状态话信息对进出数据流提供明确的允许/拒绝访问的能力；</w:t>
            </w:r>
          </w:p>
        </w:tc>
      </w:tr>
      <w:tr w14:paraId="33D49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301" w:type="pct"/>
            <w:vMerge w:val="continue"/>
            <w:tcMar>
              <w:top w:w="15" w:type="dxa"/>
              <w:left w:w="15" w:type="dxa"/>
              <w:right w:w="15" w:type="dxa"/>
            </w:tcMar>
            <w:vAlign w:val="center"/>
          </w:tcPr>
          <w:p w14:paraId="4C84E3BA">
            <w:pPr>
              <w:spacing w:line="360" w:lineRule="auto"/>
              <w:jc w:val="center"/>
              <w:rPr>
                <w:rFonts w:hint="eastAsia" w:ascii="宋体" w:hAnsi="宋体" w:cs="宋体"/>
                <w:szCs w:val="21"/>
                <w:lang w:val="zh-CN"/>
              </w:rPr>
            </w:pPr>
          </w:p>
        </w:tc>
        <w:tc>
          <w:tcPr>
            <w:tcW w:w="953" w:type="pct"/>
            <w:tcMar>
              <w:top w:w="15" w:type="dxa"/>
              <w:left w:w="15" w:type="dxa"/>
              <w:right w:w="15" w:type="dxa"/>
            </w:tcMar>
            <w:vAlign w:val="center"/>
          </w:tcPr>
          <w:p w14:paraId="21214072">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入侵防范</w:t>
            </w:r>
          </w:p>
        </w:tc>
        <w:tc>
          <w:tcPr>
            <w:tcW w:w="3745" w:type="pct"/>
            <w:tcMar>
              <w:top w:w="15" w:type="dxa"/>
              <w:left w:w="15" w:type="dxa"/>
              <w:right w:w="15" w:type="dxa"/>
            </w:tcMar>
            <w:vAlign w:val="center"/>
          </w:tcPr>
          <w:p w14:paraId="13B22225">
            <w:pPr>
              <w:spacing w:line="360" w:lineRule="auto"/>
              <w:rPr>
                <w:rFonts w:hint="eastAsia" w:ascii="宋体" w:hAnsi="宋体" w:cs="宋体"/>
                <w:szCs w:val="21"/>
                <w:lang w:val="zh-CN"/>
              </w:rPr>
            </w:pPr>
            <w:r>
              <w:rPr>
                <w:rFonts w:hint="eastAsia" w:ascii="宋体" w:hAnsi="宋体" w:eastAsia="宋体" w:cs="宋体"/>
                <w:sz w:val="21"/>
                <w:szCs w:val="21"/>
                <w:lang w:val="zh-CN"/>
              </w:rPr>
              <w:t>应在关键网络节点处监视网络攻击行为。</w:t>
            </w:r>
          </w:p>
        </w:tc>
      </w:tr>
      <w:tr w14:paraId="154E9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301" w:type="pct"/>
            <w:vMerge w:val="continue"/>
            <w:tcMar>
              <w:top w:w="15" w:type="dxa"/>
              <w:left w:w="15" w:type="dxa"/>
              <w:right w:w="15" w:type="dxa"/>
            </w:tcMar>
            <w:vAlign w:val="center"/>
          </w:tcPr>
          <w:p w14:paraId="7DFB410A">
            <w:pPr>
              <w:spacing w:line="360" w:lineRule="auto"/>
              <w:jc w:val="center"/>
              <w:rPr>
                <w:rFonts w:hint="eastAsia" w:ascii="宋体" w:hAnsi="宋体" w:cs="宋体"/>
                <w:szCs w:val="21"/>
                <w:lang w:val="zh-CN"/>
              </w:rPr>
            </w:pPr>
          </w:p>
        </w:tc>
        <w:tc>
          <w:tcPr>
            <w:tcW w:w="953" w:type="pct"/>
            <w:tcMar>
              <w:top w:w="15" w:type="dxa"/>
              <w:left w:w="15" w:type="dxa"/>
              <w:right w:w="15" w:type="dxa"/>
            </w:tcMar>
            <w:vAlign w:val="center"/>
          </w:tcPr>
          <w:p w14:paraId="2AFB1C63">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恶意代码防范</w:t>
            </w:r>
          </w:p>
        </w:tc>
        <w:tc>
          <w:tcPr>
            <w:tcW w:w="3745" w:type="pct"/>
            <w:tcMar>
              <w:top w:w="15" w:type="dxa"/>
              <w:left w:w="15" w:type="dxa"/>
              <w:right w:w="15" w:type="dxa"/>
            </w:tcMar>
            <w:vAlign w:val="center"/>
          </w:tcPr>
          <w:p w14:paraId="7E7CD043">
            <w:pPr>
              <w:spacing w:line="360" w:lineRule="auto"/>
              <w:rPr>
                <w:rFonts w:hint="eastAsia" w:ascii="宋体" w:hAnsi="宋体" w:cs="宋体"/>
                <w:szCs w:val="21"/>
                <w:lang w:val="zh-CN"/>
              </w:rPr>
            </w:pPr>
            <w:r>
              <w:rPr>
                <w:rFonts w:hint="eastAsia" w:ascii="宋体" w:hAnsi="宋体" w:eastAsia="宋体" w:cs="宋体"/>
                <w:sz w:val="21"/>
                <w:szCs w:val="21"/>
                <w:lang w:val="zh-CN"/>
              </w:rPr>
              <w:t>应在关键网络节点处对恶意代码进行检测和清除，并维护恶意代码防护机制的升级和更新。</w:t>
            </w:r>
          </w:p>
        </w:tc>
      </w:tr>
      <w:tr w14:paraId="4EDE9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301" w:type="pct"/>
            <w:vMerge w:val="continue"/>
            <w:tcMar>
              <w:top w:w="15" w:type="dxa"/>
              <w:left w:w="15" w:type="dxa"/>
              <w:right w:w="15" w:type="dxa"/>
            </w:tcMar>
            <w:vAlign w:val="center"/>
          </w:tcPr>
          <w:p w14:paraId="027A8475">
            <w:pPr>
              <w:spacing w:line="360" w:lineRule="auto"/>
              <w:jc w:val="center"/>
              <w:rPr>
                <w:rFonts w:hint="eastAsia" w:ascii="宋体" w:hAnsi="宋体" w:cs="宋体"/>
                <w:szCs w:val="21"/>
                <w:lang w:val="zh-CN"/>
              </w:rPr>
            </w:pPr>
          </w:p>
        </w:tc>
        <w:tc>
          <w:tcPr>
            <w:tcW w:w="953" w:type="pct"/>
            <w:vMerge w:val="restart"/>
            <w:tcMar>
              <w:top w:w="15" w:type="dxa"/>
              <w:left w:w="15" w:type="dxa"/>
              <w:right w:w="15" w:type="dxa"/>
            </w:tcMar>
            <w:vAlign w:val="center"/>
          </w:tcPr>
          <w:p w14:paraId="31383766">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安全审计</w:t>
            </w:r>
          </w:p>
        </w:tc>
        <w:tc>
          <w:tcPr>
            <w:tcW w:w="3745" w:type="pct"/>
            <w:tcMar>
              <w:top w:w="15" w:type="dxa"/>
              <w:left w:w="15" w:type="dxa"/>
              <w:right w:w="15" w:type="dxa"/>
            </w:tcMar>
            <w:vAlign w:val="center"/>
          </w:tcPr>
          <w:p w14:paraId="54B2150E">
            <w:pPr>
              <w:spacing w:line="360" w:lineRule="auto"/>
              <w:rPr>
                <w:rFonts w:hint="eastAsia" w:ascii="宋体" w:hAnsi="宋体" w:cs="宋体"/>
                <w:szCs w:val="21"/>
                <w:lang w:val="zh-CN"/>
              </w:rPr>
            </w:pPr>
            <w:r>
              <w:rPr>
                <w:rFonts w:hint="eastAsia" w:ascii="宋体" w:hAnsi="宋体" w:eastAsia="宋体" w:cs="宋体"/>
                <w:sz w:val="21"/>
                <w:szCs w:val="21"/>
                <w:lang w:val="zh-CN"/>
              </w:rPr>
              <w:t>a) 应在网络边界、重要网络节点处进行安全审计，审计覆盖到每个用户，对重要的用户行为和重要安全事件进行审计；</w:t>
            </w:r>
          </w:p>
        </w:tc>
      </w:tr>
      <w:tr w14:paraId="1E9B3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301" w:type="pct"/>
            <w:vMerge w:val="continue"/>
            <w:tcMar>
              <w:top w:w="15" w:type="dxa"/>
              <w:left w:w="15" w:type="dxa"/>
              <w:right w:w="15" w:type="dxa"/>
            </w:tcMar>
            <w:vAlign w:val="center"/>
          </w:tcPr>
          <w:p w14:paraId="4B98BFDF">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3E05BD95">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7D46C25C">
            <w:pPr>
              <w:spacing w:line="360" w:lineRule="auto"/>
              <w:rPr>
                <w:rFonts w:hint="eastAsia" w:ascii="宋体" w:hAnsi="宋体" w:cs="宋体"/>
                <w:szCs w:val="21"/>
                <w:lang w:val="zh-CN"/>
              </w:rPr>
            </w:pPr>
            <w:r>
              <w:rPr>
                <w:rFonts w:hint="eastAsia" w:ascii="宋体" w:hAnsi="宋体" w:eastAsia="宋体" w:cs="宋体"/>
                <w:sz w:val="21"/>
                <w:szCs w:val="21"/>
                <w:lang w:val="zh-CN"/>
              </w:rPr>
              <w:t>b) 审计记录应包括事件的日期和时间、用户、事件类型、事件是否成功及其他与审计相关的信息；</w:t>
            </w:r>
          </w:p>
        </w:tc>
      </w:tr>
      <w:tr w14:paraId="2FD18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jc w:val="center"/>
        </w:trPr>
        <w:tc>
          <w:tcPr>
            <w:tcW w:w="301" w:type="pct"/>
            <w:vMerge w:val="continue"/>
            <w:tcMar>
              <w:top w:w="15" w:type="dxa"/>
              <w:left w:w="15" w:type="dxa"/>
              <w:right w:w="15" w:type="dxa"/>
            </w:tcMar>
            <w:vAlign w:val="center"/>
          </w:tcPr>
          <w:p w14:paraId="448CADBC">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63F1E68D">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5226A695">
            <w:pPr>
              <w:spacing w:line="360" w:lineRule="auto"/>
              <w:rPr>
                <w:rFonts w:hint="eastAsia" w:ascii="宋体" w:hAnsi="宋体" w:cs="宋体"/>
                <w:szCs w:val="21"/>
                <w:lang w:val="zh-CN"/>
              </w:rPr>
            </w:pPr>
            <w:r>
              <w:rPr>
                <w:rFonts w:hint="eastAsia" w:ascii="宋体" w:hAnsi="宋体" w:eastAsia="宋体" w:cs="宋体"/>
                <w:sz w:val="21"/>
                <w:szCs w:val="21"/>
                <w:lang w:val="zh-CN"/>
              </w:rPr>
              <w:t>c) 应对审计记录进行保护，定期备份，避免受到未预期的删除、修改或覆盖等。</w:t>
            </w:r>
          </w:p>
        </w:tc>
      </w:tr>
      <w:tr w14:paraId="5DF3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301" w:type="pct"/>
            <w:vMerge w:val="continue"/>
            <w:tcMar>
              <w:top w:w="15" w:type="dxa"/>
              <w:left w:w="15" w:type="dxa"/>
              <w:right w:w="15" w:type="dxa"/>
            </w:tcMar>
            <w:vAlign w:val="center"/>
          </w:tcPr>
          <w:p w14:paraId="1495F35C">
            <w:pPr>
              <w:spacing w:line="360" w:lineRule="auto"/>
              <w:jc w:val="center"/>
              <w:rPr>
                <w:rFonts w:hint="eastAsia" w:ascii="宋体" w:hAnsi="宋体" w:cs="宋体"/>
                <w:szCs w:val="21"/>
                <w:lang w:val="zh-CN"/>
              </w:rPr>
            </w:pPr>
          </w:p>
        </w:tc>
        <w:tc>
          <w:tcPr>
            <w:tcW w:w="953" w:type="pct"/>
            <w:tcMar>
              <w:top w:w="15" w:type="dxa"/>
              <w:left w:w="15" w:type="dxa"/>
              <w:right w:w="15" w:type="dxa"/>
            </w:tcMar>
            <w:vAlign w:val="center"/>
          </w:tcPr>
          <w:p w14:paraId="57A5D8CD">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可信验证</w:t>
            </w:r>
          </w:p>
        </w:tc>
        <w:tc>
          <w:tcPr>
            <w:tcW w:w="3745" w:type="pct"/>
            <w:tcMar>
              <w:top w:w="15" w:type="dxa"/>
              <w:left w:w="15" w:type="dxa"/>
              <w:right w:w="15" w:type="dxa"/>
            </w:tcMar>
            <w:vAlign w:val="center"/>
          </w:tcPr>
          <w:p w14:paraId="107B1C26">
            <w:pPr>
              <w:spacing w:line="360" w:lineRule="auto"/>
              <w:rPr>
                <w:rFonts w:hint="eastAsia" w:ascii="宋体" w:hAnsi="宋体" w:cs="宋体"/>
                <w:szCs w:val="21"/>
                <w:lang w:val="zh-CN"/>
              </w:rPr>
            </w:pPr>
            <w:r>
              <w:rPr>
                <w:rFonts w:hint="eastAsia" w:ascii="宋体" w:hAnsi="宋体" w:eastAsia="宋体" w:cs="宋体"/>
                <w:sz w:val="21"/>
                <w:szCs w:val="21"/>
                <w:lang w:val="zh-CN"/>
              </w:rPr>
              <w:t>可基于可信根对边界设备的系统引导程序、系统程序、重要配置参数和边界防护应用程序等进行可信验证，并在检测到其可信性受到破坏后进行报警，并将验证结果形成审计记录送至安全管理中心。</w:t>
            </w:r>
          </w:p>
        </w:tc>
      </w:tr>
      <w:tr w14:paraId="1C497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301" w:type="pct"/>
            <w:vMerge w:val="restart"/>
            <w:tcMar>
              <w:top w:w="15" w:type="dxa"/>
              <w:left w:w="15" w:type="dxa"/>
              <w:right w:w="15" w:type="dxa"/>
            </w:tcMar>
            <w:vAlign w:val="center"/>
          </w:tcPr>
          <w:p w14:paraId="643327AA">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安全计算环境</w:t>
            </w:r>
          </w:p>
        </w:tc>
        <w:tc>
          <w:tcPr>
            <w:tcW w:w="953" w:type="pct"/>
            <w:vMerge w:val="restart"/>
            <w:tcMar>
              <w:top w:w="15" w:type="dxa"/>
              <w:left w:w="15" w:type="dxa"/>
              <w:right w:w="15" w:type="dxa"/>
            </w:tcMar>
            <w:vAlign w:val="center"/>
          </w:tcPr>
          <w:p w14:paraId="19857F6C">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身份鉴别</w:t>
            </w:r>
          </w:p>
        </w:tc>
        <w:tc>
          <w:tcPr>
            <w:tcW w:w="3745" w:type="pct"/>
            <w:tcMar>
              <w:top w:w="15" w:type="dxa"/>
              <w:left w:w="15" w:type="dxa"/>
              <w:right w:w="15" w:type="dxa"/>
            </w:tcMar>
            <w:vAlign w:val="center"/>
          </w:tcPr>
          <w:p w14:paraId="317623D5">
            <w:pPr>
              <w:spacing w:line="360" w:lineRule="auto"/>
              <w:rPr>
                <w:rFonts w:hint="eastAsia" w:ascii="宋体" w:hAnsi="宋体" w:cs="宋体"/>
                <w:szCs w:val="21"/>
                <w:lang w:val="zh-CN"/>
              </w:rPr>
            </w:pPr>
            <w:r>
              <w:rPr>
                <w:rFonts w:hint="eastAsia" w:ascii="宋体" w:hAnsi="宋体" w:eastAsia="宋体" w:cs="宋体"/>
                <w:sz w:val="21"/>
                <w:szCs w:val="21"/>
                <w:lang w:val="zh-CN"/>
              </w:rPr>
              <w:t>a)应对登录的用户进行身份标识和鉴别，身份标识具有唯一性，身份鉴别信息具有复杂度要求并定期更换；</w:t>
            </w:r>
          </w:p>
        </w:tc>
      </w:tr>
      <w:tr w14:paraId="1C19F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301" w:type="pct"/>
            <w:vMerge w:val="continue"/>
            <w:tcMar>
              <w:top w:w="15" w:type="dxa"/>
              <w:left w:w="15" w:type="dxa"/>
              <w:right w:w="15" w:type="dxa"/>
            </w:tcMar>
            <w:vAlign w:val="center"/>
          </w:tcPr>
          <w:p w14:paraId="4912AED2">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6CC979AA">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084D64A0">
            <w:pPr>
              <w:spacing w:line="360" w:lineRule="auto"/>
              <w:rPr>
                <w:rFonts w:hint="eastAsia" w:ascii="宋体" w:hAnsi="宋体" w:cs="宋体"/>
                <w:szCs w:val="21"/>
                <w:lang w:val="zh-CN"/>
              </w:rPr>
            </w:pPr>
            <w:r>
              <w:rPr>
                <w:rFonts w:hint="eastAsia" w:ascii="宋体" w:hAnsi="宋体" w:eastAsia="宋体" w:cs="宋体"/>
                <w:sz w:val="21"/>
                <w:szCs w:val="21"/>
                <w:lang w:val="zh-CN"/>
              </w:rPr>
              <w:t>b）应具有登录失败处理功能，应配置并启用结束会话、限制非法登录次数和当登录连接超时自动退出等相关措施；</w:t>
            </w:r>
          </w:p>
        </w:tc>
      </w:tr>
      <w:tr w14:paraId="4B3D1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301" w:type="pct"/>
            <w:vMerge w:val="continue"/>
            <w:tcMar>
              <w:top w:w="15" w:type="dxa"/>
              <w:left w:w="15" w:type="dxa"/>
              <w:right w:w="15" w:type="dxa"/>
            </w:tcMar>
            <w:vAlign w:val="center"/>
          </w:tcPr>
          <w:p w14:paraId="2B2414FC">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2245C451">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698916D0">
            <w:pPr>
              <w:spacing w:line="360" w:lineRule="auto"/>
              <w:rPr>
                <w:rFonts w:hint="eastAsia" w:ascii="宋体" w:hAnsi="宋体" w:cs="宋体"/>
                <w:szCs w:val="21"/>
                <w:lang w:val="zh-CN"/>
              </w:rPr>
            </w:pPr>
            <w:r>
              <w:rPr>
                <w:rFonts w:hint="eastAsia" w:ascii="宋体" w:hAnsi="宋体" w:eastAsia="宋体" w:cs="宋体"/>
                <w:sz w:val="21"/>
                <w:szCs w:val="21"/>
                <w:lang w:val="zh-CN"/>
              </w:rPr>
              <w:t>c)当进行远程管理时，应采取必要措施防止鉴别信息在网络传输过程中被窃听。</w:t>
            </w:r>
          </w:p>
        </w:tc>
      </w:tr>
      <w:tr w14:paraId="3CC2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301" w:type="pct"/>
            <w:vMerge w:val="continue"/>
            <w:tcMar>
              <w:top w:w="15" w:type="dxa"/>
              <w:left w:w="15" w:type="dxa"/>
              <w:right w:w="15" w:type="dxa"/>
            </w:tcMar>
            <w:vAlign w:val="center"/>
          </w:tcPr>
          <w:p w14:paraId="028F6BDD">
            <w:pPr>
              <w:spacing w:line="360" w:lineRule="auto"/>
              <w:jc w:val="center"/>
              <w:rPr>
                <w:rFonts w:hint="eastAsia" w:ascii="宋体" w:hAnsi="宋体" w:cs="宋体"/>
                <w:szCs w:val="21"/>
                <w:lang w:val="zh-CN"/>
              </w:rPr>
            </w:pPr>
          </w:p>
        </w:tc>
        <w:tc>
          <w:tcPr>
            <w:tcW w:w="953" w:type="pct"/>
            <w:vMerge w:val="restart"/>
            <w:tcMar>
              <w:top w:w="15" w:type="dxa"/>
              <w:left w:w="15" w:type="dxa"/>
              <w:right w:w="15" w:type="dxa"/>
            </w:tcMar>
            <w:vAlign w:val="center"/>
          </w:tcPr>
          <w:p w14:paraId="5329BA5A">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访问控制</w:t>
            </w:r>
          </w:p>
        </w:tc>
        <w:tc>
          <w:tcPr>
            <w:tcW w:w="3745" w:type="pct"/>
            <w:tcMar>
              <w:top w:w="15" w:type="dxa"/>
              <w:left w:w="15" w:type="dxa"/>
              <w:right w:w="15" w:type="dxa"/>
            </w:tcMar>
            <w:vAlign w:val="center"/>
          </w:tcPr>
          <w:p w14:paraId="02DEE9F7">
            <w:pPr>
              <w:spacing w:line="360" w:lineRule="auto"/>
              <w:rPr>
                <w:rFonts w:hint="eastAsia" w:ascii="宋体" w:hAnsi="宋体" w:cs="宋体"/>
                <w:szCs w:val="21"/>
                <w:lang w:val="zh-CN"/>
              </w:rPr>
            </w:pPr>
            <w:r>
              <w:rPr>
                <w:rFonts w:hint="eastAsia" w:ascii="宋体" w:hAnsi="宋体" w:eastAsia="宋体" w:cs="宋体"/>
                <w:sz w:val="21"/>
                <w:szCs w:val="21"/>
                <w:lang w:val="zh-CN"/>
              </w:rPr>
              <w:t>a) 应对登录的用户分配账户和权限；</w:t>
            </w:r>
          </w:p>
        </w:tc>
      </w:tr>
      <w:tr w14:paraId="1F861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301" w:type="pct"/>
            <w:vMerge w:val="continue"/>
            <w:tcMar>
              <w:top w:w="15" w:type="dxa"/>
              <w:left w:w="15" w:type="dxa"/>
              <w:right w:w="15" w:type="dxa"/>
            </w:tcMar>
            <w:vAlign w:val="center"/>
          </w:tcPr>
          <w:p w14:paraId="066999AA">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1C38D591">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4B65E81A">
            <w:pPr>
              <w:spacing w:line="360" w:lineRule="auto"/>
              <w:rPr>
                <w:rFonts w:hint="eastAsia" w:ascii="宋体" w:hAnsi="宋体" w:cs="宋体"/>
                <w:szCs w:val="21"/>
                <w:lang w:val="zh-CN"/>
              </w:rPr>
            </w:pPr>
            <w:r>
              <w:rPr>
                <w:rFonts w:hint="eastAsia" w:ascii="宋体" w:hAnsi="宋体" w:eastAsia="宋体" w:cs="宋体"/>
                <w:sz w:val="21"/>
                <w:szCs w:val="21"/>
                <w:lang w:val="zh-CN"/>
              </w:rPr>
              <w:t>b) 应重命名或删除默认账户，修改默认账户的默认口令；</w:t>
            </w:r>
          </w:p>
        </w:tc>
      </w:tr>
      <w:tr w14:paraId="4F474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301" w:type="pct"/>
            <w:vMerge w:val="continue"/>
            <w:tcMar>
              <w:top w:w="15" w:type="dxa"/>
              <w:left w:w="15" w:type="dxa"/>
              <w:right w:w="15" w:type="dxa"/>
            </w:tcMar>
            <w:vAlign w:val="center"/>
          </w:tcPr>
          <w:p w14:paraId="7564BB15">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346A12E2">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6463447C">
            <w:pPr>
              <w:spacing w:line="360" w:lineRule="auto"/>
              <w:rPr>
                <w:rFonts w:hint="eastAsia" w:ascii="宋体" w:hAnsi="宋体" w:cs="宋体"/>
                <w:szCs w:val="21"/>
                <w:lang w:val="zh-CN"/>
              </w:rPr>
            </w:pPr>
            <w:r>
              <w:rPr>
                <w:rFonts w:hint="eastAsia" w:ascii="宋体" w:hAnsi="宋体" w:eastAsia="宋体" w:cs="宋体"/>
                <w:sz w:val="21"/>
                <w:szCs w:val="21"/>
                <w:lang w:val="zh-CN"/>
              </w:rPr>
              <w:t>c) 应及时删除或停用多余的、过期的账户，避免共享账户的存在；</w:t>
            </w:r>
          </w:p>
        </w:tc>
      </w:tr>
      <w:tr w14:paraId="52159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301" w:type="pct"/>
            <w:vMerge w:val="continue"/>
            <w:tcMar>
              <w:top w:w="15" w:type="dxa"/>
              <w:left w:w="15" w:type="dxa"/>
              <w:right w:w="15" w:type="dxa"/>
            </w:tcMar>
            <w:vAlign w:val="center"/>
          </w:tcPr>
          <w:p w14:paraId="7C9B5060">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6D677433">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34E1B626">
            <w:pPr>
              <w:spacing w:line="360" w:lineRule="auto"/>
              <w:rPr>
                <w:rFonts w:hint="eastAsia" w:ascii="宋体" w:hAnsi="宋体" w:cs="宋体"/>
                <w:szCs w:val="21"/>
                <w:lang w:val="zh-CN"/>
              </w:rPr>
            </w:pPr>
            <w:r>
              <w:rPr>
                <w:rFonts w:hint="eastAsia" w:ascii="宋体" w:hAnsi="宋体" w:eastAsia="宋体" w:cs="宋体"/>
                <w:sz w:val="21"/>
                <w:szCs w:val="21"/>
                <w:lang w:val="zh-CN"/>
              </w:rPr>
              <w:t>d) 应授予管理用户所需的最小权限，实现管理用户的权限分离。</w:t>
            </w:r>
          </w:p>
        </w:tc>
      </w:tr>
      <w:tr w14:paraId="6F76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301" w:type="pct"/>
            <w:vMerge w:val="continue"/>
            <w:tcMar>
              <w:top w:w="15" w:type="dxa"/>
              <w:left w:w="15" w:type="dxa"/>
              <w:right w:w="15" w:type="dxa"/>
            </w:tcMar>
            <w:vAlign w:val="center"/>
          </w:tcPr>
          <w:p w14:paraId="229E81B0">
            <w:pPr>
              <w:spacing w:line="360" w:lineRule="auto"/>
              <w:jc w:val="center"/>
              <w:rPr>
                <w:rFonts w:hint="eastAsia" w:ascii="宋体" w:hAnsi="宋体" w:cs="宋体"/>
                <w:szCs w:val="21"/>
                <w:lang w:val="zh-CN"/>
              </w:rPr>
            </w:pPr>
          </w:p>
        </w:tc>
        <w:tc>
          <w:tcPr>
            <w:tcW w:w="953" w:type="pct"/>
            <w:vMerge w:val="restart"/>
            <w:tcMar>
              <w:top w:w="15" w:type="dxa"/>
              <w:left w:w="15" w:type="dxa"/>
              <w:right w:w="15" w:type="dxa"/>
            </w:tcMar>
            <w:vAlign w:val="center"/>
          </w:tcPr>
          <w:p w14:paraId="35E1F6DC">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安全审计</w:t>
            </w:r>
          </w:p>
        </w:tc>
        <w:tc>
          <w:tcPr>
            <w:tcW w:w="3745" w:type="pct"/>
            <w:tcMar>
              <w:top w:w="15" w:type="dxa"/>
              <w:left w:w="15" w:type="dxa"/>
              <w:right w:w="15" w:type="dxa"/>
            </w:tcMar>
            <w:vAlign w:val="center"/>
          </w:tcPr>
          <w:p w14:paraId="38C8190F">
            <w:pPr>
              <w:spacing w:line="360" w:lineRule="auto"/>
              <w:rPr>
                <w:rFonts w:hint="eastAsia" w:ascii="宋体" w:hAnsi="宋体" w:cs="宋体"/>
                <w:szCs w:val="21"/>
                <w:lang w:val="zh-CN"/>
              </w:rPr>
            </w:pPr>
            <w:r>
              <w:rPr>
                <w:rFonts w:hint="eastAsia" w:ascii="宋体" w:hAnsi="宋体" w:eastAsia="宋体" w:cs="宋体"/>
                <w:sz w:val="21"/>
                <w:szCs w:val="21"/>
                <w:lang w:val="zh-CN"/>
              </w:rPr>
              <w:t>a) 应启用安全审计功能，审计覆盖到每个用户，对重要的用户行为和重要安全事件进行审计；</w:t>
            </w:r>
          </w:p>
        </w:tc>
      </w:tr>
      <w:tr w14:paraId="16D10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301" w:type="pct"/>
            <w:vMerge w:val="continue"/>
            <w:tcMar>
              <w:top w:w="15" w:type="dxa"/>
              <w:left w:w="15" w:type="dxa"/>
              <w:right w:w="15" w:type="dxa"/>
            </w:tcMar>
            <w:vAlign w:val="center"/>
          </w:tcPr>
          <w:p w14:paraId="226AAF1C">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71CC951E">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508198D5">
            <w:pPr>
              <w:spacing w:line="360" w:lineRule="auto"/>
              <w:rPr>
                <w:rFonts w:hint="eastAsia" w:ascii="宋体" w:hAnsi="宋体" w:cs="宋体"/>
                <w:szCs w:val="21"/>
                <w:lang w:val="zh-CN"/>
              </w:rPr>
            </w:pPr>
            <w:r>
              <w:rPr>
                <w:rFonts w:hint="eastAsia" w:ascii="宋体" w:hAnsi="宋体" w:eastAsia="宋体" w:cs="宋体"/>
                <w:sz w:val="21"/>
                <w:szCs w:val="21"/>
                <w:lang w:val="zh-CN"/>
              </w:rPr>
              <w:t>b)审计记录应包括事件的日期和时间、用户、事件类型、事件是否成功及其他与审计相关的信息；</w:t>
            </w:r>
          </w:p>
        </w:tc>
      </w:tr>
      <w:tr w14:paraId="21217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jc w:val="center"/>
        </w:trPr>
        <w:tc>
          <w:tcPr>
            <w:tcW w:w="301" w:type="pct"/>
            <w:vMerge w:val="continue"/>
            <w:tcMar>
              <w:top w:w="15" w:type="dxa"/>
              <w:left w:w="15" w:type="dxa"/>
              <w:right w:w="15" w:type="dxa"/>
            </w:tcMar>
            <w:vAlign w:val="center"/>
          </w:tcPr>
          <w:p w14:paraId="6B8C13A2">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77DA1C38">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05797F9E">
            <w:pPr>
              <w:spacing w:line="360" w:lineRule="auto"/>
              <w:rPr>
                <w:rFonts w:hint="eastAsia" w:ascii="宋体" w:hAnsi="宋体" w:cs="宋体"/>
                <w:szCs w:val="21"/>
                <w:lang w:val="zh-CN"/>
              </w:rPr>
            </w:pPr>
            <w:r>
              <w:rPr>
                <w:rFonts w:hint="eastAsia" w:ascii="宋体" w:hAnsi="宋体" w:eastAsia="宋体" w:cs="宋体"/>
                <w:sz w:val="21"/>
                <w:szCs w:val="21"/>
                <w:lang w:val="zh-CN"/>
              </w:rPr>
              <w:t>c）应对审计记录进行保护，定期备份，避免受到未预期的删除、修改或覆盖等。</w:t>
            </w:r>
          </w:p>
        </w:tc>
      </w:tr>
      <w:tr w14:paraId="1C8F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301" w:type="pct"/>
            <w:vMerge w:val="continue"/>
            <w:tcMar>
              <w:top w:w="15" w:type="dxa"/>
              <w:left w:w="15" w:type="dxa"/>
              <w:right w:w="15" w:type="dxa"/>
            </w:tcMar>
            <w:vAlign w:val="center"/>
          </w:tcPr>
          <w:p w14:paraId="1C4BCB61">
            <w:pPr>
              <w:spacing w:line="360" w:lineRule="auto"/>
              <w:jc w:val="center"/>
              <w:rPr>
                <w:rFonts w:hint="eastAsia" w:ascii="宋体" w:hAnsi="宋体" w:cs="宋体"/>
                <w:szCs w:val="21"/>
                <w:lang w:val="zh-CN"/>
              </w:rPr>
            </w:pPr>
          </w:p>
        </w:tc>
        <w:tc>
          <w:tcPr>
            <w:tcW w:w="953" w:type="pct"/>
            <w:vMerge w:val="restart"/>
            <w:tcMar>
              <w:top w:w="15" w:type="dxa"/>
              <w:left w:w="15" w:type="dxa"/>
              <w:right w:w="15" w:type="dxa"/>
            </w:tcMar>
            <w:vAlign w:val="center"/>
          </w:tcPr>
          <w:p w14:paraId="22C60A67">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入侵防范</w:t>
            </w:r>
          </w:p>
        </w:tc>
        <w:tc>
          <w:tcPr>
            <w:tcW w:w="3745" w:type="pct"/>
            <w:tcMar>
              <w:top w:w="15" w:type="dxa"/>
              <w:left w:w="15" w:type="dxa"/>
              <w:right w:w="15" w:type="dxa"/>
            </w:tcMar>
            <w:vAlign w:val="center"/>
          </w:tcPr>
          <w:p w14:paraId="2289D3CE">
            <w:pPr>
              <w:spacing w:line="360" w:lineRule="auto"/>
              <w:rPr>
                <w:rFonts w:hint="eastAsia" w:ascii="宋体" w:hAnsi="宋体" w:cs="宋体"/>
                <w:szCs w:val="21"/>
                <w:lang w:val="zh-CN"/>
              </w:rPr>
            </w:pPr>
            <w:r>
              <w:rPr>
                <w:rFonts w:hint="eastAsia" w:ascii="宋体" w:hAnsi="宋体" w:eastAsia="宋体" w:cs="宋体"/>
                <w:sz w:val="21"/>
                <w:szCs w:val="21"/>
                <w:lang w:val="zh-CN"/>
              </w:rPr>
              <w:t>a）应遵循最小安装的原则，仅安装需要的组件和应用程序；</w:t>
            </w:r>
          </w:p>
        </w:tc>
      </w:tr>
      <w:tr w14:paraId="43A36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301" w:type="pct"/>
            <w:vMerge w:val="continue"/>
            <w:tcMar>
              <w:top w:w="15" w:type="dxa"/>
              <w:left w:w="15" w:type="dxa"/>
              <w:right w:w="15" w:type="dxa"/>
            </w:tcMar>
            <w:vAlign w:val="center"/>
          </w:tcPr>
          <w:p w14:paraId="42F485EB">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39C2546D">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6F2D9B15">
            <w:pPr>
              <w:spacing w:line="360" w:lineRule="auto"/>
              <w:rPr>
                <w:rFonts w:hint="eastAsia" w:ascii="宋体" w:hAnsi="宋体" w:cs="宋体"/>
                <w:szCs w:val="21"/>
                <w:lang w:val="zh-CN"/>
              </w:rPr>
            </w:pPr>
            <w:r>
              <w:rPr>
                <w:rFonts w:hint="eastAsia" w:ascii="宋体" w:hAnsi="宋体" w:eastAsia="宋体" w:cs="宋体"/>
                <w:sz w:val="21"/>
                <w:szCs w:val="21"/>
                <w:lang w:val="zh-CN"/>
              </w:rPr>
              <w:t>b)应关闭不需要的系统服务、默认共享和高危端口；</w:t>
            </w:r>
          </w:p>
        </w:tc>
      </w:tr>
      <w:tr w14:paraId="5A0AB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7" w:hRule="atLeast"/>
          <w:jc w:val="center"/>
        </w:trPr>
        <w:tc>
          <w:tcPr>
            <w:tcW w:w="301" w:type="pct"/>
            <w:vMerge w:val="continue"/>
            <w:tcMar>
              <w:top w:w="15" w:type="dxa"/>
              <w:left w:w="15" w:type="dxa"/>
              <w:right w:w="15" w:type="dxa"/>
            </w:tcMar>
            <w:vAlign w:val="center"/>
          </w:tcPr>
          <w:p w14:paraId="6F5BB16B">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2BB24AC3">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71EADC1A">
            <w:pPr>
              <w:spacing w:line="360" w:lineRule="auto"/>
              <w:rPr>
                <w:rFonts w:hint="eastAsia" w:ascii="宋体" w:hAnsi="宋体" w:cs="宋体"/>
                <w:szCs w:val="21"/>
                <w:lang w:val="zh-CN"/>
              </w:rPr>
            </w:pPr>
            <w:r>
              <w:rPr>
                <w:rFonts w:hint="eastAsia" w:ascii="宋体" w:hAnsi="宋体" w:eastAsia="宋体" w:cs="宋体"/>
                <w:sz w:val="21"/>
                <w:szCs w:val="21"/>
                <w:lang w:val="zh-CN"/>
              </w:rPr>
              <w:t>c）应通过设定终端接入方式或网络地址范围对通过网络进行管理的管理终端进行限制；</w:t>
            </w:r>
          </w:p>
        </w:tc>
      </w:tr>
      <w:tr w14:paraId="1F672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301" w:type="pct"/>
            <w:vMerge w:val="continue"/>
            <w:tcMar>
              <w:top w:w="15" w:type="dxa"/>
              <w:left w:w="15" w:type="dxa"/>
              <w:right w:w="15" w:type="dxa"/>
            </w:tcMar>
            <w:vAlign w:val="center"/>
          </w:tcPr>
          <w:p w14:paraId="678D7380">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3894F03C">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44D0F581">
            <w:pPr>
              <w:spacing w:line="360" w:lineRule="auto"/>
              <w:rPr>
                <w:rFonts w:hint="eastAsia" w:ascii="宋体" w:hAnsi="宋体" w:cs="宋体"/>
                <w:szCs w:val="21"/>
                <w:lang w:val="zh-CN"/>
              </w:rPr>
            </w:pPr>
            <w:r>
              <w:rPr>
                <w:rFonts w:hint="eastAsia" w:ascii="宋体" w:hAnsi="宋体" w:eastAsia="宋体" w:cs="宋体"/>
                <w:sz w:val="21"/>
                <w:szCs w:val="21"/>
                <w:lang w:val="zh-CN"/>
              </w:rPr>
              <w:t>d）应提供数据有效性检验功能，保证通过人机接口输入或通过通信接口输入的内容符合系统设定要求；</w:t>
            </w:r>
          </w:p>
        </w:tc>
      </w:tr>
      <w:tr w14:paraId="379A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301" w:type="pct"/>
            <w:vMerge w:val="continue"/>
            <w:tcMar>
              <w:top w:w="15" w:type="dxa"/>
              <w:left w:w="15" w:type="dxa"/>
              <w:right w:w="15" w:type="dxa"/>
            </w:tcMar>
            <w:vAlign w:val="center"/>
          </w:tcPr>
          <w:p w14:paraId="53A3C950">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4D6EE8B7">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32E2887A">
            <w:pPr>
              <w:spacing w:line="360" w:lineRule="auto"/>
              <w:rPr>
                <w:rFonts w:hint="eastAsia" w:ascii="宋体" w:hAnsi="宋体" w:cs="宋体"/>
                <w:szCs w:val="21"/>
                <w:lang w:val="zh-CN"/>
              </w:rPr>
            </w:pPr>
            <w:r>
              <w:rPr>
                <w:rFonts w:hint="eastAsia" w:ascii="宋体" w:hAnsi="宋体" w:eastAsia="宋体" w:cs="宋体"/>
                <w:sz w:val="21"/>
                <w:szCs w:val="21"/>
                <w:lang w:val="zh-CN"/>
              </w:rPr>
              <w:t>e）应能发现可能存在的已知漏洞，并在经过充分测试评估后，及时修补漏洞；</w:t>
            </w:r>
          </w:p>
        </w:tc>
      </w:tr>
      <w:tr w14:paraId="5831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jc w:val="center"/>
        </w:trPr>
        <w:tc>
          <w:tcPr>
            <w:tcW w:w="301" w:type="pct"/>
            <w:vMerge w:val="continue"/>
            <w:tcMar>
              <w:top w:w="15" w:type="dxa"/>
              <w:left w:w="15" w:type="dxa"/>
              <w:right w:w="15" w:type="dxa"/>
            </w:tcMar>
            <w:vAlign w:val="center"/>
          </w:tcPr>
          <w:p w14:paraId="3C8291C9">
            <w:pPr>
              <w:spacing w:line="360" w:lineRule="auto"/>
              <w:jc w:val="center"/>
              <w:rPr>
                <w:rFonts w:hint="eastAsia" w:ascii="宋体" w:hAnsi="宋体" w:cs="宋体"/>
                <w:szCs w:val="21"/>
                <w:lang w:val="zh-CN"/>
              </w:rPr>
            </w:pPr>
          </w:p>
        </w:tc>
        <w:tc>
          <w:tcPr>
            <w:tcW w:w="953" w:type="pct"/>
            <w:tcMar>
              <w:top w:w="15" w:type="dxa"/>
              <w:left w:w="15" w:type="dxa"/>
              <w:right w:w="15" w:type="dxa"/>
            </w:tcMar>
            <w:vAlign w:val="center"/>
          </w:tcPr>
          <w:p w14:paraId="781FA362">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恶意代码防范</w:t>
            </w:r>
          </w:p>
        </w:tc>
        <w:tc>
          <w:tcPr>
            <w:tcW w:w="3745" w:type="pct"/>
            <w:tcMar>
              <w:top w:w="15" w:type="dxa"/>
              <w:left w:w="15" w:type="dxa"/>
              <w:right w:w="15" w:type="dxa"/>
            </w:tcMar>
            <w:vAlign w:val="center"/>
          </w:tcPr>
          <w:p w14:paraId="70CBDEDC">
            <w:pPr>
              <w:spacing w:line="360" w:lineRule="auto"/>
              <w:rPr>
                <w:rFonts w:hint="eastAsia" w:ascii="宋体" w:hAnsi="宋体" w:cs="宋体"/>
                <w:szCs w:val="21"/>
                <w:lang w:val="zh-CN"/>
              </w:rPr>
            </w:pPr>
            <w:r>
              <w:rPr>
                <w:rFonts w:hint="eastAsia" w:ascii="宋体" w:hAnsi="宋体" w:eastAsia="宋体" w:cs="宋体"/>
                <w:sz w:val="21"/>
                <w:szCs w:val="21"/>
                <w:lang w:val="zh-CN"/>
              </w:rPr>
              <w:t>应安装防恶意代码软件或配置具有相应功能的软件，并定期进行升级和更新防恶意代码库。</w:t>
            </w:r>
          </w:p>
        </w:tc>
      </w:tr>
      <w:tr w14:paraId="45395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301" w:type="pct"/>
            <w:vMerge w:val="continue"/>
            <w:tcMar>
              <w:top w:w="15" w:type="dxa"/>
              <w:left w:w="15" w:type="dxa"/>
              <w:right w:w="15" w:type="dxa"/>
            </w:tcMar>
            <w:vAlign w:val="center"/>
          </w:tcPr>
          <w:p w14:paraId="7FDFE226">
            <w:pPr>
              <w:spacing w:line="360" w:lineRule="auto"/>
              <w:jc w:val="center"/>
              <w:rPr>
                <w:rFonts w:hint="eastAsia" w:ascii="宋体" w:hAnsi="宋体" w:cs="宋体"/>
                <w:szCs w:val="21"/>
                <w:lang w:val="zh-CN"/>
              </w:rPr>
            </w:pPr>
          </w:p>
        </w:tc>
        <w:tc>
          <w:tcPr>
            <w:tcW w:w="953" w:type="pct"/>
            <w:tcMar>
              <w:top w:w="15" w:type="dxa"/>
              <w:left w:w="15" w:type="dxa"/>
              <w:right w:w="15" w:type="dxa"/>
            </w:tcMar>
            <w:vAlign w:val="center"/>
          </w:tcPr>
          <w:p w14:paraId="4AF3C1E4">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可信验证</w:t>
            </w:r>
          </w:p>
        </w:tc>
        <w:tc>
          <w:tcPr>
            <w:tcW w:w="3745" w:type="pct"/>
            <w:tcMar>
              <w:top w:w="15" w:type="dxa"/>
              <w:left w:w="15" w:type="dxa"/>
              <w:right w:w="15" w:type="dxa"/>
            </w:tcMar>
            <w:vAlign w:val="center"/>
          </w:tcPr>
          <w:p w14:paraId="04622BDD">
            <w:pPr>
              <w:spacing w:line="360" w:lineRule="auto"/>
              <w:rPr>
                <w:rFonts w:hint="eastAsia" w:ascii="宋体" w:hAnsi="宋体" w:cs="宋体"/>
                <w:szCs w:val="21"/>
                <w:lang w:val="zh-CN"/>
              </w:rPr>
            </w:pPr>
            <w:r>
              <w:rPr>
                <w:rFonts w:hint="eastAsia" w:ascii="宋体" w:hAnsi="宋体" w:eastAsia="宋体" w:cs="宋体"/>
                <w:sz w:val="21"/>
                <w:szCs w:val="21"/>
                <w:lang w:val="zh-CN"/>
              </w:rPr>
              <w:t>可基于可信根对计算设备的系统引导程序、系统程序、重要配置参数和应用程序等进行可信验证，并在检测到其可信性受到破坏后进行报警，并将验证结果形成审计记录送至安全管理中心。</w:t>
            </w:r>
          </w:p>
        </w:tc>
      </w:tr>
      <w:tr w14:paraId="407C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301" w:type="pct"/>
            <w:vMerge w:val="continue"/>
            <w:tcMar>
              <w:top w:w="15" w:type="dxa"/>
              <w:left w:w="15" w:type="dxa"/>
              <w:right w:w="15" w:type="dxa"/>
            </w:tcMar>
            <w:vAlign w:val="center"/>
          </w:tcPr>
          <w:p w14:paraId="44B97C44">
            <w:pPr>
              <w:spacing w:line="360" w:lineRule="auto"/>
              <w:jc w:val="center"/>
              <w:rPr>
                <w:rFonts w:hint="eastAsia" w:ascii="宋体" w:hAnsi="宋体" w:cs="宋体"/>
                <w:szCs w:val="21"/>
                <w:lang w:val="zh-CN"/>
              </w:rPr>
            </w:pPr>
          </w:p>
        </w:tc>
        <w:tc>
          <w:tcPr>
            <w:tcW w:w="953" w:type="pct"/>
            <w:tcMar>
              <w:top w:w="15" w:type="dxa"/>
              <w:left w:w="15" w:type="dxa"/>
              <w:right w:w="15" w:type="dxa"/>
            </w:tcMar>
            <w:vAlign w:val="center"/>
          </w:tcPr>
          <w:p w14:paraId="1AE11785">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数据完整性</w:t>
            </w:r>
          </w:p>
        </w:tc>
        <w:tc>
          <w:tcPr>
            <w:tcW w:w="3745" w:type="pct"/>
            <w:tcMar>
              <w:top w:w="15" w:type="dxa"/>
              <w:left w:w="15" w:type="dxa"/>
              <w:right w:w="15" w:type="dxa"/>
            </w:tcMar>
            <w:vAlign w:val="center"/>
          </w:tcPr>
          <w:p w14:paraId="4850027D">
            <w:pPr>
              <w:spacing w:line="360" w:lineRule="auto"/>
              <w:rPr>
                <w:rFonts w:hint="eastAsia" w:ascii="宋体" w:hAnsi="宋体" w:cs="宋体"/>
                <w:szCs w:val="21"/>
                <w:lang w:val="zh-CN"/>
              </w:rPr>
            </w:pPr>
            <w:r>
              <w:rPr>
                <w:rFonts w:hint="eastAsia" w:ascii="宋体" w:hAnsi="宋体" w:eastAsia="宋体" w:cs="宋体"/>
                <w:sz w:val="21"/>
                <w:szCs w:val="21"/>
                <w:lang w:val="zh-CN"/>
              </w:rPr>
              <w:t>应采用校验技术保证重要数据在传输过程中的完整性。</w:t>
            </w:r>
          </w:p>
        </w:tc>
      </w:tr>
      <w:tr w14:paraId="6863E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jc w:val="center"/>
        </w:trPr>
        <w:tc>
          <w:tcPr>
            <w:tcW w:w="301" w:type="pct"/>
            <w:vMerge w:val="continue"/>
            <w:tcMar>
              <w:top w:w="15" w:type="dxa"/>
              <w:left w:w="15" w:type="dxa"/>
              <w:right w:w="15" w:type="dxa"/>
            </w:tcMar>
            <w:vAlign w:val="center"/>
          </w:tcPr>
          <w:p w14:paraId="79A056F3">
            <w:pPr>
              <w:spacing w:line="360" w:lineRule="auto"/>
              <w:jc w:val="center"/>
              <w:rPr>
                <w:rFonts w:hint="eastAsia" w:ascii="宋体" w:hAnsi="宋体" w:cs="宋体"/>
                <w:szCs w:val="21"/>
                <w:lang w:val="zh-CN"/>
              </w:rPr>
            </w:pPr>
          </w:p>
        </w:tc>
        <w:tc>
          <w:tcPr>
            <w:tcW w:w="953" w:type="pct"/>
            <w:vMerge w:val="restart"/>
            <w:tcMar>
              <w:top w:w="15" w:type="dxa"/>
              <w:left w:w="15" w:type="dxa"/>
              <w:right w:w="15" w:type="dxa"/>
            </w:tcMar>
            <w:vAlign w:val="center"/>
          </w:tcPr>
          <w:p w14:paraId="173492FA">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数据和备份恢复</w:t>
            </w:r>
          </w:p>
        </w:tc>
        <w:tc>
          <w:tcPr>
            <w:tcW w:w="3745" w:type="pct"/>
            <w:tcMar>
              <w:top w:w="15" w:type="dxa"/>
              <w:left w:w="15" w:type="dxa"/>
              <w:right w:w="15" w:type="dxa"/>
            </w:tcMar>
            <w:vAlign w:val="center"/>
          </w:tcPr>
          <w:p w14:paraId="56F74D79">
            <w:pPr>
              <w:spacing w:line="360" w:lineRule="auto"/>
              <w:rPr>
                <w:rFonts w:hint="eastAsia" w:ascii="宋体" w:hAnsi="宋体" w:cs="宋体"/>
                <w:szCs w:val="21"/>
                <w:lang w:val="zh-CN"/>
              </w:rPr>
            </w:pPr>
            <w:r>
              <w:rPr>
                <w:rFonts w:hint="eastAsia" w:ascii="宋体" w:hAnsi="宋体" w:eastAsia="宋体" w:cs="宋体"/>
                <w:sz w:val="21"/>
                <w:szCs w:val="21"/>
                <w:lang w:val="zh-CN"/>
              </w:rPr>
              <w:t>a) 应提供重要数据的本地数据备份与恢复功能；</w:t>
            </w:r>
          </w:p>
        </w:tc>
      </w:tr>
      <w:tr w14:paraId="487E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301" w:type="pct"/>
            <w:vMerge w:val="continue"/>
            <w:tcMar>
              <w:top w:w="15" w:type="dxa"/>
              <w:left w:w="15" w:type="dxa"/>
              <w:right w:w="15" w:type="dxa"/>
            </w:tcMar>
            <w:vAlign w:val="center"/>
          </w:tcPr>
          <w:p w14:paraId="5CA7B3CF">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28A9E537">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18CB40BB">
            <w:pPr>
              <w:spacing w:line="360" w:lineRule="auto"/>
              <w:rPr>
                <w:rFonts w:hint="eastAsia" w:ascii="宋体" w:hAnsi="宋体" w:cs="宋体"/>
                <w:szCs w:val="21"/>
                <w:lang w:val="zh-CN"/>
              </w:rPr>
            </w:pPr>
            <w:r>
              <w:rPr>
                <w:rFonts w:hint="eastAsia" w:ascii="宋体" w:hAnsi="宋体" w:eastAsia="宋体" w:cs="宋体"/>
                <w:sz w:val="21"/>
                <w:szCs w:val="21"/>
                <w:lang w:val="zh-CN"/>
              </w:rPr>
              <w:t>b) 应提供异地数据备份功能，利用通信网络将重要数据定时批量传送至备用场地。</w:t>
            </w:r>
          </w:p>
        </w:tc>
      </w:tr>
      <w:tr w14:paraId="60A05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301" w:type="pct"/>
            <w:vMerge w:val="continue"/>
            <w:tcMar>
              <w:top w:w="15" w:type="dxa"/>
              <w:left w:w="15" w:type="dxa"/>
              <w:right w:w="15" w:type="dxa"/>
            </w:tcMar>
            <w:vAlign w:val="center"/>
          </w:tcPr>
          <w:p w14:paraId="4B2D1791">
            <w:pPr>
              <w:spacing w:line="360" w:lineRule="auto"/>
              <w:jc w:val="center"/>
              <w:rPr>
                <w:rFonts w:hint="eastAsia" w:ascii="宋体" w:hAnsi="宋体" w:cs="宋体"/>
                <w:szCs w:val="21"/>
                <w:lang w:val="zh-CN"/>
              </w:rPr>
            </w:pPr>
          </w:p>
        </w:tc>
        <w:tc>
          <w:tcPr>
            <w:tcW w:w="953" w:type="pct"/>
            <w:tcMar>
              <w:top w:w="15" w:type="dxa"/>
              <w:left w:w="15" w:type="dxa"/>
              <w:right w:w="15" w:type="dxa"/>
            </w:tcMar>
            <w:vAlign w:val="center"/>
          </w:tcPr>
          <w:p w14:paraId="1BEDE1CE">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剩余信息保护</w:t>
            </w:r>
          </w:p>
        </w:tc>
        <w:tc>
          <w:tcPr>
            <w:tcW w:w="3745" w:type="pct"/>
            <w:tcMar>
              <w:top w:w="15" w:type="dxa"/>
              <w:left w:w="15" w:type="dxa"/>
              <w:right w:w="15" w:type="dxa"/>
            </w:tcMar>
            <w:vAlign w:val="center"/>
          </w:tcPr>
          <w:p w14:paraId="0FFC644B">
            <w:pPr>
              <w:spacing w:line="360" w:lineRule="auto"/>
              <w:rPr>
                <w:rFonts w:hint="eastAsia" w:ascii="宋体" w:hAnsi="宋体" w:cs="宋体"/>
                <w:szCs w:val="21"/>
                <w:lang w:val="zh-CN"/>
              </w:rPr>
            </w:pPr>
            <w:r>
              <w:rPr>
                <w:rFonts w:hint="eastAsia" w:ascii="宋体" w:hAnsi="宋体" w:eastAsia="宋体" w:cs="宋体"/>
                <w:sz w:val="21"/>
                <w:szCs w:val="21"/>
                <w:lang w:val="zh-CN"/>
              </w:rPr>
              <w:t>应保证鉴别信息所在的存储空间被释放或重新分配前得到完全清除。</w:t>
            </w:r>
          </w:p>
        </w:tc>
      </w:tr>
      <w:tr w14:paraId="5C69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301" w:type="pct"/>
            <w:vMerge w:val="continue"/>
            <w:tcMar>
              <w:top w:w="15" w:type="dxa"/>
              <w:left w:w="15" w:type="dxa"/>
              <w:right w:w="15" w:type="dxa"/>
            </w:tcMar>
            <w:vAlign w:val="center"/>
          </w:tcPr>
          <w:p w14:paraId="0330B413">
            <w:pPr>
              <w:spacing w:line="360" w:lineRule="auto"/>
              <w:jc w:val="center"/>
              <w:rPr>
                <w:rFonts w:hint="eastAsia" w:ascii="宋体" w:hAnsi="宋体" w:cs="宋体"/>
                <w:szCs w:val="21"/>
                <w:lang w:val="zh-CN"/>
              </w:rPr>
            </w:pPr>
          </w:p>
        </w:tc>
        <w:tc>
          <w:tcPr>
            <w:tcW w:w="953" w:type="pct"/>
            <w:vMerge w:val="restart"/>
            <w:tcMar>
              <w:top w:w="15" w:type="dxa"/>
              <w:left w:w="15" w:type="dxa"/>
              <w:right w:w="15" w:type="dxa"/>
            </w:tcMar>
            <w:vAlign w:val="center"/>
          </w:tcPr>
          <w:p w14:paraId="7E7900EF">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个人信息保护</w:t>
            </w:r>
          </w:p>
        </w:tc>
        <w:tc>
          <w:tcPr>
            <w:tcW w:w="3745" w:type="pct"/>
            <w:tcMar>
              <w:top w:w="15" w:type="dxa"/>
              <w:left w:w="15" w:type="dxa"/>
              <w:right w:w="15" w:type="dxa"/>
            </w:tcMar>
            <w:vAlign w:val="center"/>
          </w:tcPr>
          <w:p w14:paraId="0325CE56">
            <w:pPr>
              <w:spacing w:line="360" w:lineRule="auto"/>
              <w:rPr>
                <w:rFonts w:hint="eastAsia" w:ascii="宋体" w:hAnsi="宋体" w:cs="宋体"/>
                <w:szCs w:val="21"/>
                <w:lang w:val="zh-CN"/>
              </w:rPr>
            </w:pPr>
            <w:r>
              <w:rPr>
                <w:rFonts w:hint="eastAsia" w:ascii="宋体" w:hAnsi="宋体" w:eastAsia="宋体" w:cs="宋体"/>
                <w:sz w:val="21"/>
                <w:szCs w:val="21"/>
                <w:lang w:val="zh-CN"/>
              </w:rPr>
              <w:t>a) 应仅采集和保存业务必需的用户个人信息；</w:t>
            </w:r>
          </w:p>
        </w:tc>
      </w:tr>
      <w:tr w14:paraId="69937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301" w:type="pct"/>
            <w:vMerge w:val="continue"/>
            <w:tcMar>
              <w:top w:w="15" w:type="dxa"/>
              <w:left w:w="15" w:type="dxa"/>
              <w:right w:w="15" w:type="dxa"/>
            </w:tcMar>
            <w:vAlign w:val="center"/>
          </w:tcPr>
          <w:p w14:paraId="529C6A9B">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55B294DF">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3F0623AD">
            <w:pPr>
              <w:spacing w:line="360" w:lineRule="auto"/>
              <w:rPr>
                <w:rFonts w:hint="eastAsia" w:ascii="宋体" w:hAnsi="宋体" w:cs="宋体"/>
                <w:szCs w:val="21"/>
                <w:lang w:val="zh-CN"/>
              </w:rPr>
            </w:pPr>
            <w:r>
              <w:rPr>
                <w:rFonts w:hint="eastAsia" w:ascii="宋体" w:hAnsi="宋体" w:eastAsia="宋体" w:cs="宋体"/>
                <w:sz w:val="21"/>
                <w:szCs w:val="21"/>
                <w:lang w:val="zh-CN"/>
              </w:rPr>
              <w:t>b) 应禁止未授权访问和非法使用用户个人信息。</w:t>
            </w:r>
          </w:p>
        </w:tc>
      </w:tr>
      <w:tr w14:paraId="419F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301" w:type="pct"/>
            <w:vMerge w:val="restart"/>
            <w:tcMar>
              <w:top w:w="15" w:type="dxa"/>
              <w:left w:w="15" w:type="dxa"/>
              <w:right w:w="15" w:type="dxa"/>
            </w:tcMar>
            <w:vAlign w:val="center"/>
          </w:tcPr>
          <w:p w14:paraId="593886E5">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安全管理中心</w:t>
            </w:r>
          </w:p>
        </w:tc>
        <w:tc>
          <w:tcPr>
            <w:tcW w:w="953" w:type="pct"/>
            <w:vMerge w:val="restart"/>
            <w:tcMar>
              <w:top w:w="15" w:type="dxa"/>
              <w:left w:w="15" w:type="dxa"/>
              <w:right w:w="15" w:type="dxa"/>
            </w:tcMar>
            <w:vAlign w:val="center"/>
          </w:tcPr>
          <w:p w14:paraId="689BE072">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系统管理</w:t>
            </w:r>
          </w:p>
        </w:tc>
        <w:tc>
          <w:tcPr>
            <w:tcW w:w="3745" w:type="pct"/>
            <w:tcMar>
              <w:top w:w="15" w:type="dxa"/>
              <w:left w:w="15" w:type="dxa"/>
              <w:right w:w="15" w:type="dxa"/>
            </w:tcMar>
            <w:vAlign w:val="center"/>
          </w:tcPr>
          <w:p w14:paraId="3EFE6CC6">
            <w:pPr>
              <w:spacing w:line="360" w:lineRule="auto"/>
              <w:rPr>
                <w:rFonts w:hint="eastAsia" w:ascii="宋体" w:hAnsi="宋体" w:cs="宋体"/>
                <w:szCs w:val="21"/>
                <w:lang w:val="zh-CN"/>
              </w:rPr>
            </w:pPr>
            <w:r>
              <w:rPr>
                <w:rFonts w:hint="eastAsia" w:ascii="宋体" w:hAnsi="宋体" w:eastAsia="宋体" w:cs="宋体"/>
                <w:sz w:val="21"/>
                <w:szCs w:val="21"/>
                <w:lang w:val="zh-CN"/>
              </w:rPr>
              <w:t>a) 应对系统管理员进行身份鉴别，只允许其通过特定的命令或操作界面进行系统管理操作，并对这些操作进行审计；</w:t>
            </w:r>
          </w:p>
        </w:tc>
      </w:tr>
      <w:tr w14:paraId="3D900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301" w:type="pct"/>
            <w:vMerge w:val="continue"/>
            <w:tcMar>
              <w:top w:w="15" w:type="dxa"/>
              <w:left w:w="15" w:type="dxa"/>
              <w:right w:w="15" w:type="dxa"/>
            </w:tcMar>
            <w:vAlign w:val="center"/>
          </w:tcPr>
          <w:p w14:paraId="2AE1BCD5">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3115FFC3">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3401A126">
            <w:pPr>
              <w:spacing w:line="360" w:lineRule="auto"/>
              <w:rPr>
                <w:rFonts w:hint="eastAsia" w:ascii="宋体" w:hAnsi="宋体" w:cs="宋体"/>
                <w:szCs w:val="21"/>
                <w:lang w:val="zh-CN"/>
              </w:rPr>
            </w:pPr>
            <w:r>
              <w:rPr>
                <w:rFonts w:hint="eastAsia" w:ascii="宋体" w:hAnsi="宋体" w:eastAsia="宋体" w:cs="宋体"/>
                <w:sz w:val="21"/>
                <w:szCs w:val="21"/>
                <w:lang w:val="zh-CN"/>
              </w:rPr>
              <w:t>b) 应通过系统管理员对系统的资源和运行进行配置、控制和管理，包括用户身份、系统资源配置、系统加载和启动、系统运行的异常处理、数据和设备的备份与恢复等。</w:t>
            </w:r>
          </w:p>
        </w:tc>
      </w:tr>
      <w:tr w14:paraId="712D5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301" w:type="pct"/>
            <w:vMerge w:val="continue"/>
            <w:tcMar>
              <w:top w:w="15" w:type="dxa"/>
              <w:left w:w="15" w:type="dxa"/>
              <w:right w:w="15" w:type="dxa"/>
            </w:tcMar>
            <w:vAlign w:val="center"/>
          </w:tcPr>
          <w:p w14:paraId="59C25273">
            <w:pPr>
              <w:spacing w:line="360" w:lineRule="auto"/>
              <w:jc w:val="center"/>
              <w:rPr>
                <w:rFonts w:hint="eastAsia" w:ascii="宋体" w:hAnsi="宋体" w:cs="宋体"/>
                <w:szCs w:val="21"/>
                <w:lang w:val="zh-CN"/>
              </w:rPr>
            </w:pPr>
          </w:p>
        </w:tc>
        <w:tc>
          <w:tcPr>
            <w:tcW w:w="953" w:type="pct"/>
            <w:vMerge w:val="restart"/>
            <w:tcMar>
              <w:top w:w="15" w:type="dxa"/>
              <w:left w:w="15" w:type="dxa"/>
              <w:right w:w="15" w:type="dxa"/>
            </w:tcMar>
            <w:vAlign w:val="center"/>
          </w:tcPr>
          <w:p w14:paraId="0EE1E072">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审计管理</w:t>
            </w:r>
          </w:p>
        </w:tc>
        <w:tc>
          <w:tcPr>
            <w:tcW w:w="3745" w:type="pct"/>
            <w:tcMar>
              <w:top w:w="15" w:type="dxa"/>
              <w:left w:w="15" w:type="dxa"/>
              <w:right w:w="15" w:type="dxa"/>
            </w:tcMar>
            <w:vAlign w:val="center"/>
          </w:tcPr>
          <w:p w14:paraId="0A6C20A7">
            <w:pPr>
              <w:spacing w:line="360" w:lineRule="auto"/>
              <w:rPr>
                <w:rFonts w:hint="eastAsia" w:ascii="宋体" w:hAnsi="宋体" w:cs="宋体"/>
                <w:szCs w:val="21"/>
                <w:lang w:val="zh-CN"/>
              </w:rPr>
            </w:pPr>
            <w:r>
              <w:rPr>
                <w:rFonts w:hint="eastAsia" w:ascii="宋体" w:hAnsi="宋体" w:eastAsia="宋体" w:cs="宋体"/>
                <w:sz w:val="21"/>
                <w:szCs w:val="21"/>
                <w:lang w:val="zh-CN"/>
              </w:rPr>
              <w:t>a) 应对审计管理员进行身份鉴别，只允许其通过特定的命令或操作界面进行安全审计操作，并对这些操作进行审计；</w:t>
            </w:r>
          </w:p>
        </w:tc>
      </w:tr>
      <w:tr w14:paraId="72D5C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2" w:hRule="atLeast"/>
          <w:jc w:val="center"/>
        </w:trPr>
        <w:tc>
          <w:tcPr>
            <w:tcW w:w="301" w:type="pct"/>
            <w:vMerge w:val="continue"/>
            <w:tcMar>
              <w:top w:w="15" w:type="dxa"/>
              <w:left w:w="15" w:type="dxa"/>
              <w:right w:w="15" w:type="dxa"/>
            </w:tcMar>
            <w:vAlign w:val="center"/>
          </w:tcPr>
          <w:p w14:paraId="72CB7BEA">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035DB1D4">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3C7BC232">
            <w:pPr>
              <w:spacing w:line="360" w:lineRule="auto"/>
              <w:rPr>
                <w:rFonts w:hint="eastAsia" w:ascii="宋体" w:hAnsi="宋体" w:cs="宋体"/>
                <w:szCs w:val="21"/>
                <w:lang w:val="zh-CN"/>
              </w:rPr>
            </w:pPr>
            <w:r>
              <w:rPr>
                <w:rFonts w:hint="eastAsia" w:ascii="宋体" w:hAnsi="宋体" w:eastAsia="宋体" w:cs="宋体"/>
                <w:sz w:val="21"/>
                <w:szCs w:val="21"/>
                <w:lang w:val="zh-CN"/>
              </w:rPr>
              <w:t>b) 应通过审计管理员对审计记录应进行分析，并根据分析结果进行处理，包括根据安全审计策略对审计记录进行存储、管理和查询等。</w:t>
            </w:r>
          </w:p>
        </w:tc>
      </w:tr>
      <w:tr w14:paraId="7751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2" w:hRule="atLeast"/>
          <w:jc w:val="center"/>
        </w:trPr>
        <w:tc>
          <w:tcPr>
            <w:tcW w:w="301" w:type="pct"/>
            <w:vMerge w:val="restart"/>
            <w:tcMar>
              <w:top w:w="15" w:type="dxa"/>
              <w:left w:w="15" w:type="dxa"/>
              <w:right w:w="15" w:type="dxa"/>
            </w:tcMar>
            <w:vAlign w:val="center"/>
          </w:tcPr>
          <w:p w14:paraId="0EB86F9E">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安全管理制度</w:t>
            </w:r>
          </w:p>
        </w:tc>
        <w:tc>
          <w:tcPr>
            <w:tcW w:w="953" w:type="pct"/>
            <w:tcMar>
              <w:top w:w="15" w:type="dxa"/>
              <w:left w:w="15" w:type="dxa"/>
              <w:right w:w="15" w:type="dxa"/>
            </w:tcMar>
            <w:vAlign w:val="center"/>
          </w:tcPr>
          <w:p w14:paraId="549EBE37">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安全策略</w:t>
            </w:r>
          </w:p>
        </w:tc>
        <w:tc>
          <w:tcPr>
            <w:tcW w:w="3745" w:type="pct"/>
            <w:tcMar>
              <w:top w:w="15" w:type="dxa"/>
              <w:left w:w="15" w:type="dxa"/>
              <w:right w:w="15" w:type="dxa"/>
            </w:tcMar>
            <w:vAlign w:val="center"/>
          </w:tcPr>
          <w:p w14:paraId="68F41833">
            <w:pPr>
              <w:spacing w:line="360" w:lineRule="auto"/>
              <w:rPr>
                <w:rFonts w:hint="eastAsia" w:ascii="宋体" w:hAnsi="宋体" w:cs="宋体"/>
                <w:szCs w:val="21"/>
                <w:lang w:val="zh-CN"/>
              </w:rPr>
            </w:pPr>
            <w:r>
              <w:rPr>
                <w:rFonts w:hint="eastAsia" w:ascii="宋体" w:hAnsi="宋体" w:eastAsia="宋体" w:cs="宋体"/>
                <w:sz w:val="21"/>
                <w:szCs w:val="21"/>
                <w:lang w:val="zh-CN"/>
              </w:rPr>
              <w:t>应制定网络安全工作的总体方针和安全策略，阐明机构安全工作的总体目标、范围、原则和安全框架等。</w:t>
            </w:r>
          </w:p>
        </w:tc>
      </w:tr>
      <w:tr w14:paraId="0A951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jc w:val="center"/>
        </w:trPr>
        <w:tc>
          <w:tcPr>
            <w:tcW w:w="301" w:type="pct"/>
            <w:vMerge w:val="continue"/>
            <w:tcMar>
              <w:top w:w="15" w:type="dxa"/>
              <w:left w:w="15" w:type="dxa"/>
              <w:right w:w="15" w:type="dxa"/>
            </w:tcMar>
            <w:vAlign w:val="center"/>
          </w:tcPr>
          <w:p w14:paraId="0290FAF6">
            <w:pPr>
              <w:spacing w:line="360" w:lineRule="auto"/>
              <w:jc w:val="center"/>
              <w:rPr>
                <w:rFonts w:hint="eastAsia" w:ascii="宋体" w:hAnsi="宋体" w:cs="宋体"/>
                <w:szCs w:val="21"/>
                <w:lang w:val="zh-CN"/>
              </w:rPr>
            </w:pPr>
          </w:p>
        </w:tc>
        <w:tc>
          <w:tcPr>
            <w:tcW w:w="953" w:type="pct"/>
            <w:vMerge w:val="restart"/>
            <w:tcMar>
              <w:top w:w="15" w:type="dxa"/>
              <w:left w:w="15" w:type="dxa"/>
              <w:right w:w="15" w:type="dxa"/>
            </w:tcMar>
            <w:vAlign w:val="center"/>
          </w:tcPr>
          <w:p w14:paraId="0EF861A6">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管理制度</w:t>
            </w:r>
          </w:p>
        </w:tc>
        <w:tc>
          <w:tcPr>
            <w:tcW w:w="3745" w:type="pct"/>
            <w:tcMar>
              <w:top w:w="15" w:type="dxa"/>
              <w:left w:w="15" w:type="dxa"/>
              <w:right w:w="15" w:type="dxa"/>
            </w:tcMar>
            <w:vAlign w:val="center"/>
          </w:tcPr>
          <w:p w14:paraId="69C6CC36">
            <w:pPr>
              <w:spacing w:line="360" w:lineRule="auto"/>
              <w:rPr>
                <w:rFonts w:hint="eastAsia" w:ascii="宋体" w:hAnsi="宋体" w:cs="宋体"/>
                <w:szCs w:val="21"/>
                <w:lang w:val="zh-CN"/>
              </w:rPr>
            </w:pPr>
            <w:r>
              <w:rPr>
                <w:rFonts w:hint="eastAsia" w:ascii="宋体" w:hAnsi="宋体" w:eastAsia="宋体" w:cs="宋体"/>
                <w:sz w:val="21"/>
                <w:szCs w:val="21"/>
                <w:lang w:val="zh-CN"/>
              </w:rPr>
              <w:t>a)应对安全管理活动中的各类管理内容建立安全管理制度；</w:t>
            </w:r>
          </w:p>
        </w:tc>
      </w:tr>
      <w:tr w14:paraId="2E327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3" w:hRule="atLeast"/>
          <w:jc w:val="center"/>
        </w:trPr>
        <w:tc>
          <w:tcPr>
            <w:tcW w:w="301" w:type="pct"/>
            <w:vMerge w:val="continue"/>
            <w:tcMar>
              <w:top w:w="15" w:type="dxa"/>
              <w:left w:w="15" w:type="dxa"/>
              <w:right w:w="15" w:type="dxa"/>
            </w:tcMar>
            <w:vAlign w:val="center"/>
          </w:tcPr>
          <w:p w14:paraId="14F55EE0">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24456F93">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16D616B9">
            <w:pPr>
              <w:spacing w:line="360" w:lineRule="auto"/>
              <w:rPr>
                <w:rFonts w:hint="eastAsia" w:ascii="宋体" w:hAnsi="宋体" w:cs="宋体"/>
                <w:szCs w:val="21"/>
                <w:lang w:val="zh-CN"/>
              </w:rPr>
            </w:pPr>
            <w:r>
              <w:rPr>
                <w:rFonts w:hint="eastAsia" w:ascii="宋体" w:hAnsi="宋体" w:eastAsia="宋体" w:cs="宋体"/>
                <w:sz w:val="21"/>
                <w:szCs w:val="21"/>
                <w:lang w:val="zh-CN"/>
              </w:rPr>
              <w:t>b)应对要求管理人员或操作人员执行的日常管理操作建立操作规程。</w:t>
            </w:r>
          </w:p>
        </w:tc>
      </w:tr>
      <w:tr w14:paraId="22C8E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301" w:type="pct"/>
            <w:vMerge w:val="continue"/>
            <w:tcMar>
              <w:top w:w="15" w:type="dxa"/>
              <w:left w:w="15" w:type="dxa"/>
              <w:right w:w="15" w:type="dxa"/>
            </w:tcMar>
            <w:vAlign w:val="center"/>
          </w:tcPr>
          <w:p w14:paraId="60785EA1">
            <w:pPr>
              <w:spacing w:line="360" w:lineRule="auto"/>
              <w:jc w:val="center"/>
              <w:rPr>
                <w:rFonts w:hint="eastAsia" w:ascii="宋体" w:hAnsi="宋体" w:cs="宋体"/>
                <w:szCs w:val="21"/>
                <w:lang w:val="zh-CN"/>
              </w:rPr>
            </w:pPr>
          </w:p>
        </w:tc>
        <w:tc>
          <w:tcPr>
            <w:tcW w:w="953" w:type="pct"/>
            <w:vMerge w:val="restart"/>
            <w:tcMar>
              <w:top w:w="15" w:type="dxa"/>
              <w:left w:w="15" w:type="dxa"/>
              <w:right w:w="15" w:type="dxa"/>
            </w:tcMar>
            <w:vAlign w:val="center"/>
          </w:tcPr>
          <w:p w14:paraId="04D340ED">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制定和发布</w:t>
            </w:r>
          </w:p>
        </w:tc>
        <w:tc>
          <w:tcPr>
            <w:tcW w:w="3745" w:type="pct"/>
            <w:tcMar>
              <w:top w:w="15" w:type="dxa"/>
              <w:left w:w="15" w:type="dxa"/>
              <w:right w:w="15" w:type="dxa"/>
            </w:tcMar>
            <w:vAlign w:val="center"/>
          </w:tcPr>
          <w:p w14:paraId="376E6FEE">
            <w:pPr>
              <w:spacing w:line="360" w:lineRule="auto"/>
              <w:rPr>
                <w:rFonts w:hint="eastAsia" w:ascii="宋体" w:hAnsi="宋体" w:cs="宋体"/>
                <w:szCs w:val="21"/>
                <w:lang w:val="zh-CN"/>
              </w:rPr>
            </w:pPr>
            <w:r>
              <w:rPr>
                <w:rFonts w:hint="eastAsia" w:ascii="宋体" w:hAnsi="宋体" w:eastAsia="宋体" w:cs="宋体"/>
                <w:sz w:val="21"/>
                <w:szCs w:val="21"/>
                <w:lang w:val="zh-CN"/>
              </w:rPr>
              <w:t>a)应指定或授权专门的部门或人员负责安全管理制度的制定。</w:t>
            </w:r>
          </w:p>
        </w:tc>
      </w:tr>
      <w:tr w14:paraId="0E9B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301" w:type="pct"/>
            <w:vMerge w:val="continue"/>
            <w:tcMar>
              <w:top w:w="15" w:type="dxa"/>
              <w:left w:w="15" w:type="dxa"/>
              <w:right w:w="15" w:type="dxa"/>
            </w:tcMar>
            <w:vAlign w:val="center"/>
          </w:tcPr>
          <w:p w14:paraId="0F76C573">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5A8174CA">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336A4313">
            <w:pPr>
              <w:spacing w:line="360" w:lineRule="auto"/>
              <w:rPr>
                <w:rFonts w:hint="eastAsia" w:ascii="宋体" w:hAnsi="宋体" w:cs="宋体"/>
                <w:szCs w:val="21"/>
                <w:lang w:val="zh-CN"/>
              </w:rPr>
            </w:pPr>
            <w:r>
              <w:rPr>
                <w:rFonts w:hint="eastAsia" w:ascii="宋体" w:hAnsi="宋体" w:eastAsia="宋体" w:cs="宋体"/>
                <w:sz w:val="21"/>
                <w:szCs w:val="21"/>
                <w:lang w:val="zh-CN"/>
              </w:rPr>
              <w:t>b)安全管理制度应通过正式、有效的方式发布，并进行版本控制。</w:t>
            </w:r>
          </w:p>
        </w:tc>
      </w:tr>
      <w:tr w14:paraId="190B8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5" w:hRule="atLeast"/>
          <w:jc w:val="center"/>
        </w:trPr>
        <w:tc>
          <w:tcPr>
            <w:tcW w:w="301" w:type="pct"/>
            <w:vMerge w:val="continue"/>
            <w:tcMar>
              <w:top w:w="15" w:type="dxa"/>
              <w:left w:w="15" w:type="dxa"/>
              <w:right w:w="15" w:type="dxa"/>
            </w:tcMar>
            <w:vAlign w:val="center"/>
          </w:tcPr>
          <w:p w14:paraId="0FDE95DA">
            <w:pPr>
              <w:spacing w:line="360" w:lineRule="auto"/>
              <w:jc w:val="center"/>
              <w:rPr>
                <w:rFonts w:hint="eastAsia" w:ascii="宋体" w:hAnsi="宋体" w:cs="宋体"/>
                <w:szCs w:val="21"/>
                <w:lang w:val="zh-CN"/>
              </w:rPr>
            </w:pPr>
          </w:p>
        </w:tc>
        <w:tc>
          <w:tcPr>
            <w:tcW w:w="953" w:type="pct"/>
            <w:tcMar>
              <w:top w:w="15" w:type="dxa"/>
              <w:left w:w="15" w:type="dxa"/>
              <w:right w:w="15" w:type="dxa"/>
            </w:tcMar>
            <w:vAlign w:val="center"/>
          </w:tcPr>
          <w:p w14:paraId="6927734E">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评审和修订</w:t>
            </w:r>
          </w:p>
        </w:tc>
        <w:tc>
          <w:tcPr>
            <w:tcW w:w="3745" w:type="pct"/>
            <w:tcMar>
              <w:top w:w="15" w:type="dxa"/>
              <w:left w:w="15" w:type="dxa"/>
              <w:right w:w="15" w:type="dxa"/>
            </w:tcMar>
            <w:vAlign w:val="center"/>
          </w:tcPr>
          <w:p w14:paraId="297F707F">
            <w:pPr>
              <w:spacing w:line="360" w:lineRule="auto"/>
              <w:rPr>
                <w:rFonts w:hint="eastAsia" w:ascii="宋体" w:hAnsi="宋体" w:cs="宋体"/>
                <w:szCs w:val="21"/>
                <w:lang w:val="zh-CN"/>
              </w:rPr>
            </w:pPr>
            <w:r>
              <w:rPr>
                <w:rFonts w:hint="eastAsia" w:ascii="宋体" w:hAnsi="宋体" w:eastAsia="宋体" w:cs="宋体"/>
                <w:sz w:val="21"/>
                <w:szCs w:val="21"/>
                <w:lang w:val="zh-CN"/>
              </w:rPr>
              <w:t>应定期对安全管理制度的合理性和适用性进行论证和审定，对存在不足或需要改进的安全管理制度进行修订。</w:t>
            </w:r>
          </w:p>
        </w:tc>
      </w:tr>
      <w:tr w14:paraId="18666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jc w:val="center"/>
        </w:trPr>
        <w:tc>
          <w:tcPr>
            <w:tcW w:w="301" w:type="pct"/>
            <w:vMerge w:val="restart"/>
            <w:tcMar>
              <w:top w:w="15" w:type="dxa"/>
              <w:left w:w="15" w:type="dxa"/>
              <w:right w:w="15" w:type="dxa"/>
            </w:tcMar>
            <w:vAlign w:val="center"/>
          </w:tcPr>
          <w:p w14:paraId="6A456880">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安全管理机构</w:t>
            </w:r>
          </w:p>
        </w:tc>
        <w:tc>
          <w:tcPr>
            <w:tcW w:w="953" w:type="pct"/>
            <w:vMerge w:val="restart"/>
            <w:tcMar>
              <w:top w:w="15" w:type="dxa"/>
              <w:left w:w="15" w:type="dxa"/>
              <w:right w:w="15" w:type="dxa"/>
            </w:tcMar>
            <w:vAlign w:val="center"/>
          </w:tcPr>
          <w:p w14:paraId="03C6EE3D">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岗位设置</w:t>
            </w:r>
          </w:p>
        </w:tc>
        <w:tc>
          <w:tcPr>
            <w:tcW w:w="3745" w:type="pct"/>
            <w:tcMar>
              <w:top w:w="15" w:type="dxa"/>
              <w:left w:w="15" w:type="dxa"/>
              <w:right w:w="15" w:type="dxa"/>
            </w:tcMar>
            <w:vAlign w:val="center"/>
          </w:tcPr>
          <w:p w14:paraId="01AE57AE">
            <w:pPr>
              <w:spacing w:line="360" w:lineRule="auto"/>
              <w:rPr>
                <w:rFonts w:hint="eastAsia" w:ascii="宋体" w:hAnsi="宋体" w:cs="宋体"/>
                <w:szCs w:val="21"/>
                <w:lang w:val="zh-CN"/>
              </w:rPr>
            </w:pPr>
            <w:r>
              <w:rPr>
                <w:rFonts w:hint="eastAsia" w:ascii="宋体" w:hAnsi="宋体" w:eastAsia="宋体" w:cs="宋体"/>
                <w:sz w:val="21"/>
                <w:szCs w:val="21"/>
                <w:lang w:val="zh-CN"/>
              </w:rPr>
              <w:t>a)应设立网络安全管理工作的职能部门，设立安全主管、安全管理各个方面的负责人岗位，并定义各负责人的职责；</w:t>
            </w:r>
          </w:p>
        </w:tc>
      </w:tr>
      <w:tr w14:paraId="387F8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301" w:type="pct"/>
            <w:vMerge w:val="continue"/>
            <w:tcMar>
              <w:top w:w="15" w:type="dxa"/>
              <w:left w:w="15" w:type="dxa"/>
              <w:right w:w="15" w:type="dxa"/>
            </w:tcMar>
            <w:vAlign w:val="center"/>
          </w:tcPr>
          <w:p w14:paraId="2B794635">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668729F5">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6A617983">
            <w:pPr>
              <w:spacing w:line="360" w:lineRule="auto"/>
              <w:rPr>
                <w:rFonts w:hint="eastAsia" w:ascii="宋体" w:hAnsi="宋体" w:cs="宋体"/>
                <w:szCs w:val="21"/>
                <w:lang w:val="zh-CN"/>
              </w:rPr>
            </w:pPr>
            <w:r>
              <w:rPr>
                <w:rFonts w:hint="eastAsia" w:ascii="宋体" w:hAnsi="宋体" w:eastAsia="宋体" w:cs="宋体"/>
                <w:sz w:val="21"/>
                <w:szCs w:val="21"/>
                <w:lang w:val="zh-CN"/>
              </w:rPr>
              <w:t>b)应设立系统管理员、审计管理员和安全管理员等岗位，并定义部门及各个工作岗位的职责。</w:t>
            </w:r>
          </w:p>
        </w:tc>
      </w:tr>
      <w:tr w14:paraId="3883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301" w:type="pct"/>
            <w:vMerge w:val="continue"/>
            <w:tcMar>
              <w:top w:w="15" w:type="dxa"/>
              <w:left w:w="15" w:type="dxa"/>
              <w:right w:w="15" w:type="dxa"/>
            </w:tcMar>
            <w:vAlign w:val="center"/>
          </w:tcPr>
          <w:p w14:paraId="0FFCD01D">
            <w:pPr>
              <w:spacing w:line="360" w:lineRule="auto"/>
              <w:jc w:val="center"/>
              <w:rPr>
                <w:rFonts w:hint="eastAsia" w:ascii="宋体" w:hAnsi="宋体" w:cs="宋体"/>
                <w:szCs w:val="21"/>
                <w:lang w:val="zh-CN"/>
              </w:rPr>
            </w:pPr>
          </w:p>
        </w:tc>
        <w:tc>
          <w:tcPr>
            <w:tcW w:w="953" w:type="pct"/>
            <w:tcMar>
              <w:top w:w="15" w:type="dxa"/>
              <w:left w:w="15" w:type="dxa"/>
              <w:right w:w="15" w:type="dxa"/>
            </w:tcMar>
            <w:vAlign w:val="center"/>
          </w:tcPr>
          <w:p w14:paraId="70C8A2C0">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人员配备</w:t>
            </w:r>
          </w:p>
        </w:tc>
        <w:tc>
          <w:tcPr>
            <w:tcW w:w="3745" w:type="pct"/>
            <w:tcMar>
              <w:top w:w="15" w:type="dxa"/>
              <w:left w:w="15" w:type="dxa"/>
              <w:right w:w="15" w:type="dxa"/>
            </w:tcMar>
            <w:vAlign w:val="center"/>
          </w:tcPr>
          <w:p w14:paraId="5C18A51F">
            <w:pPr>
              <w:spacing w:line="360" w:lineRule="auto"/>
              <w:rPr>
                <w:rFonts w:hint="eastAsia" w:ascii="宋体" w:hAnsi="宋体" w:cs="宋体"/>
                <w:szCs w:val="21"/>
                <w:lang w:val="zh-CN"/>
              </w:rPr>
            </w:pPr>
            <w:r>
              <w:rPr>
                <w:rFonts w:hint="eastAsia" w:ascii="宋体" w:hAnsi="宋体" w:eastAsia="宋体" w:cs="宋体"/>
                <w:sz w:val="21"/>
                <w:szCs w:val="21"/>
                <w:lang w:val="zh-CN"/>
              </w:rPr>
              <w:t>应配备一定数量的系统管理员、审计管理员和安全管理员等。</w:t>
            </w:r>
          </w:p>
        </w:tc>
      </w:tr>
      <w:tr w14:paraId="65074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301" w:type="pct"/>
            <w:vMerge w:val="continue"/>
            <w:tcMar>
              <w:top w:w="15" w:type="dxa"/>
              <w:left w:w="15" w:type="dxa"/>
              <w:right w:w="15" w:type="dxa"/>
            </w:tcMar>
            <w:vAlign w:val="center"/>
          </w:tcPr>
          <w:p w14:paraId="2747D1E9">
            <w:pPr>
              <w:spacing w:line="360" w:lineRule="auto"/>
              <w:jc w:val="center"/>
              <w:rPr>
                <w:rFonts w:hint="eastAsia" w:ascii="宋体" w:hAnsi="宋体" w:cs="宋体"/>
                <w:szCs w:val="21"/>
                <w:lang w:val="zh-CN"/>
              </w:rPr>
            </w:pPr>
          </w:p>
        </w:tc>
        <w:tc>
          <w:tcPr>
            <w:tcW w:w="953" w:type="pct"/>
            <w:vMerge w:val="restart"/>
            <w:tcMar>
              <w:top w:w="15" w:type="dxa"/>
              <w:left w:w="15" w:type="dxa"/>
              <w:right w:w="15" w:type="dxa"/>
            </w:tcMar>
            <w:vAlign w:val="center"/>
          </w:tcPr>
          <w:p w14:paraId="094C995C">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授权和审批</w:t>
            </w:r>
          </w:p>
        </w:tc>
        <w:tc>
          <w:tcPr>
            <w:tcW w:w="3745" w:type="pct"/>
            <w:tcMar>
              <w:top w:w="15" w:type="dxa"/>
              <w:left w:w="15" w:type="dxa"/>
              <w:right w:w="15" w:type="dxa"/>
            </w:tcMar>
            <w:vAlign w:val="center"/>
          </w:tcPr>
          <w:p w14:paraId="5AA41D5C">
            <w:pPr>
              <w:spacing w:line="360" w:lineRule="auto"/>
              <w:rPr>
                <w:rFonts w:hint="eastAsia" w:ascii="宋体" w:hAnsi="宋体" w:cs="宋体"/>
                <w:szCs w:val="21"/>
                <w:lang w:val="zh-CN"/>
              </w:rPr>
            </w:pPr>
            <w:r>
              <w:rPr>
                <w:rFonts w:hint="eastAsia" w:ascii="宋体" w:hAnsi="宋体" w:eastAsia="宋体" w:cs="宋体"/>
                <w:sz w:val="21"/>
                <w:szCs w:val="21"/>
                <w:lang w:val="zh-CN"/>
              </w:rPr>
              <w:t>a)应根据各个部门和岗位的职责明确授权审批事项、审批部门和批准人等；</w:t>
            </w:r>
          </w:p>
        </w:tc>
      </w:tr>
      <w:tr w14:paraId="19D76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301" w:type="pct"/>
            <w:vMerge w:val="continue"/>
            <w:tcMar>
              <w:top w:w="15" w:type="dxa"/>
              <w:left w:w="15" w:type="dxa"/>
              <w:right w:w="15" w:type="dxa"/>
            </w:tcMar>
            <w:vAlign w:val="center"/>
          </w:tcPr>
          <w:p w14:paraId="628CB1BB">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4A8B341E">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595B2CED">
            <w:pPr>
              <w:spacing w:line="360" w:lineRule="auto"/>
              <w:rPr>
                <w:rFonts w:hint="eastAsia" w:ascii="宋体" w:hAnsi="宋体" w:cs="宋体"/>
                <w:szCs w:val="21"/>
                <w:lang w:val="zh-CN"/>
              </w:rPr>
            </w:pPr>
            <w:r>
              <w:rPr>
                <w:rFonts w:hint="eastAsia" w:ascii="宋体" w:hAnsi="宋体" w:eastAsia="宋体" w:cs="宋体"/>
                <w:sz w:val="21"/>
                <w:szCs w:val="21"/>
                <w:lang w:val="zh-CN"/>
              </w:rPr>
              <w:t>b)应针对系统变更、重要操作、物理访问和系统接入等事项执行审批过程。</w:t>
            </w:r>
          </w:p>
        </w:tc>
      </w:tr>
      <w:tr w14:paraId="309D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01" w:type="pct"/>
            <w:vMerge w:val="continue"/>
            <w:tcMar>
              <w:top w:w="15" w:type="dxa"/>
              <w:left w:w="15" w:type="dxa"/>
              <w:right w:w="15" w:type="dxa"/>
            </w:tcMar>
            <w:vAlign w:val="center"/>
          </w:tcPr>
          <w:p w14:paraId="78487F56">
            <w:pPr>
              <w:spacing w:line="360" w:lineRule="auto"/>
              <w:jc w:val="center"/>
              <w:rPr>
                <w:rFonts w:hint="eastAsia" w:ascii="宋体" w:hAnsi="宋体" w:cs="宋体"/>
                <w:szCs w:val="21"/>
                <w:lang w:val="zh-CN"/>
              </w:rPr>
            </w:pPr>
          </w:p>
        </w:tc>
        <w:tc>
          <w:tcPr>
            <w:tcW w:w="953" w:type="pct"/>
            <w:vMerge w:val="restart"/>
            <w:tcMar>
              <w:top w:w="15" w:type="dxa"/>
              <w:left w:w="15" w:type="dxa"/>
              <w:right w:w="15" w:type="dxa"/>
            </w:tcMar>
            <w:vAlign w:val="center"/>
          </w:tcPr>
          <w:p w14:paraId="1049F883">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沟通和合作</w:t>
            </w:r>
          </w:p>
        </w:tc>
        <w:tc>
          <w:tcPr>
            <w:tcW w:w="3745" w:type="pct"/>
            <w:tcMar>
              <w:top w:w="15" w:type="dxa"/>
              <w:left w:w="15" w:type="dxa"/>
              <w:right w:w="15" w:type="dxa"/>
            </w:tcMar>
            <w:vAlign w:val="center"/>
          </w:tcPr>
          <w:p w14:paraId="00CF6D38">
            <w:pPr>
              <w:spacing w:line="360" w:lineRule="auto"/>
              <w:rPr>
                <w:rFonts w:hint="eastAsia" w:ascii="宋体" w:hAnsi="宋体" w:cs="宋体"/>
                <w:szCs w:val="21"/>
                <w:lang w:val="zh-CN"/>
              </w:rPr>
            </w:pPr>
            <w:r>
              <w:rPr>
                <w:rFonts w:hint="eastAsia" w:ascii="宋体" w:hAnsi="宋体" w:eastAsia="宋体" w:cs="宋体"/>
                <w:sz w:val="21"/>
                <w:szCs w:val="21"/>
                <w:lang w:val="zh-CN"/>
              </w:rPr>
              <w:t>a)应加强各类管理人员 、组织内部机构和网络安全管理部门之间的合作与沟通,定期召开协调会议，共同协作处理网络安全问题；</w:t>
            </w:r>
          </w:p>
        </w:tc>
      </w:tr>
      <w:tr w14:paraId="140F6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4" w:hRule="atLeast"/>
          <w:jc w:val="center"/>
        </w:trPr>
        <w:tc>
          <w:tcPr>
            <w:tcW w:w="301" w:type="pct"/>
            <w:vMerge w:val="continue"/>
            <w:tcMar>
              <w:top w:w="15" w:type="dxa"/>
              <w:left w:w="15" w:type="dxa"/>
              <w:right w:w="15" w:type="dxa"/>
            </w:tcMar>
            <w:vAlign w:val="center"/>
          </w:tcPr>
          <w:p w14:paraId="2D729001">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1F0B50D7">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10291B77">
            <w:pPr>
              <w:spacing w:line="360" w:lineRule="auto"/>
              <w:rPr>
                <w:rFonts w:hint="eastAsia" w:ascii="宋体" w:hAnsi="宋体" w:cs="宋体"/>
                <w:szCs w:val="21"/>
                <w:lang w:val="zh-CN"/>
              </w:rPr>
            </w:pPr>
            <w:r>
              <w:rPr>
                <w:rFonts w:hint="eastAsia" w:ascii="宋体" w:hAnsi="宋体" w:eastAsia="宋体" w:cs="宋体"/>
                <w:sz w:val="21"/>
                <w:szCs w:val="21"/>
                <w:lang w:val="zh-CN"/>
              </w:rPr>
              <w:t>b)应加强与网络安全职能部门、各类供应商、业界专家及安全组织的合作与沟通；</w:t>
            </w:r>
          </w:p>
        </w:tc>
      </w:tr>
      <w:tr w14:paraId="164C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01" w:type="pct"/>
            <w:vMerge w:val="continue"/>
            <w:tcMar>
              <w:top w:w="15" w:type="dxa"/>
              <w:left w:w="15" w:type="dxa"/>
              <w:right w:w="15" w:type="dxa"/>
            </w:tcMar>
            <w:vAlign w:val="center"/>
          </w:tcPr>
          <w:p w14:paraId="2EF31657">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3EACDBCA">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08789DDB">
            <w:pPr>
              <w:spacing w:line="360" w:lineRule="auto"/>
              <w:rPr>
                <w:rFonts w:hint="eastAsia" w:ascii="宋体" w:hAnsi="宋体" w:cs="宋体"/>
                <w:szCs w:val="21"/>
                <w:lang w:val="zh-CN"/>
              </w:rPr>
            </w:pPr>
            <w:r>
              <w:rPr>
                <w:rFonts w:hint="eastAsia" w:ascii="宋体" w:hAnsi="宋体" w:eastAsia="宋体" w:cs="宋体"/>
                <w:sz w:val="21"/>
                <w:szCs w:val="21"/>
                <w:lang w:val="zh-CN"/>
              </w:rPr>
              <w:t>c)应建立外联单位联系列表，包括外联单位名称、合作内容、联系人和联系方式等信息。</w:t>
            </w:r>
          </w:p>
        </w:tc>
      </w:tr>
      <w:tr w14:paraId="70CD6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7" w:hRule="atLeast"/>
          <w:jc w:val="center"/>
        </w:trPr>
        <w:tc>
          <w:tcPr>
            <w:tcW w:w="301" w:type="pct"/>
            <w:vMerge w:val="continue"/>
            <w:tcMar>
              <w:top w:w="15" w:type="dxa"/>
              <w:left w:w="15" w:type="dxa"/>
              <w:right w:w="15" w:type="dxa"/>
            </w:tcMar>
            <w:vAlign w:val="center"/>
          </w:tcPr>
          <w:p w14:paraId="0FA47B75">
            <w:pPr>
              <w:spacing w:line="360" w:lineRule="auto"/>
              <w:jc w:val="center"/>
              <w:rPr>
                <w:rFonts w:hint="eastAsia" w:ascii="宋体" w:hAnsi="宋体" w:cs="宋体"/>
                <w:szCs w:val="21"/>
                <w:lang w:val="zh-CN"/>
              </w:rPr>
            </w:pPr>
          </w:p>
        </w:tc>
        <w:tc>
          <w:tcPr>
            <w:tcW w:w="953" w:type="pct"/>
            <w:tcMar>
              <w:top w:w="15" w:type="dxa"/>
              <w:left w:w="15" w:type="dxa"/>
              <w:right w:w="15" w:type="dxa"/>
            </w:tcMar>
            <w:vAlign w:val="center"/>
          </w:tcPr>
          <w:p w14:paraId="3420EB5B">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审核和检查</w:t>
            </w:r>
          </w:p>
        </w:tc>
        <w:tc>
          <w:tcPr>
            <w:tcW w:w="3745" w:type="pct"/>
            <w:tcMar>
              <w:top w:w="15" w:type="dxa"/>
              <w:left w:w="15" w:type="dxa"/>
              <w:right w:w="15" w:type="dxa"/>
            </w:tcMar>
            <w:vAlign w:val="center"/>
          </w:tcPr>
          <w:p w14:paraId="6DF1D035">
            <w:pPr>
              <w:spacing w:line="360" w:lineRule="auto"/>
              <w:rPr>
                <w:rFonts w:hint="eastAsia" w:ascii="宋体" w:hAnsi="宋体" w:cs="宋体"/>
                <w:szCs w:val="21"/>
                <w:lang w:val="zh-CN"/>
              </w:rPr>
            </w:pPr>
            <w:r>
              <w:rPr>
                <w:rFonts w:hint="eastAsia" w:ascii="宋体" w:hAnsi="宋体" w:eastAsia="宋体" w:cs="宋体"/>
                <w:sz w:val="21"/>
                <w:szCs w:val="21"/>
                <w:lang w:val="zh-CN"/>
              </w:rPr>
              <w:t>应定期进行常规安全检查,检查内容包括系统日常运行、系统漏洞和数据备份等情况。</w:t>
            </w:r>
          </w:p>
        </w:tc>
      </w:tr>
      <w:tr w14:paraId="76A3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301" w:type="pct"/>
            <w:vMerge w:val="restart"/>
            <w:tcMar>
              <w:top w:w="15" w:type="dxa"/>
              <w:left w:w="15" w:type="dxa"/>
              <w:right w:w="15" w:type="dxa"/>
            </w:tcMar>
            <w:vAlign w:val="center"/>
          </w:tcPr>
          <w:p w14:paraId="13C47BAB">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安全管理人员</w:t>
            </w:r>
          </w:p>
        </w:tc>
        <w:tc>
          <w:tcPr>
            <w:tcW w:w="953" w:type="pct"/>
            <w:vMerge w:val="restart"/>
            <w:tcMar>
              <w:top w:w="15" w:type="dxa"/>
              <w:left w:w="15" w:type="dxa"/>
              <w:right w:w="15" w:type="dxa"/>
            </w:tcMar>
            <w:vAlign w:val="center"/>
          </w:tcPr>
          <w:p w14:paraId="73C91746">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人员录用</w:t>
            </w:r>
          </w:p>
        </w:tc>
        <w:tc>
          <w:tcPr>
            <w:tcW w:w="3745" w:type="pct"/>
            <w:tcMar>
              <w:top w:w="15" w:type="dxa"/>
              <w:left w:w="15" w:type="dxa"/>
              <w:right w:w="15" w:type="dxa"/>
            </w:tcMar>
            <w:vAlign w:val="center"/>
          </w:tcPr>
          <w:p w14:paraId="048ED590">
            <w:pPr>
              <w:spacing w:line="360" w:lineRule="auto"/>
              <w:rPr>
                <w:rFonts w:hint="eastAsia" w:ascii="宋体" w:hAnsi="宋体" w:cs="宋体"/>
                <w:szCs w:val="21"/>
                <w:lang w:val="zh-CN"/>
              </w:rPr>
            </w:pPr>
            <w:r>
              <w:rPr>
                <w:rFonts w:hint="eastAsia" w:ascii="宋体" w:hAnsi="宋体" w:eastAsia="宋体" w:cs="宋体"/>
                <w:sz w:val="21"/>
                <w:szCs w:val="21"/>
                <w:lang w:val="zh-CN"/>
              </w:rPr>
              <w:t>a)应指定或授权专门的部门或人员负责人员录用；</w:t>
            </w:r>
          </w:p>
        </w:tc>
      </w:tr>
      <w:tr w14:paraId="2E3B5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301" w:type="pct"/>
            <w:vMerge w:val="continue"/>
            <w:tcMar>
              <w:top w:w="15" w:type="dxa"/>
              <w:left w:w="15" w:type="dxa"/>
              <w:right w:w="15" w:type="dxa"/>
            </w:tcMar>
            <w:vAlign w:val="center"/>
          </w:tcPr>
          <w:p w14:paraId="0189084C">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01100263">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5E383AF9">
            <w:pPr>
              <w:spacing w:line="360" w:lineRule="auto"/>
              <w:rPr>
                <w:rFonts w:hint="eastAsia" w:ascii="宋体" w:hAnsi="宋体" w:cs="宋体"/>
                <w:szCs w:val="21"/>
                <w:lang w:val="zh-CN"/>
              </w:rPr>
            </w:pPr>
            <w:r>
              <w:rPr>
                <w:rFonts w:hint="eastAsia" w:ascii="宋体" w:hAnsi="宋体" w:eastAsia="宋体" w:cs="宋体"/>
                <w:sz w:val="21"/>
                <w:szCs w:val="21"/>
                <w:lang w:val="zh-CN"/>
              </w:rPr>
              <w:t>b)应对被录用人员的身份、安全背景、专业资格或资质等进行审查。</w:t>
            </w:r>
          </w:p>
        </w:tc>
      </w:tr>
      <w:tr w14:paraId="4236F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301" w:type="pct"/>
            <w:vMerge w:val="continue"/>
            <w:tcMar>
              <w:top w:w="15" w:type="dxa"/>
              <w:left w:w="15" w:type="dxa"/>
              <w:right w:w="15" w:type="dxa"/>
            </w:tcMar>
            <w:vAlign w:val="center"/>
          </w:tcPr>
          <w:p w14:paraId="34BF5523">
            <w:pPr>
              <w:spacing w:line="360" w:lineRule="auto"/>
              <w:jc w:val="center"/>
              <w:rPr>
                <w:rFonts w:hint="eastAsia" w:ascii="宋体" w:hAnsi="宋体" w:cs="宋体"/>
                <w:szCs w:val="21"/>
                <w:lang w:val="zh-CN"/>
              </w:rPr>
            </w:pPr>
          </w:p>
        </w:tc>
        <w:tc>
          <w:tcPr>
            <w:tcW w:w="953" w:type="pct"/>
            <w:tcMar>
              <w:top w:w="15" w:type="dxa"/>
              <w:left w:w="15" w:type="dxa"/>
              <w:right w:w="15" w:type="dxa"/>
            </w:tcMar>
            <w:vAlign w:val="center"/>
          </w:tcPr>
          <w:p w14:paraId="2B31E3C0">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人员离岗</w:t>
            </w:r>
          </w:p>
        </w:tc>
        <w:tc>
          <w:tcPr>
            <w:tcW w:w="3745" w:type="pct"/>
            <w:tcMar>
              <w:top w:w="15" w:type="dxa"/>
              <w:left w:w="15" w:type="dxa"/>
              <w:right w:w="15" w:type="dxa"/>
            </w:tcMar>
            <w:vAlign w:val="center"/>
          </w:tcPr>
          <w:p w14:paraId="33FB13E5">
            <w:pPr>
              <w:spacing w:line="360" w:lineRule="auto"/>
              <w:rPr>
                <w:rFonts w:hint="eastAsia" w:ascii="宋体" w:hAnsi="宋体" w:cs="宋体"/>
                <w:szCs w:val="21"/>
                <w:lang w:val="zh-CN"/>
              </w:rPr>
            </w:pPr>
            <w:r>
              <w:rPr>
                <w:rFonts w:hint="eastAsia" w:ascii="宋体" w:hAnsi="宋体" w:eastAsia="宋体" w:cs="宋体"/>
                <w:sz w:val="21"/>
                <w:szCs w:val="21"/>
                <w:lang w:val="zh-CN"/>
              </w:rPr>
              <w:t>应及时终止离岗人员的所有访问权限，取回各种身份证件、钥匙、徽章等以及机构提供的软硬件设备。</w:t>
            </w:r>
          </w:p>
        </w:tc>
      </w:tr>
      <w:tr w14:paraId="64A75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301" w:type="pct"/>
            <w:vMerge w:val="continue"/>
            <w:tcMar>
              <w:top w:w="15" w:type="dxa"/>
              <w:left w:w="15" w:type="dxa"/>
              <w:right w:w="15" w:type="dxa"/>
            </w:tcMar>
            <w:vAlign w:val="center"/>
          </w:tcPr>
          <w:p w14:paraId="5168E05E">
            <w:pPr>
              <w:spacing w:line="360" w:lineRule="auto"/>
              <w:jc w:val="center"/>
              <w:rPr>
                <w:rFonts w:hint="eastAsia" w:ascii="宋体" w:hAnsi="宋体" w:cs="宋体"/>
                <w:szCs w:val="21"/>
                <w:lang w:val="zh-CN"/>
              </w:rPr>
            </w:pPr>
          </w:p>
        </w:tc>
        <w:tc>
          <w:tcPr>
            <w:tcW w:w="953" w:type="pct"/>
            <w:tcMar>
              <w:top w:w="15" w:type="dxa"/>
              <w:left w:w="15" w:type="dxa"/>
              <w:right w:w="15" w:type="dxa"/>
            </w:tcMar>
            <w:vAlign w:val="center"/>
          </w:tcPr>
          <w:p w14:paraId="3F745D40">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安全意识教育和培训</w:t>
            </w:r>
          </w:p>
        </w:tc>
        <w:tc>
          <w:tcPr>
            <w:tcW w:w="3745" w:type="pct"/>
            <w:tcMar>
              <w:top w:w="15" w:type="dxa"/>
              <w:left w:w="15" w:type="dxa"/>
              <w:right w:w="15" w:type="dxa"/>
            </w:tcMar>
            <w:vAlign w:val="center"/>
          </w:tcPr>
          <w:p w14:paraId="6E2A37B0">
            <w:pPr>
              <w:spacing w:line="360" w:lineRule="auto"/>
              <w:rPr>
                <w:rFonts w:hint="eastAsia" w:ascii="宋体" w:hAnsi="宋体" w:cs="宋体"/>
                <w:szCs w:val="21"/>
                <w:lang w:val="zh-CN"/>
              </w:rPr>
            </w:pPr>
            <w:r>
              <w:rPr>
                <w:rFonts w:hint="eastAsia" w:ascii="宋体" w:hAnsi="宋体" w:eastAsia="宋体" w:cs="宋体"/>
                <w:sz w:val="21"/>
                <w:szCs w:val="21"/>
                <w:lang w:val="zh-CN"/>
              </w:rPr>
              <w:t>应对各类人员进行安全意识教育和岗位技能培训，并告知相关的安全责任和惩戒措施。</w:t>
            </w:r>
          </w:p>
        </w:tc>
      </w:tr>
      <w:tr w14:paraId="298EF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7" w:hRule="atLeast"/>
          <w:jc w:val="center"/>
        </w:trPr>
        <w:tc>
          <w:tcPr>
            <w:tcW w:w="301" w:type="pct"/>
            <w:vMerge w:val="continue"/>
            <w:tcMar>
              <w:top w:w="15" w:type="dxa"/>
              <w:left w:w="15" w:type="dxa"/>
              <w:right w:w="15" w:type="dxa"/>
            </w:tcMar>
            <w:vAlign w:val="center"/>
          </w:tcPr>
          <w:p w14:paraId="033AE796">
            <w:pPr>
              <w:spacing w:line="360" w:lineRule="auto"/>
              <w:jc w:val="center"/>
              <w:rPr>
                <w:rFonts w:hint="eastAsia" w:ascii="宋体" w:hAnsi="宋体" w:cs="宋体"/>
                <w:szCs w:val="21"/>
                <w:lang w:val="zh-CN"/>
              </w:rPr>
            </w:pPr>
          </w:p>
        </w:tc>
        <w:tc>
          <w:tcPr>
            <w:tcW w:w="953" w:type="pct"/>
            <w:vMerge w:val="restart"/>
            <w:tcMar>
              <w:top w:w="15" w:type="dxa"/>
              <w:left w:w="15" w:type="dxa"/>
              <w:right w:w="15" w:type="dxa"/>
            </w:tcMar>
            <w:vAlign w:val="center"/>
          </w:tcPr>
          <w:p w14:paraId="05D30F4E">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外部人员访问管理</w:t>
            </w:r>
          </w:p>
        </w:tc>
        <w:tc>
          <w:tcPr>
            <w:tcW w:w="3745" w:type="pct"/>
            <w:tcMar>
              <w:top w:w="15" w:type="dxa"/>
              <w:left w:w="15" w:type="dxa"/>
              <w:right w:w="15" w:type="dxa"/>
            </w:tcMar>
            <w:vAlign w:val="center"/>
          </w:tcPr>
          <w:p w14:paraId="0CFEE474">
            <w:pPr>
              <w:spacing w:line="360" w:lineRule="auto"/>
              <w:rPr>
                <w:rFonts w:hint="eastAsia" w:ascii="宋体" w:hAnsi="宋体" w:cs="宋体"/>
                <w:szCs w:val="21"/>
                <w:lang w:val="zh-CN"/>
              </w:rPr>
            </w:pPr>
            <w:r>
              <w:rPr>
                <w:rFonts w:hint="eastAsia" w:ascii="宋体" w:hAnsi="宋体" w:eastAsia="宋体" w:cs="宋体"/>
                <w:sz w:val="21"/>
                <w:szCs w:val="21"/>
                <w:lang w:val="zh-CN"/>
              </w:rPr>
              <w:t>a)应在外部人员物理访问受控区域前先提出书面申请，批准后由专人全程陪同，并登记备案。</w:t>
            </w:r>
          </w:p>
        </w:tc>
      </w:tr>
      <w:tr w14:paraId="74F4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301" w:type="pct"/>
            <w:vMerge w:val="continue"/>
            <w:tcMar>
              <w:top w:w="15" w:type="dxa"/>
              <w:left w:w="15" w:type="dxa"/>
              <w:right w:w="15" w:type="dxa"/>
            </w:tcMar>
            <w:vAlign w:val="center"/>
          </w:tcPr>
          <w:p w14:paraId="6D342A99">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055321C7">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61437BE0">
            <w:pPr>
              <w:spacing w:line="360" w:lineRule="auto"/>
              <w:rPr>
                <w:rFonts w:hint="eastAsia" w:ascii="宋体" w:hAnsi="宋体" w:cs="宋体"/>
                <w:szCs w:val="21"/>
                <w:lang w:val="zh-CN"/>
              </w:rPr>
            </w:pPr>
            <w:r>
              <w:rPr>
                <w:rFonts w:hint="eastAsia" w:ascii="宋体" w:hAnsi="宋体" w:eastAsia="宋体" w:cs="宋体"/>
                <w:sz w:val="21"/>
                <w:szCs w:val="21"/>
                <w:lang w:val="zh-CN"/>
              </w:rPr>
              <w:t>b)应在外部人员接入受控网络访问系统前先提出书面申请，批准后由专人开设账户、分配权限，并登记备案；</w:t>
            </w:r>
          </w:p>
        </w:tc>
      </w:tr>
      <w:tr w14:paraId="4D51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301" w:type="pct"/>
            <w:vMerge w:val="continue"/>
            <w:tcMar>
              <w:top w:w="15" w:type="dxa"/>
              <w:left w:w="15" w:type="dxa"/>
              <w:right w:w="15" w:type="dxa"/>
            </w:tcMar>
            <w:vAlign w:val="center"/>
          </w:tcPr>
          <w:p w14:paraId="540E9C9C">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4F9ADEDE">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0364CE75">
            <w:pPr>
              <w:spacing w:line="360" w:lineRule="auto"/>
              <w:rPr>
                <w:rFonts w:hint="eastAsia" w:ascii="宋体" w:hAnsi="宋体" w:cs="宋体"/>
                <w:szCs w:val="21"/>
                <w:lang w:val="zh-CN"/>
              </w:rPr>
            </w:pPr>
            <w:r>
              <w:rPr>
                <w:rFonts w:hint="eastAsia" w:ascii="宋体" w:hAnsi="宋体" w:eastAsia="宋体" w:cs="宋体"/>
                <w:sz w:val="21"/>
                <w:szCs w:val="21"/>
                <w:lang w:val="zh-CN"/>
              </w:rPr>
              <w:t>c)外部人员离场后应及时清除其所有的访问权限。</w:t>
            </w:r>
          </w:p>
        </w:tc>
      </w:tr>
      <w:tr w14:paraId="7C7BB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 w:hRule="atLeast"/>
          <w:jc w:val="center"/>
        </w:trPr>
        <w:tc>
          <w:tcPr>
            <w:tcW w:w="301" w:type="pct"/>
            <w:vMerge w:val="restart"/>
            <w:tcMar>
              <w:top w:w="15" w:type="dxa"/>
              <w:left w:w="15" w:type="dxa"/>
              <w:right w:w="15" w:type="dxa"/>
            </w:tcMar>
            <w:vAlign w:val="center"/>
          </w:tcPr>
          <w:p w14:paraId="39DB1F7A">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安全建设</w:t>
            </w:r>
          </w:p>
          <w:p w14:paraId="26536503">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管理</w:t>
            </w:r>
          </w:p>
          <w:p w14:paraId="6856E7D3">
            <w:pPr>
              <w:spacing w:line="360" w:lineRule="auto"/>
              <w:jc w:val="center"/>
              <w:rPr>
                <w:rFonts w:hint="eastAsia" w:ascii="宋体" w:hAnsi="宋体" w:cs="宋体"/>
                <w:szCs w:val="21"/>
                <w:lang w:val="zh-CN"/>
              </w:rPr>
            </w:pPr>
          </w:p>
        </w:tc>
        <w:tc>
          <w:tcPr>
            <w:tcW w:w="953" w:type="pct"/>
            <w:vMerge w:val="restart"/>
            <w:tcMar>
              <w:top w:w="15" w:type="dxa"/>
              <w:left w:w="15" w:type="dxa"/>
              <w:right w:w="15" w:type="dxa"/>
            </w:tcMar>
            <w:vAlign w:val="center"/>
          </w:tcPr>
          <w:p w14:paraId="69086B48">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定级和备案</w:t>
            </w:r>
          </w:p>
        </w:tc>
        <w:tc>
          <w:tcPr>
            <w:tcW w:w="3745" w:type="pct"/>
            <w:tcMar>
              <w:top w:w="15" w:type="dxa"/>
              <w:left w:w="15" w:type="dxa"/>
              <w:right w:w="15" w:type="dxa"/>
            </w:tcMar>
            <w:vAlign w:val="center"/>
          </w:tcPr>
          <w:p w14:paraId="03089D00">
            <w:pPr>
              <w:spacing w:line="360" w:lineRule="auto"/>
              <w:rPr>
                <w:rFonts w:hint="eastAsia" w:ascii="宋体" w:hAnsi="宋体" w:cs="宋体"/>
                <w:szCs w:val="21"/>
                <w:lang w:val="zh-CN"/>
              </w:rPr>
            </w:pPr>
            <w:r>
              <w:rPr>
                <w:rFonts w:hint="eastAsia" w:ascii="宋体" w:hAnsi="宋体" w:eastAsia="宋体" w:cs="宋体"/>
                <w:sz w:val="21"/>
                <w:szCs w:val="21"/>
                <w:lang w:val="zh-CN"/>
              </w:rPr>
              <w:t>a)应以书面的形式说明保护对象的安全保护等级及确定等级的方法和理由；</w:t>
            </w:r>
          </w:p>
        </w:tc>
      </w:tr>
      <w:tr w14:paraId="04169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301" w:type="pct"/>
            <w:vMerge w:val="continue"/>
            <w:tcMar>
              <w:top w:w="15" w:type="dxa"/>
              <w:left w:w="15" w:type="dxa"/>
              <w:right w:w="15" w:type="dxa"/>
            </w:tcMar>
            <w:vAlign w:val="center"/>
          </w:tcPr>
          <w:p w14:paraId="30EC3227">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704CD004">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4DD51F17">
            <w:pPr>
              <w:spacing w:line="360" w:lineRule="auto"/>
              <w:rPr>
                <w:rFonts w:hint="eastAsia" w:ascii="宋体" w:hAnsi="宋体" w:cs="宋体"/>
                <w:szCs w:val="21"/>
                <w:lang w:val="zh-CN"/>
              </w:rPr>
            </w:pPr>
            <w:r>
              <w:rPr>
                <w:rFonts w:hint="eastAsia" w:ascii="宋体" w:hAnsi="宋体" w:eastAsia="宋体" w:cs="宋体"/>
                <w:sz w:val="21"/>
                <w:szCs w:val="21"/>
                <w:lang w:val="zh-CN"/>
              </w:rPr>
              <w:t>b)应组织相关部门和有关安全技术专家对定级结果的合理性和正确性进行论证和审定；</w:t>
            </w:r>
          </w:p>
        </w:tc>
      </w:tr>
      <w:tr w14:paraId="1B6C9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301" w:type="pct"/>
            <w:vMerge w:val="continue"/>
            <w:tcMar>
              <w:top w:w="15" w:type="dxa"/>
              <w:left w:w="15" w:type="dxa"/>
              <w:right w:w="15" w:type="dxa"/>
            </w:tcMar>
            <w:vAlign w:val="center"/>
          </w:tcPr>
          <w:p w14:paraId="7188B6EF">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24DEF313">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181FEA4F">
            <w:pPr>
              <w:spacing w:line="360" w:lineRule="auto"/>
              <w:rPr>
                <w:rFonts w:hint="eastAsia" w:ascii="宋体" w:hAnsi="宋体" w:cs="宋体"/>
                <w:szCs w:val="21"/>
                <w:lang w:val="zh-CN"/>
              </w:rPr>
            </w:pPr>
            <w:r>
              <w:rPr>
                <w:rFonts w:hint="eastAsia" w:ascii="宋体" w:hAnsi="宋体" w:eastAsia="宋体" w:cs="宋体"/>
                <w:sz w:val="21"/>
                <w:szCs w:val="21"/>
                <w:lang w:val="zh-CN"/>
              </w:rPr>
              <w:t>c)应保证定级结果经过相关部门的批准；</w:t>
            </w:r>
          </w:p>
        </w:tc>
      </w:tr>
      <w:tr w14:paraId="6937D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301" w:type="pct"/>
            <w:vMerge w:val="continue"/>
            <w:tcMar>
              <w:top w:w="15" w:type="dxa"/>
              <w:left w:w="15" w:type="dxa"/>
              <w:right w:w="15" w:type="dxa"/>
            </w:tcMar>
            <w:vAlign w:val="center"/>
          </w:tcPr>
          <w:p w14:paraId="3069B394">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621B028A">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413D56CD">
            <w:pPr>
              <w:spacing w:line="360" w:lineRule="auto"/>
              <w:rPr>
                <w:rFonts w:hint="eastAsia" w:ascii="宋体" w:hAnsi="宋体" w:cs="宋体"/>
                <w:szCs w:val="21"/>
                <w:lang w:val="zh-CN"/>
              </w:rPr>
            </w:pPr>
            <w:r>
              <w:rPr>
                <w:rFonts w:hint="eastAsia" w:ascii="宋体" w:hAnsi="宋体" w:eastAsia="宋体" w:cs="宋体"/>
                <w:sz w:val="21"/>
                <w:szCs w:val="21"/>
                <w:lang w:val="zh-CN"/>
              </w:rPr>
              <w:t>d)应将备案材料报主管部门和相应公安机关备案。</w:t>
            </w:r>
          </w:p>
        </w:tc>
      </w:tr>
      <w:tr w14:paraId="6ECF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6" w:hRule="atLeast"/>
          <w:jc w:val="center"/>
        </w:trPr>
        <w:tc>
          <w:tcPr>
            <w:tcW w:w="301" w:type="pct"/>
            <w:vMerge w:val="continue"/>
            <w:tcMar>
              <w:top w:w="15" w:type="dxa"/>
              <w:left w:w="15" w:type="dxa"/>
              <w:right w:w="15" w:type="dxa"/>
            </w:tcMar>
            <w:vAlign w:val="center"/>
          </w:tcPr>
          <w:p w14:paraId="1EE02BFC">
            <w:pPr>
              <w:spacing w:line="360" w:lineRule="auto"/>
              <w:jc w:val="center"/>
              <w:rPr>
                <w:rFonts w:hint="eastAsia" w:ascii="宋体" w:hAnsi="宋体" w:cs="宋体"/>
                <w:szCs w:val="21"/>
                <w:lang w:val="zh-CN"/>
              </w:rPr>
            </w:pPr>
          </w:p>
        </w:tc>
        <w:tc>
          <w:tcPr>
            <w:tcW w:w="953" w:type="pct"/>
            <w:vMerge w:val="restart"/>
            <w:tcMar>
              <w:top w:w="15" w:type="dxa"/>
              <w:left w:w="15" w:type="dxa"/>
              <w:right w:w="15" w:type="dxa"/>
            </w:tcMar>
            <w:vAlign w:val="center"/>
          </w:tcPr>
          <w:p w14:paraId="190425D6">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安全方案设计</w:t>
            </w:r>
          </w:p>
        </w:tc>
        <w:tc>
          <w:tcPr>
            <w:tcW w:w="3745" w:type="pct"/>
            <w:tcMar>
              <w:top w:w="15" w:type="dxa"/>
              <w:left w:w="15" w:type="dxa"/>
              <w:right w:w="15" w:type="dxa"/>
            </w:tcMar>
            <w:vAlign w:val="center"/>
          </w:tcPr>
          <w:p w14:paraId="4F2C3A90">
            <w:pPr>
              <w:spacing w:line="360" w:lineRule="auto"/>
              <w:rPr>
                <w:rFonts w:hint="eastAsia" w:ascii="宋体" w:hAnsi="宋体" w:cs="宋体"/>
                <w:szCs w:val="21"/>
                <w:lang w:val="zh-CN"/>
              </w:rPr>
            </w:pPr>
            <w:r>
              <w:rPr>
                <w:rFonts w:hint="eastAsia" w:ascii="宋体" w:hAnsi="宋体" w:eastAsia="宋体" w:cs="宋体"/>
                <w:sz w:val="21"/>
                <w:szCs w:val="21"/>
                <w:lang w:val="zh-CN"/>
              </w:rPr>
              <w:t>a)应根据安全保护等级选择基本安全措施，依据风险分析的结果补充和调整安全措施；</w:t>
            </w:r>
          </w:p>
        </w:tc>
      </w:tr>
      <w:tr w14:paraId="089CD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301" w:type="pct"/>
            <w:vMerge w:val="continue"/>
            <w:tcMar>
              <w:top w:w="15" w:type="dxa"/>
              <w:left w:w="15" w:type="dxa"/>
              <w:right w:w="15" w:type="dxa"/>
            </w:tcMar>
            <w:vAlign w:val="center"/>
          </w:tcPr>
          <w:p w14:paraId="2B4E7481">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7BD83687">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30B0C5B1">
            <w:pPr>
              <w:spacing w:line="360" w:lineRule="auto"/>
              <w:rPr>
                <w:rFonts w:hint="eastAsia" w:ascii="宋体" w:hAnsi="宋体" w:cs="宋体"/>
                <w:szCs w:val="21"/>
                <w:lang w:val="zh-CN"/>
              </w:rPr>
            </w:pPr>
            <w:r>
              <w:rPr>
                <w:rFonts w:hint="eastAsia" w:ascii="宋体" w:hAnsi="宋体" w:eastAsia="宋体" w:cs="宋体"/>
                <w:sz w:val="21"/>
                <w:szCs w:val="21"/>
                <w:lang w:val="zh-CN"/>
              </w:rPr>
              <w:t>b)应根据保护对象的安全保护等级进行安全方案设计；</w:t>
            </w:r>
          </w:p>
        </w:tc>
      </w:tr>
      <w:tr w14:paraId="3570D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jc w:val="center"/>
        </w:trPr>
        <w:tc>
          <w:tcPr>
            <w:tcW w:w="301" w:type="pct"/>
            <w:vMerge w:val="continue"/>
            <w:tcMar>
              <w:top w:w="15" w:type="dxa"/>
              <w:left w:w="15" w:type="dxa"/>
              <w:right w:w="15" w:type="dxa"/>
            </w:tcMar>
            <w:vAlign w:val="center"/>
          </w:tcPr>
          <w:p w14:paraId="044F6C9F">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7606C0B0">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7C1B113A">
            <w:pPr>
              <w:spacing w:line="360" w:lineRule="auto"/>
              <w:rPr>
                <w:rFonts w:hint="eastAsia" w:ascii="宋体" w:hAnsi="宋体" w:cs="宋体"/>
                <w:szCs w:val="21"/>
                <w:lang w:val="zh-CN"/>
              </w:rPr>
            </w:pPr>
            <w:r>
              <w:rPr>
                <w:rFonts w:hint="eastAsia" w:ascii="宋体" w:hAnsi="宋体" w:eastAsia="宋体" w:cs="宋体"/>
                <w:sz w:val="21"/>
                <w:szCs w:val="21"/>
                <w:lang w:val="zh-CN"/>
              </w:rPr>
              <w:t>c)应组织相关部门和有关安全专家对安全方案的合理性和正确性进行论证和审定，经过批准后才能正式实施。</w:t>
            </w:r>
          </w:p>
        </w:tc>
      </w:tr>
      <w:tr w14:paraId="66597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301" w:type="pct"/>
            <w:vMerge w:val="continue"/>
            <w:tcMar>
              <w:top w:w="15" w:type="dxa"/>
              <w:left w:w="15" w:type="dxa"/>
              <w:right w:w="15" w:type="dxa"/>
            </w:tcMar>
            <w:vAlign w:val="center"/>
          </w:tcPr>
          <w:p w14:paraId="43FB0CF9">
            <w:pPr>
              <w:spacing w:line="360" w:lineRule="auto"/>
              <w:jc w:val="center"/>
              <w:rPr>
                <w:rFonts w:hint="eastAsia" w:ascii="宋体" w:hAnsi="宋体" w:cs="宋体"/>
                <w:szCs w:val="21"/>
                <w:lang w:val="zh-CN"/>
              </w:rPr>
            </w:pPr>
          </w:p>
        </w:tc>
        <w:tc>
          <w:tcPr>
            <w:tcW w:w="953" w:type="pct"/>
            <w:vMerge w:val="restart"/>
            <w:tcMar>
              <w:top w:w="15" w:type="dxa"/>
              <w:left w:w="15" w:type="dxa"/>
              <w:right w:w="15" w:type="dxa"/>
            </w:tcMar>
            <w:vAlign w:val="center"/>
          </w:tcPr>
          <w:p w14:paraId="112D83D4">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产品采购和使用</w:t>
            </w:r>
          </w:p>
        </w:tc>
        <w:tc>
          <w:tcPr>
            <w:tcW w:w="3745" w:type="pct"/>
            <w:tcMar>
              <w:top w:w="15" w:type="dxa"/>
              <w:left w:w="15" w:type="dxa"/>
              <w:right w:w="15" w:type="dxa"/>
            </w:tcMar>
            <w:vAlign w:val="center"/>
          </w:tcPr>
          <w:p w14:paraId="1A27078D">
            <w:pPr>
              <w:spacing w:line="360" w:lineRule="auto"/>
              <w:rPr>
                <w:rFonts w:hint="eastAsia" w:ascii="宋体" w:hAnsi="宋体" w:cs="宋体"/>
                <w:szCs w:val="21"/>
                <w:lang w:val="zh-CN"/>
              </w:rPr>
            </w:pPr>
            <w:r>
              <w:rPr>
                <w:rFonts w:hint="eastAsia" w:ascii="宋体" w:hAnsi="宋体" w:eastAsia="宋体" w:cs="宋体"/>
                <w:sz w:val="21"/>
                <w:szCs w:val="21"/>
                <w:lang w:val="zh-CN"/>
              </w:rPr>
              <w:t>a)应确保网络安全产品采购和使用符合国家的有关规定；</w:t>
            </w:r>
          </w:p>
        </w:tc>
      </w:tr>
      <w:tr w14:paraId="4E32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301" w:type="pct"/>
            <w:vMerge w:val="continue"/>
            <w:tcMar>
              <w:top w:w="15" w:type="dxa"/>
              <w:left w:w="15" w:type="dxa"/>
              <w:right w:w="15" w:type="dxa"/>
            </w:tcMar>
            <w:vAlign w:val="center"/>
          </w:tcPr>
          <w:p w14:paraId="10C9E465">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2C4BC392">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719A7973">
            <w:pPr>
              <w:spacing w:line="360" w:lineRule="auto"/>
              <w:rPr>
                <w:rFonts w:hint="eastAsia" w:ascii="宋体" w:hAnsi="宋体" w:cs="宋体"/>
                <w:szCs w:val="21"/>
                <w:lang w:val="zh-CN"/>
              </w:rPr>
            </w:pPr>
            <w:r>
              <w:rPr>
                <w:rFonts w:hint="eastAsia" w:ascii="宋体" w:hAnsi="宋体" w:eastAsia="宋体" w:cs="宋体"/>
                <w:sz w:val="21"/>
                <w:szCs w:val="21"/>
                <w:lang w:val="zh-CN"/>
              </w:rPr>
              <w:t>b)应确保密码产品与服务的采购和使用符合国家密码管理主管部门的要求。</w:t>
            </w:r>
          </w:p>
        </w:tc>
      </w:tr>
      <w:tr w14:paraId="2250C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301" w:type="pct"/>
            <w:vMerge w:val="continue"/>
            <w:tcMar>
              <w:top w:w="15" w:type="dxa"/>
              <w:left w:w="15" w:type="dxa"/>
              <w:right w:w="15" w:type="dxa"/>
            </w:tcMar>
            <w:vAlign w:val="center"/>
          </w:tcPr>
          <w:p w14:paraId="74185B2D">
            <w:pPr>
              <w:spacing w:line="360" w:lineRule="auto"/>
              <w:jc w:val="center"/>
              <w:rPr>
                <w:rFonts w:hint="eastAsia" w:ascii="宋体" w:hAnsi="宋体" w:cs="宋体"/>
                <w:szCs w:val="21"/>
                <w:lang w:val="zh-CN"/>
              </w:rPr>
            </w:pPr>
          </w:p>
        </w:tc>
        <w:tc>
          <w:tcPr>
            <w:tcW w:w="953" w:type="pct"/>
            <w:vMerge w:val="restart"/>
            <w:tcMar>
              <w:top w:w="15" w:type="dxa"/>
              <w:left w:w="15" w:type="dxa"/>
              <w:right w:w="15" w:type="dxa"/>
            </w:tcMar>
            <w:vAlign w:val="center"/>
          </w:tcPr>
          <w:p w14:paraId="656EBAE4">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自行软件开发</w:t>
            </w:r>
          </w:p>
        </w:tc>
        <w:tc>
          <w:tcPr>
            <w:tcW w:w="3745" w:type="pct"/>
            <w:tcMar>
              <w:top w:w="15" w:type="dxa"/>
              <w:left w:w="15" w:type="dxa"/>
              <w:right w:w="15" w:type="dxa"/>
            </w:tcMar>
            <w:vAlign w:val="center"/>
          </w:tcPr>
          <w:p w14:paraId="6404AC3F">
            <w:pPr>
              <w:spacing w:line="360" w:lineRule="auto"/>
              <w:rPr>
                <w:rFonts w:hint="eastAsia" w:ascii="宋体" w:hAnsi="宋体" w:cs="宋体"/>
                <w:szCs w:val="21"/>
                <w:lang w:val="zh-CN"/>
              </w:rPr>
            </w:pPr>
            <w:r>
              <w:rPr>
                <w:rFonts w:hint="eastAsia" w:ascii="宋体" w:hAnsi="宋体" w:eastAsia="宋体" w:cs="宋体"/>
                <w:sz w:val="21"/>
                <w:szCs w:val="21"/>
                <w:lang w:val="zh-CN"/>
              </w:rPr>
              <w:t>a）应将开发环境与实际运行环境物理分开，测试数据和测试结果受到控制；</w:t>
            </w:r>
          </w:p>
        </w:tc>
      </w:tr>
      <w:tr w14:paraId="1A864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301" w:type="pct"/>
            <w:vMerge w:val="continue"/>
            <w:tcMar>
              <w:top w:w="15" w:type="dxa"/>
              <w:left w:w="15" w:type="dxa"/>
              <w:right w:w="15" w:type="dxa"/>
            </w:tcMar>
            <w:vAlign w:val="center"/>
          </w:tcPr>
          <w:p w14:paraId="107738A6">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48C4FF56">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48846793">
            <w:pPr>
              <w:spacing w:line="360" w:lineRule="auto"/>
              <w:rPr>
                <w:rFonts w:hint="eastAsia" w:ascii="宋体" w:hAnsi="宋体" w:cs="宋体"/>
                <w:szCs w:val="21"/>
                <w:lang w:val="zh-CN"/>
              </w:rPr>
            </w:pPr>
            <w:r>
              <w:rPr>
                <w:rFonts w:hint="eastAsia" w:ascii="宋体" w:hAnsi="宋体" w:eastAsia="宋体" w:cs="宋体"/>
                <w:sz w:val="21"/>
                <w:szCs w:val="21"/>
                <w:lang w:val="zh-CN"/>
              </w:rPr>
              <w:t>b)应在软件开发过程中对安全性进行测试，在软件安装前对可能存在的恶意代码进行检测。</w:t>
            </w:r>
          </w:p>
        </w:tc>
      </w:tr>
      <w:tr w14:paraId="21B07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301" w:type="pct"/>
            <w:vMerge w:val="continue"/>
            <w:tcMar>
              <w:top w:w="15" w:type="dxa"/>
              <w:left w:w="15" w:type="dxa"/>
              <w:right w:w="15" w:type="dxa"/>
            </w:tcMar>
            <w:vAlign w:val="center"/>
          </w:tcPr>
          <w:p w14:paraId="2CDFDB6E">
            <w:pPr>
              <w:spacing w:line="360" w:lineRule="auto"/>
              <w:jc w:val="center"/>
              <w:rPr>
                <w:rFonts w:hint="eastAsia" w:ascii="宋体" w:hAnsi="宋体" w:cs="宋体"/>
                <w:szCs w:val="21"/>
                <w:lang w:val="zh-CN"/>
              </w:rPr>
            </w:pPr>
          </w:p>
        </w:tc>
        <w:tc>
          <w:tcPr>
            <w:tcW w:w="953" w:type="pct"/>
            <w:vMerge w:val="restart"/>
            <w:tcMar>
              <w:top w:w="15" w:type="dxa"/>
              <w:left w:w="15" w:type="dxa"/>
              <w:right w:w="15" w:type="dxa"/>
            </w:tcMar>
            <w:vAlign w:val="center"/>
          </w:tcPr>
          <w:p w14:paraId="22F1D84A">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外包软件开发</w:t>
            </w:r>
          </w:p>
        </w:tc>
        <w:tc>
          <w:tcPr>
            <w:tcW w:w="3745" w:type="pct"/>
            <w:tcMar>
              <w:top w:w="15" w:type="dxa"/>
              <w:left w:w="15" w:type="dxa"/>
              <w:right w:w="15" w:type="dxa"/>
            </w:tcMar>
            <w:vAlign w:val="center"/>
          </w:tcPr>
          <w:p w14:paraId="330353BE">
            <w:pPr>
              <w:spacing w:line="360" w:lineRule="auto"/>
              <w:rPr>
                <w:rFonts w:hint="eastAsia" w:ascii="宋体" w:hAnsi="宋体" w:cs="宋体"/>
                <w:szCs w:val="21"/>
                <w:lang w:val="zh-CN"/>
              </w:rPr>
            </w:pPr>
            <w:r>
              <w:rPr>
                <w:rFonts w:hint="eastAsia" w:ascii="宋体" w:hAnsi="宋体" w:eastAsia="宋体" w:cs="宋体"/>
                <w:sz w:val="21"/>
                <w:szCs w:val="21"/>
                <w:lang w:val="zh-CN"/>
              </w:rPr>
              <w:t>a）应在软件交付前检测其中可能存在的恶意代码；</w:t>
            </w:r>
          </w:p>
        </w:tc>
      </w:tr>
      <w:tr w14:paraId="0F509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301" w:type="pct"/>
            <w:vMerge w:val="continue"/>
            <w:tcMar>
              <w:top w:w="15" w:type="dxa"/>
              <w:left w:w="15" w:type="dxa"/>
              <w:right w:w="15" w:type="dxa"/>
            </w:tcMar>
            <w:vAlign w:val="center"/>
          </w:tcPr>
          <w:p w14:paraId="09D589BF">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60121670">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30F3AD6A">
            <w:pPr>
              <w:spacing w:line="360" w:lineRule="auto"/>
              <w:rPr>
                <w:rFonts w:hint="eastAsia" w:ascii="宋体" w:hAnsi="宋体" w:cs="宋体"/>
                <w:szCs w:val="21"/>
                <w:lang w:val="zh-CN"/>
              </w:rPr>
            </w:pPr>
            <w:r>
              <w:rPr>
                <w:rFonts w:hint="eastAsia" w:ascii="宋体" w:hAnsi="宋体" w:eastAsia="宋体" w:cs="宋体"/>
                <w:sz w:val="21"/>
                <w:szCs w:val="21"/>
                <w:lang w:val="zh-CN"/>
              </w:rPr>
              <w:t>b）应保证开发单位提供软件设计文档和使用指南。</w:t>
            </w:r>
          </w:p>
        </w:tc>
      </w:tr>
      <w:tr w14:paraId="2041A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jc w:val="center"/>
        </w:trPr>
        <w:tc>
          <w:tcPr>
            <w:tcW w:w="301" w:type="pct"/>
            <w:vMerge w:val="continue"/>
            <w:tcMar>
              <w:top w:w="15" w:type="dxa"/>
              <w:left w:w="15" w:type="dxa"/>
              <w:right w:w="15" w:type="dxa"/>
            </w:tcMar>
            <w:vAlign w:val="center"/>
          </w:tcPr>
          <w:p w14:paraId="21A96711">
            <w:pPr>
              <w:spacing w:line="360" w:lineRule="auto"/>
              <w:jc w:val="center"/>
              <w:rPr>
                <w:rFonts w:hint="eastAsia" w:ascii="宋体" w:hAnsi="宋体" w:cs="宋体"/>
                <w:szCs w:val="21"/>
                <w:lang w:val="zh-CN"/>
              </w:rPr>
            </w:pPr>
          </w:p>
        </w:tc>
        <w:tc>
          <w:tcPr>
            <w:tcW w:w="953" w:type="pct"/>
            <w:vMerge w:val="restart"/>
            <w:tcMar>
              <w:top w:w="15" w:type="dxa"/>
              <w:left w:w="15" w:type="dxa"/>
              <w:right w:w="15" w:type="dxa"/>
            </w:tcMar>
            <w:vAlign w:val="center"/>
          </w:tcPr>
          <w:p w14:paraId="7AE3B91C">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工程实施</w:t>
            </w:r>
          </w:p>
        </w:tc>
        <w:tc>
          <w:tcPr>
            <w:tcW w:w="3745" w:type="pct"/>
            <w:tcMar>
              <w:top w:w="15" w:type="dxa"/>
              <w:left w:w="15" w:type="dxa"/>
              <w:right w:w="15" w:type="dxa"/>
            </w:tcMar>
            <w:vAlign w:val="center"/>
          </w:tcPr>
          <w:p w14:paraId="0D416162">
            <w:pPr>
              <w:spacing w:line="360" w:lineRule="auto"/>
              <w:rPr>
                <w:rFonts w:hint="eastAsia" w:ascii="宋体" w:hAnsi="宋体" w:cs="宋体"/>
                <w:szCs w:val="21"/>
                <w:lang w:val="zh-CN"/>
              </w:rPr>
            </w:pPr>
            <w:r>
              <w:rPr>
                <w:rFonts w:hint="eastAsia" w:ascii="宋体" w:hAnsi="宋体" w:eastAsia="宋体" w:cs="宋体"/>
                <w:sz w:val="21"/>
                <w:szCs w:val="21"/>
                <w:lang w:val="zh-CN"/>
              </w:rPr>
              <w:t>a) 应指定或授权专门的部门或人员负责工程实施过程的管理；</w:t>
            </w:r>
          </w:p>
        </w:tc>
      </w:tr>
      <w:tr w14:paraId="34BF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301" w:type="pct"/>
            <w:vMerge w:val="continue"/>
            <w:tcMar>
              <w:top w:w="15" w:type="dxa"/>
              <w:left w:w="15" w:type="dxa"/>
              <w:right w:w="15" w:type="dxa"/>
            </w:tcMar>
            <w:vAlign w:val="center"/>
          </w:tcPr>
          <w:p w14:paraId="12225FDF">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4BC49A25">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505A56C1">
            <w:pPr>
              <w:spacing w:line="360" w:lineRule="auto"/>
              <w:rPr>
                <w:rFonts w:hint="eastAsia" w:ascii="宋体" w:hAnsi="宋体" w:cs="宋体"/>
                <w:szCs w:val="21"/>
                <w:lang w:val="zh-CN"/>
              </w:rPr>
            </w:pPr>
            <w:r>
              <w:rPr>
                <w:rFonts w:hint="eastAsia" w:ascii="宋体" w:hAnsi="宋体" w:eastAsia="宋体" w:cs="宋体"/>
                <w:sz w:val="21"/>
                <w:szCs w:val="21"/>
                <w:lang w:val="zh-CN"/>
              </w:rPr>
              <w:t>b）应制定安全工程实施方案控制工程实施过程。</w:t>
            </w:r>
          </w:p>
        </w:tc>
      </w:tr>
      <w:tr w14:paraId="393BC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jc w:val="center"/>
        </w:trPr>
        <w:tc>
          <w:tcPr>
            <w:tcW w:w="301" w:type="pct"/>
            <w:vMerge w:val="continue"/>
            <w:tcMar>
              <w:top w:w="15" w:type="dxa"/>
              <w:left w:w="15" w:type="dxa"/>
              <w:right w:w="15" w:type="dxa"/>
            </w:tcMar>
            <w:vAlign w:val="center"/>
          </w:tcPr>
          <w:p w14:paraId="21FE572C">
            <w:pPr>
              <w:spacing w:line="360" w:lineRule="auto"/>
              <w:jc w:val="center"/>
              <w:rPr>
                <w:rFonts w:hint="eastAsia" w:ascii="宋体" w:hAnsi="宋体" w:cs="宋体"/>
                <w:szCs w:val="21"/>
                <w:lang w:val="zh-CN"/>
              </w:rPr>
            </w:pPr>
          </w:p>
        </w:tc>
        <w:tc>
          <w:tcPr>
            <w:tcW w:w="953" w:type="pct"/>
            <w:vMerge w:val="restart"/>
            <w:tcMar>
              <w:top w:w="15" w:type="dxa"/>
              <w:left w:w="15" w:type="dxa"/>
              <w:right w:w="15" w:type="dxa"/>
            </w:tcMar>
            <w:vAlign w:val="center"/>
          </w:tcPr>
          <w:p w14:paraId="3562FE97">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测试验收</w:t>
            </w:r>
          </w:p>
        </w:tc>
        <w:tc>
          <w:tcPr>
            <w:tcW w:w="3745" w:type="pct"/>
            <w:tcMar>
              <w:top w:w="15" w:type="dxa"/>
              <w:left w:w="15" w:type="dxa"/>
              <w:right w:w="15" w:type="dxa"/>
            </w:tcMar>
            <w:vAlign w:val="center"/>
          </w:tcPr>
          <w:p w14:paraId="31CDA4E6">
            <w:pPr>
              <w:spacing w:line="360" w:lineRule="auto"/>
              <w:rPr>
                <w:rFonts w:hint="eastAsia" w:ascii="宋体" w:hAnsi="宋体" w:cs="宋体"/>
                <w:szCs w:val="21"/>
                <w:lang w:val="zh-CN"/>
              </w:rPr>
            </w:pPr>
            <w:r>
              <w:rPr>
                <w:rFonts w:hint="eastAsia" w:ascii="宋体" w:hAnsi="宋体" w:eastAsia="宋体" w:cs="宋体"/>
                <w:sz w:val="21"/>
                <w:szCs w:val="21"/>
                <w:lang w:val="zh-CN"/>
              </w:rPr>
              <w:t>a）应制定测试验收方案，并依据测试验收方案实施测试验收，形成测试验收报告；</w:t>
            </w:r>
          </w:p>
        </w:tc>
      </w:tr>
      <w:tr w14:paraId="5123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301" w:type="pct"/>
            <w:vMerge w:val="continue"/>
            <w:tcMar>
              <w:top w:w="15" w:type="dxa"/>
              <w:left w:w="15" w:type="dxa"/>
              <w:right w:w="15" w:type="dxa"/>
            </w:tcMar>
            <w:vAlign w:val="center"/>
          </w:tcPr>
          <w:p w14:paraId="4666CD32">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70DAD3D9">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15FE2020">
            <w:pPr>
              <w:spacing w:line="360" w:lineRule="auto"/>
              <w:rPr>
                <w:rFonts w:hint="eastAsia" w:ascii="宋体" w:hAnsi="宋体" w:cs="宋体"/>
                <w:szCs w:val="21"/>
                <w:lang w:val="zh-CN"/>
              </w:rPr>
            </w:pPr>
            <w:r>
              <w:rPr>
                <w:rFonts w:hint="eastAsia" w:ascii="宋体" w:hAnsi="宋体" w:eastAsia="宋体" w:cs="宋体"/>
                <w:sz w:val="21"/>
                <w:szCs w:val="21"/>
                <w:lang w:val="zh-CN"/>
              </w:rPr>
              <w:t>b)应进行上线前的安全性测试，并出具安全测试报告。</w:t>
            </w:r>
          </w:p>
        </w:tc>
      </w:tr>
      <w:tr w14:paraId="219BC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301" w:type="pct"/>
            <w:vMerge w:val="continue"/>
            <w:tcMar>
              <w:top w:w="15" w:type="dxa"/>
              <w:left w:w="15" w:type="dxa"/>
              <w:right w:w="15" w:type="dxa"/>
            </w:tcMar>
            <w:vAlign w:val="center"/>
          </w:tcPr>
          <w:p w14:paraId="4AE30053">
            <w:pPr>
              <w:spacing w:line="360" w:lineRule="auto"/>
              <w:jc w:val="center"/>
              <w:rPr>
                <w:rFonts w:hint="eastAsia" w:ascii="宋体" w:hAnsi="宋体" w:cs="宋体"/>
                <w:szCs w:val="21"/>
                <w:lang w:val="zh-CN"/>
              </w:rPr>
            </w:pPr>
          </w:p>
        </w:tc>
        <w:tc>
          <w:tcPr>
            <w:tcW w:w="953" w:type="pct"/>
            <w:vMerge w:val="restart"/>
            <w:tcMar>
              <w:top w:w="15" w:type="dxa"/>
              <w:left w:w="15" w:type="dxa"/>
              <w:right w:w="15" w:type="dxa"/>
            </w:tcMar>
            <w:vAlign w:val="center"/>
          </w:tcPr>
          <w:p w14:paraId="01904F8A">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系统交付</w:t>
            </w:r>
          </w:p>
        </w:tc>
        <w:tc>
          <w:tcPr>
            <w:tcW w:w="3745" w:type="pct"/>
            <w:tcMar>
              <w:top w:w="15" w:type="dxa"/>
              <w:left w:w="15" w:type="dxa"/>
              <w:right w:w="15" w:type="dxa"/>
            </w:tcMar>
            <w:vAlign w:val="center"/>
          </w:tcPr>
          <w:p w14:paraId="18481D61">
            <w:pPr>
              <w:spacing w:line="360" w:lineRule="auto"/>
              <w:rPr>
                <w:rFonts w:hint="eastAsia" w:ascii="宋体" w:hAnsi="宋体" w:cs="宋体"/>
                <w:szCs w:val="21"/>
                <w:lang w:val="zh-CN"/>
              </w:rPr>
            </w:pPr>
            <w:r>
              <w:rPr>
                <w:rFonts w:hint="eastAsia" w:ascii="宋体" w:hAnsi="宋体" w:eastAsia="宋体" w:cs="宋体"/>
                <w:sz w:val="21"/>
                <w:szCs w:val="21"/>
                <w:lang w:val="zh-CN"/>
              </w:rPr>
              <w:t>a)应制定交付清单，并根据交付清单对所交接的设备、软件和文档等进行清点；</w:t>
            </w:r>
          </w:p>
        </w:tc>
      </w:tr>
      <w:tr w14:paraId="36449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301" w:type="pct"/>
            <w:vMerge w:val="continue"/>
            <w:tcMar>
              <w:top w:w="15" w:type="dxa"/>
              <w:left w:w="15" w:type="dxa"/>
              <w:right w:w="15" w:type="dxa"/>
            </w:tcMar>
            <w:vAlign w:val="center"/>
          </w:tcPr>
          <w:p w14:paraId="70365811">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6FDD6684">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1BB2D290">
            <w:pPr>
              <w:spacing w:line="360" w:lineRule="auto"/>
              <w:rPr>
                <w:rFonts w:hint="eastAsia" w:ascii="宋体" w:hAnsi="宋体" w:cs="宋体"/>
                <w:szCs w:val="21"/>
                <w:lang w:val="zh-CN"/>
              </w:rPr>
            </w:pPr>
            <w:r>
              <w:rPr>
                <w:rFonts w:hint="eastAsia" w:ascii="宋体" w:hAnsi="宋体" w:eastAsia="宋体" w:cs="宋体"/>
                <w:sz w:val="21"/>
                <w:szCs w:val="21"/>
                <w:lang w:val="zh-CN"/>
              </w:rPr>
              <w:t>b)应对负责运行维护的技术人员进行相应的技能培训；</w:t>
            </w:r>
          </w:p>
        </w:tc>
      </w:tr>
      <w:tr w14:paraId="01D5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jc w:val="center"/>
        </w:trPr>
        <w:tc>
          <w:tcPr>
            <w:tcW w:w="301" w:type="pct"/>
            <w:vMerge w:val="continue"/>
            <w:tcMar>
              <w:top w:w="15" w:type="dxa"/>
              <w:left w:w="15" w:type="dxa"/>
              <w:right w:w="15" w:type="dxa"/>
            </w:tcMar>
            <w:vAlign w:val="center"/>
          </w:tcPr>
          <w:p w14:paraId="00013F67">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4AEA0A8A">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0FA32BDA">
            <w:pPr>
              <w:spacing w:line="360" w:lineRule="auto"/>
              <w:rPr>
                <w:rFonts w:hint="eastAsia" w:ascii="宋体" w:hAnsi="宋体" w:cs="宋体"/>
                <w:szCs w:val="21"/>
                <w:lang w:val="zh-CN"/>
              </w:rPr>
            </w:pPr>
            <w:r>
              <w:rPr>
                <w:rFonts w:hint="eastAsia" w:ascii="宋体" w:hAnsi="宋体" w:eastAsia="宋体" w:cs="宋体"/>
                <w:sz w:val="21"/>
                <w:szCs w:val="21"/>
                <w:lang w:val="zh-CN"/>
              </w:rPr>
              <w:t>c)应提供建设过程文档和运行维护文档。</w:t>
            </w:r>
          </w:p>
        </w:tc>
      </w:tr>
      <w:tr w14:paraId="4A24F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301" w:type="pct"/>
            <w:vMerge w:val="continue"/>
            <w:tcMar>
              <w:top w:w="15" w:type="dxa"/>
              <w:left w:w="15" w:type="dxa"/>
              <w:right w:w="15" w:type="dxa"/>
            </w:tcMar>
            <w:vAlign w:val="center"/>
          </w:tcPr>
          <w:p w14:paraId="07A875B9">
            <w:pPr>
              <w:spacing w:line="360" w:lineRule="auto"/>
              <w:jc w:val="center"/>
              <w:rPr>
                <w:rFonts w:hint="eastAsia" w:ascii="宋体" w:hAnsi="宋体" w:cs="宋体"/>
                <w:szCs w:val="21"/>
                <w:lang w:val="zh-CN"/>
              </w:rPr>
            </w:pPr>
          </w:p>
        </w:tc>
        <w:tc>
          <w:tcPr>
            <w:tcW w:w="953" w:type="pct"/>
            <w:vMerge w:val="restart"/>
            <w:tcMar>
              <w:top w:w="15" w:type="dxa"/>
              <w:left w:w="15" w:type="dxa"/>
              <w:right w:w="15" w:type="dxa"/>
            </w:tcMar>
            <w:vAlign w:val="center"/>
          </w:tcPr>
          <w:p w14:paraId="64B8F04E">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等级测评</w:t>
            </w:r>
          </w:p>
        </w:tc>
        <w:tc>
          <w:tcPr>
            <w:tcW w:w="3745" w:type="pct"/>
            <w:tcMar>
              <w:top w:w="15" w:type="dxa"/>
              <w:left w:w="15" w:type="dxa"/>
              <w:right w:w="15" w:type="dxa"/>
            </w:tcMar>
            <w:vAlign w:val="center"/>
          </w:tcPr>
          <w:p w14:paraId="25E7D6B7">
            <w:pPr>
              <w:spacing w:line="360" w:lineRule="auto"/>
              <w:rPr>
                <w:rFonts w:hint="eastAsia" w:ascii="宋体" w:hAnsi="宋体" w:cs="宋体"/>
                <w:szCs w:val="21"/>
                <w:lang w:val="zh-CN"/>
              </w:rPr>
            </w:pPr>
            <w:r>
              <w:rPr>
                <w:rFonts w:hint="eastAsia" w:ascii="宋体" w:hAnsi="宋体" w:eastAsia="宋体" w:cs="宋体"/>
                <w:sz w:val="21"/>
                <w:szCs w:val="21"/>
                <w:lang w:val="zh-CN"/>
              </w:rPr>
              <w:t>a)应定期进行等级测评，发现不符合相应等级保护标准要求的及时整改；</w:t>
            </w:r>
          </w:p>
        </w:tc>
      </w:tr>
      <w:tr w14:paraId="0DDAD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301" w:type="pct"/>
            <w:vMerge w:val="continue"/>
            <w:tcMar>
              <w:top w:w="15" w:type="dxa"/>
              <w:left w:w="15" w:type="dxa"/>
              <w:right w:w="15" w:type="dxa"/>
            </w:tcMar>
            <w:vAlign w:val="center"/>
          </w:tcPr>
          <w:p w14:paraId="06CDAA5D">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1B0D7200">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6DDB3706">
            <w:pPr>
              <w:spacing w:line="360" w:lineRule="auto"/>
              <w:rPr>
                <w:rFonts w:hint="eastAsia" w:ascii="宋体" w:hAnsi="宋体" w:cs="宋体"/>
                <w:szCs w:val="21"/>
                <w:lang w:val="zh-CN"/>
              </w:rPr>
            </w:pPr>
            <w:r>
              <w:rPr>
                <w:rFonts w:hint="eastAsia" w:ascii="宋体" w:hAnsi="宋体" w:eastAsia="宋体" w:cs="宋体"/>
                <w:sz w:val="21"/>
                <w:szCs w:val="21"/>
                <w:lang w:val="zh-CN"/>
              </w:rPr>
              <w:t>b)应在发生重大变更或级别发生变化时进行等级测评；</w:t>
            </w:r>
          </w:p>
        </w:tc>
      </w:tr>
      <w:tr w14:paraId="714B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301" w:type="pct"/>
            <w:vMerge w:val="continue"/>
            <w:tcMar>
              <w:top w:w="15" w:type="dxa"/>
              <w:left w:w="15" w:type="dxa"/>
              <w:right w:w="15" w:type="dxa"/>
            </w:tcMar>
            <w:vAlign w:val="center"/>
          </w:tcPr>
          <w:p w14:paraId="1F72D075">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12B3D400">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17D8C005">
            <w:pPr>
              <w:spacing w:line="360" w:lineRule="auto"/>
              <w:rPr>
                <w:rFonts w:hint="eastAsia" w:ascii="宋体" w:hAnsi="宋体" w:cs="宋体"/>
                <w:szCs w:val="21"/>
                <w:lang w:val="zh-CN"/>
              </w:rPr>
            </w:pPr>
            <w:r>
              <w:rPr>
                <w:rFonts w:hint="eastAsia" w:ascii="宋体" w:hAnsi="宋体" w:eastAsia="宋体" w:cs="宋体"/>
                <w:sz w:val="21"/>
                <w:szCs w:val="21"/>
                <w:lang w:val="zh-CN"/>
              </w:rPr>
              <w:t>c)应确保测评机构的选择符合国家有关规定。</w:t>
            </w:r>
          </w:p>
        </w:tc>
      </w:tr>
      <w:tr w14:paraId="727A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jc w:val="center"/>
        </w:trPr>
        <w:tc>
          <w:tcPr>
            <w:tcW w:w="301" w:type="pct"/>
            <w:vMerge w:val="continue"/>
            <w:tcMar>
              <w:top w:w="15" w:type="dxa"/>
              <w:left w:w="15" w:type="dxa"/>
              <w:right w:w="15" w:type="dxa"/>
            </w:tcMar>
            <w:vAlign w:val="center"/>
          </w:tcPr>
          <w:p w14:paraId="6FD2D532">
            <w:pPr>
              <w:spacing w:line="360" w:lineRule="auto"/>
              <w:jc w:val="center"/>
              <w:rPr>
                <w:rFonts w:hint="eastAsia" w:ascii="宋体" w:hAnsi="宋体" w:cs="宋体"/>
                <w:szCs w:val="21"/>
                <w:lang w:val="zh-CN"/>
              </w:rPr>
            </w:pPr>
          </w:p>
        </w:tc>
        <w:tc>
          <w:tcPr>
            <w:tcW w:w="953" w:type="pct"/>
            <w:vMerge w:val="restart"/>
            <w:tcMar>
              <w:top w:w="15" w:type="dxa"/>
              <w:left w:w="15" w:type="dxa"/>
              <w:right w:w="15" w:type="dxa"/>
            </w:tcMar>
            <w:vAlign w:val="center"/>
          </w:tcPr>
          <w:p w14:paraId="0649D82D">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服务供应商选择</w:t>
            </w:r>
          </w:p>
        </w:tc>
        <w:tc>
          <w:tcPr>
            <w:tcW w:w="3745" w:type="pct"/>
            <w:tcMar>
              <w:top w:w="15" w:type="dxa"/>
              <w:left w:w="15" w:type="dxa"/>
              <w:right w:w="15" w:type="dxa"/>
            </w:tcMar>
            <w:vAlign w:val="center"/>
          </w:tcPr>
          <w:p w14:paraId="59F6F74F">
            <w:pPr>
              <w:spacing w:line="360" w:lineRule="auto"/>
              <w:rPr>
                <w:rFonts w:hint="eastAsia" w:ascii="宋体" w:hAnsi="宋体" w:cs="宋体"/>
                <w:szCs w:val="21"/>
                <w:lang w:val="zh-CN"/>
              </w:rPr>
            </w:pPr>
            <w:r>
              <w:rPr>
                <w:rFonts w:hint="eastAsia" w:ascii="宋体" w:hAnsi="宋体" w:eastAsia="宋体" w:cs="宋体"/>
                <w:sz w:val="21"/>
                <w:szCs w:val="21"/>
                <w:lang w:val="zh-CN"/>
              </w:rPr>
              <w:t>a)应确保服务供应商的选择符合国家的有关规定；</w:t>
            </w:r>
          </w:p>
        </w:tc>
      </w:tr>
      <w:tr w14:paraId="5140D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5" w:hRule="atLeast"/>
          <w:jc w:val="center"/>
        </w:trPr>
        <w:tc>
          <w:tcPr>
            <w:tcW w:w="301" w:type="pct"/>
            <w:vMerge w:val="continue"/>
            <w:tcMar>
              <w:top w:w="15" w:type="dxa"/>
              <w:left w:w="15" w:type="dxa"/>
              <w:right w:w="15" w:type="dxa"/>
            </w:tcMar>
            <w:vAlign w:val="center"/>
          </w:tcPr>
          <w:p w14:paraId="60425EDC">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6D3E094B">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7FF7673F">
            <w:pPr>
              <w:spacing w:line="360" w:lineRule="auto"/>
              <w:rPr>
                <w:rFonts w:hint="eastAsia" w:ascii="宋体" w:hAnsi="宋体" w:cs="宋体"/>
                <w:szCs w:val="21"/>
                <w:lang w:val="zh-CN"/>
              </w:rPr>
            </w:pPr>
            <w:r>
              <w:rPr>
                <w:rFonts w:hint="eastAsia" w:ascii="宋体" w:hAnsi="宋体" w:eastAsia="宋体" w:cs="宋体"/>
                <w:sz w:val="21"/>
                <w:szCs w:val="21"/>
                <w:lang w:val="zh-CN"/>
              </w:rPr>
              <w:t>b)应与选定的服务供应商签订相关协议，明确整个服务供应链各方需履行的网络安全相关义务。</w:t>
            </w:r>
          </w:p>
        </w:tc>
      </w:tr>
      <w:tr w14:paraId="50C19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301" w:type="pct"/>
            <w:vMerge w:val="restart"/>
            <w:tcMar>
              <w:top w:w="15" w:type="dxa"/>
              <w:left w:w="15" w:type="dxa"/>
              <w:right w:w="15" w:type="dxa"/>
            </w:tcMar>
            <w:vAlign w:val="center"/>
          </w:tcPr>
          <w:p w14:paraId="3F6DB9EE">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安全运维管理</w:t>
            </w:r>
          </w:p>
        </w:tc>
        <w:tc>
          <w:tcPr>
            <w:tcW w:w="953" w:type="pct"/>
            <w:vMerge w:val="restart"/>
            <w:tcMar>
              <w:top w:w="15" w:type="dxa"/>
              <w:left w:w="15" w:type="dxa"/>
              <w:right w:w="15" w:type="dxa"/>
            </w:tcMar>
            <w:vAlign w:val="center"/>
          </w:tcPr>
          <w:p w14:paraId="6F82C61C">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环境管理</w:t>
            </w:r>
          </w:p>
        </w:tc>
        <w:tc>
          <w:tcPr>
            <w:tcW w:w="3745" w:type="pct"/>
            <w:tcMar>
              <w:top w:w="15" w:type="dxa"/>
              <w:left w:w="15" w:type="dxa"/>
              <w:right w:w="15" w:type="dxa"/>
            </w:tcMar>
            <w:vAlign w:val="center"/>
          </w:tcPr>
          <w:p w14:paraId="06F71A89">
            <w:pPr>
              <w:spacing w:line="360" w:lineRule="auto"/>
              <w:rPr>
                <w:rFonts w:hint="eastAsia" w:ascii="宋体" w:hAnsi="宋体" w:cs="宋体"/>
                <w:szCs w:val="21"/>
                <w:lang w:val="zh-CN"/>
              </w:rPr>
            </w:pPr>
            <w:r>
              <w:rPr>
                <w:rFonts w:hint="eastAsia" w:ascii="宋体" w:hAnsi="宋体" w:eastAsia="宋体" w:cs="宋体"/>
                <w:sz w:val="21"/>
                <w:szCs w:val="21"/>
                <w:lang w:val="zh-CN"/>
              </w:rPr>
              <w:t>a)应指定专门的部门或人员负责机房安全，对机房出入进行管理，定期对机房供配电、空调、温湿度控制、消防等设施进行维护管理；</w:t>
            </w:r>
          </w:p>
        </w:tc>
      </w:tr>
      <w:tr w14:paraId="24A3E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301" w:type="pct"/>
            <w:vMerge w:val="continue"/>
            <w:tcMar>
              <w:top w:w="15" w:type="dxa"/>
              <w:left w:w="15" w:type="dxa"/>
              <w:right w:w="15" w:type="dxa"/>
            </w:tcMar>
            <w:vAlign w:val="center"/>
          </w:tcPr>
          <w:p w14:paraId="2EF274A6">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2671D78D">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78670E7E">
            <w:pPr>
              <w:spacing w:line="360" w:lineRule="auto"/>
              <w:rPr>
                <w:rFonts w:hint="eastAsia" w:ascii="宋体" w:hAnsi="宋体" w:cs="宋体"/>
                <w:szCs w:val="21"/>
                <w:lang w:val="zh-CN"/>
              </w:rPr>
            </w:pPr>
            <w:r>
              <w:rPr>
                <w:rFonts w:hint="eastAsia" w:ascii="宋体" w:hAnsi="宋体" w:eastAsia="宋体" w:cs="宋体"/>
                <w:sz w:val="21"/>
                <w:szCs w:val="21"/>
                <w:lang w:val="zh-CN"/>
              </w:rPr>
              <w:t>b)应对机房的安全管理做出规定，包括物理访问、物品进出和环境安全等；</w:t>
            </w:r>
          </w:p>
        </w:tc>
      </w:tr>
      <w:tr w14:paraId="0AD3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5" w:hRule="atLeast"/>
          <w:jc w:val="center"/>
        </w:trPr>
        <w:tc>
          <w:tcPr>
            <w:tcW w:w="301" w:type="pct"/>
            <w:vMerge w:val="continue"/>
            <w:tcMar>
              <w:top w:w="15" w:type="dxa"/>
              <w:left w:w="15" w:type="dxa"/>
              <w:right w:w="15" w:type="dxa"/>
            </w:tcMar>
            <w:vAlign w:val="center"/>
          </w:tcPr>
          <w:p w14:paraId="3E36E88E">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5B84654D">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012F3363">
            <w:pPr>
              <w:spacing w:line="360" w:lineRule="auto"/>
              <w:rPr>
                <w:rFonts w:hint="eastAsia" w:ascii="宋体" w:hAnsi="宋体" w:cs="宋体"/>
                <w:szCs w:val="21"/>
                <w:lang w:val="zh-CN"/>
              </w:rPr>
            </w:pPr>
            <w:r>
              <w:rPr>
                <w:rFonts w:hint="eastAsia" w:ascii="宋体" w:hAnsi="宋体" w:eastAsia="宋体" w:cs="宋体"/>
                <w:sz w:val="21"/>
                <w:szCs w:val="21"/>
                <w:lang w:val="zh-CN"/>
              </w:rPr>
              <w:t>c)应不在重要区域接待来访人员，不随意放置含有敏感信息的纸档文件和移动介质等。</w:t>
            </w:r>
          </w:p>
        </w:tc>
      </w:tr>
      <w:tr w14:paraId="00CCA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5" w:hRule="atLeast"/>
          <w:jc w:val="center"/>
        </w:trPr>
        <w:tc>
          <w:tcPr>
            <w:tcW w:w="301" w:type="pct"/>
            <w:vMerge w:val="continue"/>
            <w:tcMar>
              <w:top w:w="15" w:type="dxa"/>
              <w:left w:w="15" w:type="dxa"/>
              <w:right w:w="15" w:type="dxa"/>
            </w:tcMar>
            <w:vAlign w:val="center"/>
          </w:tcPr>
          <w:p w14:paraId="5D923794">
            <w:pPr>
              <w:spacing w:line="360" w:lineRule="auto"/>
              <w:jc w:val="center"/>
              <w:rPr>
                <w:rFonts w:hint="eastAsia" w:ascii="宋体" w:hAnsi="宋体" w:cs="宋体"/>
                <w:szCs w:val="21"/>
                <w:lang w:val="zh-CN"/>
              </w:rPr>
            </w:pPr>
          </w:p>
        </w:tc>
        <w:tc>
          <w:tcPr>
            <w:tcW w:w="953" w:type="pct"/>
            <w:tcMar>
              <w:top w:w="15" w:type="dxa"/>
              <w:left w:w="15" w:type="dxa"/>
              <w:right w:w="15" w:type="dxa"/>
            </w:tcMar>
            <w:vAlign w:val="center"/>
          </w:tcPr>
          <w:p w14:paraId="4D6B01E4">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资产管理</w:t>
            </w:r>
          </w:p>
        </w:tc>
        <w:tc>
          <w:tcPr>
            <w:tcW w:w="3745" w:type="pct"/>
            <w:tcMar>
              <w:top w:w="15" w:type="dxa"/>
              <w:left w:w="15" w:type="dxa"/>
              <w:right w:w="15" w:type="dxa"/>
            </w:tcMar>
            <w:vAlign w:val="center"/>
          </w:tcPr>
          <w:p w14:paraId="1D34772D">
            <w:pPr>
              <w:spacing w:line="360" w:lineRule="auto"/>
              <w:rPr>
                <w:rFonts w:hint="eastAsia" w:ascii="宋体" w:hAnsi="宋体" w:cs="宋体"/>
                <w:szCs w:val="21"/>
                <w:lang w:val="zh-CN"/>
              </w:rPr>
            </w:pPr>
            <w:r>
              <w:rPr>
                <w:rFonts w:hint="eastAsia" w:ascii="宋体" w:hAnsi="宋体" w:eastAsia="宋体" w:cs="宋体"/>
                <w:sz w:val="21"/>
                <w:szCs w:val="21"/>
                <w:lang w:val="zh-CN"/>
              </w:rPr>
              <w:t>应编制并保存与保护对象相关的资产清单，包括资产责任部门、重要程度和所处位置等内容。</w:t>
            </w:r>
          </w:p>
        </w:tc>
      </w:tr>
      <w:tr w14:paraId="582A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301" w:type="pct"/>
            <w:vMerge w:val="restart"/>
            <w:tcMar>
              <w:top w:w="15" w:type="dxa"/>
              <w:left w:w="15" w:type="dxa"/>
              <w:right w:w="15" w:type="dxa"/>
            </w:tcMar>
            <w:vAlign w:val="center"/>
          </w:tcPr>
          <w:p w14:paraId="469631C1">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安全运维管理</w:t>
            </w:r>
          </w:p>
        </w:tc>
        <w:tc>
          <w:tcPr>
            <w:tcW w:w="953" w:type="pct"/>
            <w:vMerge w:val="restart"/>
            <w:tcMar>
              <w:top w:w="15" w:type="dxa"/>
              <w:left w:w="15" w:type="dxa"/>
              <w:right w:w="15" w:type="dxa"/>
            </w:tcMar>
            <w:vAlign w:val="center"/>
          </w:tcPr>
          <w:p w14:paraId="0AFFA624">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介质管理</w:t>
            </w:r>
          </w:p>
        </w:tc>
        <w:tc>
          <w:tcPr>
            <w:tcW w:w="3745" w:type="pct"/>
            <w:tcMar>
              <w:top w:w="15" w:type="dxa"/>
              <w:left w:w="15" w:type="dxa"/>
              <w:right w:w="15" w:type="dxa"/>
            </w:tcMar>
            <w:vAlign w:val="center"/>
          </w:tcPr>
          <w:p w14:paraId="0C9556AC">
            <w:pPr>
              <w:spacing w:line="360" w:lineRule="auto"/>
              <w:rPr>
                <w:rFonts w:hint="eastAsia" w:ascii="宋体" w:hAnsi="宋体" w:cs="宋体"/>
                <w:szCs w:val="21"/>
                <w:lang w:val="zh-CN"/>
              </w:rPr>
            </w:pPr>
            <w:r>
              <w:rPr>
                <w:rFonts w:hint="eastAsia" w:ascii="宋体" w:hAnsi="宋体" w:eastAsia="宋体" w:cs="宋体"/>
                <w:sz w:val="21"/>
                <w:szCs w:val="21"/>
                <w:lang w:val="zh-CN"/>
              </w:rPr>
              <w:t>a)应将介质存放在安全的环境中，对各类介质进行控制和保护，实行存储环境专人管理，并根据存档介质的目录清单定期盘点；</w:t>
            </w:r>
          </w:p>
        </w:tc>
      </w:tr>
      <w:tr w14:paraId="08D0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301" w:type="pct"/>
            <w:vMerge w:val="continue"/>
            <w:tcMar>
              <w:top w:w="15" w:type="dxa"/>
              <w:left w:w="15" w:type="dxa"/>
              <w:right w:w="15" w:type="dxa"/>
            </w:tcMar>
            <w:vAlign w:val="center"/>
          </w:tcPr>
          <w:p w14:paraId="7B7B378B">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410EC163">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6E1DD066">
            <w:pPr>
              <w:spacing w:line="360" w:lineRule="auto"/>
              <w:rPr>
                <w:rFonts w:hint="eastAsia" w:ascii="宋体" w:hAnsi="宋体" w:cs="宋体"/>
                <w:szCs w:val="21"/>
                <w:lang w:val="zh-CN"/>
              </w:rPr>
            </w:pPr>
            <w:r>
              <w:rPr>
                <w:rFonts w:hint="eastAsia" w:ascii="宋体" w:hAnsi="宋体" w:eastAsia="宋体" w:cs="宋体"/>
                <w:sz w:val="21"/>
                <w:szCs w:val="21"/>
                <w:lang w:val="zh-CN"/>
              </w:rPr>
              <w:t>b)应对介质在物理传输过程中的人员选择、打包、交付等情况进行控制，并对介质的归档和查询等进行登记记录。</w:t>
            </w:r>
          </w:p>
        </w:tc>
      </w:tr>
      <w:tr w14:paraId="4D230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301" w:type="pct"/>
            <w:vMerge w:val="continue"/>
            <w:tcMar>
              <w:top w:w="15" w:type="dxa"/>
              <w:left w:w="15" w:type="dxa"/>
              <w:right w:w="15" w:type="dxa"/>
            </w:tcMar>
            <w:vAlign w:val="center"/>
          </w:tcPr>
          <w:p w14:paraId="4C544B84">
            <w:pPr>
              <w:spacing w:line="360" w:lineRule="auto"/>
              <w:jc w:val="center"/>
              <w:rPr>
                <w:rFonts w:hint="eastAsia" w:ascii="宋体" w:hAnsi="宋体" w:cs="宋体"/>
                <w:szCs w:val="21"/>
                <w:lang w:val="zh-CN"/>
              </w:rPr>
            </w:pPr>
          </w:p>
        </w:tc>
        <w:tc>
          <w:tcPr>
            <w:tcW w:w="953" w:type="pct"/>
            <w:vMerge w:val="restart"/>
            <w:tcMar>
              <w:top w:w="15" w:type="dxa"/>
              <w:left w:w="15" w:type="dxa"/>
              <w:right w:w="15" w:type="dxa"/>
            </w:tcMar>
            <w:vAlign w:val="center"/>
          </w:tcPr>
          <w:p w14:paraId="58E1F519">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设备维护管理</w:t>
            </w:r>
          </w:p>
        </w:tc>
        <w:tc>
          <w:tcPr>
            <w:tcW w:w="3745" w:type="pct"/>
            <w:tcMar>
              <w:top w:w="15" w:type="dxa"/>
              <w:left w:w="15" w:type="dxa"/>
              <w:right w:w="15" w:type="dxa"/>
            </w:tcMar>
            <w:vAlign w:val="center"/>
          </w:tcPr>
          <w:p w14:paraId="6F849A5E">
            <w:pPr>
              <w:spacing w:line="360" w:lineRule="auto"/>
              <w:rPr>
                <w:rFonts w:hint="eastAsia" w:ascii="宋体" w:hAnsi="宋体" w:cs="宋体"/>
                <w:szCs w:val="21"/>
                <w:lang w:val="zh-CN"/>
              </w:rPr>
            </w:pPr>
            <w:r>
              <w:rPr>
                <w:rFonts w:hint="eastAsia" w:ascii="宋体" w:hAnsi="宋体" w:eastAsia="宋体" w:cs="宋体"/>
                <w:sz w:val="21"/>
                <w:szCs w:val="21"/>
                <w:lang w:val="zh-CN"/>
              </w:rPr>
              <w:t>a)应对各种设备(包括备份和冗余设备)、线路等指定专门的部门或人员定期进行维护管理；</w:t>
            </w:r>
          </w:p>
        </w:tc>
      </w:tr>
      <w:tr w14:paraId="38F55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301" w:type="pct"/>
            <w:vMerge w:val="continue"/>
            <w:tcMar>
              <w:top w:w="15" w:type="dxa"/>
              <w:left w:w="15" w:type="dxa"/>
              <w:right w:w="15" w:type="dxa"/>
            </w:tcMar>
            <w:vAlign w:val="center"/>
          </w:tcPr>
          <w:p w14:paraId="534F1E84">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1D527E6E">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00C8F896">
            <w:pPr>
              <w:spacing w:line="360" w:lineRule="auto"/>
              <w:rPr>
                <w:rFonts w:hint="eastAsia" w:ascii="宋体" w:hAnsi="宋体" w:cs="宋体"/>
                <w:szCs w:val="21"/>
                <w:lang w:val="zh-CN"/>
              </w:rPr>
            </w:pPr>
            <w:r>
              <w:rPr>
                <w:rFonts w:hint="eastAsia" w:ascii="宋体" w:hAnsi="宋体" w:eastAsia="宋体" w:cs="宋体"/>
                <w:sz w:val="21"/>
                <w:szCs w:val="21"/>
                <w:lang w:val="zh-CN"/>
              </w:rPr>
              <w:t>b)应对配套设施、软硬件维护管理做出规定，包括明确维护人员的责任、维修和服务的审批、维修过程的监督控制等。</w:t>
            </w:r>
          </w:p>
        </w:tc>
      </w:tr>
      <w:tr w14:paraId="36A1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5" w:hRule="atLeast"/>
          <w:jc w:val="center"/>
        </w:trPr>
        <w:tc>
          <w:tcPr>
            <w:tcW w:w="301" w:type="pct"/>
            <w:vMerge w:val="continue"/>
            <w:tcMar>
              <w:top w:w="15" w:type="dxa"/>
              <w:left w:w="15" w:type="dxa"/>
              <w:right w:w="15" w:type="dxa"/>
            </w:tcMar>
            <w:vAlign w:val="center"/>
          </w:tcPr>
          <w:p w14:paraId="36EE5139">
            <w:pPr>
              <w:spacing w:line="360" w:lineRule="auto"/>
              <w:jc w:val="center"/>
              <w:rPr>
                <w:rFonts w:hint="eastAsia" w:ascii="宋体" w:hAnsi="宋体" w:cs="宋体"/>
                <w:szCs w:val="21"/>
                <w:lang w:val="zh-CN"/>
              </w:rPr>
            </w:pPr>
          </w:p>
        </w:tc>
        <w:tc>
          <w:tcPr>
            <w:tcW w:w="953" w:type="pct"/>
            <w:tcMar>
              <w:top w:w="15" w:type="dxa"/>
              <w:left w:w="15" w:type="dxa"/>
              <w:right w:w="15" w:type="dxa"/>
            </w:tcMar>
            <w:vAlign w:val="center"/>
          </w:tcPr>
          <w:p w14:paraId="6FAEBAC4">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漏洞和风险管理</w:t>
            </w:r>
          </w:p>
        </w:tc>
        <w:tc>
          <w:tcPr>
            <w:tcW w:w="3745" w:type="pct"/>
            <w:tcMar>
              <w:top w:w="15" w:type="dxa"/>
              <w:left w:w="15" w:type="dxa"/>
              <w:right w:w="15" w:type="dxa"/>
            </w:tcMar>
            <w:vAlign w:val="center"/>
          </w:tcPr>
          <w:p w14:paraId="1D3FE0D9">
            <w:pPr>
              <w:spacing w:line="360" w:lineRule="auto"/>
              <w:rPr>
                <w:rFonts w:hint="eastAsia" w:ascii="宋体" w:hAnsi="宋体" w:cs="宋体"/>
                <w:szCs w:val="21"/>
                <w:lang w:val="zh-CN"/>
              </w:rPr>
            </w:pPr>
            <w:r>
              <w:rPr>
                <w:rFonts w:hint="eastAsia" w:ascii="宋体" w:hAnsi="宋体" w:eastAsia="宋体" w:cs="宋体"/>
                <w:sz w:val="21"/>
                <w:szCs w:val="21"/>
                <w:lang w:val="zh-CN"/>
              </w:rPr>
              <w:t>应采取必要的措施识别安全漏洞和隐患，对发现的安全漏洞和隐患及时进行修补或评估可能的影响后进行修补。</w:t>
            </w:r>
          </w:p>
        </w:tc>
      </w:tr>
      <w:tr w14:paraId="70839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atLeast"/>
          <w:jc w:val="center"/>
        </w:trPr>
        <w:tc>
          <w:tcPr>
            <w:tcW w:w="301" w:type="pct"/>
            <w:vMerge w:val="continue"/>
            <w:tcMar>
              <w:top w:w="15" w:type="dxa"/>
              <w:left w:w="15" w:type="dxa"/>
              <w:right w:w="15" w:type="dxa"/>
            </w:tcMar>
            <w:vAlign w:val="center"/>
          </w:tcPr>
          <w:p w14:paraId="7417356F">
            <w:pPr>
              <w:spacing w:line="360" w:lineRule="auto"/>
              <w:jc w:val="center"/>
              <w:rPr>
                <w:rFonts w:hint="eastAsia" w:ascii="宋体" w:hAnsi="宋体" w:cs="宋体"/>
                <w:szCs w:val="21"/>
                <w:lang w:val="zh-CN"/>
              </w:rPr>
            </w:pPr>
          </w:p>
        </w:tc>
        <w:tc>
          <w:tcPr>
            <w:tcW w:w="953" w:type="pct"/>
            <w:vMerge w:val="restart"/>
            <w:tcMar>
              <w:top w:w="15" w:type="dxa"/>
              <w:left w:w="15" w:type="dxa"/>
              <w:right w:w="15" w:type="dxa"/>
            </w:tcMar>
            <w:vAlign w:val="center"/>
          </w:tcPr>
          <w:p w14:paraId="3969C99A">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网络和系统安全管理</w:t>
            </w:r>
          </w:p>
        </w:tc>
        <w:tc>
          <w:tcPr>
            <w:tcW w:w="3745" w:type="pct"/>
            <w:tcMar>
              <w:top w:w="15" w:type="dxa"/>
              <w:left w:w="15" w:type="dxa"/>
              <w:right w:w="15" w:type="dxa"/>
            </w:tcMar>
            <w:vAlign w:val="center"/>
          </w:tcPr>
          <w:p w14:paraId="2A67F08A">
            <w:pPr>
              <w:spacing w:line="360" w:lineRule="auto"/>
              <w:rPr>
                <w:rFonts w:hint="eastAsia" w:ascii="宋体" w:hAnsi="宋体" w:cs="宋体"/>
                <w:szCs w:val="21"/>
                <w:lang w:val="zh-CN"/>
              </w:rPr>
            </w:pPr>
            <w:r>
              <w:rPr>
                <w:rFonts w:hint="eastAsia" w:ascii="宋体" w:hAnsi="宋体" w:eastAsia="宋体" w:cs="宋体"/>
                <w:sz w:val="21"/>
                <w:szCs w:val="21"/>
                <w:lang w:val="zh-CN"/>
              </w:rPr>
              <w:t>a)应划分不同的管理员角色进行网络和系统的运维管理，明确各个角色的责任和权限；</w:t>
            </w:r>
          </w:p>
        </w:tc>
      </w:tr>
      <w:tr w14:paraId="75CBE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301" w:type="pct"/>
            <w:vMerge w:val="continue"/>
            <w:tcMar>
              <w:top w:w="15" w:type="dxa"/>
              <w:left w:w="15" w:type="dxa"/>
              <w:right w:w="15" w:type="dxa"/>
            </w:tcMar>
            <w:vAlign w:val="center"/>
          </w:tcPr>
          <w:p w14:paraId="046728F9">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049B9B86">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60AA0698">
            <w:pPr>
              <w:spacing w:line="360" w:lineRule="auto"/>
              <w:rPr>
                <w:rFonts w:hint="eastAsia" w:ascii="宋体" w:hAnsi="宋体" w:cs="宋体"/>
                <w:szCs w:val="21"/>
                <w:lang w:val="zh-CN"/>
              </w:rPr>
            </w:pPr>
            <w:r>
              <w:rPr>
                <w:rFonts w:hint="eastAsia" w:ascii="宋体" w:hAnsi="宋体" w:eastAsia="宋体" w:cs="宋体"/>
                <w:sz w:val="21"/>
                <w:szCs w:val="21"/>
                <w:lang w:val="zh-CN"/>
              </w:rPr>
              <w:t>b)应指定专门的部门或人员进行账户管理，对申请账户、建立账户、删除账户等进行控制；</w:t>
            </w:r>
          </w:p>
        </w:tc>
      </w:tr>
      <w:tr w14:paraId="28BD0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5" w:hRule="atLeast"/>
          <w:jc w:val="center"/>
        </w:trPr>
        <w:tc>
          <w:tcPr>
            <w:tcW w:w="301" w:type="pct"/>
            <w:vMerge w:val="continue"/>
            <w:tcMar>
              <w:top w:w="15" w:type="dxa"/>
              <w:left w:w="15" w:type="dxa"/>
              <w:right w:w="15" w:type="dxa"/>
            </w:tcMar>
            <w:vAlign w:val="center"/>
          </w:tcPr>
          <w:p w14:paraId="2A87D972">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38ADB292">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7AA861CE">
            <w:pPr>
              <w:spacing w:line="360" w:lineRule="auto"/>
              <w:rPr>
                <w:rFonts w:hint="eastAsia" w:ascii="宋体" w:hAnsi="宋体" w:cs="宋体"/>
                <w:szCs w:val="21"/>
                <w:lang w:val="zh-CN"/>
              </w:rPr>
            </w:pPr>
            <w:r>
              <w:rPr>
                <w:rFonts w:hint="eastAsia" w:ascii="宋体" w:hAnsi="宋体" w:eastAsia="宋体" w:cs="宋体"/>
                <w:sz w:val="21"/>
                <w:szCs w:val="21"/>
                <w:lang w:val="zh-CN"/>
              </w:rPr>
              <w:t>c)应建立网络和系统安全管理制度，对安全策略、账户管理、配置管理、日志管理、日常操作、升级与打补丁、口令更新周期等方面作出规定；</w:t>
            </w:r>
          </w:p>
        </w:tc>
      </w:tr>
      <w:tr w14:paraId="3230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301" w:type="pct"/>
            <w:vMerge w:val="continue"/>
            <w:tcMar>
              <w:top w:w="15" w:type="dxa"/>
              <w:left w:w="15" w:type="dxa"/>
              <w:right w:w="15" w:type="dxa"/>
            </w:tcMar>
            <w:vAlign w:val="center"/>
          </w:tcPr>
          <w:p w14:paraId="761DE917">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7484038D">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07891D28">
            <w:pPr>
              <w:spacing w:line="360" w:lineRule="auto"/>
              <w:rPr>
                <w:rFonts w:hint="eastAsia" w:ascii="宋体" w:hAnsi="宋体" w:cs="宋体"/>
                <w:szCs w:val="21"/>
                <w:lang w:val="zh-CN"/>
              </w:rPr>
            </w:pPr>
            <w:r>
              <w:rPr>
                <w:rFonts w:hint="eastAsia" w:ascii="宋体" w:hAnsi="宋体" w:eastAsia="宋体" w:cs="宋体"/>
                <w:sz w:val="21"/>
                <w:szCs w:val="21"/>
                <w:lang w:val="zh-CN"/>
              </w:rPr>
              <w:t>d)应制定重要设备的配置和操作手册，依据手册对设备进行安全配置和优化配置等；</w:t>
            </w:r>
          </w:p>
        </w:tc>
      </w:tr>
      <w:tr w14:paraId="3927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jc w:val="center"/>
        </w:trPr>
        <w:tc>
          <w:tcPr>
            <w:tcW w:w="301" w:type="pct"/>
            <w:vMerge w:val="continue"/>
            <w:tcMar>
              <w:top w:w="15" w:type="dxa"/>
              <w:left w:w="15" w:type="dxa"/>
              <w:right w:w="15" w:type="dxa"/>
            </w:tcMar>
            <w:vAlign w:val="center"/>
          </w:tcPr>
          <w:p w14:paraId="7D71A31F">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0B8BDDD1">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0FC950A7">
            <w:pPr>
              <w:spacing w:line="360" w:lineRule="auto"/>
              <w:rPr>
                <w:rFonts w:hint="eastAsia" w:ascii="宋体" w:hAnsi="宋体" w:cs="宋体"/>
                <w:szCs w:val="21"/>
                <w:lang w:val="zh-CN"/>
              </w:rPr>
            </w:pPr>
            <w:r>
              <w:rPr>
                <w:rFonts w:hint="eastAsia" w:ascii="宋体" w:hAnsi="宋体" w:eastAsia="宋体" w:cs="宋体"/>
                <w:sz w:val="21"/>
                <w:szCs w:val="21"/>
                <w:lang w:val="zh-CN"/>
              </w:rPr>
              <w:t>e)应详细记录运维操作日志，包括日常巡检工作、运行维护记录、参数的设置和修改等内容。</w:t>
            </w:r>
          </w:p>
        </w:tc>
      </w:tr>
      <w:tr w14:paraId="3D4B0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5" w:hRule="atLeast"/>
          <w:jc w:val="center"/>
        </w:trPr>
        <w:tc>
          <w:tcPr>
            <w:tcW w:w="301" w:type="pct"/>
            <w:vMerge w:val="continue"/>
            <w:tcMar>
              <w:top w:w="15" w:type="dxa"/>
              <w:left w:w="15" w:type="dxa"/>
              <w:right w:w="15" w:type="dxa"/>
            </w:tcMar>
            <w:vAlign w:val="center"/>
          </w:tcPr>
          <w:p w14:paraId="47DE8F77">
            <w:pPr>
              <w:spacing w:line="360" w:lineRule="auto"/>
              <w:jc w:val="center"/>
              <w:rPr>
                <w:rFonts w:hint="eastAsia" w:ascii="宋体" w:hAnsi="宋体" w:cs="宋体"/>
                <w:szCs w:val="21"/>
                <w:lang w:val="zh-CN"/>
              </w:rPr>
            </w:pPr>
          </w:p>
        </w:tc>
        <w:tc>
          <w:tcPr>
            <w:tcW w:w="953" w:type="pct"/>
            <w:vMerge w:val="restart"/>
            <w:tcMar>
              <w:top w:w="15" w:type="dxa"/>
              <w:left w:w="15" w:type="dxa"/>
              <w:right w:w="15" w:type="dxa"/>
            </w:tcMar>
            <w:vAlign w:val="center"/>
          </w:tcPr>
          <w:p w14:paraId="4032A1B2">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恶意代码防范管理</w:t>
            </w:r>
          </w:p>
        </w:tc>
        <w:tc>
          <w:tcPr>
            <w:tcW w:w="3745" w:type="pct"/>
            <w:tcMar>
              <w:top w:w="15" w:type="dxa"/>
              <w:left w:w="15" w:type="dxa"/>
              <w:right w:w="15" w:type="dxa"/>
            </w:tcMar>
            <w:vAlign w:val="center"/>
          </w:tcPr>
          <w:p w14:paraId="7171FEDB">
            <w:pPr>
              <w:spacing w:line="360" w:lineRule="auto"/>
              <w:rPr>
                <w:rFonts w:hint="eastAsia" w:ascii="宋体" w:hAnsi="宋体" w:cs="宋体"/>
                <w:szCs w:val="21"/>
                <w:lang w:val="zh-CN"/>
              </w:rPr>
            </w:pPr>
            <w:r>
              <w:rPr>
                <w:rFonts w:hint="eastAsia" w:ascii="宋体" w:hAnsi="宋体" w:eastAsia="宋体" w:cs="宋体"/>
                <w:sz w:val="21"/>
                <w:szCs w:val="21"/>
                <w:lang w:val="zh-CN"/>
              </w:rPr>
              <w:t>a)应提高所有用户的防恶意代码意识，对外来计算机或存储设备接入系统前进行恶意代码检查等；</w:t>
            </w:r>
          </w:p>
        </w:tc>
      </w:tr>
      <w:tr w14:paraId="3865D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jc w:val="center"/>
        </w:trPr>
        <w:tc>
          <w:tcPr>
            <w:tcW w:w="301" w:type="pct"/>
            <w:vMerge w:val="continue"/>
            <w:tcMar>
              <w:top w:w="15" w:type="dxa"/>
              <w:left w:w="15" w:type="dxa"/>
              <w:right w:w="15" w:type="dxa"/>
            </w:tcMar>
            <w:vAlign w:val="center"/>
          </w:tcPr>
          <w:p w14:paraId="0220E4F1">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42FBA88C">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4B7DE923">
            <w:pPr>
              <w:spacing w:line="360" w:lineRule="auto"/>
              <w:rPr>
                <w:rFonts w:hint="eastAsia" w:ascii="宋体" w:hAnsi="宋体" w:cs="宋体"/>
                <w:szCs w:val="21"/>
                <w:lang w:val="zh-CN"/>
              </w:rPr>
            </w:pPr>
            <w:r>
              <w:rPr>
                <w:rFonts w:hint="eastAsia" w:ascii="宋体" w:hAnsi="宋体" w:eastAsia="宋体" w:cs="宋体"/>
                <w:sz w:val="21"/>
                <w:szCs w:val="21"/>
                <w:lang w:val="zh-CN"/>
              </w:rPr>
              <w:t>b)应对恶意代码防范要求做出规定，包括防恶意代码软件的授权使用、恶意代码库升级、恶意代码的定期查杀等；</w:t>
            </w:r>
          </w:p>
        </w:tc>
      </w:tr>
      <w:tr w14:paraId="08D06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atLeast"/>
          <w:jc w:val="center"/>
        </w:trPr>
        <w:tc>
          <w:tcPr>
            <w:tcW w:w="301" w:type="pct"/>
            <w:vMerge w:val="restart"/>
            <w:tcMar>
              <w:top w:w="15" w:type="dxa"/>
              <w:left w:w="15" w:type="dxa"/>
              <w:right w:w="15" w:type="dxa"/>
            </w:tcMar>
            <w:vAlign w:val="center"/>
          </w:tcPr>
          <w:p w14:paraId="353F1E91">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安全运维管理</w:t>
            </w:r>
          </w:p>
        </w:tc>
        <w:tc>
          <w:tcPr>
            <w:tcW w:w="953" w:type="pct"/>
            <w:tcMar>
              <w:top w:w="15" w:type="dxa"/>
              <w:left w:w="15" w:type="dxa"/>
              <w:right w:w="15" w:type="dxa"/>
            </w:tcMar>
            <w:vAlign w:val="center"/>
          </w:tcPr>
          <w:p w14:paraId="51846130">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恶意代码防范管理</w:t>
            </w:r>
          </w:p>
        </w:tc>
        <w:tc>
          <w:tcPr>
            <w:tcW w:w="3745" w:type="pct"/>
            <w:tcMar>
              <w:top w:w="15" w:type="dxa"/>
              <w:left w:w="15" w:type="dxa"/>
              <w:right w:w="15" w:type="dxa"/>
            </w:tcMar>
            <w:vAlign w:val="center"/>
          </w:tcPr>
          <w:p w14:paraId="5E915756">
            <w:pPr>
              <w:spacing w:line="360" w:lineRule="auto"/>
              <w:rPr>
                <w:rFonts w:hint="eastAsia" w:ascii="宋体" w:hAnsi="宋体" w:cs="宋体"/>
                <w:szCs w:val="21"/>
                <w:lang w:val="zh-CN"/>
              </w:rPr>
            </w:pPr>
            <w:r>
              <w:rPr>
                <w:rFonts w:hint="eastAsia" w:ascii="宋体" w:hAnsi="宋体" w:eastAsia="宋体" w:cs="宋体"/>
                <w:sz w:val="21"/>
                <w:szCs w:val="21"/>
                <w:lang w:val="zh-CN"/>
              </w:rPr>
              <w:t>c)应定期检查恶意代码库的升级情况，对截获的恶意代码进行及时分析处理。</w:t>
            </w:r>
          </w:p>
        </w:tc>
      </w:tr>
      <w:tr w14:paraId="1A7C8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jc w:val="center"/>
        </w:trPr>
        <w:tc>
          <w:tcPr>
            <w:tcW w:w="301" w:type="pct"/>
            <w:vMerge w:val="continue"/>
            <w:tcMar>
              <w:top w:w="15" w:type="dxa"/>
              <w:left w:w="15" w:type="dxa"/>
              <w:right w:w="15" w:type="dxa"/>
            </w:tcMar>
            <w:vAlign w:val="center"/>
          </w:tcPr>
          <w:p w14:paraId="3D84DBA5">
            <w:pPr>
              <w:spacing w:line="360" w:lineRule="auto"/>
              <w:jc w:val="center"/>
              <w:rPr>
                <w:rFonts w:hint="eastAsia" w:ascii="宋体" w:hAnsi="宋体" w:cs="宋体"/>
                <w:szCs w:val="21"/>
                <w:lang w:val="zh-CN"/>
              </w:rPr>
            </w:pPr>
          </w:p>
        </w:tc>
        <w:tc>
          <w:tcPr>
            <w:tcW w:w="953" w:type="pct"/>
            <w:tcMar>
              <w:top w:w="15" w:type="dxa"/>
              <w:left w:w="15" w:type="dxa"/>
              <w:right w:w="15" w:type="dxa"/>
            </w:tcMar>
            <w:vAlign w:val="center"/>
          </w:tcPr>
          <w:p w14:paraId="2CEB15BF">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配置管理</w:t>
            </w:r>
          </w:p>
        </w:tc>
        <w:tc>
          <w:tcPr>
            <w:tcW w:w="3745" w:type="pct"/>
            <w:tcMar>
              <w:top w:w="15" w:type="dxa"/>
              <w:left w:w="15" w:type="dxa"/>
              <w:right w:w="15" w:type="dxa"/>
            </w:tcMar>
            <w:vAlign w:val="center"/>
          </w:tcPr>
          <w:p w14:paraId="51ADFAD4">
            <w:pPr>
              <w:spacing w:line="360" w:lineRule="auto"/>
              <w:rPr>
                <w:rFonts w:hint="eastAsia" w:ascii="宋体" w:hAnsi="宋体" w:cs="宋体"/>
                <w:szCs w:val="21"/>
                <w:lang w:val="zh-CN"/>
              </w:rPr>
            </w:pPr>
            <w:r>
              <w:rPr>
                <w:rFonts w:hint="eastAsia" w:ascii="宋体" w:hAnsi="宋体" w:eastAsia="宋体" w:cs="宋体"/>
                <w:sz w:val="21"/>
                <w:szCs w:val="21"/>
                <w:lang w:val="zh-CN"/>
              </w:rPr>
              <w:t>应记录和保存基本配置信息，包括网络拓扑结构、各个设备安装的软件组件、软件组件的版本和补丁信息、各个设备或软件组件的配置参数等。</w:t>
            </w:r>
          </w:p>
        </w:tc>
      </w:tr>
      <w:tr w14:paraId="64D95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301" w:type="pct"/>
            <w:vMerge w:val="continue"/>
            <w:tcMar>
              <w:top w:w="15" w:type="dxa"/>
              <w:left w:w="15" w:type="dxa"/>
              <w:right w:w="15" w:type="dxa"/>
            </w:tcMar>
            <w:vAlign w:val="center"/>
          </w:tcPr>
          <w:p w14:paraId="36EAA63A">
            <w:pPr>
              <w:spacing w:line="360" w:lineRule="auto"/>
              <w:jc w:val="center"/>
              <w:rPr>
                <w:rFonts w:hint="eastAsia" w:ascii="宋体" w:hAnsi="宋体" w:cs="宋体"/>
                <w:szCs w:val="21"/>
                <w:lang w:val="zh-CN"/>
              </w:rPr>
            </w:pPr>
          </w:p>
        </w:tc>
        <w:tc>
          <w:tcPr>
            <w:tcW w:w="953" w:type="pct"/>
            <w:vMerge w:val="restart"/>
            <w:tcMar>
              <w:top w:w="15" w:type="dxa"/>
              <w:left w:w="15" w:type="dxa"/>
              <w:right w:w="15" w:type="dxa"/>
            </w:tcMar>
            <w:vAlign w:val="center"/>
          </w:tcPr>
          <w:p w14:paraId="62F7C9C6">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密码管理</w:t>
            </w:r>
          </w:p>
        </w:tc>
        <w:tc>
          <w:tcPr>
            <w:tcW w:w="3745" w:type="pct"/>
            <w:tcMar>
              <w:top w:w="15" w:type="dxa"/>
              <w:left w:w="15" w:type="dxa"/>
              <w:right w:w="15" w:type="dxa"/>
            </w:tcMar>
            <w:vAlign w:val="center"/>
          </w:tcPr>
          <w:p w14:paraId="57048E70">
            <w:pPr>
              <w:spacing w:line="360" w:lineRule="auto"/>
              <w:rPr>
                <w:rFonts w:hint="eastAsia" w:ascii="宋体" w:hAnsi="宋体" w:cs="宋体"/>
                <w:szCs w:val="21"/>
                <w:lang w:val="zh-CN"/>
              </w:rPr>
            </w:pPr>
            <w:r>
              <w:rPr>
                <w:rFonts w:hint="eastAsia" w:ascii="宋体" w:hAnsi="宋体" w:eastAsia="宋体" w:cs="宋体"/>
                <w:sz w:val="21"/>
                <w:szCs w:val="21"/>
                <w:lang w:val="zh-CN"/>
              </w:rPr>
              <w:t>a)应遵循密码相关国家标准和行业标准；</w:t>
            </w:r>
          </w:p>
        </w:tc>
      </w:tr>
      <w:tr w14:paraId="74F1F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301" w:type="pct"/>
            <w:vMerge w:val="continue"/>
            <w:tcMar>
              <w:top w:w="15" w:type="dxa"/>
              <w:left w:w="15" w:type="dxa"/>
              <w:right w:w="15" w:type="dxa"/>
            </w:tcMar>
            <w:vAlign w:val="center"/>
          </w:tcPr>
          <w:p w14:paraId="004E3732">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53A83362">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76C8159C">
            <w:pPr>
              <w:spacing w:line="360" w:lineRule="auto"/>
              <w:rPr>
                <w:rFonts w:hint="eastAsia" w:ascii="宋体" w:hAnsi="宋体" w:cs="宋体"/>
                <w:szCs w:val="21"/>
                <w:lang w:val="zh-CN"/>
              </w:rPr>
            </w:pPr>
            <w:r>
              <w:rPr>
                <w:rFonts w:hint="eastAsia" w:ascii="宋体" w:hAnsi="宋体" w:eastAsia="宋体" w:cs="宋体"/>
                <w:sz w:val="21"/>
                <w:szCs w:val="21"/>
                <w:lang w:val="zh-CN"/>
              </w:rPr>
              <w:t>b)应使用国家密码管理主管部门认证核准的密码技术和产品。</w:t>
            </w:r>
          </w:p>
        </w:tc>
      </w:tr>
      <w:tr w14:paraId="0C387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atLeast"/>
          <w:jc w:val="center"/>
        </w:trPr>
        <w:tc>
          <w:tcPr>
            <w:tcW w:w="301" w:type="pct"/>
            <w:vMerge w:val="continue"/>
            <w:tcMar>
              <w:top w:w="15" w:type="dxa"/>
              <w:left w:w="15" w:type="dxa"/>
              <w:right w:w="15" w:type="dxa"/>
            </w:tcMar>
            <w:vAlign w:val="center"/>
          </w:tcPr>
          <w:p w14:paraId="017E544D">
            <w:pPr>
              <w:spacing w:line="360" w:lineRule="auto"/>
              <w:jc w:val="center"/>
              <w:rPr>
                <w:rFonts w:hint="eastAsia" w:ascii="宋体" w:hAnsi="宋体" w:cs="宋体"/>
                <w:szCs w:val="21"/>
                <w:lang w:val="zh-CN"/>
              </w:rPr>
            </w:pPr>
          </w:p>
        </w:tc>
        <w:tc>
          <w:tcPr>
            <w:tcW w:w="953" w:type="pct"/>
            <w:tcMar>
              <w:top w:w="15" w:type="dxa"/>
              <w:left w:w="15" w:type="dxa"/>
              <w:right w:w="15" w:type="dxa"/>
            </w:tcMar>
            <w:vAlign w:val="center"/>
          </w:tcPr>
          <w:p w14:paraId="6674BEC0">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变更管理</w:t>
            </w:r>
          </w:p>
        </w:tc>
        <w:tc>
          <w:tcPr>
            <w:tcW w:w="3745" w:type="pct"/>
            <w:tcMar>
              <w:top w:w="15" w:type="dxa"/>
              <w:left w:w="15" w:type="dxa"/>
              <w:right w:w="15" w:type="dxa"/>
            </w:tcMar>
            <w:vAlign w:val="center"/>
          </w:tcPr>
          <w:p w14:paraId="27C6AF1C">
            <w:pPr>
              <w:spacing w:line="360" w:lineRule="auto"/>
              <w:rPr>
                <w:rFonts w:hint="eastAsia" w:ascii="宋体" w:hAnsi="宋体" w:cs="宋体"/>
                <w:szCs w:val="21"/>
                <w:lang w:val="zh-CN"/>
              </w:rPr>
            </w:pPr>
            <w:r>
              <w:rPr>
                <w:rFonts w:hint="eastAsia" w:ascii="宋体" w:hAnsi="宋体" w:eastAsia="宋体" w:cs="宋体"/>
                <w:sz w:val="21"/>
                <w:szCs w:val="21"/>
                <w:lang w:val="zh-CN"/>
              </w:rPr>
              <w:t>应明确变更需求，变更前根据变更需求制定变更方案，变更方案经过评审，审批后方可实施。</w:t>
            </w:r>
          </w:p>
        </w:tc>
      </w:tr>
      <w:tr w14:paraId="565C0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301" w:type="pct"/>
            <w:vMerge w:val="continue"/>
            <w:tcMar>
              <w:top w:w="15" w:type="dxa"/>
              <w:left w:w="15" w:type="dxa"/>
              <w:right w:w="15" w:type="dxa"/>
            </w:tcMar>
            <w:vAlign w:val="center"/>
          </w:tcPr>
          <w:p w14:paraId="6E5C5FC2">
            <w:pPr>
              <w:spacing w:line="360" w:lineRule="auto"/>
              <w:jc w:val="center"/>
              <w:rPr>
                <w:rFonts w:hint="eastAsia" w:ascii="宋体" w:hAnsi="宋体" w:cs="宋体"/>
                <w:szCs w:val="21"/>
                <w:lang w:val="zh-CN"/>
              </w:rPr>
            </w:pPr>
          </w:p>
        </w:tc>
        <w:tc>
          <w:tcPr>
            <w:tcW w:w="953" w:type="pct"/>
            <w:vMerge w:val="restart"/>
            <w:tcMar>
              <w:top w:w="15" w:type="dxa"/>
              <w:left w:w="15" w:type="dxa"/>
              <w:right w:w="15" w:type="dxa"/>
            </w:tcMar>
            <w:vAlign w:val="center"/>
          </w:tcPr>
          <w:p w14:paraId="68D28292">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备份与恢复管理</w:t>
            </w:r>
          </w:p>
        </w:tc>
        <w:tc>
          <w:tcPr>
            <w:tcW w:w="3745" w:type="pct"/>
            <w:tcMar>
              <w:top w:w="15" w:type="dxa"/>
              <w:left w:w="15" w:type="dxa"/>
              <w:right w:w="15" w:type="dxa"/>
            </w:tcMar>
            <w:vAlign w:val="center"/>
          </w:tcPr>
          <w:p w14:paraId="6EE806DC">
            <w:pPr>
              <w:spacing w:line="360" w:lineRule="auto"/>
              <w:rPr>
                <w:rFonts w:hint="eastAsia" w:ascii="宋体" w:hAnsi="宋体" w:cs="宋体"/>
                <w:szCs w:val="21"/>
                <w:lang w:val="zh-CN"/>
              </w:rPr>
            </w:pPr>
            <w:r>
              <w:rPr>
                <w:rFonts w:hint="eastAsia" w:ascii="宋体" w:hAnsi="宋体" w:eastAsia="宋体" w:cs="宋体"/>
                <w:sz w:val="21"/>
                <w:szCs w:val="21"/>
                <w:lang w:val="zh-CN"/>
              </w:rPr>
              <w:t>a)应识别需要定期备份的重要业务信息、系统数据及软件系统等；</w:t>
            </w:r>
          </w:p>
        </w:tc>
      </w:tr>
      <w:tr w14:paraId="5A543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301" w:type="pct"/>
            <w:vMerge w:val="continue"/>
            <w:tcMar>
              <w:top w:w="15" w:type="dxa"/>
              <w:left w:w="15" w:type="dxa"/>
              <w:right w:w="15" w:type="dxa"/>
            </w:tcMar>
            <w:vAlign w:val="center"/>
          </w:tcPr>
          <w:p w14:paraId="24A03472">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3108BC67">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37307DBB">
            <w:pPr>
              <w:spacing w:line="360" w:lineRule="auto"/>
              <w:rPr>
                <w:rFonts w:hint="eastAsia" w:ascii="宋体" w:hAnsi="宋体" w:cs="宋体"/>
                <w:szCs w:val="21"/>
                <w:lang w:val="zh-CN"/>
              </w:rPr>
            </w:pPr>
            <w:r>
              <w:rPr>
                <w:rFonts w:hint="eastAsia" w:ascii="宋体" w:hAnsi="宋体" w:eastAsia="宋体" w:cs="宋体"/>
                <w:sz w:val="21"/>
                <w:szCs w:val="21"/>
                <w:lang w:val="zh-CN"/>
              </w:rPr>
              <w:t>b)应规定备份信息的备份方式、备份频度、存储介质、保存期等；</w:t>
            </w:r>
          </w:p>
        </w:tc>
      </w:tr>
      <w:tr w14:paraId="0A664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jc w:val="center"/>
        </w:trPr>
        <w:tc>
          <w:tcPr>
            <w:tcW w:w="301" w:type="pct"/>
            <w:vMerge w:val="continue"/>
            <w:tcMar>
              <w:top w:w="15" w:type="dxa"/>
              <w:left w:w="15" w:type="dxa"/>
              <w:right w:w="15" w:type="dxa"/>
            </w:tcMar>
            <w:vAlign w:val="center"/>
          </w:tcPr>
          <w:p w14:paraId="6D0B9606">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70875638">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13038DDE">
            <w:pPr>
              <w:spacing w:line="360" w:lineRule="auto"/>
              <w:rPr>
                <w:rFonts w:hint="eastAsia" w:ascii="宋体" w:hAnsi="宋体" w:cs="宋体"/>
                <w:szCs w:val="21"/>
                <w:lang w:val="zh-CN"/>
              </w:rPr>
            </w:pPr>
            <w:r>
              <w:rPr>
                <w:rFonts w:hint="eastAsia" w:ascii="宋体" w:hAnsi="宋体" w:eastAsia="宋体" w:cs="宋体"/>
                <w:sz w:val="21"/>
                <w:szCs w:val="21"/>
                <w:lang w:val="zh-CN"/>
              </w:rPr>
              <w:t>c)应根据数据的重要性和数据对系统运行的影响，制定数据的备份策略和恢复策略、备份程序和恢复程序等。</w:t>
            </w:r>
          </w:p>
        </w:tc>
      </w:tr>
      <w:tr w14:paraId="22A0F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301" w:type="pct"/>
            <w:vMerge w:val="continue"/>
            <w:tcMar>
              <w:top w:w="15" w:type="dxa"/>
              <w:left w:w="15" w:type="dxa"/>
              <w:right w:w="15" w:type="dxa"/>
            </w:tcMar>
            <w:vAlign w:val="center"/>
          </w:tcPr>
          <w:p w14:paraId="113D3ED9">
            <w:pPr>
              <w:spacing w:line="360" w:lineRule="auto"/>
              <w:jc w:val="center"/>
              <w:rPr>
                <w:rFonts w:hint="eastAsia" w:ascii="宋体" w:hAnsi="宋体" w:cs="宋体"/>
                <w:szCs w:val="21"/>
                <w:lang w:val="zh-CN"/>
              </w:rPr>
            </w:pPr>
          </w:p>
        </w:tc>
        <w:tc>
          <w:tcPr>
            <w:tcW w:w="953" w:type="pct"/>
            <w:vMerge w:val="restart"/>
            <w:tcMar>
              <w:top w:w="15" w:type="dxa"/>
              <w:left w:w="15" w:type="dxa"/>
              <w:right w:w="15" w:type="dxa"/>
            </w:tcMar>
            <w:vAlign w:val="center"/>
          </w:tcPr>
          <w:p w14:paraId="75A0BA42">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安全事件处置</w:t>
            </w:r>
          </w:p>
        </w:tc>
        <w:tc>
          <w:tcPr>
            <w:tcW w:w="3745" w:type="pct"/>
            <w:tcMar>
              <w:top w:w="15" w:type="dxa"/>
              <w:left w:w="15" w:type="dxa"/>
              <w:right w:w="15" w:type="dxa"/>
            </w:tcMar>
            <w:vAlign w:val="center"/>
          </w:tcPr>
          <w:p w14:paraId="3216755B">
            <w:pPr>
              <w:spacing w:line="360" w:lineRule="auto"/>
              <w:rPr>
                <w:rFonts w:hint="eastAsia" w:ascii="宋体" w:hAnsi="宋体" w:cs="宋体"/>
                <w:szCs w:val="21"/>
                <w:lang w:val="zh-CN"/>
              </w:rPr>
            </w:pPr>
            <w:r>
              <w:rPr>
                <w:rFonts w:hint="eastAsia" w:ascii="宋体" w:hAnsi="宋体" w:eastAsia="宋体" w:cs="宋体"/>
                <w:sz w:val="21"/>
                <w:szCs w:val="21"/>
                <w:lang w:val="zh-CN"/>
              </w:rPr>
              <w:t>a)应及时向安全管理部门报告所发现的安全弱点和可疑事件；</w:t>
            </w:r>
          </w:p>
        </w:tc>
      </w:tr>
      <w:tr w14:paraId="1FD04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301" w:type="pct"/>
            <w:vMerge w:val="continue"/>
            <w:tcMar>
              <w:top w:w="15" w:type="dxa"/>
              <w:left w:w="15" w:type="dxa"/>
              <w:right w:w="15" w:type="dxa"/>
            </w:tcMar>
            <w:vAlign w:val="center"/>
          </w:tcPr>
          <w:p w14:paraId="1402C032">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48940845">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720E0B31">
            <w:pPr>
              <w:spacing w:line="360" w:lineRule="auto"/>
              <w:rPr>
                <w:rFonts w:hint="eastAsia" w:ascii="宋体" w:hAnsi="宋体" w:cs="宋体"/>
                <w:szCs w:val="21"/>
                <w:lang w:val="zh-CN"/>
              </w:rPr>
            </w:pPr>
            <w:r>
              <w:rPr>
                <w:rFonts w:hint="eastAsia" w:ascii="宋体" w:hAnsi="宋体" w:eastAsia="宋体" w:cs="宋体"/>
                <w:sz w:val="21"/>
                <w:szCs w:val="21"/>
                <w:lang w:val="zh-CN"/>
              </w:rPr>
              <w:t>b)应制定全事件报告和处置管理制度，明确不同安全事件的报告、处置和响应流程，规定安全事件的现场处理、事件报告和后期恢复的管理职责等；</w:t>
            </w:r>
          </w:p>
        </w:tc>
      </w:tr>
      <w:tr w14:paraId="6695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7" w:hRule="atLeast"/>
          <w:jc w:val="center"/>
        </w:trPr>
        <w:tc>
          <w:tcPr>
            <w:tcW w:w="301" w:type="pct"/>
            <w:vMerge w:val="continue"/>
            <w:tcMar>
              <w:top w:w="15" w:type="dxa"/>
              <w:left w:w="15" w:type="dxa"/>
              <w:right w:w="15" w:type="dxa"/>
            </w:tcMar>
            <w:vAlign w:val="center"/>
          </w:tcPr>
          <w:p w14:paraId="140BB11E">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1F9682E6">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6C287177">
            <w:pPr>
              <w:spacing w:line="360" w:lineRule="auto"/>
              <w:rPr>
                <w:rFonts w:hint="eastAsia" w:ascii="宋体" w:hAnsi="宋体" w:cs="宋体"/>
                <w:szCs w:val="21"/>
                <w:lang w:val="zh-CN"/>
              </w:rPr>
            </w:pPr>
            <w:r>
              <w:rPr>
                <w:rFonts w:hint="eastAsia" w:ascii="宋体" w:hAnsi="宋体" w:eastAsia="宋体" w:cs="宋体"/>
                <w:sz w:val="21"/>
                <w:szCs w:val="21"/>
                <w:lang w:val="zh-CN"/>
              </w:rPr>
              <w:t>c) 应在事件报告和响应处理过程中，分析和鉴定事件产生的原因，收集证据，记录处理过程，总结经验教训。</w:t>
            </w:r>
          </w:p>
        </w:tc>
      </w:tr>
      <w:tr w14:paraId="4EB2B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301" w:type="pct"/>
            <w:vMerge w:val="continue"/>
            <w:tcMar>
              <w:top w:w="15" w:type="dxa"/>
              <w:left w:w="15" w:type="dxa"/>
              <w:right w:w="15" w:type="dxa"/>
            </w:tcMar>
            <w:vAlign w:val="center"/>
          </w:tcPr>
          <w:p w14:paraId="1EC37202">
            <w:pPr>
              <w:spacing w:line="360" w:lineRule="auto"/>
              <w:jc w:val="center"/>
              <w:rPr>
                <w:rFonts w:hint="eastAsia" w:ascii="宋体" w:hAnsi="宋体" w:cs="宋体"/>
                <w:szCs w:val="21"/>
                <w:lang w:val="zh-CN"/>
              </w:rPr>
            </w:pPr>
          </w:p>
        </w:tc>
        <w:tc>
          <w:tcPr>
            <w:tcW w:w="953" w:type="pct"/>
            <w:vMerge w:val="restart"/>
            <w:tcMar>
              <w:top w:w="15" w:type="dxa"/>
              <w:left w:w="15" w:type="dxa"/>
              <w:right w:w="15" w:type="dxa"/>
            </w:tcMar>
            <w:vAlign w:val="center"/>
          </w:tcPr>
          <w:p w14:paraId="4AF9766A">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应急预案管理</w:t>
            </w:r>
          </w:p>
        </w:tc>
        <w:tc>
          <w:tcPr>
            <w:tcW w:w="3745" w:type="pct"/>
            <w:tcMar>
              <w:top w:w="15" w:type="dxa"/>
              <w:left w:w="15" w:type="dxa"/>
              <w:right w:w="15" w:type="dxa"/>
            </w:tcMar>
            <w:vAlign w:val="center"/>
          </w:tcPr>
          <w:p w14:paraId="5F40A97B">
            <w:pPr>
              <w:spacing w:line="360" w:lineRule="auto"/>
              <w:rPr>
                <w:rFonts w:hint="eastAsia" w:ascii="宋体" w:hAnsi="宋体" w:cs="宋体"/>
                <w:szCs w:val="21"/>
                <w:lang w:val="zh-CN"/>
              </w:rPr>
            </w:pPr>
            <w:r>
              <w:rPr>
                <w:rFonts w:hint="eastAsia" w:ascii="宋体" w:hAnsi="宋体" w:eastAsia="宋体" w:cs="宋体"/>
                <w:sz w:val="21"/>
                <w:szCs w:val="21"/>
                <w:lang w:val="zh-CN"/>
              </w:rPr>
              <w:t>a)应制定重要事件的应急预案，包括应急处理流程、系统恢复流程等内容；</w:t>
            </w:r>
          </w:p>
        </w:tc>
      </w:tr>
      <w:tr w14:paraId="1FB30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301" w:type="pct"/>
            <w:vMerge w:val="continue"/>
            <w:tcMar>
              <w:top w:w="15" w:type="dxa"/>
              <w:left w:w="15" w:type="dxa"/>
              <w:right w:w="15" w:type="dxa"/>
            </w:tcMar>
            <w:vAlign w:val="center"/>
          </w:tcPr>
          <w:p w14:paraId="3A77FFAB">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2898104D">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6CB610E5">
            <w:pPr>
              <w:spacing w:line="360" w:lineRule="auto"/>
              <w:rPr>
                <w:rFonts w:hint="eastAsia" w:ascii="宋体" w:hAnsi="宋体" w:cs="宋体"/>
                <w:szCs w:val="21"/>
                <w:lang w:val="zh-CN"/>
              </w:rPr>
            </w:pPr>
            <w:r>
              <w:rPr>
                <w:rFonts w:hint="eastAsia" w:ascii="宋体" w:hAnsi="宋体" w:eastAsia="宋体" w:cs="宋体"/>
                <w:sz w:val="21"/>
                <w:szCs w:val="21"/>
                <w:lang w:val="zh-CN"/>
              </w:rPr>
              <w:t>b)应定期对系统相关的人员进行应急预案培训，并进行应急预案的演练。</w:t>
            </w:r>
          </w:p>
        </w:tc>
      </w:tr>
      <w:tr w14:paraId="0D50E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01" w:type="pct"/>
            <w:vMerge w:val="continue"/>
            <w:tcMar>
              <w:top w:w="15" w:type="dxa"/>
              <w:left w:w="15" w:type="dxa"/>
              <w:right w:w="15" w:type="dxa"/>
            </w:tcMar>
            <w:vAlign w:val="center"/>
          </w:tcPr>
          <w:p w14:paraId="31270A23">
            <w:pPr>
              <w:spacing w:line="360" w:lineRule="auto"/>
              <w:jc w:val="center"/>
              <w:rPr>
                <w:rFonts w:hint="eastAsia" w:ascii="宋体" w:hAnsi="宋体" w:cs="宋体"/>
                <w:szCs w:val="21"/>
                <w:lang w:val="zh-CN"/>
              </w:rPr>
            </w:pPr>
          </w:p>
        </w:tc>
        <w:tc>
          <w:tcPr>
            <w:tcW w:w="953" w:type="pct"/>
            <w:vMerge w:val="restart"/>
            <w:tcMar>
              <w:top w:w="15" w:type="dxa"/>
              <w:left w:w="15" w:type="dxa"/>
              <w:right w:w="15" w:type="dxa"/>
            </w:tcMar>
            <w:vAlign w:val="center"/>
          </w:tcPr>
          <w:p w14:paraId="41BCC02C">
            <w:pPr>
              <w:spacing w:line="360" w:lineRule="auto"/>
              <w:jc w:val="center"/>
              <w:rPr>
                <w:rFonts w:hint="eastAsia" w:ascii="宋体" w:hAnsi="宋体" w:cs="宋体"/>
                <w:szCs w:val="21"/>
                <w:lang w:val="zh-CN"/>
              </w:rPr>
            </w:pPr>
            <w:r>
              <w:rPr>
                <w:rFonts w:hint="eastAsia" w:ascii="宋体" w:hAnsi="宋体" w:eastAsia="宋体" w:cs="宋体"/>
                <w:sz w:val="21"/>
                <w:szCs w:val="21"/>
                <w:lang w:val="zh-CN"/>
              </w:rPr>
              <w:t>外包运维管理</w:t>
            </w:r>
          </w:p>
        </w:tc>
        <w:tc>
          <w:tcPr>
            <w:tcW w:w="3745" w:type="pct"/>
            <w:tcMar>
              <w:top w:w="15" w:type="dxa"/>
              <w:left w:w="15" w:type="dxa"/>
              <w:right w:w="15" w:type="dxa"/>
            </w:tcMar>
            <w:vAlign w:val="center"/>
          </w:tcPr>
          <w:p w14:paraId="01254190">
            <w:pPr>
              <w:spacing w:line="360" w:lineRule="auto"/>
              <w:rPr>
                <w:rFonts w:hint="eastAsia" w:ascii="宋体" w:hAnsi="宋体" w:cs="宋体"/>
                <w:szCs w:val="21"/>
                <w:lang w:val="zh-CN"/>
              </w:rPr>
            </w:pPr>
            <w:r>
              <w:rPr>
                <w:rFonts w:hint="eastAsia" w:ascii="宋体" w:hAnsi="宋体" w:eastAsia="宋体" w:cs="宋体"/>
                <w:sz w:val="21"/>
                <w:szCs w:val="21"/>
                <w:lang w:val="zh-CN"/>
              </w:rPr>
              <w:t>a)应确保外包运维服务商的选择符合国家的有关规定；</w:t>
            </w:r>
          </w:p>
        </w:tc>
      </w:tr>
      <w:tr w14:paraId="30E8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jc w:val="center"/>
        </w:trPr>
        <w:tc>
          <w:tcPr>
            <w:tcW w:w="301" w:type="pct"/>
            <w:vMerge w:val="continue"/>
            <w:tcMar>
              <w:top w:w="15" w:type="dxa"/>
              <w:left w:w="15" w:type="dxa"/>
              <w:right w:w="15" w:type="dxa"/>
            </w:tcMar>
            <w:vAlign w:val="center"/>
          </w:tcPr>
          <w:p w14:paraId="73014F94">
            <w:pPr>
              <w:spacing w:line="360" w:lineRule="auto"/>
              <w:jc w:val="center"/>
              <w:rPr>
                <w:rFonts w:hint="eastAsia" w:ascii="宋体" w:hAnsi="宋体" w:cs="宋体"/>
                <w:szCs w:val="21"/>
                <w:lang w:val="zh-CN"/>
              </w:rPr>
            </w:pPr>
          </w:p>
        </w:tc>
        <w:tc>
          <w:tcPr>
            <w:tcW w:w="953" w:type="pct"/>
            <w:vMerge w:val="continue"/>
            <w:tcMar>
              <w:top w:w="15" w:type="dxa"/>
              <w:left w:w="15" w:type="dxa"/>
              <w:right w:w="15" w:type="dxa"/>
            </w:tcMar>
            <w:vAlign w:val="center"/>
          </w:tcPr>
          <w:p w14:paraId="1456E2CF">
            <w:pPr>
              <w:spacing w:line="360" w:lineRule="auto"/>
              <w:jc w:val="center"/>
              <w:rPr>
                <w:rFonts w:hint="eastAsia" w:ascii="宋体" w:hAnsi="宋体" w:cs="宋体"/>
                <w:szCs w:val="21"/>
                <w:lang w:val="zh-CN"/>
              </w:rPr>
            </w:pPr>
          </w:p>
        </w:tc>
        <w:tc>
          <w:tcPr>
            <w:tcW w:w="3745" w:type="pct"/>
            <w:tcMar>
              <w:top w:w="15" w:type="dxa"/>
              <w:left w:w="15" w:type="dxa"/>
              <w:right w:w="15" w:type="dxa"/>
            </w:tcMar>
            <w:vAlign w:val="center"/>
          </w:tcPr>
          <w:p w14:paraId="6447C8A2">
            <w:pPr>
              <w:spacing w:line="360" w:lineRule="auto"/>
              <w:rPr>
                <w:rFonts w:hint="eastAsia" w:ascii="宋体" w:hAnsi="宋体" w:cs="宋体"/>
                <w:szCs w:val="21"/>
                <w:lang w:val="zh-CN"/>
              </w:rPr>
            </w:pPr>
            <w:r>
              <w:rPr>
                <w:rFonts w:hint="eastAsia" w:ascii="宋体" w:hAnsi="宋体" w:eastAsia="宋体" w:cs="宋体"/>
                <w:sz w:val="21"/>
                <w:szCs w:val="21"/>
                <w:lang w:val="zh-CN"/>
              </w:rPr>
              <w:t>b)应与选定的外包运维服务商签订相关的协议，明确约定外包运维的范围、工作内容。</w:t>
            </w:r>
          </w:p>
        </w:tc>
      </w:tr>
    </w:tbl>
    <w:p w14:paraId="6FFA425B">
      <w:pPr>
        <w:keepNext w:val="0"/>
        <w:keepLines w:val="0"/>
        <w:pageBreakBefore w:val="0"/>
        <w:kinsoku/>
        <w:wordWrap/>
        <w:overflowPunct/>
        <w:topLinePunct w:val="0"/>
        <w:bidi w:val="0"/>
        <w:adjustRightInd w:val="0"/>
        <w:snapToGrid w:val="0"/>
        <w:spacing w:before="0"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1.3.4、第二阶段：渗透</w:t>
      </w:r>
      <w:r>
        <w:rPr>
          <w:rFonts w:hint="eastAsia" w:ascii="宋体" w:hAnsi="宋体" w:eastAsia="宋体" w:cs="宋体"/>
          <w:color w:val="auto"/>
          <w:kern w:val="2"/>
          <w:sz w:val="24"/>
          <w:szCs w:val="24"/>
          <w:highlight w:val="none"/>
          <w:lang w:val="en-US" w:eastAsia="zh-Hans" w:bidi="ar-SA"/>
        </w:rPr>
        <w:t>测试</w:t>
      </w:r>
    </w:p>
    <w:p w14:paraId="6ED085CE">
      <w:pPr>
        <w:spacing w:after="0" w:line="360" w:lineRule="auto"/>
        <w:ind w:firstLine="480" w:firstLineChars="200"/>
        <w:rPr>
          <w:rFonts w:hint="eastAsia" w:ascii="宋体" w:hAnsi="宋体" w:cs="宋体"/>
          <w:sz w:val="24"/>
        </w:rPr>
      </w:pPr>
      <w:r>
        <w:rPr>
          <w:rFonts w:hint="eastAsia" w:ascii="宋体" w:hAnsi="宋体" w:eastAsia="宋体" w:cs="宋体"/>
          <w:sz w:val="24"/>
        </w:rPr>
        <w:t>渗透测试是通过模拟恶意黑客的攻击方法，来评估计算机信息系统是否安全的一种评估方法。这个过程包括对系统的任何弱点、技术缺陷或漏洞的主动分析，通常该分析是从一个攻击者可能存在的位置来进行的，并且从这个位置有条件主动利用安全漏洞。</w:t>
      </w:r>
    </w:p>
    <w:p w14:paraId="50AA2DA4">
      <w:pPr>
        <w:keepNext w:val="0"/>
        <w:keepLines w:val="0"/>
        <w:pageBreakBefore w:val="0"/>
        <w:kinsoku/>
        <w:wordWrap/>
        <w:overflowPunct/>
        <w:topLinePunct w:val="0"/>
        <w:bidi w:val="0"/>
        <w:adjustRightInd w:val="0"/>
        <w:snapToGrid w:val="0"/>
        <w:spacing w:before="0"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1.3.5、第三阶段：建设整改咨询及安全加固（不涉及硬件）</w:t>
      </w:r>
    </w:p>
    <w:p w14:paraId="2BA5C585">
      <w:pPr>
        <w:spacing w:after="0"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建设整改咨询工作以等级测评发现的安全问题为工作重点，编写《信息系统安全建设整改建议》；将信息系统的安全建设整改需求落实到可操作的安全技术和管理上，提出能够实现的技术参数或制度及其具体规范。</w:t>
      </w:r>
    </w:p>
    <w:p w14:paraId="11974A19">
      <w:pPr>
        <w:spacing w:after="0" w:line="360" w:lineRule="auto"/>
        <w:ind w:firstLine="480" w:firstLineChars="200"/>
        <w:rPr>
          <w:rFonts w:hint="eastAsia" w:ascii="宋体" w:hAnsi="宋体" w:cs="仿宋_GB2312"/>
          <w:color w:val="000000"/>
          <w:sz w:val="24"/>
        </w:rPr>
      </w:pPr>
      <w:r>
        <w:rPr>
          <w:rFonts w:ascii="宋体" w:hAnsi="宋体"/>
          <w:sz w:val="24"/>
          <w:lang w:eastAsia="zh-Hans"/>
        </w:rPr>
        <w:t>西安医学院第一附属医院</w:t>
      </w:r>
      <w:r>
        <w:rPr>
          <w:rFonts w:hint="eastAsia" w:ascii="宋体" w:hAnsi="宋体" w:cs="仿宋_GB2312"/>
          <w:color w:val="000000"/>
          <w:sz w:val="24"/>
        </w:rPr>
        <w:t>依据相关《信息系统安全建设整改建议》开展建设整改工作时，服务商将提供建设整改过程中的与建设整改相关的咨询服务</w:t>
      </w:r>
      <w:r>
        <w:rPr>
          <w:rFonts w:ascii="宋体" w:hAnsi="宋体" w:cs="仿宋_GB2312"/>
          <w:color w:val="000000"/>
          <w:sz w:val="24"/>
        </w:rPr>
        <w:t>，</w:t>
      </w:r>
      <w:r>
        <w:rPr>
          <w:rFonts w:hint="eastAsia" w:ascii="宋体" w:hAnsi="宋体" w:cs="仿宋_GB2312"/>
          <w:color w:val="000000"/>
          <w:sz w:val="24"/>
        </w:rPr>
        <w:t>协助</w:t>
      </w:r>
      <w:r>
        <w:rPr>
          <w:rFonts w:ascii="宋体" w:hAnsi="宋体"/>
          <w:sz w:val="24"/>
          <w:lang w:eastAsia="zh-Hans"/>
        </w:rPr>
        <w:t>西安医学院第一附属医院</w:t>
      </w:r>
      <w:r>
        <w:rPr>
          <w:rFonts w:hint="eastAsia" w:ascii="宋体" w:hAnsi="宋体" w:cs="仿宋_GB2312"/>
          <w:color w:val="000000"/>
          <w:sz w:val="24"/>
        </w:rPr>
        <w:t>进行漏洞修复</w:t>
      </w:r>
      <w:r>
        <w:rPr>
          <w:rFonts w:ascii="宋体" w:hAnsi="宋体" w:cs="仿宋_GB2312"/>
          <w:color w:val="000000"/>
          <w:sz w:val="24"/>
        </w:rPr>
        <w:t>、</w:t>
      </w:r>
      <w:r>
        <w:rPr>
          <w:rFonts w:hint="eastAsia" w:ascii="宋体" w:hAnsi="宋体" w:cs="仿宋_GB2312"/>
          <w:color w:val="000000"/>
          <w:sz w:val="24"/>
        </w:rPr>
        <w:t>补丁升级等非硬件层面的安全加固，</w:t>
      </w:r>
      <w:r>
        <w:rPr>
          <w:rFonts w:hint="eastAsia" w:ascii="宋体" w:hAnsi="宋体" w:cs="仿宋_GB2312"/>
          <w:color w:val="000000"/>
          <w:sz w:val="24"/>
          <w:lang w:eastAsia="zh-Hans"/>
        </w:rPr>
        <w:t>并</w:t>
      </w:r>
      <w:r>
        <w:rPr>
          <w:rFonts w:hint="eastAsia" w:ascii="宋体" w:hAnsi="宋体" w:cs="仿宋_GB2312"/>
          <w:color w:val="000000"/>
          <w:sz w:val="24"/>
        </w:rPr>
        <w:t>制定可执行的安全整改方案和计划协助</w:t>
      </w:r>
      <w:r>
        <w:rPr>
          <w:rFonts w:ascii="宋体" w:hAnsi="宋体"/>
          <w:sz w:val="24"/>
          <w:lang w:eastAsia="zh-Hans"/>
        </w:rPr>
        <w:t>西安医学院第一附属医院</w:t>
      </w:r>
      <w:r>
        <w:rPr>
          <w:rFonts w:hint="eastAsia" w:ascii="宋体" w:hAnsi="宋体" w:cs="仿宋_GB2312"/>
          <w:color w:val="000000"/>
          <w:sz w:val="24"/>
        </w:rPr>
        <w:t>分步实施安全整改工作。</w:t>
      </w:r>
    </w:p>
    <w:p w14:paraId="00886AA9">
      <w:pPr>
        <w:pStyle w:val="6"/>
        <w:keepNext w:val="0"/>
        <w:keepLines w:val="0"/>
        <w:pageBreakBefore w:val="0"/>
        <w:kinsoku/>
        <w:wordWrap/>
        <w:overflowPunct/>
        <w:topLinePunct w:val="0"/>
        <w:autoSpaceDE w:val="0"/>
        <w:autoSpaceDN w:val="0"/>
        <w:bidi w:val="0"/>
        <w:adjustRightInd/>
        <w:snapToGrid/>
        <w:spacing w:before="0" w:after="0" w:line="360" w:lineRule="auto"/>
        <w:ind w:left="0" w:leftChars="0" w:firstLine="0" w:firstLineChars="0"/>
        <w:textAlignment w:val="auto"/>
        <w:outlineLvl w:val="1"/>
        <w:rPr>
          <w:rFonts w:hint="eastAsia" w:cs="宋体"/>
          <w:color w:val="auto"/>
          <w:sz w:val="28"/>
          <w:szCs w:val="28"/>
          <w:highlight w:val="none"/>
          <w:lang w:val="en-US" w:eastAsia="zh-CN"/>
        </w:rPr>
      </w:pPr>
      <w:r>
        <w:rPr>
          <w:rFonts w:hint="eastAsia" w:cs="宋体"/>
          <w:color w:val="auto"/>
          <w:sz w:val="28"/>
          <w:szCs w:val="28"/>
          <w:highlight w:val="none"/>
          <w:lang w:val="en-US" w:eastAsia="zh-CN"/>
        </w:rPr>
        <w:t>四、售后服务要求：</w:t>
      </w:r>
    </w:p>
    <w:p w14:paraId="5311D243">
      <w:pPr>
        <w:spacing w:after="0"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为期一年的售后服务工作中，服务商</w:t>
      </w:r>
      <w:r>
        <w:rPr>
          <w:rFonts w:hint="eastAsia" w:ascii="宋体" w:hAnsi="宋体" w:cs="仿宋_GB2312"/>
          <w:color w:val="000000"/>
          <w:sz w:val="24"/>
          <w:lang w:eastAsia="zh-Hans"/>
        </w:rPr>
        <w:t>需</w:t>
      </w:r>
      <w:r>
        <w:rPr>
          <w:rFonts w:hint="eastAsia" w:ascii="宋体" w:hAnsi="宋体" w:cs="仿宋_GB2312"/>
          <w:color w:val="000000"/>
          <w:sz w:val="24"/>
        </w:rPr>
        <w:t>向</w:t>
      </w:r>
      <w:r>
        <w:rPr>
          <w:rFonts w:ascii="宋体" w:hAnsi="宋体" w:cs="仿宋_GB2312"/>
          <w:color w:val="000000"/>
          <w:sz w:val="24"/>
        </w:rPr>
        <w:t>西安医学院第一附属医院</w:t>
      </w:r>
      <w:r>
        <w:rPr>
          <w:rFonts w:hint="eastAsia" w:ascii="宋体" w:hAnsi="宋体" w:cs="仿宋_GB2312"/>
          <w:color w:val="000000"/>
          <w:sz w:val="24"/>
        </w:rPr>
        <w:t>提供包括应急响应、安全监测、配合检查、电话支持、安全咨询等服务在内的安全维保服务。具体服务内容如下：</w:t>
      </w:r>
    </w:p>
    <w:p w14:paraId="6DBC43F1">
      <w:pPr>
        <w:spacing w:after="0" w:line="360" w:lineRule="auto"/>
        <w:ind w:firstLine="482" w:firstLineChars="200"/>
        <w:rPr>
          <w:rFonts w:hint="eastAsia" w:ascii="宋体" w:hAnsi="宋体" w:eastAsia="宋体" w:cs="宋体"/>
          <w:b/>
          <w:bCs/>
          <w:color w:val="000000"/>
          <w:sz w:val="24"/>
        </w:rPr>
      </w:pPr>
      <w:r>
        <w:rPr>
          <w:rFonts w:hint="eastAsia" w:ascii="宋体" w:hAnsi="宋体" w:eastAsia="宋体" w:cs="宋体"/>
          <w:b/>
          <w:bCs/>
          <w:color w:val="000000"/>
          <w:sz w:val="24"/>
          <w:lang w:val="en-US" w:eastAsia="zh-CN"/>
        </w:rPr>
        <w:t>1、</w:t>
      </w:r>
      <w:r>
        <w:rPr>
          <w:rFonts w:hint="eastAsia" w:ascii="宋体" w:hAnsi="宋体" w:eastAsia="宋体" w:cs="宋体"/>
          <w:b/>
          <w:bCs/>
          <w:color w:val="000000"/>
          <w:sz w:val="24"/>
        </w:rPr>
        <w:t>应急响应服务</w:t>
      </w:r>
    </w:p>
    <w:p w14:paraId="6A8776C6">
      <w:pPr>
        <w:spacing w:after="0"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针对本次项目，服务商提供</w:t>
      </w:r>
      <w:r>
        <w:rPr>
          <w:rFonts w:ascii="宋体" w:hAnsi="宋体" w:cs="仿宋_GB2312"/>
          <w:color w:val="000000"/>
          <w:sz w:val="24"/>
        </w:rPr>
        <w:t>7*24</w:t>
      </w:r>
      <w:r>
        <w:rPr>
          <w:rFonts w:hint="eastAsia" w:ascii="宋体" w:hAnsi="宋体" w:cs="仿宋_GB2312"/>
          <w:color w:val="000000"/>
          <w:sz w:val="24"/>
        </w:rPr>
        <w:t>的常规应急响应及灾难恢复专家服务</w:t>
      </w:r>
      <w:r>
        <w:rPr>
          <w:rFonts w:ascii="宋体" w:hAnsi="宋体" w:cs="仿宋_GB2312"/>
          <w:color w:val="000000"/>
          <w:sz w:val="24"/>
        </w:rPr>
        <w:t>，</w:t>
      </w:r>
      <w:r>
        <w:rPr>
          <w:rFonts w:hint="eastAsia" w:ascii="宋体" w:hAnsi="宋体" w:cs="仿宋_GB2312"/>
          <w:color w:val="000000"/>
          <w:sz w:val="24"/>
        </w:rPr>
        <w:t>在接到</w:t>
      </w:r>
      <w:r>
        <w:rPr>
          <w:rFonts w:ascii="宋体" w:hAnsi="宋体" w:cs="仿宋_GB2312"/>
          <w:color w:val="000000"/>
          <w:sz w:val="24"/>
          <w:lang w:eastAsia="zh-Hans"/>
        </w:rPr>
        <w:t>西安医学院第一附属医院</w:t>
      </w:r>
      <w:r>
        <w:rPr>
          <w:rFonts w:hint="eastAsia" w:ascii="宋体" w:hAnsi="宋体" w:cs="仿宋_GB2312"/>
          <w:color w:val="000000"/>
          <w:sz w:val="24"/>
        </w:rPr>
        <w:t>故障报修电话10分钟内响应</w:t>
      </w:r>
      <w:r>
        <w:rPr>
          <w:rFonts w:ascii="宋体" w:hAnsi="宋体" w:cs="仿宋_GB2312"/>
          <w:color w:val="000000"/>
          <w:sz w:val="24"/>
        </w:rPr>
        <w:t>，</w:t>
      </w:r>
      <w:r>
        <w:rPr>
          <w:rFonts w:hint="eastAsia" w:ascii="宋体" w:hAnsi="宋体" w:cs="仿宋_GB2312"/>
          <w:color w:val="000000"/>
          <w:sz w:val="24"/>
        </w:rPr>
        <w:t>对</w:t>
      </w:r>
      <w:r>
        <w:rPr>
          <w:rFonts w:hint="eastAsia" w:ascii="宋体" w:hAnsi="宋体" w:cs="仿宋_GB2312"/>
          <w:color w:val="000000"/>
          <w:sz w:val="24"/>
          <w:lang w:eastAsia="zh-Hans"/>
        </w:rPr>
        <w:t>客户</w:t>
      </w:r>
      <w:r>
        <w:rPr>
          <w:rFonts w:hint="eastAsia" w:ascii="宋体" w:hAnsi="宋体" w:cs="仿宋_GB2312"/>
          <w:color w:val="000000"/>
          <w:sz w:val="24"/>
        </w:rPr>
        <w:t>信息网络应用系统突发的信息安全事件进行响应、处理、恢复、取证、跟踪、事后分析</w:t>
      </w:r>
      <w:r>
        <w:rPr>
          <w:rFonts w:ascii="宋体" w:hAnsi="宋体" w:cs="仿宋_GB2312"/>
          <w:color w:val="000000"/>
          <w:sz w:val="24"/>
        </w:rPr>
        <w:t>，</w:t>
      </w:r>
      <w:r>
        <w:rPr>
          <w:rFonts w:hint="eastAsia" w:ascii="宋体" w:hAnsi="宋体" w:cs="仿宋_GB2312"/>
          <w:color w:val="000000"/>
          <w:sz w:val="24"/>
          <w:lang w:eastAsia="zh-Hans"/>
        </w:rPr>
        <w:t>并形成总结报告</w:t>
      </w:r>
      <w:r>
        <w:rPr>
          <w:rFonts w:hint="eastAsia" w:ascii="宋体" w:hAnsi="宋体" w:cs="仿宋_GB2312"/>
          <w:color w:val="000000"/>
          <w:sz w:val="24"/>
        </w:rPr>
        <w:t>。</w:t>
      </w:r>
    </w:p>
    <w:p w14:paraId="69E47E71">
      <w:pPr>
        <w:spacing w:after="0" w:line="360" w:lineRule="auto"/>
        <w:ind w:firstLine="482" w:firstLineChars="200"/>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2、配合检查服务</w:t>
      </w:r>
    </w:p>
    <w:p w14:paraId="7DD3A032">
      <w:pPr>
        <w:spacing w:after="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服务商免费协助西安医学院第一附属医院响应公安机关、单位内部以及第三方机构针对信息系统安全等级保护工作的检查工作。服务内容包括协助西安医学院第一附属医院准备、完善各类资料文档，配合检查过程中的答疑及技术支持及其他现场检查的响应。</w:t>
      </w:r>
    </w:p>
    <w:p w14:paraId="3AB594A0">
      <w:pPr>
        <w:spacing w:after="0" w:line="360" w:lineRule="auto"/>
        <w:ind w:firstLine="482" w:firstLineChars="200"/>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3、电话支持服务</w:t>
      </w:r>
    </w:p>
    <w:p w14:paraId="63139EB5">
      <w:pPr>
        <w:spacing w:after="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每周7*24小时不间断的电话支持服务，解答西安医学院第一附属医院在使用过程中遇到的问题，</w:t>
      </w:r>
      <w:r>
        <w:rPr>
          <w:rFonts w:hint="eastAsia" w:ascii="宋体" w:hAnsi="宋体" w:eastAsia="宋体" w:cs="宋体"/>
          <w:color w:val="000000"/>
          <w:sz w:val="24"/>
          <w:lang w:eastAsia="zh-Hans"/>
        </w:rPr>
        <w:t>并</w:t>
      </w:r>
      <w:r>
        <w:rPr>
          <w:rFonts w:hint="eastAsia" w:ascii="宋体" w:hAnsi="宋体" w:eastAsia="宋体" w:cs="宋体"/>
          <w:color w:val="000000"/>
          <w:sz w:val="24"/>
        </w:rPr>
        <w:t>及时提出解决问题的建议和操作方法。电话响应时间不</w:t>
      </w:r>
      <w:r>
        <w:rPr>
          <w:rFonts w:hint="eastAsia" w:ascii="宋体" w:hAnsi="宋体" w:eastAsia="宋体" w:cs="宋体"/>
          <w:color w:val="000000"/>
          <w:sz w:val="24"/>
          <w:lang w:eastAsia="zh-Hans"/>
        </w:rPr>
        <w:t>超过</w:t>
      </w:r>
      <w:r>
        <w:rPr>
          <w:rFonts w:hint="eastAsia" w:ascii="宋体" w:hAnsi="宋体" w:eastAsia="宋体" w:cs="宋体"/>
          <w:color w:val="000000"/>
          <w:sz w:val="24"/>
        </w:rPr>
        <w:t>10分钟，到达现场时间不超过2小时，解决问题不超过24小时。</w:t>
      </w:r>
    </w:p>
    <w:p w14:paraId="02BC64C4">
      <w:pPr>
        <w:spacing w:after="0" w:line="360" w:lineRule="auto"/>
        <w:ind w:firstLine="482" w:firstLineChars="200"/>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4、安全咨询服务</w:t>
      </w:r>
    </w:p>
    <w:p w14:paraId="38C46622">
      <w:pPr>
        <w:spacing w:after="0" w:line="360" w:lineRule="auto"/>
        <w:ind w:firstLine="480" w:firstLineChars="200"/>
        <w:rPr>
          <w:rFonts w:hint="default" w:ascii="宋体" w:hAnsi="宋体" w:eastAsia="宋体" w:cs="宋体"/>
          <w:color w:val="000000"/>
          <w:sz w:val="24"/>
          <w:lang w:val="en-US" w:eastAsia="zh-CN"/>
        </w:rPr>
      </w:pPr>
      <w:r>
        <w:rPr>
          <w:rFonts w:hint="eastAsia" w:ascii="宋体" w:hAnsi="宋体" w:eastAsia="宋体" w:cs="宋体"/>
          <w:color w:val="000000"/>
          <w:sz w:val="24"/>
        </w:rPr>
        <w:t>服务商为西安医学院第一附属医院免费提供一年技术咨询服务，包括信息系统整改建设咨询服务以及其他相关安全咨询服务，一旦接到</w:t>
      </w:r>
      <w:r>
        <w:rPr>
          <w:rFonts w:hint="eastAsia" w:ascii="宋体" w:hAnsi="宋体" w:eastAsia="宋体" w:cs="宋体"/>
          <w:color w:val="000000"/>
          <w:sz w:val="24"/>
          <w:lang w:eastAsia="zh-Hans"/>
        </w:rPr>
        <w:t>客户</w:t>
      </w:r>
      <w:r>
        <w:rPr>
          <w:rFonts w:hint="eastAsia" w:ascii="宋体" w:hAnsi="宋体" w:eastAsia="宋体" w:cs="宋体"/>
          <w:color w:val="000000"/>
          <w:sz w:val="24"/>
        </w:rPr>
        <w:t>的服务请求，技术服务工程师将立即开始提供服务，帮助客户解决信息安全相关技术问题，全面配合西安医学院第一附属医院做好业务系统全保障工作。</w:t>
      </w:r>
    </w:p>
    <w:p w14:paraId="57F8D107">
      <w:pPr>
        <w:pStyle w:val="6"/>
        <w:keepNext w:val="0"/>
        <w:keepLines w:val="0"/>
        <w:pageBreakBefore w:val="0"/>
        <w:kinsoku/>
        <w:wordWrap/>
        <w:overflowPunct/>
        <w:topLinePunct w:val="0"/>
        <w:autoSpaceDE w:val="0"/>
        <w:autoSpaceDN w:val="0"/>
        <w:bidi w:val="0"/>
        <w:adjustRightInd/>
        <w:snapToGrid/>
        <w:spacing w:before="0" w:after="0" w:line="360" w:lineRule="auto"/>
        <w:ind w:left="0" w:leftChars="0" w:firstLine="0" w:firstLineChars="0"/>
        <w:textAlignment w:val="auto"/>
        <w:outlineLvl w:val="1"/>
        <w:rPr>
          <w:rFonts w:hint="eastAsia" w:cs="宋体"/>
          <w:color w:val="auto"/>
          <w:sz w:val="28"/>
          <w:szCs w:val="28"/>
          <w:highlight w:val="none"/>
          <w:lang w:val="en-US" w:eastAsia="zh-CN"/>
        </w:rPr>
      </w:pPr>
      <w:r>
        <w:rPr>
          <w:rFonts w:hint="eastAsia" w:cs="宋体"/>
          <w:color w:val="auto"/>
          <w:sz w:val="28"/>
          <w:szCs w:val="28"/>
          <w:highlight w:val="none"/>
          <w:lang w:val="en-US" w:eastAsia="zh-CN"/>
        </w:rPr>
        <w:t>五、交付内容</w:t>
      </w:r>
    </w:p>
    <w:p w14:paraId="7F77D181">
      <w:pPr>
        <w:pStyle w:val="11"/>
        <w:numPr>
          <w:ilvl w:val="0"/>
          <w:numId w:val="0"/>
        </w:numPr>
        <w:spacing w:before="156" w:beforeLines="50" w:after="156" w:afterLines="50" w:line="360" w:lineRule="auto"/>
        <w:ind w:left="420" w:leftChars="0"/>
        <w:rPr>
          <w:rFonts w:hint="eastAsia" w:ascii="宋体" w:hAnsi="宋体"/>
          <w:sz w:val="24"/>
        </w:rPr>
      </w:pP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rPr>
        <w:t>《信息系统安全等级保护定级备案证明》</w:t>
      </w:r>
      <w:r>
        <w:rPr>
          <w:rFonts w:ascii="宋体" w:hAnsi="宋体"/>
          <w:sz w:val="24"/>
        </w:rPr>
        <w:t>（</w:t>
      </w:r>
      <w:r>
        <w:rPr>
          <w:rFonts w:hint="eastAsia" w:ascii="宋体" w:hAnsi="宋体"/>
          <w:sz w:val="24"/>
          <w:lang w:eastAsia="zh-Hans"/>
        </w:rPr>
        <w:t>每系统一份</w:t>
      </w:r>
      <w:r>
        <w:rPr>
          <w:rFonts w:ascii="宋体" w:hAnsi="宋体"/>
          <w:sz w:val="24"/>
          <w:lang w:eastAsia="zh-Hans"/>
        </w:rPr>
        <w:t>）</w:t>
      </w:r>
      <w:r>
        <w:rPr>
          <w:rFonts w:ascii="宋体" w:hAnsi="宋体"/>
          <w:sz w:val="24"/>
        </w:rPr>
        <w:t>；</w:t>
      </w:r>
    </w:p>
    <w:p w14:paraId="32AD4B82">
      <w:pPr>
        <w:pStyle w:val="11"/>
        <w:numPr>
          <w:ilvl w:val="0"/>
          <w:numId w:val="0"/>
        </w:numPr>
        <w:spacing w:before="156" w:beforeLines="50" w:after="156" w:afterLines="50" w:line="360" w:lineRule="auto"/>
        <w:ind w:left="840" w:leftChars="0" w:hanging="420" w:firstLineChars="0"/>
        <w:rPr>
          <w:rFonts w:hint="eastAsia" w:ascii="宋体" w:hAnsi="宋体"/>
          <w:sz w:val="24"/>
        </w:rPr>
      </w:pPr>
      <w:r>
        <w:rPr>
          <w:rFonts w:hint="eastAsia" w:ascii="宋体" w:hAnsi="宋体" w:cs="Times New Roman"/>
          <w:kern w:val="2"/>
          <w:sz w:val="24"/>
          <w:szCs w:val="24"/>
          <w:lang w:val="en-US" w:eastAsia="zh-CN" w:bidi="ar-SA"/>
        </w:rPr>
        <w:t>2、</w:t>
      </w:r>
      <w:r>
        <w:rPr>
          <w:rFonts w:hint="eastAsia" w:ascii="宋体" w:hAnsi="宋体"/>
          <w:sz w:val="24"/>
        </w:rPr>
        <w:t>《</w:t>
      </w:r>
      <w:r>
        <w:rPr>
          <w:rFonts w:hint="eastAsia" w:ascii="宋体" w:hAnsi="宋体"/>
          <w:sz w:val="24"/>
          <w:lang w:eastAsia="zh-Hans"/>
        </w:rPr>
        <w:t>网络</w:t>
      </w:r>
      <w:r>
        <w:rPr>
          <w:rFonts w:hint="eastAsia" w:ascii="宋体" w:hAnsi="宋体"/>
          <w:sz w:val="24"/>
        </w:rPr>
        <w:t>安全等级</w:t>
      </w:r>
      <w:r>
        <w:rPr>
          <w:rFonts w:hint="eastAsia" w:ascii="宋体" w:hAnsi="宋体"/>
          <w:sz w:val="24"/>
          <w:lang w:eastAsia="zh-Hans"/>
        </w:rPr>
        <w:t>保护</w:t>
      </w:r>
      <w:r>
        <w:rPr>
          <w:rFonts w:hint="eastAsia" w:ascii="宋体" w:hAnsi="宋体"/>
          <w:sz w:val="24"/>
        </w:rPr>
        <w:t>测评报告》</w:t>
      </w:r>
      <w:r>
        <w:rPr>
          <w:rFonts w:ascii="宋体" w:hAnsi="宋体"/>
          <w:sz w:val="24"/>
        </w:rPr>
        <w:t>（</w:t>
      </w:r>
      <w:r>
        <w:rPr>
          <w:rFonts w:hint="eastAsia" w:ascii="宋体" w:hAnsi="宋体"/>
          <w:sz w:val="24"/>
          <w:lang w:eastAsia="zh-Hans"/>
        </w:rPr>
        <w:t>每系统一份</w:t>
      </w:r>
      <w:r>
        <w:rPr>
          <w:rFonts w:ascii="宋体" w:hAnsi="宋体"/>
          <w:sz w:val="24"/>
          <w:lang w:eastAsia="zh-Hans"/>
        </w:rPr>
        <w:t>）</w:t>
      </w:r>
      <w:r>
        <w:rPr>
          <w:rFonts w:hint="eastAsia" w:ascii="宋体" w:hAnsi="宋体"/>
          <w:sz w:val="24"/>
        </w:rPr>
        <w:t>；</w:t>
      </w:r>
    </w:p>
    <w:p w14:paraId="3D3687A1">
      <w:pPr>
        <w:pStyle w:val="11"/>
        <w:numPr>
          <w:ilvl w:val="0"/>
          <w:numId w:val="0"/>
        </w:numPr>
        <w:spacing w:before="156" w:beforeLines="50" w:after="156" w:afterLines="50" w:line="360" w:lineRule="auto"/>
        <w:ind w:left="840" w:leftChars="0" w:hanging="420" w:firstLineChars="0"/>
        <w:rPr>
          <w:rFonts w:hint="eastAsia" w:ascii="宋体" w:hAnsi="宋体"/>
          <w:sz w:val="24"/>
        </w:rPr>
      </w:pPr>
      <w:r>
        <w:rPr>
          <w:rFonts w:hint="eastAsia" w:ascii="宋体" w:hAnsi="宋体" w:cs="Times New Roman"/>
          <w:kern w:val="2"/>
          <w:sz w:val="24"/>
          <w:szCs w:val="24"/>
          <w:lang w:val="en-US" w:eastAsia="zh-CN" w:bidi="ar-SA"/>
        </w:rPr>
        <w:t>3、</w:t>
      </w:r>
      <w:r>
        <w:rPr>
          <w:rFonts w:hint="eastAsia" w:ascii="宋体" w:hAnsi="宋体"/>
          <w:sz w:val="24"/>
        </w:rPr>
        <w:t>《</w:t>
      </w:r>
      <w:r>
        <w:rPr>
          <w:rFonts w:hint="eastAsia" w:ascii="宋体" w:hAnsi="宋体"/>
          <w:sz w:val="24"/>
          <w:lang w:eastAsia="zh-Hans"/>
        </w:rPr>
        <w:t>网络安全等级保护</w:t>
      </w:r>
      <w:r>
        <w:rPr>
          <w:rFonts w:hint="eastAsia" w:ascii="宋体" w:hAnsi="宋体"/>
          <w:sz w:val="24"/>
        </w:rPr>
        <w:t>整改建议书》</w:t>
      </w:r>
      <w:r>
        <w:rPr>
          <w:rFonts w:ascii="宋体" w:hAnsi="宋体"/>
          <w:sz w:val="24"/>
        </w:rPr>
        <w:t>（</w:t>
      </w:r>
      <w:r>
        <w:rPr>
          <w:rFonts w:hint="eastAsia" w:ascii="宋体" w:hAnsi="宋体"/>
          <w:sz w:val="24"/>
          <w:lang w:eastAsia="zh-Hans"/>
        </w:rPr>
        <w:t>每系统一份</w:t>
      </w:r>
      <w:r>
        <w:rPr>
          <w:rFonts w:ascii="宋体" w:hAnsi="宋体"/>
          <w:sz w:val="24"/>
          <w:lang w:eastAsia="zh-Hans"/>
        </w:rPr>
        <w:t>）。</w:t>
      </w:r>
    </w:p>
    <w:p w14:paraId="1ECB554A">
      <w:pPr>
        <w:keepNext w:val="0"/>
        <w:keepLines w:val="0"/>
        <w:pageBreakBefore w:val="0"/>
        <w:kinsoku/>
        <w:wordWrap/>
        <w:overflowPunct/>
        <w:topLinePunct w:val="0"/>
        <w:bidi w:val="0"/>
        <w:adjustRightInd w:val="0"/>
        <w:snapToGrid w:val="0"/>
        <w:spacing w:before="0" w:after="0" w:line="360" w:lineRule="auto"/>
        <w:ind w:firstLine="480" w:firstLineChars="200"/>
        <w:textAlignment w:val="auto"/>
        <w:rPr>
          <w:rFonts w:hint="eastAsia" w:ascii="宋体" w:hAnsi="宋体" w:cs="宋体"/>
          <w:color w:val="auto"/>
          <w:sz w:val="24"/>
          <w:szCs w:val="24"/>
          <w:highlight w:val="none"/>
          <w:lang w:val="en-US" w:eastAsia="zh-CN"/>
        </w:rPr>
        <w:sectPr>
          <w:headerReference r:id="rId3" w:type="default"/>
          <w:footerReference r:id="rId4" w:type="default"/>
          <w:pgSz w:w="11910" w:h="16840"/>
          <w:pgMar w:top="1440" w:right="1080" w:bottom="1440" w:left="1080" w:header="1077" w:footer="1121" w:gutter="0"/>
          <w:pgNumType w:fmt="decimal"/>
          <w:cols w:space="720" w:num="1"/>
        </w:sectPr>
      </w:pPr>
    </w:p>
    <w:p w14:paraId="637102A0">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C016C">
    <w:pPr>
      <w:pStyle w:val="8"/>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EEF212">
                          <w:pPr>
                            <w:pStyle w:val="8"/>
                          </w:pPr>
                          <w:r>
                            <w:t xml:space="preserve">第 </w:t>
                          </w:r>
                          <w:r>
                            <w:fldChar w:fldCharType="begin"/>
                          </w:r>
                          <w:r>
                            <w:instrText xml:space="preserve"> PAGE  \* MERGEFORMAT </w:instrText>
                          </w:r>
                          <w:r>
                            <w:fldChar w:fldCharType="separate"/>
                          </w:r>
                          <w:r>
                            <w:t>31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58EEF212">
                    <w:pPr>
                      <w:pStyle w:val="8"/>
                    </w:pPr>
                    <w:r>
                      <w:t xml:space="preserve">第 </w:t>
                    </w:r>
                    <w:r>
                      <w:fldChar w:fldCharType="begin"/>
                    </w:r>
                    <w:r>
                      <w:instrText xml:space="preserve"> PAGE  \* MERGEFORMAT </w:instrText>
                    </w:r>
                    <w:r>
                      <w:fldChar w:fldCharType="separate"/>
                    </w:r>
                    <w:r>
                      <w:t>31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3613F">
    <w:pPr>
      <w:autoSpaceDE w:val="0"/>
      <w:spacing w:line="420" w:lineRule="exact"/>
      <w:jc w:val="left"/>
      <w:rPr>
        <w:rFonts w:hint="eastAsia"/>
      </w:rPr>
    </w:pPr>
    <w:r>
      <w:rPr>
        <w:rFonts w:hint="eastAsia" w:ascii="宋体" w:hAnsi="宋体" w:cs="宋体"/>
        <w:b/>
        <w:bCs/>
        <w:spacing w:val="-10"/>
        <w:kern w:val="0"/>
        <w:sz w:val="21"/>
        <w:szCs w:val="21"/>
        <w:u w:val="single"/>
        <w:lang w:eastAsia="zh-CN"/>
      </w:rPr>
      <w:t xml:space="preserve"> 西安医学院第一附属医院网络安全等级保护测评服务项目竞争性磋商文件</w:t>
    </w:r>
    <w:r>
      <w:rPr>
        <w:rFonts w:hint="eastAsia" w:ascii="宋体" w:hAnsi="宋体" w:cs="宋体"/>
        <w:b/>
        <w:bCs/>
        <w:spacing w:val="-10"/>
        <w:kern w:val="0"/>
        <w:sz w:val="21"/>
        <w:szCs w:val="21"/>
        <w:u w:val="single"/>
        <w:lang w:val="en-US" w:eastAsia="zh-CN"/>
      </w:rPr>
      <w:t xml:space="preserve">               </w:t>
    </w:r>
    <w:r>
      <w:rPr>
        <w:rFonts w:hint="eastAsia" w:ascii="宋体" w:hAnsi="宋体" w:cs="宋体"/>
        <w:b/>
        <w:bCs/>
        <w:spacing w:val="-10"/>
        <w:kern w:val="0"/>
        <w:sz w:val="21"/>
        <w:szCs w:val="21"/>
        <w:u w:val="single"/>
      </w:rPr>
      <w:t>项目编号：</w:t>
    </w:r>
    <w:r>
      <w:rPr>
        <w:rFonts w:hint="eastAsia" w:ascii="宋体" w:hAnsi="宋体" w:cs="宋体"/>
        <w:b/>
        <w:bCs/>
        <w:spacing w:val="-10"/>
        <w:kern w:val="0"/>
        <w:sz w:val="21"/>
        <w:szCs w:val="21"/>
        <w:u w:val="single"/>
        <w:lang w:eastAsia="zh-CN"/>
      </w:rPr>
      <w:t>ZYTT-20250705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AE7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qFormat/>
    <w:uiPriority w:val="0"/>
    <w:pPr>
      <w:keepNext/>
      <w:keepLines/>
      <w:spacing w:before="340" w:after="330" w:line="580" w:lineRule="exact"/>
      <w:jc w:val="center"/>
      <w:outlineLvl w:val="0"/>
    </w:pPr>
    <w:rPr>
      <w:b/>
      <w:bCs/>
      <w:kern w:val="44"/>
      <w:sz w:val="32"/>
      <w:szCs w:val="44"/>
    </w:rPr>
  </w:style>
  <w:style w:type="paragraph" w:styleId="5">
    <w:name w:val="heading 3"/>
    <w:basedOn w:val="1"/>
    <w:next w:val="1"/>
    <w:unhideWhenUsed/>
    <w:qFormat/>
    <w:uiPriority w:val="0"/>
    <w:pPr>
      <w:keepNext/>
      <w:keepLines/>
      <w:spacing w:before="260" w:after="260" w:line="480" w:lineRule="exact"/>
      <w:outlineLvl w:val="2"/>
    </w:pPr>
    <w:rPr>
      <w:rFonts w:ascii="宋体" w:hAnsi="宋体" w:cs="宋体"/>
      <w:b/>
      <w:sz w:val="28"/>
    </w:rPr>
  </w:style>
  <w:style w:type="paragraph" w:styleId="2">
    <w:name w:val="heading 4"/>
    <w:basedOn w:val="1"/>
    <w:next w:val="1"/>
    <w:semiHidden/>
    <w:unhideWhenUsed/>
    <w:qFormat/>
    <w:uiPriority w:val="0"/>
    <w:pPr>
      <w:keepNext/>
      <w:keepLines/>
      <w:spacing w:before="280" w:after="290" w:line="372" w:lineRule="auto"/>
      <w:outlineLvl w:val="3"/>
    </w:pPr>
    <w:rPr>
      <w:rFonts w:ascii="Arial" w:hAnsi="Arial" w:eastAsia="黑体"/>
      <w:b/>
      <w:sz w:val="28"/>
    </w:rPr>
  </w:style>
  <w:style w:type="paragraph" w:styleId="6">
    <w:name w:val="heading 7"/>
    <w:basedOn w:val="1"/>
    <w:next w:val="1"/>
    <w:qFormat/>
    <w:uiPriority w:val="1"/>
    <w:pPr>
      <w:ind w:left="220"/>
      <w:outlineLvl w:val="6"/>
    </w:pPr>
    <w:rPr>
      <w:rFonts w:ascii="宋体" w:hAnsi="宋体" w:eastAsia="宋体" w:cs="宋体"/>
      <w:b/>
      <w:bCs/>
      <w:sz w:val="28"/>
      <w:szCs w:val="28"/>
      <w:lang w:val="zh-CN" w:eastAsia="zh-CN" w:bidi="zh-CN"/>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4">
    <w:name w:val="论文正文_0"/>
    <w:basedOn w:val="1"/>
    <w:qFormat/>
    <w:uiPriority w:val="0"/>
    <w:pPr>
      <w:adjustRightInd w:val="0"/>
      <w:spacing w:before="62" w:beforeLines="20"/>
      <w:ind w:left="480"/>
    </w:pPr>
  </w:style>
  <w:style w:type="paragraph" w:styleId="7">
    <w:name w:val="Body Text"/>
    <w:basedOn w:val="1"/>
    <w:qFormat/>
    <w:uiPriority w:val="0"/>
    <w:pPr>
      <w:spacing w:after="120"/>
    </w:pPr>
    <w:rPr>
      <w:rFonts w:ascii="宋体" w:hAnsi="宋体"/>
    </w:rPr>
  </w:style>
  <w:style w:type="paragraph" w:styleId="8">
    <w:name w:val="footer"/>
    <w:basedOn w:val="1"/>
    <w:qFormat/>
    <w:uiPriority w:val="0"/>
    <w:pPr>
      <w:tabs>
        <w:tab w:val="center" w:pos="4153"/>
        <w:tab w:val="right" w:pos="8306"/>
      </w:tabs>
      <w:snapToGrid w:val="0"/>
      <w:jc w:val="left"/>
    </w:pPr>
    <w:rPr>
      <w:sz w:val="18"/>
      <w:szCs w:val="18"/>
    </w:rPr>
  </w:style>
  <w:style w:type="paragraph" w:customStyle="1" w:styleId="11">
    <w:name w:val="列出段落"/>
    <w:basedOn w:val="1"/>
    <w:qFormat/>
    <w:uiPriority w:val="0"/>
    <w:pPr>
      <w:spacing w:after="0" w:line="240" w:lineRule="auto"/>
      <w:ind w:firstLine="420" w:firstLineChars="200"/>
      <w:jc w:val="both"/>
    </w:pPr>
    <w:rPr>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2025-09-15T08:17:39Z</dcterms:created>
  <dc:creator>杨光</dc:creator>
  <cp:lastModifiedBy>亿诚</cp:lastModifiedBy>
  <dcterms:modified xsi:type="dcterms:W3CDTF">2025-09-15T08:18:33Z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eyJoZGlkIjoiM2NmYTlkNmQyOWE5NjNjOWY3Y2ZiMGFkYTc1MDQ4YzciLCJ1c2VySWQiOiIxNjk5OTM3MzU2In0=</vt:lpwstr>
  </property>
  <property fmtid="{D5CDD505-2E9C-101B-9397-08002B2CF9AE}" pid="4" name="ICV">
    <vt:lpwstr>CA23CB0B325749F7924D7044F05D8F07_12</vt:lpwstr>
  </property>
</Properties>
</file>