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7B407C">
      <w:pPr>
        <w:pStyle w:val="3"/>
        <w:numPr>
          <w:ilvl w:val="0"/>
          <w:numId w:val="0"/>
        </w:numPr>
        <w:bidi w:val="0"/>
        <w:jc w:val="center"/>
        <w:rPr>
          <w:rFonts w:hint="eastAsia" w:ascii="仿宋" w:hAnsi="仿宋" w:eastAsia="仿宋" w:cs="仿宋"/>
          <w:color w:val="auto"/>
          <w:sz w:val="24"/>
          <w:szCs w:val="24"/>
          <w:highlight w:val="none"/>
        </w:rPr>
      </w:pPr>
      <w:r>
        <w:rPr>
          <w:rFonts w:hint="eastAsia"/>
          <w:highlight w:val="none"/>
          <w:lang w:eastAsia="zh-CN"/>
        </w:rPr>
        <w:t>采购</w:t>
      </w:r>
      <w:r>
        <w:rPr>
          <w:rFonts w:hint="eastAsia"/>
          <w:highlight w:val="none"/>
        </w:rPr>
        <w:t>内容及技术要求</w:t>
      </w:r>
    </w:p>
    <w:p w14:paraId="206B7B06">
      <w:pPr>
        <w:pStyle w:val="4"/>
        <w:keepNext/>
        <w:keepLines/>
        <w:pageBreakBefore w:val="0"/>
        <w:widowControl/>
        <w:kinsoku/>
        <w:wordWrap/>
        <w:overflowPunct/>
        <w:topLinePunct w:val="0"/>
        <w:autoSpaceDE/>
        <w:autoSpaceDN/>
        <w:bidi w:val="0"/>
        <w:adjustRightInd/>
        <w:snapToGrid/>
        <w:spacing w:before="0" w:after="0"/>
        <w:ind w:left="0" w:leftChars="0" w:firstLine="0" w:firstLineChars="0"/>
        <w:textAlignment w:val="auto"/>
        <w:rPr>
          <w:rFonts w:hint="eastAsia" w:ascii="Arial" w:hAnsi="Arial" w:cs="Times New Roman"/>
          <w:b/>
          <w:bCs/>
          <w:sz w:val="24"/>
          <w:szCs w:val="28"/>
          <w:lang w:val="en-US" w:eastAsia="zh-CN"/>
        </w:rPr>
      </w:pPr>
      <w:bookmarkStart w:id="0" w:name="_Toc21192"/>
      <w:r>
        <w:rPr>
          <w:rFonts w:hint="eastAsia" w:ascii="Arial" w:hAnsi="Arial" w:cs="Times New Roman"/>
          <w:b/>
          <w:bCs/>
          <w:sz w:val="24"/>
          <w:szCs w:val="28"/>
          <w:lang w:val="en-US" w:eastAsia="zh-CN"/>
        </w:rPr>
        <w:t>一、项目概况</w:t>
      </w:r>
      <w:bookmarkEnd w:id="0"/>
    </w:p>
    <w:p w14:paraId="76362F4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陕西省卫生计生委和陕西省教育厅联合下发的《关于进一步加强全省中小学生健康体检监督管理工作的通知》、《学校结核病防控工作规范（2017版）》（国卫办疾控发〔2017〕22号）、《陕西省学校结核病筛查工作实施方案》（陕卫办疾控函〔2019〕407号）等法律法规和规范性文件，委托第三方医疗机构每年对高中和寄宿制初中新生约9500人进行结核病筛查（PPD）。</w:t>
      </w:r>
    </w:p>
    <w:p w14:paraId="7333DDDD">
      <w:pPr>
        <w:pStyle w:val="4"/>
        <w:keepNext/>
        <w:keepLines/>
        <w:pageBreakBefore w:val="0"/>
        <w:widowControl/>
        <w:kinsoku/>
        <w:wordWrap/>
        <w:overflowPunct/>
        <w:topLinePunct w:val="0"/>
        <w:autoSpaceDE/>
        <w:autoSpaceDN/>
        <w:bidi w:val="0"/>
        <w:adjustRightInd/>
        <w:snapToGrid/>
        <w:spacing w:before="0" w:after="0"/>
        <w:ind w:left="0" w:leftChars="0" w:firstLine="0" w:firstLineChars="0"/>
        <w:textAlignment w:val="auto"/>
        <w:rPr>
          <w:rFonts w:hint="eastAsia" w:ascii="Arial" w:hAnsi="Arial" w:cs="Times New Roman"/>
          <w:b/>
          <w:bCs/>
          <w:sz w:val="24"/>
          <w:szCs w:val="28"/>
          <w:lang w:val="en-US" w:eastAsia="zh-CN"/>
        </w:rPr>
      </w:pPr>
      <w:bookmarkStart w:id="1" w:name="_Toc14503"/>
      <w:r>
        <w:rPr>
          <w:rFonts w:hint="eastAsia" w:ascii="Arial" w:hAnsi="Arial" w:cs="Times New Roman"/>
          <w:b/>
          <w:bCs/>
          <w:sz w:val="24"/>
          <w:szCs w:val="28"/>
          <w:lang w:val="en-US" w:eastAsia="zh-CN"/>
        </w:rPr>
        <w:t>二、健康体检项目</w:t>
      </w:r>
      <w:bookmarkEnd w:id="1"/>
    </w:p>
    <w:p w14:paraId="6C8CC60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结核菌素试验（PPD）。</w:t>
      </w:r>
    </w:p>
    <w:p w14:paraId="38CD7B31">
      <w:pPr>
        <w:pStyle w:val="4"/>
        <w:bidi w:val="0"/>
        <w:ind w:left="0" w:leftChars="0" w:firstLine="0" w:firstLineChars="0"/>
        <w:rPr>
          <w:rFonts w:hint="eastAsia"/>
          <w:lang w:val="en-US" w:eastAsia="zh-CN"/>
        </w:rPr>
      </w:pPr>
      <w:bookmarkStart w:id="2" w:name="_Toc13623"/>
      <w:r>
        <w:rPr>
          <w:rFonts w:hint="eastAsia"/>
          <w:lang w:val="en-US" w:eastAsia="zh-CN"/>
        </w:rPr>
        <w:t>三、健康检查结果反馈与档案管理</w:t>
      </w:r>
      <w:bookmarkEnd w:id="2"/>
    </w:p>
    <w:p w14:paraId="38F4AFB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（一）健康检查结果反馈要求。学生健康体检机构在体检结束后，应分别向学生（家长）、学校和教育体育局反馈学生结核菌素试验（PPD）评价结果。</w:t>
      </w:r>
    </w:p>
    <w:p w14:paraId="2B0BC47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健康检查结果的反馈形式。健康体检机构以个体报告单形式向学生反馈健康体检结果；以学校汇总报告单形式向学校反馈学生体检结果；将所负责的体检学校的学生体检结果统计汇总，以区域学校汇总报告单形式上报高新区教育体育局。</w:t>
      </w:r>
    </w:p>
    <w:p w14:paraId="670D658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（三）健康检查报告单的反馈时限。个体报告单应于健康检查后2周内反馈学生；学校汇总报告单应于检查后1个月内反馈给学校；区域学校汇总报告单应于检查后2个月内反馈高新区教育体育局。</w:t>
      </w:r>
    </w:p>
    <w:p w14:paraId="021F495A">
      <w:pPr>
        <w:pStyle w:val="4"/>
        <w:keepNext/>
        <w:keepLines/>
        <w:pageBreakBefore w:val="0"/>
        <w:widowControl/>
        <w:kinsoku/>
        <w:wordWrap/>
        <w:overflowPunct/>
        <w:topLinePunct w:val="0"/>
        <w:autoSpaceDE/>
        <w:autoSpaceDN/>
        <w:bidi w:val="0"/>
        <w:adjustRightInd/>
        <w:snapToGrid/>
        <w:spacing w:before="0" w:after="0"/>
        <w:ind w:left="0" w:leftChars="0" w:firstLine="0" w:firstLineChars="0"/>
        <w:textAlignment w:val="auto"/>
        <w:rPr>
          <w:rFonts w:hint="eastAsia" w:ascii="Arial" w:hAnsi="Arial" w:cs="Times New Roman"/>
          <w:b/>
          <w:bCs/>
          <w:sz w:val="24"/>
          <w:szCs w:val="28"/>
          <w:lang w:val="en-US" w:eastAsia="zh-CN"/>
        </w:rPr>
      </w:pPr>
      <w:bookmarkStart w:id="3" w:name="_Toc21170"/>
      <w:r>
        <w:rPr>
          <w:rFonts w:hint="eastAsia" w:ascii="Arial" w:hAnsi="Arial" w:cs="Times New Roman"/>
          <w:b/>
          <w:bCs/>
          <w:sz w:val="24"/>
          <w:szCs w:val="28"/>
          <w:lang w:val="en-US" w:eastAsia="zh-CN"/>
        </w:rPr>
        <w:t>四、健康体检机构资质</w:t>
      </w:r>
      <w:bookmarkEnd w:id="3"/>
    </w:p>
    <w:p w14:paraId="68F0EF9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（一）机构条件</w:t>
      </w:r>
      <w:r>
        <w:rPr>
          <w:rFonts w:hint="eastAsia" w:ascii="仿宋" w:hAnsi="仿宋" w:eastAsia="仿宋" w:cs="仿宋"/>
          <w:sz w:val="24"/>
          <w:szCs w:val="24"/>
          <w:lang w:val="en-US" w:eastAsia="zh-CN"/>
        </w:rPr>
        <w:tab/>
      </w:r>
    </w:p>
    <w:p w14:paraId="303E4D4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1.承担学生结核菌素试验（PPD）的机构应为具</w:t>
      </w:r>
      <w:r>
        <w:rPr>
          <w:rFonts w:hint="eastAsia" w:ascii="仿宋" w:hAnsi="仿宋" w:eastAsia="仿宋" w:cs="仿宋"/>
          <w:color w:val="auto"/>
          <w:sz w:val="24"/>
          <w:szCs w:val="24"/>
          <w:highlight w:val="none"/>
          <w:lang w:val="en-US" w:eastAsia="zh-CN"/>
        </w:rPr>
        <w:t>有法人资格、持有有效《医疗机构执业许可证》，具备结核菌素皮肤试验技术相应的体检资质要求，能</w:t>
      </w:r>
      <w:r>
        <w:rPr>
          <w:rFonts w:hint="eastAsia" w:ascii="仿宋" w:hAnsi="仿宋" w:eastAsia="仿宋" w:cs="仿宋"/>
          <w:sz w:val="24"/>
          <w:szCs w:val="24"/>
          <w:highlight w:val="none"/>
          <w:lang w:val="en-US" w:eastAsia="zh-CN"/>
        </w:rPr>
        <w:t>严格</w:t>
      </w:r>
      <w:r>
        <w:rPr>
          <w:rFonts w:hint="eastAsia" w:ascii="仿宋" w:hAnsi="仿宋" w:eastAsia="仿宋" w:cs="仿宋"/>
          <w:sz w:val="24"/>
          <w:szCs w:val="24"/>
          <w:lang w:val="en-US" w:eastAsia="zh-CN"/>
        </w:rPr>
        <w:t>按照《结核菌素皮肤试验使用指导手册》的要求规范开展结核菌素皮肤试验。学生健康体检机构不得违规开展验配角膜塑形镜，不得与其他机构违规合作开展学生体检，不得非法收集学生信息和从事其他非法经营。</w:t>
      </w:r>
    </w:p>
    <w:p w14:paraId="71B9136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2.能独立开展学生结核菌素试验（PPD）检查工作；</w:t>
      </w:r>
    </w:p>
    <w:p w14:paraId="05CEDCD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3.能对学生结核菌素试验（PPD）检查状况进行个体和群体评价、分析、反馈，并提出健康指导建议；</w:t>
      </w:r>
    </w:p>
    <w:p w14:paraId="6116B21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4.有独立、固定的办公场所和足够的学生结核菌素试验（PPD）检查场所、工作条件和必备的合格的医疗检查设备与检验仪器；</w:t>
      </w:r>
    </w:p>
    <w:p w14:paraId="7B9EB85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5.有健全的规章制度、有国家制定或认可的医疗护理技术操作规程。</w:t>
      </w:r>
    </w:p>
    <w:p w14:paraId="4184927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（二）体检场所</w:t>
      </w:r>
    </w:p>
    <w:p w14:paraId="6B527A4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应按照《医院消毒技术规范》的要求进行消毒处理，符合《医院消毒卫生标准（GB 15982-2012）》中三类环境的消毒卫生标准，保证卫生安全。医疗废物处理应符合国务院《医疗废物管理条例》的规定。生物样本的采集和留存应符合国家有关卫生标准的规定和相关检验技术规范的要求；生物样本的运输应按照国家相关规定执行。</w:t>
      </w:r>
    </w:p>
    <w:p w14:paraId="07FB0F09">
      <w:pPr>
        <w:pStyle w:val="4"/>
        <w:keepNext/>
        <w:keepLines/>
        <w:pageBreakBefore w:val="0"/>
        <w:widowControl/>
        <w:kinsoku/>
        <w:wordWrap/>
        <w:overflowPunct/>
        <w:topLinePunct w:val="0"/>
        <w:autoSpaceDE/>
        <w:autoSpaceDN/>
        <w:bidi w:val="0"/>
        <w:adjustRightInd/>
        <w:snapToGrid/>
        <w:spacing w:before="0" w:after="0"/>
        <w:ind w:left="0" w:leftChars="0" w:firstLine="0" w:firstLineChars="0"/>
        <w:textAlignment w:val="auto"/>
        <w:rPr>
          <w:rFonts w:hint="eastAsia"/>
          <w:sz w:val="24"/>
          <w:szCs w:val="28"/>
          <w:lang w:val="en-US" w:eastAsia="zh-CN"/>
        </w:rPr>
      </w:pPr>
      <w:bookmarkStart w:id="4" w:name="_Toc10153"/>
      <w:r>
        <w:rPr>
          <w:rFonts w:hint="eastAsia"/>
          <w:sz w:val="24"/>
          <w:szCs w:val="28"/>
          <w:lang w:val="en-US" w:eastAsia="zh-CN"/>
        </w:rPr>
        <w:t>五、其他要求</w:t>
      </w:r>
      <w:bookmarkEnd w:id="4"/>
    </w:p>
    <w:p w14:paraId="04CBBDD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lang w:val="en-US" w:eastAsia="zh-CN"/>
        </w:rPr>
        <w:t>1.健康体检机构应有良好的内务管理，检查仪器放置合理，便于操作，配有必要的消毒、防污染、防火、</w:t>
      </w:r>
      <w:r>
        <w:rPr>
          <w:rFonts w:hint="eastAsia" w:ascii="仿宋" w:hAnsi="仿宋" w:eastAsia="仿宋" w:cs="仿宋"/>
          <w:sz w:val="24"/>
          <w:szCs w:val="24"/>
          <w:highlight w:val="none"/>
          <w:lang w:val="en-US" w:eastAsia="zh-CN"/>
        </w:rPr>
        <w:t>控制进入等安全措施；</w:t>
      </w:r>
    </w:p>
    <w:p w14:paraId="4E30A07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2.检测方法应尽可能采用国际、国家、行业或地方规定的方法或标准；</w:t>
      </w:r>
    </w:p>
    <w:p w14:paraId="1FB35F7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3.编制有质量管理体系文件，并严格开展质量控制；</w:t>
      </w:r>
    </w:p>
    <w:p w14:paraId="4E3B25D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4.为检验样品建立唯一识别系统和状态标识，应当编制有关</w:t>
      </w:r>
      <w:r>
        <w:rPr>
          <w:rFonts w:hint="eastAsia" w:ascii="仿宋" w:hAnsi="仿宋" w:eastAsia="仿宋" w:cs="仿宋"/>
          <w:sz w:val="24"/>
          <w:szCs w:val="24"/>
          <w:lang w:val="en-US" w:eastAsia="zh-CN"/>
        </w:rPr>
        <w:t>样品采集、接收、流转、保存和安全处置的书面程序；</w:t>
      </w:r>
    </w:p>
    <w:p w14:paraId="2F0F511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5.体检报告按照规定书写、更改、审核、签章、分发、保存和统计；</w:t>
      </w:r>
    </w:p>
    <w:p w14:paraId="5140ECB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6.医疗机构需要按照规定时间向学校、教育体育局提供汇总后的体检分析表。</w:t>
      </w:r>
    </w:p>
    <w:p w14:paraId="00B077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7.体检机构需要和学校进行预约，配合学校的时间做好学生的体检工作。</w:t>
      </w:r>
    </w:p>
    <w:p w14:paraId="1AB7D81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8.医疗机构必须安排体检人员和车辆，进入学校开展结核菌素试验（PPD）工作。</w:t>
      </w:r>
    </w:p>
    <w:p w14:paraId="072F9845">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203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0"/>
    <w:pPr>
      <w:keepNext/>
      <w:outlineLvl w:val="0"/>
    </w:pPr>
    <w:rPr>
      <w:rFonts w:ascii="仿宋_GB2312" w:hAnsi="仿宋_GB2312" w:eastAsia="仿宋_GB2312"/>
      <w:b/>
      <w:kern w:val="2"/>
      <w:sz w:val="32"/>
    </w:rPr>
  </w:style>
  <w:style w:type="paragraph" w:styleId="4">
    <w:name w:val="heading 2"/>
    <w:basedOn w:val="1"/>
    <w:next w:val="1"/>
    <w:qFormat/>
    <w:uiPriority w:val="9"/>
    <w:pPr>
      <w:keepNext/>
      <w:keepLines/>
      <w:widowControl/>
      <w:spacing w:before="20" w:beforeLines="0" w:after="20" w:afterLines="0" w:line="360" w:lineRule="auto"/>
      <w:ind w:left="284"/>
      <w:jc w:val="left"/>
      <w:outlineLvl w:val="1"/>
    </w:pPr>
    <w:rPr>
      <w:rFonts w:ascii="Arial" w:hAnsi="Arial" w:eastAsia="仿宋"/>
      <w:b/>
      <w:bCs/>
      <w:sz w:val="28"/>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2025-09-08T03:44:57Z</dcterms:created>
  <dc:creator>pc</dc:creator>
  <cp:lastModifiedBy>QQQQ</cp:lastModifiedBy>
  <dcterms:modified xsi:type="dcterms:W3CDTF">2025-09-08T03:45:15Z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eyJoZGlkIjoiZDJhNTYxMTllYzUwOTU1MjM0YzExYjc3OTk0ZTNlODgiLCJ1c2VySWQiOiIzODkzMjE1NzcifQ==</vt:lpwstr>
  </property>
  <property fmtid="{D5CDD505-2E9C-101B-9397-08002B2CF9AE}" pid="4" name="ICV">
    <vt:lpwstr>95C50CEB3B14429BA60C5BE7FC0C0CF5_12</vt:lpwstr>
  </property>
</Properties>
</file>