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7213">
      <w:pPr>
        <w:pStyle w:val="2"/>
        <w:pageBreakBefore w:val="0"/>
        <w:overflowPunct/>
        <w:topLinePunct w:val="0"/>
        <w:bidi w:val="0"/>
        <w:spacing w:line="460" w:lineRule="exact"/>
        <w:ind w:left="0" w:leftChars="0" w:right="0" w:rightChars="0"/>
        <w:rPr>
          <w:rFonts w:hint="eastAsia" w:ascii="方正仿宋_GB2312" w:hAnsi="方正仿宋_GB2312" w:eastAsia="方正仿宋_GB2312" w:cs="方正仿宋_GB2312"/>
          <w:color w:val="auto"/>
          <w:highlight w:val="none"/>
        </w:rPr>
      </w:pPr>
      <w:bookmarkStart w:id="1" w:name="_GoBack"/>
      <w:bookmarkEnd w:id="1"/>
      <w:bookmarkStart w:id="0" w:name="_Toc24530"/>
      <w:r>
        <w:rPr>
          <w:rFonts w:hint="eastAsia" w:ascii="方正仿宋_GB2312" w:hAnsi="方正仿宋_GB2312" w:eastAsia="方正仿宋_GB2312" w:cs="方正仿宋_GB2312"/>
          <w:color w:val="auto"/>
          <w:highlight w:val="none"/>
        </w:rPr>
        <w:t>采购需求</w:t>
      </w:r>
      <w:bookmarkEnd w:id="0"/>
    </w:p>
    <w:p w14:paraId="3D897DBC">
      <w:pPr>
        <w:pageBreakBefore w:val="0"/>
        <w:overflowPunct/>
        <w:topLinePunct w:val="0"/>
        <w:bidi w:val="0"/>
        <w:spacing w:line="460" w:lineRule="exact"/>
        <w:ind w:right="0" w:rightChars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</w:rPr>
        <w:t>项目概况</w:t>
      </w:r>
    </w:p>
    <w:p w14:paraId="63875755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u w:val="none"/>
          <w:lang w:eastAsia="zh-CN"/>
        </w:rPr>
        <w:t>为提高干部职工身体健康水平，加强职工的健康保障，便于职工及时了解自己的健康状况，达到“早发现、早诊断、早治疗”的防病治病目的，需委托专业、高效、服务温馨的体检机构承接中心职工健康体检服务。</w:t>
      </w:r>
    </w:p>
    <w:p w14:paraId="3348DE55">
      <w:pPr>
        <w:pageBreakBefore w:val="0"/>
        <w:overflowPunct/>
        <w:topLinePunct w:val="0"/>
        <w:bidi w:val="0"/>
        <w:spacing w:line="460" w:lineRule="exact"/>
        <w:ind w:right="0" w:rightChars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  <w:t>二、采购内容</w:t>
      </w:r>
    </w:p>
    <w:p w14:paraId="3EC5B128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(一)体检人数</w:t>
      </w:r>
    </w:p>
    <w:tbl>
      <w:tblPr>
        <w:tblStyle w:val="5"/>
        <w:tblW w:w="4684" w:type="pct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884"/>
        <w:gridCol w:w="1977"/>
        <w:gridCol w:w="2060"/>
      </w:tblGrid>
      <w:tr w14:paraId="7517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pct"/>
            <w:vAlign w:val="center"/>
          </w:tcPr>
          <w:p w14:paraId="4D5F4DB7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06" w:type="pct"/>
            <w:vAlign w:val="center"/>
          </w:tcPr>
          <w:p w14:paraId="5923989C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人员划分</w:t>
            </w:r>
          </w:p>
        </w:tc>
        <w:tc>
          <w:tcPr>
            <w:tcW w:w="1238" w:type="pct"/>
            <w:vAlign w:val="center"/>
          </w:tcPr>
          <w:p w14:paraId="39749B80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290" w:type="pct"/>
            <w:vAlign w:val="center"/>
          </w:tcPr>
          <w:p w14:paraId="565DC9BA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E64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pct"/>
            <w:vAlign w:val="center"/>
          </w:tcPr>
          <w:p w14:paraId="5711BE50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06" w:type="pct"/>
            <w:vAlign w:val="center"/>
          </w:tcPr>
          <w:p w14:paraId="7FF9EDA7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35岁(含)以上男职工</w:t>
            </w:r>
          </w:p>
        </w:tc>
        <w:tc>
          <w:tcPr>
            <w:tcW w:w="1238" w:type="pct"/>
            <w:vAlign w:val="center"/>
          </w:tcPr>
          <w:p w14:paraId="695B5437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109</w:t>
            </w:r>
          </w:p>
        </w:tc>
        <w:tc>
          <w:tcPr>
            <w:tcW w:w="1290" w:type="pct"/>
            <w:vAlign w:val="center"/>
          </w:tcPr>
          <w:p w14:paraId="62FEF261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退休职工54人</w:t>
            </w:r>
          </w:p>
        </w:tc>
      </w:tr>
      <w:tr w14:paraId="0EAB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pct"/>
            <w:vAlign w:val="center"/>
          </w:tcPr>
          <w:p w14:paraId="2AB5833B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pct"/>
            <w:vAlign w:val="center"/>
          </w:tcPr>
          <w:p w14:paraId="2A7ADEC4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35岁以下男职工</w:t>
            </w:r>
          </w:p>
        </w:tc>
        <w:tc>
          <w:tcPr>
            <w:tcW w:w="1238" w:type="pct"/>
            <w:vAlign w:val="center"/>
          </w:tcPr>
          <w:p w14:paraId="08E151AF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20</w:t>
            </w:r>
          </w:p>
        </w:tc>
        <w:tc>
          <w:tcPr>
            <w:tcW w:w="1290" w:type="pct"/>
            <w:vAlign w:val="center"/>
          </w:tcPr>
          <w:p w14:paraId="5D5F12E0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</w:tr>
      <w:tr w14:paraId="366D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pct"/>
            <w:vAlign w:val="center"/>
          </w:tcPr>
          <w:p w14:paraId="0CEC1834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06" w:type="pct"/>
            <w:vAlign w:val="center"/>
          </w:tcPr>
          <w:p w14:paraId="388E4CD8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35岁(含)以上女职工</w:t>
            </w:r>
          </w:p>
        </w:tc>
        <w:tc>
          <w:tcPr>
            <w:tcW w:w="1238" w:type="pct"/>
            <w:vAlign w:val="center"/>
          </w:tcPr>
          <w:p w14:paraId="2138E17E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102</w:t>
            </w:r>
          </w:p>
        </w:tc>
        <w:tc>
          <w:tcPr>
            <w:tcW w:w="1290" w:type="pct"/>
            <w:vAlign w:val="center"/>
          </w:tcPr>
          <w:p w14:paraId="5E119805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退休职工61人</w:t>
            </w:r>
          </w:p>
        </w:tc>
      </w:tr>
      <w:tr w14:paraId="379A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pct"/>
            <w:vAlign w:val="center"/>
          </w:tcPr>
          <w:p w14:paraId="26272A7C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806" w:type="pct"/>
            <w:vAlign w:val="center"/>
          </w:tcPr>
          <w:p w14:paraId="2E030636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35岁以下女职工</w:t>
            </w:r>
          </w:p>
        </w:tc>
        <w:tc>
          <w:tcPr>
            <w:tcW w:w="1238" w:type="pct"/>
            <w:vAlign w:val="center"/>
          </w:tcPr>
          <w:p w14:paraId="762E3F14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90" w:type="pct"/>
            <w:vAlign w:val="center"/>
          </w:tcPr>
          <w:p w14:paraId="4BFA8A8F">
            <w:pPr>
              <w:pageBreakBefore w:val="0"/>
              <w:overflowPunct/>
              <w:topLinePunct w:val="0"/>
              <w:bidi w:val="0"/>
              <w:spacing w:line="460" w:lineRule="exact"/>
              <w:ind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</w:tr>
    </w:tbl>
    <w:p w14:paraId="6F6B8B6A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(二)职工体检项目</w:t>
      </w:r>
    </w:p>
    <w:p w14:paraId="1AEBF7B3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①35岁以下男士体检项目(29项)</w:t>
      </w:r>
    </w:p>
    <w:p w14:paraId="5E47B60F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一般项目(测定身高/体重、血压、腰围，体重指数等，初步筛查高血压)、内科检查、眼科常规、眼压、心电图、肺功能、颈椎正侧位检查、颅脑CT、胸部CT、腹部彩超、盆腔彩照、甲状腺彩超血细胞分析(五分类)、尿液分析、乙肝五项、肝功五项、肾功能三项、空腹血糖、血脂二项、高密度脂蛋白、低密度脂蛋白、碳13呼气试验、心肌酶谱、肝纤维化四项、癌胚抗原(定量)、甲胎蛋白(定量)、总前列腺特异抗原PSA、游离前列腺特异抗原PSA、糖类抗原CA19-9。</w:t>
      </w:r>
    </w:p>
    <w:p w14:paraId="07AEDD85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②35岁(含)以上男士体检项目(33项)一般项目(测定身高/体重、血压、腰围，体重指数等，初步查高血压)、内科检查、眼科常规、眼压、眼科裂隙灯、心电图、骨密度、肺功能、颈椎正侧位检查、颅脑CT、胸部CT、钙化积分冠心病筛查、腹部彩超、盆腔彩照、甲状腺彩超、颈动脉彩照、血细胞分析(五分类)、尿液分析、乙肝五项、肝功五项、肾功能三项、空腹血糖、血脂二项、高密度脂蛋白、低密度脂蛋白、碳13呼气试验心肌酶谱、肝纤维化四项、癌胚抗原(定量)、甲胎蛋白(定量)总前列腺特异抗原PSA、游离前列腺特异抗原PSA、糖类抗原CA19-9。</w:t>
      </w:r>
    </w:p>
    <w:p w14:paraId="72F9E52B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③35岁以下女士体检项目(33项)</w:t>
      </w:r>
    </w:p>
    <w:p w14:paraId="53C7F413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一般项目(测定身高/体重、血压、腰围，体重指数等，初步筛查高血压)、内科检查、眼科常规、眼压、心电图、肺功能、颈椎正侧位检查、颅脑 CT、胸部 CT、腹部彩超、盆腔彩照、乳腺彩超、甲状腺彩超、血细胞分析(五分类)、尿液分析、乙肝五项、肝功五项肾功能三项、空腹血糖、血脂二项、高密度脂蛋白、低密度脂蛋白、碳13呼气试验、心肌酶谱、癌胚抗原(定量)、甲胎蛋白(定量)糖类抗原CA19-9、糖类抗原CA12-5、糖类抗原CA15-3、妇科内诊白带常规、液基薄层细胞检查、人乳头瘤病毒检测16/18分型。</w:t>
      </w:r>
    </w:p>
    <w:p w14:paraId="43057AAF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④35岁(含)以上女士体检项目(33项)</w:t>
      </w:r>
    </w:p>
    <w:p w14:paraId="6195AC57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一般项目(测定身高/体重、血压、腰围，体重指数等，初步查高血压)、内科检查、眼科常规、眼压、心电图、肺功能、颈椎正侧位检查、颅脑CT、胸部CT、腹部彩超、盆腔彩照、乳腺彩超、甲状腺彩超、血细胞分析(五分类)、尿液分析、乙肝五项、肝功五项肾功能三项、空腹血糖、血脂二项、高密度脂蛋白、低密度脂蛋白、碳13呼气试验、心肌酶谱、癌胚抗原(定量)、甲胎蛋白(定量)糖类抗原CA19-9、糖类抗原CA12-5、糖类抗原CA15-3、妇科内诊白带常规、液基薄层细胞检查、人乳头瘤病毒检测16/18分型。</w:t>
      </w:r>
    </w:p>
    <w:p w14:paraId="3430B09A">
      <w:pPr>
        <w:pageBreakBefore w:val="0"/>
        <w:overflowPunct/>
        <w:topLinePunct w:val="0"/>
        <w:bidi w:val="0"/>
        <w:spacing w:line="460" w:lineRule="exact"/>
        <w:ind w:right="0" w:rightChars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  <w:t>三、服务要求</w:t>
      </w:r>
    </w:p>
    <w:p w14:paraId="343D7033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(1)需执行的相关标准和规范：按照国家规定的相关医疗规范标准执行。</w:t>
      </w:r>
    </w:p>
    <w:p w14:paraId="78A1BBAF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(2)供应商需向参加体检的人员提供营养早饭一份；合理安排，院内就医绿色通道，减少等候时间，热情服务，报告及时准确，同时组织专业人员一对一解读体检结果，提供专业健康建议。</w:t>
      </w:r>
    </w:p>
    <w:p w14:paraId="2CE2AA48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(3)供应商日接待完成职工体检能力不少于200人，职工体检集中两次安排(退休人员集中组织一次，在职人员集中组织一次)，剩余人员合同签署后一个月内全部完成。</w:t>
      </w:r>
    </w:p>
    <w:p w14:paraId="6672E0A5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(4)项目完成标准及方式：合同签署后所有人员完成通知体检，报告按实际情况分批次领取。</w:t>
      </w:r>
    </w:p>
    <w:p w14:paraId="2F4513F2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567"/>
        <w:jc w:val="both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highlight w:val="none"/>
          <w:lang w:val="en-US" w:eastAsia="zh-CN"/>
        </w:rPr>
        <w:t>(5)其他要求：供应商应确保职工体检报告的准确率，提高阳性诊断率，根据检查结果及时发现阳性结果并提供专业诊断治疗建议或意见。</w:t>
      </w:r>
    </w:p>
    <w:p w14:paraId="5C673366">
      <w:pPr>
        <w:pageBreakBefore w:val="0"/>
        <w:overflowPunct/>
        <w:topLinePunct w:val="0"/>
        <w:bidi w:val="0"/>
        <w:spacing w:line="460" w:lineRule="exact"/>
        <w:ind w:right="0" w:rightChars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highlight w:val="none"/>
          <w:lang w:val="en-US" w:eastAsia="zh-CN"/>
        </w:rPr>
        <w:t>四、商务要求</w:t>
      </w:r>
    </w:p>
    <w:p w14:paraId="459A22F9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420" w:firstLineChars="200"/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1、服务期：签订合同之日起1个月内。</w:t>
      </w:r>
    </w:p>
    <w:p w14:paraId="33405318">
      <w:pPr>
        <w:pageBreakBefore w:val="0"/>
        <w:overflowPunct/>
        <w:topLinePunct w:val="0"/>
        <w:bidi w:val="0"/>
        <w:spacing w:line="460" w:lineRule="exact"/>
        <w:ind w:left="0" w:leftChars="0" w:right="0" w:rightChars="0" w:firstLine="420" w:firstLineChars="200"/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2、付款方式：合同签订后，经供应商申请甲方同意后一次性支付合同金额，供应商应提供等金额费用发票，采购人收到发票后10日内支付款项。</w:t>
      </w:r>
    </w:p>
    <w:p w14:paraId="6BB61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162E4D-4EA4-4BA9-A271-FA64422F0C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A9280A-EED6-4343-8C94-592C2C082D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A0666"/>
    <w:rsid w:val="3B7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2024-03-04T04:06:00Z</dcterms:created>
  <dc:creator>朱娟</dc:creator>
  <cp:lastModifiedBy>朱娟</cp:lastModifiedBy>
  <dcterms:modified xsi:type="dcterms:W3CDTF">2025-09-16T02:11:20Z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59DBAC68937B4A538F3B699CB21B07AE_12</vt:lpwstr>
  </property>
  <property fmtid="{D5CDD505-2E9C-101B-9397-08002B2CF9AE}" pid="4" name="KSOTemplateDocerSaveRecord">
    <vt:lpwstr>eyJoZGlkIjoiNTRiN2YxNjhiMWY2MjU3ZTk1NTcyNzUwOWE2ZjIyNTQiLCJ1c2VySWQiOiIyMDIwODMyODIifQ==</vt:lpwstr>
  </property>
</Properties>
</file>