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37C05">
      <w:pPr>
        <w:pStyle w:val="21"/>
        <w:rPr>
          <w:rFonts w:hint="eastAsia" w:ascii="宋体" w:hAnsi="宋体" w:eastAsia="宋体" w:cs="宋体"/>
          <w:b/>
          <w:color w:val="auto"/>
          <w:sz w:val="28"/>
          <w:lang w:val="en-US" w:eastAsia="zh-CN"/>
        </w:rPr>
      </w:pPr>
      <w:r>
        <w:rPr>
          <w:rFonts w:hint="eastAsia" w:ascii="宋体" w:hAnsi="宋体" w:eastAsia="宋体" w:cs="宋体"/>
          <w:b/>
          <w:color w:val="auto"/>
          <w:sz w:val="28"/>
        </w:rPr>
        <w:t>项目编号：</w:t>
      </w:r>
      <w:r>
        <w:rPr>
          <w:rFonts w:hint="eastAsia" w:ascii="宋体" w:hAnsi="宋体" w:eastAsia="宋体" w:cs="宋体"/>
          <w:b/>
          <w:color w:val="auto"/>
          <w:sz w:val="28"/>
          <w:lang w:val="en-US" w:eastAsia="zh-CN"/>
        </w:rPr>
        <w:t>SxDY-2025-250</w:t>
      </w:r>
    </w:p>
    <w:p w14:paraId="1098DDD2">
      <w:pPr>
        <w:pStyle w:val="21"/>
        <w:rPr>
          <w:rFonts w:hint="eastAsia" w:ascii="宋体" w:hAnsi="宋体" w:eastAsia="宋体" w:cs="宋体"/>
          <w:b/>
          <w:color w:val="auto"/>
          <w:sz w:val="28"/>
          <w:lang w:val="en-US" w:eastAsia="zh-CN"/>
        </w:rPr>
      </w:pPr>
    </w:p>
    <w:p w14:paraId="22CF31A1">
      <w:pPr>
        <w:pStyle w:val="21"/>
        <w:rPr>
          <w:rFonts w:hint="eastAsia"/>
        </w:rPr>
      </w:pPr>
    </w:p>
    <w:p w14:paraId="1753C897">
      <w:pPr>
        <w:jc w:val="center"/>
        <w:rPr>
          <w:rFonts w:hint="eastAsia" w:ascii="宋体" w:hAnsi="宋体" w:eastAsia="宋体" w:cs="宋体"/>
          <w:b/>
          <w:color w:val="auto"/>
          <w:sz w:val="22"/>
          <w:szCs w:val="13"/>
          <w:highlight w:val="none"/>
          <w:u w:val="single"/>
          <w:lang w:val="en-US" w:eastAsia="zh-CN"/>
        </w:rPr>
      </w:pPr>
      <w:r>
        <w:rPr>
          <w:rFonts w:hint="eastAsia" w:ascii="宋体" w:hAnsi="宋体" w:eastAsia="宋体" w:cs="宋体"/>
          <w:b/>
          <w:color w:val="auto"/>
          <w:sz w:val="28"/>
          <w:szCs w:val="16"/>
          <w:highlight w:val="none"/>
          <w:u w:val="single"/>
          <w:lang w:eastAsia="zh-CN"/>
        </w:rPr>
        <w:t>安康市石泉县汉江流域（石泉段）水环境综合整治项目设计和地勘采购</w:t>
      </w:r>
    </w:p>
    <w:p w14:paraId="406E4FE3">
      <w:pPr>
        <w:ind w:firstLine="2610" w:firstLineChars="500"/>
        <w:jc w:val="both"/>
        <w:rPr>
          <w:rFonts w:hint="eastAsia" w:ascii="宋体" w:hAnsi="宋体" w:eastAsia="宋体" w:cs="宋体"/>
          <w:b/>
          <w:color w:val="auto"/>
          <w:sz w:val="52"/>
        </w:rPr>
      </w:pPr>
    </w:p>
    <w:p w14:paraId="02B2A163">
      <w:pPr>
        <w:ind w:firstLine="2520" w:firstLineChars="1200"/>
        <w:jc w:val="both"/>
        <w:rPr>
          <w:rFonts w:hint="eastAsia" w:ascii="宋体" w:hAnsi="宋体" w:eastAsia="宋体" w:cs="宋体"/>
          <w:b/>
          <w:color w:val="auto"/>
          <w:sz w:val="52"/>
        </w:rPr>
      </w:pPr>
      <w:r>
        <w:rPr>
          <w:rFonts w:hint="eastAsia" w:ascii="仿宋" w:hAnsi="仿宋" w:eastAsia="仿宋" w:cs="仿宋"/>
          <w:szCs w:val="22"/>
          <w:highlight w:val="none"/>
        </w:rPr>
        <w:drawing>
          <wp:anchor distT="0" distB="0" distL="114300" distR="114300" simplePos="0" relativeHeight="251659264" behindDoc="0" locked="0" layoutInCell="1" allowOverlap="1">
            <wp:simplePos x="0" y="0"/>
            <wp:positionH relativeFrom="margin">
              <wp:posOffset>1268095</wp:posOffset>
            </wp:positionH>
            <wp:positionV relativeFrom="margin">
              <wp:posOffset>2539365</wp:posOffset>
            </wp:positionV>
            <wp:extent cx="3283585" cy="2566035"/>
            <wp:effectExtent l="0" t="0" r="12065" b="5715"/>
            <wp:wrapSquare wrapText="right"/>
            <wp:docPr id="2" name="图片 1" descr="大用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大用log"/>
                    <pic:cNvPicPr>
                      <a:picLocks noChangeAspect="1"/>
                    </pic:cNvPicPr>
                  </pic:nvPicPr>
                  <pic:blipFill>
                    <a:blip r:embed="rId11"/>
                    <a:srcRect l="3387" t="18021" r="1830" b="26091"/>
                    <a:stretch>
                      <a:fillRect/>
                    </a:stretch>
                  </pic:blipFill>
                  <pic:spPr>
                    <a:xfrm>
                      <a:off x="0" y="0"/>
                      <a:ext cx="3283585" cy="2566035"/>
                    </a:xfrm>
                    <a:prstGeom prst="rect">
                      <a:avLst/>
                    </a:prstGeom>
                    <a:noFill/>
                    <a:ln>
                      <a:noFill/>
                    </a:ln>
                  </pic:spPr>
                </pic:pic>
              </a:graphicData>
            </a:graphic>
          </wp:anchor>
        </w:drawing>
      </w:r>
      <w:r>
        <w:rPr>
          <w:rFonts w:hint="eastAsia" w:ascii="宋体" w:hAnsi="宋体" w:eastAsia="宋体" w:cs="宋体"/>
          <w:b/>
          <w:color w:val="auto"/>
          <w:sz w:val="52"/>
        </w:rPr>
        <w:t>竞争性磋商文件</w:t>
      </w:r>
    </w:p>
    <w:p w14:paraId="07AD561D">
      <w:pPr>
        <w:jc w:val="center"/>
        <w:rPr>
          <w:rFonts w:hint="eastAsia" w:ascii="宋体" w:hAnsi="宋体" w:eastAsia="宋体" w:cs="宋体"/>
          <w:b/>
          <w:color w:val="auto"/>
          <w:sz w:val="52"/>
        </w:rPr>
      </w:pPr>
    </w:p>
    <w:p w14:paraId="3DD6AFB4">
      <w:pPr>
        <w:jc w:val="center"/>
        <w:rPr>
          <w:rFonts w:hint="eastAsia" w:ascii="宋体" w:hAnsi="宋体" w:eastAsia="宋体" w:cs="宋体"/>
          <w:b/>
          <w:color w:val="auto"/>
          <w:sz w:val="30"/>
          <w:szCs w:val="30"/>
        </w:rPr>
      </w:pPr>
    </w:p>
    <w:p w14:paraId="2CEFFC86">
      <w:pPr>
        <w:pStyle w:val="21"/>
        <w:rPr>
          <w:rFonts w:hint="eastAsia" w:ascii="宋体" w:hAnsi="宋体" w:eastAsia="宋体" w:cs="宋体"/>
          <w:b/>
          <w:color w:val="auto"/>
          <w:sz w:val="30"/>
          <w:szCs w:val="30"/>
        </w:rPr>
      </w:pPr>
    </w:p>
    <w:p w14:paraId="1B98FB74">
      <w:pPr>
        <w:pStyle w:val="21"/>
        <w:rPr>
          <w:rFonts w:hint="eastAsia" w:ascii="宋体" w:hAnsi="宋体" w:eastAsia="宋体" w:cs="宋体"/>
          <w:b/>
          <w:color w:val="auto"/>
          <w:sz w:val="30"/>
          <w:szCs w:val="30"/>
        </w:rPr>
      </w:pPr>
    </w:p>
    <w:p w14:paraId="505DB369">
      <w:pPr>
        <w:pStyle w:val="21"/>
        <w:rPr>
          <w:rFonts w:hint="eastAsia" w:ascii="宋体" w:hAnsi="宋体" w:eastAsia="宋体" w:cs="宋体"/>
          <w:b/>
          <w:color w:val="auto"/>
          <w:sz w:val="30"/>
          <w:szCs w:val="30"/>
        </w:rPr>
      </w:pPr>
    </w:p>
    <w:p w14:paraId="4F780246">
      <w:pPr>
        <w:rPr>
          <w:rFonts w:hint="eastAsia" w:ascii="宋体" w:hAnsi="宋体" w:eastAsia="宋体" w:cs="宋体"/>
          <w:b/>
          <w:color w:val="auto"/>
          <w:sz w:val="44"/>
        </w:rPr>
      </w:pPr>
    </w:p>
    <w:p w14:paraId="5E590B75">
      <w:pPr>
        <w:pStyle w:val="21"/>
        <w:rPr>
          <w:rFonts w:hint="eastAsia" w:ascii="宋体" w:hAnsi="宋体" w:eastAsia="宋体" w:cs="宋体"/>
          <w:b/>
          <w:color w:val="auto"/>
          <w:sz w:val="44"/>
        </w:rPr>
      </w:pPr>
    </w:p>
    <w:p w14:paraId="07C93C6E">
      <w:pPr>
        <w:pStyle w:val="21"/>
        <w:rPr>
          <w:rFonts w:hint="eastAsia" w:ascii="宋体" w:hAnsi="宋体" w:eastAsia="宋体" w:cs="宋体"/>
          <w:b/>
          <w:color w:val="auto"/>
          <w:sz w:val="44"/>
        </w:rPr>
      </w:pPr>
    </w:p>
    <w:p w14:paraId="6C6CC081">
      <w:pPr>
        <w:pStyle w:val="21"/>
        <w:rPr>
          <w:rFonts w:hint="eastAsia" w:ascii="宋体" w:hAnsi="宋体" w:eastAsia="宋体" w:cs="宋体"/>
          <w:b/>
          <w:color w:val="auto"/>
          <w:sz w:val="44"/>
        </w:rPr>
      </w:pPr>
    </w:p>
    <w:p w14:paraId="38E8883A">
      <w:pPr>
        <w:pStyle w:val="9"/>
        <w:rPr>
          <w:rFonts w:hint="eastAsia" w:ascii="宋体" w:hAnsi="宋体" w:eastAsia="宋体" w:cs="宋体"/>
          <w:color w:val="auto"/>
        </w:rPr>
      </w:pPr>
    </w:p>
    <w:p w14:paraId="2B778248">
      <w:pPr>
        <w:rPr>
          <w:rFonts w:hint="eastAsia" w:ascii="宋体" w:hAnsi="宋体" w:eastAsia="宋体" w:cs="宋体"/>
          <w:color w:val="auto"/>
        </w:rPr>
      </w:pPr>
    </w:p>
    <w:p w14:paraId="18C89793">
      <w:pPr>
        <w:pStyle w:val="21"/>
        <w:rPr>
          <w:rFonts w:hint="eastAsia" w:ascii="宋体" w:hAnsi="宋体" w:eastAsia="宋体" w:cs="宋体"/>
          <w:color w:val="auto"/>
        </w:rPr>
      </w:pPr>
    </w:p>
    <w:p w14:paraId="1C7A43CE">
      <w:pPr>
        <w:pStyle w:val="21"/>
        <w:rPr>
          <w:rFonts w:hint="eastAsia" w:ascii="宋体" w:hAnsi="宋体" w:eastAsia="宋体" w:cs="宋体"/>
          <w:color w:val="auto"/>
        </w:rPr>
      </w:pPr>
    </w:p>
    <w:p w14:paraId="6D61B947">
      <w:pPr>
        <w:pStyle w:val="21"/>
        <w:rPr>
          <w:rFonts w:hint="eastAsia" w:ascii="宋体" w:hAnsi="宋体" w:eastAsia="宋体" w:cs="宋体"/>
          <w:color w:val="auto"/>
        </w:rPr>
      </w:pPr>
    </w:p>
    <w:p w14:paraId="55E43BFA">
      <w:pPr>
        <w:pStyle w:val="21"/>
        <w:rPr>
          <w:rFonts w:hint="eastAsia" w:ascii="宋体" w:hAnsi="宋体" w:eastAsia="宋体" w:cs="宋体"/>
          <w:color w:val="auto"/>
        </w:rPr>
      </w:pPr>
    </w:p>
    <w:p w14:paraId="13E353F2">
      <w:pPr>
        <w:pStyle w:val="21"/>
        <w:keepNext w:val="0"/>
        <w:keepLines w:val="0"/>
        <w:pageBreakBefore w:val="0"/>
        <w:widowControl w:val="0"/>
        <w:kinsoku/>
        <w:wordWrap/>
        <w:overflowPunct/>
        <w:topLinePunct w:val="0"/>
        <w:autoSpaceDE/>
        <w:autoSpaceDN/>
        <w:bidi w:val="0"/>
        <w:adjustRightInd/>
        <w:snapToGrid w:val="0"/>
        <w:spacing w:line="1000" w:lineRule="exact"/>
        <w:ind w:firstLine="1446" w:firstLineChars="400"/>
        <w:textAlignment w:val="auto"/>
        <w:rPr>
          <w:rFonts w:hint="default" w:ascii="宋体" w:hAnsi="宋体" w:eastAsia="宋体" w:cs="宋体"/>
          <w:b/>
          <w:color w:val="auto"/>
          <w:kern w:val="2"/>
          <w:sz w:val="36"/>
          <w:szCs w:val="20"/>
          <w:highlight w:val="none"/>
          <w:u w:val="single"/>
          <w:lang w:val="en-US" w:eastAsia="zh-CN" w:bidi="ar-SA"/>
        </w:rPr>
      </w:pPr>
      <w:r>
        <w:rPr>
          <w:rFonts w:hint="eastAsia" w:ascii="宋体" w:hAnsi="宋体" w:eastAsia="宋体" w:cs="宋体"/>
          <w:b/>
          <w:color w:val="auto"/>
          <w:kern w:val="2"/>
          <w:sz w:val="36"/>
          <w:szCs w:val="20"/>
          <w:highlight w:val="none"/>
          <w:u w:val="none"/>
          <w:lang w:val="en-US" w:eastAsia="zh-CN" w:bidi="ar-SA"/>
        </w:rPr>
        <w:t>采   购   人：</w:t>
      </w:r>
      <w:r>
        <w:rPr>
          <w:rFonts w:hint="eastAsia" w:ascii="宋体" w:hAnsi="宋体" w:eastAsia="宋体" w:cs="宋体"/>
          <w:b/>
          <w:color w:val="auto"/>
          <w:kern w:val="2"/>
          <w:sz w:val="36"/>
          <w:szCs w:val="20"/>
          <w:highlight w:val="none"/>
          <w:u w:val="none"/>
          <w:lang w:val="en-US" w:eastAsia="zh-CN" w:bidi="ar-SA"/>
        </w:rPr>
        <w:tab/>
      </w:r>
      <w:r>
        <w:rPr>
          <w:rFonts w:hint="eastAsia" w:ascii="宋体" w:hAnsi="宋体" w:eastAsia="宋体" w:cs="宋体"/>
          <w:b/>
          <w:color w:val="auto"/>
          <w:kern w:val="2"/>
          <w:sz w:val="36"/>
          <w:szCs w:val="20"/>
          <w:highlight w:val="none"/>
          <w:u w:val="single"/>
          <w:lang w:val="en-US" w:eastAsia="zh-CN" w:bidi="ar-SA"/>
        </w:rPr>
        <w:t>安康市生态环境局石泉分局</w:t>
      </w:r>
    </w:p>
    <w:p w14:paraId="0C665561">
      <w:pPr>
        <w:pStyle w:val="21"/>
        <w:keepNext w:val="0"/>
        <w:keepLines w:val="0"/>
        <w:pageBreakBefore w:val="0"/>
        <w:widowControl w:val="0"/>
        <w:kinsoku/>
        <w:wordWrap/>
        <w:overflowPunct/>
        <w:topLinePunct w:val="0"/>
        <w:autoSpaceDE/>
        <w:autoSpaceDN/>
        <w:bidi w:val="0"/>
        <w:adjustRightInd/>
        <w:snapToGrid w:val="0"/>
        <w:spacing w:line="1000" w:lineRule="exact"/>
        <w:ind w:firstLine="1446" w:firstLineChars="400"/>
        <w:textAlignment w:val="auto"/>
        <w:rPr>
          <w:rFonts w:hint="default" w:ascii="宋体" w:hAnsi="宋体" w:eastAsia="宋体" w:cs="宋体"/>
          <w:b/>
          <w:color w:val="auto"/>
          <w:kern w:val="2"/>
          <w:sz w:val="36"/>
          <w:szCs w:val="20"/>
          <w:highlight w:val="none"/>
          <w:u w:val="single"/>
          <w:lang w:val="en-US" w:eastAsia="zh-CN" w:bidi="ar-SA"/>
        </w:rPr>
      </w:pPr>
      <w:r>
        <w:rPr>
          <w:rFonts w:hint="eastAsia" w:ascii="宋体" w:hAnsi="宋体" w:eastAsia="宋体" w:cs="宋体"/>
          <w:b/>
          <w:color w:val="auto"/>
          <w:kern w:val="2"/>
          <w:sz w:val="36"/>
          <w:szCs w:val="20"/>
          <w:highlight w:val="none"/>
          <w:u w:val="none"/>
          <w:lang w:val="en-US" w:eastAsia="zh-CN" w:bidi="ar-SA"/>
        </w:rPr>
        <w:t>采购代理机构：</w:t>
      </w:r>
      <w:r>
        <w:rPr>
          <w:rFonts w:hint="eastAsia" w:ascii="宋体" w:hAnsi="宋体" w:eastAsia="宋体" w:cs="宋体"/>
          <w:b/>
          <w:color w:val="auto"/>
          <w:kern w:val="2"/>
          <w:sz w:val="36"/>
          <w:szCs w:val="20"/>
          <w:highlight w:val="none"/>
          <w:u w:val="single"/>
          <w:lang w:val="en-US" w:eastAsia="zh-CN" w:bidi="ar-SA"/>
        </w:rPr>
        <w:t xml:space="preserve"> 陕西大用项目管理有限公司</w:t>
      </w:r>
    </w:p>
    <w:p w14:paraId="5EEB28FB">
      <w:pPr>
        <w:pStyle w:val="21"/>
        <w:keepNext w:val="0"/>
        <w:keepLines w:val="0"/>
        <w:pageBreakBefore w:val="0"/>
        <w:widowControl w:val="0"/>
        <w:kinsoku/>
        <w:wordWrap/>
        <w:overflowPunct/>
        <w:topLinePunct w:val="0"/>
        <w:autoSpaceDE/>
        <w:autoSpaceDN/>
        <w:bidi w:val="0"/>
        <w:adjustRightInd/>
        <w:snapToGrid w:val="0"/>
        <w:spacing w:line="1000" w:lineRule="exact"/>
        <w:ind w:firstLine="3253" w:firstLineChars="900"/>
        <w:textAlignment w:val="auto"/>
        <w:rPr>
          <w:rFonts w:hint="eastAsia" w:ascii="宋体" w:hAnsi="宋体" w:eastAsia="宋体" w:cs="宋体"/>
          <w:b/>
          <w:color w:val="auto"/>
          <w:kern w:val="2"/>
          <w:sz w:val="36"/>
          <w:szCs w:val="20"/>
          <w:highlight w:val="none"/>
          <w:u w:val="single"/>
          <w:lang w:val="en-US" w:eastAsia="zh-CN" w:bidi="ar-SA"/>
        </w:rPr>
      </w:pPr>
      <w:r>
        <w:rPr>
          <w:rFonts w:hint="eastAsia" w:ascii="宋体" w:hAnsi="宋体" w:eastAsia="宋体" w:cs="宋体"/>
          <w:b/>
          <w:color w:val="auto"/>
          <w:kern w:val="2"/>
          <w:sz w:val="36"/>
          <w:szCs w:val="20"/>
          <w:highlight w:val="none"/>
          <w:u w:val="single"/>
          <w:lang w:val="en-US" w:eastAsia="zh-CN" w:bidi="ar-SA"/>
        </w:rPr>
        <w:t>二〇二五年八月</w:t>
      </w:r>
    </w:p>
    <w:p w14:paraId="09AAEEB0">
      <w:pPr>
        <w:pStyle w:val="68"/>
        <w:jc w:val="center"/>
        <w:rPr>
          <w:rFonts w:hint="eastAsia" w:ascii="宋体" w:hAnsi="宋体" w:eastAsia="宋体" w:cs="宋体"/>
          <w:b/>
          <w:color w:val="auto"/>
          <w:sz w:val="36"/>
          <w:szCs w:val="28"/>
          <w:lang w:val="zh-CN"/>
        </w:rPr>
      </w:pPr>
      <w:r>
        <w:rPr>
          <w:rFonts w:hint="eastAsia" w:ascii="宋体" w:hAnsi="宋体" w:eastAsia="宋体" w:cs="宋体"/>
          <w:b/>
          <w:color w:val="auto"/>
          <w:sz w:val="36"/>
          <w:szCs w:val="28"/>
          <w:lang w:val="zh-CN"/>
        </w:rPr>
        <w:t>目录</w:t>
      </w:r>
    </w:p>
    <w:p w14:paraId="4250E037">
      <w:pPr>
        <w:rPr>
          <w:rFonts w:hint="eastAsia"/>
          <w:color w:val="auto"/>
        </w:rPr>
      </w:pPr>
    </w:p>
    <w:p w14:paraId="658159FA">
      <w:pPr>
        <w:pStyle w:val="19"/>
        <w:keepNext w:val="0"/>
        <w:keepLines w:val="0"/>
        <w:pageBreakBefore w:val="0"/>
        <w:widowControl w:val="0"/>
        <w:tabs>
          <w:tab w:val="right" w:leader="underscore" w:pos="9746"/>
        </w:tabs>
        <w:kinsoku/>
        <w:wordWrap/>
        <w:overflowPunct/>
        <w:topLinePunct w:val="0"/>
        <w:autoSpaceDE/>
        <w:autoSpaceDN/>
        <w:bidi w:val="0"/>
        <w:adjustRightInd/>
        <w:snapToGrid/>
        <w:spacing w:line="800" w:lineRule="exact"/>
        <w:textAlignment w:val="auto"/>
        <w:rPr>
          <w:sz w:val="28"/>
          <w:szCs w:val="32"/>
        </w:rPr>
      </w:pPr>
      <w:r>
        <w:rPr>
          <w:rFonts w:hint="eastAsia" w:ascii="宋体" w:hAnsi="宋体" w:eastAsia="宋体" w:cs="宋体"/>
          <w:color w:val="auto"/>
          <w:sz w:val="36"/>
          <w:szCs w:val="36"/>
        </w:rPr>
        <w:fldChar w:fldCharType="begin"/>
      </w:r>
      <w:r>
        <w:rPr>
          <w:rFonts w:hint="eastAsia" w:ascii="宋体" w:hAnsi="宋体" w:eastAsia="宋体" w:cs="宋体"/>
          <w:color w:val="auto"/>
          <w:sz w:val="36"/>
          <w:szCs w:val="36"/>
        </w:rPr>
        <w:instrText xml:space="preserve"> TOC \o "1-3" \h \z \u </w:instrText>
      </w:r>
      <w:r>
        <w:rPr>
          <w:rFonts w:hint="eastAsia" w:ascii="宋体" w:hAnsi="宋体" w:eastAsia="宋体" w:cs="宋体"/>
          <w:color w:val="auto"/>
          <w:sz w:val="36"/>
          <w:szCs w:val="36"/>
        </w:rPr>
        <w:fldChar w:fldCharType="separate"/>
      </w:r>
      <w:r>
        <w:rPr>
          <w:rFonts w:hint="eastAsia" w:ascii="宋体" w:hAnsi="宋体" w:eastAsia="宋体" w:cs="宋体"/>
          <w:color w:val="auto"/>
          <w:sz w:val="28"/>
          <w:szCs w:val="48"/>
        </w:rPr>
        <w:fldChar w:fldCharType="begin"/>
      </w:r>
      <w:r>
        <w:rPr>
          <w:rFonts w:hint="eastAsia" w:ascii="宋体" w:hAnsi="宋体" w:eastAsia="宋体" w:cs="宋体"/>
          <w:sz w:val="28"/>
          <w:szCs w:val="48"/>
        </w:rPr>
        <w:instrText xml:space="preserve"> HYPERLINK \l _Toc1619 </w:instrText>
      </w:r>
      <w:r>
        <w:rPr>
          <w:rFonts w:hint="eastAsia" w:ascii="宋体" w:hAnsi="宋体" w:eastAsia="宋体" w:cs="宋体"/>
          <w:sz w:val="28"/>
          <w:szCs w:val="48"/>
        </w:rPr>
        <w:fldChar w:fldCharType="separate"/>
      </w:r>
      <w:r>
        <w:rPr>
          <w:rFonts w:hint="eastAsia" w:ascii="宋体" w:hAnsi="宋体" w:eastAsia="宋体" w:cs="宋体"/>
          <w:sz w:val="28"/>
          <w:szCs w:val="40"/>
        </w:rPr>
        <w:t>特别提醒</w:t>
      </w:r>
      <w:r>
        <w:rPr>
          <w:sz w:val="28"/>
          <w:szCs w:val="32"/>
        </w:rPr>
        <w:tab/>
      </w:r>
      <w:r>
        <w:rPr>
          <w:sz w:val="28"/>
          <w:szCs w:val="32"/>
        </w:rPr>
        <w:fldChar w:fldCharType="begin"/>
      </w:r>
      <w:r>
        <w:rPr>
          <w:sz w:val="28"/>
          <w:szCs w:val="32"/>
        </w:rPr>
        <w:instrText xml:space="preserve"> PAGEREF _Toc1619 \h </w:instrText>
      </w:r>
      <w:r>
        <w:rPr>
          <w:sz w:val="28"/>
          <w:szCs w:val="32"/>
        </w:rPr>
        <w:fldChar w:fldCharType="separate"/>
      </w:r>
      <w:r>
        <w:rPr>
          <w:sz w:val="28"/>
          <w:szCs w:val="32"/>
        </w:rPr>
        <w:t>1</w:t>
      </w:r>
      <w:r>
        <w:rPr>
          <w:sz w:val="28"/>
          <w:szCs w:val="32"/>
        </w:rPr>
        <w:fldChar w:fldCharType="end"/>
      </w:r>
      <w:r>
        <w:rPr>
          <w:rFonts w:hint="eastAsia" w:ascii="宋体" w:hAnsi="宋体" w:eastAsia="宋体" w:cs="宋体"/>
          <w:color w:val="auto"/>
          <w:sz w:val="28"/>
          <w:szCs w:val="48"/>
        </w:rPr>
        <w:fldChar w:fldCharType="end"/>
      </w:r>
    </w:p>
    <w:p w14:paraId="10F80E65">
      <w:pPr>
        <w:pStyle w:val="19"/>
        <w:keepNext w:val="0"/>
        <w:keepLines w:val="0"/>
        <w:pageBreakBefore w:val="0"/>
        <w:widowControl w:val="0"/>
        <w:tabs>
          <w:tab w:val="right" w:leader="underscore" w:pos="9746"/>
        </w:tabs>
        <w:kinsoku/>
        <w:wordWrap/>
        <w:overflowPunct/>
        <w:topLinePunct w:val="0"/>
        <w:autoSpaceDE/>
        <w:autoSpaceDN/>
        <w:bidi w:val="0"/>
        <w:adjustRightInd/>
        <w:snapToGrid/>
        <w:spacing w:line="800" w:lineRule="exact"/>
        <w:textAlignment w:val="auto"/>
        <w:rPr>
          <w:sz w:val="28"/>
          <w:szCs w:val="32"/>
        </w:rPr>
      </w:pPr>
      <w:r>
        <w:rPr>
          <w:rFonts w:hint="eastAsia" w:ascii="宋体" w:hAnsi="宋体" w:eastAsia="宋体" w:cs="宋体"/>
          <w:bCs/>
          <w:color w:val="auto"/>
          <w:sz w:val="28"/>
          <w:szCs w:val="48"/>
          <w:lang w:val="zh-CN"/>
        </w:rPr>
        <w:fldChar w:fldCharType="begin"/>
      </w:r>
      <w:r>
        <w:rPr>
          <w:rFonts w:hint="eastAsia" w:ascii="宋体" w:hAnsi="宋体" w:eastAsia="宋体" w:cs="宋体"/>
          <w:bCs/>
          <w:sz w:val="28"/>
          <w:szCs w:val="48"/>
          <w:lang w:val="zh-CN"/>
        </w:rPr>
        <w:instrText xml:space="preserve"> HYPERLINK \l _Toc8305 </w:instrText>
      </w:r>
      <w:r>
        <w:rPr>
          <w:rFonts w:hint="eastAsia" w:ascii="宋体" w:hAnsi="宋体" w:eastAsia="宋体" w:cs="宋体"/>
          <w:bCs/>
          <w:sz w:val="28"/>
          <w:szCs w:val="48"/>
          <w:lang w:val="zh-CN"/>
        </w:rPr>
        <w:fldChar w:fldCharType="separate"/>
      </w:r>
      <w:r>
        <w:rPr>
          <w:rFonts w:hint="eastAsia" w:ascii="宋体" w:hAnsi="宋体" w:eastAsia="宋体" w:cs="宋体"/>
          <w:sz w:val="28"/>
          <w:szCs w:val="40"/>
        </w:rPr>
        <w:t>第一章 竞争性磋商公告</w:t>
      </w:r>
      <w:r>
        <w:rPr>
          <w:sz w:val="28"/>
          <w:szCs w:val="32"/>
        </w:rPr>
        <w:tab/>
      </w:r>
      <w:r>
        <w:rPr>
          <w:sz w:val="28"/>
          <w:szCs w:val="32"/>
        </w:rPr>
        <w:fldChar w:fldCharType="begin"/>
      </w:r>
      <w:r>
        <w:rPr>
          <w:sz w:val="28"/>
          <w:szCs w:val="32"/>
        </w:rPr>
        <w:instrText xml:space="preserve"> PAGEREF _Toc8305 \h </w:instrText>
      </w:r>
      <w:r>
        <w:rPr>
          <w:sz w:val="28"/>
          <w:szCs w:val="32"/>
        </w:rPr>
        <w:fldChar w:fldCharType="separate"/>
      </w:r>
      <w:r>
        <w:rPr>
          <w:sz w:val="28"/>
          <w:szCs w:val="32"/>
        </w:rPr>
        <w:t>4</w:t>
      </w:r>
      <w:r>
        <w:rPr>
          <w:sz w:val="28"/>
          <w:szCs w:val="32"/>
        </w:rPr>
        <w:fldChar w:fldCharType="end"/>
      </w:r>
      <w:r>
        <w:rPr>
          <w:rFonts w:hint="eastAsia" w:ascii="宋体" w:hAnsi="宋体" w:eastAsia="宋体" w:cs="宋体"/>
          <w:bCs/>
          <w:color w:val="auto"/>
          <w:sz w:val="28"/>
          <w:szCs w:val="48"/>
          <w:lang w:val="zh-CN"/>
        </w:rPr>
        <w:fldChar w:fldCharType="end"/>
      </w:r>
    </w:p>
    <w:p w14:paraId="668D3D02">
      <w:pPr>
        <w:pStyle w:val="19"/>
        <w:keepNext w:val="0"/>
        <w:keepLines w:val="0"/>
        <w:pageBreakBefore w:val="0"/>
        <w:widowControl w:val="0"/>
        <w:tabs>
          <w:tab w:val="right" w:leader="underscore" w:pos="9746"/>
        </w:tabs>
        <w:kinsoku/>
        <w:wordWrap/>
        <w:overflowPunct/>
        <w:topLinePunct w:val="0"/>
        <w:autoSpaceDE/>
        <w:autoSpaceDN/>
        <w:bidi w:val="0"/>
        <w:adjustRightInd/>
        <w:snapToGrid/>
        <w:spacing w:line="800" w:lineRule="exact"/>
        <w:textAlignment w:val="auto"/>
        <w:rPr>
          <w:sz w:val="28"/>
          <w:szCs w:val="32"/>
        </w:rPr>
      </w:pPr>
      <w:r>
        <w:rPr>
          <w:rFonts w:hint="eastAsia" w:ascii="宋体" w:hAnsi="宋体" w:eastAsia="宋体" w:cs="宋体"/>
          <w:bCs/>
          <w:color w:val="auto"/>
          <w:sz w:val="28"/>
          <w:szCs w:val="48"/>
          <w:lang w:val="zh-CN"/>
        </w:rPr>
        <w:fldChar w:fldCharType="begin"/>
      </w:r>
      <w:r>
        <w:rPr>
          <w:rFonts w:hint="eastAsia" w:ascii="宋体" w:hAnsi="宋体" w:eastAsia="宋体" w:cs="宋体"/>
          <w:bCs/>
          <w:sz w:val="28"/>
          <w:szCs w:val="48"/>
          <w:lang w:val="zh-CN"/>
        </w:rPr>
        <w:instrText xml:space="preserve"> HYPERLINK \l _Toc28917 </w:instrText>
      </w:r>
      <w:r>
        <w:rPr>
          <w:rFonts w:hint="eastAsia" w:ascii="宋体" w:hAnsi="宋体" w:eastAsia="宋体" w:cs="宋体"/>
          <w:bCs/>
          <w:sz w:val="28"/>
          <w:szCs w:val="48"/>
          <w:lang w:val="zh-CN"/>
        </w:rPr>
        <w:fldChar w:fldCharType="separate"/>
      </w:r>
      <w:r>
        <w:rPr>
          <w:rFonts w:hint="eastAsia" w:ascii="宋体" w:hAnsi="宋体" w:eastAsia="宋体" w:cs="宋体"/>
          <w:sz w:val="28"/>
          <w:szCs w:val="40"/>
        </w:rPr>
        <w:t xml:space="preserve">第二章  </w:t>
      </w:r>
      <w:r>
        <w:rPr>
          <w:rFonts w:hint="eastAsia" w:ascii="宋体" w:hAnsi="宋体" w:eastAsia="宋体" w:cs="宋体"/>
          <w:sz w:val="28"/>
          <w:szCs w:val="40"/>
          <w:lang w:eastAsia="zh-CN"/>
        </w:rPr>
        <w:t>供应商</w:t>
      </w:r>
      <w:r>
        <w:rPr>
          <w:rFonts w:hint="eastAsia" w:ascii="宋体" w:hAnsi="宋体" w:eastAsia="宋体" w:cs="宋体"/>
          <w:sz w:val="28"/>
          <w:szCs w:val="40"/>
        </w:rPr>
        <w:t>须知</w:t>
      </w:r>
      <w:r>
        <w:rPr>
          <w:sz w:val="28"/>
          <w:szCs w:val="32"/>
        </w:rPr>
        <w:tab/>
      </w:r>
      <w:r>
        <w:rPr>
          <w:sz w:val="28"/>
          <w:szCs w:val="32"/>
        </w:rPr>
        <w:fldChar w:fldCharType="begin"/>
      </w:r>
      <w:r>
        <w:rPr>
          <w:sz w:val="28"/>
          <w:szCs w:val="32"/>
        </w:rPr>
        <w:instrText xml:space="preserve"> PAGEREF _Toc28917 \h </w:instrText>
      </w:r>
      <w:r>
        <w:rPr>
          <w:sz w:val="28"/>
          <w:szCs w:val="32"/>
        </w:rPr>
        <w:fldChar w:fldCharType="separate"/>
      </w:r>
      <w:r>
        <w:rPr>
          <w:sz w:val="28"/>
          <w:szCs w:val="32"/>
        </w:rPr>
        <w:t>9</w:t>
      </w:r>
      <w:r>
        <w:rPr>
          <w:sz w:val="28"/>
          <w:szCs w:val="32"/>
        </w:rPr>
        <w:fldChar w:fldCharType="end"/>
      </w:r>
      <w:r>
        <w:rPr>
          <w:rFonts w:hint="eastAsia" w:ascii="宋体" w:hAnsi="宋体" w:eastAsia="宋体" w:cs="宋体"/>
          <w:bCs/>
          <w:color w:val="auto"/>
          <w:sz w:val="28"/>
          <w:szCs w:val="48"/>
          <w:lang w:val="zh-CN"/>
        </w:rPr>
        <w:fldChar w:fldCharType="end"/>
      </w:r>
    </w:p>
    <w:p w14:paraId="56A70EC4">
      <w:pPr>
        <w:pStyle w:val="19"/>
        <w:keepNext w:val="0"/>
        <w:keepLines w:val="0"/>
        <w:pageBreakBefore w:val="0"/>
        <w:widowControl w:val="0"/>
        <w:tabs>
          <w:tab w:val="right" w:leader="underscore" w:pos="9746"/>
        </w:tabs>
        <w:kinsoku/>
        <w:wordWrap/>
        <w:overflowPunct/>
        <w:topLinePunct w:val="0"/>
        <w:autoSpaceDE/>
        <w:autoSpaceDN/>
        <w:bidi w:val="0"/>
        <w:adjustRightInd/>
        <w:snapToGrid/>
        <w:spacing w:line="800" w:lineRule="exact"/>
        <w:textAlignment w:val="auto"/>
        <w:rPr>
          <w:sz w:val="28"/>
          <w:szCs w:val="32"/>
        </w:rPr>
      </w:pPr>
      <w:r>
        <w:rPr>
          <w:rFonts w:hint="eastAsia" w:ascii="宋体" w:hAnsi="宋体" w:eastAsia="宋体" w:cs="宋体"/>
          <w:bCs/>
          <w:color w:val="auto"/>
          <w:sz w:val="28"/>
          <w:szCs w:val="48"/>
          <w:lang w:val="zh-CN"/>
        </w:rPr>
        <w:fldChar w:fldCharType="begin"/>
      </w:r>
      <w:r>
        <w:rPr>
          <w:rFonts w:hint="eastAsia" w:ascii="宋体" w:hAnsi="宋体" w:eastAsia="宋体" w:cs="宋体"/>
          <w:bCs/>
          <w:sz w:val="28"/>
          <w:szCs w:val="48"/>
          <w:lang w:val="zh-CN"/>
        </w:rPr>
        <w:instrText xml:space="preserve"> HYPERLINK \l _Toc30568 </w:instrText>
      </w:r>
      <w:r>
        <w:rPr>
          <w:rFonts w:hint="eastAsia" w:ascii="宋体" w:hAnsi="宋体" w:eastAsia="宋体" w:cs="宋体"/>
          <w:bCs/>
          <w:sz w:val="28"/>
          <w:szCs w:val="48"/>
          <w:lang w:val="zh-CN"/>
        </w:rPr>
        <w:fldChar w:fldCharType="separate"/>
      </w:r>
      <w:r>
        <w:rPr>
          <w:rFonts w:hint="eastAsia" w:ascii="宋体" w:hAnsi="宋体" w:eastAsia="宋体" w:cs="宋体"/>
          <w:sz w:val="28"/>
          <w:szCs w:val="40"/>
          <w:lang w:eastAsia="zh-CN"/>
        </w:rPr>
        <w:t>第三章</w:t>
      </w:r>
      <w:r>
        <w:rPr>
          <w:rFonts w:hint="eastAsia" w:ascii="宋体" w:hAnsi="宋体" w:eastAsia="宋体" w:cs="宋体"/>
          <w:sz w:val="28"/>
          <w:szCs w:val="40"/>
          <w:lang w:val="en-US" w:eastAsia="zh-CN"/>
        </w:rPr>
        <w:t xml:space="preserve">  </w:t>
      </w:r>
      <w:r>
        <w:rPr>
          <w:rFonts w:hint="eastAsia" w:ascii="宋体" w:hAnsi="宋体" w:eastAsia="宋体" w:cs="宋体"/>
          <w:sz w:val="28"/>
          <w:szCs w:val="40"/>
          <w:lang w:eastAsia="zh-CN"/>
        </w:rPr>
        <w:t>合同主要条款</w:t>
      </w:r>
      <w:r>
        <w:rPr>
          <w:sz w:val="28"/>
          <w:szCs w:val="32"/>
        </w:rPr>
        <w:tab/>
      </w:r>
      <w:r>
        <w:rPr>
          <w:sz w:val="28"/>
          <w:szCs w:val="32"/>
        </w:rPr>
        <w:fldChar w:fldCharType="begin"/>
      </w:r>
      <w:r>
        <w:rPr>
          <w:sz w:val="28"/>
          <w:szCs w:val="32"/>
        </w:rPr>
        <w:instrText xml:space="preserve"> PAGEREF _Toc30568 \h </w:instrText>
      </w:r>
      <w:r>
        <w:rPr>
          <w:sz w:val="28"/>
          <w:szCs w:val="32"/>
        </w:rPr>
        <w:fldChar w:fldCharType="separate"/>
      </w:r>
      <w:r>
        <w:rPr>
          <w:sz w:val="28"/>
          <w:szCs w:val="32"/>
        </w:rPr>
        <w:t>34</w:t>
      </w:r>
      <w:r>
        <w:rPr>
          <w:sz w:val="28"/>
          <w:szCs w:val="32"/>
        </w:rPr>
        <w:fldChar w:fldCharType="end"/>
      </w:r>
      <w:r>
        <w:rPr>
          <w:rFonts w:hint="eastAsia" w:ascii="宋体" w:hAnsi="宋体" w:eastAsia="宋体" w:cs="宋体"/>
          <w:bCs/>
          <w:color w:val="auto"/>
          <w:sz w:val="28"/>
          <w:szCs w:val="48"/>
          <w:lang w:val="zh-CN"/>
        </w:rPr>
        <w:fldChar w:fldCharType="end"/>
      </w:r>
    </w:p>
    <w:p w14:paraId="0C10D9EB">
      <w:pPr>
        <w:pStyle w:val="19"/>
        <w:keepNext w:val="0"/>
        <w:keepLines w:val="0"/>
        <w:pageBreakBefore w:val="0"/>
        <w:widowControl w:val="0"/>
        <w:tabs>
          <w:tab w:val="right" w:leader="underscore" w:pos="9746"/>
        </w:tabs>
        <w:kinsoku/>
        <w:wordWrap/>
        <w:overflowPunct/>
        <w:topLinePunct w:val="0"/>
        <w:autoSpaceDE/>
        <w:autoSpaceDN/>
        <w:bidi w:val="0"/>
        <w:adjustRightInd/>
        <w:snapToGrid/>
        <w:spacing w:line="800" w:lineRule="exact"/>
        <w:textAlignment w:val="auto"/>
        <w:rPr>
          <w:sz w:val="28"/>
          <w:szCs w:val="32"/>
        </w:rPr>
      </w:pPr>
      <w:r>
        <w:rPr>
          <w:rFonts w:hint="eastAsia" w:ascii="宋体" w:hAnsi="宋体" w:eastAsia="宋体" w:cs="宋体"/>
          <w:bCs/>
          <w:color w:val="auto"/>
          <w:sz w:val="28"/>
          <w:szCs w:val="48"/>
          <w:lang w:val="zh-CN"/>
        </w:rPr>
        <w:fldChar w:fldCharType="begin"/>
      </w:r>
      <w:r>
        <w:rPr>
          <w:rFonts w:hint="eastAsia" w:ascii="宋体" w:hAnsi="宋体" w:eastAsia="宋体" w:cs="宋体"/>
          <w:bCs/>
          <w:sz w:val="28"/>
          <w:szCs w:val="48"/>
          <w:lang w:val="zh-CN"/>
        </w:rPr>
        <w:instrText xml:space="preserve"> HYPERLINK \l _Toc21324 </w:instrText>
      </w:r>
      <w:r>
        <w:rPr>
          <w:rFonts w:hint="eastAsia" w:ascii="宋体" w:hAnsi="宋体" w:eastAsia="宋体" w:cs="宋体"/>
          <w:bCs/>
          <w:sz w:val="28"/>
          <w:szCs w:val="48"/>
          <w:lang w:val="zh-CN"/>
        </w:rPr>
        <w:fldChar w:fldCharType="separate"/>
      </w:r>
      <w:r>
        <w:rPr>
          <w:rFonts w:hint="eastAsia" w:ascii="宋体" w:hAnsi="宋体" w:eastAsia="宋体" w:cs="宋体"/>
          <w:sz w:val="28"/>
          <w:szCs w:val="40"/>
          <w:lang w:eastAsia="zh-CN"/>
        </w:rPr>
        <w:t>第四章 磋商内容及采购要求</w:t>
      </w:r>
      <w:r>
        <w:rPr>
          <w:sz w:val="28"/>
          <w:szCs w:val="32"/>
        </w:rPr>
        <w:tab/>
      </w:r>
      <w:r>
        <w:rPr>
          <w:sz w:val="28"/>
          <w:szCs w:val="32"/>
        </w:rPr>
        <w:fldChar w:fldCharType="begin"/>
      </w:r>
      <w:r>
        <w:rPr>
          <w:sz w:val="28"/>
          <w:szCs w:val="32"/>
        </w:rPr>
        <w:instrText xml:space="preserve"> PAGEREF _Toc21324 \h </w:instrText>
      </w:r>
      <w:r>
        <w:rPr>
          <w:sz w:val="28"/>
          <w:szCs w:val="32"/>
        </w:rPr>
        <w:fldChar w:fldCharType="separate"/>
      </w:r>
      <w:r>
        <w:rPr>
          <w:sz w:val="28"/>
          <w:szCs w:val="32"/>
        </w:rPr>
        <w:t>37</w:t>
      </w:r>
      <w:r>
        <w:rPr>
          <w:sz w:val="28"/>
          <w:szCs w:val="32"/>
        </w:rPr>
        <w:fldChar w:fldCharType="end"/>
      </w:r>
      <w:r>
        <w:rPr>
          <w:rFonts w:hint="eastAsia" w:ascii="宋体" w:hAnsi="宋体" w:eastAsia="宋体" w:cs="宋体"/>
          <w:bCs/>
          <w:color w:val="auto"/>
          <w:sz w:val="28"/>
          <w:szCs w:val="48"/>
          <w:lang w:val="zh-CN"/>
        </w:rPr>
        <w:fldChar w:fldCharType="end"/>
      </w:r>
    </w:p>
    <w:p w14:paraId="17D38861">
      <w:pPr>
        <w:pStyle w:val="19"/>
        <w:keepNext w:val="0"/>
        <w:keepLines w:val="0"/>
        <w:pageBreakBefore w:val="0"/>
        <w:widowControl w:val="0"/>
        <w:tabs>
          <w:tab w:val="right" w:leader="underscore" w:pos="9746"/>
        </w:tabs>
        <w:kinsoku/>
        <w:wordWrap/>
        <w:overflowPunct/>
        <w:topLinePunct w:val="0"/>
        <w:autoSpaceDE/>
        <w:autoSpaceDN/>
        <w:bidi w:val="0"/>
        <w:adjustRightInd/>
        <w:snapToGrid/>
        <w:spacing w:line="800" w:lineRule="exact"/>
        <w:textAlignment w:val="auto"/>
        <w:rPr>
          <w:sz w:val="28"/>
          <w:szCs w:val="32"/>
        </w:rPr>
      </w:pPr>
      <w:r>
        <w:rPr>
          <w:rFonts w:hint="eastAsia" w:ascii="宋体" w:hAnsi="宋体" w:eastAsia="宋体" w:cs="宋体"/>
          <w:bCs/>
          <w:color w:val="auto"/>
          <w:sz w:val="28"/>
          <w:szCs w:val="48"/>
          <w:lang w:val="zh-CN"/>
        </w:rPr>
        <w:fldChar w:fldCharType="begin"/>
      </w:r>
      <w:r>
        <w:rPr>
          <w:rFonts w:hint="eastAsia" w:ascii="宋体" w:hAnsi="宋体" w:eastAsia="宋体" w:cs="宋体"/>
          <w:bCs/>
          <w:sz w:val="28"/>
          <w:szCs w:val="48"/>
          <w:lang w:val="zh-CN"/>
        </w:rPr>
        <w:instrText xml:space="preserve"> HYPERLINK \l _Toc1803 </w:instrText>
      </w:r>
      <w:r>
        <w:rPr>
          <w:rFonts w:hint="eastAsia" w:ascii="宋体" w:hAnsi="宋体" w:eastAsia="宋体" w:cs="宋体"/>
          <w:bCs/>
          <w:sz w:val="28"/>
          <w:szCs w:val="48"/>
          <w:lang w:val="zh-CN"/>
        </w:rPr>
        <w:fldChar w:fldCharType="separate"/>
      </w:r>
      <w:r>
        <w:rPr>
          <w:rFonts w:hint="eastAsia" w:ascii="宋体" w:hAnsi="宋体" w:eastAsia="宋体" w:cs="宋体"/>
          <w:sz w:val="28"/>
          <w:szCs w:val="40"/>
          <w:lang w:eastAsia="zh-CN"/>
        </w:rPr>
        <w:t>第五章　磋商响应文件构成及基本格式</w:t>
      </w:r>
      <w:r>
        <w:rPr>
          <w:sz w:val="28"/>
          <w:szCs w:val="32"/>
        </w:rPr>
        <w:tab/>
      </w:r>
      <w:r>
        <w:rPr>
          <w:sz w:val="28"/>
          <w:szCs w:val="32"/>
        </w:rPr>
        <w:fldChar w:fldCharType="begin"/>
      </w:r>
      <w:r>
        <w:rPr>
          <w:sz w:val="28"/>
          <w:szCs w:val="32"/>
        </w:rPr>
        <w:instrText xml:space="preserve"> PAGEREF _Toc1803 \h </w:instrText>
      </w:r>
      <w:r>
        <w:rPr>
          <w:sz w:val="28"/>
          <w:szCs w:val="32"/>
        </w:rPr>
        <w:fldChar w:fldCharType="separate"/>
      </w:r>
      <w:r>
        <w:rPr>
          <w:sz w:val="28"/>
          <w:szCs w:val="32"/>
        </w:rPr>
        <w:t>41</w:t>
      </w:r>
      <w:r>
        <w:rPr>
          <w:sz w:val="28"/>
          <w:szCs w:val="32"/>
        </w:rPr>
        <w:fldChar w:fldCharType="end"/>
      </w:r>
      <w:r>
        <w:rPr>
          <w:rFonts w:hint="eastAsia" w:ascii="宋体" w:hAnsi="宋体" w:eastAsia="宋体" w:cs="宋体"/>
          <w:bCs/>
          <w:color w:val="auto"/>
          <w:sz w:val="28"/>
          <w:szCs w:val="48"/>
          <w:lang w:val="zh-CN"/>
        </w:rPr>
        <w:fldChar w:fldCharType="end"/>
      </w:r>
    </w:p>
    <w:p w14:paraId="24C93E5B">
      <w:pPr>
        <w:pStyle w:val="22"/>
        <w:tabs>
          <w:tab w:val="right" w:leader="underscore" w:pos="9746"/>
        </w:tabs>
      </w:pPr>
    </w:p>
    <w:p w14:paraId="25B3C30F">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color w:val="auto"/>
        </w:rPr>
      </w:pPr>
      <w:r>
        <w:rPr>
          <w:rFonts w:hint="eastAsia" w:ascii="宋体" w:hAnsi="宋体" w:eastAsia="宋体" w:cs="宋体"/>
          <w:bCs/>
          <w:color w:val="auto"/>
          <w:szCs w:val="36"/>
          <w:lang w:val="zh-CN"/>
        </w:rPr>
        <w:fldChar w:fldCharType="end"/>
      </w:r>
    </w:p>
    <w:p w14:paraId="48DB4A81">
      <w:pPr>
        <w:rPr>
          <w:rFonts w:hint="eastAsia" w:ascii="宋体" w:hAnsi="宋体" w:eastAsia="宋体" w:cs="宋体"/>
          <w:color w:val="auto"/>
        </w:rPr>
      </w:pPr>
    </w:p>
    <w:p w14:paraId="7F132C1E">
      <w:pPr>
        <w:widowControl/>
        <w:jc w:val="left"/>
        <w:rPr>
          <w:rFonts w:hint="eastAsia" w:ascii="宋体" w:hAnsi="宋体" w:eastAsia="宋体" w:cs="宋体"/>
          <w:b/>
          <w:color w:val="auto"/>
          <w:sz w:val="10"/>
        </w:rPr>
      </w:pPr>
      <w:r>
        <w:rPr>
          <w:rFonts w:hint="eastAsia" w:ascii="宋体" w:hAnsi="宋体" w:eastAsia="宋体" w:cs="宋体"/>
          <w:b/>
          <w:color w:val="auto"/>
          <w:sz w:val="10"/>
        </w:rPr>
        <w:br w:type="page"/>
      </w:r>
    </w:p>
    <w:p w14:paraId="32FCC8F5">
      <w:pPr>
        <w:tabs>
          <w:tab w:val="left" w:pos="1560"/>
        </w:tabs>
        <w:jc w:val="center"/>
        <w:rPr>
          <w:rFonts w:hint="eastAsia" w:ascii="宋体" w:hAnsi="宋体" w:eastAsia="宋体" w:cs="宋体"/>
          <w:b/>
          <w:color w:val="auto"/>
          <w:sz w:val="10"/>
          <w:lang w:eastAsia="zh-CN"/>
        </w:rPr>
        <w:sectPr>
          <w:headerReference r:id="rId3" w:type="even"/>
          <w:pgSz w:w="11906" w:h="16838"/>
          <w:pgMar w:top="1440" w:right="1080" w:bottom="1440" w:left="1080" w:header="851" w:footer="992" w:gutter="0"/>
          <w:cols w:space="425" w:num="1"/>
          <w:docGrid w:type="lines" w:linePitch="312" w:charSpace="0"/>
        </w:sectPr>
      </w:pPr>
    </w:p>
    <w:p w14:paraId="069D641F">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color w:val="auto"/>
          <w:sz w:val="28"/>
          <w:szCs w:val="28"/>
        </w:rPr>
      </w:pPr>
      <w:bookmarkStart w:id="0" w:name="_Toc1619"/>
      <w:r>
        <w:rPr>
          <w:rFonts w:hint="eastAsia" w:ascii="宋体" w:hAnsi="宋体" w:eastAsia="宋体" w:cs="宋体"/>
          <w:b/>
          <w:color w:val="auto"/>
          <w:sz w:val="28"/>
          <w:szCs w:val="28"/>
        </w:rPr>
        <w:t>特别提醒</w:t>
      </w:r>
      <w:bookmarkEnd w:id="0"/>
    </w:p>
    <w:p w14:paraId="575E87B2">
      <w:pPr>
        <w:keepNext w:val="0"/>
        <w:keepLines w:val="0"/>
        <w:pageBreakBefore w:val="0"/>
        <w:wordWrap/>
        <w:overflowPunct/>
        <w:topLinePunct w:val="0"/>
        <w:bidi w:val="0"/>
        <w:spacing w:before="89" w:line="360" w:lineRule="auto"/>
        <w:ind w:right="3817"/>
        <w:jc w:val="left"/>
        <w:rPr>
          <w:rFonts w:hint="eastAsia" w:ascii="宋体" w:hAnsi="宋体" w:eastAsia="宋体" w:cs="宋体"/>
          <w:color w:val="auto"/>
          <w:sz w:val="21"/>
        </w:rPr>
      </w:pPr>
      <w:r>
        <w:rPr>
          <w:rFonts w:hint="eastAsia" w:ascii="宋体" w:hAnsi="宋体" w:eastAsia="宋体" w:cs="宋体"/>
          <w:color w:val="auto"/>
          <w:sz w:val="21"/>
        </w:rPr>
        <w:t>一、关于需要特别提醒供应商的内容</w:t>
      </w:r>
    </w:p>
    <w:p w14:paraId="585264BD">
      <w:pPr>
        <w:keepNext w:val="0"/>
        <w:keepLines w:val="0"/>
        <w:pageBreakBefore w:val="0"/>
        <w:wordWrap/>
        <w:overflowPunct/>
        <w:topLinePunct w:val="0"/>
        <w:bidi w:val="0"/>
        <w:spacing w:before="0" w:line="360" w:lineRule="auto"/>
        <w:ind w:right="325" w:firstLine="398" w:firstLineChars="200"/>
        <w:jc w:val="left"/>
        <w:rPr>
          <w:rFonts w:hint="eastAsia" w:ascii="宋体" w:hAnsi="宋体" w:eastAsia="宋体" w:cs="宋体"/>
          <w:color w:val="auto"/>
          <w:sz w:val="21"/>
        </w:rPr>
      </w:pPr>
      <w:r>
        <w:rPr>
          <w:rFonts w:hint="eastAsia" w:ascii="宋体" w:hAnsi="宋体" w:eastAsia="宋体" w:cs="宋体"/>
          <w:color w:val="auto"/>
          <w:w w:val="95"/>
          <w:sz w:val="21"/>
        </w:rPr>
        <w:t>1</w:t>
      </w:r>
      <w:r>
        <w:rPr>
          <w:rFonts w:hint="eastAsia" w:ascii="宋体" w:hAnsi="宋体" w:eastAsia="宋体" w:cs="宋体"/>
          <w:color w:val="auto"/>
          <w:sz w:val="21"/>
        </w:rPr>
        <w:t>、本项目采用电子化投标及远程不见面开标方式（无需提供纸质版文件，无需到开标现场）。开标时请务必携带数字认证证书，如因供应商自身原因未携带数字认证证书造成无法解密投标文件，按无效投标对待。</w:t>
      </w:r>
    </w:p>
    <w:p w14:paraId="2D8BA2FC">
      <w:pPr>
        <w:keepNext w:val="0"/>
        <w:keepLines w:val="0"/>
        <w:pageBreakBefore w:val="0"/>
        <w:wordWrap/>
        <w:overflowPunct/>
        <w:topLinePunct w:val="0"/>
        <w:bidi w:val="0"/>
        <w:spacing w:before="0" w:line="360" w:lineRule="auto"/>
        <w:ind w:right="428" w:firstLine="420" w:firstLineChars="200"/>
        <w:jc w:val="left"/>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pacing w:val="-9"/>
          <w:sz w:val="21"/>
        </w:rPr>
        <w:t>、电子开标、评标无法进行时，按照《安康市公共资源交易平台电子化交易应急处置管理办法(试行)》规定执行。</w:t>
      </w:r>
    </w:p>
    <w:p w14:paraId="5C9730A9">
      <w:pPr>
        <w:keepNext w:val="0"/>
        <w:keepLines w:val="0"/>
        <w:pageBreakBefore w:val="0"/>
        <w:wordWrap/>
        <w:overflowPunct/>
        <w:topLinePunct w:val="0"/>
        <w:bidi w:val="0"/>
        <w:spacing w:before="0" w:line="360" w:lineRule="auto"/>
        <w:ind w:right="0" w:firstLine="420" w:firstLineChars="200"/>
        <w:jc w:val="left"/>
        <w:rPr>
          <w:rFonts w:hint="eastAsia" w:ascii="宋体" w:hAnsi="宋体" w:eastAsia="宋体" w:cs="宋体"/>
          <w:color w:val="auto"/>
          <w:sz w:val="15"/>
        </w:rPr>
      </w:pPr>
      <w:r>
        <w:rPr>
          <w:rFonts w:hint="eastAsia" w:ascii="宋体" w:hAnsi="宋体" w:eastAsia="宋体" w:cs="宋体"/>
          <w:color w:val="auto"/>
          <w:sz w:val="21"/>
        </w:rPr>
        <w:t>3、制作电子投标文件</w:t>
      </w:r>
    </w:p>
    <w:p w14:paraId="3CD61ADC">
      <w:pPr>
        <w:keepNext w:val="0"/>
        <w:keepLines w:val="0"/>
        <w:pageBreakBefore w:val="0"/>
        <w:wordWrap/>
        <w:overflowPunct/>
        <w:topLinePunct w:val="0"/>
        <w:bidi w:val="0"/>
        <w:spacing w:before="1" w:line="360" w:lineRule="auto"/>
        <w:ind w:right="421" w:firstLine="404" w:firstLineChars="200"/>
        <w:jc w:val="both"/>
        <w:rPr>
          <w:rFonts w:hint="eastAsia" w:ascii="宋体" w:hAnsi="宋体" w:eastAsia="宋体" w:cs="宋体"/>
          <w:color w:val="auto"/>
          <w:sz w:val="21"/>
        </w:rPr>
      </w:pPr>
      <w:r>
        <w:rPr>
          <w:rFonts w:hint="eastAsia" w:ascii="宋体" w:hAnsi="宋体" w:eastAsia="宋体" w:cs="宋体"/>
          <w:color w:val="auto"/>
          <w:spacing w:val="-4"/>
          <w:sz w:val="21"/>
        </w:rPr>
        <w:t>投标供应商须在“全国公共资源交易中心平台</w:t>
      </w:r>
      <w:r>
        <w:rPr>
          <w:rFonts w:hint="eastAsia" w:ascii="宋体" w:hAnsi="宋体" w:eastAsia="宋体" w:cs="宋体"/>
          <w:color w:val="auto"/>
          <w:sz w:val="21"/>
        </w:rPr>
        <w:t>（陕西省）（</w:t>
      </w:r>
      <w:r>
        <w:rPr>
          <w:rFonts w:hint="eastAsia" w:ascii="宋体" w:hAnsi="宋体" w:eastAsia="宋体" w:cs="宋体"/>
          <w:color w:val="auto"/>
          <w:sz w:val="21"/>
        </w:rPr>
        <w:fldChar w:fldCharType="begin"/>
      </w:r>
      <w:r>
        <w:rPr>
          <w:rFonts w:hint="eastAsia" w:ascii="宋体" w:hAnsi="宋体" w:eastAsia="宋体" w:cs="宋体"/>
          <w:color w:val="auto"/>
          <w:sz w:val="21"/>
        </w:rPr>
        <w:instrText xml:space="preserve"> HYPERLINK "http://www.sxggzyjy.cn/" \h </w:instrText>
      </w:r>
      <w:r>
        <w:rPr>
          <w:rFonts w:hint="eastAsia" w:ascii="宋体" w:hAnsi="宋体" w:eastAsia="宋体" w:cs="宋体"/>
          <w:color w:val="auto"/>
          <w:sz w:val="21"/>
        </w:rPr>
        <w:fldChar w:fldCharType="separate"/>
      </w:r>
      <w:r>
        <w:rPr>
          <w:rFonts w:hint="eastAsia" w:ascii="宋体" w:hAnsi="宋体" w:eastAsia="宋体" w:cs="宋体"/>
          <w:color w:val="auto"/>
          <w:sz w:val="21"/>
        </w:rPr>
        <w:t>http://www.sxggzyjy.cn/</w:t>
      </w:r>
      <w:r>
        <w:rPr>
          <w:rFonts w:hint="eastAsia" w:ascii="宋体" w:hAnsi="宋体" w:eastAsia="宋体" w:cs="宋体"/>
          <w:color w:val="auto"/>
          <w:sz w:val="21"/>
        </w:rPr>
        <w:fldChar w:fldCharType="end"/>
      </w:r>
      <w:r>
        <w:rPr>
          <w:rFonts w:hint="eastAsia" w:ascii="宋体" w:hAnsi="宋体" w:eastAsia="宋体" w:cs="宋体"/>
          <w:color w:val="auto"/>
          <w:sz w:val="21"/>
        </w:rPr>
        <w:t>）”的“服务指南”栏目“下载专区”中，免费下载“陕西省公共资源交易平台政府采购电子标书制作工具(V8.0.1.11 )”，并升级至最新版本，使用该客户端制作电子投标文件，制作扩展名为“.SXSTF”的   电子投标文件。”</w:t>
      </w:r>
    </w:p>
    <w:p w14:paraId="15C3E6E6">
      <w:pPr>
        <w:keepNext w:val="0"/>
        <w:keepLines w:val="0"/>
        <w:pageBreakBefore w:val="0"/>
        <w:wordWrap/>
        <w:overflowPunct/>
        <w:topLinePunct w:val="0"/>
        <w:bidi w:val="0"/>
        <w:spacing w:before="0" w:line="360" w:lineRule="auto"/>
        <w:ind w:right="0" w:firstLine="420" w:firstLineChars="200"/>
        <w:jc w:val="left"/>
        <w:rPr>
          <w:rFonts w:hint="eastAsia" w:ascii="宋体" w:hAnsi="宋体" w:eastAsia="宋体" w:cs="宋体"/>
          <w:color w:val="auto"/>
          <w:sz w:val="15"/>
        </w:rPr>
      </w:pPr>
      <w:r>
        <w:rPr>
          <w:rFonts w:hint="eastAsia" w:ascii="宋体" w:hAnsi="宋体" w:eastAsia="宋体" w:cs="宋体"/>
          <w:color w:val="auto"/>
          <w:sz w:val="21"/>
        </w:rPr>
        <w:t>4、递交电子投标文件</w:t>
      </w:r>
    </w:p>
    <w:p w14:paraId="707F251B">
      <w:pPr>
        <w:keepNext w:val="0"/>
        <w:keepLines w:val="0"/>
        <w:pageBreakBefore w:val="0"/>
        <w:wordWrap/>
        <w:overflowPunct/>
        <w:topLinePunct w:val="0"/>
        <w:bidi w:val="0"/>
        <w:spacing w:before="0" w:line="360" w:lineRule="auto"/>
        <w:ind w:right="428" w:firstLine="420" w:firstLineChars="200"/>
        <w:jc w:val="both"/>
        <w:rPr>
          <w:rFonts w:hint="eastAsia" w:ascii="宋体" w:hAnsi="宋体" w:eastAsia="宋体" w:cs="宋体"/>
          <w:color w:val="auto"/>
          <w:sz w:val="21"/>
        </w:rPr>
      </w:pPr>
      <w:r>
        <w:rPr>
          <w:rFonts w:hint="eastAsia" w:ascii="宋体" w:hAnsi="宋体" w:eastAsia="宋体" w:cs="宋体"/>
          <w:color w:val="auto"/>
          <w:sz w:val="21"/>
        </w:rPr>
        <w:t>登录全国公共资源交易中心平台（陕西省）（</w:t>
      </w:r>
      <w:r>
        <w:rPr>
          <w:rFonts w:hint="eastAsia" w:ascii="宋体" w:hAnsi="宋体" w:eastAsia="宋体" w:cs="宋体"/>
          <w:color w:val="auto"/>
          <w:sz w:val="21"/>
        </w:rPr>
        <w:fldChar w:fldCharType="begin"/>
      </w:r>
      <w:r>
        <w:rPr>
          <w:rFonts w:hint="eastAsia" w:ascii="宋体" w:hAnsi="宋体" w:eastAsia="宋体" w:cs="宋体"/>
          <w:color w:val="auto"/>
          <w:sz w:val="21"/>
        </w:rPr>
        <w:instrText xml:space="preserve"> HYPERLINK "http://www.sxggzyjy.cn/" \h </w:instrText>
      </w:r>
      <w:r>
        <w:rPr>
          <w:rFonts w:hint="eastAsia" w:ascii="宋体" w:hAnsi="宋体" w:eastAsia="宋体" w:cs="宋体"/>
          <w:color w:val="auto"/>
          <w:sz w:val="21"/>
        </w:rPr>
        <w:fldChar w:fldCharType="separate"/>
      </w:r>
      <w:r>
        <w:rPr>
          <w:rFonts w:hint="eastAsia" w:ascii="宋体" w:hAnsi="宋体" w:eastAsia="宋体" w:cs="宋体"/>
          <w:color w:val="auto"/>
          <w:sz w:val="21"/>
        </w:rPr>
        <w:t>http://www.sxggzyjy.cn/</w:t>
      </w:r>
      <w:r>
        <w:rPr>
          <w:rFonts w:hint="eastAsia" w:ascii="宋体" w:hAnsi="宋体" w:eastAsia="宋体" w:cs="宋体"/>
          <w:color w:val="auto"/>
          <w:sz w:val="21"/>
        </w:rPr>
        <w:fldChar w:fldCharType="end"/>
      </w:r>
      <w:r>
        <w:rPr>
          <w:rFonts w:hint="eastAsia" w:ascii="宋体" w:hAnsi="宋体" w:eastAsia="宋体" w:cs="宋体"/>
          <w:color w:val="auto"/>
          <w:sz w:val="21"/>
        </w:rPr>
        <w:t>），选择“电子交易平   台—陕西政府采购交易系统—企业端”进行登录，登录后选择“交易乙方”身份进入，进入菜单“采购业务—我的项目——项目流程——上传响应文件”，上传加密的电子投标文件。上传成功后，电子化平台将予以记录。</w:t>
      </w:r>
    </w:p>
    <w:p w14:paraId="590866FF">
      <w:pPr>
        <w:keepNext w:val="0"/>
        <w:keepLines w:val="0"/>
        <w:pageBreakBefore w:val="0"/>
        <w:wordWrap/>
        <w:overflowPunct/>
        <w:topLinePunct w:val="0"/>
        <w:bidi w:val="0"/>
        <w:spacing w:before="0" w:line="360" w:lineRule="auto"/>
        <w:ind w:right="0"/>
        <w:jc w:val="left"/>
        <w:rPr>
          <w:rFonts w:hint="eastAsia" w:ascii="宋体" w:hAnsi="宋体" w:eastAsia="宋体" w:cs="宋体"/>
          <w:color w:val="auto"/>
          <w:sz w:val="15"/>
        </w:rPr>
      </w:pPr>
      <w:r>
        <w:rPr>
          <w:rFonts w:hint="eastAsia" w:ascii="宋体" w:hAnsi="宋体" w:eastAsia="宋体" w:cs="宋体"/>
          <w:color w:val="auto"/>
          <w:sz w:val="21"/>
        </w:rPr>
        <w:t>二、关于投标</w:t>
      </w:r>
    </w:p>
    <w:p w14:paraId="5A2975D6">
      <w:pPr>
        <w:keepNext w:val="0"/>
        <w:keepLines w:val="0"/>
        <w:pageBreakBefore w:val="0"/>
        <w:wordWrap/>
        <w:overflowPunct/>
        <w:topLinePunct w:val="0"/>
        <w:bidi w:val="0"/>
        <w:spacing w:before="0" w:line="360" w:lineRule="auto"/>
        <w:ind w:right="431" w:firstLine="420" w:firstLineChars="200"/>
        <w:jc w:val="left"/>
        <w:rPr>
          <w:rFonts w:hint="eastAsia" w:ascii="宋体" w:hAnsi="宋体" w:eastAsia="宋体" w:cs="宋体"/>
          <w:color w:val="auto"/>
          <w:sz w:val="21"/>
        </w:rPr>
      </w:pPr>
      <w:r>
        <w:rPr>
          <w:rFonts w:hint="eastAsia" w:ascii="宋体" w:hAnsi="宋体" w:eastAsia="宋体" w:cs="宋体"/>
          <w:color w:val="auto"/>
          <w:sz w:val="21"/>
        </w:rPr>
        <w:t>1</w:t>
      </w:r>
      <w:r>
        <w:rPr>
          <w:rFonts w:hint="eastAsia" w:ascii="宋体" w:hAnsi="宋体" w:eastAsia="宋体" w:cs="宋体"/>
          <w:color w:val="auto"/>
          <w:spacing w:val="-10"/>
          <w:sz w:val="21"/>
        </w:rPr>
        <w:t>、</w:t>
      </w:r>
      <w:r>
        <w:rPr>
          <w:rFonts w:hint="eastAsia" w:ascii="宋体" w:hAnsi="宋体" w:eastAsia="宋体" w:cs="宋体"/>
          <w:color w:val="auto"/>
          <w:spacing w:val="-10"/>
          <w:sz w:val="21"/>
          <w:lang w:eastAsia="zh-CN"/>
        </w:rPr>
        <w:t>报名</w:t>
      </w:r>
      <w:r>
        <w:rPr>
          <w:rFonts w:hint="eastAsia" w:ascii="宋体" w:hAnsi="宋体" w:eastAsia="宋体" w:cs="宋体"/>
          <w:color w:val="auto"/>
          <w:spacing w:val="-10"/>
          <w:sz w:val="21"/>
        </w:rPr>
        <w:t xml:space="preserve">须知：使用捆绑省交易平台的 </w:t>
      </w:r>
      <w:r>
        <w:rPr>
          <w:rFonts w:hint="eastAsia" w:ascii="宋体" w:hAnsi="宋体" w:eastAsia="宋体" w:cs="宋体"/>
          <w:color w:val="auto"/>
          <w:sz w:val="21"/>
        </w:rPr>
        <w:t xml:space="preserve">CA </w:t>
      </w:r>
      <w:r>
        <w:rPr>
          <w:rFonts w:hint="eastAsia" w:ascii="宋体" w:hAnsi="宋体" w:eastAsia="宋体" w:cs="宋体"/>
          <w:color w:val="auto"/>
          <w:spacing w:val="-2"/>
          <w:sz w:val="21"/>
        </w:rPr>
        <w:t>锁登录电子交易平台，通过政府采购系统企业端进入，点击我要投标，完善相关投标信息；</w:t>
      </w:r>
    </w:p>
    <w:p w14:paraId="11183860">
      <w:pPr>
        <w:keepNext w:val="0"/>
        <w:keepLines w:val="0"/>
        <w:pageBreakBefore w:val="0"/>
        <w:wordWrap/>
        <w:overflowPunct/>
        <w:topLinePunct w:val="0"/>
        <w:bidi w:val="0"/>
        <w:spacing w:before="0" w:line="360" w:lineRule="auto"/>
        <w:ind w:right="428"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2</w:t>
      </w:r>
      <w:r>
        <w:rPr>
          <w:rFonts w:hint="eastAsia" w:ascii="宋体" w:hAnsi="宋体" w:eastAsia="宋体" w:cs="宋体"/>
          <w:color w:val="auto"/>
          <w:sz w:val="21"/>
        </w:rPr>
        <w:t>、未完成网上投标成功的或未经采购代理公司</w:t>
      </w:r>
      <w:r>
        <w:rPr>
          <w:rFonts w:hint="eastAsia" w:ascii="宋体" w:hAnsi="宋体" w:eastAsia="宋体" w:cs="宋体"/>
          <w:color w:val="auto"/>
          <w:sz w:val="21"/>
          <w:lang w:eastAsia="zh-CN"/>
        </w:rPr>
        <w:t>报名</w:t>
      </w:r>
      <w:r>
        <w:rPr>
          <w:rFonts w:hint="eastAsia" w:ascii="宋体" w:hAnsi="宋体" w:eastAsia="宋体" w:cs="宋体"/>
          <w:color w:val="auto"/>
          <w:sz w:val="21"/>
        </w:rPr>
        <w:t>确认或未在规定时间内在平台上下载文件的，无法完成后续流程；</w:t>
      </w:r>
    </w:p>
    <w:p w14:paraId="304281D8">
      <w:pPr>
        <w:keepNext w:val="0"/>
        <w:keepLines w:val="0"/>
        <w:pageBreakBefore w:val="0"/>
        <w:wordWrap/>
        <w:overflowPunct/>
        <w:topLinePunct w:val="0"/>
        <w:bidi w:val="0"/>
        <w:spacing w:before="0" w:line="360" w:lineRule="auto"/>
        <w:ind w:right="428"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3</w:t>
      </w:r>
      <w:r>
        <w:rPr>
          <w:rFonts w:hint="eastAsia" w:ascii="宋体" w:hAnsi="宋体" w:eastAsia="宋体" w:cs="宋体"/>
          <w:color w:val="auto"/>
          <w:sz w:val="21"/>
        </w:rPr>
        <w:t>、本项目采用电子化投标及远程不见面开标方式（无需提供纸质版文件，无需到开标现场）的方式，相关操作流程详见全国公共资源交易平台（陕西省）网站[服务指南-下载专区]中的《陕西省公共资源交易中心政府采购项目投标指南》；</w:t>
      </w:r>
    </w:p>
    <w:p w14:paraId="6066D6A8">
      <w:pPr>
        <w:keepNext w:val="0"/>
        <w:keepLines w:val="0"/>
        <w:pageBreakBefore w:val="0"/>
        <w:wordWrap/>
        <w:overflowPunct/>
        <w:topLinePunct w:val="0"/>
        <w:bidi w:val="0"/>
        <w:spacing w:before="0" w:line="360" w:lineRule="auto"/>
        <w:ind w:right="428"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4</w:t>
      </w:r>
      <w:r>
        <w:rPr>
          <w:rFonts w:hint="eastAsia" w:ascii="宋体" w:hAnsi="宋体" w:eastAsia="宋体" w:cs="宋体"/>
          <w:color w:val="auto"/>
          <w:sz w:val="21"/>
        </w:rPr>
        <w:t>、电子</w:t>
      </w:r>
      <w:r>
        <w:rPr>
          <w:rFonts w:hint="eastAsia" w:ascii="宋体" w:hAnsi="宋体" w:eastAsia="宋体" w:cs="宋体"/>
          <w:color w:val="auto"/>
          <w:sz w:val="21"/>
          <w:lang w:eastAsia="zh-CN"/>
        </w:rPr>
        <w:t>招标</w:t>
      </w:r>
      <w:r>
        <w:rPr>
          <w:rFonts w:hint="eastAsia" w:ascii="宋体" w:hAnsi="宋体" w:eastAsia="宋体" w:cs="宋体"/>
          <w:color w:val="auto"/>
          <w:sz w:val="21"/>
        </w:rPr>
        <w:t>文件技术支持：4009280095、4009980000。</w:t>
      </w:r>
    </w:p>
    <w:p w14:paraId="4081E47C">
      <w:pPr>
        <w:keepNext w:val="0"/>
        <w:keepLines w:val="0"/>
        <w:pageBreakBefore w:val="0"/>
        <w:wordWrap/>
        <w:overflowPunct/>
        <w:topLinePunct w:val="0"/>
        <w:bidi w:val="0"/>
        <w:spacing w:before="89" w:line="360" w:lineRule="auto"/>
        <w:ind w:right="0"/>
        <w:jc w:val="left"/>
        <w:rPr>
          <w:rFonts w:hint="eastAsia" w:ascii="宋体" w:hAnsi="宋体" w:eastAsia="宋体" w:cs="宋体"/>
          <w:color w:val="auto"/>
          <w:sz w:val="15"/>
        </w:rPr>
      </w:pPr>
      <w:r>
        <w:rPr>
          <w:rFonts w:hint="eastAsia" w:ascii="宋体" w:hAnsi="宋体" w:eastAsia="宋体" w:cs="宋体"/>
          <w:color w:val="auto"/>
          <w:sz w:val="21"/>
        </w:rPr>
        <w:t>三、关于文件的制作和签名</w:t>
      </w:r>
    </w:p>
    <w:p w14:paraId="7E8B90BC">
      <w:pPr>
        <w:pStyle w:val="72"/>
        <w:keepNext w:val="0"/>
        <w:keepLines w:val="0"/>
        <w:pageBreakBefore w:val="0"/>
        <w:numPr>
          <w:ilvl w:val="0"/>
          <w:numId w:val="0"/>
        </w:numPr>
        <w:tabs>
          <w:tab w:val="left" w:pos="928"/>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1、</w:t>
      </w:r>
      <w:r>
        <w:rPr>
          <w:rFonts w:hint="eastAsia" w:ascii="宋体" w:hAnsi="宋体" w:eastAsia="宋体" w:cs="宋体"/>
          <w:color w:val="auto"/>
          <w:sz w:val="21"/>
        </w:rPr>
        <w:t>为确保采购项目顺利开展，本项目采用电子化投标及远程不见面开标方式</w:t>
      </w:r>
      <w:r>
        <w:rPr>
          <w:rFonts w:hint="eastAsia" w:ascii="宋体" w:hAnsi="宋体" w:eastAsia="宋体" w:cs="宋体"/>
          <w:color w:val="auto"/>
          <w:spacing w:val="4"/>
          <w:sz w:val="21"/>
        </w:rPr>
        <w:t>（</w:t>
      </w:r>
      <w:r>
        <w:rPr>
          <w:rFonts w:hint="eastAsia" w:ascii="宋体" w:hAnsi="宋体" w:eastAsia="宋体" w:cs="宋体"/>
          <w:color w:val="auto"/>
          <w:sz w:val="21"/>
        </w:rPr>
        <w:t>无需提供纸质版文件，无需到开标现场）。投投标供应商须使用数字认证证书在全省统一交易平台填写投标信息，对电子投标文件进行签章、加密、递交及开标时解密等相关招投标事宜。加密和解密必须为同一数字认证证书，否则将会导致解密失败。如因供应商自身原因，造成无法完成电子流程的，按无效投标对待。</w:t>
      </w:r>
    </w:p>
    <w:p w14:paraId="5533C0A1">
      <w:pPr>
        <w:pStyle w:val="72"/>
        <w:keepNext w:val="0"/>
        <w:keepLines w:val="0"/>
        <w:pageBreakBefore w:val="0"/>
        <w:numPr>
          <w:ilvl w:val="0"/>
          <w:numId w:val="0"/>
        </w:numPr>
        <w:tabs>
          <w:tab w:val="left" w:pos="1031"/>
        </w:tabs>
        <w:wordWrap/>
        <w:overflowPunct/>
        <w:topLinePunct w:val="0"/>
        <w:bidi w:val="0"/>
        <w:spacing w:before="0" w:after="0" w:line="360" w:lineRule="auto"/>
        <w:ind w:right="431"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2、</w:t>
      </w:r>
      <w:r>
        <w:rPr>
          <w:rFonts w:hint="eastAsia" w:ascii="宋体" w:hAnsi="宋体" w:eastAsia="宋体" w:cs="宋体"/>
          <w:color w:val="auto"/>
          <w:sz w:val="21"/>
        </w:rPr>
        <w:t>编制电子投标文件时，应使用最新发布的电子</w:t>
      </w:r>
      <w:r>
        <w:rPr>
          <w:rFonts w:hint="eastAsia" w:ascii="宋体" w:hAnsi="宋体" w:eastAsia="宋体" w:cs="宋体"/>
          <w:color w:val="auto"/>
          <w:sz w:val="21"/>
          <w:lang w:eastAsia="zh-CN"/>
        </w:rPr>
        <w:t>招标</w:t>
      </w:r>
      <w:r>
        <w:rPr>
          <w:rFonts w:hint="eastAsia" w:ascii="宋体" w:hAnsi="宋体" w:eastAsia="宋体" w:cs="宋体"/>
          <w:color w:val="auto"/>
          <w:sz w:val="21"/>
        </w:rPr>
        <w:t>文件及专用制作工具进行编制。并使用数</w:t>
      </w:r>
      <w:r>
        <w:rPr>
          <w:rFonts w:hint="eastAsia" w:ascii="宋体" w:hAnsi="宋体" w:eastAsia="宋体" w:cs="宋体"/>
          <w:color w:val="auto"/>
          <w:spacing w:val="-3"/>
          <w:sz w:val="21"/>
        </w:rPr>
        <w:t>字认证证书（CA）对电子投标文件进行签署、加密、递交及开标时解密等相关操作。</w:t>
      </w:r>
    </w:p>
    <w:p w14:paraId="7BF69FF9">
      <w:pPr>
        <w:pStyle w:val="72"/>
        <w:keepNext w:val="0"/>
        <w:keepLines w:val="0"/>
        <w:pageBreakBefore w:val="0"/>
        <w:numPr>
          <w:ilvl w:val="0"/>
          <w:numId w:val="0"/>
        </w:numPr>
        <w:tabs>
          <w:tab w:val="left" w:pos="1294"/>
        </w:tabs>
        <w:wordWrap/>
        <w:overflowPunct/>
        <w:topLinePunct w:val="0"/>
        <w:bidi w:val="0"/>
        <w:spacing w:before="0" w:after="0" w:line="360" w:lineRule="auto"/>
        <w:ind w:right="0" w:rightChars="0" w:firstLine="420" w:firstLineChars="200"/>
        <w:jc w:val="left"/>
        <w:rPr>
          <w:rFonts w:hint="eastAsia" w:ascii="宋体" w:hAnsi="宋体" w:eastAsia="宋体" w:cs="宋体"/>
          <w:color w:val="auto"/>
          <w:sz w:val="15"/>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1</w:t>
      </w:r>
      <w:r>
        <w:rPr>
          <w:rFonts w:hint="eastAsia" w:ascii="宋体" w:hAnsi="宋体" w:eastAsia="宋体" w:cs="宋体"/>
          <w:color w:val="auto"/>
          <w:sz w:val="21"/>
          <w:lang w:eastAsia="zh-CN"/>
        </w:rPr>
        <w:t>）</w:t>
      </w:r>
      <w:r>
        <w:rPr>
          <w:rFonts w:hint="eastAsia" w:ascii="宋体" w:hAnsi="宋体" w:eastAsia="宋体" w:cs="宋体"/>
          <w:color w:val="auto"/>
          <w:sz w:val="21"/>
        </w:rPr>
        <w:t>电子</w:t>
      </w:r>
      <w:r>
        <w:rPr>
          <w:rFonts w:hint="eastAsia" w:ascii="宋体" w:hAnsi="宋体" w:eastAsia="宋体" w:cs="宋体"/>
          <w:color w:val="auto"/>
          <w:sz w:val="21"/>
          <w:lang w:eastAsia="zh-CN"/>
        </w:rPr>
        <w:t>招标</w:t>
      </w:r>
      <w:r>
        <w:rPr>
          <w:rFonts w:hint="eastAsia" w:ascii="宋体" w:hAnsi="宋体" w:eastAsia="宋体" w:cs="宋体"/>
          <w:color w:val="auto"/>
          <w:sz w:val="21"/>
        </w:rPr>
        <w:t>文件下载</w:t>
      </w:r>
    </w:p>
    <w:p w14:paraId="2F0BCAA6">
      <w:pPr>
        <w:keepNext w:val="0"/>
        <w:keepLines w:val="0"/>
        <w:pageBreakBefore w:val="0"/>
        <w:wordWrap/>
        <w:overflowPunct/>
        <w:topLinePunct w:val="0"/>
        <w:bidi w:val="0"/>
        <w:spacing w:before="0" w:line="360" w:lineRule="auto"/>
        <w:ind w:right="428" w:firstLine="420" w:firstLineChars="200"/>
        <w:jc w:val="left"/>
        <w:rPr>
          <w:rFonts w:hint="eastAsia" w:ascii="宋体" w:hAnsi="宋体" w:eastAsia="宋体" w:cs="宋体"/>
          <w:color w:val="auto"/>
          <w:sz w:val="21"/>
          <w:szCs w:val="22"/>
          <w:lang w:val="zh-CN" w:eastAsia="zh-CN" w:bidi="zh-CN"/>
        </w:rPr>
      </w:pPr>
      <w:r>
        <w:rPr>
          <w:rFonts w:hint="eastAsia" w:ascii="宋体" w:hAnsi="宋体" w:eastAsia="宋体" w:cs="宋体"/>
          <w:color w:val="auto"/>
          <w:sz w:val="21"/>
          <w:szCs w:val="22"/>
          <w:lang w:val="zh-CN" w:eastAsia="zh-CN" w:bidi="zh-CN"/>
        </w:rPr>
        <w:t>供应商登录全国公共资源交易平台（陕西省）网站[电子交易平台-企业端]后，在[我的项目] 中点击“项目流程-交易文件下载”下载电子招标文件（*.SXSZF）;</w:t>
      </w:r>
    </w:p>
    <w:p w14:paraId="094B2155">
      <w:pPr>
        <w:keepNext w:val="0"/>
        <w:keepLines w:val="0"/>
        <w:pageBreakBefore w:val="0"/>
        <w:wordWrap/>
        <w:overflowPunct/>
        <w:topLinePunct w:val="0"/>
        <w:bidi w:val="0"/>
        <w:spacing w:before="0" w:line="360" w:lineRule="auto"/>
        <w:ind w:right="431" w:firstLine="420" w:firstLineChars="200"/>
        <w:jc w:val="left"/>
        <w:rPr>
          <w:rFonts w:hint="eastAsia" w:ascii="宋体" w:hAnsi="宋体" w:eastAsia="宋体" w:cs="宋体"/>
          <w:color w:val="auto"/>
          <w:sz w:val="21"/>
          <w:szCs w:val="22"/>
          <w:lang w:val="zh-CN" w:eastAsia="zh-CN" w:bidi="zh-CN"/>
        </w:rPr>
      </w:pPr>
      <w:r>
        <w:rPr>
          <w:rFonts w:hint="eastAsia" w:ascii="宋体" w:hAnsi="宋体" w:eastAsia="宋体" w:cs="宋体"/>
          <w:color w:val="auto"/>
          <w:sz w:val="21"/>
          <w:szCs w:val="22"/>
          <w:lang w:val="zh-CN" w:eastAsia="zh-CN" w:bidi="zh-CN"/>
        </w:rPr>
        <w:t>注意：该项目如有变更文件，则应点击“项目流程&gt;答疑文件下载”下载更新后的电子招标文   件（*.SXSCF），使用旧版电子招标文件制作的电子投标文件，系统将拒绝接收。</w:t>
      </w:r>
    </w:p>
    <w:p w14:paraId="6916307A">
      <w:pPr>
        <w:pStyle w:val="72"/>
        <w:keepNext w:val="0"/>
        <w:keepLines w:val="0"/>
        <w:pageBreakBefore w:val="0"/>
        <w:widowControl w:val="0"/>
        <w:numPr>
          <w:ilvl w:val="0"/>
          <w:numId w:val="0"/>
        </w:numPr>
        <w:tabs>
          <w:tab w:val="left" w:pos="1294"/>
        </w:tabs>
        <w:kinsoku/>
        <w:wordWrap/>
        <w:overflowPunct/>
        <w:topLinePunct w:val="0"/>
        <w:autoSpaceDE/>
        <w:autoSpaceDN/>
        <w:bidi w:val="0"/>
        <w:adjustRightInd/>
        <w:snapToGrid/>
        <w:spacing w:before="0" w:after="0" w:line="360" w:lineRule="auto"/>
        <w:ind w:right="0" w:rightChars="0" w:firstLine="420" w:firstLineChars="200"/>
        <w:jc w:val="left"/>
        <w:textAlignment w:val="auto"/>
        <w:rPr>
          <w:rFonts w:hint="eastAsia" w:ascii="宋体" w:hAnsi="宋体" w:eastAsia="宋体" w:cs="宋体"/>
          <w:color w:val="auto"/>
          <w:sz w:val="15"/>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2</w:t>
      </w:r>
      <w:r>
        <w:rPr>
          <w:rFonts w:hint="eastAsia" w:ascii="宋体" w:hAnsi="宋体" w:eastAsia="宋体" w:cs="宋体"/>
          <w:color w:val="auto"/>
          <w:sz w:val="21"/>
          <w:lang w:eastAsia="zh-CN"/>
        </w:rPr>
        <w:t>）</w:t>
      </w:r>
      <w:r>
        <w:rPr>
          <w:rFonts w:hint="eastAsia" w:ascii="宋体" w:hAnsi="宋体" w:eastAsia="宋体" w:cs="宋体"/>
          <w:color w:val="auto"/>
          <w:sz w:val="21"/>
        </w:rPr>
        <w:t>电子</w:t>
      </w:r>
      <w:r>
        <w:rPr>
          <w:rFonts w:hint="eastAsia" w:ascii="宋体" w:hAnsi="宋体" w:eastAsia="宋体" w:cs="宋体"/>
          <w:color w:val="auto"/>
          <w:sz w:val="21"/>
          <w:lang w:eastAsia="zh-CN"/>
        </w:rPr>
        <w:t>招标</w:t>
      </w:r>
      <w:r>
        <w:rPr>
          <w:rFonts w:hint="eastAsia" w:ascii="宋体" w:hAnsi="宋体" w:eastAsia="宋体" w:cs="宋体"/>
          <w:color w:val="auto"/>
          <w:sz w:val="21"/>
        </w:rPr>
        <w:t>文件需要使用专用软件打开、浏览</w:t>
      </w:r>
    </w:p>
    <w:p w14:paraId="1BBEC8EC">
      <w:pPr>
        <w:keepNext w:val="0"/>
        <w:keepLines w:val="0"/>
        <w:pageBreakBefore w:val="0"/>
        <w:widowControl w:val="0"/>
        <w:kinsoku/>
        <w:wordWrap/>
        <w:overflowPunct/>
        <w:topLinePunct w:val="0"/>
        <w:autoSpaceDE/>
        <w:autoSpaceDN/>
        <w:bidi w:val="0"/>
        <w:adjustRightInd/>
        <w:snapToGrid/>
        <w:spacing w:before="0" w:line="360" w:lineRule="auto"/>
        <w:ind w:right="433" w:firstLine="420" w:firstLineChars="200"/>
        <w:jc w:val="left"/>
        <w:textAlignment w:val="auto"/>
        <w:rPr>
          <w:rFonts w:hint="eastAsia" w:ascii="宋体" w:hAnsi="宋体" w:eastAsia="宋体" w:cs="宋体"/>
          <w:color w:val="auto"/>
          <w:sz w:val="21"/>
          <w:szCs w:val="22"/>
          <w:lang w:val="zh-CN" w:eastAsia="zh-CN" w:bidi="zh-CN"/>
        </w:rPr>
      </w:pPr>
      <w:r>
        <w:rPr>
          <w:rFonts w:hint="eastAsia" w:ascii="宋体" w:hAnsi="宋体" w:eastAsia="宋体" w:cs="宋体"/>
          <w:color w:val="auto"/>
          <w:sz w:val="21"/>
        </w:rPr>
        <w:t>供应商登录全国公共资源交易平台（陕西省）网站</w:t>
      </w:r>
      <w:r>
        <w:rPr>
          <w:rFonts w:hint="eastAsia" w:ascii="宋体" w:hAnsi="宋体" w:eastAsia="宋体" w:cs="宋体"/>
          <w:color w:val="auto"/>
          <w:spacing w:val="-3"/>
          <w:sz w:val="21"/>
        </w:rPr>
        <w:t>[</w:t>
      </w:r>
      <w:r>
        <w:rPr>
          <w:rFonts w:hint="eastAsia" w:ascii="宋体" w:hAnsi="宋体" w:eastAsia="宋体" w:cs="宋体"/>
          <w:color w:val="auto"/>
          <w:sz w:val="21"/>
        </w:rPr>
        <w:t xml:space="preserve">服务指南-下载专区]免费下载《陕西省公共资源交易平台政府采购电子标书制作工具(V8.0.1.11)》，下载网址： </w:t>
      </w:r>
      <w:r>
        <w:rPr>
          <w:rFonts w:hint="eastAsia" w:ascii="宋体" w:hAnsi="宋体" w:eastAsia="宋体" w:cs="宋体"/>
          <w:color w:val="auto"/>
          <w:sz w:val="21"/>
          <w:szCs w:val="22"/>
          <w:lang w:val="zh-CN" w:eastAsia="zh-CN" w:bidi="zh-CN"/>
        </w:rPr>
        <w:fldChar w:fldCharType="begin"/>
      </w:r>
      <w:r>
        <w:rPr>
          <w:rFonts w:hint="eastAsia" w:ascii="宋体" w:hAnsi="宋体" w:eastAsia="宋体" w:cs="宋体"/>
          <w:color w:val="auto"/>
          <w:sz w:val="21"/>
          <w:szCs w:val="22"/>
          <w:lang w:val="zh-CN" w:eastAsia="zh-CN" w:bidi="zh-CN"/>
        </w:rPr>
        <w:instrText xml:space="preserve"> HYPERLINK "http://www.sxggzyjy.cn/fwzn/004003/20180827/c8c8fb15-a7cc-4011-a244-806289d7cf3b.html" \h </w:instrText>
      </w:r>
      <w:r>
        <w:rPr>
          <w:rFonts w:hint="eastAsia" w:ascii="宋体" w:hAnsi="宋体" w:eastAsia="宋体" w:cs="宋体"/>
          <w:color w:val="auto"/>
          <w:sz w:val="21"/>
          <w:szCs w:val="22"/>
          <w:lang w:val="zh-CN" w:eastAsia="zh-CN" w:bidi="zh-CN"/>
        </w:rPr>
        <w:fldChar w:fldCharType="separate"/>
      </w:r>
      <w:r>
        <w:rPr>
          <w:rFonts w:hint="eastAsia" w:ascii="宋体" w:hAnsi="宋体" w:eastAsia="宋体" w:cs="宋体"/>
          <w:color w:val="auto"/>
          <w:sz w:val="21"/>
          <w:szCs w:val="22"/>
          <w:lang w:val="zh-CN" w:eastAsia="zh-CN" w:bidi="zh-CN"/>
        </w:rPr>
        <w:t>http://www.sxggzyjy.cn/fwzn/004003/20180827/c8c8fb15-a7cc-4011-a244806289d7cf3b.html</w:t>
      </w:r>
      <w:r>
        <w:rPr>
          <w:rFonts w:hint="eastAsia" w:ascii="宋体" w:hAnsi="宋体" w:eastAsia="宋体" w:cs="宋体"/>
          <w:color w:val="auto"/>
          <w:sz w:val="21"/>
          <w:szCs w:val="22"/>
          <w:lang w:val="zh-CN" w:eastAsia="zh-CN" w:bidi="zh-CN"/>
        </w:rPr>
        <w:fldChar w:fldCharType="end"/>
      </w:r>
      <w:r>
        <w:rPr>
          <w:rFonts w:hint="eastAsia" w:ascii="宋体" w:hAnsi="宋体" w:eastAsia="宋体" w:cs="宋体"/>
          <w:color w:val="auto"/>
          <w:sz w:val="21"/>
          <w:szCs w:val="22"/>
          <w:lang w:val="zh-CN" w:eastAsia="zh-CN" w:bidi="zh-CN"/>
        </w:rPr>
        <w:t>，并升级至最新版本，使用该客户端可以打开电子招标文件。软件操作手册详见全国公共资源交易平台（陕西省）网站[服务指南-下载专区]中的《陕西省公共资源交易（政府采购类）投标文件制作软件操作手</w:t>
      </w:r>
      <w:r>
        <w:rPr>
          <w:rFonts w:hint="eastAsia" w:ascii="宋体" w:hAnsi="宋体" w:eastAsia="宋体" w:cs="宋体"/>
          <w:color w:val="auto"/>
          <w:sz w:val="21"/>
        </w:rPr>
        <w:t>册》,下载网址：</w:t>
      </w:r>
      <w:r>
        <w:rPr>
          <w:rFonts w:hint="eastAsia" w:ascii="宋体" w:hAnsi="宋体" w:eastAsia="宋体" w:cs="宋体"/>
          <w:color w:val="auto"/>
          <w:sz w:val="21"/>
          <w:szCs w:val="22"/>
          <w:lang w:val="zh-CN" w:eastAsia="zh-CN" w:bidi="zh-CN"/>
        </w:rPr>
        <w:fldChar w:fldCharType="begin"/>
      </w:r>
      <w:r>
        <w:rPr>
          <w:rFonts w:hint="eastAsia" w:ascii="宋体" w:hAnsi="宋体" w:eastAsia="宋体" w:cs="宋体"/>
          <w:color w:val="auto"/>
          <w:sz w:val="21"/>
          <w:szCs w:val="22"/>
          <w:lang w:val="zh-CN" w:eastAsia="zh-CN" w:bidi="zh-CN"/>
        </w:rPr>
        <w:instrText xml:space="preserve"> HYPERLINK "http://www.sxggzyjy.cn/fwzn/004003/20170821/c3afa05b-f5e6-4e64-9fb0-e397ef73413d.html" \h </w:instrText>
      </w:r>
      <w:r>
        <w:rPr>
          <w:rFonts w:hint="eastAsia" w:ascii="宋体" w:hAnsi="宋体" w:eastAsia="宋体" w:cs="宋体"/>
          <w:color w:val="auto"/>
          <w:sz w:val="21"/>
          <w:szCs w:val="22"/>
          <w:lang w:val="zh-CN" w:eastAsia="zh-CN" w:bidi="zh-CN"/>
        </w:rPr>
        <w:fldChar w:fldCharType="separate"/>
      </w:r>
      <w:r>
        <w:rPr>
          <w:rFonts w:hint="eastAsia" w:ascii="宋体" w:hAnsi="宋体" w:eastAsia="宋体" w:cs="宋体"/>
          <w:color w:val="auto"/>
          <w:sz w:val="21"/>
          <w:szCs w:val="22"/>
          <w:lang w:val="zh-CN" w:eastAsia="zh-CN" w:bidi="zh-CN"/>
        </w:rPr>
        <w:t>http://www.sxggzyjy.cn/fwzn/004003/20170821/c3afa05b-f5e6-4e64-9fb0-e397ef73413d.html</w:t>
      </w:r>
      <w:r>
        <w:rPr>
          <w:rFonts w:hint="eastAsia" w:ascii="宋体" w:hAnsi="宋体" w:eastAsia="宋体" w:cs="宋体"/>
          <w:color w:val="auto"/>
          <w:sz w:val="21"/>
          <w:szCs w:val="22"/>
          <w:lang w:val="zh-CN" w:eastAsia="zh-CN" w:bidi="zh-CN"/>
        </w:rPr>
        <w:fldChar w:fldCharType="end"/>
      </w:r>
      <w:r>
        <w:rPr>
          <w:rFonts w:hint="eastAsia" w:ascii="宋体" w:hAnsi="宋体" w:eastAsia="宋体" w:cs="宋体"/>
          <w:color w:val="auto"/>
          <w:sz w:val="21"/>
          <w:szCs w:val="22"/>
          <w:lang w:val="zh-CN" w:eastAsia="zh-CN" w:bidi="zh-CN"/>
        </w:rPr>
        <w:t>；</w:t>
      </w:r>
    </w:p>
    <w:p w14:paraId="631560AE">
      <w:pPr>
        <w:pStyle w:val="72"/>
        <w:keepNext w:val="0"/>
        <w:keepLines w:val="0"/>
        <w:pageBreakBefore w:val="0"/>
        <w:numPr>
          <w:ilvl w:val="0"/>
          <w:numId w:val="0"/>
        </w:numPr>
        <w:tabs>
          <w:tab w:val="left" w:pos="1294"/>
        </w:tabs>
        <w:wordWrap/>
        <w:overflowPunct/>
        <w:topLinePunct w:val="0"/>
        <w:bidi w:val="0"/>
        <w:spacing w:before="1" w:after="0" w:line="360" w:lineRule="auto"/>
        <w:ind w:right="0" w:rightChars="0" w:firstLine="420" w:firstLineChars="200"/>
        <w:jc w:val="left"/>
        <w:rPr>
          <w:rFonts w:hint="eastAsia" w:ascii="宋体" w:hAnsi="宋体" w:eastAsia="宋体" w:cs="宋体"/>
          <w:color w:val="auto"/>
          <w:sz w:val="15"/>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3</w:t>
      </w:r>
      <w:r>
        <w:rPr>
          <w:rFonts w:hint="eastAsia" w:ascii="宋体" w:hAnsi="宋体" w:eastAsia="宋体" w:cs="宋体"/>
          <w:color w:val="auto"/>
          <w:sz w:val="21"/>
          <w:lang w:eastAsia="zh-CN"/>
        </w:rPr>
        <w:t>）</w:t>
      </w:r>
      <w:r>
        <w:rPr>
          <w:rFonts w:hint="eastAsia" w:ascii="宋体" w:hAnsi="宋体" w:eastAsia="宋体" w:cs="宋体"/>
          <w:color w:val="auto"/>
          <w:sz w:val="21"/>
        </w:rPr>
        <w:t>制作电子投标文件</w:t>
      </w:r>
    </w:p>
    <w:p w14:paraId="540ED848">
      <w:pPr>
        <w:keepNext w:val="0"/>
        <w:keepLines w:val="0"/>
        <w:pageBreakBefore w:val="0"/>
        <w:wordWrap/>
        <w:overflowPunct/>
        <w:topLinePunct w:val="0"/>
        <w:bidi w:val="0"/>
        <w:spacing w:before="0" w:line="360" w:lineRule="auto"/>
        <w:ind w:right="433" w:firstLine="420" w:firstLineChars="200"/>
        <w:jc w:val="left"/>
        <w:rPr>
          <w:rFonts w:hint="eastAsia" w:ascii="宋体" w:hAnsi="宋体" w:eastAsia="宋体" w:cs="宋体"/>
          <w:color w:val="auto"/>
          <w:sz w:val="21"/>
        </w:rPr>
      </w:pPr>
      <w:r>
        <w:rPr>
          <w:rFonts w:hint="eastAsia" w:ascii="宋体" w:hAnsi="宋体" w:eastAsia="宋体" w:cs="宋体"/>
          <w:color w:val="auto"/>
          <w:sz w:val="21"/>
        </w:rPr>
        <w:t>电子投标文件同样需要使用上述软件进行编制。在编制过程中，如有技术性问题，请先翻阅操作手册或致电软件开发商，技术支持热线：4009280095、4009980000。</w:t>
      </w:r>
    </w:p>
    <w:p w14:paraId="6890AC43">
      <w:pPr>
        <w:keepNext w:val="0"/>
        <w:keepLines w:val="0"/>
        <w:pageBreakBefore w:val="0"/>
        <w:wordWrap/>
        <w:overflowPunct/>
        <w:topLinePunct w:val="0"/>
        <w:bidi w:val="0"/>
        <w:spacing w:before="89" w:line="360" w:lineRule="auto"/>
        <w:ind w:right="0"/>
        <w:jc w:val="left"/>
        <w:rPr>
          <w:rFonts w:hint="eastAsia" w:ascii="宋体" w:hAnsi="宋体" w:eastAsia="宋体" w:cs="宋体"/>
          <w:color w:val="auto"/>
          <w:sz w:val="21"/>
        </w:rPr>
      </w:pPr>
      <w:r>
        <w:rPr>
          <w:rFonts w:hint="eastAsia" w:ascii="宋体" w:hAnsi="宋体" w:eastAsia="宋体" w:cs="宋体"/>
          <w:color w:val="auto"/>
          <w:sz w:val="21"/>
        </w:rPr>
        <w:t>四、关于响应文件递交与解密</w:t>
      </w:r>
    </w:p>
    <w:p w14:paraId="33ECEDEA">
      <w:pPr>
        <w:keepNext w:val="0"/>
        <w:keepLines w:val="0"/>
        <w:pageBreakBefore w:val="0"/>
        <w:wordWrap/>
        <w:overflowPunct/>
        <w:topLinePunct w:val="0"/>
        <w:bidi w:val="0"/>
        <w:spacing w:before="89" w:line="360" w:lineRule="auto"/>
        <w:ind w:right="0" w:firstLine="420" w:firstLineChars="200"/>
        <w:jc w:val="left"/>
        <w:rPr>
          <w:rFonts w:hint="eastAsia" w:ascii="宋体" w:hAnsi="宋体" w:eastAsia="宋体" w:cs="宋体"/>
          <w:color w:val="auto"/>
          <w:sz w:val="21"/>
        </w:rPr>
      </w:pPr>
      <w:r>
        <w:rPr>
          <w:rFonts w:hint="eastAsia" w:ascii="宋体" w:hAnsi="宋体" w:eastAsia="宋体" w:cs="宋体"/>
          <w:color w:val="auto"/>
          <w:sz w:val="21"/>
          <w:lang w:val="en-US" w:eastAsia="zh-CN"/>
        </w:rPr>
        <w:t>1、</w:t>
      </w:r>
      <w:r>
        <w:rPr>
          <w:rFonts w:hint="eastAsia" w:ascii="宋体" w:hAnsi="宋体" w:eastAsia="宋体" w:cs="宋体"/>
          <w:color w:val="auto"/>
          <w:sz w:val="21"/>
        </w:rPr>
        <w:t>文件递交</w:t>
      </w:r>
    </w:p>
    <w:p w14:paraId="0F74D494">
      <w:pPr>
        <w:keepNext w:val="0"/>
        <w:keepLines w:val="0"/>
        <w:pageBreakBefore w:val="0"/>
        <w:wordWrap/>
        <w:overflowPunct/>
        <w:topLinePunct w:val="0"/>
        <w:bidi w:val="0"/>
        <w:spacing w:before="89" w:line="360" w:lineRule="auto"/>
        <w:ind w:right="361" w:firstLine="412" w:firstLineChars="200"/>
        <w:jc w:val="left"/>
        <w:rPr>
          <w:rFonts w:hint="eastAsia" w:ascii="宋体" w:hAnsi="宋体" w:eastAsia="宋体" w:cs="宋体"/>
          <w:color w:val="auto"/>
          <w:sz w:val="21"/>
        </w:rPr>
      </w:pPr>
      <w:r>
        <w:rPr>
          <w:rFonts w:hint="eastAsia" w:ascii="宋体" w:hAnsi="宋体" w:eastAsia="宋体" w:cs="宋体"/>
          <w:color w:val="auto"/>
          <w:spacing w:val="-2"/>
          <w:sz w:val="21"/>
        </w:rPr>
        <w:t>电子投标文件可于提交投标文件截止时间前任意时段登录全国公共资源交易平台</w:t>
      </w:r>
      <w:r>
        <w:rPr>
          <w:rFonts w:hint="eastAsia" w:ascii="宋体" w:hAnsi="宋体" w:eastAsia="宋体" w:cs="宋体"/>
          <w:color w:val="auto"/>
          <w:sz w:val="21"/>
        </w:rPr>
        <w:t>（陕西省）网站[电子交易平台-企业端]进行提交，逾期系统将拒绝接收。提交时，供应商应登录全国公共资源交易中心平台（陕西省），选择[“首页&gt;电子交易平台&gt;企业端&gt;我的项目”，点击[项目</w:t>
      </w:r>
      <w:r>
        <w:rPr>
          <w:rFonts w:hint="eastAsia" w:ascii="宋体" w:hAnsi="宋体" w:eastAsia="宋体" w:cs="宋体"/>
          <w:color w:val="auto"/>
          <w:sz w:val="21"/>
          <w:lang w:val="en-US" w:eastAsia="zh-CN"/>
        </w:rPr>
        <w:t>-</w:t>
      </w:r>
      <w:r>
        <w:rPr>
          <w:rFonts w:hint="eastAsia" w:ascii="宋体" w:hAnsi="宋体" w:eastAsia="宋体" w:cs="宋体"/>
          <w:color w:val="auto"/>
          <w:sz w:val="21"/>
        </w:rPr>
        <w:t>流程]，在打开的[项目管理]对话框中选择[上传响应文件]，上传加密的电子投标文件（*.SXSTF）， 上传成功后，电子化平台将予以记录。</w:t>
      </w:r>
    </w:p>
    <w:p w14:paraId="494546EE">
      <w:pPr>
        <w:pStyle w:val="72"/>
        <w:keepNext w:val="0"/>
        <w:keepLines w:val="0"/>
        <w:pageBreakBefore w:val="0"/>
        <w:numPr>
          <w:ilvl w:val="0"/>
          <w:numId w:val="0"/>
        </w:numPr>
        <w:tabs>
          <w:tab w:val="left" w:pos="928"/>
        </w:tabs>
        <w:wordWrap/>
        <w:overflowPunct/>
        <w:topLinePunct w:val="0"/>
        <w:bidi w:val="0"/>
        <w:spacing w:before="0" w:after="0" w:line="360" w:lineRule="auto"/>
        <w:ind w:right="0" w:rightChars="0" w:firstLine="420" w:firstLineChars="200"/>
        <w:jc w:val="left"/>
        <w:rPr>
          <w:rFonts w:hint="eastAsia" w:ascii="宋体" w:hAnsi="宋体" w:eastAsia="宋体" w:cs="宋体"/>
          <w:color w:val="auto"/>
          <w:sz w:val="15"/>
        </w:rPr>
      </w:pPr>
      <w:r>
        <w:rPr>
          <w:rFonts w:hint="eastAsia" w:ascii="宋体" w:hAnsi="宋体" w:eastAsia="宋体" w:cs="宋体"/>
          <w:color w:val="auto"/>
          <w:sz w:val="21"/>
          <w:lang w:val="en-US" w:eastAsia="zh-CN"/>
        </w:rPr>
        <w:t>2、</w:t>
      </w:r>
      <w:r>
        <w:rPr>
          <w:rFonts w:hint="eastAsia" w:ascii="宋体" w:hAnsi="宋体" w:eastAsia="宋体" w:cs="宋体"/>
          <w:color w:val="auto"/>
          <w:sz w:val="21"/>
        </w:rPr>
        <w:t>文件开启与解密</w:t>
      </w:r>
    </w:p>
    <w:p w14:paraId="2CCD902F">
      <w:pPr>
        <w:pStyle w:val="72"/>
        <w:keepNext w:val="0"/>
        <w:keepLines w:val="0"/>
        <w:pageBreakBefore w:val="0"/>
        <w:numPr>
          <w:ilvl w:val="0"/>
          <w:numId w:val="0"/>
        </w:numPr>
        <w:tabs>
          <w:tab w:val="left" w:pos="1294"/>
        </w:tabs>
        <w:wordWrap/>
        <w:overflowPunct/>
        <w:topLinePunct w:val="0"/>
        <w:bidi w:val="0"/>
        <w:spacing w:before="0" w:after="0" w:line="360" w:lineRule="auto"/>
        <w:ind w:right="431"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1</w:t>
      </w:r>
      <w:r>
        <w:rPr>
          <w:rFonts w:hint="eastAsia" w:ascii="宋体" w:hAnsi="宋体" w:eastAsia="宋体" w:cs="宋体"/>
          <w:color w:val="auto"/>
          <w:sz w:val="21"/>
          <w:lang w:eastAsia="zh-CN"/>
        </w:rPr>
        <w:t>）</w:t>
      </w:r>
      <w:r>
        <w:rPr>
          <w:rFonts w:hint="eastAsia" w:ascii="宋体" w:hAnsi="宋体" w:eastAsia="宋体" w:cs="宋体"/>
          <w:color w:val="auto"/>
          <w:sz w:val="21"/>
        </w:rPr>
        <w:t>开标时，供应商须使用电子投标文件加密时所用的数字认证证书（CA</w:t>
      </w:r>
      <w:r>
        <w:rPr>
          <w:rFonts w:hint="eastAsia" w:ascii="宋体" w:hAnsi="宋体" w:eastAsia="宋体" w:cs="宋体"/>
          <w:color w:val="auto"/>
          <w:spacing w:val="-16"/>
          <w:sz w:val="21"/>
        </w:rPr>
        <w:t xml:space="preserve"> </w:t>
      </w:r>
      <w:r>
        <w:rPr>
          <w:rFonts w:hint="eastAsia" w:ascii="宋体" w:hAnsi="宋体" w:eastAsia="宋体" w:cs="宋体"/>
          <w:color w:val="auto"/>
          <w:sz w:val="21"/>
        </w:rPr>
        <w:t>锁）在各自办公场所的电脑上自行解密电子投标文件。</w:t>
      </w:r>
    </w:p>
    <w:p w14:paraId="0756CE17">
      <w:pPr>
        <w:pStyle w:val="72"/>
        <w:keepNext w:val="0"/>
        <w:keepLines w:val="0"/>
        <w:pageBreakBefore w:val="0"/>
        <w:numPr>
          <w:ilvl w:val="0"/>
          <w:numId w:val="0"/>
        </w:numPr>
        <w:tabs>
          <w:tab w:val="left" w:pos="1294"/>
        </w:tabs>
        <w:wordWrap/>
        <w:overflowPunct/>
        <w:topLinePunct w:val="0"/>
        <w:bidi w:val="0"/>
        <w:spacing w:before="0" w:after="0" w:line="360" w:lineRule="auto"/>
        <w:ind w:right="431"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2</w:t>
      </w:r>
      <w:r>
        <w:rPr>
          <w:rFonts w:hint="eastAsia" w:ascii="宋体" w:hAnsi="宋体" w:eastAsia="宋体" w:cs="宋体"/>
          <w:color w:val="auto"/>
          <w:sz w:val="21"/>
          <w:lang w:eastAsia="zh-CN"/>
        </w:rPr>
        <w:t>）</w:t>
      </w:r>
      <w:r>
        <w:rPr>
          <w:rFonts w:hint="eastAsia" w:ascii="宋体" w:hAnsi="宋体" w:eastAsia="宋体" w:cs="宋体"/>
          <w:color w:val="auto"/>
          <w:sz w:val="21"/>
        </w:rPr>
        <w:t>电子开标、评标无法进行时，按照《安康市公共资源交易平台电子化交易应急处置管理办法(试行)》规定执行。</w:t>
      </w:r>
    </w:p>
    <w:p w14:paraId="3C14DDD0">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3</w:t>
      </w:r>
      <w:r>
        <w:rPr>
          <w:rFonts w:hint="eastAsia" w:ascii="宋体" w:hAnsi="宋体" w:eastAsia="宋体" w:cs="宋体"/>
          <w:color w:val="auto"/>
          <w:sz w:val="21"/>
          <w:lang w:eastAsia="zh-CN"/>
        </w:rPr>
        <w:t>）</w:t>
      </w:r>
      <w:r>
        <w:rPr>
          <w:rFonts w:hint="eastAsia" w:ascii="宋体" w:hAnsi="宋体" w:eastAsia="宋体" w:cs="宋体"/>
          <w:color w:val="auto"/>
          <w:sz w:val="21"/>
        </w:rPr>
        <w:t>编制的电子投标文件，须使用数字认证证书（CA）对电子投标文件进行签署、加密、递交及开标时解密等相关操作。响应文件中签名不能采用机打签名方式，应采用手写方式，因此导致废标或未中标，投标供应商自行承担责任。</w:t>
      </w:r>
    </w:p>
    <w:p w14:paraId="642CDBBF">
      <w:pPr>
        <w:pStyle w:val="72"/>
        <w:keepNext w:val="0"/>
        <w:keepLines w:val="0"/>
        <w:pageBreakBefore w:val="0"/>
        <w:numPr>
          <w:ilvl w:val="0"/>
          <w:numId w:val="0"/>
        </w:numPr>
        <w:tabs>
          <w:tab w:val="left" w:pos="1294"/>
        </w:tabs>
        <w:wordWrap/>
        <w:overflowPunct/>
        <w:topLinePunct w:val="0"/>
        <w:bidi w:val="0"/>
        <w:spacing w:before="0" w:after="0" w:line="360" w:lineRule="auto"/>
        <w:ind w:right="0" w:rightChars="0" w:firstLine="420" w:firstLineChars="200"/>
        <w:jc w:val="left"/>
        <w:rPr>
          <w:rFonts w:hint="eastAsia" w:ascii="宋体" w:hAnsi="宋体" w:eastAsia="宋体" w:cs="宋体"/>
          <w:color w:val="auto"/>
          <w:sz w:val="21"/>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4</w:t>
      </w:r>
      <w:r>
        <w:rPr>
          <w:rFonts w:hint="eastAsia" w:ascii="宋体" w:hAnsi="宋体" w:eastAsia="宋体" w:cs="宋体"/>
          <w:color w:val="auto"/>
          <w:sz w:val="21"/>
          <w:lang w:eastAsia="zh-CN"/>
        </w:rPr>
        <w:t>）</w:t>
      </w:r>
      <w:r>
        <w:rPr>
          <w:rFonts w:hint="eastAsia" w:ascii="宋体" w:hAnsi="宋体" w:eastAsia="宋体" w:cs="宋体"/>
          <w:color w:val="auto"/>
          <w:sz w:val="21"/>
        </w:rPr>
        <w:t>在开标环节出现下列情况之一的，其电子投标文件视为无效文件：</w:t>
      </w:r>
    </w:p>
    <w:p w14:paraId="0F6F7FBB">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a.</w:t>
      </w:r>
      <w:r>
        <w:rPr>
          <w:rFonts w:hint="eastAsia" w:ascii="宋体" w:hAnsi="宋体" w:eastAsia="宋体" w:cs="宋体"/>
          <w:color w:val="auto"/>
          <w:sz w:val="21"/>
        </w:rPr>
        <w:t>供应商拒绝对电子投标文件进行解密的；</w:t>
      </w:r>
    </w:p>
    <w:p w14:paraId="69DE6B47">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b.</w:t>
      </w:r>
      <w:r>
        <w:rPr>
          <w:rFonts w:hint="eastAsia" w:ascii="宋体" w:hAnsi="宋体" w:eastAsia="宋体" w:cs="宋体"/>
          <w:color w:val="auto"/>
          <w:sz w:val="21"/>
        </w:rPr>
        <w:t>因供应商自身原因（如未带 CA 锁、或所带 CA 锁与制作电子投标文件使用的 CA 锁不一致、或沿用旧版</w:t>
      </w:r>
      <w:r>
        <w:rPr>
          <w:rFonts w:hint="eastAsia" w:ascii="宋体" w:hAnsi="宋体" w:eastAsia="宋体" w:cs="宋体"/>
          <w:color w:val="auto"/>
          <w:sz w:val="21"/>
          <w:lang w:eastAsia="zh-CN"/>
        </w:rPr>
        <w:t>招标</w:t>
      </w:r>
      <w:r>
        <w:rPr>
          <w:rFonts w:hint="eastAsia" w:ascii="宋体" w:hAnsi="宋体" w:eastAsia="宋体" w:cs="宋体"/>
          <w:color w:val="auto"/>
          <w:sz w:val="21"/>
        </w:rPr>
        <w:t>文件编制投标文件等情形），导致在规定时间内无法解密投标文件的；</w:t>
      </w:r>
    </w:p>
    <w:p w14:paraId="04C74180">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c.</w:t>
      </w:r>
      <w:r>
        <w:rPr>
          <w:rFonts w:hint="eastAsia" w:ascii="宋体" w:hAnsi="宋体" w:eastAsia="宋体" w:cs="宋体"/>
          <w:color w:val="auto"/>
          <w:sz w:val="21"/>
        </w:rPr>
        <w:t>上传的电子投标文件无法打开的；</w:t>
      </w:r>
    </w:p>
    <w:p w14:paraId="0FBD95B9">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d.</w:t>
      </w:r>
      <w:r>
        <w:rPr>
          <w:rFonts w:hint="eastAsia" w:ascii="宋体" w:hAnsi="宋体" w:eastAsia="宋体" w:cs="宋体"/>
          <w:color w:val="auto"/>
          <w:sz w:val="21"/>
        </w:rPr>
        <w:t>政府采购法律法规规定的其他无效情形。</w:t>
      </w:r>
    </w:p>
    <w:p w14:paraId="67D2ECB0">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5</w:t>
      </w:r>
      <w:r>
        <w:rPr>
          <w:rFonts w:hint="eastAsia" w:ascii="宋体" w:hAnsi="宋体" w:eastAsia="宋体" w:cs="宋体"/>
          <w:color w:val="auto"/>
          <w:sz w:val="21"/>
          <w:lang w:eastAsia="zh-CN"/>
        </w:rPr>
        <w:t>）</w:t>
      </w:r>
      <w:r>
        <w:rPr>
          <w:rFonts w:hint="eastAsia" w:ascii="宋体" w:hAnsi="宋体" w:eastAsia="宋体" w:cs="宋体"/>
          <w:color w:val="auto"/>
          <w:sz w:val="21"/>
        </w:rPr>
        <w:t>特殊情形下的应急处置</w:t>
      </w:r>
    </w:p>
    <w:p w14:paraId="688582EF">
      <w:pPr>
        <w:pStyle w:val="72"/>
        <w:keepNext w:val="0"/>
        <w:keepLines w:val="0"/>
        <w:pageBreakBefore w:val="0"/>
        <w:numPr>
          <w:ilvl w:val="0"/>
          <w:numId w:val="0"/>
        </w:numPr>
        <w:tabs>
          <w:tab w:val="left" w:pos="1294"/>
        </w:tabs>
        <w:wordWrap/>
        <w:overflowPunct/>
        <w:topLinePunct w:val="0"/>
        <w:bidi w:val="0"/>
        <w:spacing w:before="0" w:after="0" w:line="360" w:lineRule="auto"/>
        <w:ind w:right="431"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rPr>
        <w:t>在开标、评审过程中，如因停电、断网、电子化系统故障等特殊原因导致电子化开、评标无法正常进行时， 按照《安康市公共资源交易平台电子化交易应急处置管理办法(试行)》规定执行。</w:t>
      </w:r>
    </w:p>
    <w:p w14:paraId="55CCE5C6">
      <w:pPr>
        <w:pStyle w:val="37"/>
        <w:spacing w:before="240" w:after="240"/>
        <w:outlineLvl w:val="0"/>
        <w:rPr>
          <w:rFonts w:hint="eastAsia" w:ascii="宋体" w:hAnsi="宋体" w:eastAsia="宋体" w:cs="宋体"/>
          <w:color w:val="auto"/>
          <w:spacing w:val="-7"/>
          <w:sz w:val="21"/>
        </w:rPr>
      </w:pPr>
    </w:p>
    <w:p w14:paraId="188BE47D">
      <w:pPr>
        <w:pStyle w:val="37"/>
        <w:spacing w:before="240" w:after="240"/>
        <w:outlineLvl w:val="0"/>
        <w:rPr>
          <w:rFonts w:hint="eastAsia" w:ascii="宋体" w:hAnsi="宋体" w:eastAsia="宋体" w:cs="宋体"/>
          <w:color w:val="auto"/>
          <w:spacing w:val="-7"/>
          <w:sz w:val="21"/>
        </w:rPr>
      </w:pPr>
    </w:p>
    <w:p w14:paraId="6FB8C050">
      <w:pPr>
        <w:pStyle w:val="37"/>
        <w:spacing w:before="240" w:after="240"/>
        <w:outlineLvl w:val="0"/>
        <w:rPr>
          <w:rFonts w:hint="eastAsia" w:ascii="宋体" w:hAnsi="宋体" w:eastAsia="宋体" w:cs="宋体"/>
          <w:color w:val="auto"/>
          <w:spacing w:val="-7"/>
          <w:sz w:val="21"/>
        </w:rPr>
      </w:pPr>
    </w:p>
    <w:p w14:paraId="647B7D6C">
      <w:pPr>
        <w:pStyle w:val="37"/>
        <w:spacing w:before="240" w:after="240"/>
        <w:outlineLvl w:val="0"/>
        <w:rPr>
          <w:rFonts w:hint="eastAsia" w:ascii="宋体" w:hAnsi="宋体" w:eastAsia="宋体" w:cs="宋体"/>
          <w:color w:val="auto"/>
          <w:spacing w:val="-7"/>
          <w:sz w:val="21"/>
        </w:rPr>
      </w:pPr>
    </w:p>
    <w:p w14:paraId="16343E59">
      <w:pPr>
        <w:pStyle w:val="37"/>
        <w:spacing w:before="240" w:after="240"/>
        <w:outlineLvl w:val="0"/>
        <w:rPr>
          <w:rFonts w:hint="eastAsia" w:ascii="宋体" w:hAnsi="宋体" w:eastAsia="宋体" w:cs="宋体"/>
          <w:color w:val="auto"/>
          <w:spacing w:val="-7"/>
          <w:sz w:val="21"/>
        </w:rPr>
      </w:pPr>
    </w:p>
    <w:p w14:paraId="65CA0967">
      <w:pPr>
        <w:pStyle w:val="37"/>
        <w:spacing w:before="240" w:after="240"/>
        <w:outlineLvl w:val="0"/>
        <w:rPr>
          <w:rFonts w:hint="eastAsia" w:ascii="宋体" w:hAnsi="宋体" w:eastAsia="宋体" w:cs="宋体"/>
          <w:color w:val="auto"/>
          <w:spacing w:val="-7"/>
          <w:sz w:val="21"/>
        </w:rPr>
      </w:pPr>
    </w:p>
    <w:p w14:paraId="0D31A93C">
      <w:pPr>
        <w:pStyle w:val="37"/>
        <w:spacing w:before="240" w:after="240"/>
        <w:outlineLvl w:val="0"/>
        <w:rPr>
          <w:rFonts w:hint="eastAsia" w:ascii="宋体" w:hAnsi="宋体" w:eastAsia="宋体" w:cs="宋体"/>
          <w:color w:val="auto"/>
          <w:spacing w:val="-7"/>
          <w:sz w:val="21"/>
        </w:rPr>
      </w:pPr>
    </w:p>
    <w:p w14:paraId="530F2DD7">
      <w:pPr>
        <w:pStyle w:val="37"/>
        <w:spacing w:before="240" w:after="240"/>
        <w:outlineLvl w:val="0"/>
        <w:rPr>
          <w:rFonts w:hint="eastAsia" w:ascii="宋体" w:hAnsi="宋体" w:eastAsia="宋体" w:cs="宋体"/>
          <w:color w:val="auto"/>
          <w:spacing w:val="-7"/>
          <w:sz w:val="21"/>
        </w:rPr>
      </w:pPr>
    </w:p>
    <w:p w14:paraId="73A86C3E">
      <w:pPr>
        <w:pStyle w:val="37"/>
        <w:spacing w:before="240" w:after="240"/>
        <w:outlineLvl w:val="0"/>
        <w:rPr>
          <w:rFonts w:hint="eastAsia" w:ascii="宋体" w:hAnsi="宋体" w:eastAsia="宋体" w:cs="宋体"/>
          <w:color w:val="auto"/>
          <w:spacing w:val="-7"/>
          <w:sz w:val="21"/>
        </w:rPr>
      </w:pPr>
    </w:p>
    <w:p w14:paraId="19E09E2C">
      <w:pPr>
        <w:pStyle w:val="37"/>
        <w:spacing w:before="240" w:after="240"/>
        <w:outlineLvl w:val="0"/>
        <w:rPr>
          <w:rFonts w:hint="eastAsia" w:ascii="宋体" w:hAnsi="宋体" w:eastAsia="宋体" w:cs="宋体"/>
          <w:color w:val="auto"/>
          <w:spacing w:val="-7"/>
          <w:sz w:val="21"/>
        </w:rPr>
      </w:pPr>
    </w:p>
    <w:p w14:paraId="3AC3BD35">
      <w:pPr>
        <w:pStyle w:val="37"/>
        <w:spacing w:before="240" w:after="240"/>
        <w:outlineLvl w:val="0"/>
        <w:rPr>
          <w:rFonts w:hint="eastAsia" w:ascii="宋体" w:hAnsi="宋体" w:eastAsia="宋体" w:cs="宋体"/>
          <w:color w:val="auto"/>
          <w:spacing w:val="-7"/>
          <w:sz w:val="21"/>
        </w:rPr>
      </w:pPr>
    </w:p>
    <w:p w14:paraId="2356013F">
      <w:pPr>
        <w:pStyle w:val="37"/>
        <w:spacing w:before="240" w:after="240"/>
        <w:outlineLvl w:val="0"/>
        <w:rPr>
          <w:rFonts w:hint="eastAsia" w:ascii="宋体" w:hAnsi="宋体" w:eastAsia="宋体" w:cs="宋体"/>
          <w:color w:val="auto"/>
          <w:spacing w:val="-7"/>
          <w:sz w:val="21"/>
        </w:rPr>
      </w:pPr>
    </w:p>
    <w:p w14:paraId="59BB561A">
      <w:pPr>
        <w:pStyle w:val="37"/>
        <w:spacing w:before="240" w:after="240"/>
        <w:outlineLvl w:val="0"/>
        <w:rPr>
          <w:rFonts w:hint="eastAsia" w:ascii="宋体" w:hAnsi="宋体" w:eastAsia="宋体" w:cs="宋体"/>
          <w:color w:val="auto"/>
          <w:spacing w:val="-7"/>
          <w:sz w:val="21"/>
        </w:rPr>
      </w:pPr>
    </w:p>
    <w:p w14:paraId="372B6B7E">
      <w:pPr>
        <w:pStyle w:val="37"/>
        <w:spacing w:before="240" w:after="240"/>
        <w:outlineLvl w:val="0"/>
        <w:rPr>
          <w:rFonts w:hint="eastAsia" w:ascii="宋体" w:hAnsi="宋体" w:eastAsia="宋体" w:cs="宋体"/>
          <w:color w:val="auto"/>
          <w:spacing w:val="-7"/>
          <w:sz w:val="21"/>
        </w:rPr>
      </w:pPr>
    </w:p>
    <w:p w14:paraId="154950BE">
      <w:pPr>
        <w:pStyle w:val="37"/>
        <w:spacing w:before="240" w:after="240"/>
        <w:outlineLvl w:val="0"/>
        <w:rPr>
          <w:rFonts w:hint="eastAsia" w:ascii="宋体" w:hAnsi="宋体" w:eastAsia="宋体" w:cs="宋体"/>
          <w:color w:val="auto"/>
          <w:spacing w:val="-7"/>
          <w:sz w:val="21"/>
        </w:rPr>
      </w:pPr>
    </w:p>
    <w:p w14:paraId="6CE7CC13">
      <w:pPr>
        <w:pStyle w:val="37"/>
        <w:spacing w:before="240" w:after="240"/>
        <w:outlineLvl w:val="0"/>
        <w:rPr>
          <w:rFonts w:hint="eastAsia" w:ascii="宋体" w:hAnsi="宋体" w:eastAsia="宋体" w:cs="宋体"/>
          <w:color w:val="auto"/>
          <w:spacing w:val="-7"/>
          <w:sz w:val="21"/>
        </w:rPr>
      </w:pPr>
    </w:p>
    <w:p w14:paraId="2D5FF206">
      <w:pPr>
        <w:pStyle w:val="37"/>
        <w:spacing w:before="240" w:after="240"/>
        <w:outlineLvl w:val="0"/>
        <w:rPr>
          <w:rFonts w:hint="eastAsia" w:ascii="宋体" w:hAnsi="宋体" w:eastAsia="宋体" w:cs="宋体"/>
          <w:color w:val="auto"/>
          <w:spacing w:val="-7"/>
          <w:sz w:val="21"/>
        </w:rPr>
      </w:pPr>
    </w:p>
    <w:p w14:paraId="18A1FB5C">
      <w:pPr>
        <w:pStyle w:val="37"/>
        <w:spacing w:before="240" w:after="240"/>
        <w:outlineLvl w:val="0"/>
        <w:rPr>
          <w:rFonts w:hint="eastAsia" w:ascii="宋体" w:hAnsi="宋体" w:eastAsia="宋体" w:cs="宋体"/>
          <w:color w:val="auto"/>
          <w:spacing w:val="-7"/>
          <w:sz w:val="21"/>
        </w:rPr>
      </w:pPr>
    </w:p>
    <w:p w14:paraId="7F8E2696">
      <w:pPr>
        <w:pStyle w:val="37"/>
        <w:spacing w:before="240" w:after="240"/>
        <w:outlineLvl w:val="0"/>
        <w:rPr>
          <w:rFonts w:hint="eastAsia" w:ascii="宋体" w:hAnsi="宋体" w:eastAsia="宋体" w:cs="宋体"/>
          <w:color w:val="auto"/>
          <w:spacing w:val="-7"/>
          <w:sz w:val="21"/>
        </w:rPr>
      </w:pPr>
    </w:p>
    <w:p w14:paraId="1519B234">
      <w:pPr>
        <w:pStyle w:val="37"/>
        <w:spacing w:before="240" w:after="240"/>
        <w:outlineLvl w:val="0"/>
        <w:rPr>
          <w:rFonts w:hint="eastAsia" w:ascii="宋体" w:hAnsi="宋体" w:eastAsia="宋体" w:cs="宋体"/>
          <w:color w:val="auto"/>
          <w:spacing w:val="-7"/>
          <w:sz w:val="21"/>
        </w:rPr>
      </w:pPr>
    </w:p>
    <w:p w14:paraId="6B4812D3">
      <w:pPr>
        <w:pStyle w:val="37"/>
        <w:spacing w:before="240" w:after="240"/>
        <w:outlineLvl w:val="0"/>
        <w:rPr>
          <w:rFonts w:hint="eastAsia" w:ascii="宋体" w:hAnsi="宋体" w:eastAsia="宋体" w:cs="宋体"/>
          <w:color w:val="auto"/>
          <w:spacing w:val="-7"/>
          <w:sz w:val="21"/>
        </w:rPr>
      </w:pPr>
    </w:p>
    <w:p w14:paraId="37F24FAF">
      <w:pPr>
        <w:pStyle w:val="37"/>
        <w:spacing w:before="240" w:after="240"/>
        <w:outlineLvl w:val="0"/>
        <w:rPr>
          <w:rFonts w:hint="eastAsia" w:ascii="宋体" w:hAnsi="宋体" w:eastAsia="宋体" w:cs="宋体"/>
          <w:color w:val="auto"/>
          <w:spacing w:val="-7"/>
          <w:sz w:val="21"/>
        </w:rPr>
      </w:pPr>
    </w:p>
    <w:p w14:paraId="42EA7118">
      <w:pPr>
        <w:pStyle w:val="37"/>
        <w:spacing w:before="240" w:after="240"/>
        <w:outlineLvl w:val="0"/>
        <w:rPr>
          <w:rFonts w:hint="eastAsia" w:ascii="宋体" w:hAnsi="宋体" w:eastAsia="宋体" w:cs="宋体"/>
          <w:color w:val="auto"/>
          <w:sz w:val="40"/>
          <w:szCs w:val="28"/>
        </w:rPr>
      </w:pPr>
      <w:bookmarkStart w:id="1" w:name="_Toc8305"/>
      <w:r>
        <w:rPr>
          <w:rFonts w:hint="eastAsia" w:ascii="宋体" w:hAnsi="宋体" w:eastAsia="宋体" w:cs="宋体"/>
          <w:color w:val="auto"/>
          <w:sz w:val="40"/>
          <w:szCs w:val="28"/>
        </w:rPr>
        <w:t>第一章 竞争性磋商公告</w:t>
      </w:r>
      <w:bookmarkEnd w:id="1"/>
    </w:p>
    <w:p w14:paraId="1D6623C9">
      <w:pPr>
        <w:pStyle w:val="38"/>
        <w:spacing w:before="120" w:after="120"/>
        <w:rPr>
          <w:rFonts w:hint="eastAsia" w:ascii="宋体" w:hAnsi="宋体" w:eastAsia="宋体" w:cs="宋体"/>
          <w:color w:val="auto"/>
        </w:rPr>
      </w:pPr>
      <w:r>
        <w:rPr>
          <w:rFonts w:hint="eastAsia" w:ascii="宋体" w:hAnsi="宋体" w:eastAsia="宋体" w:cs="宋体"/>
          <w:color w:val="auto"/>
        </w:rPr>
        <w:t>项目概况</w:t>
      </w:r>
    </w:p>
    <w:p w14:paraId="0F4469F8">
      <w:pPr>
        <w:pStyle w:val="40"/>
        <w:ind w:firstLine="480"/>
        <w:rPr>
          <w:rFonts w:hint="eastAsia" w:ascii="宋体" w:hAnsi="宋体" w:cs="宋体"/>
          <w:color w:val="auto"/>
          <w:lang w:eastAsia="zh-CN"/>
        </w:rPr>
      </w:pPr>
      <w:r>
        <w:rPr>
          <w:rFonts w:hint="eastAsia" w:ascii="宋体" w:hAnsi="宋体" w:cs="宋体"/>
          <w:color w:val="auto"/>
          <w:lang w:eastAsia="zh-CN"/>
        </w:rPr>
        <w:t>安康市石泉县汉江流域（石泉段）水环境综合整治项目设计和地勘采购的潜在供应商应在全国公共资源交易中心平台（陕西省.安康市）获取采购文件，并于</w:t>
      </w:r>
      <w:r>
        <w:rPr>
          <w:rFonts w:hint="eastAsia" w:ascii="宋体" w:hAnsi="宋体" w:cs="宋体"/>
          <w:color w:val="auto"/>
          <w:shd w:val="clear"/>
          <w:lang w:eastAsia="zh-CN"/>
        </w:rPr>
        <w:t>2</w:t>
      </w:r>
      <w:r>
        <w:rPr>
          <w:rFonts w:hint="eastAsia" w:ascii="宋体" w:hAnsi="宋体" w:cs="宋体"/>
          <w:color w:val="auto"/>
          <w:shd w:val="clear"/>
          <w:lang w:val="en-US" w:eastAsia="zh-CN"/>
        </w:rPr>
        <w:t>025年9月17日14点00分</w:t>
      </w:r>
      <w:r>
        <w:rPr>
          <w:rFonts w:hint="eastAsia" w:ascii="宋体" w:hAnsi="宋体" w:cs="宋体"/>
          <w:color w:val="auto"/>
          <w:lang w:eastAsia="zh-CN"/>
        </w:rPr>
        <w:t>（北京时间）前提交响应文件。</w:t>
      </w:r>
    </w:p>
    <w:p w14:paraId="2BE81249">
      <w:pPr>
        <w:pStyle w:val="38"/>
        <w:spacing w:before="120" w:after="120"/>
        <w:rPr>
          <w:rFonts w:hint="eastAsia" w:ascii="宋体" w:hAnsi="宋体" w:eastAsia="宋体" w:cs="宋体"/>
          <w:color w:val="auto"/>
        </w:rPr>
      </w:pPr>
      <w:r>
        <w:rPr>
          <w:rFonts w:hint="eastAsia" w:ascii="宋体" w:hAnsi="宋体" w:eastAsia="宋体" w:cs="宋体"/>
          <w:color w:val="auto"/>
        </w:rPr>
        <w:t>一、项目基本情况</w:t>
      </w:r>
    </w:p>
    <w:p w14:paraId="2FE62FD8">
      <w:pPr>
        <w:pStyle w:val="40"/>
        <w:ind w:firstLine="480"/>
        <w:rPr>
          <w:rFonts w:hint="default" w:ascii="宋体" w:hAnsi="宋体" w:cs="宋体"/>
          <w:color w:val="auto"/>
          <w:lang w:val="en-US" w:eastAsia="zh-CN"/>
        </w:rPr>
      </w:pPr>
      <w:r>
        <w:rPr>
          <w:rFonts w:hint="eastAsia" w:ascii="宋体" w:hAnsi="宋体" w:eastAsia="宋体" w:cs="宋体"/>
          <w:color w:val="auto"/>
        </w:rPr>
        <w:t>项目编号：</w:t>
      </w:r>
      <w:r>
        <w:rPr>
          <w:rFonts w:hint="eastAsia" w:ascii="宋体" w:hAnsi="宋体" w:cs="宋体"/>
          <w:color w:val="auto"/>
          <w:lang w:eastAsia="zh-CN"/>
        </w:rPr>
        <w:t>SXDY-2025-</w:t>
      </w:r>
      <w:r>
        <w:rPr>
          <w:rFonts w:hint="eastAsia" w:ascii="宋体" w:hAnsi="宋体" w:cs="宋体"/>
          <w:color w:val="auto"/>
          <w:lang w:val="en-US" w:eastAsia="zh-CN"/>
        </w:rPr>
        <w:t>250</w:t>
      </w:r>
    </w:p>
    <w:p w14:paraId="440CA9A3">
      <w:pPr>
        <w:pStyle w:val="40"/>
        <w:ind w:firstLine="480"/>
        <w:rPr>
          <w:rFonts w:hint="eastAsia" w:ascii="宋体" w:hAnsi="宋体" w:cs="宋体"/>
          <w:color w:val="auto"/>
          <w:lang w:eastAsia="zh-CN"/>
        </w:rPr>
      </w:pPr>
      <w:r>
        <w:rPr>
          <w:rFonts w:hint="eastAsia" w:ascii="宋体" w:hAnsi="宋体" w:eastAsia="宋体" w:cs="宋体"/>
          <w:color w:val="auto"/>
        </w:rPr>
        <w:t>项目名称：</w:t>
      </w:r>
      <w:r>
        <w:rPr>
          <w:rFonts w:hint="eastAsia" w:ascii="宋体" w:hAnsi="宋体" w:cs="宋体"/>
          <w:color w:val="auto"/>
          <w:lang w:eastAsia="zh-CN"/>
        </w:rPr>
        <w:t>安康市石泉县汉江流域（石泉段）水环境综合整治项目设计和地勘采购</w:t>
      </w:r>
    </w:p>
    <w:p w14:paraId="63CD7D92">
      <w:pPr>
        <w:pStyle w:val="40"/>
        <w:ind w:firstLine="480"/>
        <w:rPr>
          <w:rFonts w:hint="eastAsia" w:ascii="宋体" w:hAnsi="宋体" w:eastAsia="宋体" w:cs="宋体"/>
          <w:color w:val="auto"/>
        </w:rPr>
      </w:pPr>
      <w:r>
        <w:rPr>
          <w:rFonts w:hint="eastAsia" w:ascii="宋体" w:hAnsi="宋体" w:eastAsia="宋体" w:cs="宋体"/>
          <w:color w:val="auto"/>
        </w:rPr>
        <w:t>采购方式：竞争性磋商</w:t>
      </w:r>
    </w:p>
    <w:p w14:paraId="39146772">
      <w:pPr>
        <w:pStyle w:val="40"/>
        <w:ind w:firstLine="480"/>
        <w:rPr>
          <w:rFonts w:hint="eastAsia" w:ascii="宋体" w:hAnsi="宋体" w:eastAsia="宋体" w:cs="宋体"/>
          <w:color w:val="auto"/>
        </w:rPr>
      </w:pPr>
      <w:r>
        <w:rPr>
          <w:rFonts w:hint="eastAsia" w:ascii="宋体" w:hAnsi="宋体" w:eastAsia="宋体" w:cs="宋体"/>
          <w:color w:val="auto"/>
        </w:rPr>
        <w:t>预算金额：</w:t>
      </w:r>
      <w:r>
        <w:rPr>
          <w:rFonts w:hint="eastAsia" w:ascii="宋体" w:hAnsi="宋体" w:cs="宋体"/>
          <w:color w:val="auto"/>
          <w:lang w:val="en-US" w:eastAsia="zh-CN"/>
        </w:rPr>
        <w:t>1600000.00</w:t>
      </w:r>
      <w:r>
        <w:rPr>
          <w:rFonts w:hint="eastAsia" w:ascii="宋体" w:hAnsi="宋体" w:eastAsia="宋体" w:cs="宋体"/>
          <w:color w:val="auto"/>
        </w:rPr>
        <w:t>元</w:t>
      </w:r>
    </w:p>
    <w:p w14:paraId="46A5FB3F">
      <w:pPr>
        <w:pStyle w:val="40"/>
        <w:ind w:firstLine="480"/>
        <w:rPr>
          <w:rFonts w:hint="eastAsia" w:ascii="宋体" w:hAnsi="宋体" w:eastAsia="宋体" w:cs="宋体"/>
          <w:color w:val="auto"/>
        </w:rPr>
      </w:pPr>
      <w:r>
        <w:rPr>
          <w:rFonts w:hint="eastAsia" w:ascii="宋体" w:hAnsi="宋体" w:eastAsia="宋体" w:cs="宋体"/>
          <w:color w:val="auto"/>
        </w:rPr>
        <w:t>合同包1(</w:t>
      </w:r>
      <w:r>
        <w:rPr>
          <w:rFonts w:hint="eastAsia" w:ascii="宋体" w:hAnsi="宋体" w:cs="宋体"/>
          <w:color w:val="auto"/>
          <w:lang w:eastAsia="zh-CN"/>
        </w:rPr>
        <w:t>安康市石泉县汉江流域（石泉段）水环境综合整治项目设计和地勘采购</w:t>
      </w:r>
      <w:r>
        <w:rPr>
          <w:rFonts w:hint="eastAsia" w:ascii="宋体" w:hAnsi="宋体" w:eastAsia="宋体" w:cs="宋体"/>
          <w:color w:val="auto"/>
        </w:rPr>
        <w:t>):</w:t>
      </w:r>
    </w:p>
    <w:p w14:paraId="1C8B06AE">
      <w:pPr>
        <w:pStyle w:val="40"/>
        <w:ind w:firstLine="480"/>
        <w:rPr>
          <w:rFonts w:hint="eastAsia" w:ascii="宋体" w:hAnsi="宋体" w:eastAsia="宋体" w:cs="宋体"/>
          <w:color w:val="auto"/>
        </w:rPr>
      </w:pPr>
      <w:r>
        <w:rPr>
          <w:rFonts w:hint="eastAsia" w:ascii="宋体" w:hAnsi="宋体" w:eastAsia="宋体" w:cs="宋体"/>
          <w:color w:val="auto"/>
        </w:rPr>
        <w:t>合同包预算金额：</w:t>
      </w:r>
      <w:r>
        <w:rPr>
          <w:rFonts w:hint="eastAsia" w:ascii="宋体" w:hAnsi="宋体" w:cs="宋体"/>
          <w:color w:val="auto"/>
          <w:lang w:val="en-US" w:eastAsia="zh-CN"/>
        </w:rPr>
        <w:t>1600000.00</w:t>
      </w:r>
      <w:r>
        <w:rPr>
          <w:rFonts w:hint="eastAsia" w:ascii="宋体" w:hAnsi="宋体" w:eastAsia="宋体" w:cs="宋体"/>
          <w:color w:val="auto"/>
        </w:rPr>
        <w:t>元</w:t>
      </w:r>
    </w:p>
    <w:p w14:paraId="20ABBFD5">
      <w:pPr>
        <w:pStyle w:val="40"/>
        <w:ind w:firstLine="480"/>
        <w:rPr>
          <w:rFonts w:hint="eastAsia" w:ascii="宋体" w:hAnsi="宋体" w:eastAsia="宋体" w:cs="宋体"/>
          <w:color w:val="auto"/>
        </w:rPr>
      </w:pPr>
      <w:r>
        <w:rPr>
          <w:rFonts w:hint="eastAsia" w:ascii="宋体" w:hAnsi="宋体" w:eastAsia="宋体" w:cs="宋体"/>
          <w:color w:val="auto"/>
        </w:rPr>
        <w:t>合同包最高限价：</w:t>
      </w:r>
      <w:r>
        <w:rPr>
          <w:rFonts w:hint="eastAsia" w:ascii="宋体" w:hAnsi="宋体" w:cs="宋体"/>
          <w:color w:val="auto"/>
          <w:lang w:val="en-US" w:eastAsia="zh-CN"/>
        </w:rPr>
        <w:t>1600000.00</w:t>
      </w:r>
      <w:r>
        <w:rPr>
          <w:rFonts w:hint="eastAsia" w:ascii="宋体" w:hAnsi="宋体" w:eastAsia="宋体" w:cs="宋体"/>
          <w:color w:val="auto"/>
        </w:rPr>
        <w:t>元</w:t>
      </w:r>
    </w:p>
    <w:tbl>
      <w:tblPr>
        <w:tblStyle w:val="29"/>
        <w:tblW w:w="10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388"/>
        <w:gridCol w:w="1718"/>
        <w:gridCol w:w="1377"/>
        <w:gridCol w:w="1599"/>
        <w:gridCol w:w="1643"/>
        <w:gridCol w:w="1607"/>
      </w:tblGrid>
      <w:tr w14:paraId="2DA2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05" w:type="dxa"/>
            <w:vAlign w:val="center"/>
          </w:tcPr>
          <w:p w14:paraId="256053A8">
            <w:pPr>
              <w:spacing w:line="4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品目号</w:t>
            </w:r>
          </w:p>
        </w:tc>
        <w:tc>
          <w:tcPr>
            <w:tcW w:w="1388" w:type="dxa"/>
            <w:vAlign w:val="center"/>
          </w:tcPr>
          <w:p w14:paraId="76493FA1">
            <w:pPr>
              <w:spacing w:line="4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品目名称</w:t>
            </w:r>
          </w:p>
        </w:tc>
        <w:tc>
          <w:tcPr>
            <w:tcW w:w="1718" w:type="dxa"/>
            <w:vAlign w:val="center"/>
          </w:tcPr>
          <w:p w14:paraId="4F43D164">
            <w:pPr>
              <w:spacing w:line="4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采购标的</w:t>
            </w:r>
          </w:p>
        </w:tc>
        <w:tc>
          <w:tcPr>
            <w:tcW w:w="1377" w:type="dxa"/>
            <w:vAlign w:val="center"/>
          </w:tcPr>
          <w:p w14:paraId="09BE3D39">
            <w:pPr>
              <w:spacing w:line="4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数量（单位）</w:t>
            </w:r>
          </w:p>
        </w:tc>
        <w:tc>
          <w:tcPr>
            <w:tcW w:w="1599" w:type="dxa"/>
            <w:vAlign w:val="center"/>
          </w:tcPr>
          <w:p w14:paraId="4512D220">
            <w:pPr>
              <w:spacing w:line="4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技术规格、参数及要求</w:t>
            </w:r>
          </w:p>
        </w:tc>
        <w:tc>
          <w:tcPr>
            <w:tcW w:w="1643" w:type="dxa"/>
            <w:vAlign w:val="center"/>
          </w:tcPr>
          <w:p w14:paraId="518B78BB">
            <w:pPr>
              <w:spacing w:line="4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品目预算(元)</w:t>
            </w:r>
          </w:p>
        </w:tc>
        <w:tc>
          <w:tcPr>
            <w:tcW w:w="1607" w:type="dxa"/>
            <w:vAlign w:val="center"/>
          </w:tcPr>
          <w:p w14:paraId="0A845BB5">
            <w:pPr>
              <w:spacing w:line="4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最高限价(元)</w:t>
            </w:r>
          </w:p>
        </w:tc>
      </w:tr>
      <w:tr w14:paraId="7C52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905" w:type="dxa"/>
            <w:vAlign w:val="center"/>
          </w:tcPr>
          <w:p w14:paraId="6368D087">
            <w:pPr>
              <w:spacing w:line="4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1-1</w:t>
            </w:r>
          </w:p>
        </w:tc>
        <w:tc>
          <w:tcPr>
            <w:tcW w:w="1388" w:type="dxa"/>
            <w:vAlign w:val="center"/>
          </w:tcPr>
          <w:p w14:paraId="3750F1EF">
            <w:pPr>
              <w:keepNext w:val="0"/>
              <w:keepLines w:val="0"/>
              <w:widowControl/>
              <w:suppressLineNumbers w:val="0"/>
              <w:jc w:val="left"/>
              <w:rPr>
                <w:rFonts w:hint="eastAsia" w:ascii="宋体" w:hAnsi="宋体" w:eastAsia="宋体" w:cs="宋体"/>
                <w:color w:val="auto"/>
                <w:kern w:val="0"/>
                <w:sz w:val="24"/>
                <w:lang w:eastAsia="zh-CN"/>
              </w:rPr>
            </w:pPr>
            <w:r>
              <w:rPr>
                <w:rFonts w:hint="eastAsia" w:ascii="宋体" w:hAnsi="宋体" w:eastAsia="宋体" w:cs="宋体"/>
                <w:color w:val="auto"/>
                <w:kern w:val="2"/>
                <w:sz w:val="24"/>
                <w:szCs w:val="22"/>
                <w:lang w:val="en-US" w:eastAsia="zh-CN" w:bidi="ar-SA"/>
              </w:rPr>
              <w:t>工程设计服务</w:t>
            </w:r>
          </w:p>
        </w:tc>
        <w:tc>
          <w:tcPr>
            <w:tcW w:w="1718" w:type="dxa"/>
            <w:vAlign w:val="center"/>
          </w:tcPr>
          <w:p w14:paraId="22FB26D8">
            <w:pPr>
              <w:keepNext w:val="0"/>
              <w:keepLines w:val="0"/>
              <w:widowControl/>
              <w:suppressLineNumbers w:val="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szCs w:val="24"/>
                <w:lang w:val="en-US" w:eastAsia="zh-CN" w:bidi="ar"/>
              </w:rPr>
              <w:t>安康市石泉县汉江流域（石泉段）水环境综合整治项目设计和地勘采购</w:t>
            </w:r>
          </w:p>
        </w:tc>
        <w:tc>
          <w:tcPr>
            <w:tcW w:w="1377" w:type="dxa"/>
            <w:vAlign w:val="center"/>
          </w:tcPr>
          <w:p w14:paraId="45B7317B">
            <w:pPr>
              <w:spacing w:line="4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1(项)</w:t>
            </w:r>
          </w:p>
        </w:tc>
        <w:tc>
          <w:tcPr>
            <w:tcW w:w="1599" w:type="dxa"/>
            <w:vAlign w:val="center"/>
          </w:tcPr>
          <w:p w14:paraId="268C0C56">
            <w:pPr>
              <w:spacing w:line="420" w:lineRule="exact"/>
              <w:jc w:val="both"/>
              <w:rPr>
                <w:rFonts w:hint="eastAsia" w:ascii="宋体" w:hAnsi="宋体" w:eastAsia="宋体" w:cs="宋体"/>
                <w:color w:val="auto"/>
                <w:kern w:val="0"/>
                <w:sz w:val="24"/>
              </w:rPr>
            </w:pPr>
            <w:r>
              <w:rPr>
                <w:rFonts w:hint="eastAsia" w:ascii="宋体" w:hAnsi="宋体" w:eastAsia="宋体" w:cs="宋体"/>
                <w:color w:val="auto"/>
                <w:kern w:val="0"/>
                <w:sz w:val="24"/>
              </w:rPr>
              <w:t>详见采购文件</w:t>
            </w:r>
          </w:p>
        </w:tc>
        <w:tc>
          <w:tcPr>
            <w:tcW w:w="1643" w:type="dxa"/>
            <w:vAlign w:val="center"/>
          </w:tcPr>
          <w:p w14:paraId="11A7DFA2">
            <w:pPr>
              <w:spacing w:line="420" w:lineRule="exact"/>
              <w:jc w:val="both"/>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1600000.00元</w:t>
            </w:r>
          </w:p>
        </w:tc>
        <w:tc>
          <w:tcPr>
            <w:tcW w:w="1607" w:type="dxa"/>
            <w:vAlign w:val="center"/>
          </w:tcPr>
          <w:p w14:paraId="63C5166A">
            <w:pPr>
              <w:spacing w:line="420" w:lineRule="exact"/>
              <w:jc w:val="both"/>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1600000.00元</w:t>
            </w:r>
          </w:p>
        </w:tc>
      </w:tr>
    </w:tbl>
    <w:p w14:paraId="0ACAC522">
      <w:pPr>
        <w:pStyle w:val="40"/>
        <w:ind w:firstLine="480"/>
        <w:rPr>
          <w:rFonts w:hint="eastAsia" w:ascii="宋体" w:hAnsi="宋体" w:eastAsia="宋体" w:cs="宋体"/>
          <w:color w:val="auto"/>
        </w:rPr>
      </w:pPr>
      <w:r>
        <w:rPr>
          <w:rFonts w:hint="eastAsia" w:ascii="宋体" w:hAnsi="宋体" w:eastAsia="宋体" w:cs="宋体"/>
          <w:color w:val="auto"/>
        </w:rPr>
        <w:t>本合同包☑不接受联合体磋商。</w:t>
      </w:r>
    </w:p>
    <w:p w14:paraId="33C89CC6">
      <w:pPr>
        <w:pStyle w:val="40"/>
        <w:shd w:val="clear"/>
        <w:ind w:firstLine="480"/>
        <w:rPr>
          <w:rFonts w:hint="eastAsia" w:ascii="宋体" w:hAnsi="宋体" w:eastAsia="宋体" w:cs="宋体"/>
          <w:color w:val="auto"/>
        </w:rPr>
      </w:pPr>
      <w:r>
        <w:rPr>
          <w:rFonts w:hint="eastAsia" w:ascii="宋体" w:hAnsi="宋体" w:eastAsia="宋体" w:cs="宋体"/>
          <w:color w:val="auto"/>
        </w:rPr>
        <w:t>合同履行期限：</w:t>
      </w:r>
      <w:r>
        <w:rPr>
          <w:rFonts w:hint="eastAsia" w:ascii="宋体" w:hAnsi="宋体" w:eastAsia="宋体" w:cs="宋体"/>
          <w:color w:val="auto"/>
          <w:lang w:val="en-US" w:eastAsia="zh-CN"/>
        </w:rPr>
        <w:t>自合同签订之日起</w:t>
      </w:r>
      <w:r>
        <w:rPr>
          <w:rFonts w:hint="eastAsia" w:ascii="宋体" w:hAnsi="宋体" w:cs="宋体"/>
          <w:color w:val="auto"/>
          <w:lang w:val="en-US" w:eastAsia="zh-CN"/>
        </w:rPr>
        <w:t>45</w:t>
      </w:r>
      <w:r>
        <w:rPr>
          <w:rFonts w:hint="eastAsia" w:ascii="宋体" w:hAnsi="宋体" w:eastAsia="宋体" w:cs="宋体"/>
          <w:color w:val="auto"/>
          <w:lang w:val="en-US" w:eastAsia="zh-CN"/>
        </w:rPr>
        <w:t>日历天。</w:t>
      </w:r>
    </w:p>
    <w:p w14:paraId="37323710">
      <w:pPr>
        <w:pStyle w:val="38"/>
        <w:spacing w:before="120" w:after="120"/>
        <w:rPr>
          <w:rFonts w:hint="eastAsia" w:ascii="宋体" w:hAnsi="宋体" w:eastAsia="宋体" w:cs="宋体"/>
          <w:color w:val="auto"/>
        </w:rPr>
      </w:pPr>
      <w:r>
        <w:rPr>
          <w:rFonts w:hint="eastAsia" w:ascii="宋体" w:hAnsi="宋体" w:eastAsia="宋体" w:cs="宋体"/>
          <w:color w:val="auto"/>
        </w:rPr>
        <w:t>二、申请人资格要求</w:t>
      </w:r>
    </w:p>
    <w:p w14:paraId="5F013183">
      <w:pPr>
        <w:pStyle w:val="40"/>
        <w:ind w:firstLine="480"/>
        <w:rPr>
          <w:rFonts w:hint="eastAsia" w:ascii="宋体" w:hAnsi="宋体" w:eastAsia="宋体" w:cs="宋体"/>
          <w:color w:val="auto"/>
        </w:rPr>
      </w:pPr>
      <w:r>
        <w:rPr>
          <w:rFonts w:hint="eastAsia" w:ascii="宋体" w:hAnsi="宋体" w:eastAsia="宋体" w:cs="宋体"/>
          <w:color w:val="auto"/>
        </w:rPr>
        <w:t>1.满足《中华人民共和国政府采购法》第二十二条规定；</w:t>
      </w:r>
    </w:p>
    <w:p w14:paraId="26448419">
      <w:pPr>
        <w:pStyle w:val="40"/>
        <w:ind w:firstLine="480"/>
        <w:rPr>
          <w:rFonts w:hint="eastAsia" w:ascii="宋体" w:hAnsi="宋体" w:eastAsia="宋体" w:cs="宋体"/>
          <w:color w:val="auto"/>
        </w:rPr>
      </w:pPr>
      <w:r>
        <w:rPr>
          <w:rFonts w:hint="eastAsia" w:ascii="宋体" w:hAnsi="宋体" w:eastAsia="宋体" w:cs="宋体"/>
          <w:color w:val="auto"/>
        </w:rPr>
        <w:t>2.落实政府采购政策需满足的资格要求：合同包1(</w:t>
      </w:r>
      <w:r>
        <w:rPr>
          <w:rFonts w:hint="eastAsia" w:ascii="宋体" w:hAnsi="宋体" w:cs="宋体"/>
          <w:color w:val="auto"/>
          <w:lang w:eastAsia="zh-CN"/>
        </w:rPr>
        <w:t>安康市石泉县汉江流域（石泉段）水环境综合整治项目设计和地勘采购采购</w:t>
      </w:r>
      <w:r>
        <w:rPr>
          <w:rFonts w:hint="eastAsia" w:ascii="宋体" w:hAnsi="宋体" w:eastAsia="宋体" w:cs="宋体"/>
          <w:color w:val="auto"/>
        </w:rPr>
        <w:t>)落实政府采购政策需满足的资格要求如下:</w:t>
      </w:r>
    </w:p>
    <w:p w14:paraId="38E02B7A">
      <w:pPr>
        <w:pStyle w:val="40"/>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本项目为专门面向</w:t>
      </w:r>
      <w:r>
        <w:rPr>
          <w:rFonts w:hint="eastAsia" w:ascii="宋体" w:hAnsi="宋体" w:cs="宋体"/>
          <w:color w:val="auto"/>
          <w:lang w:val="en-US" w:eastAsia="zh-CN"/>
        </w:rPr>
        <w:t>中小微</w:t>
      </w:r>
      <w:r>
        <w:rPr>
          <w:rFonts w:hint="eastAsia" w:ascii="宋体" w:hAnsi="宋体" w:eastAsia="宋体" w:cs="宋体"/>
          <w:color w:val="auto"/>
          <w:lang w:val="en-US" w:eastAsia="zh-CN"/>
        </w:rPr>
        <w:t>企业项目，供应商应为</w:t>
      </w:r>
      <w:r>
        <w:rPr>
          <w:rFonts w:hint="eastAsia" w:ascii="宋体" w:hAnsi="宋体" w:cs="宋体"/>
          <w:color w:val="auto"/>
          <w:lang w:val="en-US" w:eastAsia="zh-CN"/>
        </w:rPr>
        <w:t>中型企业、</w:t>
      </w:r>
      <w:r>
        <w:rPr>
          <w:rFonts w:hint="eastAsia" w:ascii="宋体" w:hAnsi="宋体" w:eastAsia="宋体" w:cs="宋体"/>
          <w:color w:val="auto"/>
          <w:lang w:val="en-US" w:eastAsia="zh-CN"/>
        </w:rPr>
        <w:t>小型企业、微型企业、监狱企业、残疾人福利性单位。供应商为</w:t>
      </w:r>
      <w:r>
        <w:rPr>
          <w:rFonts w:hint="eastAsia" w:ascii="宋体" w:hAnsi="宋体" w:cs="宋体"/>
          <w:color w:val="auto"/>
          <w:lang w:val="en-US" w:eastAsia="zh-CN"/>
        </w:rPr>
        <w:t>中小微</w:t>
      </w:r>
      <w:r>
        <w:rPr>
          <w:rFonts w:hint="eastAsia" w:ascii="宋体" w:hAnsi="宋体" w:eastAsia="宋体" w:cs="宋体"/>
          <w:color w:val="auto"/>
          <w:lang w:val="en-US" w:eastAsia="zh-CN"/>
        </w:rPr>
        <w:t>企业的，提供《中小企业声明函》，</w:t>
      </w:r>
      <w:r>
        <w:rPr>
          <w:rFonts w:hint="eastAsia" w:ascii="宋体" w:hAnsi="宋体" w:eastAsia="宋体" w:cs="宋体"/>
          <w:b/>
          <w:bCs/>
          <w:color w:val="auto"/>
          <w:lang w:val="en-US" w:eastAsia="zh-CN"/>
        </w:rPr>
        <w:t>且</w:t>
      </w:r>
      <w:r>
        <w:rPr>
          <w:rFonts w:hint="eastAsia" w:ascii="宋体" w:hAnsi="宋体" w:cs="宋体"/>
          <w:b/>
          <w:bCs/>
          <w:color w:val="auto"/>
          <w:lang w:val="en-US" w:eastAsia="zh-CN"/>
        </w:rPr>
        <w:t>中、</w:t>
      </w:r>
      <w:r>
        <w:rPr>
          <w:rFonts w:hint="eastAsia" w:ascii="宋体" w:hAnsi="宋体" w:eastAsia="宋体" w:cs="宋体"/>
          <w:b/>
          <w:bCs/>
          <w:color w:val="auto"/>
          <w:lang w:val="en-US" w:eastAsia="zh-CN"/>
        </w:rPr>
        <w:t>小、微企业的划分标准所属行业为其他未列明行业</w:t>
      </w:r>
      <w:r>
        <w:rPr>
          <w:rFonts w:hint="eastAsia" w:ascii="宋体" w:hAnsi="宋体" w:eastAsia="宋体" w:cs="宋体"/>
          <w:color w:val="auto"/>
          <w:lang w:val="en-US" w:eastAsia="zh-CN"/>
        </w:rPr>
        <w:t>；供应商为监狱企业的，应提供监狱企业的证明文件；供应商为残疾人福利性单位的，应提供《残疾人福利性单位声明函》(监狱企业或残疾人福利性单位视同小型、微型企业)。</w:t>
      </w:r>
    </w:p>
    <w:p w14:paraId="6CB6874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（1）《国务院办公厅关于建立政府强制采购节能产品制度的通知》（国办发〔2007〕51号）；</w:t>
      </w:r>
    </w:p>
    <w:p w14:paraId="36F4933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（2）《财政部司法部关于政府采购支持监狱企业发展有关问题的通知》（财库〔2014〕68号）；</w:t>
      </w:r>
    </w:p>
    <w:p w14:paraId="17ADF91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（3）《财政部、民政部、中国残疾人联合会关于促进残疾人就业政府采购政策的通知》（财库〔2017〕141号）；</w:t>
      </w:r>
    </w:p>
    <w:p w14:paraId="6DA8A7B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（4）《财政部发展改革委生态环境部市场监管总局关于调整优化节能产品、环境标志产品政府采购执行机制的通知》（财库〔2019〕9号）；</w:t>
      </w:r>
    </w:p>
    <w:p w14:paraId="4A964EA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（5）《关于运用政府采购政策支持乡村产业振兴的通知》（财库〔2021〕19号）；</w:t>
      </w:r>
    </w:p>
    <w:p w14:paraId="1262DEB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（6）《政府采购促进中小企业发展管理办法》（财库〔2020〕46号）；</w:t>
      </w:r>
    </w:p>
    <w:p w14:paraId="084272B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（7）《陕西省财政厅关于印发&lt;陕西省中小企业政府采购信用融资办法&gt;的通知》（陕财办采〔2018〕23 号；</w:t>
      </w:r>
    </w:p>
    <w:p w14:paraId="5FC4CD2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（8）陕西省财政厅《关于加快推进我省中小企业政府采购信用融资工作的通知》（陕财办采〔2020〕15号）；</w:t>
      </w:r>
    </w:p>
    <w:p w14:paraId="39EA595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（9）陕西省财政厅《关于进一步加强政府绿色采购有关问题的通知》（陕财办采〔2021〕29号）；</w:t>
      </w:r>
    </w:p>
    <w:p w14:paraId="65E58F71">
      <w:pPr>
        <w:pStyle w:val="25"/>
        <w:widowControl w:val="0"/>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kern w:val="2"/>
        </w:rPr>
        <w:t>（10）《陕西省财政厅关于落实政府采购支持中小企业政策有关事项的通知》陕财办采函〔2022〕10号；</w:t>
      </w:r>
    </w:p>
    <w:p w14:paraId="1E43C3A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（11）《关于进一步加大政府采购支持中小企业力度的通知》（财库〔2022〕19号；</w:t>
      </w:r>
    </w:p>
    <w:p w14:paraId="0BF2575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（12）《关于扩大政府采购支持绿色建材促进建筑品质提升政策实施范围的通知》财库〔2022〕35号；</w:t>
      </w:r>
    </w:p>
    <w:p w14:paraId="3FF8E509">
      <w:pPr>
        <w:pStyle w:val="25"/>
        <w:widowControl w:val="0"/>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kern w:val="2"/>
        </w:rPr>
        <w:t>（13）《陕西省财政厅关于进一步落实政府采购支持中小企业相关政策的通知》陕财办采〔2023〕3号；</w:t>
      </w:r>
    </w:p>
    <w:p w14:paraId="1669FBF8">
      <w:pPr>
        <w:pStyle w:val="25"/>
        <w:widowControl w:val="0"/>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kern w:val="2"/>
        </w:rPr>
        <w:t>（14）</w:t>
      </w:r>
      <w:r>
        <w:rPr>
          <w:rFonts w:hint="eastAsia" w:ascii="宋体" w:hAnsi="宋体" w:eastAsia="宋体" w:cs="宋体"/>
          <w:color w:val="auto"/>
          <w:kern w:val="2"/>
          <w:lang w:val="en-US" w:eastAsia="zh-CN"/>
        </w:rPr>
        <w:t xml:space="preserve"> </w:t>
      </w:r>
      <w:r>
        <w:rPr>
          <w:rFonts w:hint="eastAsia" w:ascii="宋体" w:hAnsi="宋体" w:eastAsia="宋体" w:cs="宋体"/>
          <w:color w:val="auto"/>
          <w:kern w:val="2"/>
        </w:rPr>
        <w:t>《陕西省财政厅关于进一步优化政府采购营商环境有关事项的通知》陕财办采〔2023〕4号；</w:t>
      </w:r>
    </w:p>
    <w:p w14:paraId="2182ECEF">
      <w:pPr>
        <w:pStyle w:val="25"/>
        <w:widowControl w:val="0"/>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kern w:val="2"/>
        </w:rPr>
        <w:t>（15）其他需要落实的政府采购政策。</w:t>
      </w:r>
    </w:p>
    <w:p w14:paraId="06959D1C">
      <w:pPr>
        <w:pStyle w:val="40"/>
        <w:ind w:firstLine="480"/>
        <w:rPr>
          <w:rFonts w:hint="eastAsia" w:ascii="宋体" w:hAnsi="宋体" w:eastAsia="宋体" w:cs="宋体"/>
          <w:color w:val="auto"/>
        </w:rPr>
      </w:pPr>
      <w:r>
        <w:rPr>
          <w:rFonts w:hint="eastAsia" w:ascii="宋体" w:hAnsi="宋体" w:eastAsia="宋体" w:cs="宋体"/>
          <w:color w:val="auto"/>
        </w:rPr>
        <w:t>3.本项目的特定资格要求：</w:t>
      </w:r>
    </w:p>
    <w:p w14:paraId="7C56D1D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安康市石泉县汉江流域（石泉段）水环境综合整治项目设计和地勘采购</w:t>
      </w:r>
      <w:r>
        <w:rPr>
          <w:rFonts w:hint="eastAsia" w:ascii="宋体" w:hAnsi="宋体" w:eastAsia="宋体" w:cs="宋体"/>
          <w:color w:val="auto"/>
          <w:sz w:val="24"/>
          <w:szCs w:val="24"/>
        </w:rPr>
        <w:t>)</w:t>
      </w:r>
    </w:p>
    <w:p w14:paraId="5C1D7DA1">
      <w:pPr>
        <w:pStyle w:val="38"/>
        <w:numPr>
          <w:ilvl w:val="0"/>
          <w:numId w:val="0"/>
        </w:numPr>
        <w:spacing w:before="120" w:after="120" w:line="360" w:lineRule="auto"/>
        <w:ind w:firstLine="240" w:firstLineChars="10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（1）提供有效合格的统一社会信用代码的营业执照，其他组织经营的须提供合法凭证，自然人的提供身份证明文件；</w:t>
      </w:r>
      <w:r>
        <w:rPr>
          <w:rFonts w:hint="eastAsia" w:ascii="宋体" w:hAnsi="宋体" w:eastAsia="宋体" w:cs="宋体"/>
          <w:b w:val="0"/>
          <w:color w:val="auto"/>
          <w:kern w:val="2"/>
          <w:sz w:val="24"/>
          <w:szCs w:val="24"/>
          <w:lang w:val="en-US" w:eastAsia="zh-CN" w:bidi="ar-SA"/>
        </w:rPr>
        <w:br w:type="textWrapping"/>
      </w:r>
      <w:r>
        <w:rPr>
          <w:rFonts w:hint="eastAsia" w:ascii="宋体" w:hAnsi="宋体" w:eastAsia="宋体" w:cs="宋体"/>
          <w:b w:val="0"/>
          <w:color w:val="auto"/>
          <w:kern w:val="2"/>
          <w:sz w:val="24"/>
          <w:szCs w:val="24"/>
          <w:lang w:val="en-US" w:eastAsia="zh-CN" w:bidi="ar-SA"/>
        </w:rPr>
        <w:t xml:space="preserve">  （2）法定代表人直接参加投标的，须出具法定代表人身份证；法定代表人授权代表参加投标的，须出具法定代表人授权委托书、法定代表人身份证复印件以及被授权代表身份证复印件；</w:t>
      </w:r>
      <w:r>
        <w:rPr>
          <w:rFonts w:hint="eastAsia" w:ascii="宋体" w:hAnsi="宋体" w:eastAsia="宋体" w:cs="宋体"/>
          <w:b w:val="0"/>
          <w:color w:val="auto"/>
          <w:kern w:val="2"/>
          <w:sz w:val="24"/>
          <w:szCs w:val="24"/>
          <w:lang w:val="en-US" w:eastAsia="zh-CN" w:bidi="ar-SA"/>
        </w:rPr>
        <w:br w:type="textWrapping"/>
      </w:r>
      <w:r>
        <w:rPr>
          <w:rFonts w:hint="eastAsia" w:ascii="宋体" w:hAnsi="宋体" w:eastAsia="宋体" w:cs="宋体"/>
          <w:b w:val="0"/>
          <w:color w:val="auto"/>
          <w:kern w:val="2"/>
          <w:sz w:val="24"/>
          <w:szCs w:val="24"/>
          <w:lang w:val="en-US" w:eastAsia="zh-CN" w:bidi="ar-SA"/>
        </w:rPr>
        <w:t xml:space="preserve">  （3）投标人须同时具备以下两类资质：1）设计类资质：工程设计综合资质甲级或工程设计市政行业乙级及以上资质或市政行业（排水工程）专业乙级及以上资质或水利行业设计乙级及以上资质或水利行业（河道整治）专业乙级及以上资质；2）勘察类资质：工程勘察综合甲级资质或工程勘察专业类岩土工程（勘察）丙级及以上资质；</w:t>
      </w:r>
      <w:r>
        <w:rPr>
          <w:rFonts w:hint="eastAsia" w:ascii="宋体" w:hAnsi="宋体" w:eastAsia="宋体" w:cs="宋体"/>
          <w:b w:val="0"/>
          <w:color w:val="auto"/>
          <w:kern w:val="2"/>
          <w:sz w:val="24"/>
          <w:szCs w:val="24"/>
          <w:lang w:val="en-US" w:eastAsia="zh-CN" w:bidi="ar-SA"/>
        </w:rPr>
        <w:br w:type="textWrapping"/>
      </w:r>
      <w:r>
        <w:rPr>
          <w:rFonts w:hint="eastAsia" w:ascii="宋体" w:hAnsi="宋体" w:eastAsia="宋体" w:cs="宋体"/>
          <w:b w:val="0"/>
          <w:color w:val="auto"/>
          <w:kern w:val="2"/>
          <w:sz w:val="24"/>
          <w:szCs w:val="24"/>
          <w:lang w:val="en-US" w:eastAsia="zh-CN" w:bidi="ar-SA"/>
        </w:rPr>
        <w:t xml:space="preserve">  （4）拟派项目负责人需具备水利工程、环境工程或相关专业高级工程师及以上职称或注册土木工程师（岩土工程）执业资格；</w:t>
      </w:r>
      <w:r>
        <w:rPr>
          <w:rFonts w:hint="eastAsia" w:ascii="宋体" w:hAnsi="宋体" w:eastAsia="宋体" w:cs="宋体"/>
          <w:b w:val="0"/>
          <w:color w:val="auto"/>
          <w:kern w:val="2"/>
          <w:sz w:val="24"/>
          <w:szCs w:val="24"/>
          <w:lang w:val="en-US" w:eastAsia="zh-CN" w:bidi="ar-SA"/>
        </w:rPr>
        <w:br w:type="textWrapping"/>
      </w:r>
      <w:r>
        <w:rPr>
          <w:rFonts w:hint="eastAsia" w:ascii="宋体" w:hAnsi="宋体" w:eastAsia="宋体" w:cs="宋体"/>
          <w:b w:val="0"/>
          <w:color w:val="auto"/>
          <w:kern w:val="2"/>
          <w:sz w:val="24"/>
          <w:szCs w:val="24"/>
          <w:lang w:val="en-US" w:eastAsia="zh-CN" w:bidi="ar-SA"/>
        </w:rPr>
        <w:t xml:space="preserve">  （5）财务状况报告:提供2024年度经会计师事务所出具的财务报告（至少应包括资产负债表和利润表，成立时间至提交投标文件截止时间不足一年的可提供成立后任意时间段的财务报表）或提交投标文件截止时间前六个月内其基本账户开户银行出具的资信证明；     </w:t>
      </w:r>
      <w:r>
        <w:rPr>
          <w:rFonts w:hint="eastAsia" w:ascii="宋体" w:hAnsi="宋体" w:eastAsia="宋体" w:cs="宋体"/>
          <w:b w:val="0"/>
          <w:color w:val="auto"/>
          <w:kern w:val="2"/>
          <w:sz w:val="24"/>
          <w:szCs w:val="24"/>
          <w:lang w:val="en-US" w:eastAsia="zh-CN" w:bidi="ar-SA"/>
        </w:rPr>
        <w:br w:type="textWrapping"/>
      </w:r>
      <w:r>
        <w:rPr>
          <w:rFonts w:hint="eastAsia" w:ascii="宋体" w:hAnsi="宋体" w:eastAsia="宋体" w:cs="宋体"/>
          <w:b w:val="0"/>
          <w:color w:val="auto"/>
          <w:kern w:val="2"/>
          <w:sz w:val="24"/>
          <w:szCs w:val="24"/>
          <w:lang w:val="en-US" w:eastAsia="zh-CN" w:bidi="ar-SA"/>
        </w:rPr>
        <w:t xml:space="preserve">  （6）社会保障资金缴纳证明:自2025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r>
        <w:rPr>
          <w:rFonts w:hint="eastAsia" w:ascii="宋体" w:hAnsi="宋体" w:eastAsia="宋体" w:cs="宋体"/>
          <w:b w:val="0"/>
          <w:color w:val="auto"/>
          <w:kern w:val="2"/>
          <w:sz w:val="24"/>
          <w:szCs w:val="24"/>
          <w:lang w:val="en-US" w:eastAsia="zh-CN" w:bidi="ar-SA"/>
        </w:rPr>
        <w:br w:type="textWrapping"/>
      </w:r>
      <w:r>
        <w:rPr>
          <w:rFonts w:hint="eastAsia" w:ascii="宋体" w:hAnsi="宋体" w:eastAsia="宋体" w:cs="宋体"/>
          <w:b w:val="0"/>
          <w:color w:val="auto"/>
          <w:kern w:val="2"/>
          <w:sz w:val="24"/>
          <w:szCs w:val="24"/>
          <w:lang w:val="en-US" w:eastAsia="zh-CN" w:bidi="ar-SA"/>
        </w:rPr>
        <w:t xml:space="preserve">  （7）税收缴纳证明:自2025年1月1日以来已缴纳的至少一个月的纳税证明或完税证明，纳税证明或完税证明上应有代收机构或税务机关的公章或业务专用章。依法免税的供应商应提供相关文件证明；</w:t>
      </w:r>
      <w:r>
        <w:rPr>
          <w:rFonts w:hint="eastAsia" w:ascii="宋体" w:hAnsi="宋体" w:eastAsia="宋体" w:cs="宋体"/>
          <w:b w:val="0"/>
          <w:color w:val="auto"/>
          <w:kern w:val="2"/>
          <w:sz w:val="24"/>
          <w:szCs w:val="24"/>
          <w:lang w:val="en-US" w:eastAsia="zh-CN" w:bidi="ar-SA"/>
        </w:rPr>
        <w:br w:type="textWrapping"/>
      </w:r>
      <w:r>
        <w:rPr>
          <w:rFonts w:hint="eastAsia" w:ascii="宋体" w:hAnsi="宋体" w:eastAsia="宋体" w:cs="宋体"/>
          <w:b w:val="0"/>
          <w:color w:val="auto"/>
          <w:kern w:val="2"/>
          <w:sz w:val="24"/>
          <w:szCs w:val="24"/>
          <w:lang w:val="en-US" w:eastAsia="zh-CN" w:bidi="ar-SA"/>
        </w:rPr>
        <w:t xml:space="preserve">  （8）通过中国政府采购网（www.ccgp.gov.cn）和“信用中国”网站(www.creditchina.gov.cn)查询相关主体无失信记录（网站查询的截图，加盖企业公章）以及参加政府采购活动前3年内在经营活动中没有重大违法记录的书面声明；</w:t>
      </w:r>
      <w:r>
        <w:rPr>
          <w:rFonts w:hint="eastAsia" w:ascii="宋体" w:hAnsi="宋体" w:eastAsia="宋体" w:cs="宋体"/>
          <w:b w:val="0"/>
          <w:color w:val="auto"/>
          <w:kern w:val="2"/>
          <w:sz w:val="24"/>
          <w:szCs w:val="24"/>
          <w:lang w:val="en-US" w:eastAsia="zh-CN" w:bidi="ar-SA"/>
        </w:rPr>
        <w:br w:type="textWrapping"/>
      </w:r>
      <w:r>
        <w:rPr>
          <w:rFonts w:hint="eastAsia" w:ascii="宋体" w:hAnsi="宋体" w:eastAsia="宋体" w:cs="宋体"/>
          <w:b w:val="0"/>
          <w:color w:val="auto"/>
          <w:kern w:val="2"/>
          <w:sz w:val="24"/>
          <w:szCs w:val="24"/>
          <w:lang w:val="en-US" w:eastAsia="zh-CN" w:bidi="ar-SA"/>
        </w:rPr>
        <w:t xml:space="preserve">  （9）供应商应提供中小企业声明函或残疾人福利性单位声明函或监狱企业证明文件；</w:t>
      </w:r>
      <w:r>
        <w:rPr>
          <w:rFonts w:hint="eastAsia" w:ascii="宋体" w:hAnsi="宋体" w:eastAsia="宋体" w:cs="宋体"/>
          <w:b w:val="0"/>
          <w:color w:val="auto"/>
          <w:kern w:val="2"/>
          <w:sz w:val="24"/>
          <w:szCs w:val="24"/>
          <w:lang w:val="en-US" w:eastAsia="zh-CN" w:bidi="ar-SA"/>
        </w:rPr>
        <w:br w:type="textWrapping"/>
      </w:r>
      <w:r>
        <w:rPr>
          <w:rFonts w:hint="eastAsia" w:ascii="宋体" w:hAnsi="宋体" w:eastAsia="宋体" w:cs="宋体"/>
          <w:b w:val="0"/>
          <w:color w:val="auto"/>
          <w:kern w:val="2"/>
          <w:sz w:val="24"/>
          <w:szCs w:val="24"/>
          <w:lang w:val="en-US" w:eastAsia="zh-CN" w:bidi="ar-SA"/>
        </w:rPr>
        <w:t xml:space="preserve">  （10）本项目不接受联合体投标（提供书面声明）。</w:t>
      </w:r>
    </w:p>
    <w:p w14:paraId="571AE469">
      <w:pPr>
        <w:pStyle w:val="38"/>
        <w:numPr>
          <w:ilvl w:val="0"/>
          <w:numId w:val="0"/>
        </w:numPr>
        <w:spacing w:before="120" w:after="120"/>
        <w:rPr>
          <w:rFonts w:hint="eastAsia" w:ascii="宋体" w:hAnsi="宋体" w:eastAsia="宋体" w:cs="宋体"/>
          <w:color w:val="auto"/>
        </w:rPr>
      </w:pPr>
      <w:r>
        <w:rPr>
          <w:rFonts w:hint="eastAsia" w:ascii="宋体" w:hAnsi="宋体" w:eastAsia="宋体" w:cs="宋体"/>
          <w:color w:val="auto"/>
        </w:rPr>
        <w:t>三、获取采购文件</w:t>
      </w:r>
    </w:p>
    <w:p w14:paraId="3C0037A4">
      <w:pPr>
        <w:pStyle w:val="40"/>
        <w:ind w:firstLine="480"/>
        <w:rPr>
          <w:rFonts w:hint="eastAsia" w:ascii="宋体" w:hAnsi="宋体" w:eastAsia="宋体" w:cs="宋体"/>
          <w:color w:val="auto"/>
        </w:rPr>
      </w:pPr>
      <w:r>
        <w:rPr>
          <w:rFonts w:hint="eastAsia" w:ascii="宋体" w:hAnsi="宋体" w:eastAsia="宋体" w:cs="宋体"/>
          <w:color w:val="auto"/>
        </w:rPr>
        <w:t>时间：</w:t>
      </w:r>
      <w:r>
        <w:rPr>
          <w:rFonts w:hint="eastAsia" w:ascii="宋体" w:hAnsi="宋体" w:eastAsia="宋体" w:cs="宋体"/>
          <w:color w:val="auto"/>
          <w:shd w:val="clear"/>
          <w:lang w:val="en-US" w:eastAsia="zh-CN"/>
        </w:rPr>
        <w:t>2025年</w:t>
      </w:r>
      <w:r>
        <w:rPr>
          <w:rFonts w:hint="eastAsia" w:ascii="宋体" w:hAnsi="宋体" w:cs="宋体"/>
          <w:color w:val="auto"/>
          <w:shd w:val="clear"/>
          <w:lang w:val="en-US" w:eastAsia="zh-CN"/>
        </w:rPr>
        <w:t>09</w:t>
      </w:r>
      <w:r>
        <w:rPr>
          <w:rFonts w:hint="eastAsia" w:ascii="宋体" w:hAnsi="宋体" w:eastAsia="宋体" w:cs="宋体"/>
          <w:color w:val="auto"/>
          <w:shd w:val="clear"/>
          <w:lang w:val="en-US" w:eastAsia="zh-CN"/>
        </w:rPr>
        <w:t>月</w:t>
      </w:r>
      <w:r>
        <w:rPr>
          <w:rFonts w:hint="eastAsia" w:ascii="宋体" w:hAnsi="宋体" w:cs="宋体"/>
          <w:color w:val="auto"/>
          <w:shd w:val="clear"/>
          <w:lang w:val="en-US" w:eastAsia="zh-CN"/>
        </w:rPr>
        <w:t>04</w:t>
      </w:r>
      <w:r>
        <w:rPr>
          <w:rFonts w:hint="eastAsia" w:ascii="宋体" w:hAnsi="宋体" w:eastAsia="宋体" w:cs="宋体"/>
          <w:color w:val="auto"/>
          <w:shd w:val="clear"/>
          <w:lang w:val="en-US" w:eastAsia="zh-CN"/>
        </w:rPr>
        <w:t>日至2025年</w:t>
      </w:r>
      <w:r>
        <w:rPr>
          <w:rFonts w:hint="eastAsia" w:ascii="宋体" w:hAnsi="宋体" w:cs="宋体"/>
          <w:color w:val="auto"/>
          <w:shd w:val="clear"/>
          <w:lang w:val="en-US" w:eastAsia="zh-CN"/>
        </w:rPr>
        <w:t>09</w:t>
      </w:r>
      <w:r>
        <w:rPr>
          <w:rFonts w:hint="eastAsia" w:ascii="宋体" w:hAnsi="宋体" w:eastAsia="宋体" w:cs="宋体"/>
          <w:color w:val="auto"/>
          <w:shd w:val="clear"/>
          <w:lang w:val="en-US" w:eastAsia="zh-CN"/>
        </w:rPr>
        <w:t>月</w:t>
      </w:r>
      <w:r>
        <w:rPr>
          <w:rFonts w:hint="eastAsia" w:ascii="宋体" w:hAnsi="宋体" w:cs="宋体"/>
          <w:color w:val="auto"/>
          <w:shd w:val="clear"/>
          <w:lang w:val="en-US" w:eastAsia="zh-CN"/>
        </w:rPr>
        <w:t>10</w:t>
      </w:r>
      <w:r>
        <w:rPr>
          <w:rFonts w:hint="eastAsia" w:ascii="宋体" w:hAnsi="宋体" w:eastAsia="宋体" w:cs="宋体"/>
          <w:color w:val="auto"/>
          <w:shd w:val="clear"/>
          <w:lang w:val="en-US" w:eastAsia="zh-CN"/>
        </w:rPr>
        <w:t>日</w:t>
      </w:r>
      <w:r>
        <w:rPr>
          <w:rFonts w:hint="eastAsia" w:ascii="宋体" w:hAnsi="宋体" w:eastAsia="宋体" w:cs="宋体"/>
          <w:color w:val="auto"/>
        </w:rPr>
        <w:t>，每天上午09:00:00至12:00:00，下午14:</w:t>
      </w:r>
      <w:r>
        <w:rPr>
          <w:rFonts w:hint="eastAsia" w:ascii="宋体" w:hAnsi="宋体" w:cs="宋体"/>
          <w:color w:val="auto"/>
          <w:lang w:val="en-US" w:eastAsia="zh-CN"/>
        </w:rPr>
        <w:t>30</w:t>
      </w:r>
      <w:r>
        <w:rPr>
          <w:rFonts w:hint="eastAsia" w:ascii="宋体" w:hAnsi="宋体" w:eastAsia="宋体" w:cs="宋体"/>
          <w:color w:val="auto"/>
        </w:rPr>
        <w:t>:00至17:30:00（北京时间,国家法定节假日除外）</w:t>
      </w:r>
    </w:p>
    <w:p w14:paraId="2FA6A4C7">
      <w:pPr>
        <w:pStyle w:val="40"/>
        <w:ind w:firstLine="480"/>
        <w:rPr>
          <w:rFonts w:hint="eastAsia" w:ascii="宋体" w:hAnsi="宋体" w:eastAsia="宋体" w:cs="宋体"/>
          <w:color w:val="auto"/>
        </w:rPr>
      </w:pPr>
      <w:r>
        <w:rPr>
          <w:rFonts w:hint="eastAsia" w:ascii="宋体" w:hAnsi="宋体" w:eastAsia="宋体" w:cs="宋体"/>
          <w:color w:val="auto"/>
        </w:rPr>
        <w:t>地点：全国公共资源交易中心平台（陕西省.安康市）</w:t>
      </w:r>
    </w:p>
    <w:p w14:paraId="4D0E64E6">
      <w:pPr>
        <w:pStyle w:val="40"/>
        <w:ind w:firstLine="480"/>
        <w:rPr>
          <w:rFonts w:hint="eastAsia" w:ascii="宋体" w:hAnsi="宋体" w:eastAsia="宋体" w:cs="宋体"/>
          <w:color w:val="auto"/>
        </w:rPr>
      </w:pPr>
      <w:r>
        <w:rPr>
          <w:rFonts w:hint="eastAsia" w:ascii="宋体" w:hAnsi="宋体" w:eastAsia="宋体" w:cs="宋体"/>
          <w:color w:val="auto"/>
        </w:rPr>
        <w:t>方式：</w:t>
      </w:r>
      <w:r>
        <w:rPr>
          <w:rFonts w:hint="eastAsia" w:ascii="宋体" w:hAnsi="宋体" w:cs="宋体"/>
          <w:color w:val="auto"/>
          <w:lang w:eastAsia="zh-CN"/>
        </w:rPr>
        <w:t>线上</w:t>
      </w:r>
      <w:r>
        <w:rPr>
          <w:rFonts w:hint="eastAsia" w:ascii="宋体" w:hAnsi="宋体" w:eastAsia="宋体" w:cs="宋体"/>
          <w:color w:val="auto"/>
        </w:rPr>
        <w:t>获取</w:t>
      </w:r>
    </w:p>
    <w:p w14:paraId="06B9F4FC">
      <w:pPr>
        <w:pStyle w:val="38"/>
        <w:keepNext w:val="0"/>
        <w:keepLines w:val="0"/>
        <w:pageBreakBefore w:val="0"/>
        <w:widowControl w:val="0"/>
        <w:kinsoku/>
        <w:wordWrap/>
        <w:overflowPunct/>
        <w:topLinePunct w:val="0"/>
        <w:autoSpaceDE/>
        <w:autoSpaceDN/>
        <w:bidi w:val="0"/>
        <w:adjustRightInd/>
        <w:snapToGrid/>
        <w:spacing w:before="120" w:after="120" w:line="560" w:lineRule="exact"/>
        <w:textAlignment w:val="auto"/>
        <w:rPr>
          <w:rFonts w:hint="eastAsia" w:ascii="宋体" w:hAnsi="宋体" w:eastAsia="宋体" w:cs="宋体"/>
          <w:color w:val="auto"/>
        </w:rPr>
      </w:pPr>
      <w:r>
        <w:rPr>
          <w:rFonts w:hint="eastAsia" w:ascii="宋体" w:hAnsi="宋体" w:eastAsia="宋体" w:cs="宋体"/>
          <w:color w:val="auto"/>
        </w:rPr>
        <w:t>四、响应文件提交</w:t>
      </w:r>
    </w:p>
    <w:p w14:paraId="7E6C8F7A">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hd w:val="clear"/>
        </w:rPr>
      </w:pPr>
      <w:r>
        <w:rPr>
          <w:rFonts w:hint="eastAsia" w:ascii="宋体" w:hAnsi="宋体" w:eastAsia="宋体" w:cs="宋体"/>
          <w:color w:val="auto"/>
        </w:rPr>
        <w:t>截止时间：</w:t>
      </w:r>
      <w:r>
        <w:rPr>
          <w:rFonts w:hint="eastAsia" w:ascii="宋体" w:hAnsi="宋体" w:eastAsia="宋体" w:cs="宋体"/>
          <w:color w:val="auto"/>
          <w:shd w:val="clear"/>
          <w:lang w:val="en-US" w:eastAsia="zh-CN"/>
        </w:rPr>
        <w:t>2025年</w:t>
      </w:r>
      <w:r>
        <w:rPr>
          <w:rFonts w:hint="eastAsia" w:ascii="宋体" w:hAnsi="宋体" w:cs="宋体"/>
          <w:color w:val="auto"/>
          <w:shd w:val="clear"/>
          <w:lang w:val="en-US" w:eastAsia="zh-CN"/>
        </w:rPr>
        <w:t>9</w:t>
      </w:r>
      <w:r>
        <w:rPr>
          <w:rFonts w:hint="eastAsia" w:ascii="宋体" w:hAnsi="宋体" w:eastAsia="宋体" w:cs="宋体"/>
          <w:color w:val="auto"/>
          <w:shd w:val="clear"/>
          <w:lang w:val="en-US" w:eastAsia="zh-CN"/>
        </w:rPr>
        <w:t>月</w:t>
      </w:r>
      <w:r>
        <w:rPr>
          <w:rFonts w:hint="eastAsia" w:ascii="宋体" w:hAnsi="宋体" w:cs="宋体"/>
          <w:color w:val="auto"/>
          <w:shd w:val="clear"/>
          <w:lang w:val="en-US" w:eastAsia="zh-CN"/>
        </w:rPr>
        <w:t>17</w:t>
      </w:r>
      <w:r>
        <w:rPr>
          <w:rFonts w:hint="eastAsia" w:ascii="宋体" w:hAnsi="宋体" w:eastAsia="宋体" w:cs="宋体"/>
          <w:color w:val="auto"/>
          <w:shd w:val="clear"/>
          <w:lang w:val="en-US" w:eastAsia="zh-CN"/>
        </w:rPr>
        <w:t>日</w:t>
      </w:r>
      <w:r>
        <w:rPr>
          <w:rFonts w:hint="eastAsia" w:ascii="宋体" w:hAnsi="宋体" w:cs="宋体"/>
          <w:color w:val="auto"/>
          <w:shd w:val="clear"/>
          <w:lang w:val="en-US" w:eastAsia="zh-CN"/>
        </w:rPr>
        <w:t>14</w:t>
      </w:r>
      <w:r>
        <w:rPr>
          <w:rFonts w:hint="eastAsia" w:ascii="宋体" w:hAnsi="宋体" w:eastAsia="宋体" w:cs="宋体"/>
          <w:color w:val="auto"/>
          <w:shd w:val="clear"/>
          <w:lang w:val="en-US" w:eastAsia="zh-CN"/>
        </w:rPr>
        <w:t>时</w:t>
      </w:r>
      <w:r>
        <w:rPr>
          <w:rFonts w:hint="eastAsia" w:ascii="宋体" w:hAnsi="宋体" w:cs="宋体"/>
          <w:color w:val="auto"/>
          <w:shd w:val="clear"/>
          <w:lang w:val="en-US" w:eastAsia="zh-CN"/>
        </w:rPr>
        <w:t>00</w:t>
      </w:r>
      <w:r>
        <w:rPr>
          <w:rFonts w:hint="eastAsia" w:ascii="宋体" w:hAnsi="宋体" w:eastAsia="宋体" w:cs="宋体"/>
          <w:color w:val="auto"/>
          <w:shd w:val="clear"/>
          <w:lang w:val="en-US" w:eastAsia="zh-CN"/>
        </w:rPr>
        <w:t>分00秒</w:t>
      </w:r>
      <w:r>
        <w:rPr>
          <w:rFonts w:hint="eastAsia" w:ascii="宋体" w:hAnsi="宋体" w:eastAsia="宋体" w:cs="宋体"/>
          <w:color w:val="auto"/>
          <w:shd w:val="clear"/>
        </w:rPr>
        <w:t>（北京时间）</w:t>
      </w:r>
    </w:p>
    <w:p w14:paraId="5E56E978">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宋体" w:hAnsi="宋体" w:eastAsia="宋体" w:cs="宋体"/>
          <w:color w:val="auto"/>
          <w:lang w:val="en-US"/>
        </w:rPr>
      </w:pPr>
      <w:r>
        <w:rPr>
          <w:rFonts w:hint="eastAsia" w:ascii="宋体" w:hAnsi="宋体" w:eastAsia="宋体" w:cs="宋体"/>
          <w:color w:val="auto"/>
        </w:rPr>
        <w:t>地点：全国公共资源交易中心平台（陕西省.安康市）</w:t>
      </w:r>
      <w:r>
        <w:rPr>
          <w:rFonts w:hint="eastAsia" w:ascii="宋体" w:hAnsi="宋体" w:cs="宋体"/>
          <w:color w:val="auto"/>
          <w:lang w:val="en-US" w:eastAsia="zh-CN"/>
        </w:rPr>
        <w:t xml:space="preserve"> </w:t>
      </w:r>
    </w:p>
    <w:p w14:paraId="71EEB12B">
      <w:pPr>
        <w:pStyle w:val="38"/>
        <w:keepNext w:val="0"/>
        <w:keepLines w:val="0"/>
        <w:pageBreakBefore w:val="0"/>
        <w:widowControl w:val="0"/>
        <w:kinsoku/>
        <w:wordWrap/>
        <w:overflowPunct/>
        <w:topLinePunct w:val="0"/>
        <w:autoSpaceDE/>
        <w:autoSpaceDN/>
        <w:bidi w:val="0"/>
        <w:adjustRightInd/>
        <w:snapToGrid/>
        <w:spacing w:before="120" w:after="120" w:line="560" w:lineRule="exact"/>
        <w:textAlignment w:val="auto"/>
        <w:rPr>
          <w:rFonts w:hint="eastAsia" w:ascii="宋体" w:hAnsi="宋体" w:eastAsia="宋体" w:cs="宋体"/>
          <w:color w:val="auto"/>
        </w:rPr>
      </w:pPr>
      <w:r>
        <w:rPr>
          <w:rFonts w:hint="eastAsia" w:ascii="宋体" w:hAnsi="宋体" w:eastAsia="宋体" w:cs="宋体"/>
          <w:color w:val="auto"/>
        </w:rPr>
        <w:t>五、开启</w:t>
      </w:r>
    </w:p>
    <w:p w14:paraId="2636D13D">
      <w:pPr>
        <w:pStyle w:val="40"/>
        <w:keepNext w:val="0"/>
        <w:keepLines w:val="0"/>
        <w:pageBreakBefore w:val="0"/>
        <w:widowControl w:val="0"/>
        <w:shd w:val="clear"/>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rPr>
      </w:pPr>
      <w:r>
        <w:rPr>
          <w:rFonts w:hint="eastAsia" w:ascii="宋体" w:hAnsi="宋体" w:eastAsia="宋体" w:cs="宋体"/>
          <w:color w:val="auto"/>
        </w:rPr>
        <w:t>时间：</w:t>
      </w:r>
      <w:r>
        <w:rPr>
          <w:rFonts w:hint="eastAsia" w:ascii="宋体" w:hAnsi="宋体" w:eastAsia="宋体" w:cs="宋体"/>
          <w:color w:val="auto"/>
          <w:lang w:val="en-US" w:eastAsia="zh-CN"/>
        </w:rPr>
        <w:t>2025年9月</w:t>
      </w:r>
      <w:r>
        <w:rPr>
          <w:rFonts w:hint="eastAsia" w:ascii="宋体" w:hAnsi="宋体" w:cs="宋体"/>
          <w:color w:val="auto"/>
          <w:lang w:val="en-US" w:eastAsia="zh-CN"/>
        </w:rPr>
        <w:t>17</w:t>
      </w:r>
      <w:r>
        <w:rPr>
          <w:rFonts w:hint="eastAsia" w:ascii="宋体" w:hAnsi="宋体" w:eastAsia="宋体" w:cs="宋体"/>
          <w:color w:val="auto"/>
          <w:lang w:val="en-US" w:eastAsia="zh-CN"/>
        </w:rPr>
        <w:t>日14时00分00秒（</w:t>
      </w:r>
      <w:r>
        <w:rPr>
          <w:rFonts w:hint="eastAsia" w:ascii="宋体" w:hAnsi="宋体" w:eastAsia="宋体" w:cs="宋体"/>
          <w:color w:val="auto"/>
        </w:rPr>
        <w:t>北京时间）</w:t>
      </w:r>
    </w:p>
    <w:p w14:paraId="60DA92E9">
      <w:pPr>
        <w:pStyle w:val="40"/>
        <w:keepNext w:val="0"/>
        <w:keepLines w:val="0"/>
        <w:pageBreakBefore w:val="0"/>
        <w:widowControl w:val="0"/>
        <w:shd w:val="clear"/>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rPr>
      </w:pPr>
      <w:r>
        <w:rPr>
          <w:rFonts w:hint="eastAsia" w:ascii="宋体" w:hAnsi="宋体" w:eastAsia="宋体" w:cs="宋体"/>
          <w:color w:val="auto"/>
        </w:rPr>
        <w:t>地点：安康市公共资源交易中心</w:t>
      </w:r>
      <w:r>
        <w:rPr>
          <w:rFonts w:hint="eastAsia" w:ascii="宋体" w:hAnsi="宋体" w:cs="宋体"/>
          <w:color w:val="auto"/>
          <w:lang w:val="en-US" w:eastAsia="zh-CN"/>
        </w:rPr>
        <w:t>407</w:t>
      </w:r>
      <w:r>
        <w:rPr>
          <w:rFonts w:hint="eastAsia" w:ascii="宋体" w:hAnsi="宋体" w:eastAsia="宋体" w:cs="宋体"/>
          <w:color w:val="auto"/>
          <w:lang w:val="en-US" w:eastAsia="zh-CN"/>
        </w:rPr>
        <w:t>开标</w:t>
      </w:r>
      <w:r>
        <w:rPr>
          <w:rFonts w:hint="eastAsia" w:ascii="宋体" w:hAnsi="宋体" w:eastAsia="宋体" w:cs="宋体"/>
          <w:color w:val="auto"/>
        </w:rPr>
        <w:t>室</w:t>
      </w:r>
      <w:r>
        <w:rPr>
          <w:rFonts w:hint="eastAsia" w:ascii="宋体" w:hAnsi="宋体" w:cs="宋体"/>
          <w:color w:val="auto"/>
          <w:lang w:val="en-US" w:eastAsia="zh-CN"/>
        </w:rPr>
        <w:t xml:space="preserve"> </w:t>
      </w:r>
    </w:p>
    <w:p w14:paraId="2D8D0356">
      <w:pPr>
        <w:pStyle w:val="38"/>
        <w:keepNext w:val="0"/>
        <w:keepLines w:val="0"/>
        <w:pageBreakBefore w:val="0"/>
        <w:widowControl w:val="0"/>
        <w:kinsoku/>
        <w:wordWrap/>
        <w:overflowPunct/>
        <w:topLinePunct w:val="0"/>
        <w:autoSpaceDE/>
        <w:autoSpaceDN/>
        <w:bidi w:val="0"/>
        <w:adjustRightInd/>
        <w:snapToGrid/>
        <w:spacing w:before="120" w:after="120" w:line="560" w:lineRule="exact"/>
        <w:textAlignment w:val="auto"/>
        <w:rPr>
          <w:rFonts w:hint="eastAsia" w:ascii="宋体" w:hAnsi="宋体" w:eastAsia="宋体" w:cs="宋体"/>
          <w:color w:val="auto"/>
        </w:rPr>
      </w:pPr>
      <w:r>
        <w:rPr>
          <w:rFonts w:hint="eastAsia" w:ascii="宋体" w:hAnsi="宋体" w:eastAsia="宋体" w:cs="宋体"/>
          <w:color w:val="auto"/>
        </w:rPr>
        <w:t>六、公告期限</w:t>
      </w:r>
    </w:p>
    <w:p w14:paraId="67865250">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rPr>
      </w:pPr>
      <w:r>
        <w:rPr>
          <w:rFonts w:hint="eastAsia" w:ascii="宋体" w:hAnsi="宋体" w:eastAsia="宋体" w:cs="宋体"/>
          <w:color w:val="auto"/>
        </w:rPr>
        <w:t>自本公告发布之日起</w:t>
      </w:r>
      <w:r>
        <w:rPr>
          <w:rFonts w:hint="eastAsia" w:ascii="宋体" w:hAnsi="宋体" w:cs="宋体"/>
          <w:color w:val="auto"/>
          <w:lang w:val="en-US" w:eastAsia="zh-CN"/>
        </w:rPr>
        <w:t>5</w:t>
      </w:r>
      <w:r>
        <w:rPr>
          <w:rFonts w:hint="eastAsia" w:ascii="宋体" w:hAnsi="宋体" w:eastAsia="宋体" w:cs="宋体"/>
          <w:color w:val="auto"/>
        </w:rPr>
        <w:t>个工作日。</w:t>
      </w:r>
    </w:p>
    <w:p w14:paraId="7AC8DC34">
      <w:pPr>
        <w:pStyle w:val="38"/>
        <w:keepNext w:val="0"/>
        <w:keepLines w:val="0"/>
        <w:pageBreakBefore w:val="0"/>
        <w:widowControl w:val="0"/>
        <w:numPr>
          <w:ilvl w:val="0"/>
          <w:numId w:val="1"/>
        </w:numPr>
        <w:kinsoku/>
        <w:wordWrap/>
        <w:overflowPunct/>
        <w:topLinePunct w:val="0"/>
        <w:autoSpaceDE/>
        <w:autoSpaceDN/>
        <w:bidi w:val="0"/>
        <w:adjustRightInd/>
        <w:snapToGrid/>
        <w:spacing w:before="120" w:after="120" w:line="560" w:lineRule="exact"/>
        <w:textAlignment w:val="auto"/>
        <w:rPr>
          <w:rFonts w:hint="eastAsia" w:ascii="宋体" w:hAnsi="宋体" w:eastAsia="宋体" w:cs="宋体"/>
          <w:color w:val="auto"/>
        </w:rPr>
      </w:pPr>
      <w:r>
        <w:rPr>
          <w:rFonts w:hint="eastAsia" w:ascii="宋体" w:hAnsi="宋体" w:eastAsia="宋体" w:cs="宋体"/>
          <w:color w:val="auto"/>
        </w:rPr>
        <w:t>其他补充事宜</w:t>
      </w:r>
    </w:p>
    <w:p w14:paraId="09FEDB80">
      <w:pPr>
        <w:keepNext w:val="0"/>
        <w:keepLines w:val="0"/>
        <w:pageBreakBefore w:val="0"/>
        <w:widowControl w:val="0"/>
        <w:shd w:val="clear" w:color="auto" w:fill="auto"/>
        <w:kinsoku/>
        <w:wordWrap/>
        <w:overflowPunct/>
        <w:topLinePunct w:val="0"/>
        <w:autoSpaceDE/>
        <w:autoSpaceDN/>
        <w:bidi w:val="0"/>
        <w:adjustRightInd/>
        <w:snapToGrid/>
        <w:spacing w:before="3" w:line="56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1、各供应商必须在规定报名时间内下载磋商文件，国家法定节假日除外。文件领取截止时间为报名截止日期，领取方式为线上获取。</w:t>
      </w:r>
    </w:p>
    <w:p w14:paraId="376FDCFE">
      <w:pPr>
        <w:keepNext w:val="0"/>
        <w:keepLines w:val="0"/>
        <w:pageBreakBefore w:val="0"/>
        <w:widowControl w:val="0"/>
        <w:shd w:val="clear" w:color="auto" w:fill="auto"/>
        <w:kinsoku/>
        <w:wordWrap/>
        <w:overflowPunct/>
        <w:topLinePunct w:val="0"/>
        <w:autoSpaceDE/>
        <w:autoSpaceDN/>
        <w:bidi w:val="0"/>
        <w:adjustRightInd/>
        <w:snapToGrid/>
        <w:spacing w:before="3" w:line="56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网上报名成功后，须提供报名回执单、法定代表人委托书（含被委托人身份证）、营业执照等扫描件（盖鲜章的扫描件，文字及公章须清晰，无缺失并标明联系人、联系方式、电子邮箱）发送至代理机构邮箱（QQ:1607152989@qq.com），并电话确认，视为报名成功。</w:t>
      </w:r>
    </w:p>
    <w:p w14:paraId="70BD7FD3">
      <w:pPr>
        <w:keepNext w:val="0"/>
        <w:keepLines w:val="0"/>
        <w:pageBreakBefore w:val="0"/>
        <w:widowControl w:val="0"/>
        <w:shd w:val="clear" w:color="auto" w:fill="auto"/>
        <w:kinsoku/>
        <w:wordWrap/>
        <w:overflowPunct/>
        <w:topLinePunct w:val="0"/>
        <w:autoSpaceDE/>
        <w:autoSpaceDN/>
        <w:bidi w:val="0"/>
        <w:adjustRightInd/>
        <w:snapToGrid/>
        <w:spacing w:before="3" w:line="56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本项目采用电子化投标及远程不见面开标方式。投标人须使用数字认证证书对电子招标文件进行签章、加密、递交及开标时解密等相关招投标事宜。开标前，供应商需登录网络开标大厅。开标时，按照工作人员要求进行远程解密，如因供应商自身原因造成无法签到或解密招标文件，按无效投标对待。</w:t>
      </w:r>
    </w:p>
    <w:p w14:paraId="73C2A656">
      <w:pPr>
        <w:keepNext w:val="0"/>
        <w:keepLines w:val="0"/>
        <w:pageBreakBefore w:val="0"/>
        <w:widowControl w:val="0"/>
        <w:shd w:val="clear" w:color="auto" w:fill="auto"/>
        <w:kinsoku/>
        <w:wordWrap/>
        <w:overflowPunct/>
        <w:topLinePunct w:val="0"/>
        <w:autoSpaceDE/>
        <w:autoSpaceDN/>
        <w:bidi w:val="0"/>
        <w:adjustRightInd/>
        <w:snapToGrid/>
        <w:spacing w:before="3" w:line="56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4、电子投标文件技术支持：4009280095、4009980000。</w:t>
      </w:r>
    </w:p>
    <w:p w14:paraId="6F728A43">
      <w:pPr>
        <w:keepNext w:val="0"/>
        <w:keepLines w:val="0"/>
        <w:pageBreakBefore w:val="0"/>
        <w:widowControl w:val="0"/>
        <w:shd w:val="clear" w:color="auto" w:fill="auto"/>
        <w:kinsoku/>
        <w:wordWrap/>
        <w:overflowPunct/>
        <w:topLinePunct w:val="0"/>
        <w:autoSpaceDE/>
        <w:autoSpaceDN/>
        <w:bidi w:val="0"/>
        <w:adjustRightInd/>
        <w:snapToGrid/>
        <w:spacing w:before="3" w:line="56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备注：请各投标人领取磋商文件后，按照陕西省财政厅《关于政府采购供应商注册登记有关事项的通知》要求，通过陕西省政府采购网注册登记加入陕西省政府采购供应商库。</w:t>
      </w:r>
    </w:p>
    <w:p w14:paraId="70371C83">
      <w:pPr>
        <w:pStyle w:val="38"/>
        <w:keepNext w:val="0"/>
        <w:keepLines w:val="0"/>
        <w:pageBreakBefore w:val="0"/>
        <w:widowControl w:val="0"/>
        <w:kinsoku/>
        <w:wordWrap/>
        <w:overflowPunct/>
        <w:topLinePunct w:val="0"/>
        <w:autoSpaceDE/>
        <w:autoSpaceDN/>
        <w:bidi w:val="0"/>
        <w:adjustRightInd/>
        <w:snapToGrid/>
        <w:spacing w:before="120" w:after="120" w:line="560" w:lineRule="exact"/>
        <w:textAlignment w:val="auto"/>
        <w:rPr>
          <w:rFonts w:hint="eastAsia" w:ascii="宋体" w:hAnsi="宋体" w:eastAsia="宋体" w:cs="宋体"/>
          <w:color w:val="auto"/>
        </w:rPr>
      </w:pPr>
      <w:r>
        <w:rPr>
          <w:rFonts w:hint="eastAsia" w:ascii="宋体" w:hAnsi="宋体" w:eastAsia="宋体" w:cs="宋体"/>
          <w:color w:val="auto"/>
        </w:rPr>
        <w:t>八、对本次采购提出询问，请按以下方式联系。</w:t>
      </w:r>
    </w:p>
    <w:p w14:paraId="1A68675E">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rPr>
      </w:pPr>
      <w:r>
        <w:rPr>
          <w:rFonts w:hint="eastAsia" w:ascii="宋体" w:hAnsi="宋体" w:eastAsia="宋体" w:cs="宋体"/>
          <w:color w:val="auto"/>
        </w:rPr>
        <w:t>1.釆购人信息</w:t>
      </w:r>
    </w:p>
    <w:p w14:paraId="2704A565">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lang w:eastAsia="zh-CN"/>
        </w:rPr>
      </w:pPr>
      <w:r>
        <w:rPr>
          <w:rFonts w:hint="eastAsia" w:ascii="宋体" w:hAnsi="宋体" w:eastAsia="宋体" w:cs="宋体"/>
          <w:color w:val="auto"/>
        </w:rPr>
        <w:t>名称：</w:t>
      </w:r>
      <w:r>
        <w:rPr>
          <w:rFonts w:hint="eastAsia" w:ascii="宋体" w:hAnsi="宋体" w:cs="宋体"/>
          <w:color w:val="auto"/>
          <w:lang w:eastAsia="zh-CN"/>
        </w:rPr>
        <w:t>安康市生态环境局石泉分局</w:t>
      </w:r>
    </w:p>
    <w:p w14:paraId="2F7CEC21">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color w:val="auto"/>
          <w:lang w:eastAsia="zh-CN"/>
        </w:rPr>
      </w:pPr>
      <w:r>
        <w:rPr>
          <w:rFonts w:hint="eastAsia" w:ascii="宋体" w:hAnsi="宋体" w:eastAsia="宋体" w:cs="宋体"/>
          <w:color w:val="auto"/>
        </w:rPr>
        <w:t>地址：</w:t>
      </w:r>
      <w:r>
        <w:rPr>
          <w:rFonts w:hint="eastAsia" w:ascii="宋体" w:hAnsi="宋体" w:eastAsia="宋体" w:cs="宋体"/>
          <w:color w:val="auto"/>
          <w:lang w:eastAsia="zh-CN"/>
        </w:rPr>
        <w:t>石泉县</w:t>
      </w:r>
      <w:r>
        <w:rPr>
          <w:rFonts w:hint="eastAsia" w:ascii="宋体" w:hAnsi="宋体" w:cs="宋体"/>
          <w:color w:val="auto"/>
          <w:lang w:eastAsia="zh-CN"/>
        </w:rPr>
        <w:t>城关镇</w:t>
      </w:r>
    </w:p>
    <w:p w14:paraId="716828D8">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color w:val="auto"/>
          <w:lang w:val="en-US" w:eastAsia="zh-CN"/>
        </w:rPr>
      </w:pPr>
      <w:r>
        <w:rPr>
          <w:rFonts w:hint="eastAsia" w:ascii="宋体" w:hAnsi="宋体" w:cs="宋体"/>
          <w:color w:val="auto"/>
          <w:lang w:val="en-US" w:eastAsia="zh-CN"/>
        </w:rPr>
        <w:t>联系人：涂勇</w:t>
      </w:r>
    </w:p>
    <w:p w14:paraId="4E57A5C6">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宋体" w:hAnsi="宋体" w:cs="宋体"/>
          <w:color w:val="auto"/>
          <w:lang w:val="en-US" w:eastAsia="zh-CN"/>
        </w:rPr>
      </w:pPr>
      <w:r>
        <w:rPr>
          <w:rFonts w:hint="eastAsia" w:ascii="宋体" w:hAnsi="宋体" w:cs="宋体"/>
          <w:color w:val="auto"/>
          <w:lang w:val="en-US" w:eastAsia="zh-CN"/>
        </w:rPr>
        <w:t>联系方式：17772983532</w:t>
      </w:r>
    </w:p>
    <w:p w14:paraId="6B734B3C">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rPr>
      </w:pPr>
      <w:r>
        <w:rPr>
          <w:rFonts w:hint="eastAsia" w:ascii="宋体" w:hAnsi="宋体" w:eastAsia="宋体" w:cs="宋体"/>
          <w:color w:val="auto"/>
        </w:rPr>
        <w:t>2.釆购代理机构信息</w:t>
      </w:r>
    </w:p>
    <w:p w14:paraId="474D9F8F">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lang w:eastAsia="zh-CN"/>
        </w:rPr>
      </w:pPr>
      <w:r>
        <w:rPr>
          <w:rFonts w:hint="eastAsia" w:ascii="宋体" w:hAnsi="宋体" w:eastAsia="宋体" w:cs="宋体"/>
          <w:color w:val="auto"/>
        </w:rPr>
        <w:t>名称：</w:t>
      </w:r>
      <w:r>
        <w:rPr>
          <w:rFonts w:hint="eastAsia" w:ascii="宋体" w:hAnsi="宋体" w:cs="宋体"/>
          <w:color w:val="auto"/>
          <w:lang w:eastAsia="zh-CN"/>
        </w:rPr>
        <w:t>陕西大用项目管理有限公司</w:t>
      </w:r>
    </w:p>
    <w:p w14:paraId="56AB8469">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lang w:eastAsia="zh-CN"/>
        </w:rPr>
      </w:pPr>
      <w:r>
        <w:rPr>
          <w:rFonts w:hint="eastAsia" w:ascii="宋体" w:hAnsi="宋体" w:eastAsia="宋体" w:cs="宋体"/>
          <w:color w:val="auto"/>
        </w:rPr>
        <w:t>地址：</w:t>
      </w:r>
      <w:r>
        <w:rPr>
          <w:rFonts w:hint="eastAsia" w:ascii="宋体" w:hAnsi="宋体" w:cs="宋体"/>
          <w:color w:val="auto"/>
          <w:lang w:eastAsia="zh-CN"/>
        </w:rPr>
        <w:t>西安市雁塔区朱雀大街2号汇成天玺酒店C座11层</w:t>
      </w:r>
    </w:p>
    <w:p w14:paraId="19B535D9">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color w:val="auto"/>
          <w:lang w:val="en-US" w:eastAsia="zh-CN"/>
        </w:rPr>
      </w:pPr>
      <w:r>
        <w:rPr>
          <w:rFonts w:hint="eastAsia" w:ascii="宋体" w:hAnsi="宋体" w:eastAsia="宋体" w:cs="宋体"/>
          <w:color w:val="auto"/>
        </w:rPr>
        <w:t>联系方式：</w:t>
      </w:r>
      <w:r>
        <w:rPr>
          <w:rFonts w:hint="eastAsia" w:ascii="宋体" w:hAnsi="宋体" w:cs="宋体"/>
          <w:color w:val="auto"/>
          <w:lang w:val="en-US" w:eastAsia="zh-CN"/>
        </w:rPr>
        <w:t>14729153054</w:t>
      </w:r>
    </w:p>
    <w:p w14:paraId="053CCEA3">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rPr>
      </w:pPr>
      <w:r>
        <w:rPr>
          <w:rFonts w:hint="eastAsia" w:ascii="宋体" w:hAnsi="宋体" w:eastAsia="宋体" w:cs="宋体"/>
          <w:color w:val="auto"/>
        </w:rPr>
        <w:t>3.项目联系方式</w:t>
      </w:r>
    </w:p>
    <w:p w14:paraId="7B1DF32A">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lang w:eastAsia="zh-CN"/>
        </w:rPr>
      </w:pPr>
      <w:r>
        <w:rPr>
          <w:rFonts w:hint="eastAsia" w:ascii="宋体" w:hAnsi="宋体" w:eastAsia="宋体" w:cs="宋体"/>
          <w:color w:val="auto"/>
        </w:rPr>
        <w:t>项目联系人：</w:t>
      </w:r>
      <w:r>
        <w:rPr>
          <w:rFonts w:hint="eastAsia" w:ascii="宋体" w:hAnsi="宋体" w:cs="宋体"/>
          <w:color w:val="auto"/>
          <w:lang w:eastAsia="zh-CN"/>
        </w:rPr>
        <w:t>阮荣清</w:t>
      </w:r>
    </w:p>
    <w:p w14:paraId="33654DB6">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宋体" w:hAnsi="宋体" w:eastAsia="宋体" w:cs="宋体"/>
          <w:color w:val="auto"/>
          <w:lang w:val="en-US" w:eastAsia="zh-CN"/>
        </w:rPr>
      </w:pPr>
      <w:r>
        <w:rPr>
          <w:rFonts w:hint="eastAsia" w:ascii="宋体" w:hAnsi="宋体" w:eastAsia="宋体" w:cs="宋体"/>
          <w:color w:val="auto"/>
        </w:rPr>
        <w:t>电话：</w:t>
      </w:r>
      <w:r>
        <w:rPr>
          <w:rFonts w:hint="eastAsia" w:ascii="宋体" w:hAnsi="宋体" w:eastAsia="宋体" w:cs="宋体"/>
          <w:color w:val="auto"/>
          <w:lang w:val="en-US" w:eastAsia="zh-CN"/>
        </w:rPr>
        <w:t>14729153054</w:t>
      </w:r>
    </w:p>
    <w:p w14:paraId="3A775BBF">
      <w:pPr>
        <w:spacing w:before="201" w:line="500" w:lineRule="exact"/>
        <w:ind w:right="1048"/>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陕西大用项目管理有限公司</w:t>
      </w:r>
    </w:p>
    <w:p w14:paraId="3ECB2B47">
      <w:pPr>
        <w:spacing w:before="201" w:line="500" w:lineRule="exact"/>
        <w:ind w:right="1048"/>
        <w:jc w:val="center"/>
        <w:outlineLvl w:val="1"/>
        <w:rPr>
          <w:rFonts w:hint="eastAsia" w:ascii="宋体" w:hAnsi="宋体" w:eastAsia="宋体" w:cs="宋体"/>
          <w:color w:val="auto"/>
          <w:kern w:val="2"/>
          <w:sz w:val="24"/>
          <w:szCs w:val="22"/>
          <w:lang w:val="en-US" w:eastAsia="zh-CN" w:bidi="ar-SA"/>
        </w:rPr>
      </w:pPr>
      <w:bookmarkStart w:id="2" w:name="_Toc23388"/>
      <w:r>
        <w:rPr>
          <w:rFonts w:hint="eastAsia" w:ascii="宋体" w:hAnsi="宋体" w:eastAsia="宋体" w:cs="宋体"/>
          <w:color w:val="auto"/>
          <w:sz w:val="24"/>
          <w:lang w:val="en-US" w:eastAsia="zh-CN"/>
        </w:rPr>
        <w:t xml:space="preserve">                                         </w:t>
      </w:r>
      <w:r>
        <w:rPr>
          <w:rFonts w:hint="eastAsia" w:ascii="宋体" w:hAnsi="宋体" w:eastAsia="宋体" w:cs="宋体"/>
          <w:color w:val="auto"/>
          <w:kern w:val="2"/>
          <w:sz w:val="24"/>
          <w:szCs w:val="22"/>
          <w:lang w:val="en-US" w:eastAsia="zh-CN" w:bidi="ar-SA"/>
        </w:rPr>
        <w:t xml:space="preserve">      </w:t>
      </w:r>
      <w:bookmarkStart w:id="3" w:name="_Toc24541"/>
      <w:r>
        <w:rPr>
          <w:rFonts w:hint="eastAsia" w:ascii="宋体" w:hAnsi="宋体" w:eastAsia="宋体" w:cs="宋体"/>
          <w:color w:val="auto"/>
          <w:kern w:val="2"/>
          <w:sz w:val="24"/>
          <w:szCs w:val="22"/>
          <w:lang w:val="en-US" w:eastAsia="zh-CN" w:bidi="ar-SA"/>
        </w:rPr>
        <w:t>2025年09月03日</w:t>
      </w:r>
      <w:bookmarkEnd w:id="2"/>
      <w:bookmarkEnd w:id="3"/>
    </w:p>
    <w:p w14:paraId="74278A57">
      <w:pPr>
        <w:widowControl/>
        <w:jc w:val="left"/>
        <w:rPr>
          <w:rFonts w:hint="eastAsia" w:ascii="宋体" w:hAnsi="宋体" w:eastAsia="宋体" w:cs="宋体"/>
          <w:color w:val="auto"/>
          <w:kern w:val="2"/>
          <w:sz w:val="24"/>
          <w:szCs w:val="22"/>
          <w:lang w:val="en-US" w:eastAsia="zh-CN" w:bidi="ar-SA"/>
        </w:rPr>
      </w:pPr>
    </w:p>
    <w:p w14:paraId="317475C8">
      <w:pPr>
        <w:pStyle w:val="8"/>
        <w:ind w:firstLine="480"/>
        <w:rPr>
          <w:rFonts w:hint="eastAsia" w:ascii="宋体" w:hAnsi="宋体" w:eastAsia="宋体" w:cs="宋体"/>
          <w:color w:val="auto"/>
        </w:rPr>
      </w:pPr>
    </w:p>
    <w:p w14:paraId="55968DA2">
      <w:pPr>
        <w:pStyle w:val="20"/>
        <w:rPr>
          <w:rFonts w:hint="eastAsia" w:ascii="宋体" w:hAnsi="宋体" w:eastAsia="宋体" w:cs="宋体"/>
          <w:color w:val="auto"/>
        </w:rPr>
      </w:pPr>
    </w:p>
    <w:p w14:paraId="4D02AED8">
      <w:pPr>
        <w:rPr>
          <w:rFonts w:hint="eastAsia" w:ascii="宋体" w:hAnsi="宋体" w:eastAsia="宋体" w:cs="宋体"/>
          <w:color w:val="auto"/>
        </w:rPr>
      </w:pPr>
    </w:p>
    <w:p w14:paraId="26B2A223">
      <w:pPr>
        <w:pStyle w:val="21"/>
        <w:rPr>
          <w:rFonts w:hint="eastAsia" w:ascii="宋体" w:hAnsi="宋体" w:eastAsia="宋体" w:cs="宋体"/>
          <w:color w:val="auto"/>
        </w:rPr>
      </w:pPr>
    </w:p>
    <w:p w14:paraId="656CFC87">
      <w:pPr>
        <w:pStyle w:val="21"/>
        <w:rPr>
          <w:rFonts w:hint="eastAsia" w:ascii="宋体" w:hAnsi="宋体" w:eastAsia="宋体" w:cs="宋体"/>
          <w:color w:val="auto"/>
        </w:rPr>
      </w:pPr>
    </w:p>
    <w:p w14:paraId="5C238A5B">
      <w:pPr>
        <w:rPr>
          <w:rFonts w:hint="eastAsia" w:ascii="宋体" w:hAnsi="宋体" w:eastAsia="宋体" w:cs="宋体"/>
          <w:color w:val="auto"/>
        </w:rPr>
      </w:pPr>
    </w:p>
    <w:p w14:paraId="00A356A7">
      <w:pPr>
        <w:rPr>
          <w:rFonts w:hint="eastAsia" w:ascii="宋体" w:hAnsi="宋体" w:eastAsia="宋体" w:cs="宋体"/>
          <w:color w:val="auto"/>
        </w:rPr>
      </w:pPr>
    </w:p>
    <w:p w14:paraId="719DC8F6">
      <w:pPr>
        <w:rPr>
          <w:rFonts w:hint="eastAsia" w:ascii="宋体" w:hAnsi="宋体" w:eastAsia="宋体" w:cs="宋体"/>
          <w:color w:val="auto"/>
        </w:rPr>
      </w:pPr>
    </w:p>
    <w:p w14:paraId="4B7DB2A4">
      <w:pPr>
        <w:rPr>
          <w:rFonts w:hint="eastAsia" w:ascii="宋体" w:hAnsi="宋体" w:eastAsia="宋体" w:cs="宋体"/>
          <w:color w:val="auto"/>
        </w:rPr>
      </w:pPr>
    </w:p>
    <w:p w14:paraId="3A377B48">
      <w:pPr>
        <w:rPr>
          <w:rFonts w:hint="eastAsia" w:ascii="宋体" w:hAnsi="宋体" w:eastAsia="宋体" w:cs="宋体"/>
          <w:color w:val="auto"/>
          <w:lang w:eastAsia="zh-CN"/>
        </w:rPr>
      </w:pPr>
    </w:p>
    <w:p w14:paraId="680116E3">
      <w:pPr>
        <w:rPr>
          <w:rFonts w:hint="eastAsia" w:ascii="宋体" w:hAnsi="宋体" w:eastAsia="宋体" w:cs="宋体"/>
          <w:color w:val="auto"/>
        </w:rPr>
      </w:pPr>
    </w:p>
    <w:p w14:paraId="161115AC">
      <w:pPr>
        <w:rPr>
          <w:rFonts w:hint="eastAsia" w:ascii="宋体" w:hAnsi="宋体" w:eastAsia="宋体" w:cs="宋体"/>
          <w:color w:val="auto"/>
        </w:rPr>
      </w:pPr>
    </w:p>
    <w:p w14:paraId="5D3F791E">
      <w:pPr>
        <w:rPr>
          <w:rFonts w:hint="eastAsia" w:ascii="宋体" w:hAnsi="宋体" w:eastAsia="宋体" w:cs="宋体"/>
          <w:color w:val="auto"/>
        </w:rPr>
      </w:pPr>
    </w:p>
    <w:p w14:paraId="45043A84">
      <w:pPr>
        <w:rPr>
          <w:rFonts w:hint="eastAsia" w:ascii="宋体" w:hAnsi="宋体" w:eastAsia="宋体" w:cs="宋体"/>
          <w:color w:val="auto"/>
        </w:rPr>
      </w:pPr>
    </w:p>
    <w:p w14:paraId="1A9A09D2">
      <w:pPr>
        <w:rPr>
          <w:rFonts w:hint="eastAsia" w:ascii="宋体" w:hAnsi="宋体" w:eastAsia="宋体" w:cs="宋体"/>
          <w:color w:val="auto"/>
        </w:rPr>
      </w:pPr>
    </w:p>
    <w:p w14:paraId="15973A22">
      <w:pPr>
        <w:rPr>
          <w:rFonts w:hint="eastAsia" w:ascii="宋体" w:hAnsi="宋体" w:eastAsia="宋体" w:cs="宋体"/>
          <w:color w:val="auto"/>
        </w:rPr>
      </w:pPr>
    </w:p>
    <w:p w14:paraId="113A8682">
      <w:pPr>
        <w:rPr>
          <w:rFonts w:hint="eastAsia" w:ascii="宋体" w:hAnsi="宋体" w:eastAsia="宋体" w:cs="宋体"/>
          <w:color w:val="auto"/>
        </w:rPr>
      </w:pPr>
    </w:p>
    <w:p w14:paraId="31BF48E0">
      <w:pPr>
        <w:rPr>
          <w:rFonts w:hint="eastAsia" w:ascii="宋体" w:hAnsi="宋体" w:eastAsia="宋体" w:cs="宋体"/>
          <w:color w:val="auto"/>
        </w:rPr>
      </w:pPr>
    </w:p>
    <w:p w14:paraId="71BB6831">
      <w:pPr>
        <w:rPr>
          <w:rFonts w:hint="eastAsia" w:ascii="宋体" w:hAnsi="宋体" w:eastAsia="宋体" w:cs="宋体"/>
          <w:color w:val="auto"/>
        </w:rPr>
      </w:pPr>
    </w:p>
    <w:p w14:paraId="6A5FD651">
      <w:pPr>
        <w:rPr>
          <w:rFonts w:hint="eastAsia" w:ascii="宋体" w:hAnsi="宋体" w:eastAsia="宋体" w:cs="宋体"/>
          <w:color w:val="auto"/>
        </w:rPr>
      </w:pPr>
    </w:p>
    <w:p w14:paraId="0583545E">
      <w:pPr>
        <w:rPr>
          <w:rFonts w:hint="eastAsia" w:ascii="宋体" w:hAnsi="宋体" w:eastAsia="宋体" w:cs="宋体"/>
          <w:color w:val="auto"/>
        </w:rPr>
      </w:pPr>
    </w:p>
    <w:p w14:paraId="6A74EC50">
      <w:pPr>
        <w:pStyle w:val="37"/>
        <w:spacing w:before="240" w:after="240"/>
        <w:outlineLvl w:val="0"/>
        <w:rPr>
          <w:rFonts w:hint="eastAsia" w:ascii="宋体" w:hAnsi="宋体" w:eastAsia="宋体" w:cs="宋体"/>
          <w:color w:val="auto"/>
          <w:sz w:val="40"/>
          <w:szCs w:val="28"/>
        </w:rPr>
      </w:pPr>
      <w:bookmarkStart w:id="4" w:name="_Toc28917"/>
      <w:r>
        <w:rPr>
          <w:rFonts w:hint="eastAsia" w:ascii="宋体" w:hAnsi="宋体" w:eastAsia="宋体" w:cs="宋体"/>
          <w:color w:val="auto"/>
          <w:sz w:val="40"/>
          <w:szCs w:val="28"/>
        </w:rPr>
        <w:t xml:space="preserve">第二章  </w:t>
      </w:r>
      <w:r>
        <w:rPr>
          <w:rFonts w:hint="eastAsia" w:ascii="宋体" w:hAnsi="宋体" w:eastAsia="宋体" w:cs="宋体"/>
          <w:color w:val="auto"/>
          <w:sz w:val="40"/>
          <w:szCs w:val="28"/>
          <w:lang w:eastAsia="zh-CN"/>
        </w:rPr>
        <w:t>供应商</w:t>
      </w:r>
      <w:r>
        <w:rPr>
          <w:rFonts w:hint="eastAsia" w:ascii="宋体" w:hAnsi="宋体" w:eastAsia="宋体" w:cs="宋体"/>
          <w:color w:val="auto"/>
          <w:sz w:val="40"/>
          <w:szCs w:val="28"/>
        </w:rPr>
        <w:t>须知</w:t>
      </w:r>
      <w:bookmarkEnd w:id="4"/>
    </w:p>
    <w:p w14:paraId="4662582A">
      <w:pPr>
        <w:spacing w:before="236" w:line="221" w:lineRule="auto"/>
        <w:ind w:left="4011"/>
        <w:rPr>
          <w:rFonts w:hint="eastAsia" w:ascii="宋体" w:hAnsi="宋体" w:eastAsia="宋体" w:cs="宋体"/>
          <w:color w:val="auto"/>
          <w:sz w:val="28"/>
          <w:szCs w:val="28"/>
        </w:rPr>
      </w:pPr>
      <w:r>
        <w:rPr>
          <w:rFonts w:hint="eastAsia" w:ascii="宋体" w:hAnsi="宋体" w:eastAsia="宋体" w:cs="宋体"/>
          <w:color w:val="auto"/>
          <w:spacing w:val="-16"/>
          <w:sz w:val="28"/>
          <w:szCs w:val="28"/>
          <w14:textOutline w14:w="5103" w14:cap="sq" w14:cmpd="sng">
            <w14:solidFill>
              <w14:srgbClr w14:val="000000"/>
            </w14:solidFill>
            <w14:prstDash w14:val="solid"/>
            <w14:bevel/>
          </w14:textOutline>
        </w:rPr>
        <w:t>一</w:t>
      </w:r>
      <w:r>
        <w:rPr>
          <w:rFonts w:hint="eastAsia" w:ascii="宋体" w:hAnsi="宋体" w:eastAsia="宋体" w:cs="宋体"/>
          <w:color w:val="auto"/>
          <w:spacing w:val="-109"/>
          <w:sz w:val="28"/>
          <w:szCs w:val="28"/>
        </w:rPr>
        <w:t xml:space="preserve"> </w:t>
      </w:r>
      <w:r>
        <w:rPr>
          <w:rFonts w:hint="eastAsia" w:ascii="宋体" w:hAnsi="宋体" w:eastAsia="宋体" w:cs="宋体"/>
          <w:color w:val="auto"/>
          <w:spacing w:val="-16"/>
          <w:sz w:val="28"/>
          <w:szCs w:val="28"/>
          <w14:textOutline w14:w="5103" w14:cap="sq" w14:cmpd="sng">
            <w14:solidFill>
              <w14:srgbClr w14:val="000000"/>
            </w14:solidFill>
            <w14:prstDash w14:val="solid"/>
            <w14:bevel/>
          </w14:textOutline>
        </w:rPr>
        <w:t>、</w:t>
      </w:r>
      <w:r>
        <w:rPr>
          <w:rFonts w:hint="eastAsia" w:ascii="宋体" w:hAnsi="宋体" w:eastAsia="宋体" w:cs="宋体"/>
          <w:color w:val="auto"/>
          <w:spacing w:val="18"/>
          <w:sz w:val="28"/>
          <w:szCs w:val="28"/>
        </w:rPr>
        <w:t xml:space="preserve"> </w:t>
      </w:r>
      <w:r>
        <w:rPr>
          <w:rFonts w:hint="eastAsia" w:ascii="宋体" w:hAnsi="宋体" w:eastAsia="宋体" w:cs="宋体"/>
          <w:color w:val="auto"/>
          <w:spacing w:val="-16"/>
          <w:sz w:val="28"/>
          <w:szCs w:val="28"/>
          <w14:textOutline w14:w="5103" w14:cap="sq" w14:cmpd="sng">
            <w14:solidFill>
              <w14:srgbClr w14:val="000000"/>
            </w14:solidFill>
            <w14:prstDash w14:val="solid"/>
            <w14:bevel/>
          </w14:textOutline>
        </w:rPr>
        <w:t>总</w:t>
      </w:r>
      <w:r>
        <w:rPr>
          <w:rFonts w:hint="eastAsia" w:ascii="宋体" w:hAnsi="宋体" w:eastAsia="宋体" w:cs="宋体"/>
          <w:color w:val="auto"/>
          <w:spacing w:val="18"/>
          <w:sz w:val="28"/>
          <w:szCs w:val="28"/>
        </w:rPr>
        <w:t xml:space="preserve"> </w:t>
      </w:r>
      <w:r>
        <w:rPr>
          <w:rFonts w:hint="eastAsia" w:ascii="宋体" w:hAnsi="宋体" w:eastAsia="宋体" w:cs="宋体"/>
          <w:color w:val="auto"/>
          <w:spacing w:val="-16"/>
          <w:sz w:val="28"/>
          <w:szCs w:val="28"/>
          <w14:textOutline w14:w="5103" w14:cap="sq" w14:cmpd="sng">
            <w14:solidFill>
              <w14:srgbClr w14:val="000000"/>
            </w14:solidFill>
            <w14:prstDash w14:val="solid"/>
            <w14:bevel/>
          </w14:textOutline>
        </w:rPr>
        <w:t>则</w:t>
      </w:r>
    </w:p>
    <w:p w14:paraId="13B8E5DF">
      <w:pPr>
        <w:spacing w:before="115" w:line="468" w:lineRule="exact"/>
        <w:ind w:right="56"/>
        <w:jc w:val="right"/>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本次采购依据《中华人民共和国政府采购法》等有关法律、法规和规章的规定，本项</w:t>
      </w:r>
    </w:p>
    <w:p w14:paraId="6F917B7B">
      <w:pPr>
        <w:spacing w:before="1" w:line="218" w:lineRule="auto"/>
        <w:ind w:left="47"/>
        <w:rPr>
          <w:rFonts w:hint="eastAsia" w:ascii="宋体" w:hAnsi="宋体" w:eastAsia="宋体" w:cs="宋体"/>
          <w:color w:val="auto"/>
          <w:sz w:val="24"/>
          <w:szCs w:val="24"/>
        </w:rPr>
      </w:pPr>
      <w:r>
        <w:rPr>
          <w:rFonts w:hint="eastAsia" w:ascii="宋体" w:hAnsi="宋体" w:eastAsia="宋体" w:cs="宋体"/>
          <w:color w:val="auto"/>
          <w:spacing w:val="-3"/>
          <w:sz w:val="24"/>
          <w:szCs w:val="24"/>
        </w:rPr>
        <w:t>目已具备磋商条件，现对本项目进行竞争性磋商。</w:t>
      </w:r>
    </w:p>
    <w:p w14:paraId="0130BACF">
      <w:pPr>
        <w:spacing w:before="183" w:line="219" w:lineRule="auto"/>
        <w:ind w:left="37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1．采购人、采购代理机构、监督管理机构</w:t>
      </w:r>
    </w:p>
    <w:p w14:paraId="45DAA604">
      <w:pPr>
        <w:spacing w:before="183" w:line="219" w:lineRule="auto"/>
        <w:ind w:left="379"/>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rPr>
        <w:t>1.1 采购人：</w:t>
      </w:r>
      <w:r>
        <w:rPr>
          <w:rFonts w:hint="eastAsia" w:ascii="宋体" w:hAnsi="宋体" w:eastAsia="宋体" w:cs="宋体"/>
          <w:color w:val="auto"/>
          <w:spacing w:val="-2"/>
          <w:sz w:val="24"/>
          <w:szCs w:val="24"/>
          <w:lang w:eastAsia="zh-CN"/>
        </w:rPr>
        <w:t>安康市生态环境局石泉分局</w:t>
      </w:r>
    </w:p>
    <w:p w14:paraId="58BFF0E8">
      <w:pPr>
        <w:spacing w:before="184" w:line="219" w:lineRule="auto"/>
        <w:ind w:left="379"/>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rPr>
        <w:t>1.2 采购代理机构：</w:t>
      </w:r>
      <w:r>
        <w:rPr>
          <w:rFonts w:hint="eastAsia" w:ascii="宋体" w:hAnsi="宋体" w:eastAsia="宋体" w:cs="宋体"/>
          <w:color w:val="auto"/>
          <w:spacing w:val="-2"/>
          <w:sz w:val="24"/>
          <w:szCs w:val="24"/>
          <w:lang w:eastAsia="zh-CN"/>
        </w:rPr>
        <w:t xml:space="preserve"> 陕西大用项目管理有限公司</w:t>
      </w:r>
    </w:p>
    <w:p w14:paraId="7882E410">
      <w:pPr>
        <w:spacing w:before="183" w:line="219" w:lineRule="auto"/>
        <w:ind w:left="379"/>
        <w:rPr>
          <w:rFonts w:hint="eastAsia" w:ascii="宋体" w:hAnsi="宋体" w:eastAsia="宋体" w:cs="宋体"/>
          <w:color w:val="auto"/>
          <w:sz w:val="24"/>
          <w:szCs w:val="24"/>
        </w:rPr>
      </w:pPr>
      <w:r>
        <w:rPr>
          <w:rFonts w:hint="eastAsia" w:ascii="宋体" w:hAnsi="宋体" w:eastAsia="宋体" w:cs="宋体"/>
          <w:color w:val="auto"/>
          <w:spacing w:val="-2"/>
          <w:sz w:val="24"/>
          <w:szCs w:val="24"/>
        </w:rPr>
        <w:t>1.3 监督管理机构：</w:t>
      </w:r>
      <w:r>
        <w:rPr>
          <w:rFonts w:hint="eastAsia" w:ascii="宋体" w:hAnsi="宋体" w:eastAsia="宋体" w:cs="宋体"/>
          <w:color w:val="auto"/>
          <w:spacing w:val="-2"/>
          <w:sz w:val="24"/>
          <w:szCs w:val="24"/>
          <w:lang w:eastAsia="zh-CN"/>
        </w:rPr>
        <w:t>石泉县政府采购管理股</w:t>
      </w:r>
    </w:p>
    <w:p w14:paraId="11EC4ADC">
      <w:pPr>
        <w:spacing w:before="183" w:line="219" w:lineRule="auto"/>
        <w:ind w:left="364"/>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2．合格的供应商与合格的工程</w:t>
      </w:r>
    </w:p>
    <w:p w14:paraId="148BC726">
      <w:pPr>
        <w:spacing w:before="184" w:line="219" w:lineRule="auto"/>
        <w:ind w:left="364"/>
        <w:rPr>
          <w:rFonts w:hint="eastAsia" w:ascii="宋体" w:hAnsi="宋体" w:eastAsia="宋体" w:cs="宋体"/>
          <w:color w:val="auto"/>
          <w:sz w:val="24"/>
          <w:szCs w:val="24"/>
        </w:rPr>
      </w:pPr>
      <w:r>
        <w:rPr>
          <w:rFonts w:hint="eastAsia" w:ascii="宋体" w:hAnsi="宋体" w:eastAsia="宋体" w:cs="宋体"/>
          <w:color w:val="auto"/>
          <w:spacing w:val="-2"/>
          <w:sz w:val="24"/>
          <w:szCs w:val="24"/>
        </w:rPr>
        <w:t>2.1 合格的供应商</w:t>
      </w:r>
    </w:p>
    <w:p w14:paraId="7B64862C">
      <w:pPr>
        <w:spacing w:before="183" w:line="360" w:lineRule="auto"/>
        <w:ind w:left="2" w:right="56" w:firstLine="361"/>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2.1.1 依照《中华人民共和国公司法》注册、符合《中华人民共和国政府采购法》第二</w:t>
      </w:r>
      <w:r>
        <w:rPr>
          <w:rFonts w:hint="eastAsia" w:ascii="宋体" w:hAnsi="宋体" w:eastAsia="宋体" w:cs="宋体"/>
          <w:color w:val="auto"/>
          <w:spacing w:val="1"/>
          <w:sz w:val="24"/>
          <w:szCs w:val="24"/>
        </w:rPr>
        <w:t>十二条要求具备的条件、并具备国家规定的相关该行业必备资质，有能力提供本次磋商采</w:t>
      </w:r>
    </w:p>
    <w:p w14:paraId="5FF98898">
      <w:pPr>
        <w:spacing w:before="1" w:line="218" w:lineRule="auto"/>
        <w:rPr>
          <w:rFonts w:hint="eastAsia" w:ascii="宋体" w:hAnsi="宋体" w:eastAsia="宋体" w:cs="宋体"/>
          <w:color w:val="auto"/>
          <w:sz w:val="24"/>
          <w:szCs w:val="24"/>
        </w:rPr>
      </w:pPr>
      <w:r>
        <w:rPr>
          <w:rFonts w:hint="eastAsia" w:ascii="宋体" w:hAnsi="宋体" w:eastAsia="宋体" w:cs="宋体"/>
          <w:color w:val="auto"/>
          <w:spacing w:val="-1"/>
          <w:sz w:val="24"/>
          <w:szCs w:val="24"/>
        </w:rPr>
        <w:t>购工程和服务的供应商。</w:t>
      </w:r>
    </w:p>
    <w:p w14:paraId="6D2812F8">
      <w:pPr>
        <w:spacing w:before="184" w:line="220" w:lineRule="auto"/>
        <w:ind w:left="364"/>
        <w:rPr>
          <w:rFonts w:hint="eastAsia" w:ascii="宋体" w:hAnsi="宋体" w:eastAsia="宋体" w:cs="宋体"/>
          <w:color w:val="auto"/>
          <w:sz w:val="24"/>
          <w:szCs w:val="24"/>
        </w:rPr>
      </w:pPr>
      <w:r>
        <w:rPr>
          <w:rFonts w:hint="eastAsia" w:ascii="宋体" w:hAnsi="宋体" w:eastAsia="宋体" w:cs="宋体"/>
          <w:color w:val="auto"/>
          <w:spacing w:val="-4"/>
          <w:sz w:val="24"/>
          <w:szCs w:val="24"/>
        </w:rPr>
        <w:t>2.1.2</w:t>
      </w:r>
      <w:r>
        <w:rPr>
          <w:rFonts w:hint="eastAsia" w:ascii="宋体" w:hAnsi="宋体" w:eastAsia="宋体" w:cs="宋体"/>
          <w:color w:val="auto"/>
          <w:spacing w:val="22"/>
          <w:sz w:val="24"/>
          <w:szCs w:val="24"/>
        </w:rPr>
        <w:t xml:space="preserve"> </w:t>
      </w:r>
      <w:r>
        <w:rPr>
          <w:rFonts w:hint="eastAsia" w:ascii="宋体" w:hAnsi="宋体" w:eastAsia="宋体" w:cs="宋体"/>
          <w:color w:val="auto"/>
          <w:spacing w:val="-4"/>
          <w:sz w:val="24"/>
          <w:szCs w:val="24"/>
        </w:rPr>
        <w:t>资质要求</w:t>
      </w:r>
    </w:p>
    <w:p w14:paraId="06CA268D">
      <w:pPr>
        <w:pStyle w:val="38"/>
        <w:numPr>
          <w:ilvl w:val="0"/>
          <w:numId w:val="0"/>
        </w:numPr>
        <w:spacing w:before="120" w:after="120" w:line="360" w:lineRule="auto"/>
        <w:ind w:firstLine="240" w:firstLineChars="10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（1）提供有效合格的统一社会信用代码的营业执照，其他组织经营的须提供合法凭证，自然人的提供身份证明文件；</w:t>
      </w:r>
      <w:r>
        <w:rPr>
          <w:rFonts w:hint="eastAsia" w:ascii="宋体" w:hAnsi="宋体" w:eastAsia="宋体" w:cs="宋体"/>
          <w:b w:val="0"/>
          <w:color w:val="auto"/>
          <w:kern w:val="2"/>
          <w:sz w:val="24"/>
          <w:szCs w:val="24"/>
          <w:lang w:val="en-US" w:eastAsia="zh-CN" w:bidi="ar-SA"/>
        </w:rPr>
        <w:br w:type="textWrapping"/>
      </w:r>
      <w:r>
        <w:rPr>
          <w:rFonts w:hint="eastAsia" w:ascii="宋体" w:hAnsi="宋体" w:eastAsia="宋体" w:cs="宋体"/>
          <w:b w:val="0"/>
          <w:color w:val="auto"/>
          <w:kern w:val="2"/>
          <w:sz w:val="24"/>
          <w:szCs w:val="24"/>
          <w:lang w:val="en-US" w:eastAsia="zh-CN" w:bidi="ar-SA"/>
        </w:rPr>
        <w:t xml:space="preserve">  （2）法定代表人直接参加投标的，须出具法定代表人身份证；法定代表人授权代表参加投标的，须出具法定代表人授权委托书、法定代表人身份证复印件以及被授权代表身份证复印件；</w:t>
      </w:r>
      <w:r>
        <w:rPr>
          <w:rFonts w:hint="eastAsia" w:ascii="宋体" w:hAnsi="宋体" w:eastAsia="宋体" w:cs="宋体"/>
          <w:b w:val="0"/>
          <w:color w:val="auto"/>
          <w:kern w:val="2"/>
          <w:sz w:val="24"/>
          <w:szCs w:val="24"/>
          <w:lang w:val="en-US" w:eastAsia="zh-CN" w:bidi="ar-SA"/>
        </w:rPr>
        <w:br w:type="textWrapping"/>
      </w:r>
      <w:r>
        <w:rPr>
          <w:rFonts w:hint="eastAsia" w:ascii="宋体" w:hAnsi="宋体" w:eastAsia="宋体" w:cs="宋体"/>
          <w:b w:val="0"/>
          <w:color w:val="auto"/>
          <w:kern w:val="2"/>
          <w:sz w:val="24"/>
          <w:szCs w:val="24"/>
          <w:lang w:val="en-US" w:eastAsia="zh-CN" w:bidi="ar-SA"/>
        </w:rPr>
        <w:t xml:space="preserve"> （3）投标人须同时具备以下两类资质：1）设计类资质：工程设计综合资质甲级或工程设计市政行业乙级及以上资质或市政行业（排水工程）专业乙级及以上资质或水利行业设计乙级及以上资质或水利行业（河道整治）专业乙级及以上资质；2）勘察类资质：工程勘察综合甲级资质或工程勘察专业类岩土工程（勘察）丙级及以上资质；</w:t>
      </w:r>
      <w:r>
        <w:rPr>
          <w:rFonts w:hint="eastAsia" w:ascii="宋体" w:hAnsi="宋体" w:eastAsia="宋体" w:cs="宋体"/>
          <w:b w:val="0"/>
          <w:color w:val="auto"/>
          <w:kern w:val="2"/>
          <w:sz w:val="24"/>
          <w:szCs w:val="24"/>
          <w:lang w:val="en-US" w:eastAsia="zh-CN" w:bidi="ar-SA"/>
        </w:rPr>
        <w:br w:type="textWrapping"/>
      </w:r>
      <w:r>
        <w:rPr>
          <w:rFonts w:hint="eastAsia" w:ascii="宋体" w:hAnsi="宋体" w:eastAsia="宋体" w:cs="宋体"/>
          <w:b w:val="0"/>
          <w:color w:val="auto"/>
          <w:kern w:val="2"/>
          <w:sz w:val="24"/>
          <w:szCs w:val="24"/>
          <w:lang w:val="en-US" w:eastAsia="zh-CN" w:bidi="ar-SA"/>
        </w:rPr>
        <w:t xml:space="preserve">  （4）拟派项目负责人需具备水利工程、环境工程或相关专业高级工程师及以上职称或注册土木工程师（岩土工程）执业资格；</w:t>
      </w:r>
      <w:r>
        <w:rPr>
          <w:rFonts w:hint="eastAsia" w:ascii="宋体" w:hAnsi="宋体" w:eastAsia="宋体" w:cs="宋体"/>
          <w:b w:val="0"/>
          <w:color w:val="auto"/>
          <w:kern w:val="2"/>
          <w:sz w:val="24"/>
          <w:szCs w:val="24"/>
          <w:lang w:val="en-US" w:eastAsia="zh-CN" w:bidi="ar-SA"/>
        </w:rPr>
        <w:br w:type="textWrapping"/>
      </w:r>
      <w:r>
        <w:rPr>
          <w:rFonts w:hint="eastAsia" w:ascii="宋体" w:hAnsi="宋体" w:eastAsia="宋体" w:cs="宋体"/>
          <w:b w:val="0"/>
          <w:color w:val="auto"/>
          <w:kern w:val="2"/>
          <w:sz w:val="24"/>
          <w:szCs w:val="24"/>
          <w:lang w:val="en-US" w:eastAsia="zh-CN" w:bidi="ar-SA"/>
        </w:rPr>
        <w:t xml:space="preserve">  （5）财务状况报告:提供2024年度经会计师事务所出具的财务报告（至少应包括资产负债表和利润表，成立时间至提交投标文件截止时间不足一年的可提供成立后任意时间段的财务报表）或提交投标文件截止时间前六个月内其基本账户开户银行出具的资信证</w:t>
      </w:r>
      <w:r>
        <w:rPr>
          <w:rFonts w:hint="eastAsia" w:ascii="宋体" w:hAnsi="宋体" w:cs="宋体"/>
          <w:b w:val="0"/>
          <w:color w:val="auto"/>
          <w:kern w:val="2"/>
          <w:sz w:val="24"/>
          <w:szCs w:val="24"/>
          <w:lang w:val="en-US" w:eastAsia="zh-CN" w:bidi="ar-SA"/>
        </w:rPr>
        <w:t>明；</w:t>
      </w:r>
      <w:r>
        <w:rPr>
          <w:rFonts w:hint="eastAsia" w:ascii="宋体" w:hAnsi="宋体" w:eastAsia="宋体" w:cs="宋体"/>
          <w:b w:val="0"/>
          <w:color w:val="auto"/>
          <w:kern w:val="2"/>
          <w:sz w:val="24"/>
          <w:szCs w:val="24"/>
          <w:lang w:val="en-US" w:eastAsia="zh-CN" w:bidi="ar-SA"/>
        </w:rPr>
        <w:t>    </w:t>
      </w:r>
      <w:r>
        <w:rPr>
          <w:rFonts w:hint="eastAsia" w:ascii="宋体" w:hAnsi="宋体" w:eastAsia="宋体" w:cs="宋体"/>
          <w:b w:val="0"/>
          <w:color w:val="auto"/>
          <w:kern w:val="2"/>
          <w:sz w:val="24"/>
          <w:szCs w:val="24"/>
          <w:lang w:val="en-US" w:eastAsia="zh-CN" w:bidi="ar-SA"/>
        </w:rPr>
        <w:br w:type="textWrapping"/>
      </w:r>
      <w:r>
        <w:rPr>
          <w:rFonts w:hint="eastAsia" w:ascii="宋体" w:hAnsi="宋体" w:eastAsia="宋体" w:cs="宋体"/>
          <w:b w:val="0"/>
          <w:color w:val="auto"/>
          <w:kern w:val="2"/>
          <w:sz w:val="24"/>
          <w:szCs w:val="24"/>
          <w:lang w:val="en-US" w:eastAsia="zh-CN" w:bidi="ar-SA"/>
        </w:rPr>
        <w:t xml:space="preserve">  （6）社会保障资金缴纳证明:自2025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r>
        <w:rPr>
          <w:rFonts w:hint="eastAsia" w:ascii="宋体" w:hAnsi="宋体" w:eastAsia="宋体" w:cs="宋体"/>
          <w:b w:val="0"/>
          <w:color w:val="auto"/>
          <w:kern w:val="2"/>
          <w:sz w:val="24"/>
          <w:szCs w:val="24"/>
          <w:lang w:val="en-US" w:eastAsia="zh-CN" w:bidi="ar-SA"/>
        </w:rPr>
        <w:br w:type="textWrapping"/>
      </w:r>
      <w:r>
        <w:rPr>
          <w:rFonts w:hint="eastAsia" w:ascii="宋体" w:hAnsi="宋体" w:eastAsia="宋体" w:cs="宋体"/>
          <w:b w:val="0"/>
          <w:color w:val="auto"/>
          <w:kern w:val="2"/>
          <w:sz w:val="24"/>
          <w:szCs w:val="24"/>
          <w:lang w:val="en-US" w:eastAsia="zh-CN" w:bidi="ar-SA"/>
        </w:rPr>
        <w:t xml:space="preserve">  （7）税收缴纳证明:自2025年1月1日以来已缴纳的至少一个月的纳税证明或完税证明，纳税证明或完税证明上应有代收机构或税务机关的公章或业务专用章。依法免税的供应商应提供相关文件证明；</w:t>
      </w:r>
      <w:r>
        <w:rPr>
          <w:rFonts w:hint="eastAsia" w:ascii="宋体" w:hAnsi="宋体" w:eastAsia="宋体" w:cs="宋体"/>
          <w:b w:val="0"/>
          <w:color w:val="auto"/>
          <w:kern w:val="2"/>
          <w:sz w:val="24"/>
          <w:szCs w:val="24"/>
          <w:lang w:val="en-US" w:eastAsia="zh-CN" w:bidi="ar-SA"/>
        </w:rPr>
        <w:br w:type="textWrapping"/>
      </w:r>
      <w:r>
        <w:rPr>
          <w:rFonts w:hint="eastAsia" w:ascii="宋体" w:hAnsi="宋体" w:eastAsia="宋体" w:cs="宋体"/>
          <w:b w:val="0"/>
          <w:color w:val="auto"/>
          <w:kern w:val="2"/>
          <w:sz w:val="24"/>
          <w:szCs w:val="24"/>
          <w:lang w:val="en-US" w:eastAsia="zh-CN" w:bidi="ar-SA"/>
        </w:rPr>
        <w:t xml:space="preserve">  （8）通过中国政府采购网（www.ccgp.gov.cn）和“信用中国”网站(www.creditchina.gov.cn)查询相关主体无失信记录（网站查询的截图，加盖企业公章）以及参加政府采购活动前3年内在经营活动中没有重大违法记录的书面声明；</w:t>
      </w:r>
      <w:r>
        <w:rPr>
          <w:rFonts w:hint="eastAsia" w:ascii="宋体" w:hAnsi="宋体" w:eastAsia="宋体" w:cs="宋体"/>
          <w:b w:val="0"/>
          <w:color w:val="auto"/>
          <w:kern w:val="2"/>
          <w:sz w:val="24"/>
          <w:szCs w:val="24"/>
          <w:lang w:val="en-US" w:eastAsia="zh-CN" w:bidi="ar-SA"/>
        </w:rPr>
        <w:br w:type="textWrapping"/>
      </w:r>
      <w:r>
        <w:rPr>
          <w:rFonts w:hint="eastAsia" w:ascii="宋体" w:hAnsi="宋体" w:eastAsia="宋体" w:cs="宋体"/>
          <w:b w:val="0"/>
          <w:color w:val="auto"/>
          <w:kern w:val="2"/>
          <w:sz w:val="24"/>
          <w:szCs w:val="24"/>
          <w:lang w:val="en-US" w:eastAsia="zh-CN" w:bidi="ar-SA"/>
        </w:rPr>
        <w:t xml:space="preserve">  </w:t>
      </w:r>
      <w:r>
        <w:rPr>
          <w:rFonts w:hint="eastAsia" w:ascii="宋体" w:hAnsi="宋体" w:cs="宋体"/>
          <w:b w:val="0"/>
          <w:color w:val="auto"/>
          <w:kern w:val="2"/>
          <w:sz w:val="24"/>
          <w:szCs w:val="24"/>
          <w:lang w:val="en-US" w:eastAsia="zh-CN" w:bidi="ar-SA"/>
        </w:rPr>
        <w:t xml:space="preserve">  </w:t>
      </w:r>
      <w:r>
        <w:rPr>
          <w:rFonts w:hint="eastAsia" w:ascii="宋体" w:hAnsi="宋体" w:eastAsia="宋体" w:cs="宋体"/>
          <w:b w:val="0"/>
          <w:color w:val="auto"/>
          <w:kern w:val="2"/>
          <w:sz w:val="24"/>
          <w:szCs w:val="24"/>
          <w:lang w:val="en-US" w:eastAsia="zh-CN" w:bidi="ar-SA"/>
        </w:rPr>
        <w:t>（9）供应商应提供中小企业声明函或残疾人福利性单位声明函或监狱企业证明文件；</w:t>
      </w:r>
      <w:r>
        <w:rPr>
          <w:rFonts w:hint="eastAsia" w:ascii="宋体" w:hAnsi="宋体" w:eastAsia="宋体" w:cs="宋体"/>
          <w:b w:val="0"/>
          <w:color w:val="auto"/>
          <w:kern w:val="2"/>
          <w:sz w:val="24"/>
          <w:szCs w:val="24"/>
          <w:lang w:val="en-US" w:eastAsia="zh-CN" w:bidi="ar-SA"/>
        </w:rPr>
        <w:br w:type="textWrapping"/>
      </w:r>
      <w:r>
        <w:rPr>
          <w:rFonts w:hint="eastAsia" w:ascii="宋体" w:hAnsi="宋体" w:eastAsia="宋体" w:cs="宋体"/>
          <w:b w:val="0"/>
          <w:color w:val="auto"/>
          <w:kern w:val="2"/>
          <w:sz w:val="24"/>
          <w:szCs w:val="24"/>
          <w:lang w:val="en-US" w:eastAsia="zh-CN" w:bidi="ar-SA"/>
        </w:rPr>
        <w:t xml:space="preserve">   </w:t>
      </w:r>
      <w:r>
        <w:rPr>
          <w:rFonts w:hint="eastAsia" w:ascii="宋体" w:hAnsi="宋体" w:cs="宋体"/>
          <w:b w:val="0"/>
          <w:color w:val="auto"/>
          <w:kern w:val="2"/>
          <w:sz w:val="24"/>
          <w:szCs w:val="24"/>
          <w:lang w:val="en-US" w:eastAsia="zh-CN" w:bidi="ar-SA"/>
        </w:rPr>
        <w:t xml:space="preserve"> </w:t>
      </w:r>
      <w:r>
        <w:rPr>
          <w:rFonts w:hint="eastAsia" w:ascii="宋体" w:hAnsi="宋体" w:eastAsia="宋体" w:cs="宋体"/>
          <w:b w:val="0"/>
          <w:color w:val="auto"/>
          <w:kern w:val="2"/>
          <w:sz w:val="24"/>
          <w:szCs w:val="24"/>
          <w:lang w:val="en-US" w:eastAsia="zh-CN" w:bidi="ar-SA"/>
        </w:rPr>
        <w:t>（10）本项目不接受联合体投标（提供书面声明）。</w:t>
      </w:r>
    </w:p>
    <w:p w14:paraId="42619BAB">
      <w:pPr>
        <w:spacing w:before="103" w:line="221" w:lineRule="auto"/>
        <w:ind w:left="483"/>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备注：</w:t>
      </w:r>
    </w:p>
    <w:p w14:paraId="77F646D3">
      <w:pPr>
        <w:spacing w:before="258" w:line="468" w:lineRule="exact"/>
        <w:ind w:left="498"/>
        <w:rPr>
          <w:rFonts w:hint="eastAsia" w:ascii="宋体" w:hAnsi="宋体" w:eastAsia="宋体" w:cs="宋体"/>
          <w:color w:val="auto"/>
          <w:sz w:val="24"/>
          <w:szCs w:val="24"/>
        </w:rPr>
      </w:pPr>
      <w:r>
        <w:rPr>
          <w:rFonts w:hint="eastAsia" w:ascii="宋体" w:hAnsi="宋体" w:eastAsia="宋体" w:cs="宋体"/>
          <w:color w:val="auto"/>
          <w:position w:val="17"/>
          <w:sz w:val="24"/>
          <w:szCs w:val="24"/>
          <w14:textOutline w14:w="4358" w14:cap="sq" w14:cmpd="sng">
            <w14:solidFill>
              <w14:srgbClr w14:val="000000"/>
            </w14:solidFill>
            <w14:prstDash w14:val="solid"/>
            <w14:bevel/>
          </w14:textOutline>
        </w:rPr>
        <w:t>1.以上为必备资格证明文件，不能全部提供的，将拒</w:t>
      </w:r>
      <w:r>
        <w:rPr>
          <w:rFonts w:hint="eastAsia" w:ascii="宋体" w:hAnsi="宋体" w:eastAsia="宋体" w:cs="宋体"/>
          <w:color w:val="auto"/>
          <w:spacing w:val="-1"/>
          <w:position w:val="17"/>
          <w:sz w:val="24"/>
          <w:szCs w:val="24"/>
          <w14:textOutline w14:w="4358" w14:cap="sq" w14:cmpd="sng">
            <w14:solidFill>
              <w14:srgbClr w14:val="000000"/>
            </w14:solidFill>
            <w14:prstDash w14:val="solid"/>
            <w14:bevel/>
          </w14:textOutline>
        </w:rPr>
        <w:t>绝其磋商；</w:t>
      </w:r>
    </w:p>
    <w:p w14:paraId="188D4489">
      <w:pPr>
        <w:spacing w:before="1" w:line="218" w:lineRule="auto"/>
        <w:ind w:left="483"/>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2.本项目采购标的对应的中小企业划分标准所属行业为</w:t>
      </w:r>
      <w:r>
        <w:rPr>
          <w:rFonts w:hint="eastAsia" w:ascii="宋体" w:hAnsi="宋体" w:eastAsia="宋体" w:cs="宋体"/>
          <w:color w:val="auto"/>
          <w:sz w:val="24"/>
          <w:szCs w:val="24"/>
          <w:lang w:eastAsia="zh-CN"/>
          <w14:textOutline w14:w="4358" w14:cap="sq" w14:cmpd="sng">
            <w14:solidFill>
              <w14:srgbClr w14:val="000000"/>
            </w14:solidFill>
            <w14:prstDash w14:val="solid"/>
            <w14:bevel/>
          </w14:textOutline>
        </w:rPr>
        <w:t>其他为列明行业</w:t>
      </w:r>
      <w:r>
        <w:rPr>
          <w:rFonts w:hint="eastAsia" w:ascii="宋体" w:hAnsi="宋体" w:eastAsia="宋体" w:cs="宋体"/>
          <w:color w:val="auto"/>
          <w:sz w:val="24"/>
          <w:szCs w:val="24"/>
          <w14:textOutline w14:w="4358" w14:cap="sq" w14:cmpd="sng">
            <w14:solidFill>
              <w14:srgbClr w14:val="000000"/>
            </w14:solidFill>
            <w14:prstDash w14:val="solid"/>
            <w14:bevel/>
          </w14:textOutline>
        </w:rPr>
        <w:t>；</w:t>
      </w:r>
    </w:p>
    <w:p w14:paraId="3AA2E7FC">
      <w:pPr>
        <w:spacing w:before="183" w:line="219" w:lineRule="auto"/>
        <w:ind w:left="485"/>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3.供应商应保证在响应文件中附有上述</w:t>
      </w:r>
      <w:r>
        <w:rPr>
          <w:rFonts w:hint="eastAsia" w:ascii="宋体" w:hAnsi="宋体" w:eastAsia="宋体" w:cs="宋体"/>
          <w:color w:val="auto"/>
          <w:spacing w:val="-25"/>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1-</w:t>
      </w:r>
      <w:r>
        <w:rPr>
          <w:rFonts w:hint="eastAsia" w:ascii="宋体" w:hAnsi="宋体" w:eastAsia="宋体" w:cs="宋体"/>
          <w:color w:val="auto"/>
          <w:spacing w:val="-1"/>
          <w:sz w:val="24"/>
          <w:szCs w:val="24"/>
          <w:lang w:val="en-US" w:eastAsia="zh-CN"/>
          <w14:textOutline w14:w="4358" w14:cap="sq" w14:cmpd="sng">
            <w14:solidFill>
              <w14:srgbClr w14:val="000000"/>
            </w14:solidFill>
            <w14:prstDash w14:val="solid"/>
            <w14:bevel/>
          </w14:textOutline>
        </w:rPr>
        <w:t>10</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项资质要求复印件并加盖公章。</w:t>
      </w:r>
    </w:p>
    <w:p w14:paraId="46DAC0EF">
      <w:pPr>
        <w:spacing w:before="184" w:line="468" w:lineRule="exact"/>
        <w:ind w:right="4"/>
        <w:jc w:val="right"/>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2.1.3 供应商必须从采购代理机构登记报名，未从采购代理机构登记的潜在供</w:t>
      </w:r>
      <w:r>
        <w:rPr>
          <w:rFonts w:hint="eastAsia" w:ascii="宋体" w:hAnsi="宋体" w:eastAsia="宋体" w:cs="宋体"/>
          <w:color w:val="auto"/>
          <w:position w:val="17"/>
          <w:sz w:val="24"/>
          <w:szCs w:val="24"/>
        </w:rPr>
        <w:t>应商均</w:t>
      </w:r>
    </w:p>
    <w:p w14:paraId="2EAAAA66">
      <w:pPr>
        <w:spacing w:line="219" w:lineRule="auto"/>
        <w:ind w:left="2"/>
        <w:rPr>
          <w:rFonts w:hint="eastAsia" w:ascii="宋体" w:hAnsi="宋体" w:eastAsia="宋体" w:cs="宋体"/>
          <w:color w:val="auto"/>
          <w:sz w:val="24"/>
          <w:szCs w:val="24"/>
        </w:rPr>
      </w:pPr>
      <w:r>
        <w:rPr>
          <w:rFonts w:hint="eastAsia" w:ascii="宋体" w:hAnsi="宋体" w:eastAsia="宋体" w:cs="宋体"/>
          <w:color w:val="auto"/>
          <w:spacing w:val="-2"/>
          <w:sz w:val="24"/>
          <w:szCs w:val="24"/>
        </w:rPr>
        <w:t>无资格参加磋商。</w:t>
      </w:r>
    </w:p>
    <w:p w14:paraId="1C5178E9">
      <w:pPr>
        <w:spacing w:before="183" w:line="219" w:lineRule="auto"/>
        <w:ind w:left="483"/>
        <w:rPr>
          <w:rFonts w:hint="eastAsia" w:ascii="宋体" w:hAnsi="宋体" w:eastAsia="宋体" w:cs="宋体"/>
          <w:color w:val="auto"/>
          <w:sz w:val="24"/>
          <w:szCs w:val="24"/>
        </w:rPr>
      </w:pPr>
      <w:r>
        <w:rPr>
          <w:rFonts w:hint="eastAsia" w:ascii="宋体" w:hAnsi="宋体" w:eastAsia="宋体" w:cs="宋体"/>
          <w:color w:val="auto"/>
          <w:spacing w:val="-2"/>
          <w:sz w:val="24"/>
          <w:szCs w:val="24"/>
        </w:rPr>
        <w:t>2.1.4</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2"/>
          <w:sz w:val="24"/>
          <w:szCs w:val="24"/>
        </w:rPr>
        <w:t>本项目不接受联合体磋商。</w:t>
      </w:r>
    </w:p>
    <w:p w14:paraId="59019650">
      <w:pPr>
        <w:spacing w:before="184" w:line="219" w:lineRule="auto"/>
        <w:ind w:left="483"/>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rPr>
        <w:t>2.2 合格的</w:t>
      </w:r>
      <w:r>
        <w:rPr>
          <w:rFonts w:hint="eastAsia" w:ascii="宋体" w:hAnsi="宋体" w:eastAsia="宋体" w:cs="宋体"/>
          <w:color w:val="auto"/>
          <w:spacing w:val="-2"/>
          <w:sz w:val="24"/>
          <w:szCs w:val="24"/>
          <w:lang w:eastAsia="zh-CN"/>
        </w:rPr>
        <w:t>服务</w:t>
      </w:r>
    </w:p>
    <w:p w14:paraId="7A306C99">
      <w:pPr>
        <w:spacing w:before="183" w:line="220" w:lineRule="auto"/>
        <w:ind w:left="483"/>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2.2.1 </w:t>
      </w:r>
      <w:r>
        <w:rPr>
          <w:rFonts w:hint="eastAsia" w:ascii="宋体" w:hAnsi="宋体" w:eastAsia="宋体" w:cs="宋体"/>
          <w:color w:val="auto"/>
          <w:spacing w:val="-1"/>
          <w:sz w:val="24"/>
          <w:szCs w:val="24"/>
          <w:lang w:eastAsia="zh-CN"/>
        </w:rPr>
        <w:t>服务</w:t>
      </w:r>
      <w:r>
        <w:rPr>
          <w:rFonts w:hint="eastAsia" w:ascii="宋体" w:hAnsi="宋体" w:eastAsia="宋体" w:cs="宋体"/>
          <w:color w:val="auto"/>
          <w:spacing w:val="-1"/>
          <w:sz w:val="24"/>
          <w:szCs w:val="24"/>
        </w:rPr>
        <w:t>范围及</w:t>
      </w:r>
      <w:r>
        <w:rPr>
          <w:rFonts w:hint="eastAsia" w:ascii="宋体" w:hAnsi="宋体" w:eastAsia="宋体" w:cs="宋体"/>
          <w:color w:val="auto"/>
          <w:spacing w:val="-1"/>
          <w:sz w:val="24"/>
          <w:szCs w:val="24"/>
          <w:lang w:eastAsia="zh-CN"/>
        </w:rPr>
        <w:t>服务期</w:t>
      </w:r>
      <w:r>
        <w:rPr>
          <w:rFonts w:hint="eastAsia" w:ascii="宋体" w:hAnsi="宋体" w:eastAsia="宋体" w:cs="宋体"/>
          <w:color w:val="auto"/>
          <w:spacing w:val="-1"/>
          <w:sz w:val="24"/>
          <w:szCs w:val="24"/>
        </w:rPr>
        <w:t>、质量要求。</w:t>
      </w:r>
    </w:p>
    <w:p w14:paraId="32E2F016">
      <w:pPr>
        <w:spacing w:before="182" w:line="219" w:lineRule="auto"/>
        <w:ind w:left="483"/>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"2.2.1.1" </w:instrText>
      </w:r>
      <w:r>
        <w:rPr>
          <w:rFonts w:hint="eastAsia" w:ascii="宋体" w:hAnsi="宋体" w:eastAsia="宋体" w:cs="宋体"/>
          <w:color w:val="auto"/>
        </w:rPr>
        <w:fldChar w:fldCharType="separate"/>
      </w:r>
      <w:r>
        <w:rPr>
          <w:rFonts w:hint="eastAsia" w:ascii="宋体" w:hAnsi="宋体" w:eastAsia="宋体" w:cs="宋体"/>
          <w:color w:val="auto"/>
          <w:spacing w:val="-1"/>
          <w:sz w:val="24"/>
          <w:szCs w:val="24"/>
        </w:rPr>
        <w:t>2.2.1.1</w:t>
      </w:r>
      <w:r>
        <w:rPr>
          <w:rFonts w:hint="eastAsia" w:ascii="宋体" w:hAnsi="宋体" w:eastAsia="宋体" w:cs="宋体"/>
          <w:color w:val="auto"/>
          <w:spacing w:val="-1"/>
          <w:sz w:val="24"/>
          <w:szCs w:val="24"/>
        </w:rPr>
        <w:fldChar w:fldCharType="end"/>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
          <w:sz w:val="24"/>
          <w:szCs w:val="24"/>
          <w:lang w:eastAsia="zh-CN"/>
        </w:rPr>
        <w:t>服务</w:t>
      </w:r>
      <w:r>
        <w:rPr>
          <w:rFonts w:hint="eastAsia" w:ascii="宋体" w:hAnsi="宋体" w:eastAsia="宋体" w:cs="宋体"/>
          <w:color w:val="auto"/>
          <w:spacing w:val="-1"/>
          <w:sz w:val="24"/>
          <w:szCs w:val="24"/>
        </w:rPr>
        <w:t>范围：详见</w:t>
      </w:r>
      <w:r>
        <w:rPr>
          <w:rFonts w:hint="eastAsia" w:ascii="宋体" w:hAnsi="宋体" w:eastAsia="宋体" w:cs="宋体"/>
          <w:color w:val="auto"/>
          <w:spacing w:val="-1"/>
          <w:sz w:val="24"/>
          <w:szCs w:val="24"/>
          <w:lang w:eastAsia="zh-CN"/>
        </w:rPr>
        <w:t>采购需求</w:t>
      </w:r>
      <w:r>
        <w:rPr>
          <w:rFonts w:hint="eastAsia" w:ascii="宋体" w:hAnsi="宋体" w:eastAsia="宋体" w:cs="宋体"/>
          <w:color w:val="auto"/>
          <w:spacing w:val="-1"/>
          <w:sz w:val="24"/>
          <w:szCs w:val="24"/>
        </w:rPr>
        <w:t>。</w:t>
      </w:r>
    </w:p>
    <w:p w14:paraId="3BC87CB0">
      <w:pPr>
        <w:spacing w:before="184" w:line="219" w:lineRule="auto"/>
        <w:ind w:left="483"/>
        <w:rPr>
          <w:rFonts w:hint="eastAsia" w:ascii="宋体" w:hAnsi="宋体" w:eastAsia="宋体" w:cs="宋体"/>
          <w:color w:val="auto"/>
          <w:spacing w:val="-1"/>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"2.2.1.2" </w:instrText>
      </w:r>
      <w:r>
        <w:rPr>
          <w:rFonts w:hint="eastAsia" w:ascii="宋体" w:hAnsi="宋体" w:eastAsia="宋体" w:cs="宋体"/>
          <w:color w:val="auto"/>
        </w:rPr>
        <w:fldChar w:fldCharType="separate"/>
      </w:r>
      <w:r>
        <w:rPr>
          <w:rFonts w:hint="eastAsia" w:ascii="宋体" w:hAnsi="宋体" w:eastAsia="宋体" w:cs="宋体"/>
          <w:color w:val="auto"/>
          <w:spacing w:val="-1"/>
          <w:sz w:val="24"/>
          <w:szCs w:val="24"/>
        </w:rPr>
        <w:t>2.2.1.2</w:t>
      </w:r>
      <w:r>
        <w:rPr>
          <w:rFonts w:hint="eastAsia" w:ascii="宋体" w:hAnsi="宋体" w:eastAsia="宋体" w:cs="宋体"/>
          <w:color w:val="auto"/>
          <w:spacing w:val="-1"/>
          <w:sz w:val="24"/>
          <w:szCs w:val="24"/>
        </w:rPr>
        <w:fldChar w:fldCharType="end"/>
      </w:r>
      <w:r>
        <w:rPr>
          <w:rFonts w:hint="eastAsia" w:ascii="宋体" w:hAnsi="宋体" w:eastAsia="宋体" w:cs="宋体"/>
          <w:color w:val="auto"/>
          <w:spacing w:val="-1"/>
          <w:sz w:val="24"/>
          <w:szCs w:val="24"/>
        </w:rPr>
        <w:t xml:space="preserve"> 质量要求：</w:t>
      </w:r>
      <w:r>
        <w:rPr>
          <w:rFonts w:hint="eastAsia" w:ascii="宋体" w:hAnsi="宋体" w:eastAsia="宋体" w:cs="宋体"/>
          <w:color w:val="auto"/>
          <w:spacing w:val="-1"/>
          <w:sz w:val="24"/>
          <w:szCs w:val="24"/>
          <w:lang w:eastAsia="zh-CN"/>
        </w:rPr>
        <w:t>符合相关行业标准</w:t>
      </w:r>
      <w:r>
        <w:rPr>
          <w:rFonts w:hint="eastAsia" w:ascii="宋体" w:hAnsi="宋体" w:eastAsia="宋体" w:cs="宋体"/>
          <w:color w:val="auto"/>
          <w:spacing w:val="-1"/>
          <w:sz w:val="24"/>
          <w:szCs w:val="24"/>
        </w:rPr>
        <w:t>。</w:t>
      </w:r>
    </w:p>
    <w:p w14:paraId="3AF5BCAB">
      <w:pPr>
        <w:spacing w:before="183" w:line="360" w:lineRule="auto"/>
        <w:ind w:left="2" w:right="2" w:firstLine="479"/>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本</w:t>
      </w:r>
      <w:r>
        <w:rPr>
          <w:rFonts w:hint="eastAsia" w:ascii="宋体" w:hAnsi="宋体" w:eastAsia="宋体" w:cs="宋体"/>
          <w:color w:val="auto"/>
          <w:spacing w:val="1"/>
          <w:sz w:val="24"/>
          <w:szCs w:val="24"/>
          <w:lang w:eastAsia="zh-CN"/>
        </w:rPr>
        <w:t>项目</w:t>
      </w:r>
      <w:r>
        <w:rPr>
          <w:rFonts w:hint="eastAsia" w:ascii="宋体" w:hAnsi="宋体" w:eastAsia="宋体" w:cs="宋体"/>
          <w:color w:val="auto"/>
          <w:spacing w:val="1"/>
          <w:sz w:val="24"/>
          <w:szCs w:val="24"/>
        </w:rPr>
        <w:t>的</w:t>
      </w:r>
      <w:r>
        <w:rPr>
          <w:rFonts w:hint="eastAsia" w:ascii="宋体" w:hAnsi="宋体" w:eastAsia="宋体" w:cs="宋体"/>
          <w:color w:val="auto"/>
          <w:spacing w:val="1"/>
          <w:sz w:val="24"/>
          <w:szCs w:val="24"/>
          <w:lang w:eastAsia="zh-CN"/>
        </w:rPr>
        <w:t>服务</w:t>
      </w:r>
      <w:r>
        <w:rPr>
          <w:rFonts w:hint="eastAsia" w:ascii="宋体" w:hAnsi="宋体" w:eastAsia="宋体" w:cs="宋体"/>
          <w:color w:val="auto"/>
          <w:spacing w:val="1"/>
          <w:sz w:val="24"/>
          <w:szCs w:val="24"/>
        </w:rPr>
        <w:t>质量应符合国家质量验收标准合格以上要求，供应商应按现行验收规范和质量评定标准等技术文件为依据</w:t>
      </w:r>
      <w:r>
        <w:rPr>
          <w:rFonts w:hint="eastAsia" w:ascii="宋体" w:hAnsi="宋体" w:eastAsia="宋体" w:cs="宋体"/>
          <w:color w:val="auto"/>
          <w:spacing w:val="-7"/>
          <w:sz w:val="24"/>
          <w:szCs w:val="24"/>
        </w:rPr>
        <w:t>。</w:t>
      </w:r>
    </w:p>
    <w:p w14:paraId="0D8BEACD">
      <w:pPr>
        <w:spacing w:before="162" w:line="360" w:lineRule="auto"/>
        <w:ind w:left="1" w:right="2" w:firstLine="482"/>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如</w:t>
      </w:r>
      <w:r>
        <w:rPr>
          <w:rFonts w:hint="eastAsia" w:ascii="宋体" w:hAnsi="宋体" w:eastAsia="宋体" w:cs="宋体"/>
          <w:color w:val="auto"/>
          <w:spacing w:val="1"/>
          <w:sz w:val="24"/>
          <w:szCs w:val="24"/>
          <w:lang w:eastAsia="zh-CN"/>
        </w:rPr>
        <w:t>服务</w:t>
      </w:r>
      <w:r>
        <w:rPr>
          <w:rFonts w:hint="eastAsia" w:ascii="宋体" w:hAnsi="宋体" w:eastAsia="宋体" w:cs="宋体"/>
          <w:color w:val="auto"/>
          <w:spacing w:val="1"/>
          <w:sz w:val="24"/>
          <w:szCs w:val="24"/>
        </w:rPr>
        <w:t>质量达不到约定条件的部分，一经发现。可要求供应商返工，直至达到合同约定条件，并由供应商承担返工费用。返工后仍达不到约定条件，应继续返工到约定条件或</w:t>
      </w:r>
      <w:r>
        <w:rPr>
          <w:rFonts w:hint="eastAsia" w:ascii="宋体" w:hAnsi="宋体" w:eastAsia="宋体" w:cs="宋体"/>
          <w:color w:val="auto"/>
          <w:spacing w:val="-1"/>
          <w:sz w:val="24"/>
          <w:szCs w:val="24"/>
        </w:rPr>
        <w:t>合格标准。供应商承诺的质量等级达不到约定条件应承担违约责任，并按合同总价格</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1"/>
          <w:sz w:val="24"/>
          <w:szCs w:val="24"/>
        </w:rPr>
        <w:t>5%支</w:t>
      </w:r>
    </w:p>
    <w:p w14:paraId="7523CE3D">
      <w:pPr>
        <w:spacing w:line="219"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rPr>
        <w:t>付赔偿金。</w:t>
      </w:r>
    </w:p>
    <w:p w14:paraId="7760B00E">
      <w:pPr>
        <w:spacing w:before="183" w:line="219" w:lineRule="auto"/>
        <w:ind w:left="483"/>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"2.2.1.3" </w:instrText>
      </w:r>
      <w:r>
        <w:rPr>
          <w:rFonts w:hint="eastAsia" w:ascii="宋体" w:hAnsi="宋体" w:eastAsia="宋体" w:cs="宋体"/>
          <w:color w:val="auto"/>
        </w:rPr>
        <w:fldChar w:fldCharType="separate"/>
      </w:r>
      <w:r>
        <w:rPr>
          <w:rFonts w:hint="eastAsia" w:ascii="宋体" w:hAnsi="宋体" w:eastAsia="宋体" w:cs="宋体"/>
          <w:color w:val="auto"/>
          <w:spacing w:val="-1"/>
          <w:sz w:val="24"/>
          <w:szCs w:val="24"/>
        </w:rPr>
        <w:t>2.2.1.3</w:t>
      </w:r>
      <w:r>
        <w:rPr>
          <w:rFonts w:hint="eastAsia" w:ascii="宋体" w:hAnsi="宋体" w:eastAsia="宋体" w:cs="宋体"/>
          <w:color w:val="auto"/>
          <w:spacing w:val="-1"/>
          <w:sz w:val="24"/>
          <w:szCs w:val="24"/>
        </w:rPr>
        <w:fldChar w:fldCharType="end"/>
      </w:r>
      <w:r>
        <w:rPr>
          <w:rFonts w:hint="eastAsia" w:ascii="宋体" w:hAnsi="宋体" w:eastAsia="宋体" w:cs="宋体"/>
          <w:color w:val="0000FF"/>
          <w:spacing w:val="-1"/>
          <w:sz w:val="24"/>
          <w:szCs w:val="24"/>
        </w:rPr>
        <w:t xml:space="preserve"> </w:t>
      </w:r>
      <w:r>
        <w:rPr>
          <w:rFonts w:hint="eastAsia" w:ascii="宋体" w:hAnsi="宋体" w:eastAsia="宋体" w:cs="宋体"/>
          <w:color w:val="auto"/>
          <w:spacing w:val="-1"/>
          <w:sz w:val="24"/>
          <w:szCs w:val="24"/>
          <w:lang w:eastAsia="zh-CN"/>
        </w:rPr>
        <w:t>服务期</w:t>
      </w:r>
      <w:r>
        <w:rPr>
          <w:rFonts w:hint="eastAsia" w:ascii="宋体" w:hAnsi="宋体" w:eastAsia="宋体" w:cs="宋体"/>
          <w:color w:val="auto"/>
          <w:spacing w:val="-1"/>
          <w:sz w:val="24"/>
          <w:szCs w:val="24"/>
        </w:rPr>
        <w:t>：本</w:t>
      </w:r>
      <w:r>
        <w:rPr>
          <w:rFonts w:hint="eastAsia" w:ascii="宋体" w:hAnsi="宋体" w:eastAsia="宋体" w:cs="宋体"/>
          <w:color w:val="auto"/>
          <w:spacing w:val="-1"/>
          <w:sz w:val="24"/>
          <w:szCs w:val="24"/>
          <w:lang w:eastAsia="zh-CN"/>
        </w:rPr>
        <w:t>项目</w:t>
      </w:r>
      <w:r>
        <w:rPr>
          <w:rFonts w:hint="eastAsia" w:ascii="宋体" w:hAnsi="宋体" w:eastAsia="宋体" w:cs="宋体"/>
          <w:color w:val="auto"/>
          <w:spacing w:val="-1"/>
          <w:sz w:val="24"/>
          <w:szCs w:val="24"/>
        </w:rPr>
        <w:t>按采购人要求</w:t>
      </w:r>
      <w:r>
        <w:rPr>
          <w:rFonts w:hint="eastAsia" w:ascii="宋体" w:hAnsi="宋体" w:eastAsia="宋体" w:cs="宋体"/>
          <w:color w:val="auto"/>
          <w:spacing w:val="-1"/>
          <w:sz w:val="24"/>
          <w:szCs w:val="24"/>
          <w:lang w:eastAsia="zh-CN"/>
        </w:rPr>
        <w:t>期限</w:t>
      </w:r>
      <w:r>
        <w:rPr>
          <w:rFonts w:hint="eastAsia" w:ascii="宋体" w:hAnsi="宋体" w:eastAsia="宋体" w:cs="宋体"/>
          <w:color w:val="auto"/>
          <w:spacing w:val="1"/>
          <w:sz w:val="24"/>
          <w:szCs w:val="24"/>
        </w:rPr>
        <w:t>为</w:t>
      </w:r>
      <w:r>
        <w:rPr>
          <w:rFonts w:hint="eastAsia" w:ascii="宋体" w:hAnsi="宋体" w:eastAsia="宋体" w:cs="宋体"/>
          <w:color w:val="auto"/>
          <w:spacing w:val="1"/>
          <w:sz w:val="24"/>
          <w:szCs w:val="24"/>
          <w:lang w:val="en-US" w:eastAsia="zh-CN"/>
        </w:rPr>
        <w:t>45日历天</w:t>
      </w:r>
      <w:r>
        <w:rPr>
          <w:rFonts w:hint="eastAsia" w:ascii="宋体" w:hAnsi="宋体" w:eastAsia="宋体" w:cs="宋体"/>
          <w:color w:val="auto"/>
          <w:spacing w:val="1"/>
          <w:sz w:val="24"/>
          <w:szCs w:val="24"/>
        </w:rPr>
        <w:t>。</w:t>
      </w:r>
    </w:p>
    <w:p w14:paraId="503843AB">
      <w:pPr>
        <w:spacing w:before="122" w:line="468" w:lineRule="exact"/>
        <w:ind w:left="2" w:firstLine="484"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eastAsia="zh-CN"/>
        </w:rPr>
        <w:t>服务期</w:t>
      </w:r>
      <w:r>
        <w:rPr>
          <w:rFonts w:hint="eastAsia" w:ascii="宋体" w:hAnsi="宋体" w:eastAsia="宋体" w:cs="宋体"/>
          <w:color w:val="auto"/>
          <w:spacing w:val="1"/>
          <w:sz w:val="24"/>
          <w:szCs w:val="24"/>
        </w:rPr>
        <w:t>延误，如果由于以下原因造成竣工日期推迟延误，经采购人代表确认后，供应商有理由延期完成工程或部分工程，采购人应同供应商协商决定延长竣工时间的期限。</w:t>
      </w:r>
    </w:p>
    <w:p w14:paraId="1554BD64">
      <w:pPr>
        <w:spacing w:line="218" w:lineRule="auto"/>
        <w:ind w:left="493"/>
        <w:rPr>
          <w:rFonts w:hint="eastAsia" w:ascii="宋体" w:hAnsi="宋体" w:eastAsia="宋体" w:cs="宋体"/>
          <w:color w:val="auto"/>
          <w:spacing w:val="-2"/>
          <w:sz w:val="24"/>
          <w:szCs w:val="24"/>
        </w:rPr>
      </w:pPr>
    </w:p>
    <w:p w14:paraId="2F5182D7">
      <w:pPr>
        <w:spacing w:line="218" w:lineRule="auto"/>
        <w:ind w:firstLine="472" w:firstLineChars="200"/>
        <w:rPr>
          <w:rFonts w:hint="eastAsia" w:ascii="宋体" w:hAnsi="宋体" w:eastAsia="宋体" w:cs="宋体"/>
          <w:color w:val="auto"/>
          <w:sz w:val="24"/>
          <w:szCs w:val="24"/>
        </w:rPr>
      </w:pPr>
      <w:r>
        <w:rPr>
          <w:rFonts w:hint="eastAsia" w:ascii="宋体" w:hAnsi="宋体" w:eastAsia="宋体" w:cs="宋体"/>
          <w:color w:val="auto"/>
          <w:spacing w:val="-2"/>
          <w:sz w:val="24"/>
          <w:szCs w:val="24"/>
        </w:rPr>
        <w:t>（1）额外的或附加的工程数量。</w:t>
      </w:r>
    </w:p>
    <w:p w14:paraId="37D40C0B">
      <w:pPr>
        <w:spacing w:before="183" w:line="468" w:lineRule="exact"/>
        <w:ind w:left="493"/>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（2）由采购人原因造成的延误、障碍、阻止。</w:t>
      </w:r>
    </w:p>
    <w:p w14:paraId="62664BBF">
      <w:pPr>
        <w:spacing w:line="219" w:lineRule="auto"/>
        <w:ind w:left="493"/>
        <w:rPr>
          <w:rFonts w:hint="eastAsia" w:ascii="宋体" w:hAnsi="宋体" w:eastAsia="宋体" w:cs="宋体"/>
          <w:color w:val="auto"/>
          <w:sz w:val="24"/>
          <w:szCs w:val="24"/>
        </w:rPr>
      </w:pPr>
      <w:r>
        <w:rPr>
          <w:rFonts w:hint="eastAsia" w:ascii="宋体" w:hAnsi="宋体" w:eastAsia="宋体" w:cs="宋体"/>
          <w:color w:val="auto"/>
          <w:spacing w:val="-3"/>
          <w:sz w:val="24"/>
          <w:szCs w:val="24"/>
        </w:rPr>
        <w:t>（3）不可抗力。</w:t>
      </w:r>
    </w:p>
    <w:p w14:paraId="6E76053D">
      <w:pPr>
        <w:spacing w:before="183" w:line="219" w:lineRule="auto"/>
        <w:ind w:left="493"/>
        <w:rPr>
          <w:rFonts w:hint="eastAsia" w:ascii="宋体" w:hAnsi="宋体" w:eastAsia="宋体" w:cs="宋体"/>
          <w:color w:val="auto"/>
          <w:sz w:val="24"/>
          <w:szCs w:val="24"/>
        </w:rPr>
      </w:pPr>
      <w:r>
        <w:rPr>
          <w:rFonts w:hint="eastAsia" w:ascii="宋体" w:hAnsi="宋体" w:eastAsia="宋体" w:cs="宋体"/>
          <w:color w:val="auto"/>
          <w:spacing w:val="-1"/>
          <w:sz w:val="24"/>
          <w:szCs w:val="24"/>
        </w:rPr>
        <w:t>（4）可能会出现的，不属供应商的过失或违约造成的。</w:t>
      </w:r>
    </w:p>
    <w:p w14:paraId="5035620C">
      <w:pPr>
        <w:spacing w:before="183" w:line="468" w:lineRule="exact"/>
        <w:jc w:val="right"/>
        <w:rPr>
          <w:rFonts w:hint="eastAsia" w:ascii="宋体" w:hAnsi="宋体" w:eastAsia="宋体" w:cs="宋体"/>
          <w:color w:val="auto"/>
          <w:sz w:val="24"/>
          <w:szCs w:val="24"/>
        </w:rPr>
      </w:pPr>
      <w:r>
        <w:rPr>
          <w:rFonts w:hint="eastAsia" w:ascii="宋体" w:hAnsi="宋体" w:eastAsia="宋体" w:cs="宋体"/>
          <w:color w:val="auto"/>
          <w:spacing w:val="-3"/>
          <w:position w:val="17"/>
          <w:sz w:val="24"/>
          <w:szCs w:val="24"/>
        </w:rPr>
        <w:t>非上述原因，供应商不能按合同工期完成，应承担违约责任，并向采</w:t>
      </w:r>
      <w:r>
        <w:rPr>
          <w:rFonts w:hint="eastAsia" w:ascii="宋体" w:hAnsi="宋体" w:eastAsia="宋体" w:cs="宋体"/>
          <w:color w:val="auto"/>
          <w:spacing w:val="-4"/>
          <w:position w:val="17"/>
          <w:sz w:val="24"/>
          <w:szCs w:val="24"/>
        </w:rPr>
        <w:t>购人支付赔偿费。</w:t>
      </w:r>
    </w:p>
    <w:p w14:paraId="3256CAF4">
      <w:pPr>
        <w:spacing w:before="2" w:line="217" w:lineRule="auto"/>
        <w:ind w:left="1"/>
        <w:rPr>
          <w:rFonts w:hint="eastAsia" w:ascii="宋体" w:hAnsi="宋体" w:eastAsia="宋体" w:cs="宋体"/>
          <w:color w:val="auto"/>
          <w:sz w:val="24"/>
          <w:szCs w:val="24"/>
        </w:rPr>
      </w:pPr>
      <w:r>
        <w:rPr>
          <w:rFonts w:hint="eastAsia" w:ascii="宋体" w:hAnsi="宋体" w:eastAsia="宋体" w:cs="宋体"/>
          <w:color w:val="auto"/>
          <w:spacing w:val="-1"/>
          <w:sz w:val="24"/>
          <w:szCs w:val="24"/>
        </w:rPr>
        <w:t>赔偿费支付办法按合同工期每推延一天赔偿</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1"/>
          <w:sz w:val="24"/>
          <w:szCs w:val="24"/>
        </w:rPr>
        <w:t>300</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1"/>
          <w:sz w:val="24"/>
          <w:szCs w:val="24"/>
        </w:rPr>
        <w:t>元，限额为合同总造价的百分之二。</w:t>
      </w:r>
    </w:p>
    <w:p w14:paraId="44183184">
      <w:pPr>
        <w:spacing w:before="184" w:line="468" w:lineRule="exact"/>
        <w:ind w:left="480"/>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采购人可从应向供应商支付的任何金额中扣除此项赔偿费。此赔偿费的支付并不能解</w:t>
      </w:r>
    </w:p>
    <w:p w14:paraId="718134B8">
      <w:pPr>
        <w:spacing w:before="1" w:line="218" w:lineRule="auto"/>
        <w:ind w:left="16"/>
        <w:rPr>
          <w:rFonts w:hint="eastAsia" w:ascii="宋体" w:hAnsi="宋体" w:eastAsia="宋体" w:cs="宋体"/>
          <w:color w:val="auto"/>
          <w:sz w:val="24"/>
          <w:szCs w:val="24"/>
        </w:rPr>
      </w:pPr>
      <w:r>
        <w:rPr>
          <w:rFonts w:hint="eastAsia" w:ascii="宋体" w:hAnsi="宋体" w:eastAsia="宋体" w:cs="宋体"/>
          <w:color w:val="auto"/>
          <w:spacing w:val="-1"/>
          <w:sz w:val="24"/>
          <w:szCs w:val="24"/>
        </w:rPr>
        <w:t>除供应商完成工程的责任或合同规定的其它</w:t>
      </w:r>
      <w:r>
        <w:rPr>
          <w:rFonts w:hint="eastAsia" w:ascii="宋体" w:hAnsi="宋体" w:eastAsia="宋体" w:cs="宋体"/>
          <w:color w:val="auto"/>
          <w:spacing w:val="-2"/>
          <w:sz w:val="24"/>
          <w:szCs w:val="24"/>
        </w:rPr>
        <w:t>责任。</w:t>
      </w:r>
    </w:p>
    <w:p w14:paraId="68D25835">
      <w:pPr>
        <w:spacing w:before="184" w:line="468" w:lineRule="exact"/>
        <w:ind w:left="484"/>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lang w:eastAsia="zh-CN"/>
        </w:rPr>
        <w:t>项目</w:t>
      </w:r>
      <w:r>
        <w:rPr>
          <w:rFonts w:hint="eastAsia" w:ascii="宋体" w:hAnsi="宋体" w:eastAsia="宋体" w:cs="宋体"/>
          <w:color w:val="auto"/>
          <w:spacing w:val="1"/>
          <w:position w:val="17"/>
          <w:sz w:val="24"/>
          <w:szCs w:val="24"/>
        </w:rPr>
        <w:t>提前，采购人不支付供应商实际</w:t>
      </w:r>
      <w:r>
        <w:rPr>
          <w:rFonts w:hint="eastAsia" w:ascii="宋体" w:hAnsi="宋体" w:eastAsia="宋体" w:cs="宋体"/>
          <w:color w:val="auto"/>
          <w:spacing w:val="1"/>
          <w:position w:val="17"/>
          <w:sz w:val="24"/>
          <w:szCs w:val="24"/>
          <w:lang w:eastAsia="zh-CN"/>
        </w:rPr>
        <w:t>服务期限</w:t>
      </w:r>
      <w:r>
        <w:rPr>
          <w:rFonts w:hint="eastAsia" w:ascii="宋体" w:hAnsi="宋体" w:eastAsia="宋体" w:cs="宋体"/>
          <w:color w:val="auto"/>
          <w:spacing w:val="1"/>
          <w:position w:val="17"/>
          <w:sz w:val="24"/>
          <w:szCs w:val="24"/>
        </w:rPr>
        <w:t>提前于合同</w:t>
      </w:r>
      <w:r>
        <w:rPr>
          <w:rFonts w:hint="eastAsia" w:ascii="宋体" w:hAnsi="宋体" w:eastAsia="宋体" w:cs="宋体"/>
          <w:color w:val="auto"/>
          <w:spacing w:val="1"/>
          <w:position w:val="17"/>
          <w:sz w:val="24"/>
          <w:szCs w:val="24"/>
          <w:lang w:eastAsia="zh-CN"/>
        </w:rPr>
        <w:t>期限</w:t>
      </w:r>
      <w:r>
        <w:rPr>
          <w:rFonts w:hint="eastAsia" w:ascii="宋体" w:hAnsi="宋体" w:eastAsia="宋体" w:cs="宋体"/>
          <w:color w:val="auto"/>
          <w:spacing w:val="1"/>
          <w:position w:val="17"/>
          <w:sz w:val="24"/>
          <w:szCs w:val="24"/>
        </w:rPr>
        <w:t>的赶工措施费和提前竣</w:t>
      </w:r>
    </w:p>
    <w:p w14:paraId="461DEBA4">
      <w:pPr>
        <w:spacing w:line="220" w:lineRule="auto"/>
        <w:ind w:left="4"/>
        <w:rPr>
          <w:rFonts w:hint="eastAsia" w:ascii="宋体" w:hAnsi="宋体" w:eastAsia="宋体" w:cs="宋体"/>
          <w:color w:val="auto"/>
          <w:sz w:val="24"/>
          <w:szCs w:val="24"/>
        </w:rPr>
      </w:pPr>
      <w:r>
        <w:rPr>
          <w:rFonts w:hint="eastAsia" w:ascii="宋体" w:hAnsi="宋体" w:eastAsia="宋体" w:cs="宋体"/>
          <w:color w:val="auto"/>
          <w:spacing w:val="-5"/>
          <w:sz w:val="24"/>
          <w:szCs w:val="24"/>
        </w:rPr>
        <w:t>工奖。</w:t>
      </w:r>
    </w:p>
    <w:p w14:paraId="4256ABE4">
      <w:pPr>
        <w:spacing w:before="182" w:line="219" w:lineRule="auto"/>
        <w:ind w:left="484"/>
        <w:rPr>
          <w:rFonts w:hint="eastAsia" w:ascii="宋体" w:hAnsi="宋体" w:eastAsia="宋体" w:cs="宋体"/>
          <w:color w:val="auto"/>
          <w:sz w:val="24"/>
          <w:szCs w:val="24"/>
        </w:rPr>
      </w:pPr>
      <w:r>
        <w:rPr>
          <w:rFonts w:hint="eastAsia" w:ascii="宋体" w:hAnsi="宋体" w:eastAsia="宋体" w:cs="宋体"/>
          <w:color w:val="auto"/>
          <w:spacing w:val="-2"/>
          <w:sz w:val="24"/>
          <w:szCs w:val="24"/>
        </w:rPr>
        <w:t>2.2.2 踏勘现场</w:t>
      </w:r>
    </w:p>
    <w:p w14:paraId="361DF402">
      <w:pPr>
        <w:spacing w:before="183" w:line="360" w:lineRule="auto"/>
        <w:ind w:right="2" w:firstLine="483"/>
        <w:jc w:val="both"/>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"2.2.2.1"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2.2.2.1</w:t>
      </w:r>
      <w:r>
        <w:rPr>
          <w:rFonts w:hint="eastAsia" w:ascii="宋体" w:hAnsi="宋体" w:eastAsia="宋体" w:cs="宋体"/>
          <w:color w:val="auto"/>
          <w:sz w:val="24"/>
          <w:szCs w:val="24"/>
        </w:rPr>
        <w:fldChar w:fldCharType="end"/>
      </w:r>
      <w:r>
        <w:rPr>
          <w:rFonts w:hint="eastAsia" w:ascii="宋体" w:hAnsi="宋体" w:eastAsia="宋体" w:cs="宋体"/>
          <w:color w:val="auto"/>
          <w:spacing w:val="39"/>
          <w:sz w:val="24"/>
          <w:szCs w:val="24"/>
        </w:rPr>
        <w:t xml:space="preserve"> </w:t>
      </w:r>
      <w:r>
        <w:rPr>
          <w:rFonts w:hint="eastAsia" w:ascii="宋体" w:hAnsi="宋体" w:eastAsia="宋体" w:cs="宋体"/>
          <w:color w:val="auto"/>
          <w:sz w:val="24"/>
          <w:szCs w:val="24"/>
        </w:rPr>
        <w:t>由供应商自行现场踏勘，供</w:t>
      </w:r>
      <w:r>
        <w:rPr>
          <w:rFonts w:hint="eastAsia" w:ascii="宋体" w:hAnsi="宋体" w:eastAsia="宋体" w:cs="宋体"/>
          <w:color w:val="auto"/>
          <w:spacing w:val="-1"/>
          <w:sz w:val="24"/>
          <w:szCs w:val="24"/>
        </w:rPr>
        <w:t xml:space="preserve">应商将需澄清的问题以书面形式提交，采购代理 </w:t>
      </w:r>
      <w:r>
        <w:rPr>
          <w:rFonts w:hint="eastAsia" w:ascii="宋体" w:hAnsi="宋体" w:eastAsia="宋体" w:cs="宋体"/>
          <w:color w:val="auto"/>
          <w:spacing w:val="-3"/>
          <w:sz w:val="24"/>
          <w:szCs w:val="24"/>
        </w:rPr>
        <w:t>机构、采购人对供应商提出的问题或现场踏勘的问题进行答复，形成答疑纪要发送供应商。</w:t>
      </w:r>
    </w:p>
    <w:p w14:paraId="39E5F81D">
      <w:pPr>
        <w:spacing w:before="1" w:line="218" w:lineRule="auto"/>
        <w:ind w:left="1"/>
        <w:rPr>
          <w:rFonts w:hint="eastAsia" w:ascii="宋体" w:hAnsi="宋体" w:eastAsia="宋体" w:cs="宋体"/>
          <w:color w:val="auto"/>
          <w:sz w:val="24"/>
          <w:szCs w:val="24"/>
        </w:rPr>
      </w:pPr>
      <w:r>
        <w:rPr>
          <w:rFonts w:hint="eastAsia" w:ascii="宋体" w:hAnsi="宋体" w:eastAsia="宋体" w:cs="宋体"/>
          <w:color w:val="auto"/>
          <w:spacing w:val="-1"/>
          <w:sz w:val="24"/>
          <w:szCs w:val="24"/>
        </w:rPr>
        <w:t>供应商承担踏勘现场所发生的自身费用。</w:t>
      </w:r>
    </w:p>
    <w:p w14:paraId="6D91FF76">
      <w:pPr>
        <w:spacing w:before="184" w:line="360" w:lineRule="auto"/>
        <w:ind w:left="1" w:right="80" w:firstLine="482"/>
        <w:jc w:val="both"/>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"2.2.2.2" </w:instrText>
      </w:r>
      <w:r>
        <w:rPr>
          <w:rFonts w:hint="eastAsia" w:ascii="宋体" w:hAnsi="宋体" w:eastAsia="宋体" w:cs="宋体"/>
          <w:color w:val="auto"/>
        </w:rPr>
        <w:fldChar w:fldCharType="separate"/>
      </w:r>
      <w:r>
        <w:rPr>
          <w:rFonts w:hint="eastAsia" w:ascii="宋体" w:hAnsi="宋体" w:eastAsia="宋体" w:cs="宋体"/>
          <w:color w:val="auto"/>
          <w:spacing w:val="1"/>
          <w:sz w:val="24"/>
          <w:szCs w:val="24"/>
        </w:rPr>
        <w:t>2.2.2.2</w:t>
      </w:r>
      <w:r>
        <w:rPr>
          <w:rFonts w:hint="eastAsia" w:ascii="宋体" w:hAnsi="宋体" w:eastAsia="宋体" w:cs="宋体"/>
          <w:color w:val="auto"/>
          <w:spacing w:val="1"/>
          <w:sz w:val="24"/>
          <w:szCs w:val="24"/>
        </w:rPr>
        <w:fldChar w:fldCharType="end"/>
      </w:r>
      <w:r>
        <w:rPr>
          <w:rFonts w:hint="eastAsia" w:ascii="宋体" w:hAnsi="宋体" w:eastAsia="宋体" w:cs="宋体"/>
          <w:color w:val="auto"/>
          <w:spacing w:val="1"/>
          <w:sz w:val="24"/>
          <w:szCs w:val="24"/>
        </w:rPr>
        <w:t xml:space="preserve"> 采购人和采购代理机构向供应商提供的有关现场的数据和资料，</w:t>
      </w:r>
      <w:r>
        <w:rPr>
          <w:rFonts w:hint="eastAsia" w:ascii="宋体" w:hAnsi="宋体" w:eastAsia="宋体" w:cs="宋体"/>
          <w:color w:val="auto"/>
          <w:sz w:val="24"/>
          <w:szCs w:val="24"/>
        </w:rPr>
        <w:t xml:space="preserve">是现有的能 </w:t>
      </w:r>
      <w:r>
        <w:rPr>
          <w:rFonts w:hint="eastAsia" w:ascii="宋体" w:hAnsi="宋体" w:eastAsia="宋体" w:cs="宋体"/>
          <w:color w:val="auto"/>
          <w:spacing w:val="1"/>
          <w:sz w:val="24"/>
          <w:szCs w:val="24"/>
        </w:rPr>
        <w:t>被供应商利用的资料，采购人和采购代理机构对供应商做出的任何推论、理解和结论均不</w:t>
      </w:r>
    </w:p>
    <w:p w14:paraId="3EECCEC6">
      <w:pPr>
        <w:spacing w:line="219" w:lineRule="auto"/>
        <w:ind w:left="1"/>
        <w:rPr>
          <w:rFonts w:hint="eastAsia" w:ascii="宋体" w:hAnsi="宋体" w:eastAsia="宋体" w:cs="宋体"/>
          <w:color w:val="auto"/>
          <w:sz w:val="24"/>
          <w:szCs w:val="24"/>
        </w:rPr>
      </w:pPr>
      <w:r>
        <w:rPr>
          <w:rFonts w:hint="eastAsia" w:ascii="宋体" w:hAnsi="宋体" w:eastAsia="宋体" w:cs="宋体"/>
          <w:color w:val="auto"/>
          <w:spacing w:val="-2"/>
          <w:sz w:val="24"/>
          <w:szCs w:val="24"/>
        </w:rPr>
        <w:t>承担责任。</w:t>
      </w:r>
    </w:p>
    <w:p w14:paraId="6923A999">
      <w:pPr>
        <w:spacing w:before="183" w:line="468" w:lineRule="exact"/>
        <w:ind w:left="484"/>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"2.2.2.3" </w:instrText>
      </w:r>
      <w:r>
        <w:rPr>
          <w:rFonts w:hint="eastAsia" w:ascii="宋体" w:hAnsi="宋体" w:eastAsia="宋体" w:cs="宋体"/>
          <w:color w:val="auto"/>
        </w:rPr>
        <w:fldChar w:fldCharType="separate"/>
      </w:r>
      <w:r>
        <w:rPr>
          <w:rFonts w:hint="eastAsia" w:ascii="宋体" w:hAnsi="宋体" w:eastAsia="宋体" w:cs="宋体"/>
          <w:color w:val="auto"/>
          <w:spacing w:val="1"/>
          <w:position w:val="17"/>
          <w:sz w:val="24"/>
          <w:szCs w:val="24"/>
        </w:rPr>
        <w:t>2.2.2.3</w:t>
      </w:r>
      <w:r>
        <w:rPr>
          <w:rFonts w:hint="eastAsia" w:ascii="宋体" w:hAnsi="宋体" w:eastAsia="宋体" w:cs="宋体"/>
          <w:color w:val="auto"/>
          <w:spacing w:val="1"/>
          <w:position w:val="17"/>
          <w:sz w:val="24"/>
          <w:szCs w:val="24"/>
        </w:rPr>
        <w:fldChar w:fldCharType="end"/>
      </w:r>
      <w:r>
        <w:rPr>
          <w:rFonts w:hint="eastAsia" w:ascii="宋体" w:hAnsi="宋体" w:eastAsia="宋体" w:cs="宋体"/>
          <w:color w:val="auto"/>
          <w:spacing w:val="1"/>
          <w:position w:val="17"/>
          <w:sz w:val="24"/>
          <w:szCs w:val="24"/>
        </w:rPr>
        <w:t xml:space="preserve"> 经采购人允许，供应商可为踏勘目的进入项目现场，但供应商不</w:t>
      </w:r>
      <w:r>
        <w:rPr>
          <w:rFonts w:hint="eastAsia" w:ascii="宋体" w:hAnsi="宋体" w:eastAsia="宋体" w:cs="宋体"/>
          <w:color w:val="auto"/>
          <w:position w:val="17"/>
          <w:sz w:val="24"/>
          <w:szCs w:val="24"/>
        </w:rPr>
        <w:t>得因此使采</w:t>
      </w:r>
    </w:p>
    <w:p w14:paraId="678E0FD2">
      <w:pPr>
        <w:spacing w:before="1" w:line="218" w:lineRule="auto"/>
        <w:rPr>
          <w:rFonts w:hint="eastAsia" w:ascii="宋体" w:hAnsi="宋体" w:eastAsia="宋体" w:cs="宋体"/>
          <w:color w:val="auto"/>
          <w:sz w:val="24"/>
          <w:szCs w:val="24"/>
        </w:rPr>
      </w:pPr>
      <w:r>
        <w:rPr>
          <w:rFonts w:hint="eastAsia" w:ascii="宋体" w:hAnsi="宋体" w:eastAsia="宋体" w:cs="宋体"/>
          <w:color w:val="auto"/>
          <w:sz w:val="24"/>
          <w:szCs w:val="24"/>
        </w:rPr>
        <w:t>购人承担有关的责任和蒙受损失。供应商应承担踏勘</w:t>
      </w:r>
      <w:r>
        <w:rPr>
          <w:rFonts w:hint="eastAsia" w:ascii="宋体" w:hAnsi="宋体" w:eastAsia="宋体" w:cs="宋体"/>
          <w:color w:val="auto"/>
          <w:spacing w:val="-1"/>
          <w:sz w:val="24"/>
          <w:szCs w:val="24"/>
        </w:rPr>
        <w:t>现场的责任和风险。</w:t>
      </w:r>
    </w:p>
    <w:p w14:paraId="3E1E9135">
      <w:pPr>
        <w:spacing w:before="184" w:line="220" w:lineRule="auto"/>
        <w:ind w:left="486"/>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3．磋商费用</w:t>
      </w:r>
    </w:p>
    <w:p w14:paraId="33160CFD">
      <w:pPr>
        <w:spacing w:before="181" w:line="219" w:lineRule="auto"/>
        <w:ind w:left="481"/>
        <w:rPr>
          <w:rFonts w:hint="eastAsia" w:ascii="宋体" w:hAnsi="宋体" w:eastAsia="宋体" w:cs="宋体"/>
          <w:color w:val="auto"/>
          <w:sz w:val="24"/>
          <w:szCs w:val="24"/>
        </w:rPr>
      </w:pPr>
      <w:r>
        <w:rPr>
          <w:rFonts w:hint="eastAsia" w:ascii="宋体" w:hAnsi="宋体" w:eastAsia="宋体" w:cs="宋体"/>
          <w:color w:val="auto"/>
          <w:spacing w:val="-1"/>
          <w:sz w:val="24"/>
          <w:szCs w:val="24"/>
        </w:rPr>
        <w:t>供应商应承担所有与准备和参加磋商有关的全部费用。</w:t>
      </w:r>
    </w:p>
    <w:p w14:paraId="72C32ADA">
      <w:pPr>
        <w:pStyle w:val="10"/>
        <w:spacing w:line="260" w:lineRule="auto"/>
        <w:rPr>
          <w:rFonts w:hint="eastAsia" w:ascii="宋体" w:hAnsi="宋体" w:eastAsia="宋体" w:cs="宋体"/>
          <w:color w:val="auto"/>
        </w:rPr>
      </w:pPr>
    </w:p>
    <w:p w14:paraId="637D4D5A">
      <w:pPr>
        <w:spacing w:before="79" w:line="219" w:lineRule="auto"/>
        <w:ind w:left="362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二、竞争性磋商文件</w:t>
      </w:r>
    </w:p>
    <w:p w14:paraId="6B4D866E">
      <w:pPr>
        <w:pStyle w:val="10"/>
        <w:spacing w:line="259" w:lineRule="auto"/>
        <w:rPr>
          <w:rFonts w:hint="eastAsia" w:ascii="宋体" w:hAnsi="宋体" w:eastAsia="宋体" w:cs="宋体"/>
          <w:color w:val="auto"/>
        </w:rPr>
      </w:pPr>
    </w:p>
    <w:p w14:paraId="1CBF6C63">
      <w:pPr>
        <w:spacing w:before="79" w:line="219" w:lineRule="auto"/>
        <w:ind w:left="480"/>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4．竞争性磋商文件构成</w:t>
      </w:r>
    </w:p>
    <w:p w14:paraId="4CD895C8">
      <w:pPr>
        <w:spacing w:before="182" w:line="468" w:lineRule="exact"/>
        <w:ind w:left="480"/>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4.1</w:t>
      </w:r>
      <w:r>
        <w:rPr>
          <w:rFonts w:hint="eastAsia" w:ascii="宋体" w:hAnsi="宋体" w:eastAsia="宋体" w:cs="宋体"/>
          <w:color w:val="auto"/>
          <w:spacing w:val="-36"/>
          <w:position w:val="17"/>
          <w:sz w:val="24"/>
          <w:szCs w:val="24"/>
        </w:rPr>
        <w:t xml:space="preserve"> </w:t>
      </w:r>
      <w:r>
        <w:rPr>
          <w:rFonts w:hint="eastAsia" w:ascii="宋体" w:hAnsi="宋体" w:eastAsia="宋体" w:cs="宋体"/>
          <w:color w:val="auto"/>
          <w:spacing w:val="-2"/>
          <w:position w:val="17"/>
          <w:sz w:val="24"/>
          <w:szCs w:val="24"/>
        </w:rPr>
        <w:t>竞争性磋商文件包括下列内容：</w:t>
      </w:r>
    </w:p>
    <w:p w14:paraId="64C83EFC">
      <w:pPr>
        <w:spacing w:before="2" w:line="217" w:lineRule="auto"/>
        <w:ind w:left="481"/>
        <w:rPr>
          <w:rFonts w:hint="eastAsia" w:ascii="宋体" w:hAnsi="宋体" w:eastAsia="宋体" w:cs="宋体"/>
          <w:color w:val="auto"/>
          <w:sz w:val="24"/>
          <w:szCs w:val="24"/>
        </w:rPr>
      </w:pPr>
      <w:r>
        <w:rPr>
          <w:rFonts w:hint="eastAsia" w:ascii="宋体" w:hAnsi="宋体" w:eastAsia="宋体" w:cs="宋体"/>
          <w:color w:val="auto"/>
          <w:spacing w:val="-1"/>
          <w:sz w:val="24"/>
          <w:szCs w:val="24"/>
        </w:rPr>
        <w:t>第一章  竞争性磋商公告</w:t>
      </w:r>
    </w:p>
    <w:p w14:paraId="5DBAC2D7">
      <w:pPr>
        <w:spacing w:before="184" w:line="219" w:lineRule="auto"/>
        <w:ind w:left="481"/>
        <w:rPr>
          <w:rFonts w:hint="eastAsia" w:ascii="宋体" w:hAnsi="宋体" w:eastAsia="宋体" w:cs="宋体"/>
          <w:color w:val="auto"/>
          <w:sz w:val="24"/>
          <w:szCs w:val="24"/>
        </w:rPr>
      </w:pPr>
      <w:r>
        <w:rPr>
          <w:rFonts w:hint="eastAsia" w:ascii="宋体" w:hAnsi="宋体" w:eastAsia="宋体" w:cs="宋体"/>
          <w:color w:val="auto"/>
          <w:spacing w:val="-2"/>
          <w:sz w:val="24"/>
          <w:szCs w:val="24"/>
        </w:rPr>
        <w:t>第二章  磋商须知</w:t>
      </w:r>
    </w:p>
    <w:p w14:paraId="2FE181F7">
      <w:pPr>
        <w:spacing w:before="183" w:line="219" w:lineRule="auto"/>
        <w:ind w:left="481"/>
        <w:rPr>
          <w:rFonts w:hint="eastAsia" w:ascii="宋体" w:hAnsi="宋体" w:eastAsia="宋体" w:cs="宋体"/>
          <w:color w:val="auto"/>
          <w:sz w:val="24"/>
          <w:szCs w:val="24"/>
        </w:rPr>
      </w:pPr>
      <w:r>
        <w:rPr>
          <w:rFonts w:hint="eastAsia" w:ascii="宋体" w:hAnsi="宋体" w:eastAsia="宋体" w:cs="宋体"/>
          <w:color w:val="auto"/>
          <w:spacing w:val="-1"/>
          <w:sz w:val="24"/>
          <w:szCs w:val="24"/>
        </w:rPr>
        <w:t>第三章  合同主要条款</w:t>
      </w:r>
    </w:p>
    <w:p w14:paraId="79D35622">
      <w:pPr>
        <w:spacing w:before="183" w:line="219" w:lineRule="auto"/>
        <w:ind w:left="481"/>
        <w:rPr>
          <w:rFonts w:hint="eastAsia" w:ascii="宋体" w:hAnsi="宋体" w:eastAsia="宋体" w:cs="宋体"/>
          <w:color w:val="auto"/>
          <w:sz w:val="24"/>
          <w:szCs w:val="24"/>
        </w:rPr>
      </w:pPr>
      <w:r>
        <w:rPr>
          <w:rFonts w:hint="eastAsia" w:ascii="宋体" w:hAnsi="宋体" w:eastAsia="宋体" w:cs="宋体"/>
          <w:color w:val="auto"/>
          <w:spacing w:val="-1"/>
          <w:sz w:val="24"/>
          <w:szCs w:val="24"/>
        </w:rPr>
        <w:t>第四章  采购内容及需求</w:t>
      </w:r>
    </w:p>
    <w:p w14:paraId="67A69BBA">
      <w:pPr>
        <w:spacing w:before="122" w:line="219" w:lineRule="auto"/>
        <w:ind w:left="480"/>
        <w:rPr>
          <w:rFonts w:hint="eastAsia" w:ascii="宋体" w:hAnsi="宋体" w:eastAsia="宋体" w:cs="宋体"/>
          <w:color w:val="auto"/>
          <w:sz w:val="24"/>
          <w:szCs w:val="24"/>
        </w:rPr>
      </w:pPr>
      <w:r>
        <w:rPr>
          <w:rFonts w:hint="eastAsia" w:ascii="宋体" w:hAnsi="宋体" w:eastAsia="宋体" w:cs="宋体"/>
          <w:color w:val="auto"/>
          <w:spacing w:val="-1"/>
          <w:sz w:val="24"/>
          <w:szCs w:val="24"/>
        </w:rPr>
        <w:t>第五章  磋商响应文件基本格式</w:t>
      </w:r>
    </w:p>
    <w:p w14:paraId="491C70C1">
      <w:pPr>
        <w:spacing w:before="183" w:line="360" w:lineRule="auto"/>
        <w:ind w:right="103" w:firstLine="480"/>
        <w:rPr>
          <w:rFonts w:hint="eastAsia" w:ascii="宋体" w:hAnsi="宋体" w:eastAsia="宋体" w:cs="宋体"/>
          <w:color w:val="auto"/>
          <w:sz w:val="24"/>
          <w:szCs w:val="24"/>
        </w:rPr>
      </w:pPr>
      <w:r>
        <w:rPr>
          <w:rFonts w:hint="eastAsia" w:ascii="宋体" w:hAnsi="宋体" w:eastAsia="宋体" w:cs="宋体"/>
          <w:color w:val="auto"/>
          <w:spacing w:val="1"/>
          <w:sz w:val="24"/>
          <w:szCs w:val="24"/>
        </w:rPr>
        <w:t>4.2 供应商应仔细阅读竞争性磋商文件中的所有内容。如果供应商未按竞争性磋商文 件要求提供全部资料或提交的磋商响应文件没有对竞争性磋商文件做出实质性响应，供应</w:t>
      </w:r>
      <w:r>
        <w:rPr>
          <w:rFonts w:hint="eastAsia" w:ascii="宋体" w:hAnsi="宋体" w:eastAsia="宋体" w:cs="宋体"/>
          <w:color w:val="auto"/>
          <w:spacing w:val="-1"/>
          <w:sz w:val="24"/>
          <w:szCs w:val="24"/>
        </w:rPr>
        <w:t>商承担其风险，并有可能导致竞争性磋商文件被拒绝。</w:t>
      </w:r>
    </w:p>
    <w:p w14:paraId="55BD18C6">
      <w:pPr>
        <w:spacing w:before="183" w:line="219" w:lineRule="auto"/>
        <w:ind w:left="480"/>
        <w:rPr>
          <w:rFonts w:hint="eastAsia" w:ascii="宋体" w:hAnsi="宋体" w:eastAsia="宋体" w:cs="宋体"/>
          <w:color w:val="auto"/>
          <w:sz w:val="24"/>
          <w:szCs w:val="24"/>
        </w:rPr>
      </w:pPr>
      <w:r>
        <w:rPr>
          <w:rFonts w:hint="eastAsia" w:ascii="宋体" w:hAnsi="宋体" w:eastAsia="宋体" w:cs="宋体"/>
          <w:color w:val="auto"/>
          <w:spacing w:val="-1"/>
          <w:sz w:val="24"/>
          <w:szCs w:val="24"/>
        </w:rPr>
        <w:t>4.3 磋商文件质疑与投诉：</w:t>
      </w:r>
    </w:p>
    <w:p w14:paraId="6A124105">
      <w:pPr>
        <w:spacing w:before="182" w:line="468" w:lineRule="exact"/>
        <w:jc w:val="right"/>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4.3.1 供应商对本次磋商采购活动有疑问的，按照国家《中</w:t>
      </w:r>
      <w:r>
        <w:rPr>
          <w:rFonts w:hint="eastAsia" w:ascii="宋体" w:hAnsi="宋体" w:eastAsia="宋体" w:cs="宋体"/>
          <w:color w:val="auto"/>
          <w:spacing w:val="-3"/>
          <w:position w:val="17"/>
          <w:sz w:val="24"/>
          <w:szCs w:val="24"/>
        </w:rPr>
        <w:t>华人民共和国政府采购法》</w:t>
      </w:r>
    </w:p>
    <w:p w14:paraId="434A30AA">
      <w:pPr>
        <w:spacing w:before="1" w:line="218" w:lineRule="auto"/>
        <w:rPr>
          <w:rFonts w:hint="eastAsia" w:ascii="宋体" w:hAnsi="宋体" w:eastAsia="宋体" w:cs="宋体"/>
          <w:color w:val="auto"/>
          <w:sz w:val="24"/>
          <w:szCs w:val="24"/>
        </w:rPr>
      </w:pPr>
      <w:r>
        <w:rPr>
          <w:rFonts w:hint="eastAsia" w:ascii="宋体" w:hAnsi="宋体" w:eastAsia="宋体" w:cs="宋体"/>
          <w:color w:val="auto"/>
          <w:spacing w:val="-1"/>
          <w:sz w:val="24"/>
          <w:szCs w:val="24"/>
        </w:rPr>
        <w:t>及中华人民共和国财政部令第</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1"/>
          <w:sz w:val="24"/>
          <w:szCs w:val="24"/>
        </w:rPr>
        <w:t>94</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1"/>
          <w:sz w:val="24"/>
          <w:szCs w:val="24"/>
        </w:rPr>
        <w:t>号《政府采购质疑和投诉办法》的规定办理。</w:t>
      </w:r>
    </w:p>
    <w:p w14:paraId="44D18DA1">
      <w:pPr>
        <w:spacing w:before="183" w:line="219" w:lineRule="auto"/>
        <w:ind w:left="480"/>
        <w:rPr>
          <w:rFonts w:hint="eastAsia" w:ascii="宋体" w:hAnsi="宋体" w:eastAsia="宋体" w:cs="宋体"/>
          <w:color w:val="auto"/>
          <w:sz w:val="24"/>
          <w:szCs w:val="24"/>
        </w:rPr>
      </w:pPr>
      <w:r>
        <w:rPr>
          <w:rFonts w:hint="eastAsia" w:ascii="宋体" w:hAnsi="宋体" w:eastAsia="宋体" w:cs="宋体"/>
          <w:color w:val="auto"/>
          <w:spacing w:val="-1"/>
          <w:sz w:val="24"/>
          <w:szCs w:val="24"/>
        </w:rPr>
        <w:t>4.3.2</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1"/>
          <w:sz w:val="24"/>
          <w:szCs w:val="24"/>
        </w:rPr>
        <w:t>供应商在法定质疑期内一次性提出针对同一采购程序环节的质疑。</w:t>
      </w:r>
    </w:p>
    <w:p w14:paraId="2ADD7F45">
      <w:pPr>
        <w:spacing w:before="185" w:line="289" w:lineRule="auto"/>
        <w:ind w:left="480" w:right="5063" w:rightChars="0"/>
        <w:rPr>
          <w:rFonts w:hint="eastAsia" w:ascii="宋体" w:hAnsi="宋体" w:eastAsia="宋体" w:cs="宋体"/>
          <w:color w:val="auto"/>
          <w:spacing w:val="10"/>
          <w:sz w:val="24"/>
          <w:szCs w:val="24"/>
        </w:rPr>
      </w:pPr>
      <w:r>
        <w:rPr>
          <w:rFonts w:hint="eastAsia" w:ascii="宋体" w:hAnsi="宋体" w:eastAsia="宋体" w:cs="宋体"/>
          <w:color w:val="auto"/>
          <w:spacing w:val="-5"/>
          <w:sz w:val="24"/>
          <w:szCs w:val="24"/>
        </w:rPr>
        <w:t>4.3.3 递交质疑函有关说明：</w:t>
      </w:r>
      <w:r>
        <w:rPr>
          <w:rFonts w:hint="eastAsia" w:ascii="宋体" w:hAnsi="宋体" w:eastAsia="宋体" w:cs="宋体"/>
          <w:color w:val="auto"/>
          <w:spacing w:val="10"/>
          <w:sz w:val="24"/>
          <w:szCs w:val="24"/>
        </w:rPr>
        <w:t xml:space="preserve"> </w:t>
      </w:r>
    </w:p>
    <w:p w14:paraId="1F4359FF">
      <w:pPr>
        <w:spacing w:before="185" w:line="289" w:lineRule="auto"/>
        <w:ind w:left="480" w:right="5063" w:rightChars="0"/>
        <w:rPr>
          <w:rFonts w:hint="eastAsia" w:ascii="宋体" w:hAnsi="宋体" w:eastAsia="宋体" w:cs="宋体"/>
          <w:color w:val="auto"/>
          <w:sz w:val="24"/>
          <w:szCs w:val="24"/>
        </w:rPr>
      </w:pPr>
      <w:r>
        <w:rPr>
          <w:rFonts w:hint="eastAsia" w:ascii="宋体" w:hAnsi="宋体" w:eastAsia="宋体" w:cs="宋体"/>
          <w:color w:val="auto"/>
          <w:spacing w:val="-1"/>
          <w:sz w:val="24"/>
          <w:szCs w:val="24"/>
        </w:rPr>
        <w:t>接收方式：书面形式</w:t>
      </w:r>
    </w:p>
    <w:p w14:paraId="12414E85">
      <w:pPr>
        <w:spacing w:before="183" w:line="360" w:lineRule="auto"/>
        <w:ind w:right="103" w:firstLine="484"/>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联系部门：</w:t>
      </w:r>
      <w:r>
        <w:rPr>
          <w:rFonts w:hint="eastAsia" w:ascii="宋体" w:hAnsi="宋体" w:eastAsia="宋体" w:cs="宋体"/>
          <w:color w:val="auto"/>
          <w:spacing w:val="1"/>
          <w:sz w:val="24"/>
          <w:szCs w:val="24"/>
          <w:lang w:eastAsia="zh-CN"/>
        </w:rPr>
        <w:t xml:space="preserve"> 陕西大用项目管理有限公司</w:t>
      </w:r>
    </w:p>
    <w:p w14:paraId="4BC46399">
      <w:pPr>
        <w:spacing w:before="183" w:line="360" w:lineRule="auto"/>
        <w:ind w:right="103" w:firstLine="484"/>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rPr>
        <w:t>联系电话：</w:t>
      </w:r>
      <w:r>
        <w:rPr>
          <w:rFonts w:hint="eastAsia" w:ascii="宋体" w:hAnsi="宋体" w:eastAsia="宋体" w:cs="宋体"/>
          <w:color w:val="auto"/>
          <w:spacing w:val="1"/>
          <w:sz w:val="24"/>
          <w:szCs w:val="24"/>
          <w:lang w:val="en-US" w:eastAsia="zh-CN"/>
        </w:rPr>
        <w:t>14729153054</w:t>
      </w:r>
    </w:p>
    <w:p w14:paraId="08E1C19A">
      <w:pPr>
        <w:spacing w:before="183" w:line="360" w:lineRule="auto"/>
        <w:ind w:right="103" w:firstLine="484"/>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邮箱：</w:t>
      </w:r>
      <w:r>
        <w:rPr>
          <w:rFonts w:hint="eastAsia" w:ascii="宋体" w:hAnsi="宋体" w:eastAsia="宋体" w:cs="宋体"/>
          <w:color w:val="auto"/>
          <w:spacing w:val="1"/>
          <w:sz w:val="24"/>
          <w:szCs w:val="24"/>
          <w:lang w:val="zh-CN" w:eastAsia="zh-CN"/>
        </w:rPr>
        <w:fldChar w:fldCharType="begin"/>
      </w:r>
      <w:r>
        <w:rPr>
          <w:rFonts w:hint="eastAsia" w:ascii="宋体" w:hAnsi="宋体" w:eastAsia="宋体" w:cs="宋体"/>
          <w:color w:val="auto"/>
          <w:spacing w:val="1"/>
          <w:sz w:val="24"/>
          <w:szCs w:val="24"/>
          <w:lang w:val="zh-CN" w:eastAsia="zh-CN"/>
        </w:rPr>
        <w:instrText xml:space="preserve"> HYPERLINK "mailto:1220423717@qq.com" \h </w:instrText>
      </w:r>
      <w:r>
        <w:rPr>
          <w:rFonts w:hint="eastAsia" w:ascii="宋体" w:hAnsi="宋体" w:eastAsia="宋体" w:cs="宋体"/>
          <w:color w:val="auto"/>
          <w:spacing w:val="1"/>
          <w:sz w:val="24"/>
          <w:szCs w:val="24"/>
          <w:lang w:val="zh-CN" w:eastAsia="zh-CN"/>
        </w:rPr>
        <w:fldChar w:fldCharType="separate"/>
      </w:r>
      <w:r>
        <w:rPr>
          <w:rFonts w:hint="eastAsia" w:ascii="宋体" w:hAnsi="宋体" w:eastAsia="宋体" w:cs="宋体"/>
          <w:color w:val="auto"/>
          <w:spacing w:val="1"/>
          <w:sz w:val="24"/>
          <w:szCs w:val="24"/>
          <w:lang w:val="en-US" w:eastAsia="zh-CN"/>
        </w:rPr>
        <w:t>1607152989</w:t>
      </w:r>
      <w:r>
        <w:rPr>
          <w:rFonts w:hint="eastAsia" w:ascii="宋体" w:hAnsi="宋体" w:eastAsia="宋体" w:cs="宋体"/>
          <w:color w:val="auto"/>
          <w:spacing w:val="1"/>
          <w:sz w:val="24"/>
          <w:szCs w:val="24"/>
          <w:lang w:val="zh-CN" w:eastAsia="zh-CN"/>
        </w:rPr>
        <w:t>@qq.com</w:t>
      </w:r>
      <w:r>
        <w:rPr>
          <w:rFonts w:hint="eastAsia" w:ascii="宋体" w:hAnsi="宋体" w:eastAsia="宋体" w:cs="宋体"/>
          <w:color w:val="auto"/>
          <w:spacing w:val="1"/>
          <w:sz w:val="24"/>
          <w:szCs w:val="24"/>
          <w:lang w:val="zh-CN" w:eastAsia="zh-CN"/>
        </w:rPr>
        <w:fldChar w:fldCharType="end"/>
      </w:r>
    </w:p>
    <w:p w14:paraId="721D8297">
      <w:pPr>
        <w:spacing w:before="180" w:line="219" w:lineRule="auto"/>
        <w:ind w:left="480"/>
        <w:rPr>
          <w:rFonts w:hint="eastAsia" w:ascii="宋体" w:hAnsi="宋体" w:eastAsia="宋体" w:cs="宋体"/>
          <w:color w:val="auto"/>
          <w:sz w:val="24"/>
          <w:szCs w:val="24"/>
          <w:lang w:val="en-US" w:eastAsia="zh-CN"/>
        </w:rPr>
      </w:pPr>
      <w:r>
        <w:rPr>
          <w:rFonts w:hint="eastAsia" w:ascii="宋体" w:hAnsi="宋体" w:eastAsia="宋体" w:cs="宋体"/>
          <w:color w:val="auto"/>
          <w:spacing w:val="-2"/>
          <w:sz w:val="24"/>
          <w:szCs w:val="24"/>
        </w:rPr>
        <w:t>通讯地址：</w:t>
      </w:r>
      <w:r>
        <w:rPr>
          <w:rFonts w:hint="eastAsia" w:ascii="宋体" w:hAnsi="宋体" w:eastAsia="宋体" w:cs="宋体"/>
          <w:color w:val="auto"/>
          <w:spacing w:val="-2"/>
          <w:sz w:val="24"/>
          <w:szCs w:val="24"/>
          <w:lang w:eastAsia="zh-CN"/>
        </w:rPr>
        <w:t>西安市雁塔区朱雀大街2号汇成天玺酒店C座11层</w:t>
      </w:r>
    </w:p>
    <w:p w14:paraId="0EB2F2F6">
      <w:pPr>
        <w:spacing w:before="183" w:line="219" w:lineRule="auto"/>
        <w:ind w:left="485"/>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5．磋商文件的澄清和修改</w:t>
      </w:r>
    </w:p>
    <w:p w14:paraId="5C5630E5">
      <w:pPr>
        <w:spacing w:before="183" w:line="360" w:lineRule="auto"/>
        <w:ind w:right="103" w:firstLine="484"/>
        <w:rPr>
          <w:rFonts w:hint="eastAsia" w:ascii="宋体" w:hAnsi="宋体" w:eastAsia="宋体" w:cs="宋体"/>
          <w:color w:val="auto"/>
          <w:sz w:val="24"/>
          <w:szCs w:val="24"/>
        </w:rPr>
      </w:pPr>
      <w:r>
        <w:rPr>
          <w:rFonts w:hint="eastAsia" w:ascii="宋体" w:hAnsi="宋体" w:eastAsia="宋体" w:cs="宋体"/>
          <w:color w:val="auto"/>
          <w:spacing w:val="2"/>
          <w:sz w:val="24"/>
          <w:szCs w:val="24"/>
        </w:rPr>
        <w:t>5.1</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2"/>
          <w:sz w:val="24"/>
          <w:szCs w:val="24"/>
        </w:rPr>
        <w:t>提交首次响应文件截止之日前，采购人或者磋商小组可以对已发出的磋商文件进</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行必要的澄清或者修改，澄清或者修改的内容作为磋商文件的组成部分。澄清或者修改的</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1"/>
          <w:sz w:val="24"/>
          <w:szCs w:val="24"/>
        </w:rPr>
        <w:t>内容可能影响响应文件编制的，采购人在提交首次响应文件截止时间</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1"/>
          <w:sz w:val="24"/>
          <w:szCs w:val="24"/>
        </w:rPr>
        <w:t>5 日前，以书面形式</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通知所有获取磋商文件的供应商；不足</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1"/>
          <w:sz w:val="24"/>
          <w:szCs w:val="24"/>
        </w:rPr>
        <w:t>5 日的，采购人、采购代理机构应当顺延提交首次</w:t>
      </w:r>
      <w:r>
        <w:rPr>
          <w:rFonts w:hint="eastAsia" w:ascii="宋体" w:hAnsi="宋体" w:eastAsia="宋体" w:cs="宋体"/>
          <w:color w:val="auto"/>
          <w:spacing w:val="-3"/>
          <w:sz w:val="24"/>
          <w:szCs w:val="24"/>
        </w:rPr>
        <w:t>响应文件截止时间。</w:t>
      </w:r>
    </w:p>
    <w:p w14:paraId="0074BBEF">
      <w:pPr>
        <w:spacing w:before="183" w:line="360" w:lineRule="auto"/>
        <w:ind w:right="103" w:firstLine="485"/>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pacing w:val="-44"/>
          <w:sz w:val="24"/>
          <w:szCs w:val="24"/>
        </w:rPr>
        <w:t xml:space="preserve"> </w:t>
      </w:r>
      <w:r>
        <w:rPr>
          <w:rFonts w:hint="eastAsia" w:ascii="宋体" w:hAnsi="宋体" w:eastAsia="宋体" w:cs="宋体"/>
          <w:color w:val="auto"/>
          <w:sz w:val="24"/>
          <w:szCs w:val="24"/>
        </w:rPr>
        <w:t>任何要求对磋商文件进行澄清的供应商均应在响应文件递交截止期</w:t>
      </w:r>
      <w:r>
        <w:rPr>
          <w:rFonts w:hint="eastAsia" w:ascii="宋体" w:hAnsi="宋体" w:eastAsia="宋体" w:cs="宋体"/>
          <w:color w:val="auto"/>
          <w:spacing w:val="-41"/>
          <w:sz w:val="24"/>
          <w:szCs w:val="24"/>
        </w:rPr>
        <w:t xml:space="preserve"> </w:t>
      </w:r>
      <w:r>
        <w:rPr>
          <w:rFonts w:hint="eastAsia" w:ascii="宋体" w:hAnsi="宋体" w:eastAsia="宋体" w:cs="宋体"/>
          <w:color w:val="auto"/>
          <w:sz w:val="24"/>
          <w:szCs w:val="24"/>
        </w:rPr>
        <w:t xml:space="preserve">3 日前以书面 </w:t>
      </w:r>
      <w:r>
        <w:rPr>
          <w:rFonts w:hint="eastAsia" w:ascii="宋体" w:hAnsi="宋体" w:eastAsia="宋体" w:cs="宋体"/>
          <w:color w:val="auto"/>
          <w:spacing w:val="1"/>
          <w:sz w:val="24"/>
          <w:szCs w:val="24"/>
        </w:rPr>
        <w:t>形式通知采购代理机构，采购代理机构对供应商所要求澄清的内容以书面形式予以答复。</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1"/>
          <w:sz w:val="24"/>
          <w:szCs w:val="24"/>
        </w:rPr>
        <w:t>供应商在规定的时间内未要求对磋商文件澄清或提出疑问的，将视其为无异议。对磋商文</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1"/>
          <w:sz w:val="24"/>
          <w:szCs w:val="24"/>
        </w:rPr>
        <w:t>件中描述有歧义或前后不一致的地方，磋商小组有权进行评判，但对同一条款的评判应适</w:t>
      </w:r>
      <w:r>
        <w:rPr>
          <w:rFonts w:hint="eastAsia" w:ascii="宋体" w:hAnsi="宋体" w:eastAsia="宋体" w:cs="宋体"/>
          <w:color w:val="auto"/>
          <w:spacing w:val="-2"/>
          <w:sz w:val="24"/>
          <w:szCs w:val="24"/>
        </w:rPr>
        <w:t>用于每个供应商。</w:t>
      </w:r>
    </w:p>
    <w:p w14:paraId="5C8F80DA">
      <w:pPr>
        <w:spacing w:before="184" w:line="360" w:lineRule="auto"/>
        <w:ind w:left="5" w:right="105" w:firstLine="480"/>
        <w:rPr>
          <w:rFonts w:hint="eastAsia" w:ascii="宋体" w:hAnsi="宋体" w:eastAsia="宋体" w:cs="宋体"/>
          <w:color w:val="auto"/>
          <w:sz w:val="24"/>
          <w:szCs w:val="24"/>
        </w:rPr>
      </w:pPr>
      <w:r>
        <w:rPr>
          <w:rFonts w:hint="eastAsia" w:ascii="宋体" w:hAnsi="宋体" w:eastAsia="宋体" w:cs="宋体"/>
          <w:color w:val="auto"/>
          <w:spacing w:val="2"/>
          <w:sz w:val="24"/>
          <w:szCs w:val="24"/>
        </w:rPr>
        <w:t>5.3</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2"/>
          <w:sz w:val="24"/>
          <w:szCs w:val="24"/>
        </w:rPr>
        <w:t>采购代理机构对磋商文件的修改将以书面形式发给所有磋商文件收受人，该修改</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书将构成磋商文件的一部分,对供应商有约束力。供应商在收到通知后应立即以</w:t>
      </w:r>
      <w:r>
        <w:rPr>
          <w:rFonts w:hint="eastAsia" w:ascii="宋体" w:hAnsi="宋体" w:eastAsia="宋体" w:cs="宋体"/>
          <w:color w:val="auto"/>
          <w:spacing w:val="-3"/>
          <w:sz w:val="24"/>
          <w:szCs w:val="24"/>
        </w:rPr>
        <w:t>电话、电子</w:t>
      </w:r>
      <w:r>
        <w:rPr>
          <w:rFonts w:hint="eastAsia" w:ascii="宋体" w:hAnsi="宋体" w:eastAsia="宋体" w:cs="宋体"/>
          <w:color w:val="auto"/>
          <w:spacing w:val="-2"/>
          <w:sz w:val="24"/>
          <w:szCs w:val="24"/>
        </w:rPr>
        <w:t>邮件或其他书面形式予以确认。</w:t>
      </w:r>
    </w:p>
    <w:p w14:paraId="08ACBA62">
      <w:pPr>
        <w:spacing w:before="184" w:line="468" w:lineRule="exact"/>
        <w:ind w:left="485"/>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5.4</w:t>
      </w:r>
      <w:r>
        <w:rPr>
          <w:rFonts w:hint="eastAsia" w:ascii="宋体" w:hAnsi="宋体" w:eastAsia="宋体" w:cs="宋体"/>
          <w:color w:val="auto"/>
          <w:spacing w:val="-41"/>
          <w:position w:val="17"/>
          <w:sz w:val="24"/>
          <w:szCs w:val="24"/>
        </w:rPr>
        <w:t xml:space="preserve"> </w:t>
      </w:r>
      <w:r>
        <w:rPr>
          <w:rFonts w:hint="eastAsia" w:ascii="宋体" w:hAnsi="宋体" w:eastAsia="宋体" w:cs="宋体"/>
          <w:color w:val="auto"/>
          <w:spacing w:val="2"/>
          <w:position w:val="17"/>
          <w:sz w:val="24"/>
          <w:szCs w:val="24"/>
        </w:rPr>
        <w:t>在磋商过程中，磋商文件如有实质性变动的，磋商小组应当以书面形式通知所有</w:t>
      </w:r>
    </w:p>
    <w:p w14:paraId="021DCC0E">
      <w:pPr>
        <w:spacing w:before="1" w:line="218" w:lineRule="auto"/>
        <w:ind w:left="2"/>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参加磋商的供应商。</w:t>
      </w:r>
    </w:p>
    <w:p w14:paraId="58EE88A4">
      <w:pPr>
        <w:spacing w:before="122" w:line="468" w:lineRule="exact"/>
        <w:ind w:left="485"/>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5.5</w:t>
      </w:r>
      <w:r>
        <w:rPr>
          <w:rFonts w:hint="eastAsia" w:ascii="宋体" w:hAnsi="宋体" w:eastAsia="宋体" w:cs="宋体"/>
          <w:color w:val="auto"/>
          <w:spacing w:val="-41"/>
          <w:position w:val="17"/>
          <w:sz w:val="24"/>
          <w:szCs w:val="24"/>
        </w:rPr>
        <w:t xml:space="preserve"> </w:t>
      </w:r>
      <w:r>
        <w:rPr>
          <w:rFonts w:hint="eastAsia" w:ascii="宋体" w:hAnsi="宋体" w:eastAsia="宋体" w:cs="宋体"/>
          <w:color w:val="auto"/>
          <w:spacing w:val="2"/>
          <w:position w:val="17"/>
          <w:sz w:val="24"/>
          <w:szCs w:val="24"/>
        </w:rPr>
        <w:t>采购人可以视采购具体情况，延长磋商文件提交截止时间和磋商时间，并将变更</w:t>
      </w:r>
    </w:p>
    <w:p w14:paraId="6FDD8BFE">
      <w:pPr>
        <w:spacing w:line="218" w:lineRule="auto"/>
        <w:ind w:left="12"/>
        <w:rPr>
          <w:rFonts w:hint="eastAsia" w:ascii="宋体" w:hAnsi="宋体" w:eastAsia="宋体" w:cs="宋体"/>
          <w:color w:val="auto"/>
          <w:sz w:val="24"/>
          <w:szCs w:val="24"/>
        </w:rPr>
      </w:pPr>
      <w:r>
        <w:rPr>
          <w:rFonts w:hint="eastAsia" w:ascii="宋体" w:hAnsi="宋体" w:eastAsia="宋体" w:cs="宋体"/>
          <w:color w:val="auto"/>
          <w:spacing w:val="-2"/>
          <w:sz w:val="24"/>
          <w:szCs w:val="24"/>
        </w:rPr>
        <w:t>时间书面通知所有磋商文件收受人。</w:t>
      </w:r>
    </w:p>
    <w:p w14:paraId="1D7CDEA7">
      <w:pPr>
        <w:spacing w:before="183" w:line="219" w:lineRule="auto"/>
        <w:ind w:left="482"/>
        <w:rPr>
          <w:rFonts w:hint="eastAsia" w:ascii="宋体" w:hAnsi="宋体" w:eastAsia="宋体" w:cs="宋体"/>
          <w:color w:val="auto"/>
          <w:sz w:val="24"/>
          <w:szCs w:val="24"/>
        </w:rPr>
      </w:pPr>
      <w:r>
        <w:rPr>
          <w:rFonts w:hint="eastAsia" w:ascii="宋体" w:hAnsi="宋体" w:eastAsia="宋体" w:cs="宋体"/>
          <w:color w:val="auto"/>
          <w:spacing w:val="-1"/>
          <w:sz w:val="24"/>
          <w:szCs w:val="24"/>
        </w:rPr>
        <w:t>6.竞争性磋商文件的解释权归采购人及采购代理机构。</w:t>
      </w:r>
    </w:p>
    <w:p w14:paraId="418F8834">
      <w:pPr>
        <w:pStyle w:val="10"/>
        <w:spacing w:line="260" w:lineRule="auto"/>
        <w:rPr>
          <w:rFonts w:hint="eastAsia" w:ascii="宋体" w:hAnsi="宋体" w:eastAsia="宋体" w:cs="宋体"/>
          <w:color w:val="auto"/>
        </w:rPr>
      </w:pPr>
    </w:p>
    <w:p w14:paraId="11AD93E9">
      <w:pPr>
        <w:spacing w:before="78" w:line="219" w:lineRule="auto"/>
        <w:ind w:left="3384"/>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三、磋商响应文件的编制</w:t>
      </w:r>
    </w:p>
    <w:p w14:paraId="0FEF9568">
      <w:pPr>
        <w:pStyle w:val="10"/>
        <w:spacing w:line="259" w:lineRule="auto"/>
        <w:rPr>
          <w:rFonts w:hint="eastAsia" w:ascii="宋体" w:hAnsi="宋体" w:eastAsia="宋体" w:cs="宋体"/>
          <w:color w:val="auto"/>
        </w:rPr>
      </w:pPr>
    </w:p>
    <w:p w14:paraId="5EA0B8F7">
      <w:pPr>
        <w:spacing w:before="79" w:line="219" w:lineRule="auto"/>
        <w:ind w:left="486"/>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7．编制要求</w:t>
      </w:r>
    </w:p>
    <w:p w14:paraId="3D740DAE">
      <w:pPr>
        <w:spacing w:before="182" w:line="219" w:lineRule="auto"/>
        <w:ind w:left="486"/>
        <w:rPr>
          <w:rFonts w:hint="eastAsia" w:ascii="宋体" w:hAnsi="宋体" w:eastAsia="宋体" w:cs="宋体"/>
          <w:color w:val="auto"/>
          <w:sz w:val="24"/>
          <w:szCs w:val="24"/>
        </w:rPr>
      </w:pPr>
      <w:r>
        <w:rPr>
          <w:rFonts w:hint="eastAsia" w:ascii="宋体" w:hAnsi="宋体" w:eastAsia="宋体" w:cs="宋体"/>
          <w:color w:val="auto"/>
          <w:spacing w:val="-1"/>
          <w:sz w:val="24"/>
          <w:szCs w:val="24"/>
        </w:rPr>
        <w:t>7.1 本项目采用电子化投标方式投标。</w:t>
      </w:r>
    </w:p>
    <w:p w14:paraId="30694ACB">
      <w:pPr>
        <w:spacing w:before="184" w:line="219" w:lineRule="auto"/>
        <w:ind w:left="486"/>
        <w:rPr>
          <w:rFonts w:hint="eastAsia" w:ascii="宋体" w:hAnsi="宋体" w:eastAsia="宋体" w:cs="宋体"/>
          <w:color w:val="auto"/>
          <w:sz w:val="24"/>
          <w:szCs w:val="24"/>
        </w:rPr>
      </w:pPr>
      <w:r>
        <w:rPr>
          <w:rFonts w:hint="eastAsia" w:ascii="宋体" w:hAnsi="宋体" w:eastAsia="宋体" w:cs="宋体"/>
          <w:color w:val="auto"/>
          <w:spacing w:val="-5"/>
          <w:sz w:val="24"/>
          <w:szCs w:val="24"/>
        </w:rPr>
        <w:t>7.2</w:t>
      </w:r>
      <w:r>
        <w:rPr>
          <w:rFonts w:hint="eastAsia" w:ascii="宋体" w:hAnsi="宋体" w:eastAsia="宋体" w:cs="宋体"/>
          <w:color w:val="auto"/>
          <w:spacing w:val="38"/>
          <w:sz w:val="24"/>
          <w:szCs w:val="24"/>
        </w:rPr>
        <w:t xml:space="preserve"> </w:t>
      </w:r>
      <w:r>
        <w:rPr>
          <w:rFonts w:hint="eastAsia" w:ascii="宋体" w:hAnsi="宋体" w:eastAsia="宋体" w:cs="宋体"/>
          <w:color w:val="auto"/>
          <w:spacing w:val="-5"/>
          <w:sz w:val="24"/>
          <w:szCs w:val="24"/>
        </w:rPr>
        <w:t>电子磋商文件下载</w:t>
      </w:r>
    </w:p>
    <w:p w14:paraId="08874F11">
      <w:pPr>
        <w:spacing w:before="183" w:line="360" w:lineRule="auto"/>
        <w:ind w:left="20" w:right="80" w:firstLine="460"/>
        <w:rPr>
          <w:rFonts w:hint="eastAsia" w:ascii="宋体" w:hAnsi="宋体" w:eastAsia="宋体" w:cs="宋体"/>
          <w:color w:val="auto"/>
          <w:sz w:val="24"/>
          <w:szCs w:val="24"/>
        </w:rPr>
      </w:pPr>
      <w:r>
        <w:rPr>
          <w:rFonts w:hint="eastAsia" w:ascii="宋体" w:hAnsi="宋体" w:eastAsia="宋体" w:cs="宋体"/>
          <w:color w:val="auto"/>
          <w:sz w:val="24"/>
          <w:szCs w:val="24"/>
        </w:rPr>
        <w:t>供应商登录全国公共资源交易平台（陕西省）网站[电子交易平</w:t>
      </w:r>
      <w:r>
        <w:rPr>
          <w:rFonts w:hint="eastAsia" w:ascii="宋体" w:hAnsi="宋体" w:eastAsia="宋体" w:cs="宋体"/>
          <w:color w:val="auto"/>
          <w:spacing w:val="-1"/>
          <w:sz w:val="24"/>
          <w:szCs w:val="24"/>
        </w:rPr>
        <w:t>台-企业端]后，在[我</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的项目]中点击“项目流程-交易文件下载</w:t>
      </w:r>
      <w:r>
        <w:rPr>
          <w:rFonts w:hint="eastAsia" w:ascii="宋体" w:hAnsi="宋体" w:eastAsia="宋体" w:cs="宋体"/>
          <w:color w:val="auto"/>
          <w:spacing w:val="-87"/>
          <w:sz w:val="24"/>
          <w:szCs w:val="24"/>
        </w:rPr>
        <w:t xml:space="preserve"> </w:t>
      </w:r>
      <w:r>
        <w:rPr>
          <w:rFonts w:hint="eastAsia" w:ascii="宋体" w:hAnsi="宋体" w:eastAsia="宋体" w:cs="宋体"/>
          <w:color w:val="auto"/>
          <w:spacing w:val="-2"/>
          <w:sz w:val="24"/>
          <w:szCs w:val="24"/>
        </w:rPr>
        <w:t>”下载电子磋商文件（*.SXSZF</w:t>
      </w:r>
      <w:r>
        <w:rPr>
          <w:rFonts w:hint="eastAsia" w:ascii="宋体" w:hAnsi="宋体" w:eastAsia="宋体" w:cs="宋体"/>
          <w:color w:val="auto"/>
          <w:spacing w:val="-17"/>
          <w:sz w:val="24"/>
          <w:szCs w:val="24"/>
        </w:rPr>
        <w:t>）；（</w:t>
      </w:r>
      <w:r>
        <w:rPr>
          <w:rFonts w:hint="eastAsia" w:ascii="宋体" w:hAnsi="宋体" w:eastAsia="宋体" w:cs="宋体"/>
          <w:color w:val="auto"/>
          <w:spacing w:val="-2"/>
          <w:sz w:val="24"/>
          <w:szCs w:val="24"/>
        </w:rPr>
        <w:t>未完成网上</w:t>
      </w:r>
    </w:p>
    <w:p w14:paraId="3470C712">
      <w:pPr>
        <w:spacing w:before="1" w:line="219" w:lineRule="auto"/>
        <w:ind w:left="3"/>
        <w:rPr>
          <w:rFonts w:hint="eastAsia" w:ascii="宋体" w:hAnsi="宋体" w:eastAsia="宋体" w:cs="宋体"/>
          <w:color w:val="auto"/>
          <w:sz w:val="24"/>
          <w:szCs w:val="24"/>
        </w:rPr>
      </w:pPr>
      <w:r>
        <w:rPr>
          <w:rFonts w:hint="eastAsia" w:ascii="宋体" w:hAnsi="宋体" w:eastAsia="宋体" w:cs="宋体"/>
          <w:color w:val="auto"/>
          <w:sz w:val="24"/>
          <w:szCs w:val="24"/>
        </w:rPr>
        <w:t>投标成功的或未在规定时间内在平台上下载</w:t>
      </w:r>
      <w:r>
        <w:rPr>
          <w:rFonts w:hint="eastAsia" w:ascii="宋体" w:hAnsi="宋体" w:eastAsia="宋体" w:cs="宋体"/>
          <w:color w:val="auto"/>
          <w:spacing w:val="-1"/>
          <w:sz w:val="24"/>
          <w:szCs w:val="24"/>
        </w:rPr>
        <w:t>文件的，无法完成后续流程）。</w:t>
      </w:r>
    </w:p>
    <w:p w14:paraId="4AE16EFF">
      <w:pPr>
        <w:spacing w:before="182" w:line="468" w:lineRule="exact"/>
        <w:ind w:left="480"/>
        <w:rPr>
          <w:rFonts w:hint="eastAsia" w:ascii="宋体" w:hAnsi="宋体" w:eastAsia="宋体" w:cs="宋体"/>
          <w:color w:val="auto"/>
          <w:sz w:val="24"/>
          <w:szCs w:val="24"/>
        </w:rPr>
      </w:pPr>
      <w:r>
        <w:rPr>
          <w:rFonts w:hint="eastAsia" w:ascii="宋体" w:hAnsi="宋体" w:eastAsia="宋体" w:cs="宋体"/>
          <w:color w:val="auto"/>
          <w:spacing w:val="-3"/>
          <w:position w:val="17"/>
          <w:sz w:val="24"/>
          <w:szCs w:val="24"/>
        </w:rPr>
        <w:t>注意：该项目如有变更文件，则应点击“项目流程&gt;答疑文件下载</w:t>
      </w:r>
      <w:r>
        <w:rPr>
          <w:rFonts w:hint="eastAsia" w:ascii="宋体" w:hAnsi="宋体" w:eastAsia="宋体" w:cs="宋体"/>
          <w:color w:val="auto"/>
          <w:spacing w:val="-86"/>
          <w:position w:val="17"/>
          <w:sz w:val="24"/>
          <w:szCs w:val="24"/>
        </w:rPr>
        <w:t xml:space="preserve"> </w:t>
      </w:r>
      <w:r>
        <w:rPr>
          <w:rFonts w:hint="eastAsia" w:ascii="宋体" w:hAnsi="宋体" w:eastAsia="宋体" w:cs="宋体"/>
          <w:color w:val="auto"/>
          <w:spacing w:val="-3"/>
          <w:position w:val="17"/>
          <w:sz w:val="24"/>
          <w:szCs w:val="24"/>
        </w:rPr>
        <w:t>”下载更新后的电子</w:t>
      </w:r>
    </w:p>
    <w:p w14:paraId="2449CA24">
      <w:pPr>
        <w:spacing w:before="1" w:line="219" w:lineRule="auto"/>
        <w:jc w:val="right"/>
        <w:rPr>
          <w:rFonts w:hint="eastAsia" w:ascii="宋体" w:hAnsi="宋体" w:eastAsia="宋体" w:cs="宋体"/>
          <w:color w:val="auto"/>
          <w:sz w:val="24"/>
          <w:szCs w:val="24"/>
        </w:rPr>
      </w:pPr>
      <w:r>
        <w:rPr>
          <w:rFonts w:hint="eastAsia" w:ascii="宋体" w:hAnsi="宋体" w:eastAsia="宋体" w:cs="宋体"/>
          <w:color w:val="auto"/>
          <w:spacing w:val="-4"/>
          <w:sz w:val="24"/>
          <w:szCs w:val="24"/>
        </w:rPr>
        <w:t>磋商文件（*.SXSCF</w:t>
      </w:r>
      <w:r>
        <w:rPr>
          <w:rFonts w:hint="eastAsia" w:ascii="宋体" w:hAnsi="宋体" w:eastAsia="宋体" w:cs="宋体"/>
          <w:color w:val="auto"/>
          <w:spacing w:val="-36"/>
          <w:sz w:val="24"/>
          <w:szCs w:val="24"/>
        </w:rPr>
        <w:t>），</w:t>
      </w:r>
      <w:r>
        <w:rPr>
          <w:rFonts w:hint="eastAsia" w:ascii="宋体" w:hAnsi="宋体" w:eastAsia="宋体" w:cs="宋体"/>
          <w:color w:val="auto"/>
          <w:spacing w:val="-4"/>
          <w:sz w:val="24"/>
          <w:szCs w:val="24"/>
        </w:rPr>
        <w:t>使用旧版电子磋商文件制作的电子磋商响应文件，系统将拒绝接收。</w:t>
      </w:r>
    </w:p>
    <w:p w14:paraId="42AE7DBC">
      <w:pPr>
        <w:spacing w:before="183" w:line="219" w:lineRule="auto"/>
        <w:ind w:left="486"/>
        <w:rPr>
          <w:rFonts w:hint="eastAsia" w:ascii="宋体" w:hAnsi="宋体" w:eastAsia="宋体" w:cs="宋体"/>
          <w:color w:val="auto"/>
          <w:sz w:val="24"/>
          <w:szCs w:val="24"/>
        </w:rPr>
      </w:pPr>
      <w:r>
        <w:rPr>
          <w:rFonts w:hint="eastAsia" w:ascii="宋体" w:hAnsi="宋体" w:eastAsia="宋体" w:cs="宋体"/>
          <w:color w:val="auto"/>
          <w:spacing w:val="-3"/>
          <w:sz w:val="24"/>
          <w:szCs w:val="24"/>
        </w:rPr>
        <w:t>7.3</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3"/>
          <w:sz w:val="24"/>
          <w:szCs w:val="24"/>
        </w:rPr>
        <w:t>电子磋商文件需要使用专用软件打开、浏览</w:t>
      </w:r>
    </w:p>
    <w:p w14:paraId="3363AEA3">
      <w:pPr>
        <w:spacing w:before="183" w:line="360" w:lineRule="auto"/>
        <w:ind w:left="2" w:right="77" w:firstLine="478"/>
        <w:rPr>
          <w:rFonts w:hint="eastAsia" w:ascii="宋体" w:hAnsi="宋体" w:eastAsia="宋体" w:cs="宋体"/>
          <w:color w:val="auto"/>
          <w:sz w:val="24"/>
          <w:szCs w:val="24"/>
        </w:rPr>
      </w:pPr>
      <w:r>
        <w:rPr>
          <w:rFonts w:hint="eastAsia" w:ascii="宋体" w:hAnsi="宋体" w:eastAsia="宋体" w:cs="宋体"/>
          <w:color w:val="auto"/>
          <w:spacing w:val="-2"/>
          <w:sz w:val="24"/>
          <w:szCs w:val="24"/>
        </w:rPr>
        <w:t>供应商登录全国公共资源交易平台（陕西省）网站[服务指南-下载专区]免费下载《陕</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西省公共资源交易平台政府采购电子标书制作工具》，并升级至最新版本，使用该客户端</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可以打开电子磋商文件。软件操作手册详见全国公共资源交易平台（陕西省）网站[服</w:t>
      </w:r>
      <w:r>
        <w:rPr>
          <w:rFonts w:hint="eastAsia" w:ascii="宋体" w:hAnsi="宋体" w:eastAsia="宋体" w:cs="宋体"/>
          <w:color w:val="auto"/>
          <w:spacing w:val="-3"/>
          <w:sz w:val="24"/>
          <w:szCs w:val="24"/>
        </w:rPr>
        <w:t>务指</w:t>
      </w:r>
    </w:p>
    <w:p w14:paraId="27BF8B25">
      <w:pPr>
        <w:spacing w:before="1" w:line="218" w:lineRule="auto"/>
        <w:ind w:left="3"/>
        <w:rPr>
          <w:rFonts w:hint="eastAsia" w:ascii="宋体" w:hAnsi="宋体" w:eastAsia="宋体" w:cs="宋体"/>
          <w:color w:val="auto"/>
          <w:sz w:val="24"/>
          <w:szCs w:val="24"/>
        </w:rPr>
      </w:pPr>
      <w:r>
        <w:rPr>
          <w:rFonts w:hint="eastAsia" w:ascii="宋体" w:hAnsi="宋体" w:eastAsia="宋体" w:cs="宋体"/>
          <w:color w:val="auto"/>
          <w:sz w:val="24"/>
          <w:szCs w:val="24"/>
        </w:rPr>
        <w:t>南-下载专区]中的《陕西省公共资源交易（政府采购类）</w:t>
      </w:r>
      <w:r>
        <w:rPr>
          <w:rFonts w:hint="eastAsia" w:ascii="宋体" w:hAnsi="宋体" w:eastAsia="宋体" w:cs="宋体"/>
          <w:color w:val="auto"/>
          <w:spacing w:val="-1"/>
          <w:sz w:val="24"/>
          <w:szCs w:val="24"/>
        </w:rPr>
        <w:t>投标文件制作软件操作手册》。</w:t>
      </w:r>
    </w:p>
    <w:p w14:paraId="0A3E41B5">
      <w:pPr>
        <w:spacing w:before="184" w:line="219" w:lineRule="auto"/>
        <w:ind w:left="486"/>
        <w:rPr>
          <w:rFonts w:hint="eastAsia" w:ascii="宋体" w:hAnsi="宋体" w:eastAsia="宋体" w:cs="宋体"/>
          <w:color w:val="auto"/>
          <w:sz w:val="24"/>
          <w:szCs w:val="24"/>
        </w:rPr>
      </w:pPr>
      <w:r>
        <w:rPr>
          <w:rFonts w:hint="eastAsia" w:ascii="宋体" w:hAnsi="宋体" w:eastAsia="宋体" w:cs="宋体"/>
          <w:color w:val="auto"/>
          <w:spacing w:val="-2"/>
          <w:sz w:val="24"/>
          <w:szCs w:val="24"/>
        </w:rPr>
        <w:t>7.4 制作电子磋商响应文件</w:t>
      </w:r>
    </w:p>
    <w:p w14:paraId="4A60946A">
      <w:pPr>
        <w:spacing w:before="183" w:line="360" w:lineRule="auto"/>
        <w:ind w:right="80" w:firstLine="508"/>
        <w:rPr>
          <w:rFonts w:hint="eastAsia" w:ascii="宋体" w:hAnsi="宋体" w:eastAsia="宋体" w:cs="宋体"/>
          <w:color w:val="auto"/>
          <w:sz w:val="24"/>
          <w:szCs w:val="24"/>
        </w:rPr>
      </w:pPr>
      <w:r>
        <w:rPr>
          <w:rFonts w:hint="eastAsia" w:ascii="宋体" w:hAnsi="宋体" w:eastAsia="宋体" w:cs="宋体"/>
          <w:color w:val="auto"/>
          <w:sz w:val="24"/>
          <w:szCs w:val="24"/>
        </w:rPr>
        <w:t>电子磋商响应文件同样需要使用上述“</w:t>
      </w:r>
      <w:r>
        <w:rPr>
          <w:rFonts w:hint="eastAsia" w:ascii="宋体" w:hAnsi="宋体" w:eastAsia="宋体" w:cs="宋体"/>
          <w:color w:val="auto"/>
          <w:spacing w:val="-91"/>
          <w:sz w:val="24"/>
          <w:szCs w:val="24"/>
        </w:rPr>
        <w:t xml:space="preserve"> </w:t>
      </w:r>
      <w:r>
        <w:rPr>
          <w:rFonts w:hint="eastAsia" w:ascii="宋体" w:hAnsi="宋体" w:eastAsia="宋体" w:cs="宋体"/>
          <w:color w:val="auto"/>
          <w:sz w:val="24"/>
          <w:szCs w:val="24"/>
        </w:rPr>
        <w:t>陕西</w:t>
      </w:r>
      <w:r>
        <w:rPr>
          <w:rFonts w:hint="eastAsia" w:ascii="宋体" w:hAnsi="宋体" w:eastAsia="宋体" w:cs="宋体"/>
          <w:color w:val="auto"/>
          <w:spacing w:val="-1"/>
          <w:sz w:val="24"/>
          <w:szCs w:val="24"/>
        </w:rPr>
        <w:t>省公共资源交易平台政府采购电子标书制</w:t>
      </w:r>
      <w:r>
        <w:rPr>
          <w:rFonts w:hint="eastAsia" w:ascii="宋体" w:hAnsi="宋体" w:eastAsia="宋体" w:cs="宋体"/>
          <w:color w:val="auto"/>
          <w:sz w:val="24"/>
          <w:szCs w:val="24"/>
        </w:rPr>
        <w:t xml:space="preserve"> 作工具</w:t>
      </w:r>
      <w:r>
        <w:rPr>
          <w:rFonts w:hint="eastAsia" w:ascii="宋体" w:hAnsi="宋体" w:eastAsia="宋体" w:cs="宋体"/>
          <w:color w:val="auto"/>
          <w:spacing w:val="-80"/>
          <w:sz w:val="24"/>
          <w:szCs w:val="24"/>
        </w:rPr>
        <w:t xml:space="preserve"> </w:t>
      </w:r>
      <w:r>
        <w:rPr>
          <w:rFonts w:hint="eastAsia" w:ascii="宋体" w:hAnsi="宋体" w:eastAsia="宋体" w:cs="宋体"/>
          <w:color w:val="auto"/>
          <w:sz w:val="24"/>
          <w:szCs w:val="24"/>
        </w:rPr>
        <w:t>”软件（升级至最新版本）进行编制，使用该客户端制作电子磋商响应文件，制作 扩展名为“.SXSTF</w:t>
      </w:r>
      <w:r>
        <w:rPr>
          <w:rFonts w:hint="eastAsia" w:ascii="宋体" w:hAnsi="宋体" w:eastAsia="宋体" w:cs="宋体"/>
          <w:color w:val="auto"/>
          <w:spacing w:val="-81"/>
          <w:sz w:val="24"/>
          <w:szCs w:val="24"/>
        </w:rPr>
        <w:t xml:space="preserve"> </w:t>
      </w:r>
      <w:r>
        <w:rPr>
          <w:rFonts w:hint="eastAsia" w:ascii="宋体" w:hAnsi="宋体" w:eastAsia="宋体" w:cs="宋体"/>
          <w:color w:val="auto"/>
          <w:sz w:val="24"/>
          <w:szCs w:val="24"/>
        </w:rPr>
        <w:t>”的电子磋商响应文件。在编制过程中，如有技术性问题，请先翻阅操</w:t>
      </w:r>
    </w:p>
    <w:p w14:paraId="4CA00C93">
      <w:pPr>
        <w:spacing w:line="219" w:lineRule="auto"/>
        <w:ind w:left="1"/>
        <w:rPr>
          <w:rFonts w:hint="eastAsia" w:ascii="宋体" w:hAnsi="宋体" w:eastAsia="宋体" w:cs="宋体"/>
          <w:color w:val="auto"/>
          <w:sz w:val="24"/>
          <w:szCs w:val="24"/>
        </w:rPr>
      </w:pPr>
      <w:r>
        <w:rPr>
          <w:rFonts w:hint="eastAsia" w:ascii="宋体" w:hAnsi="宋体" w:eastAsia="宋体" w:cs="宋体"/>
          <w:color w:val="auto"/>
          <w:sz w:val="24"/>
          <w:szCs w:val="24"/>
        </w:rPr>
        <w:t>作手册或致电软件开发商，技术支持热线：4009280095</w:t>
      </w:r>
      <w:r>
        <w:rPr>
          <w:rFonts w:hint="eastAsia" w:ascii="宋体" w:hAnsi="宋体" w:eastAsia="宋体" w:cs="宋体"/>
          <w:color w:val="auto"/>
          <w:spacing w:val="-1"/>
          <w:sz w:val="24"/>
          <w:szCs w:val="24"/>
        </w:rPr>
        <w:t>、4009980000。</w:t>
      </w:r>
    </w:p>
    <w:p w14:paraId="0B4D8E7E">
      <w:pPr>
        <w:spacing w:before="184" w:line="219" w:lineRule="auto"/>
        <w:ind w:left="486"/>
        <w:rPr>
          <w:rFonts w:hint="eastAsia" w:ascii="宋体" w:hAnsi="宋体" w:eastAsia="宋体" w:cs="宋体"/>
          <w:color w:val="auto"/>
          <w:sz w:val="24"/>
          <w:szCs w:val="24"/>
        </w:rPr>
      </w:pPr>
      <w:r>
        <w:rPr>
          <w:rFonts w:hint="eastAsia" w:ascii="宋体" w:hAnsi="宋体" w:eastAsia="宋体" w:cs="宋体"/>
          <w:color w:val="auto"/>
          <w:spacing w:val="-2"/>
          <w:sz w:val="24"/>
          <w:szCs w:val="24"/>
        </w:rPr>
        <w:t>7.5 递交电子磋商响应文件</w:t>
      </w:r>
    </w:p>
    <w:p w14:paraId="700FBE77">
      <w:pPr>
        <w:spacing w:before="183" w:line="360" w:lineRule="auto"/>
        <w:ind w:right="77" w:firstLine="509"/>
        <w:rPr>
          <w:rFonts w:hint="eastAsia" w:ascii="宋体" w:hAnsi="宋体" w:eastAsia="宋体" w:cs="宋体"/>
          <w:color w:val="auto"/>
          <w:sz w:val="24"/>
          <w:szCs w:val="24"/>
        </w:rPr>
      </w:pPr>
      <w:r>
        <w:rPr>
          <w:rFonts w:hint="eastAsia" w:ascii="宋体" w:hAnsi="宋体" w:eastAsia="宋体" w:cs="宋体"/>
          <w:color w:val="auto"/>
          <w:sz w:val="24"/>
          <w:szCs w:val="24"/>
        </w:rPr>
        <w:t>电子磋商响应文件可于提交磋商响应文件截止时间前任意时段登录全国公共资源交易</w:t>
      </w:r>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2"/>
          <w:sz w:val="24"/>
          <w:szCs w:val="24"/>
        </w:rPr>
        <w:t>平台（陕西省）网站[电子交易平台-企业端]进行提交，逾期系统将拒绝接收。提交时，供</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1"/>
          <w:sz w:val="24"/>
          <w:szCs w:val="24"/>
        </w:rPr>
        <w:t>应商应登录全国公共资源交易中心平台（陕西省</w:t>
      </w:r>
      <w:r>
        <w:rPr>
          <w:rFonts w:hint="eastAsia" w:ascii="宋体" w:hAnsi="宋体" w:eastAsia="宋体" w:cs="宋体"/>
          <w:color w:val="auto"/>
          <w:spacing w:val="5"/>
          <w:sz w:val="24"/>
          <w:szCs w:val="24"/>
        </w:rPr>
        <w:t>），</w:t>
      </w:r>
      <w:r>
        <w:rPr>
          <w:rFonts w:hint="eastAsia" w:ascii="宋体" w:hAnsi="宋体" w:eastAsia="宋体" w:cs="宋体"/>
          <w:color w:val="auto"/>
          <w:spacing w:val="1"/>
          <w:sz w:val="24"/>
          <w:szCs w:val="24"/>
        </w:rPr>
        <w:t>选择[“首页&gt;电子</w:t>
      </w:r>
      <w:r>
        <w:rPr>
          <w:rFonts w:hint="eastAsia" w:ascii="宋体" w:hAnsi="宋体" w:eastAsia="宋体" w:cs="宋体"/>
          <w:color w:val="auto"/>
          <w:sz w:val="24"/>
          <w:szCs w:val="24"/>
        </w:rPr>
        <w:t>交易平台&gt;企业端&gt; 我的项目</w:t>
      </w:r>
      <w:r>
        <w:rPr>
          <w:rFonts w:hint="eastAsia" w:ascii="宋体" w:hAnsi="宋体" w:eastAsia="宋体" w:cs="宋体"/>
          <w:color w:val="auto"/>
          <w:spacing w:val="-80"/>
          <w:sz w:val="24"/>
          <w:szCs w:val="24"/>
        </w:rPr>
        <w:t xml:space="preserve"> </w:t>
      </w:r>
      <w:r>
        <w:rPr>
          <w:rFonts w:hint="eastAsia" w:ascii="宋体" w:hAnsi="宋体" w:eastAsia="宋体" w:cs="宋体"/>
          <w:color w:val="auto"/>
          <w:sz w:val="24"/>
          <w:szCs w:val="24"/>
        </w:rPr>
        <w:t>”，点击[项目流程]，在打开的[项目管理]对话框中选择[上传响应文件]，上传</w:t>
      </w:r>
    </w:p>
    <w:p w14:paraId="2F224DFA">
      <w:pPr>
        <w:spacing w:line="218" w:lineRule="auto"/>
        <w:rPr>
          <w:rFonts w:hint="eastAsia" w:ascii="宋体" w:hAnsi="宋体" w:eastAsia="宋体" w:cs="宋体"/>
          <w:color w:val="auto"/>
          <w:sz w:val="24"/>
          <w:szCs w:val="24"/>
        </w:rPr>
      </w:pPr>
      <w:r>
        <w:rPr>
          <w:rFonts w:hint="eastAsia" w:ascii="宋体" w:hAnsi="宋体" w:eastAsia="宋体" w:cs="宋体"/>
          <w:color w:val="auto"/>
          <w:spacing w:val="-1"/>
          <w:sz w:val="24"/>
          <w:szCs w:val="24"/>
        </w:rPr>
        <w:t>加密的电子磋商响应文件（*.SXSTF</w:t>
      </w:r>
      <w:r>
        <w:rPr>
          <w:rFonts w:hint="eastAsia" w:ascii="宋体" w:hAnsi="宋体" w:eastAsia="宋体" w:cs="宋体"/>
          <w:color w:val="auto"/>
          <w:spacing w:val="12"/>
          <w:sz w:val="24"/>
          <w:szCs w:val="24"/>
        </w:rPr>
        <w:t>），</w:t>
      </w:r>
      <w:r>
        <w:rPr>
          <w:rFonts w:hint="eastAsia" w:ascii="宋体" w:hAnsi="宋体" w:eastAsia="宋体" w:cs="宋体"/>
          <w:color w:val="auto"/>
          <w:spacing w:val="-1"/>
          <w:sz w:val="24"/>
          <w:szCs w:val="24"/>
        </w:rPr>
        <w:t>上传成功后，电子化平台将予以记录。</w:t>
      </w:r>
    </w:p>
    <w:p w14:paraId="5E750318">
      <w:pPr>
        <w:spacing w:before="185" w:line="219" w:lineRule="auto"/>
        <w:ind w:left="486"/>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7.6</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文件的签署、递交及解密</w:t>
      </w:r>
    </w:p>
    <w:p w14:paraId="33D63B5B">
      <w:pPr>
        <w:spacing w:before="48" w:line="219" w:lineRule="auto"/>
        <w:ind w:left="488"/>
        <w:rPr>
          <w:rFonts w:hint="eastAsia" w:ascii="宋体" w:hAnsi="宋体" w:eastAsia="宋体" w:cs="宋体"/>
          <w:color w:val="auto"/>
          <w:sz w:val="24"/>
          <w:szCs w:val="24"/>
        </w:rPr>
      </w:pPr>
      <w:r>
        <w:rPr>
          <w:rFonts w:hint="eastAsia" w:ascii="宋体" w:hAnsi="宋体" w:eastAsia="宋体" w:cs="宋体"/>
          <w:color w:val="auto"/>
          <w:spacing w:val="-4"/>
          <w:sz w:val="24"/>
          <w:szCs w:val="24"/>
        </w:rPr>
        <w:t>7.6.1</w:t>
      </w:r>
      <w:r>
        <w:rPr>
          <w:rFonts w:hint="eastAsia" w:ascii="宋体" w:hAnsi="宋体" w:eastAsia="宋体" w:cs="宋体"/>
          <w:color w:val="auto"/>
          <w:spacing w:val="47"/>
          <w:sz w:val="24"/>
          <w:szCs w:val="24"/>
        </w:rPr>
        <w:t xml:space="preserve"> </w:t>
      </w:r>
      <w:r>
        <w:rPr>
          <w:rFonts w:hint="eastAsia" w:ascii="宋体" w:hAnsi="宋体" w:eastAsia="宋体" w:cs="宋体"/>
          <w:color w:val="auto"/>
          <w:spacing w:val="-4"/>
          <w:sz w:val="24"/>
          <w:szCs w:val="24"/>
        </w:rPr>
        <w:t>电子磋商响应文件的签署</w:t>
      </w:r>
    </w:p>
    <w:p w14:paraId="78FAF560">
      <w:pPr>
        <w:spacing w:before="182" w:line="219" w:lineRule="auto"/>
        <w:ind w:left="510"/>
        <w:rPr>
          <w:rFonts w:hint="eastAsia" w:ascii="宋体" w:hAnsi="宋体" w:eastAsia="宋体" w:cs="宋体"/>
          <w:color w:val="auto"/>
          <w:sz w:val="24"/>
          <w:szCs w:val="24"/>
        </w:rPr>
      </w:pPr>
      <w:r>
        <w:rPr>
          <w:rFonts w:hint="eastAsia" w:ascii="宋体" w:hAnsi="宋体" w:eastAsia="宋体" w:cs="宋体"/>
          <w:color w:val="auto"/>
          <w:spacing w:val="-1"/>
          <w:sz w:val="24"/>
          <w:szCs w:val="24"/>
        </w:rPr>
        <w:t>电子磋商响应文件须在文件签章规定处由法定代表人或授权代表签</w:t>
      </w:r>
      <w:r>
        <w:rPr>
          <w:rFonts w:hint="eastAsia" w:ascii="宋体" w:hAnsi="宋体" w:eastAsia="宋体" w:cs="宋体"/>
          <w:color w:val="auto"/>
          <w:spacing w:val="-2"/>
          <w:sz w:val="24"/>
          <w:szCs w:val="24"/>
        </w:rPr>
        <w:t>字或盖章。</w:t>
      </w:r>
    </w:p>
    <w:p w14:paraId="7F1BFFB4">
      <w:pPr>
        <w:spacing w:before="181" w:line="219" w:lineRule="auto"/>
        <w:ind w:left="488"/>
        <w:rPr>
          <w:rFonts w:hint="eastAsia" w:ascii="宋体" w:hAnsi="宋体" w:eastAsia="宋体" w:cs="宋体"/>
          <w:color w:val="auto"/>
          <w:sz w:val="24"/>
          <w:szCs w:val="24"/>
        </w:rPr>
      </w:pPr>
      <w:r>
        <w:rPr>
          <w:rFonts w:hint="eastAsia" w:ascii="宋体" w:hAnsi="宋体" w:eastAsia="宋体" w:cs="宋体"/>
          <w:color w:val="auto"/>
          <w:spacing w:val="-2"/>
          <w:sz w:val="24"/>
          <w:szCs w:val="24"/>
        </w:rPr>
        <w:t>7.6.2 文件的递交</w:t>
      </w:r>
    </w:p>
    <w:p w14:paraId="54EDB506">
      <w:pPr>
        <w:spacing w:before="183" w:line="359" w:lineRule="auto"/>
        <w:ind w:left="1" w:right="235" w:firstLine="509"/>
        <w:rPr>
          <w:rFonts w:hint="eastAsia" w:ascii="宋体" w:hAnsi="宋体" w:eastAsia="宋体" w:cs="宋体"/>
          <w:color w:val="auto"/>
          <w:sz w:val="24"/>
          <w:szCs w:val="24"/>
        </w:rPr>
      </w:pPr>
      <w:r>
        <w:rPr>
          <w:rFonts w:hint="eastAsia" w:ascii="宋体" w:hAnsi="宋体" w:eastAsia="宋体" w:cs="宋体"/>
          <w:color w:val="auto"/>
          <w:spacing w:val="-1"/>
          <w:sz w:val="24"/>
          <w:szCs w:val="24"/>
        </w:rPr>
        <w:t>电子磋商响应文件可于提交磋商响应文件截止时间前任意时段登录全国公共资源</w:t>
      </w:r>
      <w:r>
        <w:rPr>
          <w:rFonts w:hint="eastAsia" w:ascii="宋体" w:hAnsi="宋体" w:eastAsia="宋体" w:cs="宋体"/>
          <w:color w:val="auto"/>
          <w:spacing w:val="-2"/>
          <w:sz w:val="24"/>
          <w:szCs w:val="24"/>
        </w:rPr>
        <w:t>交易</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平台（陕西省）网站[电子交易平台-企业端]进行提交，逾期系统将拒绝接收。提交时，供</w:t>
      </w:r>
      <w:r>
        <w:rPr>
          <w:rFonts w:hint="eastAsia" w:ascii="宋体" w:hAnsi="宋体" w:eastAsia="宋体" w:cs="宋体"/>
          <w:color w:val="auto"/>
          <w:spacing w:val="2"/>
          <w:sz w:val="24"/>
          <w:szCs w:val="24"/>
        </w:rPr>
        <w:t xml:space="preserve"> </w:t>
      </w:r>
      <w:r>
        <w:rPr>
          <w:rFonts w:hint="eastAsia" w:ascii="宋体" w:hAnsi="宋体" w:eastAsia="宋体" w:cs="宋体"/>
          <w:color w:val="auto"/>
          <w:sz w:val="24"/>
          <w:szCs w:val="24"/>
        </w:rPr>
        <w:t>应商应登录全国公共资源交易中心平台（陕西省</w:t>
      </w:r>
      <w:r>
        <w:rPr>
          <w:rFonts w:hint="eastAsia" w:ascii="宋体" w:hAnsi="宋体" w:eastAsia="宋体" w:cs="宋体"/>
          <w:color w:val="auto"/>
          <w:spacing w:val="4"/>
          <w:sz w:val="24"/>
          <w:szCs w:val="24"/>
        </w:rPr>
        <w:t>），</w:t>
      </w:r>
      <w:r>
        <w:rPr>
          <w:rFonts w:hint="eastAsia" w:ascii="宋体" w:hAnsi="宋体" w:eastAsia="宋体" w:cs="宋体"/>
          <w:color w:val="auto"/>
          <w:spacing w:val="-1"/>
          <w:sz w:val="24"/>
          <w:szCs w:val="24"/>
        </w:rPr>
        <w:t>选择[“首页&gt;电子交易平台&gt;企业端&gt;</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我的项目</w:t>
      </w:r>
      <w:r>
        <w:rPr>
          <w:rFonts w:hint="eastAsia" w:ascii="宋体" w:hAnsi="宋体" w:eastAsia="宋体" w:cs="宋体"/>
          <w:color w:val="auto"/>
          <w:spacing w:val="-88"/>
          <w:sz w:val="24"/>
          <w:szCs w:val="24"/>
        </w:rPr>
        <w:t xml:space="preserve"> </w:t>
      </w:r>
      <w:r>
        <w:rPr>
          <w:rFonts w:hint="eastAsia" w:ascii="宋体" w:hAnsi="宋体" w:eastAsia="宋体" w:cs="宋体"/>
          <w:color w:val="auto"/>
          <w:spacing w:val="-1"/>
          <w:sz w:val="24"/>
          <w:szCs w:val="24"/>
        </w:rPr>
        <w:t>”，点击[项目流程]，在打开的[项目管理]对话框中选择[上传响应文件]，上传加密的电子磋商文件（*.SXSTF</w:t>
      </w:r>
      <w:r>
        <w:rPr>
          <w:rFonts w:hint="eastAsia" w:ascii="宋体" w:hAnsi="宋体" w:eastAsia="宋体" w:cs="宋体"/>
          <w:color w:val="auto"/>
          <w:spacing w:val="11"/>
          <w:sz w:val="24"/>
          <w:szCs w:val="24"/>
        </w:rPr>
        <w:t>），</w:t>
      </w:r>
      <w:r>
        <w:rPr>
          <w:rFonts w:hint="eastAsia" w:ascii="宋体" w:hAnsi="宋体" w:eastAsia="宋体" w:cs="宋体"/>
          <w:color w:val="auto"/>
          <w:spacing w:val="-1"/>
          <w:sz w:val="24"/>
          <w:szCs w:val="24"/>
        </w:rPr>
        <w:t>上传成功后，电子化平台将予以记录。</w:t>
      </w:r>
    </w:p>
    <w:p w14:paraId="10965320">
      <w:pPr>
        <w:spacing w:before="184" w:line="219" w:lineRule="auto"/>
        <w:ind w:left="368"/>
        <w:rPr>
          <w:rFonts w:hint="eastAsia" w:ascii="宋体" w:hAnsi="宋体" w:eastAsia="宋体" w:cs="宋体"/>
          <w:color w:val="auto"/>
          <w:sz w:val="24"/>
          <w:szCs w:val="24"/>
        </w:rPr>
      </w:pPr>
      <w:r>
        <w:rPr>
          <w:rFonts w:hint="eastAsia" w:ascii="宋体" w:hAnsi="宋体" w:eastAsia="宋体" w:cs="宋体"/>
          <w:color w:val="auto"/>
          <w:spacing w:val="-4"/>
          <w:sz w:val="24"/>
          <w:szCs w:val="24"/>
        </w:rPr>
        <w:t>7.6.3</w:t>
      </w:r>
      <w:r>
        <w:rPr>
          <w:rFonts w:hint="eastAsia" w:ascii="宋体" w:hAnsi="宋体" w:eastAsia="宋体" w:cs="宋体"/>
          <w:color w:val="auto"/>
          <w:spacing w:val="47"/>
          <w:sz w:val="24"/>
          <w:szCs w:val="24"/>
        </w:rPr>
        <w:t xml:space="preserve"> </w:t>
      </w:r>
      <w:r>
        <w:rPr>
          <w:rFonts w:hint="eastAsia" w:ascii="宋体" w:hAnsi="宋体" w:eastAsia="宋体" w:cs="宋体"/>
          <w:color w:val="auto"/>
          <w:spacing w:val="-4"/>
          <w:sz w:val="24"/>
          <w:szCs w:val="24"/>
        </w:rPr>
        <w:t>电子磋商响应文件的解密</w:t>
      </w:r>
    </w:p>
    <w:p w14:paraId="6A3DF960">
      <w:pPr>
        <w:spacing w:before="182" w:line="359" w:lineRule="auto"/>
        <w:ind w:left="5" w:right="234" w:firstLine="362"/>
        <w:jc w:val="both"/>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"7.6.3.1" </w:instrText>
      </w:r>
      <w:r>
        <w:rPr>
          <w:rFonts w:hint="eastAsia" w:ascii="宋体" w:hAnsi="宋体" w:eastAsia="宋体" w:cs="宋体"/>
          <w:color w:val="auto"/>
        </w:rPr>
        <w:fldChar w:fldCharType="separate"/>
      </w:r>
      <w:r>
        <w:rPr>
          <w:rFonts w:hint="eastAsia" w:ascii="宋体" w:hAnsi="宋体" w:eastAsia="宋体" w:cs="宋体"/>
          <w:color w:val="auto"/>
          <w:spacing w:val="-1"/>
          <w:sz w:val="24"/>
          <w:szCs w:val="24"/>
        </w:rPr>
        <w:t>7.6.3.1</w:t>
      </w:r>
      <w:r>
        <w:rPr>
          <w:rFonts w:hint="eastAsia" w:ascii="宋体" w:hAnsi="宋体" w:eastAsia="宋体" w:cs="宋体"/>
          <w:color w:val="auto"/>
          <w:spacing w:val="-1"/>
          <w:sz w:val="24"/>
          <w:szCs w:val="24"/>
        </w:rPr>
        <w:fldChar w:fldCharType="end"/>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本项目采用不见面开标系统：电子化投标方式投标，投标人须使用数字认证证</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书（CA</w:t>
      </w:r>
      <w:r>
        <w:rPr>
          <w:rFonts w:hint="eastAsia" w:ascii="宋体" w:hAnsi="宋体" w:eastAsia="宋体" w:cs="宋体"/>
          <w:color w:val="auto"/>
          <w:spacing w:val="-46"/>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锁）对磋商响应文件进行签章、递交及开标时签到、解密等相关招投标事宜，如因</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投标人自身原因未正确使用数字认证证书（CA</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锁）造成无法解密磋商响应文件，按无效投</w:t>
      </w:r>
    </w:p>
    <w:p w14:paraId="58D603DD">
      <w:pPr>
        <w:spacing w:before="1" w:line="219" w:lineRule="auto"/>
        <w:ind w:left="3"/>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标对待。</w:t>
      </w:r>
    </w:p>
    <w:p w14:paraId="79DBD81A">
      <w:pPr>
        <w:spacing w:before="180" w:line="219" w:lineRule="auto"/>
        <w:ind w:left="488"/>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"7.6.3.2"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rPr>
        <w:t>7.6.3.2</w:t>
      </w:r>
      <w:r>
        <w:rPr>
          <w:rFonts w:hint="eastAsia" w:ascii="宋体" w:hAnsi="宋体" w:eastAsia="宋体" w:cs="宋体"/>
          <w:color w:val="auto"/>
          <w:spacing w:val="-2"/>
          <w:sz w:val="24"/>
          <w:szCs w:val="24"/>
        </w:rPr>
        <w:fldChar w:fldCharType="end"/>
      </w:r>
      <w:r>
        <w:rPr>
          <w:rFonts w:hint="eastAsia" w:ascii="宋体" w:hAnsi="宋体" w:eastAsia="宋体" w:cs="宋体"/>
          <w:color w:val="auto"/>
          <w:spacing w:val="-29"/>
          <w:sz w:val="24"/>
          <w:szCs w:val="24"/>
        </w:rPr>
        <w:t xml:space="preserve"> </w:t>
      </w:r>
      <w:r>
        <w:rPr>
          <w:rFonts w:hint="eastAsia" w:ascii="宋体" w:hAnsi="宋体" w:eastAsia="宋体" w:cs="宋体"/>
          <w:color w:val="auto"/>
          <w:spacing w:val="-2"/>
          <w:sz w:val="24"/>
          <w:szCs w:val="24"/>
        </w:rPr>
        <w:t>不见面开标系统：打开登录页面网址点击右上角“登录</w:t>
      </w:r>
      <w:r>
        <w:rPr>
          <w:rFonts w:hint="eastAsia" w:ascii="宋体" w:hAnsi="宋体" w:eastAsia="宋体" w:cs="宋体"/>
          <w:color w:val="auto"/>
          <w:spacing w:val="-88"/>
          <w:sz w:val="24"/>
          <w:szCs w:val="24"/>
        </w:rPr>
        <w:t xml:space="preserve"> </w:t>
      </w:r>
      <w:r>
        <w:rPr>
          <w:rFonts w:hint="eastAsia" w:ascii="宋体" w:hAnsi="宋体" w:eastAsia="宋体" w:cs="宋体"/>
          <w:color w:val="auto"/>
          <w:spacing w:val="-2"/>
          <w:sz w:val="24"/>
          <w:szCs w:val="24"/>
        </w:rPr>
        <w:t>”，在左侧选择“投</w:t>
      </w:r>
    </w:p>
    <w:p w14:paraId="073747C6">
      <w:pPr>
        <w:spacing w:before="184" w:line="359" w:lineRule="auto"/>
        <w:ind w:left="3"/>
        <w:rPr>
          <w:rFonts w:hint="eastAsia" w:ascii="宋体" w:hAnsi="宋体" w:eastAsia="宋体" w:cs="宋体"/>
          <w:color w:val="auto"/>
          <w:sz w:val="24"/>
          <w:szCs w:val="24"/>
        </w:rPr>
      </w:pPr>
      <w:r>
        <w:rPr>
          <w:rFonts w:hint="eastAsia" w:ascii="宋体" w:hAnsi="宋体" w:eastAsia="宋体" w:cs="宋体"/>
          <w:color w:val="auto"/>
          <w:spacing w:val="-4"/>
          <w:sz w:val="24"/>
          <w:szCs w:val="24"/>
        </w:rPr>
        <w:t>标人</w:t>
      </w:r>
      <w:r>
        <w:rPr>
          <w:rFonts w:hint="eastAsia" w:ascii="宋体" w:hAnsi="宋体" w:eastAsia="宋体" w:cs="宋体"/>
          <w:color w:val="auto"/>
          <w:spacing w:val="-88"/>
          <w:sz w:val="24"/>
          <w:szCs w:val="24"/>
        </w:rPr>
        <w:t xml:space="preserve"> </w:t>
      </w:r>
      <w:r>
        <w:rPr>
          <w:rFonts w:hint="eastAsia" w:ascii="宋体" w:hAnsi="宋体" w:eastAsia="宋体" w:cs="宋体"/>
          <w:color w:val="auto"/>
          <w:spacing w:val="-4"/>
          <w:sz w:val="24"/>
          <w:szCs w:val="24"/>
        </w:rPr>
        <w:t>”身份，插入</w:t>
      </w:r>
      <w:r>
        <w:rPr>
          <w:rFonts w:hint="eastAsia" w:ascii="宋体" w:hAnsi="宋体" w:eastAsia="宋体" w:cs="宋体"/>
          <w:color w:val="auto"/>
          <w:spacing w:val="-53"/>
          <w:sz w:val="24"/>
          <w:szCs w:val="24"/>
        </w:rPr>
        <w:t xml:space="preserve"> </w:t>
      </w:r>
      <w:r>
        <w:rPr>
          <w:rFonts w:hint="eastAsia" w:ascii="宋体" w:hAnsi="宋体" w:eastAsia="宋体" w:cs="宋体"/>
          <w:color w:val="auto"/>
          <w:spacing w:val="-4"/>
          <w:sz w:val="24"/>
          <w:szCs w:val="24"/>
        </w:rPr>
        <w:t>CA</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4"/>
          <w:sz w:val="24"/>
          <w:szCs w:val="24"/>
        </w:rPr>
        <w:t>锁登录，输入密码后，点击“登录</w:t>
      </w:r>
      <w:r>
        <w:rPr>
          <w:rFonts w:hint="eastAsia" w:ascii="宋体" w:hAnsi="宋体" w:eastAsia="宋体" w:cs="宋体"/>
          <w:color w:val="auto"/>
          <w:spacing w:val="-88"/>
          <w:sz w:val="24"/>
          <w:szCs w:val="24"/>
        </w:rPr>
        <w:t xml:space="preserve"> </w:t>
      </w:r>
      <w:r>
        <w:rPr>
          <w:rFonts w:hint="eastAsia" w:ascii="宋体" w:hAnsi="宋体" w:eastAsia="宋体" w:cs="宋体"/>
          <w:color w:val="auto"/>
          <w:spacing w:val="-4"/>
          <w:sz w:val="24"/>
          <w:szCs w:val="24"/>
        </w:rPr>
        <w:t>”，投标人登录后可以看到当</w:t>
      </w:r>
      <w:r>
        <w:rPr>
          <w:rFonts w:hint="eastAsia" w:ascii="宋体" w:hAnsi="宋体" w:eastAsia="宋体" w:cs="宋体"/>
          <w:color w:val="auto"/>
          <w:spacing w:val="-5"/>
          <w:sz w:val="24"/>
          <w:szCs w:val="24"/>
        </w:rPr>
        <w:t>前投</w:t>
      </w:r>
      <w:r>
        <w:rPr>
          <w:rFonts w:hint="eastAsia" w:ascii="宋体" w:hAnsi="宋体" w:eastAsia="宋体" w:cs="宋体"/>
          <w:color w:val="auto"/>
          <w:sz w:val="24"/>
          <w:szCs w:val="24"/>
        </w:rPr>
        <w:t xml:space="preserve">   标人今日开标项目；选择要开标的项目，点击进入，首先阅读开标流程，点击“我已阅读</w:t>
      </w:r>
      <w:r>
        <w:rPr>
          <w:rFonts w:hint="eastAsia" w:ascii="宋体" w:hAnsi="宋体" w:eastAsia="宋体" w:cs="宋体"/>
          <w:color w:val="auto"/>
          <w:spacing w:val="-86"/>
          <w:sz w:val="24"/>
          <w:szCs w:val="24"/>
        </w:rPr>
        <w:t xml:space="preserve"> </w:t>
      </w:r>
      <w:r>
        <w:rPr>
          <w:rFonts w:hint="eastAsia" w:ascii="宋体" w:hAnsi="宋体" w:eastAsia="宋体" w:cs="宋体"/>
          <w:color w:val="auto"/>
          <w:sz w:val="24"/>
          <w:szCs w:val="24"/>
        </w:rPr>
        <w:t>”</w:t>
      </w:r>
      <w:r>
        <w:rPr>
          <w:rFonts w:hint="eastAsia" w:ascii="宋体" w:hAnsi="宋体" w:eastAsia="宋体" w:cs="宋体"/>
          <w:color w:val="auto"/>
          <w:spacing w:val="-2"/>
          <w:sz w:val="24"/>
          <w:szCs w:val="24"/>
        </w:rPr>
        <w:t>进入开标大厅，点击“取消</w:t>
      </w:r>
      <w:r>
        <w:rPr>
          <w:rFonts w:hint="eastAsia" w:ascii="宋体" w:hAnsi="宋体" w:eastAsia="宋体" w:cs="宋体"/>
          <w:color w:val="auto"/>
          <w:spacing w:val="-85"/>
          <w:sz w:val="24"/>
          <w:szCs w:val="24"/>
        </w:rPr>
        <w:t xml:space="preserve"> </w:t>
      </w:r>
      <w:r>
        <w:rPr>
          <w:rFonts w:hint="eastAsia" w:ascii="宋体" w:hAnsi="宋体" w:eastAsia="宋体" w:cs="宋体"/>
          <w:color w:val="auto"/>
          <w:spacing w:val="-2"/>
          <w:sz w:val="24"/>
          <w:szCs w:val="24"/>
        </w:rPr>
        <w:t>”返回项目列表页面。</w:t>
      </w:r>
    </w:p>
    <w:p w14:paraId="79C67E5B">
      <w:pPr>
        <w:spacing w:before="179" w:line="220" w:lineRule="auto"/>
        <w:ind w:left="488"/>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"7.6.3.3"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rPr>
        <w:t>7.6.3.3</w:t>
      </w:r>
      <w:r>
        <w:rPr>
          <w:rFonts w:hint="eastAsia" w:ascii="宋体" w:hAnsi="宋体" w:eastAsia="宋体" w:cs="宋体"/>
          <w:color w:val="auto"/>
          <w:spacing w:val="-3"/>
          <w:sz w:val="24"/>
          <w:szCs w:val="24"/>
        </w:rPr>
        <w:fldChar w:fldCharType="end"/>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3"/>
          <w:sz w:val="24"/>
          <w:szCs w:val="24"/>
        </w:rPr>
        <w:t>开标签到</w:t>
      </w:r>
    </w:p>
    <w:p w14:paraId="6698A693">
      <w:pPr>
        <w:spacing w:before="183" w:line="359" w:lineRule="auto"/>
        <w:ind w:left="6" w:right="235" w:firstLine="359"/>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投标人等待开标时需要签到，等候开标。投标截止时间后不能签到，供</w:t>
      </w:r>
      <w:r>
        <w:rPr>
          <w:rFonts w:hint="eastAsia" w:ascii="宋体" w:hAnsi="宋体" w:eastAsia="宋体" w:cs="宋体"/>
          <w:color w:val="auto"/>
          <w:spacing w:val="-3"/>
          <w:sz w:val="24"/>
          <w:szCs w:val="24"/>
        </w:rPr>
        <w:t>应商须提前登录</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不见面开标大厅签到，点击页面上“签到</w:t>
      </w:r>
      <w:r>
        <w:rPr>
          <w:rFonts w:hint="eastAsia" w:ascii="宋体" w:hAnsi="宋体" w:eastAsia="宋体" w:cs="宋体"/>
          <w:color w:val="auto"/>
          <w:spacing w:val="-84"/>
          <w:sz w:val="24"/>
          <w:szCs w:val="24"/>
        </w:rPr>
        <w:t xml:space="preserve"> </w:t>
      </w:r>
      <w:r>
        <w:rPr>
          <w:rFonts w:hint="eastAsia" w:ascii="宋体" w:hAnsi="宋体" w:eastAsia="宋体" w:cs="宋体"/>
          <w:color w:val="auto"/>
          <w:spacing w:val="-1"/>
          <w:sz w:val="24"/>
          <w:szCs w:val="24"/>
        </w:rPr>
        <w:t>”按钮进行签到。签到成功之后，按钮灰化，无需再次签到，同时第一个座位图右下角出现绿色√。</w:t>
      </w:r>
    </w:p>
    <w:p w14:paraId="430847AE">
      <w:pPr>
        <w:spacing w:before="182" w:line="468" w:lineRule="exact"/>
        <w:ind w:left="488"/>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"7.6.3.4" </w:instrText>
      </w:r>
      <w:r>
        <w:rPr>
          <w:rFonts w:hint="eastAsia" w:ascii="宋体" w:hAnsi="宋体" w:eastAsia="宋体" w:cs="宋体"/>
          <w:color w:val="auto"/>
        </w:rPr>
        <w:fldChar w:fldCharType="separate"/>
      </w:r>
      <w:r>
        <w:rPr>
          <w:rFonts w:hint="eastAsia" w:ascii="宋体" w:hAnsi="宋体" w:eastAsia="宋体" w:cs="宋体"/>
          <w:color w:val="auto"/>
          <w:spacing w:val="-1"/>
          <w:position w:val="17"/>
          <w:sz w:val="24"/>
          <w:szCs w:val="24"/>
        </w:rPr>
        <w:t>7.6.3.4</w:t>
      </w:r>
      <w:r>
        <w:rPr>
          <w:rFonts w:hint="eastAsia" w:ascii="宋体" w:hAnsi="宋体" w:eastAsia="宋体" w:cs="宋体"/>
          <w:color w:val="auto"/>
          <w:spacing w:val="-1"/>
          <w:position w:val="17"/>
          <w:sz w:val="24"/>
          <w:szCs w:val="24"/>
        </w:rPr>
        <w:fldChar w:fldCharType="end"/>
      </w:r>
      <w:r>
        <w:rPr>
          <w:rFonts w:hint="eastAsia" w:ascii="宋体" w:hAnsi="宋体" w:eastAsia="宋体" w:cs="宋体"/>
          <w:color w:val="auto"/>
          <w:spacing w:val="-36"/>
          <w:position w:val="17"/>
          <w:sz w:val="24"/>
          <w:szCs w:val="24"/>
        </w:rPr>
        <w:t xml:space="preserve"> </w:t>
      </w:r>
      <w:r>
        <w:rPr>
          <w:rFonts w:hint="eastAsia" w:ascii="宋体" w:hAnsi="宋体" w:eastAsia="宋体" w:cs="宋体"/>
          <w:color w:val="auto"/>
          <w:spacing w:val="-1"/>
          <w:position w:val="17"/>
          <w:sz w:val="24"/>
          <w:szCs w:val="24"/>
        </w:rPr>
        <w:t>开标时，供应商须使用电子投标文件加密时所用的数字认证证书（CA 锁）在</w:t>
      </w:r>
    </w:p>
    <w:p w14:paraId="1625126E">
      <w:pPr>
        <w:spacing w:line="219" w:lineRule="auto"/>
        <w:ind w:left="42"/>
        <w:rPr>
          <w:rFonts w:hint="eastAsia" w:ascii="宋体" w:hAnsi="宋体" w:eastAsia="宋体" w:cs="宋体"/>
          <w:color w:val="auto"/>
          <w:sz w:val="24"/>
          <w:szCs w:val="24"/>
        </w:rPr>
      </w:pPr>
      <w:r>
        <w:rPr>
          <w:rFonts w:hint="eastAsia" w:ascii="宋体" w:hAnsi="宋体" w:eastAsia="宋体" w:cs="宋体"/>
          <w:color w:val="auto"/>
          <w:spacing w:val="-3"/>
          <w:sz w:val="24"/>
          <w:szCs w:val="24"/>
        </w:rPr>
        <w:t>自备电脑上自行远程解密电子投标文件。</w:t>
      </w:r>
    </w:p>
    <w:p w14:paraId="412775DA">
      <w:pPr>
        <w:spacing w:before="183" w:line="220" w:lineRule="auto"/>
        <w:ind w:left="488"/>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"7.6.3.5"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7.6.3.5</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47"/>
          <w:sz w:val="24"/>
          <w:szCs w:val="24"/>
        </w:rPr>
        <w:t xml:space="preserve"> </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注意事项</w:t>
      </w:r>
    </w:p>
    <w:p w14:paraId="698602B7">
      <w:pPr>
        <w:spacing w:before="179" w:line="359" w:lineRule="auto"/>
        <w:ind w:left="4" w:right="154" w:firstLine="597"/>
        <w:rPr>
          <w:rFonts w:hint="eastAsia" w:ascii="宋体" w:hAnsi="宋体" w:eastAsia="宋体" w:cs="宋体"/>
          <w:color w:val="auto"/>
          <w:sz w:val="24"/>
          <w:szCs w:val="24"/>
        </w:rPr>
      </w:pPr>
      <w:r>
        <w:rPr>
          <w:rFonts w:hint="eastAsia" w:ascii="宋体" w:hAnsi="宋体" w:eastAsia="宋体" w:cs="宋体"/>
          <w:color w:val="auto"/>
          <w:spacing w:val="-3"/>
          <w:sz w:val="24"/>
          <w:szCs w:val="24"/>
        </w:rPr>
        <w:t xml:space="preserve">①为顺利实现不见面开标系统的远程交互，建议投标人配置的软硬件设施有：高配置 </w:t>
      </w:r>
      <w:r>
        <w:rPr>
          <w:rFonts w:hint="eastAsia" w:ascii="宋体" w:hAnsi="宋体" w:eastAsia="宋体" w:cs="宋体"/>
          <w:color w:val="auto"/>
          <w:spacing w:val="-5"/>
          <w:sz w:val="24"/>
          <w:szCs w:val="24"/>
        </w:rPr>
        <w:t>电脑、高速稳定的网络、电源（不间断）、CA</w:t>
      </w:r>
      <w:r>
        <w:rPr>
          <w:rFonts w:hint="eastAsia" w:ascii="宋体" w:hAnsi="宋体" w:eastAsia="宋体" w:cs="宋体"/>
          <w:color w:val="auto"/>
          <w:spacing w:val="-37"/>
          <w:sz w:val="24"/>
          <w:szCs w:val="24"/>
        </w:rPr>
        <w:t xml:space="preserve"> </w:t>
      </w:r>
      <w:r>
        <w:rPr>
          <w:rFonts w:hint="eastAsia" w:ascii="宋体" w:hAnsi="宋体" w:eastAsia="宋体" w:cs="宋体"/>
          <w:color w:val="auto"/>
          <w:spacing w:val="-5"/>
          <w:sz w:val="24"/>
          <w:szCs w:val="24"/>
        </w:rPr>
        <w:t>锁、音视频设备（话筒、耳麦、高清摄像头、</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音响</w:t>
      </w:r>
      <w:r>
        <w:rPr>
          <w:rFonts w:hint="eastAsia" w:ascii="宋体" w:hAnsi="宋体" w:eastAsia="宋体" w:cs="宋体"/>
          <w:color w:val="auto"/>
          <w:spacing w:val="6"/>
          <w:sz w:val="24"/>
          <w:szCs w:val="24"/>
        </w:rPr>
        <w:t>），</w:t>
      </w:r>
      <w:r>
        <w:rPr>
          <w:rFonts w:hint="eastAsia" w:ascii="宋体" w:hAnsi="宋体" w:eastAsia="宋体" w:cs="宋体"/>
          <w:color w:val="auto"/>
          <w:spacing w:val="-2"/>
          <w:sz w:val="24"/>
          <w:szCs w:val="24"/>
        </w:rPr>
        <w:t>浏览器要求使用</w:t>
      </w:r>
      <w:r>
        <w:rPr>
          <w:rFonts w:hint="eastAsia" w:ascii="宋体" w:hAnsi="宋体" w:eastAsia="宋体" w:cs="宋体"/>
          <w:color w:val="auto"/>
          <w:spacing w:val="-37"/>
          <w:sz w:val="24"/>
          <w:szCs w:val="24"/>
        </w:rPr>
        <w:t xml:space="preserve"> </w:t>
      </w:r>
      <w:r>
        <w:rPr>
          <w:rFonts w:hint="eastAsia" w:ascii="宋体" w:hAnsi="宋体" w:eastAsia="宋体" w:cs="宋体"/>
          <w:color w:val="auto"/>
          <w:spacing w:val="-2"/>
          <w:sz w:val="24"/>
          <w:szCs w:val="24"/>
        </w:rPr>
        <w:t>IE11</w:t>
      </w:r>
      <w:r>
        <w:rPr>
          <w:rFonts w:hint="eastAsia" w:ascii="宋体" w:hAnsi="宋体" w:eastAsia="宋体" w:cs="宋体"/>
          <w:color w:val="auto"/>
          <w:spacing w:val="-47"/>
          <w:sz w:val="24"/>
          <w:szCs w:val="24"/>
        </w:rPr>
        <w:t xml:space="preserve"> </w:t>
      </w:r>
      <w:r>
        <w:rPr>
          <w:rFonts w:hint="eastAsia" w:ascii="宋体" w:hAnsi="宋体" w:eastAsia="宋体" w:cs="宋体"/>
          <w:color w:val="auto"/>
          <w:spacing w:val="-2"/>
          <w:sz w:val="24"/>
          <w:szCs w:val="24"/>
        </w:rPr>
        <w:t>浏览器，且电脑已经正确安装了陕西省公共资源</w:t>
      </w:r>
      <w:r>
        <w:rPr>
          <w:rFonts w:hint="eastAsia" w:ascii="宋体" w:hAnsi="宋体" w:eastAsia="宋体" w:cs="宋体"/>
          <w:color w:val="auto"/>
          <w:spacing w:val="-53"/>
          <w:sz w:val="24"/>
          <w:szCs w:val="24"/>
        </w:rPr>
        <w:t xml:space="preserve"> </w:t>
      </w:r>
      <w:r>
        <w:rPr>
          <w:rFonts w:hint="eastAsia" w:ascii="宋体" w:hAnsi="宋体" w:eastAsia="宋体" w:cs="宋体"/>
          <w:color w:val="auto"/>
          <w:spacing w:val="-2"/>
          <w:sz w:val="24"/>
          <w:szCs w:val="24"/>
        </w:rPr>
        <w:t>CA</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2"/>
          <w:sz w:val="24"/>
          <w:szCs w:val="24"/>
        </w:rPr>
        <w:t>驱</w:t>
      </w:r>
      <w:r>
        <w:rPr>
          <w:rFonts w:hint="eastAsia" w:ascii="宋体" w:hAnsi="宋体" w:eastAsia="宋体" w:cs="宋体"/>
          <w:color w:val="auto"/>
          <w:spacing w:val="-3"/>
          <w:sz w:val="24"/>
          <w:szCs w:val="24"/>
        </w:rPr>
        <w:t>动。</w:t>
      </w:r>
    </w:p>
    <w:p w14:paraId="4DB7FC62">
      <w:pPr>
        <w:spacing w:before="1" w:line="218" w:lineRule="auto"/>
        <w:ind w:left="5"/>
        <w:rPr>
          <w:rFonts w:hint="eastAsia" w:ascii="宋体" w:hAnsi="宋体" w:eastAsia="宋体" w:cs="宋体"/>
          <w:color w:val="auto"/>
          <w:sz w:val="24"/>
          <w:szCs w:val="24"/>
        </w:rPr>
      </w:pPr>
      <w:r>
        <w:rPr>
          <w:rFonts w:hint="eastAsia" w:ascii="宋体" w:hAnsi="宋体" w:eastAsia="宋体" w:cs="宋体"/>
          <w:color w:val="auto"/>
          <w:sz w:val="24"/>
          <w:szCs w:val="24"/>
        </w:rPr>
        <w:t>投标供应商需安装新点播放器，以便观看远程不见面开标</w:t>
      </w:r>
      <w:r>
        <w:rPr>
          <w:rFonts w:hint="eastAsia" w:ascii="宋体" w:hAnsi="宋体" w:eastAsia="宋体" w:cs="宋体"/>
          <w:color w:val="auto"/>
          <w:spacing w:val="-1"/>
          <w:sz w:val="24"/>
          <w:szCs w:val="24"/>
        </w:rPr>
        <w:t>直播画面（播放器下载链接为：</w:t>
      </w:r>
    </w:p>
    <w:p w14:paraId="6EEDD256">
      <w:pPr>
        <w:spacing w:before="183" w:line="468" w:lineRule="exact"/>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"https://download.bqpoint.com/download/downloaddetail.html?SourceFrom=Down&amp;Soft" </w:instrText>
      </w:r>
      <w:r>
        <w:rPr>
          <w:rFonts w:hint="eastAsia" w:ascii="宋体" w:hAnsi="宋体" w:eastAsia="宋体" w:cs="宋体"/>
          <w:color w:val="auto"/>
        </w:rPr>
        <w:fldChar w:fldCharType="separate"/>
      </w:r>
      <w:r>
        <w:rPr>
          <w:rFonts w:hint="eastAsia" w:ascii="宋体" w:hAnsi="宋体" w:eastAsia="宋体" w:cs="宋体"/>
          <w:color w:val="auto"/>
          <w:position w:val="18"/>
          <w:sz w:val="24"/>
          <w:szCs w:val="24"/>
        </w:rPr>
        <w:t>https://download.bqpoint.com/download/downloaddetail.html?SourceFrom=D</w:t>
      </w:r>
      <w:r>
        <w:rPr>
          <w:rFonts w:hint="eastAsia" w:ascii="宋体" w:hAnsi="宋体" w:eastAsia="宋体" w:cs="宋体"/>
          <w:color w:val="auto"/>
          <w:spacing w:val="-1"/>
          <w:position w:val="18"/>
          <w:sz w:val="24"/>
          <w:szCs w:val="24"/>
        </w:rPr>
        <w:t>own&amp;Soft</w:t>
      </w:r>
      <w:r>
        <w:rPr>
          <w:rFonts w:hint="eastAsia" w:ascii="宋体" w:hAnsi="宋体" w:eastAsia="宋体" w:cs="宋体"/>
          <w:color w:val="auto"/>
          <w:spacing w:val="-1"/>
          <w:position w:val="18"/>
          <w:sz w:val="24"/>
          <w:szCs w:val="24"/>
        </w:rPr>
        <w:fldChar w:fldCharType="end"/>
      </w:r>
    </w:p>
    <w:p w14:paraId="626961B7">
      <w:pPr>
        <w:spacing w:before="1" w:line="231" w:lineRule="auto"/>
        <w:rPr>
          <w:rFonts w:hint="eastAsia" w:ascii="宋体" w:hAnsi="宋体" w:eastAsia="宋体" w:cs="宋体"/>
          <w:color w:val="auto"/>
          <w:sz w:val="24"/>
          <w:szCs w:val="24"/>
        </w:rPr>
      </w:pPr>
      <w:r>
        <w:rPr>
          <w:rFonts w:hint="eastAsia" w:ascii="宋体" w:hAnsi="宋体" w:eastAsia="宋体" w:cs="宋体"/>
          <w:color w:val="auto"/>
          <w:sz w:val="24"/>
          <w:szCs w:val="24"/>
        </w:rPr>
        <w:t>Guid=55aa4e06-c384-4005-bcb9-48932d</w:t>
      </w:r>
      <w:r>
        <w:rPr>
          <w:rFonts w:hint="eastAsia" w:ascii="宋体" w:hAnsi="宋体" w:eastAsia="宋体" w:cs="宋体"/>
          <w:color w:val="auto"/>
          <w:spacing w:val="-1"/>
          <w:sz w:val="24"/>
          <w:szCs w:val="24"/>
        </w:rPr>
        <w:t>410fd4）。</w:t>
      </w:r>
    </w:p>
    <w:p w14:paraId="0C6AC4F2">
      <w:pPr>
        <w:spacing w:before="47" w:line="468" w:lineRule="exact"/>
        <w:ind w:right="24"/>
        <w:jc w:val="right"/>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②投标截止时间后不能签到，建议投标人在开标前半小时登录不见面开标</w:t>
      </w:r>
      <w:r>
        <w:rPr>
          <w:rFonts w:hint="eastAsia" w:ascii="宋体" w:hAnsi="宋体" w:eastAsia="宋体" w:cs="宋体"/>
          <w:color w:val="auto"/>
          <w:spacing w:val="-3"/>
          <w:position w:val="17"/>
          <w:sz w:val="24"/>
          <w:szCs w:val="24"/>
        </w:rPr>
        <w:t>大厅，并及</w:t>
      </w:r>
    </w:p>
    <w:p w14:paraId="1A848568">
      <w:pPr>
        <w:spacing w:line="220" w:lineRule="auto"/>
        <w:ind w:left="14"/>
        <w:rPr>
          <w:rFonts w:hint="eastAsia" w:ascii="宋体" w:hAnsi="宋体" w:eastAsia="宋体" w:cs="宋体"/>
          <w:color w:val="auto"/>
          <w:sz w:val="24"/>
          <w:szCs w:val="24"/>
        </w:rPr>
      </w:pPr>
      <w:r>
        <w:rPr>
          <w:rFonts w:hint="eastAsia" w:ascii="宋体" w:hAnsi="宋体" w:eastAsia="宋体" w:cs="宋体"/>
          <w:color w:val="auto"/>
          <w:spacing w:val="-8"/>
          <w:sz w:val="24"/>
          <w:szCs w:val="24"/>
        </w:rPr>
        <w:t>时</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8"/>
          <w:sz w:val="24"/>
          <w:szCs w:val="24"/>
        </w:rPr>
        <w:t>签</w:t>
      </w:r>
      <w:r>
        <w:rPr>
          <w:rFonts w:hint="eastAsia" w:ascii="宋体" w:hAnsi="宋体" w:eastAsia="宋体" w:cs="宋体"/>
          <w:color w:val="auto"/>
          <w:spacing w:val="-61"/>
          <w:sz w:val="24"/>
          <w:szCs w:val="24"/>
        </w:rPr>
        <w:t xml:space="preserve"> </w:t>
      </w:r>
      <w:r>
        <w:rPr>
          <w:rFonts w:hint="eastAsia" w:ascii="宋体" w:hAnsi="宋体" w:eastAsia="宋体" w:cs="宋体"/>
          <w:color w:val="auto"/>
          <w:spacing w:val="-8"/>
          <w:sz w:val="24"/>
          <w:szCs w:val="24"/>
        </w:rPr>
        <w:t>到（开</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8"/>
          <w:sz w:val="24"/>
          <w:szCs w:val="24"/>
        </w:rPr>
        <w:t>标</w:t>
      </w:r>
      <w:r>
        <w:rPr>
          <w:rFonts w:hint="eastAsia" w:ascii="宋体" w:hAnsi="宋体" w:eastAsia="宋体" w:cs="宋体"/>
          <w:color w:val="auto"/>
          <w:spacing w:val="-64"/>
          <w:sz w:val="24"/>
          <w:szCs w:val="24"/>
        </w:rPr>
        <w:t xml:space="preserve"> </w:t>
      </w:r>
      <w:r>
        <w:rPr>
          <w:rFonts w:hint="eastAsia" w:ascii="宋体" w:hAnsi="宋体" w:eastAsia="宋体" w:cs="宋体"/>
          <w:color w:val="auto"/>
          <w:spacing w:val="-8"/>
          <w:sz w:val="24"/>
          <w:szCs w:val="24"/>
        </w:rPr>
        <w:t>前 6</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8"/>
          <w:sz w:val="24"/>
          <w:szCs w:val="24"/>
        </w:rPr>
        <w:t>0 分</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8"/>
          <w:sz w:val="24"/>
          <w:szCs w:val="24"/>
        </w:rPr>
        <w:t>钟</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8"/>
          <w:sz w:val="24"/>
          <w:szCs w:val="24"/>
        </w:rPr>
        <w:t>即</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8"/>
          <w:sz w:val="24"/>
          <w:szCs w:val="24"/>
        </w:rPr>
        <w:t>可</w:t>
      </w:r>
      <w:r>
        <w:rPr>
          <w:rFonts w:hint="eastAsia" w:ascii="宋体" w:hAnsi="宋体" w:eastAsia="宋体" w:cs="宋体"/>
          <w:color w:val="auto"/>
          <w:spacing w:val="-67"/>
          <w:sz w:val="24"/>
          <w:szCs w:val="24"/>
        </w:rPr>
        <w:t xml:space="preserve"> </w:t>
      </w:r>
      <w:r>
        <w:rPr>
          <w:rFonts w:hint="eastAsia" w:ascii="宋体" w:hAnsi="宋体" w:eastAsia="宋体" w:cs="宋体"/>
          <w:color w:val="auto"/>
          <w:spacing w:val="-8"/>
          <w:sz w:val="24"/>
          <w:szCs w:val="24"/>
        </w:rPr>
        <w:t>签</w:t>
      </w:r>
      <w:r>
        <w:rPr>
          <w:rFonts w:hint="eastAsia" w:ascii="宋体" w:hAnsi="宋体" w:eastAsia="宋体" w:cs="宋体"/>
          <w:color w:val="auto"/>
          <w:spacing w:val="-64"/>
          <w:sz w:val="24"/>
          <w:szCs w:val="24"/>
        </w:rPr>
        <w:t xml:space="preserve"> </w:t>
      </w:r>
      <w:r>
        <w:rPr>
          <w:rFonts w:hint="eastAsia" w:ascii="宋体" w:hAnsi="宋体" w:eastAsia="宋体" w:cs="宋体"/>
          <w:color w:val="auto"/>
          <w:spacing w:val="-8"/>
          <w:sz w:val="24"/>
          <w:szCs w:val="24"/>
        </w:rPr>
        <w:t>到</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32"/>
          <w:sz w:val="24"/>
          <w:szCs w:val="24"/>
        </w:rPr>
        <w:t>）</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32"/>
          <w:sz w:val="24"/>
          <w:szCs w:val="24"/>
        </w:rPr>
        <w:t>，</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8"/>
          <w:sz w:val="24"/>
          <w:szCs w:val="24"/>
        </w:rPr>
        <w:t>遇</w:t>
      </w:r>
      <w:r>
        <w:rPr>
          <w:rFonts w:hint="eastAsia" w:ascii="宋体" w:hAnsi="宋体" w:eastAsia="宋体" w:cs="宋体"/>
          <w:color w:val="auto"/>
          <w:spacing w:val="-64"/>
          <w:sz w:val="24"/>
          <w:szCs w:val="24"/>
        </w:rPr>
        <w:t xml:space="preserve"> </w:t>
      </w:r>
      <w:r>
        <w:rPr>
          <w:rFonts w:hint="eastAsia" w:ascii="宋体" w:hAnsi="宋体" w:eastAsia="宋体" w:cs="宋体"/>
          <w:color w:val="auto"/>
          <w:spacing w:val="-8"/>
          <w:sz w:val="24"/>
          <w:szCs w:val="24"/>
        </w:rPr>
        <w:t>到</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8"/>
          <w:sz w:val="24"/>
          <w:szCs w:val="24"/>
        </w:rPr>
        <w:t>问</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8"/>
          <w:sz w:val="24"/>
          <w:szCs w:val="24"/>
        </w:rPr>
        <w:t>题</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8"/>
          <w:sz w:val="24"/>
          <w:szCs w:val="24"/>
        </w:rPr>
        <w:t>及</w:t>
      </w:r>
      <w:r>
        <w:rPr>
          <w:rFonts w:hint="eastAsia" w:ascii="宋体" w:hAnsi="宋体" w:eastAsia="宋体" w:cs="宋体"/>
          <w:color w:val="auto"/>
          <w:spacing w:val="-59"/>
          <w:sz w:val="24"/>
          <w:szCs w:val="24"/>
        </w:rPr>
        <w:t xml:space="preserve"> </w:t>
      </w:r>
      <w:r>
        <w:rPr>
          <w:rFonts w:hint="eastAsia" w:ascii="宋体" w:hAnsi="宋体" w:eastAsia="宋体" w:cs="宋体"/>
          <w:color w:val="auto"/>
          <w:spacing w:val="-8"/>
          <w:sz w:val="24"/>
          <w:szCs w:val="24"/>
        </w:rPr>
        <w:t>时</w:t>
      </w:r>
      <w:r>
        <w:rPr>
          <w:rFonts w:hint="eastAsia" w:ascii="宋体" w:hAnsi="宋体" w:eastAsia="宋体" w:cs="宋体"/>
          <w:color w:val="auto"/>
          <w:spacing w:val="-66"/>
          <w:sz w:val="24"/>
          <w:szCs w:val="24"/>
        </w:rPr>
        <w:t xml:space="preserve"> </w:t>
      </w:r>
      <w:r>
        <w:rPr>
          <w:rFonts w:hint="eastAsia" w:ascii="宋体" w:hAnsi="宋体" w:eastAsia="宋体" w:cs="宋体"/>
          <w:color w:val="auto"/>
          <w:spacing w:val="-8"/>
          <w:sz w:val="24"/>
          <w:szCs w:val="24"/>
        </w:rPr>
        <w:t>联</w:t>
      </w:r>
      <w:r>
        <w:rPr>
          <w:rFonts w:hint="eastAsia" w:ascii="宋体" w:hAnsi="宋体" w:eastAsia="宋体" w:cs="宋体"/>
          <w:color w:val="auto"/>
          <w:spacing w:val="-65"/>
          <w:sz w:val="24"/>
          <w:szCs w:val="24"/>
        </w:rPr>
        <w:t xml:space="preserve"> </w:t>
      </w:r>
      <w:r>
        <w:rPr>
          <w:rFonts w:hint="eastAsia" w:ascii="宋体" w:hAnsi="宋体" w:eastAsia="宋体" w:cs="宋体"/>
          <w:color w:val="auto"/>
          <w:spacing w:val="-8"/>
          <w:sz w:val="24"/>
          <w:szCs w:val="24"/>
        </w:rPr>
        <w:t>系</w:t>
      </w:r>
      <w:r>
        <w:rPr>
          <w:rFonts w:hint="eastAsia" w:ascii="宋体" w:hAnsi="宋体" w:eastAsia="宋体" w:cs="宋体"/>
          <w:color w:val="auto"/>
          <w:spacing w:val="-66"/>
          <w:sz w:val="24"/>
          <w:szCs w:val="24"/>
        </w:rPr>
        <w:t xml:space="preserve"> </w:t>
      </w:r>
      <w:r>
        <w:rPr>
          <w:rFonts w:hint="eastAsia" w:ascii="宋体" w:hAnsi="宋体" w:eastAsia="宋体" w:cs="宋体"/>
          <w:color w:val="auto"/>
          <w:spacing w:val="-8"/>
          <w:sz w:val="24"/>
          <w:szCs w:val="24"/>
        </w:rPr>
        <w:t>客</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8"/>
          <w:sz w:val="24"/>
          <w:szCs w:val="24"/>
        </w:rPr>
        <w:t>服 4</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9"/>
          <w:sz w:val="24"/>
          <w:szCs w:val="24"/>
        </w:rPr>
        <w:t>0</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9"/>
          <w:sz w:val="24"/>
          <w:szCs w:val="24"/>
        </w:rPr>
        <w:t>0</w:t>
      </w:r>
      <w:r>
        <w:rPr>
          <w:rFonts w:hint="eastAsia" w:ascii="宋体" w:hAnsi="宋体" w:eastAsia="宋体" w:cs="宋体"/>
          <w:color w:val="auto"/>
          <w:spacing w:val="-66"/>
          <w:sz w:val="24"/>
          <w:szCs w:val="24"/>
        </w:rPr>
        <w:t xml:space="preserve"> </w:t>
      </w:r>
      <w:r>
        <w:rPr>
          <w:rFonts w:hint="eastAsia" w:ascii="宋体" w:hAnsi="宋体" w:eastAsia="宋体" w:cs="宋体"/>
          <w:color w:val="auto"/>
          <w:spacing w:val="-9"/>
          <w:sz w:val="24"/>
          <w:szCs w:val="24"/>
        </w:rPr>
        <w:t>9</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9"/>
          <w:sz w:val="24"/>
          <w:szCs w:val="24"/>
        </w:rPr>
        <w:t>9</w:t>
      </w:r>
      <w:r>
        <w:rPr>
          <w:rFonts w:hint="eastAsia" w:ascii="宋体" w:hAnsi="宋体" w:eastAsia="宋体" w:cs="宋体"/>
          <w:color w:val="auto"/>
          <w:spacing w:val="-67"/>
          <w:sz w:val="24"/>
          <w:szCs w:val="24"/>
        </w:rPr>
        <w:t xml:space="preserve"> </w:t>
      </w:r>
      <w:r>
        <w:rPr>
          <w:rFonts w:hint="eastAsia" w:ascii="宋体" w:hAnsi="宋体" w:eastAsia="宋体" w:cs="宋体"/>
          <w:color w:val="auto"/>
          <w:spacing w:val="-9"/>
          <w:sz w:val="24"/>
          <w:szCs w:val="24"/>
        </w:rPr>
        <w:t>8</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9"/>
          <w:sz w:val="24"/>
          <w:szCs w:val="24"/>
        </w:rPr>
        <w:t>0</w:t>
      </w:r>
      <w:r>
        <w:rPr>
          <w:rFonts w:hint="eastAsia" w:ascii="宋体" w:hAnsi="宋体" w:eastAsia="宋体" w:cs="宋体"/>
          <w:color w:val="auto"/>
          <w:spacing w:val="-65"/>
          <w:sz w:val="24"/>
          <w:szCs w:val="24"/>
        </w:rPr>
        <w:t xml:space="preserve"> </w:t>
      </w:r>
      <w:r>
        <w:rPr>
          <w:rFonts w:hint="eastAsia" w:ascii="宋体" w:hAnsi="宋体" w:eastAsia="宋体" w:cs="宋体"/>
          <w:color w:val="auto"/>
          <w:spacing w:val="-9"/>
          <w:sz w:val="24"/>
          <w:szCs w:val="24"/>
        </w:rPr>
        <w:t>0</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9"/>
          <w:sz w:val="24"/>
          <w:szCs w:val="24"/>
        </w:rPr>
        <w:t>0</w:t>
      </w:r>
      <w:r>
        <w:rPr>
          <w:rFonts w:hint="eastAsia" w:ascii="宋体" w:hAnsi="宋体" w:eastAsia="宋体" w:cs="宋体"/>
          <w:color w:val="auto"/>
          <w:spacing w:val="-66"/>
          <w:sz w:val="24"/>
          <w:szCs w:val="24"/>
        </w:rPr>
        <w:t xml:space="preserve"> </w:t>
      </w:r>
      <w:r>
        <w:rPr>
          <w:rFonts w:hint="eastAsia" w:ascii="宋体" w:hAnsi="宋体" w:eastAsia="宋体" w:cs="宋体"/>
          <w:color w:val="auto"/>
          <w:spacing w:val="-9"/>
          <w:sz w:val="24"/>
          <w:szCs w:val="24"/>
        </w:rPr>
        <w:t>0。</w:t>
      </w:r>
    </w:p>
    <w:p w14:paraId="7C409CB3">
      <w:pPr>
        <w:spacing w:before="179" w:line="219" w:lineRule="auto"/>
        <w:ind w:right="17"/>
        <w:jc w:val="right"/>
        <w:rPr>
          <w:rFonts w:hint="eastAsia" w:ascii="宋体" w:hAnsi="宋体" w:eastAsia="宋体" w:cs="宋体"/>
          <w:color w:val="auto"/>
          <w:sz w:val="24"/>
          <w:szCs w:val="24"/>
        </w:rPr>
      </w:pP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不</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见</w:t>
      </w:r>
      <w:r>
        <w:rPr>
          <w:rFonts w:hint="eastAsia" w:ascii="宋体" w:hAnsi="宋体" w:eastAsia="宋体" w:cs="宋体"/>
          <w:color w:val="auto"/>
          <w:sz w:val="24"/>
          <w:szCs w:val="24"/>
        </w:rPr>
        <w:t xml:space="preserve">      </w:t>
      </w: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面</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开</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标</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大</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厅</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网</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址</w:t>
      </w:r>
      <w:r>
        <w:rPr>
          <w:rFonts w:hint="eastAsia" w:ascii="宋体" w:hAnsi="宋体" w:eastAsia="宋体" w:cs="宋体"/>
          <w:color w:val="auto"/>
          <w:spacing w:val="22"/>
          <w:sz w:val="24"/>
          <w:szCs w:val="24"/>
        </w:rPr>
        <w:t xml:space="preserve">     </w:t>
      </w: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w:t>
      </w:r>
    </w:p>
    <w:p w14:paraId="63C38279">
      <w:pPr>
        <w:spacing w:before="183" w:line="212" w:lineRule="auto"/>
        <w:jc w:val="right"/>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"http://122.112.246.33/BidOpening/bidopeninghallaction/hall/login），技术问题及时联系客服4009280095。" </w:instrText>
      </w:r>
      <w:r>
        <w:rPr>
          <w:rFonts w:hint="eastAsia" w:ascii="宋体" w:hAnsi="宋体" w:eastAsia="宋体" w:cs="宋体"/>
          <w:color w:val="auto"/>
        </w:rPr>
        <w:fldChar w:fldCharType="separate"/>
      </w: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http://219.145.206.209/BidOpeningHall/bidopeninghallaction/hall/log</w:t>
      </w:r>
      <w:r>
        <w:rPr>
          <w:rFonts w:hint="eastAsia" w:ascii="宋体" w:hAnsi="宋体" w:eastAsia="宋体" w:cs="宋体"/>
          <w:color w:val="auto"/>
          <w:spacing w:val="12"/>
          <w:sz w:val="24"/>
          <w:szCs w:val="24"/>
          <w14:textOutline w14:w="4358" w14:cap="sq" w14:cmpd="sng">
            <w14:solidFill>
              <w14:srgbClr w14:val="000000"/>
            </w14:solidFill>
            <w14:prstDash w14:val="solid"/>
            <w14:bevel/>
          </w14:textOutline>
        </w:rPr>
        <w:t>in。</w:t>
      </w:r>
      <w:r>
        <w:rPr>
          <w:rFonts w:hint="eastAsia" w:ascii="宋体" w:hAnsi="宋体" w:eastAsia="宋体" w:cs="宋体"/>
          <w:color w:val="auto"/>
          <w:spacing w:val="12"/>
          <w:sz w:val="24"/>
          <w:szCs w:val="24"/>
          <w14:textOutline w14:w="4358" w14:cap="sq" w14:cmpd="sng">
            <w14:solidFill>
              <w14:srgbClr w14:val="000000"/>
            </w14:solidFill>
            <w14:prstDash w14:val="solid"/>
            <w14:bevel/>
          </w14:textOutline>
        </w:rPr>
        <w:fldChar w:fldCharType="end"/>
      </w:r>
    </w:p>
    <w:p w14:paraId="516833AE">
      <w:pPr>
        <w:spacing w:before="190" w:line="359" w:lineRule="auto"/>
        <w:ind w:left="3" w:right="24" w:firstLine="477"/>
        <w:rPr>
          <w:rFonts w:hint="eastAsia" w:ascii="宋体" w:hAnsi="宋体" w:eastAsia="宋体" w:cs="宋体"/>
          <w:color w:val="auto"/>
          <w:sz w:val="24"/>
          <w:szCs w:val="24"/>
        </w:rPr>
      </w:pPr>
      <w:r>
        <w:rPr>
          <w:rFonts w:hint="eastAsia" w:ascii="宋体" w:hAnsi="宋体" w:eastAsia="宋体" w:cs="宋体"/>
          <w:color w:val="auto"/>
          <w:spacing w:val="-3"/>
          <w:sz w:val="24"/>
          <w:szCs w:val="24"/>
        </w:rPr>
        <w:t>③投标人需注意</w:t>
      </w:r>
      <w:r>
        <w:rPr>
          <w:rFonts w:hint="eastAsia" w:ascii="宋体" w:hAnsi="宋体" w:eastAsia="宋体" w:cs="宋体"/>
          <w:color w:val="auto"/>
          <w:spacing w:val="-53"/>
          <w:sz w:val="24"/>
          <w:szCs w:val="24"/>
        </w:rPr>
        <w:t xml:space="preserve"> </w:t>
      </w:r>
      <w:r>
        <w:rPr>
          <w:rFonts w:hint="eastAsia" w:ascii="宋体" w:hAnsi="宋体" w:eastAsia="宋体" w:cs="宋体"/>
          <w:color w:val="auto"/>
          <w:spacing w:val="-3"/>
          <w:sz w:val="24"/>
          <w:szCs w:val="24"/>
        </w:rPr>
        <w:t>CA</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3"/>
          <w:sz w:val="24"/>
          <w:szCs w:val="24"/>
        </w:rPr>
        <w:t>锁一定要提前准备好，并确保</w:t>
      </w:r>
      <w:r>
        <w:rPr>
          <w:rFonts w:hint="eastAsia" w:ascii="宋体" w:hAnsi="宋体" w:eastAsia="宋体" w:cs="宋体"/>
          <w:color w:val="auto"/>
          <w:spacing w:val="-53"/>
          <w:sz w:val="24"/>
          <w:szCs w:val="24"/>
        </w:rPr>
        <w:t xml:space="preserve"> </w:t>
      </w:r>
      <w:r>
        <w:rPr>
          <w:rFonts w:hint="eastAsia" w:ascii="宋体" w:hAnsi="宋体" w:eastAsia="宋体" w:cs="宋体"/>
          <w:color w:val="auto"/>
          <w:spacing w:val="-3"/>
          <w:sz w:val="24"/>
          <w:szCs w:val="24"/>
        </w:rPr>
        <w:t>CA</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3"/>
          <w:sz w:val="24"/>
          <w:szCs w:val="24"/>
        </w:rPr>
        <w:t>锁为制</w:t>
      </w:r>
      <w:r>
        <w:rPr>
          <w:rFonts w:hint="eastAsia" w:ascii="宋体" w:hAnsi="宋体" w:eastAsia="宋体" w:cs="宋体"/>
          <w:color w:val="auto"/>
          <w:spacing w:val="-4"/>
          <w:sz w:val="24"/>
          <w:szCs w:val="24"/>
        </w:rPr>
        <w:t>作投标文件的</w:t>
      </w:r>
      <w:r>
        <w:rPr>
          <w:rFonts w:hint="eastAsia" w:ascii="宋体" w:hAnsi="宋体" w:eastAsia="宋体" w:cs="宋体"/>
          <w:color w:val="auto"/>
          <w:spacing w:val="-53"/>
          <w:sz w:val="24"/>
          <w:szCs w:val="24"/>
        </w:rPr>
        <w:t xml:space="preserve"> </w:t>
      </w:r>
      <w:r>
        <w:rPr>
          <w:rFonts w:hint="eastAsia" w:ascii="宋体" w:hAnsi="宋体" w:eastAsia="宋体" w:cs="宋体"/>
          <w:color w:val="auto"/>
          <w:spacing w:val="-4"/>
          <w:sz w:val="24"/>
          <w:szCs w:val="24"/>
        </w:rPr>
        <w:t>CA</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4"/>
          <w:sz w:val="24"/>
          <w:szCs w:val="24"/>
        </w:rPr>
        <w:t>锁。不见</w:t>
      </w:r>
      <w:r>
        <w:rPr>
          <w:rFonts w:hint="eastAsia" w:ascii="宋体" w:hAnsi="宋体" w:eastAsia="宋体" w:cs="宋体"/>
          <w:color w:val="auto"/>
          <w:sz w:val="24"/>
          <w:szCs w:val="24"/>
        </w:rPr>
        <w:t xml:space="preserve"> 面开标方式因投标人不来开标现场，资格审查如需提供原件，</w:t>
      </w:r>
      <w:r>
        <w:rPr>
          <w:rFonts w:hint="eastAsia" w:ascii="宋体" w:hAnsi="宋体" w:eastAsia="宋体" w:cs="宋体"/>
          <w:color w:val="auto"/>
          <w:spacing w:val="-1"/>
          <w:sz w:val="24"/>
          <w:szCs w:val="24"/>
        </w:rPr>
        <w:t>请按磋商文件中要求，在响</w:t>
      </w:r>
    </w:p>
    <w:p w14:paraId="47602BA1">
      <w:pPr>
        <w:spacing w:line="218" w:lineRule="auto"/>
        <w:ind w:left="2"/>
        <w:rPr>
          <w:rFonts w:hint="eastAsia" w:ascii="宋体" w:hAnsi="宋体" w:eastAsia="宋体" w:cs="宋体"/>
          <w:color w:val="auto"/>
          <w:sz w:val="24"/>
          <w:szCs w:val="24"/>
        </w:rPr>
      </w:pPr>
      <w:r>
        <w:rPr>
          <w:rFonts w:hint="eastAsia" w:ascii="宋体" w:hAnsi="宋体" w:eastAsia="宋体" w:cs="宋体"/>
          <w:color w:val="auto"/>
          <w:spacing w:val="-1"/>
          <w:sz w:val="24"/>
          <w:szCs w:val="24"/>
        </w:rPr>
        <w:t>应文件中上传电子版。</w:t>
      </w:r>
    </w:p>
    <w:p w14:paraId="04F5B4E4">
      <w:pPr>
        <w:spacing w:before="184" w:line="217" w:lineRule="auto"/>
        <w:ind w:left="480"/>
        <w:rPr>
          <w:rFonts w:hint="eastAsia" w:ascii="宋体" w:hAnsi="宋体" w:eastAsia="宋体" w:cs="宋体"/>
          <w:color w:val="auto"/>
          <w:sz w:val="24"/>
          <w:szCs w:val="24"/>
        </w:rPr>
      </w:pPr>
      <w:r>
        <w:rPr>
          <w:rFonts w:hint="eastAsia" w:ascii="宋体" w:hAnsi="宋体" w:eastAsia="宋体" w:cs="宋体"/>
          <w:color w:val="auto"/>
          <w:spacing w:val="-1"/>
          <w:sz w:val="24"/>
          <w:szCs w:val="24"/>
        </w:rPr>
        <w:t>④及时关注右侧公告及互动栏目信息。</w:t>
      </w:r>
    </w:p>
    <w:p w14:paraId="74C73008">
      <w:pPr>
        <w:spacing w:before="186" w:line="466" w:lineRule="exact"/>
        <w:ind w:right="24"/>
        <w:jc w:val="right"/>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⑤开标时，供应商须使用电子投标文件加密时所用的数字认证证书（CA 锁）在自备电</w:t>
      </w:r>
    </w:p>
    <w:p w14:paraId="2117DEA7">
      <w:pPr>
        <w:spacing w:line="219" w:lineRule="auto"/>
        <w:ind w:left="1"/>
        <w:rPr>
          <w:rFonts w:hint="eastAsia" w:ascii="宋体" w:hAnsi="宋体" w:eastAsia="宋体" w:cs="宋体"/>
          <w:color w:val="auto"/>
          <w:sz w:val="24"/>
          <w:szCs w:val="24"/>
        </w:rPr>
      </w:pPr>
      <w:r>
        <w:rPr>
          <w:rFonts w:hint="eastAsia" w:ascii="宋体" w:hAnsi="宋体" w:eastAsia="宋体" w:cs="宋体"/>
          <w:color w:val="auto"/>
          <w:sz w:val="24"/>
          <w:szCs w:val="24"/>
        </w:rPr>
        <w:t>脑上自行远程解密电子投标文件，由电子交</w:t>
      </w:r>
      <w:r>
        <w:rPr>
          <w:rFonts w:hint="eastAsia" w:ascii="宋体" w:hAnsi="宋体" w:eastAsia="宋体" w:cs="宋体"/>
          <w:color w:val="auto"/>
          <w:spacing w:val="-1"/>
          <w:sz w:val="24"/>
          <w:szCs w:val="24"/>
        </w:rPr>
        <w:t>易系统进行自动唱标。</w:t>
      </w:r>
    </w:p>
    <w:p w14:paraId="286BD81D">
      <w:pPr>
        <w:spacing w:before="181" w:line="468" w:lineRule="exact"/>
        <w:ind w:left="480"/>
        <w:rPr>
          <w:rFonts w:hint="eastAsia" w:ascii="宋体" w:hAnsi="宋体" w:eastAsia="宋体" w:cs="宋体"/>
          <w:color w:val="auto"/>
          <w:sz w:val="24"/>
          <w:szCs w:val="24"/>
        </w:rPr>
      </w:pPr>
      <w:r>
        <w:rPr>
          <w:rFonts w:hint="eastAsia" w:ascii="宋体" w:hAnsi="宋体" w:eastAsia="宋体" w:cs="宋体"/>
          <w:color w:val="auto"/>
          <w:position w:val="17"/>
          <w:sz w:val="24"/>
          <w:szCs w:val="24"/>
        </w:rPr>
        <w:t>⑥供应商需在规定时间内完成标书解密。所有供应商解密完成后</w:t>
      </w:r>
      <w:r>
        <w:rPr>
          <w:rFonts w:hint="eastAsia" w:ascii="宋体" w:hAnsi="宋体" w:eastAsia="宋体" w:cs="宋体"/>
          <w:color w:val="auto"/>
          <w:spacing w:val="-1"/>
          <w:position w:val="17"/>
          <w:sz w:val="24"/>
          <w:szCs w:val="24"/>
        </w:rPr>
        <w:t>由开标人员将响应文</w:t>
      </w:r>
    </w:p>
    <w:p w14:paraId="04CEADD8">
      <w:pPr>
        <w:spacing w:line="219" w:lineRule="auto"/>
        <w:ind w:left="1"/>
        <w:rPr>
          <w:rFonts w:hint="eastAsia" w:ascii="宋体" w:hAnsi="宋体" w:eastAsia="宋体" w:cs="宋体"/>
          <w:color w:val="auto"/>
          <w:sz w:val="24"/>
          <w:szCs w:val="24"/>
        </w:rPr>
      </w:pPr>
      <w:r>
        <w:rPr>
          <w:rFonts w:hint="eastAsia" w:ascii="宋体" w:hAnsi="宋体" w:eastAsia="宋体" w:cs="宋体"/>
          <w:color w:val="auto"/>
          <w:spacing w:val="-1"/>
          <w:sz w:val="24"/>
          <w:szCs w:val="24"/>
        </w:rPr>
        <w:t>件导入不见面开标系统。</w:t>
      </w:r>
    </w:p>
    <w:p w14:paraId="4A4DB921">
      <w:pPr>
        <w:spacing w:before="183" w:line="465" w:lineRule="exact"/>
        <w:ind w:left="368"/>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"7.6.3.6" </w:instrText>
      </w:r>
      <w:r>
        <w:rPr>
          <w:rFonts w:hint="eastAsia" w:ascii="宋体" w:hAnsi="宋体" w:eastAsia="宋体" w:cs="宋体"/>
          <w:color w:val="auto"/>
        </w:rPr>
        <w:fldChar w:fldCharType="separate"/>
      </w:r>
      <w:r>
        <w:rPr>
          <w:rFonts w:hint="eastAsia" w:ascii="宋体" w:hAnsi="宋体" w:eastAsia="宋体" w:cs="宋体"/>
          <w:color w:val="auto"/>
          <w:spacing w:val="-1"/>
          <w:position w:val="17"/>
          <w:sz w:val="24"/>
          <w:szCs w:val="24"/>
        </w:rPr>
        <w:t>7.6.3.6</w:t>
      </w:r>
      <w:r>
        <w:rPr>
          <w:rFonts w:hint="eastAsia" w:ascii="宋体" w:hAnsi="宋体" w:eastAsia="宋体" w:cs="宋体"/>
          <w:color w:val="auto"/>
          <w:spacing w:val="-1"/>
          <w:position w:val="17"/>
          <w:sz w:val="24"/>
          <w:szCs w:val="24"/>
        </w:rPr>
        <w:fldChar w:fldCharType="end"/>
      </w:r>
      <w:r>
        <w:rPr>
          <w:rFonts w:hint="eastAsia" w:ascii="宋体" w:hAnsi="宋体" w:eastAsia="宋体" w:cs="宋体"/>
          <w:color w:val="auto"/>
          <w:spacing w:val="-41"/>
          <w:position w:val="17"/>
          <w:sz w:val="24"/>
          <w:szCs w:val="24"/>
        </w:rPr>
        <w:t xml:space="preserve"> </w:t>
      </w:r>
      <w:r>
        <w:rPr>
          <w:rFonts w:hint="eastAsia" w:ascii="宋体" w:hAnsi="宋体" w:eastAsia="宋体" w:cs="宋体"/>
          <w:color w:val="auto"/>
          <w:spacing w:val="-1"/>
          <w:position w:val="17"/>
          <w:sz w:val="24"/>
          <w:szCs w:val="24"/>
        </w:rPr>
        <w:t>在开标环节出现下列情况之一的，其磋商响应文件视为无效文件：</w:t>
      </w:r>
    </w:p>
    <w:p w14:paraId="18156566">
      <w:pPr>
        <w:spacing w:before="1" w:line="218" w:lineRule="auto"/>
        <w:ind w:left="614"/>
        <w:rPr>
          <w:rFonts w:hint="eastAsia" w:ascii="宋体" w:hAnsi="宋体" w:eastAsia="宋体" w:cs="宋体"/>
          <w:color w:val="auto"/>
          <w:sz w:val="24"/>
          <w:szCs w:val="24"/>
        </w:rPr>
      </w:pPr>
      <w:r>
        <w:rPr>
          <w:rFonts w:hint="eastAsia" w:ascii="宋体" w:hAnsi="宋体" w:eastAsia="宋体" w:cs="宋体"/>
          <w:color w:val="auto"/>
          <w:spacing w:val="-1"/>
          <w:sz w:val="24"/>
          <w:szCs w:val="24"/>
        </w:rPr>
        <w:t>（1）供应商拒绝对电子磋商响应文件进行解密的；</w:t>
      </w:r>
    </w:p>
    <w:p w14:paraId="75C0EBCB">
      <w:pPr>
        <w:spacing w:before="184" w:line="359" w:lineRule="auto"/>
        <w:ind w:right="24" w:firstLine="613"/>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（2）因供应商自身原因（如未带</w:t>
      </w:r>
      <w:r>
        <w:rPr>
          <w:rFonts w:hint="eastAsia" w:ascii="宋体" w:hAnsi="宋体" w:eastAsia="宋体" w:cs="宋体"/>
          <w:color w:val="auto"/>
          <w:spacing w:val="-52"/>
          <w:sz w:val="24"/>
          <w:szCs w:val="24"/>
        </w:rPr>
        <w:t xml:space="preserve"> </w:t>
      </w:r>
      <w:r>
        <w:rPr>
          <w:rFonts w:hint="eastAsia" w:ascii="宋体" w:hAnsi="宋体" w:eastAsia="宋体" w:cs="宋体"/>
          <w:color w:val="auto"/>
          <w:spacing w:val="-1"/>
          <w:sz w:val="24"/>
          <w:szCs w:val="24"/>
        </w:rPr>
        <w:t>CA</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1"/>
          <w:sz w:val="24"/>
          <w:szCs w:val="24"/>
        </w:rPr>
        <w:t>锁或所</w:t>
      </w:r>
      <w:r>
        <w:rPr>
          <w:rFonts w:hint="eastAsia" w:ascii="宋体" w:hAnsi="宋体" w:eastAsia="宋体" w:cs="宋体"/>
          <w:color w:val="auto"/>
          <w:spacing w:val="-2"/>
          <w:sz w:val="24"/>
          <w:szCs w:val="24"/>
        </w:rPr>
        <w:t>带</w:t>
      </w:r>
      <w:r>
        <w:rPr>
          <w:rFonts w:hint="eastAsia" w:ascii="宋体" w:hAnsi="宋体" w:eastAsia="宋体" w:cs="宋体"/>
          <w:color w:val="auto"/>
          <w:spacing w:val="-53"/>
          <w:sz w:val="24"/>
          <w:szCs w:val="24"/>
        </w:rPr>
        <w:t xml:space="preserve"> </w:t>
      </w:r>
      <w:r>
        <w:rPr>
          <w:rFonts w:hint="eastAsia" w:ascii="宋体" w:hAnsi="宋体" w:eastAsia="宋体" w:cs="宋体"/>
          <w:color w:val="auto"/>
          <w:spacing w:val="-2"/>
          <w:sz w:val="24"/>
          <w:szCs w:val="24"/>
        </w:rPr>
        <w:t>CA</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2"/>
          <w:sz w:val="24"/>
          <w:szCs w:val="24"/>
        </w:rPr>
        <w:t>锁与制作电子磋商响应文件使用的</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CA</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1"/>
          <w:sz w:val="24"/>
          <w:szCs w:val="24"/>
        </w:rPr>
        <w:t>锁不一致或沿用旧版采购文件编制磋商响应文件等情形</w:t>
      </w:r>
      <w:r>
        <w:rPr>
          <w:rFonts w:hint="eastAsia" w:ascii="宋体" w:hAnsi="宋体" w:eastAsia="宋体" w:cs="宋体"/>
          <w:color w:val="auto"/>
          <w:spacing w:val="5"/>
          <w:sz w:val="24"/>
          <w:szCs w:val="24"/>
        </w:rPr>
        <w:t>），</w:t>
      </w:r>
      <w:r>
        <w:rPr>
          <w:rFonts w:hint="eastAsia" w:ascii="宋体" w:hAnsi="宋体" w:eastAsia="宋体" w:cs="宋体"/>
          <w:color w:val="auto"/>
          <w:spacing w:val="-1"/>
          <w:sz w:val="24"/>
          <w:szCs w:val="24"/>
        </w:rPr>
        <w:t>导致在规定时间内无法解密</w:t>
      </w:r>
    </w:p>
    <w:p w14:paraId="2467723E">
      <w:pPr>
        <w:spacing w:before="1" w:line="219" w:lineRule="auto"/>
        <w:ind w:left="1"/>
        <w:rPr>
          <w:rFonts w:hint="eastAsia" w:ascii="宋体" w:hAnsi="宋体" w:eastAsia="宋体" w:cs="宋体"/>
          <w:color w:val="auto"/>
          <w:sz w:val="24"/>
          <w:szCs w:val="24"/>
        </w:rPr>
      </w:pPr>
      <w:r>
        <w:rPr>
          <w:rFonts w:hint="eastAsia" w:ascii="宋体" w:hAnsi="宋体" w:eastAsia="宋体" w:cs="宋体"/>
          <w:color w:val="auto"/>
          <w:spacing w:val="-2"/>
          <w:sz w:val="24"/>
          <w:szCs w:val="24"/>
        </w:rPr>
        <w:t>磋商响应文件的；</w:t>
      </w:r>
    </w:p>
    <w:p w14:paraId="1AC16C06">
      <w:pPr>
        <w:spacing w:before="180" w:line="219" w:lineRule="auto"/>
        <w:ind w:left="614"/>
        <w:rPr>
          <w:rFonts w:hint="eastAsia" w:ascii="宋体" w:hAnsi="宋体" w:eastAsia="宋体" w:cs="宋体"/>
          <w:color w:val="auto"/>
          <w:sz w:val="24"/>
          <w:szCs w:val="24"/>
        </w:rPr>
      </w:pPr>
      <w:r>
        <w:rPr>
          <w:rFonts w:hint="eastAsia" w:ascii="宋体" w:hAnsi="宋体" w:eastAsia="宋体" w:cs="宋体"/>
          <w:color w:val="auto"/>
          <w:spacing w:val="-2"/>
          <w:sz w:val="24"/>
          <w:szCs w:val="24"/>
        </w:rPr>
        <w:t>（3）上传的电子磋商响应文件无法打开的；</w:t>
      </w:r>
    </w:p>
    <w:p w14:paraId="2167972D">
      <w:pPr>
        <w:spacing w:before="183" w:line="219" w:lineRule="auto"/>
        <w:ind w:left="614"/>
        <w:rPr>
          <w:rFonts w:hint="eastAsia" w:ascii="宋体" w:hAnsi="宋体" w:eastAsia="宋体" w:cs="宋体"/>
          <w:color w:val="auto"/>
          <w:sz w:val="24"/>
          <w:szCs w:val="24"/>
        </w:rPr>
      </w:pPr>
      <w:r>
        <w:rPr>
          <w:rFonts w:hint="eastAsia" w:ascii="宋体" w:hAnsi="宋体" w:eastAsia="宋体" w:cs="宋体"/>
          <w:color w:val="auto"/>
          <w:spacing w:val="-1"/>
          <w:sz w:val="24"/>
          <w:szCs w:val="24"/>
        </w:rPr>
        <w:t>（4）政府采购法律法规规定的其他无效情形。</w:t>
      </w:r>
    </w:p>
    <w:p w14:paraId="3074691D">
      <w:pPr>
        <w:spacing w:before="182" w:line="219" w:lineRule="auto"/>
        <w:ind w:left="482"/>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注：对未按磋商文件要求方式解密的电子磋商</w:t>
      </w:r>
      <w:r>
        <w:rPr>
          <w:rFonts w:hint="eastAsia" w:ascii="宋体" w:hAnsi="宋体" w:eastAsia="宋体" w:cs="宋体"/>
          <w:color w:val="auto"/>
          <w:sz w:val="24"/>
          <w:szCs w:val="24"/>
          <w14:textOutline w14:w="4358" w14:cap="sq" w14:cmpd="sng">
            <w14:solidFill>
              <w14:srgbClr w14:val="000000"/>
            </w14:solidFill>
            <w14:prstDash w14:val="solid"/>
            <w14:bevel/>
          </w14:textOutline>
        </w:rPr>
        <w:t>响应文件，将作为无效磋商响应文件。</w:t>
      </w:r>
    </w:p>
    <w:p w14:paraId="6C99CA4F">
      <w:pPr>
        <w:spacing w:before="262" w:line="219" w:lineRule="auto"/>
        <w:ind w:left="488"/>
        <w:rPr>
          <w:rFonts w:hint="eastAsia" w:ascii="宋体" w:hAnsi="宋体" w:eastAsia="宋体" w:cs="宋体"/>
          <w:color w:val="auto"/>
          <w:sz w:val="24"/>
          <w:szCs w:val="24"/>
        </w:rPr>
      </w:pPr>
      <w:r>
        <w:rPr>
          <w:rFonts w:hint="eastAsia" w:ascii="宋体" w:hAnsi="宋体" w:eastAsia="宋体" w:cs="宋体"/>
          <w:color w:val="auto"/>
          <w:spacing w:val="-2"/>
          <w:sz w:val="24"/>
          <w:szCs w:val="24"/>
        </w:rPr>
        <w:t>7.7 特殊情形下的应急处置</w:t>
      </w:r>
    </w:p>
    <w:p w14:paraId="20C99820">
      <w:pPr>
        <w:spacing w:before="183" w:line="468" w:lineRule="exact"/>
        <w:ind w:right="22"/>
        <w:jc w:val="right"/>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在开标、评审过程中，如因停电、断网、电子化系统故障等原因导致电子化开、评标</w:t>
      </w:r>
    </w:p>
    <w:p w14:paraId="74EEAB54">
      <w:pPr>
        <w:spacing w:before="1" w:line="217" w:lineRule="auto"/>
        <w:ind w:left="4"/>
        <w:rPr>
          <w:rFonts w:hint="eastAsia" w:ascii="宋体" w:hAnsi="宋体" w:eastAsia="宋体" w:cs="宋体"/>
          <w:color w:val="auto"/>
          <w:sz w:val="24"/>
          <w:szCs w:val="24"/>
        </w:rPr>
      </w:pPr>
      <w:r>
        <w:rPr>
          <w:rFonts w:hint="eastAsia" w:ascii="宋体" w:hAnsi="宋体" w:eastAsia="宋体" w:cs="宋体"/>
          <w:color w:val="auto"/>
          <w:spacing w:val="-1"/>
          <w:sz w:val="24"/>
          <w:szCs w:val="24"/>
        </w:rPr>
        <w:t>无法正常进行时，将报告监督部门后继续开展后续采购活动。</w:t>
      </w:r>
    </w:p>
    <w:p w14:paraId="57732EEF">
      <w:pPr>
        <w:spacing w:before="185" w:line="360" w:lineRule="auto"/>
        <w:ind w:left="7" w:right="24" w:firstLine="480"/>
        <w:rPr>
          <w:rFonts w:hint="eastAsia" w:ascii="宋体" w:hAnsi="宋体" w:eastAsia="宋体" w:cs="宋体"/>
          <w:color w:val="auto"/>
          <w:sz w:val="24"/>
          <w:szCs w:val="24"/>
        </w:rPr>
      </w:pPr>
      <w:r>
        <w:rPr>
          <w:rFonts w:hint="eastAsia" w:ascii="宋体" w:hAnsi="宋体" w:eastAsia="宋体" w:cs="宋体"/>
          <w:color w:val="auto"/>
          <w:spacing w:val="1"/>
          <w:sz w:val="24"/>
          <w:szCs w:val="24"/>
        </w:rPr>
        <w:t>7.8 供应商应认真阅读磋商文件的所有内容，严格按照磋商文件的要求编</w:t>
      </w:r>
      <w:r>
        <w:rPr>
          <w:rFonts w:hint="eastAsia" w:ascii="宋体" w:hAnsi="宋体" w:eastAsia="宋体" w:cs="宋体"/>
          <w:color w:val="auto"/>
          <w:sz w:val="24"/>
          <w:szCs w:val="24"/>
        </w:rPr>
        <w:t>制和递交磋</w:t>
      </w:r>
      <w:r>
        <w:rPr>
          <w:rFonts w:hint="eastAsia" w:ascii="宋体" w:hAnsi="宋体" w:eastAsia="宋体" w:cs="宋体"/>
          <w:color w:val="auto"/>
          <w:spacing w:val="1"/>
          <w:sz w:val="24"/>
          <w:szCs w:val="24"/>
        </w:rPr>
        <w:t>商响应文件，并保证所递交的全部资料的真实性，使磋商响应文件对磋商文件做</w:t>
      </w:r>
      <w:r>
        <w:rPr>
          <w:rFonts w:hint="eastAsia" w:ascii="宋体" w:hAnsi="宋体" w:eastAsia="宋体" w:cs="宋体"/>
          <w:color w:val="auto"/>
          <w:sz w:val="24"/>
          <w:szCs w:val="24"/>
        </w:rPr>
        <w:t>出实质性</w:t>
      </w:r>
      <w:r>
        <w:rPr>
          <w:rFonts w:hint="eastAsia" w:ascii="宋体" w:hAnsi="宋体" w:eastAsia="宋体" w:cs="宋体"/>
          <w:color w:val="auto"/>
          <w:spacing w:val="1"/>
          <w:sz w:val="24"/>
          <w:szCs w:val="24"/>
        </w:rPr>
        <w:t>响应。如果供应商在磋商响应文件中没有按照磋商文件要求提交全部资料或者磋</w:t>
      </w:r>
      <w:r>
        <w:rPr>
          <w:rFonts w:hint="eastAsia" w:ascii="宋体" w:hAnsi="宋体" w:eastAsia="宋体" w:cs="宋体"/>
          <w:color w:val="auto"/>
          <w:sz w:val="24"/>
          <w:szCs w:val="24"/>
        </w:rPr>
        <w:t>商响应文</w:t>
      </w:r>
    </w:p>
    <w:p w14:paraId="506487C7">
      <w:pPr>
        <w:spacing w:line="219" w:lineRule="auto"/>
        <w:ind w:left="1"/>
        <w:rPr>
          <w:rFonts w:hint="eastAsia" w:ascii="宋体" w:hAnsi="宋体" w:eastAsia="宋体" w:cs="宋体"/>
          <w:color w:val="auto"/>
          <w:sz w:val="24"/>
          <w:szCs w:val="24"/>
        </w:rPr>
      </w:pPr>
      <w:r>
        <w:rPr>
          <w:rFonts w:hint="eastAsia" w:ascii="宋体" w:hAnsi="宋体" w:eastAsia="宋体" w:cs="宋体"/>
          <w:color w:val="auto"/>
          <w:sz w:val="24"/>
          <w:szCs w:val="24"/>
        </w:rPr>
        <w:t>件没有对磋商文件在各方面都做出实质性响应</w:t>
      </w:r>
      <w:r>
        <w:rPr>
          <w:rFonts w:hint="eastAsia" w:ascii="宋体" w:hAnsi="宋体" w:eastAsia="宋体" w:cs="宋体"/>
          <w:color w:val="auto"/>
          <w:spacing w:val="-1"/>
          <w:sz w:val="24"/>
          <w:szCs w:val="24"/>
        </w:rPr>
        <w:t>，其投标按废标处理。</w:t>
      </w:r>
    </w:p>
    <w:p w14:paraId="63E1EE3E">
      <w:pPr>
        <w:spacing w:before="183" w:line="468" w:lineRule="exact"/>
        <w:ind w:right="25"/>
        <w:jc w:val="right"/>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7.9 供应商提交的磋商响应文件以及供应商与代理机构就有关投标的所有</w:t>
      </w:r>
      <w:r>
        <w:rPr>
          <w:rFonts w:hint="eastAsia" w:ascii="宋体" w:hAnsi="宋体" w:eastAsia="宋体" w:cs="宋体"/>
          <w:color w:val="auto"/>
          <w:position w:val="17"/>
          <w:sz w:val="24"/>
          <w:szCs w:val="24"/>
        </w:rPr>
        <w:t>来往函电均</w:t>
      </w:r>
    </w:p>
    <w:p w14:paraId="34C8F25A">
      <w:pPr>
        <w:spacing w:before="1" w:line="218" w:lineRule="auto"/>
        <w:ind w:left="2"/>
        <w:rPr>
          <w:rFonts w:hint="eastAsia" w:ascii="宋体" w:hAnsi="宋体" w:eastAsia="宋体" w:cs="宋体"/>
          <w:color w:val="auto"/>
          <w:sz w:val="24"/>
          <w:szCs w:val="24"/>
        </w:rPr>
      </w:pPr>
      <w:r>
        <w:rPr>
          <w:rFonts w:hint="eastAsia" w:ascii="宋体" w:hAnsi="宋体" w:eastAsia="宋体" w:cs="宋体"/>
          <w:color w:val="auto"/>
          <w:spacing w:val="-2"/>
          <w:sz w:val="24"/>
          <w:szCs w:val="24"/>
        </w:rPr>
        <w:t>应以中文书写。</w:t>
      </w:r>
    </w:p>
    <w:p w14:paraId="4CE07E11">
      <w:pPr>
        <w:spacing w:before="184" w:line="219" w:lineRule="auto"/>
        <w:ind w:left="483"/>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8．响应文件构成和格式</w:t>
      </w:r>
    </w:p>
    <w:p w14:paraId="2CF79312">
      <w:pPr>
        <w:spacing w:before="122" w:line="468" w:lineRule="exact"/>
        <w:ind w:left="481"/>
        <w:rPr>
          <w:rFonts w:hint="eastAsia" w:ascii="宋体" w:hAnsi="宋体" w:eastAsia="宋体" w:cs="宋体"/>
          <w:color w:val="auto"/>
          <w:sz w:val="24"/>
          <w:szCs w:val="24"/>
        </w:rPr>
      </w:pPr>
      <w:r>
        <w:rPr>
          <w:rFonts w:hint="eastAsia" w:ascii="宋体" w:hAnsi="宋体" w:eastAsia="宋体" w:cs="宋体"/>
          <w:color w:val="auto"/>
          <w:position w:val="17"/>
          <w:sz w:val="24"/>
          <w:szCs w:val="24"/>
        </w:rPr>
        <w:t>8.1 供应商编写的响应文件应包括下列部分，请按磋商</w:t>
      </w:r>
      <w:r>
        <w:rPr>
          <w:rFonts w:hint="eastAsia" w:ascii="宋体" w:hAnsi="宋体" w:eastAsia="宋体" w:cs="宋体"/>
          <w:color w:val="auto"/>
          <w:spacing w:val="-1"/>
          <w:position w:val="17"/>
          <w:sz w:val="24"/>
          <w:szCs w:val="24"/>
        </w:rPr>
        <w:t>文件提供的相应格式编写：</w:t>
      </w:r>
    </w:p>
    <w:p w14:paraId="77B4E4B5">
      <w:pPr>
        <w:spacing w:before="183" w:line="219" w:lineRule="auto"/>
        <w:ind w:left="5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1</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、响应函</w:t>
      </w:r>
    </w:p>
    <w:p w14:paraId="4F1184BC">
      <w:pPr>
        <w:spacing w:before="183" w:line="219" w:lineRule="auto"/>
        <w:ind w:left="5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2</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、第一次磋商报价表</w:t>
      </w:r>
    </w:p>
    <w:p w14:paraId="0AD9BCC9">
      <w:pPr>
        <w:spacing w:before="183" w:line="219" w:lineRule="auto"/>
        <w:ind w:left="5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3</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、资格证明文件</w:t>
      </w:r>
    </w:p>
    <w:p w14:paraId="16B5B4D6">
      <w:pPr>
        <w:spacing w:before="183" w:line="219" w:lineRule="auto"/>
        <w:ind w:left="5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4</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、施工组织设计</w:t>
      </w:r>
    </w:p>
    <w:p w14:paraId="7B8E1B15">
      <w:pPr>
        <w:spacing w:before="183" w:line="219" w:lineRule="auto"/>
        <w:ind w:left="5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5</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、工程质量的保障措施及承诺</w:t>
      </w:r>
    </w:p>
    <w:p w14:paraId="5E442E45">
      <w:pPr>
        <w:spacing w:before="183" w:line="219" w:lineRule="auto"/>
        <w:ind w:left="5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6</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、投标人近三年</w:t>
      </w:r>
      <w:r>
        <w:rPr>
          <w:rFonts w:hint="eastAsia" w:ascii="宋体" w:hAnsi="宋体" w:eastAsia="宋体" w:cs="宋体"/>
          <w:color w:val="auto"/>
          <w:spacing w:val="-8"/>
          <w:sz w:val="24"/>
          <w:szCs w:val="24"/>
          <w:lang w:eastAsia="zh-CN"/>
        </w:rPr>
        <w:t>类似</w:t>
      </w:r>
      <w:r>
        <w:rPr>
          <w:rFonts w:hint="eastAsia" w:ascii="宋体" w:hAnsi="宋体" w:eastAsia="宋体" w:cs="宋体"/>
          <w:color w:val="auto"/>
          <w:spacing w:val="-8"/>
          <w:sz w:val="24"/>
          <w:szCs w:val="24"/>
        </w:rPr>
        <w:t>项目业绩</w:t>
      </w:r>
    </w:p>
    <w:p w14:paraId="23E9E92F">
      <w:pPr>
        <w:spacing w:before="183" w:line="219" w:lineRule="auto"/>
        <w:ind w:left="5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7</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、政府采购投标人拒绝政府采购领域商业贿赂承诺书</w:t>
      </w:r>
    </w:p>
    <w:p w14:paraId="636A5994">
      <w:pPr>
        <w:spacing w:before="183" w:line="219" w:lineRule="auto"/>
        <w:ind w:left="5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8</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、其他材料</w:t>
      </w:r>
    </w:p>
    <w:p w14:paraId="0140D34A">
      <w:pPr>
        <w:spacing w:before="183" w:line="468" w:lineRule="exact"/>
        <w:ind w:right="14"/>
        <w:jc w:val="right"/>
        <w:rPr>
          <w:rFonts w:hint="eastAsia" w:ascii="宋体" w:hAnsi="宋体" w:eastAsia="宋体" w:cs="宋体"/>
          <w:color w:val="auto"/>
          <w:sz w:val="24"/>
          <w:szCs w:val="24"/>
        </w:rPr>
      </w:pPr>
      <w:r>
        <w:rPr>
          <w:rFonts w:hint="eastAsia" w:ascii="宋体" w:hAnsi="宋体" w:eastAsia="宋体" w:cs="宋体"/>
          <w:color w:val="auto"/>
          <w:position w:val="17"/>
          <w:sz w:val="24"/>
          <w:szCs w:val="24"/>
        </w:rPr>
        <w:t>8.2 供应商应按照本须知第</w:t>
      </w:r>
      <w:r>
        <w:rPr>
          <w:rFonts w:hint="eastAsia" w:ascii="宋体" w:hAnsi="宋体" w:eastAsia="宋体" w:cs="宋体"/>
          <w:color w:val="auto"/>
          <w:spacing w:val="-35"/>
          <w:position w:val="17"/>
          <w:sz w:val="24"/>
          <w:szCs w:val="24"/>
        </w:rPr>
        <w:t xml:space="preserve"> </w:t>
      </w:r>
      <w:r>
        <w:rPr>
          <w:rFonts w:hint="eastAsia" w:ascii="宋体" w:hAnsi="宋体" w:eastAsia="宋体" w:cs="宋体"/>
          <w:color w:val="auto"/>
          <w:position w:val="17"/>
          <w:sz w:val="24"/>
          <w:szCs w:val="24"/>
        </w:rPr>
        <w:t>8.1</w:t>
      </w:r>
      <w:r>
        <w:rPr>
          <w:rFonts w:hint="eastAsia" w:ascii="宋体" w:hAnsi="宋体" w:eastAsia="宋体" w:cs="宋体"/>
          <w:color w:val="auto"/>
          <w:spacing w:val="-47"/>
          <w:position w:val="17"/>
          <w:sz w:val="24"/>
          <w:szCs w:val="24"/>
        </w:rPr>
        <w:t xml:space="preserve"> </w:t>
      </w:r>
      <w:r>
        <w:rPr>
          <w:rFonts w:hint="eastAsia" w:ascii="宋体" w:hAnsi="宋体" w:eastAsia="宋体" w:cs="宋体"/>
          <w:color w:val="auto"/>
          <w:position w:val="17"/>
          <w:sz w:val="24"/>
          <w:szCs w:val="24"/>
        </w:rPr>
        <w:t>条的内容及第五章提供的格式编写响应文件，不得缺</w:t>
      </w:r>
    </w:p>
    <w:p w14:paraId="14EA8895">
      <w:pPr>
        <w:spacing w:before="1" w:line="219" w:lineRule="auto"/>
        <w:ind w:left="1"/>
        <w:rPr>
          <w:rFonts w:hint="eastAsia" w:ascii="宋体" w:hAnsi="宋体" w:eastAsia="宋体" w:cs="宋体"/>
          <w:color w:val="auto"/>
          <w:sz w:val="24"/>
          <w:szCs w:val="24"/>
        </w:rPr>
      </w:pPr>
      <w:r>
        <w:rPr>
          <w:rFonts w:hint="eastAsia" w:ascii="宋体" w:hAnsi="宋体" w:eastAsia="宋体" w:cs="宋体"/>
          <w:color w:val="auto"/>
          <w:spacing w:val="-1"/>
          <w:sz w:val="24"/>
          <w:szCs w:val="24"/>
        </w:rPr>
        <w:t>少磋商文件要求填写的表格或提交的资料。</w:t>
      </w:r>
    </w:p>
    <w:p w14:paraId="7D68EDB4">
      <w:pPr>
        <w:spacing w:before="183" w:line="468" w:lineRule="exact"/>
        <w:ind w:right="14"/>
        <w:jc w:val="right"/>
        <w:rPr>
          <w:rFonts w:hint="eastAsia" w:ascii="宋体" w:hAnsi="宋体" w:eastAsia="宋体" w:cs="宋体"/>
          <w:color w:val="auto"/>
          <w:sz w:val="24"/>
          <w:szCs w:val="24"/>
        </w:rPr>
      </w:pPr>
      <w:r>
        <w:rPr>
          <w:rFonts w:hint="eastAsia" w:ascii="宋体" w:hAnsi="宋体" w:eastAsia="宋体" w:cs="宋体"/>
          <w:color w:val="auto"/>
          <w:position w:val="17"/>
          <w:sz w:val="24"/>
          <w:szCs w:val="24"/>
        </w:rPr>
        <w:t>8.3 供应商应将响应文件按本须知第</w:t>
      </w:r>
      <w:r>
        <w:rPr>
          <w:rFonts w:hint="eastAsia" w:ascii="宋体" w:hAnsi="宋体" w:eastAsia="宋体" w:cs="宋体"/>
          <w:color w:val="auto"/>
          <w:spacing w:val="-35"/>
          <w:position w:val="17"/>
          <w:sz w:val="24"/>
          <w:szCs w:val="24"/>
        </w:rPr>
        <w:t xml:space="preserve"> </w:t>
      </w:r>
      <w:r>
        <w:rPr>
          <w:rFonts w:hint="eastAsia" w:ascii="宋体" w:hAnsi="宋体" w:eastAsia="宋体" w:cs="宋体"/>
          <w:color w:val="auto"/>
          <w:position w:val="17"/>
          <w:sz w:val="24"/>
          <w:szCs w:val="24"/>
        </w:rPr>
        <w:t>8.1</w:t>
      </w:r>
      <w:r>
        <w:rPr>
          <w:rFonts w:hint="eastAsia" w:ascii="宋体" w:hAnsi="宋体" w:eastAsia="宋体" w:cs="宋体"/>
          <w:color w:val="auto"/>
          <w:spacing w:val="-47"/>
          <w:position w:val="17"/>
          <w:sz w:val="24"/>
          <w:szCs w:val="24"/>
        </w:rPr>
        <w:t xml:space="preserve"> </w:t>
      </w:r>
      <w:r>
        <w:rPr>
          <w:rFonts w:hint="eastAsia" w:ascii="宋体" w:hAnsi="宋体" w:eastAsia="宋体" w:cs="宋体"/>
          <w:color w:val="auto"/>
          <w:position w:val="17"/>
          <w:sz w:val="24"/>
          <w:szCs w:val="24"/>
        </w:rPr>
        <w:t>条规定的顺序编排、并应编制目录，逐页标</w:t>
      </w:r>
    </w:p>
    <w:p w14:paraId="56930724">
      <w:pPr>
        <w:spacing w:line="220"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rPr>
        <w:t>注连续页码。</w:t>
      </w:r>
    </w:p>
    <w:p w14:paraId="24E884F0">
      <w:pPr>
        <w:spacing w:before="182" w:line="218" w:lineRule="auto"/>
        <w:ind w:left="481"/>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9．磋商报价</w:t>
      </w:r>
    </w:p>
    <w:p w14:paraId="42EAD5C0">
      <w:pPr>
        <w:spacing w:before="184" w:line="468" w:lineRule="exact"/>
        <w:ind w:right="14"/>
        <w:jc w:val="right"/>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9.1</w:t>
      </w:r>
      <w:r>
        <w:rPr>
          <w:rFonts w:hint="eastAsia" w:ascii="宋体" w:hAnsi="宋体" w:eastAsia="宋体" w:cs="宋体"/>
          <w:color w:val="auto"/>
          <w:spacing w:val="-38"/>
          <w:position w:val="17"/>
          <w:sz w:val="24"/>
          <w:szCs w:val="24"/>
        </w:rPr>
        <w:t xml:space="preserve"> </w:t>
      </w:r>
      <w:r>
        <w:rPr>
          <w:rFonts w:hint="eastAsia" w:ascii="宋体" w:hAnsi="宋体" w:eastAsia="宋体" w:cs="宋体"/>
          <w:color w:val="auto"/>
          <w:spacing w:val="2"/>
          <w:position w:val="17"/>
          <w:sz w:val="24"/>
          <w:szCs w:val="24"/>
        </w:rPr>
        <w:t>磋商报价为供应商完成采购项目内容的全部合理费用，供应商应按建设行政主管</w:t>
      </w:r>
    </w:p>
    <w:p w14:paraId="75B820F6">
      <w:pPr>
        <w:spacing w:before="1" w:line="217" w:lineRule="auto"/>
        <w:ind w:left="3"/>
        <w:rPr>
          <w:rFonts w:hint="eastAsia" w:ascii="宋体" w:hAnsi="宋体" w:eastAsia="宋体" w:cs="宋体"/>
          <w:color w:val="auto"/>
          <w:sz w:val="24"/>
          <w:szCs w:val="24"/>
        </w:rPr>
      </w:pPr>
      <w:r>
        <w:rPr>
          <w:rFonts w:hint="eastAsia" w:ascii="宋体" w:hAnsi="宋体" w:eastAsia="宋体" w:cs="宋体"/>
          <w:color w:val="auto"/>
          <w:spacing w:val="-1"/>
          <w:sz w:val="24"/>
          <w:szCs w:val="24"/>
        </w:rPr>
        <w:t>部门颁布的《计价规则》等配套文件规定自主报价。</w:t>
      </w:r>
    </w:p>
    <w:p w14:paraId="0015AC8F">
      <w:pPr>
        <w:spacing w:before="185" w:line="360" w:lineRule="auto"/>
        <w:ind w:right="12" w:firstLine="48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9.2</w:t>
      </w:r>
      <w:r>
        <w:rPr>
          <w:rFonts w:hint="eastAsia" w:ascii="宋体" w:hAnsi="宋体" w:eastAsia="宋体" w:cs="宋体"/>
          <w:color w:val="auto"/>
          <w:spacing w:val="-38"/>
          <w:sz w:val="24"/>
          <w:szCs w:val="24"/>
        </w:rPr>
        <w:t xml:space="preserve"> </w:t>
      </w:r>
      <w:r>
        <w:rPr>
          <w:rFonts w:hint="eastAsia" w:ascii="宋体" w:hAnsi="宋体" w:eastAsia="宋体" w:cs="宋体"/>
          <w:color w:val="auto"/>
          <w:spacing w:val="2"/>
          <w:sz w:val="24"/>
          <w:szCs w:val="24"/>
        </w:rPr>
        <w:t>本项目磋商报价为人民币报价，供应商所报价格应为含税全包价，包括但不限于</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人工费、材料费、机械费、措施费、管理费、利润费、风险费、税金等本项目包含的全部费用。供应商应根据自身企业成本、利润、风险等因素，并结合项目特点、服务范围、主</w:t>
      </w:r>
      <w:r>
        <w:rPr>
          <w:rFonts w:hint="eastAsia" w:ascii="宋体" w:hAnsi="宋体" w:eastAsia="宋体" w:cs="宋体"/>
          <w:color w:val="auto"/>
          <w:sz w:val="24"/>
          <w:szCs w:val="24"/>
        </w:rPr>
        <w:t>要工作内容及当前市场情况及企业的技术力量、管理水平、经济效益等因</w:t>
      </w:r>
      <w:r>
        <w:rPr>
          <w:rFonts w:hint="eastAsia" w:ascii="宋体" w:hAnsi="宋体" w:eastAsia="宋体" w:cs="宋体"/>
          <w:color w:val="auto"/>
          <w:spacing w:val="-1"/>
          <w:sz w:val="24"/>
          <w:szCs w:val="24"/>
        </w:rPr>
        <w:t>素，</w:t>
      </w:r>
      <w:r>
        <w:rPr>
          <w:rFonts w:hint="eastAsia" w:ascii="宋体" w:hAnsi="宋体" w:eastAsia="宋体" w:cs="宋体"/>
          <w:color w:val="auto"/>
          <w:spacing w:val="-71"/>
          <w:sz w:val="24"/>
          <w:szCs w:val="24"/>
        </w:rPr>
        <w:t xml:space="preserve"> </w:t>
      </w:r>
      <w:r>
        <w:rPr>
          <w:rFonts w:hint="eastAsia" w:ascii="宋体" w:hAnsi="宋体" w:eastAsia="宋体" w:cs="宋体"/>
          <w:color w:val="auto"/>
          <w:spacing w:val="-1"/>
          <w:sz w:val="24"/>
          <w:szCs w:val="24"/>
        </w:rPr>
        <w:t>自主报价。</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供应商在报价时应充分考虑所有可能发生的费用，竞争性磋商文件未列明，而供应商认为应当计取的费用均应列入报价中。报价时不论是否计取，采购人均按已计取对待。任何有</w:t>
      </w:r>
      <w:r>
        <w:rPr>
          <w:rFonts w:hint="eastAsia" w:ascii="宋体" w:hAnsi="宋体" w:eastAsia="宋体" w:cs="宋体"/>
          <w:color w:val="auto"/>
          <w:spacing w:val="2"/>
          <w:sz w:val="24"/>
          <w:szCs w:val="24"/>
        </w:rPr>
        <w:t>选择的磋商报价将不予接受，否则按无效磋商处理。</w:t>
      </w:r>
    </w:p>
    <w:p w14:paraId="0573C1EC">
      <w:pPr>
        <w:spacing w:before="185" w:line="360" w:lineRule="auto"/>
        <w:ind w:right="12" w:firstLine="488" w:firstLineChars="2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9.3 本项目最高限价为：</w:t>
      </w:r>
      <w:r>
        <w:rPr>
          <w:rFonts w:hint="eastAsia" w:ascii="宋体" w:hAnsi="宋体" w:eastAsia="宋体" w:cs="宋体"/>
          <w:color w:val="auto"/>
          <w:spacing w:val="2"/>
          <w:sz w:val="24"/>
          <w:szCs w:val="24"/>
          <w:lang w:eastAsia="zh-CN"/>
        </w:rPr>
        <w:t>壹佰陆拾万元整</w:t>
      </w: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1600000.00</w:t>
      </w:r>
      <w:r>
        <w:rPr>
          <w:rFonts w:hint="eastAsia" w:ascii="宋体" w:hAnsi="宋体" w:eastAsia="宋体" w:cs="宋体"/>
          <w:color w:val="auto"/>
          <w:spacing w:val="2"/>
          <w:sz w:val="24"/>
          <w:szCs w:val="24"/>
        </w:rPr>
        <w:t>元），磋商报价大于本项目最高限价时按无效标处理。</w:t>
      </w:r>
    </w:p>
    <w:p w14:paraId="2B533E46">
      <w:pPr>
        <w:spacing w:before="185" w:line="468" w:lineRule="exact"/>
        <w:jc w:val="right"/>
        <w:rPr>
          <w:rFonts w:hint="eastAsia" w:ascii="宋体" w:hAnsi="宋体" w:eastAsia="宋体" w:cs="宋体"/>
          <w:color w:val="auto"/>
          <w:sz w:val="24"/>
          <w:szCs w:val="24"/>
        </w:rPr>
      </w:pPr>
      <w:r>
        <w:rPr>
          <w:rFonts w:hint="eastAsia" w:ascii="宋体" w:hAnsi="宋体" w:eastAsia="宋体" w:cs="宋体"/>
          <w:color w:val="auto"/>
          <w:spacing w:val="3"/>
          <w:position w:val="17"/>
          <w:sz w:val="24"/>
          <w:szCs w:val="24"/>
        </w:rPr>
        <w:t>9.4</w:t>
      </w:r>
      <w:r>
        <w:rPr>
          <w:rFonts w:hint="eastAsia" w:ascii="宋体" w:hAnsi="宋体" w:eastAsia="宋体" w:cs="宋体"/>
          <w:color w:val="auto"/>
          <w:spacing w:val="-45"/>
          <w:position w:val="17"/>
          <w:sz w:val="24"/>
          <w:szCs w:val="24"/>
        </w:rPr>
        <w:t xml:space="preserve"> </w:t>
      </w:r>
      <w:r>
        <w:rPr>
          <w:rFonts w:hint="eastAsia" w:ascii="宋体" w:hAnsi="宋体" w:eastAsia="宋体" w:cs="宋体"/>
          <w:color w:val="auto"/>
          <w:spacing w:val="3"/>
          <w:position w:val="17"/>
          <w:sz w:val="24"/>
          <w:szCs w:val="24"/>
          <w14:textOutline w14:w="4358" w14:cap="sq" w14:cmpd="sng">
            <w14:solidFill>
              <w14:srgbClr w14:val="000000"/>
            </w14:solidFill>
            <w14:prstDash w14:val="solid"/>
            <w14:bevel/>
          </w14:textOutline>
        </w:rPr>
        <w:t>最低报价不是成交的唯一依据。</w:t>
      </w:r>
      <w:r>
        <w:rPr>
          <w:rFonts w:hint="eastAsia" w:ascii="宋体" w:hAnsi="宋体" w:eastAsia="宋体" w:cs="宋体"/>
          <w:color w:val="auto"/>
          <w:spacing w:val="3"/>
          <w:position w:val="17"/>
          <w:sz w:val="24"/>
          <w:szCs w:val="24"/>
        </w:rPr>
        <w:t>供应商不得</w:t>
      </w:r>
      <w:r>
        <w:rPr>
          <w:rFonts w:hint="eastAsia" w:ascii="宋体" w:hAnsi="宋体" w:eastAsia="宋体" w:cs="宋体"/>
          <w:color w:val="auto"/>
          <w:spacing w:val="2"/>
          <w:position w:val="17"/>
          <w:sz w:val="24"/>
          <w:szCs w:val="24"/>
        </w:rPr>
        <w:t>以低于成本的报价参加磋商。当磋商</w:t>
      </w:r>
    </w:p>
    <w:p w14:paraId="3041C3C5">
      <w:pPr>
        <w:spacing w:before="1" w:line="217" w:lineRule="auto"/>
        <w:ind w:left="7"/>
        <w:rPr>
          <w:rFonts w:hint="eastAsia" w:ascii="宋体" w:hAnsi="宋体" w:eastAsia="宋体" w:cs="宋体"/>
          <w:color w:val="auto"/>
          <w:sz w:val="24"/>
          <w:szCs w:val="24"/>
        </w:rPr>
      </w:pPr>
      <w:r>
        <w:rPr>
          <w:rFonts w:hint="eastAsia" w:ascii="宋体" w:hAnsi="宋体" w:eastAsia="宋体" w:cs="宋体"/>
          <w:color w:val="auto"/>
          <w:spacing w:val="1"/>
          <w:sz w:val="24"/>
          <w:szCs w:val="24"/>
        </w:rPr>
        <w:t>小组认为某个供应商的磋商价或者某些分项报价明显不合理或者低于成本，有可</w:t>
      </w:r>
      <w:r>
        <w:rPr>
          <w:rFonts w:hint="eastAsia" w:ascii="宋体" w:hAnsi="宋体" w:eastAsia="宋体" w:cs="宋体"/>
          <w:color w:val="auto"/>
          <w:sz w:val="24"/>
          <w:szCs w:val="24"/>
        </w:rPr>
        <w:t>能影响服</w:t>
      </w:r>
    </w:p>
    <w:p w14:paraId="1CF7F738">
      <w:pPr>
        <w:spacing w:before="122" w:line="468" w:lineRule="exact"/>
        <w:ind w:left="1"/>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务质量和不能诚信履约的，可要求该供应商在规定的期限内提供书面文件予以解释说</w:t>
      </w:r>
      <w:r>
        <w:rPr>
          <w:rFonts w:hint="eastAsia" w:ascii="宋体" w:hAnsi="宋体" w:eastAsia="宋体" w:cs="宋体"/>
          <w:color w:val="auto"/>
          <w:position w:val="17"/>
          <w:sz w:val="24"/>
          <w:szCs w:val="24"/>
        </w:rPr>
        <w:t>明，</w:t>
      </w:r>
    </w:p>
    <w:p w14:paraId="2506FF20">
      <w:pPr>
        <w:spacing w:line="218" w:lineRule="auto"/>
        <w:ind w:left="5"/>
        <w:rPr>
          <w:rFonts w:hint="eastAsia" w:ascii="宋体" w:hAnsi="宋体" w:eastAsia="宋体" w:cs="宋体"/>
          <w:color w:val="auto"/>
          <w:sz w:val="24"/>
          <w:szCs w:val="24"/>
        </w:rPr>
      </w:pPr>
      <w:r>
        <w:rPr>
          <w:rFonts w:hint="eastAsia" w:ascii="宋体" w:hAnsi="宋体" w:eastAsia="宋体" w:cs="宋体"/>
          <w:color w:val="auto"/>
          <w:spacing w:val="-1"/>
          <w:sz w:val="24"/>
          <w:szCs w:val="24"/>
        </w:rPr>
        <w:t>并提交相关证明材料。否则，磋商小组可以拒绝该供应商的磋商。</w:t>
      </w:r>
    </w:p>
    <w:p w14:paraId="1F3212F7">
      <w:pPr>
        <w:spacing w:before="104" w:line="359" w:lineRule="auto"/>
        <w:ind w:left="19" w:firstLine="461"/>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9.5</w:t>
      </w:r>
      <w:r>
        <w:rPr>
          <w:rFonts w:hint="eastAsia" w:ascii="宋体" w:hAnsi="宋体" w:eastAsia="宋体" w:cs="宋体"/>
          <w:color w:val="auto"/>
          <w:spacing w:val="-37"/>
          <w:sz w:val="24"/>
          <w:szCs w:val="24"/>
        </w:rPr>
        <w:t xml:space="preserve"> </w:t>
      </w:r>
      <w:r>
        <w:rPr>
          <w:rFonts w:hint="eastAsia" w:ascii="宋体" w:hAnsi="宋体" w:eastAsia="宋体" w:cs="宋体"/>
          <w:color w:val="auto"/>
          <w:spacing w:val="2"/>
          <w:sz w:val="24"/>
          <w:szCs w:val="24"/>
        </w:rPr>
        <w:t>供应商不得以低于成本的报价参加磋商。供应商的磋商报价明显低于其他供应商</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的报价，经磋商小组质询后不能在规定时间内说明</w:t>
      </w:r>
      <w:r>
        <w:rPr>
          <w:rFonts w:hint="eastAsia" w:ascii="宋体" w:hAnsi="宋体" w:eastAsia="宋体" w:cs="宋体"/>
          <w:color w:val="auto"/>
          <w:sz w:val="24"/>
          <w:szCs w:val="24"/>
        </w:rPr>
        <w:t>理由，或说明理由经磋商小组认为不成</w:t>
      </w:r>
    </w:p>
    <w:p w14:paraId="66C25410">
      <w:pPr>
        <w:spacing w:line="219" w:lineRule="auto"/>
        <w:rPr>
          <w:rFonts w:hint="eastAsia" w:ascii="宋体" w:hAnsi="宋体" w:eastAsia="宋体" w:cs="宋体"/>
          <w:color w:val="auto"/>
          <w:sz w:val="24"/>
          <w:szCs w:val="24"/>
        </w:rPr>
      </w:pPr>
      <w:r>
        <w:rPr>
          <w:rFonts w:hint="eastAsia" w:ascii="宋体" w:hAnsi="宋体" w:eastAsia="宋体" w:cs="宋体"/>
          <w:color w:val="auto"/>
          <w:spacing w:val="-1"/>
          <w:sz w:val="24"/>
          <w:szCs w:val="24"/>
        </w:rPr>
        <w:t>立，则按无效标处理。</w:t>
      </w:r>
    </w:p>
    <w:p w14:paraId="65BBB83A">
      <w:pPr>
        <w:spacing w:before="262" w:line="219" w:lineRule="auto"/>
        <w:ind w:left="497"/>
        <w:rPr>
          <w:rFonts w:hint="eastAsia" w:ascii="宋体" w:hAnsi="宋体" w:eastAsia="宋体" w:cs="宋体"/>
          <w:color w:val="auto"/>
          <w:sz w:val="24"/>
          <w:szCs w:val="24"/>
        </w:rPr>
      </w:pPr>
      <w:r>
        <w:rPr>
          <w:rFonts w:hint="eastAsia" w:ascii="宋体" w:hAnsi="宋体" w:eastAsia="宋体" w:cs="宋体"/>
          <w:color w:val="auto"/>
          <w:spacing w:val="-4"/>
          <w:sz w:val="24"/>
          <w:szCs w:val="24"/>
          <w14:textOutline w14:w="4358" w14:cap="sq" w14:cmpd="sng">
            <w14:solidFill>
              <w14:srgbClr w14:val="000000"/>
            </w14:solidFill>
            <w14:prstDash w14:val="solid"/>
            <w14:bevel/>
          </w14:textOutline>
        </w:rPr>
        <w:t>10．磋商货币</w:t>
      </w:r>
    </w:p>
    <w:p w14:paraId="39A62212">
      <w:pPr>
        <w:spacing w:before="184" w:line="218" w:lineRule="auto"/>
        <w:ind w:left="497"/>
        <w:rPr>
          <w:rFonts w:hint="eastAsia" w:ascii="宋体" w:hAnsi="宋体" w:eastAsia="宋体" w:cs="宋体"/>
          <w:color w:val="auto"/>
          <w:sz w:val="24"/>
          <w:szCs w:val="24"/>
        </w:rPr>
      </w:pPr>
      <w:r>
        <w:rPr>
          <w:rFonts w:hint="eastAsia" w:ascii="宋体" w:hAnsi="宋体" w:eastAsia="宋体" w:cs="宋体"/>
          <w:color w:val="auto"/>
          <w:spacing w:val="-1"/>
          <w:sz w:val="24"/>
          <w:szCs w:val="24"/>
        </w:rPr>
        <w:t>10.1 供应商提供的工程及服务一律以人民</w:t>
      </w:r>
      <w:r>
        <w:rPr>
          <w:rFonts w:hint="eastAsia" w:ascii="宋体" w:hAnsi="宋体" w:eastAsia="宋体" w:cs="宋体"/>
          <w:color w:val="auto"/>
          <w:spacing w:val="-2"/>
          <w:sz w:val="24"/>
          <w:szCs w:val="24"/>
        </w:rPr>
        <w:t>币报价。</w:t>
      </w:r>
    </w:p>
    <w:p w14:paraId="31044163">
      <w:pPr>
        <w:spacing w:before="184" w:line="220" w:lineRule="auto"/>
        <w:ind w:left="497"/>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11．磋商保证金</w:t>
      </w:r>
    </w:p>
    <w:p w14:paraId="425A9DFB">
      <w:pPr>
        <w:spacing w:before="182" w:line="220" w:lineRule="auto"/>
        <w:ind w:left="497"/>
        <w:rPr>
          <w:rFonts w:hint="eastAsia" w:ascii="宋体" w:hAnsi="宋体" w:eastAsia="宋体" w:cs="宋体"/>
          <w:color w:val="auto"/>
          <w:sz w:val="24"/>
          <w:szCs w:val="24"/>
        </w:rPr>
      </w:pPr>
      <w:r>
        <w:rPr>
          <w:rFonts w:hint="eastAsia" w:ascii="宋体" w:hAnsi="宋体" w:eastAsia="宋体" w:cs="宋体"/>
          <w:color w:val="auto"/>
          <w:spacing w:val="-2"/>
          <w:sz w:val="24"/>
          <w:szCs w:val="24"/>
        </w:rPr>
        <w:t>11.1 不提交磋商保证金。</w:t>
      </w:r>
    </w:p>
    <w:p w14:paraId="6359C1B7">
      <w:pPr>
        <w:spacing w:before="183" w:line="219" w:lineRule="auto"/>
        <w:ind w:left="497"/>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12．磋商响应文件有效期</w:t>
      </w:r>
    </w:p>
    <w:p w14:paraId="572D6FD0">
      <w:pPr>
        <w:spacing w:before="183" w:line="360" w:lineRule="auto"/>
        <w:ind w:firstLine="496"/>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12.1 磋商响应文件有效期为磋商之日起九十（90</w:t>
      </w:r>
      <w:r>
        <w:rPr>
          <w:rFonts w:hint="eastAsia" w:ascii="宋体" w:hAnsi="宋体" w:eastAsia="宋体" w:cs="宋体"/>
          <w:color w:val="auto"/>
          <w:spacing w:val="-3"/>
          <w:sz w:val="24"/>
          <w:szCs w:val="24"/>
        </w:rPr>
        <w:t>）个日历日（成交供应商的响应文件</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有效期与合同有效期一致）。供应商的磋商响应文件有效期比磋商文件规定短的将被视为</w:t>
      </w:r>
    </w:p>
    <w:p w14:paraId="5CE3F4C6">
      <w:pPr>
        <w:spacing w:line="219" w:lineRule="auto"/>
        <w:ind w:left="3"/>
        <w:rPr>
          <w:rFonts w:hint="eastAsia" w:ascii="宋体" w:hAnsi="宋体" w:eastAsia="宋体" w:cs="宋体"/>
          <w:color w:val="auto"/>
          <w:sz w:val="24"/>
          <w:szCs w:val="24"/>
        </w:rPr>
      </w:pPr>
      <w:r>
        <w:rPr>
          <w:rFonts w:hint="eastAsia" w:ascii="宋体" w:hAnsi="宋体" w:eastAsia="宋体" w:cs="宋体"/>
          <w:color w:val="auto"/>
          <w:spacing w:val="-2"/>
          <w:sz w:val="24"/>
          <w:szCs w:val="24"/>
        </w:rPr>
        <w:t>非响应性投标，按废标处理。</w:t>
      </w:r>
    </w:p>
    <w:p w14:paraId="731DA574">
      <w:pPr>
        <w:spacing w:before="183" w:line="360" w:lineRule="auto"/>
        <w:ind w:firstLine="496"/>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12.2 特殊情况下，在原磋商有效期期满之前</w:t>
      </w:r>
      <w:r>
        <w:rPr>
          <w:rFonts w:hint="eastAsia" w:ascii="宋体" w:hAnsi="宋体" w:eastAsia="宋体" w:cs="宋体"/>
          <w:color w:val="auto"/>
          <w:spacing w:val="-3"/>
          <w:sz w:val="24"/>
          <w:szCs w:val="24"/>
        </w:rPr>
        <w:t>，采购代理机构可向供应商提出延长磋商</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有效期的要求。这种要求与答复均应以书面的形式。同意延长的供应商既不能要求也不允</w:t>
      </w:r>
    </w:p>
    <w:p w14:paraId="20670013">
      <w:pPr>
        <w:spacing w:line="219" w:lineRule="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许修改其磋商响应文件。</w:t>
      </w:r>
    </w:p>
    <w:p w14:paraId="4BB28D84">
      <w:pPr>
        <w:spacing w:before="184" w:line="219" w:lineRule="auto"/>
        <w:ind w:left="497"/>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13．响应文件的式样和签署</w:t>
      </w:r>
    </w:p>
    <w:p w14:paraId="7FA62523">
      <w:pPr>
        <w:spacing w:before="182" w:line="219" w:lineRule="auto"/>
        <w:ind w:left="497"/>
        <w:rPr>
          <w:rFonts w:hint="eastAsia" w:ascii="宋体" w:hAnsi="宋体" w:eastAsia="宋体" w:cs="宋体"/>
          <w:color w:val="auto"/>
          <w:sz w:val="24"/>
          <w:szCs w:val="24"/>
        </w:rPr>
      </w:pPr>
      <w:r>
        <w:rPr>
          <w:rFonts w:hint="eastAsia" w:ascii="宋体" w:hAnsi="宋体" w:eastAsia="宋体" w:cs="宋体"/>
          <w:color w:val="auto"/>
          <w:spacing w:val="-1"/>
          <w:sz w:val="24"/>
          <w:szCs w:val="24"/>
        </w:rPr>
        <w:t>13.1 纸质版响应文件仅需成交供应商提交，在领取成交通知书时提供用于备案。</w:t>
      </w:r>
    </w:p>
    <w:p w14:paraId="4976466F">
      <w:pPr>
        <w:spacing w:before="184" w:line="468" w:lineRule="exact"/>
        <w:ind w:right="2" w:firstLine="472" w:firstLineChars="200"/>
        <w:jc w:val="both"/>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13.2 纸质版磋商响应文件一式贰份</w:t>
      </w:r>
      <w:r>
        <w:rPr>
          <w:rFonts w:hint="eastAsia" w:ascii="宋体" w:hAnsi="宋体" w:eastAsia="宋体" w:cs="宋体"/>
          <w:color w:val="auto"/>
          <w:spacing w:val="-3"/>
          <w:position w:val="17"/>
          <w:sz w:val="24"/>
          <w:szCs w:val="24"/>
        </w:rPr>
        <w:t>。</w:t>
      </w:r>
    </w:p>
    <w:p w14:paraId="6C69A28F">
      <w:pPr>
        <w:spacing w:before="183" w:line="219" w:lineRule="auto"/>
        <w:ind w:left="497"/>
        <w:rPr>
          <w:rFonts w:hint="eastAsia" w:ascii="宋体" w:hAnsi="宋体" w:eastAsia="宋体" w:cs="宋体"/>
          <w:color w:val="auto"/>
          <w:sz w:val="24"/>
          <w:szCs w:val="24"/>
        </w:rPr>
      </w:pPr>
      <w:r>
        <w:rPr>
          <w:rFonts w:hint="eastAsia" w:ascii="宋体" w:hAnsi="宋体" w:eastAsia="宋体" w:cs="宋体"/>
          <w:color w:val="auto"/>
          <w:spacing w:val="-1"/>
          <w:sz w:val="24"/>
          <w:szCs w:val="24"/>
        </w:rPr>
        <w:t>13.3 供应商名称应当填写全称，同时</w:t>
      </w:r>
      <w:r>
        <w:rPr>
          <w:rFonts w:hint="eastAsia" w:ascii="宋体" w:hAnsi="宋体" w:eastAsia="宋体" w:cs="宋体"/>
          <w:color w:val="auto"/>
          <w:spacing w:val="-2"/>
          <w:sz w:val="24"/>
          <w:szCs w:val="24"/>
        </w:rPr>
        <w:t>加盖公章。</w:t>
      </w:r>
    </w:p>
    <w:p w14:paraId="016BC981">
      <w:pPr>
        <w:spacing w:before="184" w:line="360" w:lineRule="auto"/>
        <w:ind w:left="3" w:right="2" w:firstLine="493"/>
        <w:rPr>
          <w:rFonts w:hint="eastAsia" w:ascii="宋体" w:hAnsi="宋体" w:eastAsia="宋体" w:cs="宋体"/>
          <w:color w:val="auto"/>
          <w:sz w:val="24"/>
          <w:szCs w:val="24"/>
        </w:rPr>
      </w:pPr>
      <w:r>
        <w:rPr>
          <w:rFonts w:hint="eastAsia" w:ascii="宋体" w:hAnsi="宋体" w:eastAsia="宋体" w:cs="宋体"/>
          <w:color w:val="auto"/>
          <w:spacing w:val="-2"/>
          <w:sz w:val="24"/>
          <w:szCs w:val="24"/>
        </w:rPr>
        <w:t>13.4 纸质版磋商响应文件不得随意涂改和增</w:t>
      </w:r>
      <w:r>
        <w:rPr>
          <w:rFonts w:hint="eastAsia" w:ascii="宋体" w:hAnsi="宋体" w:eastAsia="宋体" w:cs="宋体"/>
          <w:color w:val="auto"/>
          <w:spacing w:val="-3"/>
          <w:sz w:val="24"/>
          <w:szCs w:val="24"/>
        </w:rPr>
        <w:t>删，应跟开标时上传的电子磋商响应文件</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一致。如有任何修改错漏之处，涂改或增删，必须由法定代表人或授权代表签字、</w:t>
      </w:r>
      <w:r>
        <w:rPr>
          <w:rFonts w:hint="eastAsia" w:ascii="宋体" w:hAnsi="宋体" w:eastAsia="宋体" w:cs="宋体"/>
          <w:color w:val="auto"/>
          <w:sz w:val="24"/>
          <w:szCs w:val="24"/>
        </w:rPr>
        <w:t>盖章才</w:t>
      </w:r>
    </w:p>
    <w:p w14:paraId="3AE8BB55">
      <w:pPr>
        <w:spacing w:line="220" w:lineRule="auto"/>
        <w:rPr>
          <w:rFonts w:hint="eastAsia" w:ascii="宋体" w:hAnsi="宋体" w:eastAsia="宋体" w:cs="宋体"/>
          <w:color w:val="auto"/>
          <w:sz w:val="24"/>
          <w:szCs w:val="24"/>
        </w:rPr>
      </w:pPr>
      <w:r>
        <w:rPr>
          <w:rFonts w:hint="eastAsia" w:ascii="宋体" w:hAnsi="宋体" w:eastAsia="宋体" w:cs="宋体"/>
          <w:color w:val="auto"/>
          <w:spacing w:val="-4"/>
          <w:sz w:val="24"/>
          <w:szCs w:val="24"/>
        </w:rPr>
        <w:t>有效。</w:t>
      </w:r>
    </w:p>
    <w:p w14:paraId="539E9FC6">
      <w:pPr>
        <w:spacing w:before="181" w:line="219" w:lineRule="auto"/>
        <w:jc w:val="right"/>
        <w:rPr>
          <w:rFonts w:hint="eastAsia" w:ascii="宋体" w:hAnsi="宋体" w:eastAsia="宋体" w:cs="宋体"/>
          <w:color w:val="auto"/>
          <w:sz w:val="24"/>
          <w:szCs w:val="24"/>
        </w:rPr>
      </w:pPr>
      <w:r>
        <w:rPr>
          <w:rFonts w:hint="eastAsia" w:ascii="宋体" w:hAnsi="宋体" w:eastAsia="宋体" w:cs="宋体"/>
          <w:color w:val="auto"/>
          <w:spacing w:val="-2"/>
          <w:sz w:val="24"/>
          <w:szCs w:val="24"/>
        </w:rPr>
        <w:t>13.5</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2"/>
          <w:sz w:val="24"/>
          <w:szCs w:val="24"/>
        </w:rPr>
        <w:t>供应商应按照磋商文件中提供的统一格式制作磋商响应文件，文件中应有目录。</w:t>
      </w:r>
    </w:p>
    <w:p w14:paraId="0E723703">
      <w:pPr>
        <w:spacing w:before="184" w:line="468" w:lineRule="exact"/>
        <w:ind w:right="2"/>
        <w:jc w:val="right"/>
        <w:rPr>
          <w:rFonts w:hint="eastAsia" w:ascii="宋体" w:hAnsi="宋体" w:eastAsia="宋体" w:cs="宋体"/>
          <w:color w:val="auto"/>
          <w:sz w:val="24"/>
          <w:szCs w:val="24"/>
        </w:rPr>
      </w:pPr>
      <w:r>
        <w:rPr>
          <w:rFonts w:hint="eastAsia" w:ascii="宋体" w:hAnsi="宋体" w:eastAsia="宋体" w:cs="宋体"/>
          <w:color w:val="auto"/>
          <w:position w:val="17"/>
          <w:sz w:val="24"/>
          <w:szCs w:val="24"/>
        </w:rPr>
        <w:t>13.6 纸质版磋商响应文件必须工整、规范、统一、清晰，采用</w:t>
      </w:r>
      <w:r>
        <w:rPr>
          <w:rFonts w:hint="eastAsia" w:ascii="宋体" w:hAnsi="宋体" w:eastAsia="宋体" w:cs="宋体"/>
          <w:color w:val="auto"/>
          <w:spacing w:val="-55"/>
          <w:position w:val="17"/>
          <w:sz w:val="24"/>
          <w:szCs w:val="24"/>
        </w:rPr>
        <w:t xml:space="preserve"> </w:t>
      </w:r>
      <w:r>
        <w:rPr>
          <w:rFonts w:hint="eastAsia" w:ascii="宋体" w:hAnsi="宋体" w:eastAsia="宋体" w:cs="宋体"/>
          <w:color w:val="auto"/>
          <w:position w:val="17"/>
          <w:sz w:val="24"/>
          <w:szCs w:val="24"/>
        </w:rPr>
        <w:t>A4</w:t>
      </w:r>
      <w:r>
        <w:rPr>
          <w:rFonts w:hint="eastAsia" w:ascii="宋体" w:hAnsi="宋体" w:eastAsia="宋体" w:cs="宋体"/>
          <w:color w:val="auto"/>
          <w:spacing w:val="-39"/>
          <w:position w:val="17"/>
          <w:sz w:val="24"/>
          <w:szCs w:val="24"/>
        </w:rPr>
        <w:t xml:space="preserve"> </w:t>
      </w:r>
      <w:r>
        <w:rPr>
          <w:rFonts w:hint="eastAsia" w:ascii="宋体" w:hAnsi="宋体" w:eastAsia="宋体" w:cs="宋体"/>
          <w:color w:val="auto"/>
          <w:position w:val="17"/>
          <w:sz w:val="24"/>
          <w:szCs w:val="24"/>
        </w:rPr>
        <w:t>幅面纸胶</w:t>
      </w:r>
      <w:r>
        <w:rPr>
          <w:rFonts w:hint="eastAsia" w:ascii="宋体" w:hAnsi="宋体" w:eastAsia="宋体" w:cs="宋体"/>
          <w:color w:val="auto"/>
          <w:spacing w:val="-1"/>
          <w:position w:val="17"/>
          <w:sz w:val="24"/>
          <w:szCs w:val="24"/>
        </w:rPr>
        <w:t>装成册、</w:t>
      </w:r>
    </w:p>
    <w:p w14:paraId="0621011D">
      <w:pPr>
        <w:spacing w:line="220" w:lineRule="auto"/>
        <w:rPr>
          <w:rFonts w:hint="eastAsia" w:ascii="宋体" w:hAnsi="宋体" w:eastAsia="宋体" w:cs="宋体"/>
          <w:color w:val="auto"/>
          <w:sz w:val="24"/>
          <w:szCs w:val="24"/>
        </w:rPr>
      </w:pPr>
      <w:r>
        <w:rPr>
          <w:rFonts w:hint="eastAsia" w:ascii="宋体" w:hAnsi="宋体" w:eastAsia="宋体" w:cs="宋体"/>
          <w:color w:val="auto"/>
          <w:spacing w:val="-3"/>
          <w:sz w:val="24"/>
          <w:szCs w:val="24"/>
        </w:rPr>
        <w:t>标注页码。</w:t>
      </w:r>
    </w:p>
    <w:p w14:paraId="7205DE56">
      <w:pPr>
        <w:spacing w:before="182" w:line="219" w:lineRule="auto"/>
        <w:ind w:left="497"/>
        <w:rPr>
          <w:rFonts w:hint="eastAsia" w:ascii="宋体" w:hAnsi="宋体" w:eastAsia="宋体" w:cs="宋体"/>
          <w:color w:val="auto"/>
          <w:sz w:val="24"/>
          <w:szCs w:val="24"/>
        </w:rPr>
      </w:pPr>
      <w:r>
        <w:rPr>
          <w:rFonts w:hint="eastAsia" w:ascii="宋体" w:hAnsi="宋体" w:eastAsia="宋体" w:cs="宋体"/>
          <w:color w:val="auto"/>
          <w:spacing w:val="-1"/>
          <w:sz w:val="24"/>
          <w:szCs w:val="24"/>
        </w:rPr>
        <w:t>13.7 若供应商对文件理解有误，产生的后果由供应商自行承担。</w:t>
      </w:r>
    </w:p>
    <w:p w14:paraId="5359C3BA">
      <w:pPr>
        <w:spacing w:before="260" w:line="220" w:lineRule="auto"/>
        <w:ind w:left="3886"/>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14:textOutline w14:w="4358" w14:cap="sq" w14:cmpd="sng">
            <w14:solidFill>
              <w14:srgbClr w14:val="000000"/>
            </w14:solidFill>
            <w14:prstDash w14:val="solid"/>
            <w14:bevel/>
          </w14:textOutline>
        </w:rPr>
        <w:t>四、</w:t>
      </w:r>
      <w:r>
        <w:rPr>
          <w:rFonts w:hint="eastAsia" w:ascii="宋体" w:hAnsi="宋体" w:eastAsia="宋体" w:cs="宋体"/>
          <w:color w:val="auto"/>
          <w:spacing w:val="-4"/>
          <w:sz w:val="24"/>
          <w:szCs w:val="24"/>
          <w:lang w:eastAsia="zh-CN"/>
          <w14:textOutline w14:w="4358" w14:cap="sq" w14:cmpd="sng">
            <w14:solidFill>
              <w14:srgbClr w14:val="000000"/>
            </w14:solidFill>
            <w14:prstDash w14:val="solid"/>
            <w14:bevel/>
          </w14:textOutline>
        </w:rPr>
        <w:t>磋商办法</w:t>
      </w:r>
    </w:p>
    <w:p w14:paraId="4C6854FD">
      <w:pPr>
        <w:spacing w:before="122" w:line="220" w:lineRule="auto"/>
        <w:ind w:left="498"/>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14．磋商截止日期</w:t>
      </w:r>
    </w:p>
    <w:p w14:paraId="510FF0E5">
      <w:pPr>
        <w:spacing w:before="181" w:line="219" w:lineRule="auto"/>
        <w:ind w:left="498"/>
        <w:rPr>
          <w:rFonts w:hint="eastAsia" w:ascii="宋体" w:hAnsi="宋体" w:eastAsia="宋体" w:cs="宋体"/>
          <w:color w:val="auto"/>
          <w:sz w:val="24"/>
          <w:szCs w:val="24"/>
        </w:rPr>
      </w:pPr>
      <w:r>
        <w:rPr>
          <w:rFonts w:hint="eastAsia" w:ascii="宋体" w:hAnsi="宋体" w:eastAsia="宋体" w:cs="宋体"/>
          <w:color w:val="auto"/>
          <w:spacing w:val="-1"/>
          <w:sz w:val="24"/>
          <w:szCs w:val="24"/>
        </w:rPr>
        <w:t>14.1 供应商应在不迟于磋商文件中规定的磋商截止时间前递交响应文件。</w:t>
      </w:r>
    </w:p>
    <w:p w14:paraId="13B744B8">
      <w:pPr>
        <w:spacing w:before="183" w:line="360" w:lineRule="auto"/>
        <w:ind w:firstLine="498"/>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14.2 采购代理机构可以按本须知第</w:t>
      </w:r>
      <w:r>
        <w:rPr>
          <w:rFonts w:hint="eastAsia" w:ascii="宋体" w:hAnsi="宋体" w:eastAsia="宋体" w:cs="宋体"/>
          <w:color w:val="auto"/>
          <w:spacing w:val="-46"/>
          <w:sz w:val="24"/>
          <w:szCs w:val="24"/>
        </w:rPr>
        <w:t xml:space="preserve"> </w:t>
      </w:r>
      <w:r>
        <w:rPr>
          <w:rFonts w:hint="eastAsia" w:ascii="宋体" w:hAnsi="宋体" w:eastAsia="宋体" w:cs="宋体"/>
          <w:color w:val="auto"/>
          <w:spacing w:val="-3"/>
          <w:sz w:val="24"/>
          <w:szCs w:val="24"/>
        </w:rPr>
        <w:t>5.3</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3"/>
          <w:sz w:val="24"/>
          <w:szCs w:val="24"/>
        </w:rPr>
        <w:t>条规定，通知因修改磋商文件而适当延长磋商</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截止期。在此情况下，采购人和供应商受磋商截止期制约的所有权利和义务应延长至新的</w:t>
      </w:r>
    </w:p>
    <w:p w14:paraId="75CEF96A">
      <w:pPr>
        <w:spacing w:line="220" w:lineRule="auto"/>
        <w:rPr>
          <w:rFonts w:hint="eastAsia" w:ascii="宋体" w:hAnsi="宋体" w:eastAsia="宋体" w:cs="宋体"/>
          <w:color w:val="auto"/>
          <w:sz w:val="24"/>
          <w:szCs w:val="24"/>
        </w:rPr>
      </w:pPr>
      <w:r>
        <w:rPr>
          <w:rFonts w:hint="eastAsia" w:ascii="宋体" w:hAnsi="宋体" w:eastAsia="宋体" w:cs="宋体"/>
          <w:color w:val="auto"/>
          <w:spacing w:val="-3"/>
          <w:sz w:val="24"/>
          <w:szCs w:val="24"/>
        </w:rPr>
        <w:t>截止期。</w:t>
      </w:r>
    </w:p>
    <w:p w14:paraId="01919250">
      <w:pPr>
        <w:spacing w:before="182" w:line="220" w:lineRule="auto"/>
        <w:ind w:left="498"/>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15．磋商</w:t>
      </w:r>
    </w:p>
    <w:p w14:paraId="0AB17D7D">
      <w:pPr>
        <w:spacing w:before="182" w:line="468" w:lineRule="exact"/>
        <w:ind w:right="2"/>
        <w:jc w:val="right"/>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15.1 采购代理机构组织磋商、文件开启、评</w:t>
      </w:r>
      <w:r>
        <w:rPr>
          <w:rFonts w:hint="eastAsia" w:ascii="宋体" w:hAnsi="宋体" w:eastAsia="宋体" w:cs="宋体"/>
          <w:color w:val="auto"/>
          <w:spacing w:val="-3"/>
          <w:position w:val="17"/>
          <w:sz w:val="24"/>
          <w:szCs w:val="24"/>
        </w:rPr>
        <w:t>审工作，磋商整个过程接受监督部门的监</w:t>
      </w:r>
    </w:p>
    <w:p w14:paraId="4F648C9E">
      <w:pPr>
        <w:spacing w:before="1" w:line="220" w:lineRule="auto"/>
        <w:ind w:left="5"/>
        <w:rPr>
          <w:rFonts w:hint="eastAsia" w:ascii="宋体" w:hAnsi="宋体" w:eastAsia="宋体" w:cs="宋体"/>
          <w:color w:val="auto"/>
          <w:sz w:val="24"/>
          <w:szCs w:val="24"/>
        </w:rPr>
      </w:pPr>
      <w:r>
        <w:rPr>
          <w:rFonts w:hint="eastAsia" w:ascii="宋体" w:hAnsi="宋体" w:eastAsia="宋体" w:cs="宋体"/>
          <w:color w:val="auto"/>
          <w:spacing w:val="-8"/>
          <w:sz w:val="24"/>
          <w:szCs w:val="24"/>
        </w:rPr>
        <w:t>督。</w:t>
      </w:r>
    </w:p>
    <w:p w14:paraId="3B7FD2F7">
      <w:pPr>
        <w:spacing w:before="181" w:line="360" w:lineRule="auto"/>
        <w:ind w:firstLine="497"/>
        <w:rPr>
          <w:rFonts w:hint="eastAsia" w:ascii="宋体" w:hAnsi="宋体" w:eastAsia="宋体" w:cs="宋体"/>
          <w:color w:val="auto"/>
          <w:sz w:val="24"/>
          <w:szCs w:val="24"/>
        </w:rPr>
      </w:pPr>
      <w:r>
        <w:rPr>
          <w:rFonts w:hint="eastAsia" w:ascii="宋体" w:hAnsi="宋体" w:eastAsia="宋体" w:cs="宋体"/>
          <w:color w:val="auto"/>
          <w:spacing w:val="-2"/>
          <w:sz w:val="24"/>
          <w:szCs w:val="24"/>
        </w:rPr>
        <w:t>15.2 本项目采用远程不见面开标方式进行开</w:t>
      </w:r>
      <w:r>
        <w:rPr>
          <w:rFonts w:hint="eastAsia" w:ascii="宋体" w:hAnsi="宋体" w:eastAsia="宋体" w:cs="宋体"/>
          <w:color w:val="auto"/>
          <w:spacing w:val="-3"/>
          <w:sz w:val="24"/>
          <w:szCs w:val="24"/>
        </w:rPr>
        <w:t>标、磋商，采购代理机构在规定的时间和</w:t>
      </w:r>
      <w:r>
        <w:rPr>
          <w:rFonts w:hint="eastAsia" w:ascii="宋体" w:hAnsi="宋体" w:eastAsia="宋体" w:cs="宋体"/>
          <w:color w:val="auto"/>
          <w:sz w:val="24"/>
          <w:szCs w:val="24"/>
        </w:rPr>
        <w:t xml:space="preserve"> 地点组织磋商，供应商授权代表不到现场参加开标，须自行在各自办公场</w:t>
      </w:r>
      <w:r>
        <w:rPr>
          <w:rFonts w:hint="eastAsia" w:ascii="宋体" w:hAnsi="宋体" w:eastAsia="宋体" w:cs="宋体"/>
          <w:color w:val="auto"/>
          <w:spacing w:val="-1"/>
          <w:sz w:val="24"/>
          <w:szCs w:val="24"/>
        </w:rPr>
        <w:t>所，</w:t>
      </w:r>
      <w:r>
        <w:rPr>
          <w:rFonts w:hint="eastAsia" w:ascii="宋体" w:hAnsi="宋体" w:eastAsia="宋体" w:cs="宋体"/>
          <w:color w:val="auto"/>
          <w:spacing w:val="-71"/>
          <w:sz w:val="24"/>
          <w:szCs w:val="24"/>
        </w:rPr>
        <w:t xml:space="preserve"> </w:t>
      </w:r>
      <w:r>
        <w:rPr>
          <w:rFonts w:hint="eastAsia" w:ascii="宋体" w:hAnsi="宋体" w:eastAsia="宋体" w:cs="宋体"/>
          <w:color w:val="auto"/>
          <w:spacing w:val="-1"/>
          <w:sz w:val="24"/>
          <w:szCs w:val="24"/>
        </w:rPr>
        <w:t>自备电脑在</w:t>
      </w:r>
    </w:p>
    <w:p w14:paraId="367DFB8E">
      <w:pPr>
        <w:spacing w:line="219" w:lineRule="auto"/>
        <w:ind w:left="3"/>
        <w:rPr>
          <w:rFonts w:hint="eastAsia" w:ascii="宋体" w:hAnsi="宋体" w:eastAsia="宋体" w:cs="宋体"/>
          <w:color w:val="auto"/>
          <w:sz w:val="24"/>
          <w:szCs w:val="24"/>
        </w:rPr>
      </w:pPr>
      <w:r>
        <w:rPr>
          <w:rFonts w:hint="eastAsia" w:ascii="宋体" w:hAnsi="宋体" w:eastAsia="宋体" w:cs="宋体"/>
          <w:color w:val="auto"/>
          <w:spacing w:val="-1"/>
          <w:sz w:val="24"/>
          <w:szCs w:val="24"/>
        </w:rPr>
        <w:t>投标截止时间前登录不见面开标大厅，进行远程开标、磋商。</w:t>
      </w:r>
    </w:p>
    <w:p w14:paraId="2FFFCA28">
      <w:pPr>
        <w:spacing w:before="183" w:line="468" w:lineRule="exact"/>
        <w:ind w:right="2"/>
        <w:jc w:val="right"/>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15.3</w:t>
      </w:r>
      <w:r>
        <w:rPr>
          <w:rFonts w:hint="eastAsia" w:ascii="宋体" w:hAnsi="宋体" w:eastAsia="宋体" w:cs="宋体"/>
          <w:color w:val="auto"/>
          <w:spacing w:val="-51"/>
          <w:position w:val="17"/>
          <w:sz w:val="24"/>
          <w:szCs w:val="24"/>
        </w:rPr>
        <w:t xml:space="preserve"> </w:t>
      </w:r>
      <w:r>
        <w:rPr>
          <w:rFonts w:hint="eastAsia" w:ascii="宋体" w:hAnsi="宋体" w:eastAsia="宋体" w:cs="宋体"/>
          <w:color w:val="auto"/>
          <w:spacing w:val="-1"/>
          <w:position w:val="17"/>
          <w:sz w:val="24"/>
          <w:szCs w:val="24"/>
        </w:rPr>
        <w:t>磋商小组将分别与每位供应商远程进行磋商，请及时关注不见</w:t>
      </w:r>
      <w:r>
        <w:rPr>
          <w:rFonts w:hint="eastAsia" w:ascii="宋体" w:hAnsi="宋体" w:eastAsia="宋体" w:cs="宋体"/>
          <w:color w:val="auto"/>
          <w:spacing w:val="-2"/>
          <w:position w:val="17"/>
          <w:sz w:val="24"/>
          <w:szCs w:val="24"/>
        </w:rPr>
        <w:t>面开播大厅右侧公</w:t>
      </w:r>
    </w:p>
    <w:p w14:paraId="694BE88B">
      <w:pPr>
        <w:spacing w:before="1" w:line="217" w:lineRule="auto"/>
        <w:ind w:left="6"/>
        <w:rPr>
          <w:rFonts w:hint="eastAsia" w:ascii="宋体" w:hAnsi="宋体" w:eastAsia="宋体" w:cs="宋体"/>
          <w:color w:val="auto"/>
          <w:sz w:val="24"/>
          <w:szCs w:val="24"/>
        </w:rPr>
      </w:pPr>
      <w:r>
        <w:rPr>
          <w:rFonts w:hint="eastAsia" w:ascii="宋体" w:hAnsi="宋体" w:eastAsia="宋体" w:cs="宋体"/>
          <w:color w:val="auto"/>
          <w:spacing w:val="-2"/>
          <w:sz w:val="24"/>
          <w:szCs w:val="24"/>
        </w:rPr>
        <w:t>告及互动栏目信息。</w:t>
      </w:r>
    </w:p>
    <w:p w14:paraId="6DFF4369">
      <w:pPr>
        <w:spacing w:before="185" w:line="468" w:lineRule="exact"/>
        <w:ind w:right="2"/>
        <w:jc w:val="right"/>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15.4 磋商结束后，供应商在自备电脑上用数</w:t>
      </w:r>
      <w:r>
        <w:rPr>
          <w:rFonts w:hint="eastAsia" w:ascii="宋体" w:hAnsi="宋体" w:eastAsia="宋体" w:cs="宋体"/>
          <w:color w:val="auto"/>
          <w:position w:val="17"/>
          <w:sz w:val="24"/>
          <w:szCs w:val="24"/>
        </w:rPr>
        <w:t>字认证证书（CA 主锁）登录系统进行二</w:t>
      </w:r>
    </w:p>
    <w:p w14:paraId="472923D2">
      <w:pPr>
        <w:spacing w:before="1" w:line="217" w:lineRule="auto"/>
        <w:ind w:left="7"/>
        <w:rPr>
          <w:rFonts w:hint="eastAsia" w:ascii="宋体" w:hAnsi="宋体" w:eastAsia="宋体" w:cs="宋体"/>
          <w:color w:val="auto"/>
          <w:sz w:val="24"/>
          <w:szCs w:val="24"/>
        </w:rPr>
      </w:pPr>
      <w:r>
        <w:rPr>
          <w:rFonts w:hint="eastAsia" w:ascii="宋体" w:hAnsi="宋体" w:eastAsia="宋体" w:cs="宋体"/>
          <w:color w:val="auto"/>
          <w:spacing w:val="-1"/>
          <w:sz w:val="24"/>
          <w:szCs w:val="24"/>
        </w:rPr>
        <w:t>次报价，系统按照评标规则自动排序。</w:t>
      </w:r>
    </w:p>
    <w:p w14:paraId="480E624A">
      <w:pPr>
        <w:spacing w:before="185" w:line="360" w:lineRule="auto"/>
        <w:ind w:left="5" w:firstLine="492"/>
        <w:rPr>
          <w:rFonts w:hint="eastAsia" w:ascii="宋体" w:hAnsi="宋体" w:eastAsia="宋体" w:cs="宋体"/>
          <w:color w:val="auto"/>
          <w:sz w:val="24"/>
          <w:szCs w:val="24"/>
        </w:rPr>
      </w:pPr>
      <w:r>
        <w:rPr>
          <w:rFonts w:hint="eastAsia" w:ascii="宋体" w:hAnsi="宋体" w:eastAsia="宋体" w:cs="宋体"/>
          <w:color w:val="auto"/>
          <w:spacing w:val="-1"/>
          <w:sz w:val="24"/>
          <w:szCs w:val="24"/>
        </w:rPr>
        <w:t>15.5</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1"/>
          <w:sz w:val="24"/>
          <w:szCs w:val="24"/>
        </w:rPr>
        <w:t>在磋商期间，响应文件中有不满足竞争性磋商文件资质要求的</w:t>
      </w:r>
      <w:r>
        <w:rPr>
          <w:rFonts w:hint="eastAsia" w:ascii="宋体" w:hAnsi="宋体" w:eastAsia="宋体" w:cs="宋体"/>
          <w:color w:val="auto"/>
          <w:spacing w:val="-2"/>
          <w:sz w:val="24"/>
          <w:szCs w:val="24"/>
        </w:rPr>
        <w:t>或不符合竞争性磋</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商文件要求的内容，将视为无效投标；磋商小组可要求供应商对其磋商响应文件中含</w:t>
      </w:r>
      <w:r>
        <w:rPr>
          <w:rFonts w:hint="eastAsia" w:ascii="宋体" w:hAnsi="宋体" w:eastAsia="宋体" w:cs="宋体"/>
          <w:color w:val="auto"/>
          <w:sz w:val="24"/>
          <w:szCs w:val="24"/>
        </w:rPr>
        <w:t xml:space="preserve">义不 </w:t>
      </w:r>
      <w:r>
        <w:rPr>
          <w:rFonts w:hint="eastAsia" w:ascii="宋体" w:hAnsi="宋体" w:eastAsia="宋体" w:cs="宋体"/>
          <w:color w:val="auto"/>
          <w:spacing w:val="1"/>
          <w:sz w:val="24"/>
          <w:szCs w:val="24"/>
        </w:rPr>
        <w:t>明确的内容作必要的澄清或说明，但澄清或说明不得超出磋商响应文件的范围或改变</w:t>
      </w:r>
      <w:r>
        <w:rPr>
          <w:rFonts w:hint="eastAsia" w:ascii="宋体" w:hAnsi="宋体" w:eastAsia="宋体" w:cs="宋体"/>
          <w:color w:val="auto"/>
          <w:sz w:val="24"/>
          <w:szCs w:val="24"/>
        </w:rPr>
        <w:t xml:space="preserve">磋商 </w:t>
      </w:r>
      <w:r>
        <w:rPr>
          <w:rFonts w:hint="eastAsia" w:ascii="宋体" w:hAnsi="宋体" w:eastAsia="宋体" w:cs="宋体"/>
          <w:color w:val="auto"/>
          <w:spacing w:val="1"/>
          <w:sz w:val="24"/>
          <w:szCs w:val="24"/>
        </w:rPr>
        <w:t>响应文件实质性内容。有关澄清的要求和答复均应以书面形式提交，澄清的内容为磋</w:t>
      </w:r>
      <w:r>
        <w:rPr>
          <w:rFonts w:hint="eastAsia" w:ascii="宋体" w:hAnsi="宋体" w:eastAsia="宋体" w:cs="宋体"/>
          <w:color w:val="auto"/>
          <w:sz w:val="24"/>
          <w:szCs w:val="24"/>
        </w:rPr>
        <w:t>商响</w:t>
      </w:r>
    </w:p>
    <w:p w14:paraId="4ADA8A93">
      <w:pPr>
        <w:spacing w:line="219"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rPr>
        <w:t>应文件的组成部分。</w:t>
      </w:r>
    </w:p>
    <w:p w14:paraId="63A6EEBD">
      <w:pPr>
        <w:spacing w:before="183" w:line="218" w:lineRule="auto"/>
        <w:ind w:left="498"/>
        <w:rPr>
          <w:rFonts w:hint="eastAsia" w:ascii="宋体" w:hAnsi="宋体" w:eastAsia="宋体" w:cs="宋体"/>
          <w:color w:val="auto"/>
          <w:sz w:val="24"/>
          <w:szCs w:val="24"/>
        </w:rPr>
      </w:pPr>
      <w:r>
        <w:rPr>
          <w:rFonts w:hint="eastAsia" w:ascii="宋体" w:hAnsi="宋体" w:eastAsia="宋体" w:cs="宋体"/>
          <w:color w:val="auto"/>
          <w:spacing w:val="-1"/>
          <w:sz w:val="24"/>
          <w:szCs w:val="24"/>
        </w:rPr>
        <w:t>15.6 参加磋商的供应商应当对磋商的承诺和最后报价确认，并由授权代表签章。</w:t>
      </w:r>
    </w:p>
    <w:p w14:paraId="0DE9A00A">
      <w:pPr>
        <w:spacing w:before="105" w:line="218" w:lineRule="auto"/>
        <w:ind w:left="484"/>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二次报价网上操作流程：</w:t>
      </w:r>
    </w:p>
    <w:p w14:paraId="54C76B2F">
      <w:pPr>
        <w:spacing w:before="184" w:line="214" w:lineRule="auto"/>
        <w:ind w:left="252"/>
        <w:rPr>
          <w:rFonts w:hint="eastAsia" w:ascii="宋体" w:hAnsi="宋体" w:eastAsia="宋体" w:cs="宋体"/>
          <w:color w:val="auto"/>
          <w:sz w:val="24"/>
          <w:szCs w:val="24"/>
        </w:rPr>
      </w:pPr>
      <w:r>
        <w:rPr>
          <w:rFonts w:hint="eastAsia" w:ascii="宋体" w:hAnsi="宋体" w:eastAsia="宋体" w:cs="宋体"/>
          <w:color w:val="auto"/>
          <w:spacing w:val="-1"/>
          <w:sz w:val="24"/>
          <w:szCs w:val="24"/>
        </w:rPr>
        <w:t>（1）插入</w:t>
      </w:r>
      <w:r>
        <w:rPr>
          <w:rFonts w:hint="eastAsia" w:ascii="宋体" w:hAnsi="宋体" w:eastAsia="宋体" w:cs="宋体"/>
          <w:color w:val="auto"/>
          <w:spacing w:val="-52"/>
          <w:sz w:val="24"/>
          <w:szCs w:val="24"/>
        </w:rPr>
        <w:t xml:space="preserve"> </w:t>
      </w:r>
      <w:r>
        <w:rPr>
          <w:rFonts w:hint="eastAsia" w:ascii="宋体" w:hAnsi="宋体" w:eastAsia="宋体" w:cs="宋体"/>
          <w:color w:val="auto"/>
          <w:spacing w:val="-1"/>
          <w:sz w:val="24"/>
          <w:szCs w:val="24"/>
        </w:rPr>
        <w:t>CA</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1"/>
          <w:sz w:val="24"/>
          <w:szCs w:val="24"/>
        </w:rPr>
        <w:t>锁，登录陕西省公共资源交易平台网站（http://www.sx</w:t>
      </w:r>
      <w:r>
        <w:rPr>
          <w:rFonts w:hint="eastAsia" w:ascii="宋体" w:hAnsi="宋体" w:eastAsia="宋体" w:cs="宋体"/>
          <w:color w:val="auto"/>
          <w:spacing w:val="-2"/>
          <w:sz w:val="24"/>
          <w:szCs w:val="24"/>
        </w:rPr>
        <w:t>ggzy</w:t>
      </w:r>
      <w:r>
        <w:rPr>
          <w:rFonts w:hint="eastAsia" w:ascii="宋体" w:hAnsi="宋体" w:eastAsia="宋体" w:cs="宋体"/>
          <w:color w:val="auto"/>
          <w:spacing w:val="-101"/>
          <w:sz w:val="24"/>
          <w:szCs w:val="24"/>
        </w:rPr>
        <w:t xml:space="preserve"> </w:t>
      </w:r>
      <w:r>
        <w:rPr>
          <w:rFonts w:hint="eastAsia" w:ascii="宋体" w:hAnsi="宋体" w:eastAsia="宋体" w:cs="宋体"/>
          <w:color w:val="auto"/>
          <w:spacing w:val="-2"/>
          <w:sz w:val="24"/>
          <w:szCs w:val="24"/>
        </w:rPr>
        <w:t>jy.cn/</w:t>
      </w:r>
      <w:r>
        <w:rPr>
          <w:rFonts w:hint="eastAsia" w:ascii="宋体" w:hAnsi="宋体" w:eastAsia="宋体" w:cs="宋体"/>
          <w:color w:val="auto"/>
          <w:sz w:val="24"/>
          <w:szCs w:val="24"/>
        </w:rPr>
        <w:t>）；</w:t>
      </w:r>
    </w:p>
    <w:p w14:paraId="7CC45F5B">
      <w:pPr>
        <w:spacing w:before="308" w:line="588" w:lineRule="exact"/>
        <w:ind w:left="252"/>
        <w:rPr>
          <w:rFonts w:hint="eastAsia" w:ascii="宋体" w:hAnsi="宋体" w:eastAsia="宋体" w:cs="宋体"/>
          <w:color w:val="auto"/>
          <w:sz w:val="24"/>
          <w:szCs w:val="24"/>
        </w:rPr>
      </w:pPr>
      <w:r>
        <w:rPr>
          <w:rFonts w:hint="eastAsia" w:ascii="宋体" w:hAnsi="宋体" w:eastAsia="宋体" w:cs="宋体"/>
          <w:color w:val="auto"/>
          <w:spacing w:val="-1"/>
          <w:position w:val="26"/>
          <w:sz w:val="24"/>
          <w:szCs w:val="24"/>
        </w:rPr>
        <w:t>（2）点击右上角我的项目，选择本次开标项目，点击项目流程；</w:t>
      </w:r>
    </w:p>
    <w:p w14:paraId="437C45A7">
      <w:pPr>
        <w:spacing w:before="2" w:line="217" w:lineRule="auto"/>
        <w:ind w:left="252"/>
        <w:rPr>
          <w:rFonts w:hint="eastAsia" w:ascii="宋体" w:hAnsi="宋体" w:eastAsia="宋体" w:cs="宋体"/>
          <w:color w:val="auto"/>
          <w:sz w:val="24"/>
          <w:szCs w:val="24"/>
        </w:rPr>
      </w:pPr>
      <w:r>
        <w:rPr>
          <w:rFonts w:hint="eastAsia" w:ascii="宋体" w:hAnsi="宋体" w:eastAsia="宋体" w:cs="宋体"/>
          <w:color w:val="auto"/>
          <w:spacing w:val="-3"/>
          <w:sz w:val="24"/>
          <w:szCs w:val="24"/>
        </w:rPr>
        <w:t>（3）点击网上报价；</w:t>
      </w:r>
    </w:p>
    <w:p w14:paraId="3E540F50">
      <w:pPr>
        <w:pStyle w:val="10"/>
        <w:spacing w:before="267" w:line="706" w:lineRule="exact"/>
        <w:ind w:left="252"/>
        <w:rPr>
          <w:rFonts w:hint="eastAsia" w:ascii="宋体" w:hAnsi="宋体" w:eastAsia="宋体" w:cs="宋体"/>
          <w:color w:val="auto"/>
          <w:sz w:val="24"/>
          <w:szCs w:val="24"/>
        </w:rPr>
      </w:pPr>
      <w:r>
        <w:rPr>
          <w:rFonts w:hint="eastAsia" w:ascii="宋体" w:hAnsi="宋体" w:eastAsia="宋体" w:cs="宋体"/>
          <w:color w:val="auto"/>
          <w:position w:val="19"/>
          <w:sz w:val="24"/>
          <w:szCs w:val="24"/>
        </w:rPr>
        <w:t>（4）报价：点击报价，输入金额</w:t>
      </w:r>
      <w:r>
        <w:rPr>
          <w:rFonts w:hint="eastAsia" w:ascii="宋体" w:hAnsi="宋体" w:eastAsia="宋体" w:cs="宋体"/>
          <w:color w:val="auto"/>
          <w:position w:val="19"/>
          <w:sz w:val="24"/>
          <w:szCs w:val="24"/>
          <w14:textOutline w14:w="4358" w14:cap="sq" w14:cmpd="sng">
            <w14:solidFill>
              <w14:srgbClr w14:val="000000"/>
            </w14:solidFill>
            <w14:prstDash w14:val="solid"/>
            <w14:bevel/>
          </w14:textOutline>
        </w:rPr>
        <w:t>（注意大小写一致、报价单位</w:t>
      </w:r>
      <w:r>
        <w:rPr>
          <w:rFonts w:hint="eastAsia" w:ascii="宋体" w:hAnsi="宋体" w:eastAsia="宋体" w:cs="宋体"/>
          <w:color w:val="auto"/>
          <w:spacing w:val="2"/>
          <w:position w:val="19"/>
          <w:sz w:val="24"/>
          <w:szCs w:val="24"/>
          <w14:textOutline w14:w="4358" w14:cap="sq" w14:cmpd="sng">
            <w14:solidFill>
              <w14:srgbClr w14:val="000000"/>
            </w14:solidFill>
            <w14:prstDash w14:val="solid"/>
            <w14:bevel/>
          </w14:textOutline>
        </w:rPr>
        <w:t>）</w:t>
      </w:r>
      <w:r>
        <w:rPr>
          <w:rFonts w:hint="eastAsia" w:ascii="宋体" w:hAnsi="宋体" w:eastAsia="宋体" w:cs="宋体"/>
          <w:color w:val="auto"/>
          <w:spacing w:val="2"/>
          <w:position w:val="19"/>
          <w:sz w:val="24"/>
          <w:szCs w:val="24"/>
        </w:rPr>
        <w:t>；</w:t>
      </w:r>
    </w:p>
    <w:p w14:paraId="17C45A58">
      <w:pPr>
        <w:keepNext w:val="0"/>
        <w:keepLines w:val="0"/>
        <w:pageBreakBefore w:val="0"/>
        <w:widowControl/>
        <w:kinsoku w:val="0"/>
        <w:wordWrap/>
        <w:overflowPunct/>
        <w:topLinePunct w:val="0"/>
        <w:autoSpaceDE w:val="0"/>
        <w:autoSpaceDN w:val="0"/>
        <w:bidi w:val="0"/>
        <w:adjustRightInd w:val="0"/>
        <w:snapToGrid w:val="0"/>
        <w:spacing w:before="2" w:line="240" w:lineRule="auto"/>
        <w:ind w:left="249"/>
        <w:textAlignment w:val="baseline"/>
        <w:rPr>
          <w:rFonts w:hint="eastAsia" w:ascii="宋体" w:hAnsi="宋体" w:eastAsia="宋体" w:cs="宋体"/>
          <w:color w:val="auto"/>
          <w:sz w:val="24"/>
          <w:szCs w:val="24"/>
        </w:rPr>
      </w:pPr>
      <w:r>
        <w:rPr>
          <w:rFonts w:hint="eastAsia" w:ascii="宋体" w:hAnsi="宋体" w:eastAsia="宋体" w:cs="宋体"/>
          <w:color w:val="auto"/>
          <w:spacing w:val="-2"/>
          <w:position w:val="-1"/>
          <w:sz w:val="24"/>
          <w:szCs w:val="24"/>
        </w:rPr>
        <w:t>（5）签章查看：点击</w:t>
      </w:r>
      <w:r>
        <w:rPr>
          <w:rFonts w:hint="eastAsia" w:ascii="宋体" w:hAnsi="宋体" w:eastAsia="宋体" w:cs="宋体"/>
          <w:color w:val="auto"/>
          <w:spacing w:val="-75"/>
          <w:position w:val="9"/>
          <w:sz w:val="42"/>
          <w:szCs w:val="42"/>
        </w:rPr>
        <w:t xml:space="preserve"> </w:t>
      </w:r>
      <w:r>
        <w:rPr>
          <w:rFonts w:hint="eastAsia" w:ascii="宋体" w:hAnsi="宋体" w:eastAsia="宋体" w:cs="宋体"/>
          <w:color w:val="auto"/>
          <w:spacing w:val="-2"/>
          <w:position w:val="-1"/>
          <w:sz w:val="24"/>
          <w:szCs w:val="24"/>
        </w:rPr>
        <w:t>，选择单页签章，点击报价表右下角签章；</w:t>
      </w:r>
    </w:p>
    <w:p w14:paraId="0249EA8F">
      <w:pPr>
        <w:pStyle w:val="10"/>
        <w:spacing w:line="267" w:lineRule="auto"/>
        <w:rPr>
          <w:rFonts w:hint="eastAsia" w:ascii="宋体" w:hAnsi="宋体" w:eastAsia="宋体" w:cs="宋体"/>
          <w:color w:val="auto"/>
        </w:rPr>
      </w:pPr>
      <w:r>
        <w:rPr>
          <w:rFonts w:hint="eastAsia" w:ascii="宋体" w:hAnsi="宋体" w:eastAsia="宋体" w:cs="宋体"/>
          <w:color w:val="auto"/>
        </w:rPr>
        <w:drawing>
          <wp:anchor distT="0" distB="0" distL="0" distR="0" simplePos="0" relativeHeight="251661312" behindDoc="0" locked="0" layoutInCell="0" allowOverlap="1">
            <wp:simplePos x="0" y="0"/>
            <wp:positionH relativeFrom="page">
              <wp:posOffset>2391410</wp:posOffset>
            </wp:positionH>
            <wp:positionV relativeFrom="page">
              <wp:posOffset>8423275</wp:posOffset>
            </wp:positionV>
            <wp:extent cx="3822700" cy="590550"/>
            <wp:effectExtent l="0" t="0" r="635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2"/>
                    <a:stretch>
                      <a:fillRect/>
                    </a:stretch>
                  </pic:blipFill>
                  <pic:spPr>
                    <a:xfrm>
                      <a:off x="0" y="0"/>
                      <a:ext cx="3822700" cy="590550"/>
                    </a:xfrm>
                    <a:prstGeom prst="rect">
                      <a:avLst/>
                    </a:prstGeom>
                  </pic:spPr>
                </pic:pic>
              </a:graphicData>
            </a:graphic>
          </wp:anchor>
        </w:drawing>
      </w:r>
    </w:p>
    <w:p w14:paraId="218C64A8">
      <w:pPr>
        <w:spacing w:before="78" w:line="586" w:lineRule="exact"/>
        <w:ind w:left="253"/>
        <w:rPr>
          <w:rFonts w:hint="eastAsia" w:ascii="宋体" w:hAnsi="宋体" w:eastAsia="宋体" w:cs="宋体"/>
          <w:color w:val="auto"/>
          <w:sz w:val="24"/>
          <w:szCs w:val="24"/>
        </w:rPr>
      </w:pPr>
      <w:r>
        <w:rPr>
          <w:rFonts w:hint="eastAsia" w:ascii="宋体" w:hAnsi="宋体" w:eastAsia="宋体" w:cs="宋体"/>
          <w:color w:val="auto"/>
          <w:spacing w:val="-3"/>
          <w:position w:val="26"/>
          <w:sz w:val="24"/>
          <w:szCs w:val="24"/>
        </w:rPr>
        <w:t>（6）确认无误如图：</w:t>
      </w:r>
    </w:p>
    <w:p w14:paraId="1F7D1321">
      <w:pPr>
        <w:spacing w:line="220" w:lineRule="auto"/>
        <w:ind w:left="253"/>
        <w:rPr>
          <w:rFonts w:hint="eastAsia" w:ascii="宋体" w:hAnsi="宋体" w:eastAsia="宋体" w:cs="宋体"/>
          <w:color w:val="auto"/>
          <w:sz w:val="24"/>
          <w:szCs w:val="24"/>
        </w:rPr>
      </w:pPr>
      <w:r>
        <w:rPr>
          <w:rFonts w:hint="eastAsia" w:ascii="宋体" w:hAnsi="宋体" w:eastAsia="宋体" w:cs="宋体"/>
          <w:color w:val="auto"/>
          <w:spacing w:val="-4"/>
          <w:sz w:val="24"/>
          <w:szCs w:val="24"/>
        </w:rPr>
        <w:t>（7）提交。</w:t>
      </w:r>
    </w:p>
    <w:p w14:paraId="16C13F4A">
      <w:pPr>
        <w:pStyle w:val="10"/>
        <w:spacing w:line="298" w:lineRule="auto"/>
        <w:rPr>
          <w:rFonts w:hint="eastAsia" w:ascii="宋体" w:hAnsi="宋体" w:eastAsia="宋体" w:cs="宋体"/>
          <w:color w:val="auto"/>
        </w:rPr>
      </w:pPr>
    </w:p>
    <w:p w14:paraId="1740C40A">
      <w:pPr>
        <w:spacing w:before="78" w:line="220" w:lineRule="auto"/>
        <w:ind w:left="499"/>
        <w:rPr>
          <w:rFonts w:hint="eastAsia" w:ascii="宋体" w:hAnsi="宋体" w:eastAsia="宋体" w:cs="宋体"/>
          <w:color w:val="auto"/>
          <w:sz w:val="24"/>
          <w:szCs w:val="24"/>
        </w:rPr>
      </w:pPr>
      <w:r>
        <w:rPr>
          <w:rFonts w:hint="eastAsia" w:ascii="宋体" w:hAnsi="宋体" w:eastAsia="宋体" w:cs="宋体"/>
          <w:color w:val="auto"/>
          <w:spacing w:val="-4"/>
          <w:sz w:val="24"/>
          <w:szCs w:val="24"/>
          <w14:textOutline w14:w="4358" w14:cap="sq" w14:cmpd="sng">
            <w14:solidFill>
              <w14:srgbClr w14:val="000000"/>
            </w14:solidFill>
            <w14:prstDash w14:val="solid"/>
            <w14:bevel/>
          </w14:textOutline>
        </w:rPr>
        <w:t>16、评审组织</w:t>
      </w:r>
    </w:p>
    <w:p w14:paraId="2506D750">
      <w:pPr>
        <w:spacing w:before="181" w:line="360" w:lineRule="auto"/>
        <w:ind w:left="2" w:firstLine="575"/>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16.1 按照《中华人民共和国政府采购法》、《中华人民共和国政府采购法实施条例》</w:t>
      </w:r>
      <w:r>
        <w:rPr>
          <w:rFonts w:hint="eastAsia" w:ascii="宋体" w:hAnsi="宋体" w:eastAsia="宋体" w:cs="宋体"/>
          <w:color w:val="auto"/>
          <w:spacing w:val="8"/>
          <w:sz w:val="24"/>
          <w:szCs w:val="24"/>
        </w:rPr>
        <w:t xml:space="preserve"> </w:t>
      </w:r>
      <w:r>
        <w:rPr>
          <w:rFonts w:hint="eastAsia" w:ascii="宋体" w:hAnsi="宋体" w:eastAsia="宋体" w:cs="宋体"/>
          <w:color w:val="auto"/>
          <w:spacing w:val="-4"/>
          <w:sz w:val="24"/>
          <w:szCs w:val="24"/>
        </w:rPr>
        <w:t>和关于印发《政府采购竞争性磋商采购方式管理暂行办法》的通知（财库【2014】214</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4"/>
          <w:sz w:val="24"/>
          <w:szCs w:val="24"/>
        </w:rPr>
        <w:t>号</w:t>
      </w:r>
      <w:r>
        <w:rPr>
          <w:rFonts w:hint="eastAsia" w:ascii="宋体" w:hAnsi="宋体" w:eastAsia="宋体" w:cs="宋体"/>
          <w:color w:val="auto"/>
          <w:spacing w:val="-62"/>
          <w:sz w:val="24"/>
          <w:szCs w:val="24"/>
        </w:rPr>
        <w:t>），</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依法组建磋商小组。磋商小组由采购人代表和评审专家组成，其中评审专家不少于成员总  数的三分之二。磋商小组按照竞争性磋商文件规定的评审</w:t>
      </w:r>
      <w:r>
        <w:rPr>
          <w:rFonts w:hint="eastAsia" w:ascii="宋体" w:hAnsi="宋体" w:eastAsia="宋体" w:cs="宋体"/>
          <w:color w:val="auto"/>
          <w:spacing w:val="-1"/>
          <w:sz w:val="24"/>
          <w:szCs w:val="24"/>
        </w:rPr>
        <w:t>方法独立进行评审工作。</w:t>
      </w:r>
    </w:p>
    <w:p w14:paraId="1FE0E5BC">
      <w:pPr>
        <w:spacing w:before="182" w:line="360" w:lineRule="auto"/>
        <w:ind w:left="2" w:right="103" w:firstLine="575"/>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16.2 磋商文件和磋商响应文件是评审的依据。</w:t>
      </w:r>
      <w:r>
        <w:rPr>
          <w:rFonts w:hint="eastAsia" w:ascii="宋体" w:hAnsi="宋体" w:eastAsia="宋体" w:cs="宋体"/>
          <w:color w:val="auto"/>
          <w:spacing w:val="1"/>
          <w:sz w:val="24"/>
          <w:szCs w:val="24"/>
        </w:rPr>
        <w:t>在评审中，不得改变磋商文件中规定</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的评审标准、方法和成交条件。在评审期间，对竞争性磋商响应文件中含义不明确、同类</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1"/>
          <w:sz w:val="24"/>
          <w:szCs w:val="24"/>
        </w:rPr>
        <w:t>问题表述不一致或者有明显文字和计算错误的内容，磋商小组可以书面形式（由磋商小组</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1"/>
          <w:sz w:val="24"/>
          <w:szCs w:val="24"/>
        </w:rPr>
        <w:t>专家签字）要求供应商作出必要的澄清、说明或者纠正。供应商的澄清、说明或者补正应</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1"/>
          <w:sz w:val="24"/>
          <w:szCs w:val="24"/>
        </w:rPr>
        <w:t>当采用书面形式，由其授权的代表签字，并不得超出竞争性磋商响应文件的范围或者改变</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1"/>
          <w:sz w:val="24"/>
          <w:szCs w:val="24"/>
        </w:rPr>
        <w:t>竞争性磋商响应文件的实质性内容。供应商不得在磋商后使用任何方式对磋商响应文件的</w:t>
      </w:r>
    </w:p>
    <w:p w14:paraId="7169C18E">
      <w:pPr>
        <w:spacing w:line="219" w:lineRule="auto"/>
        <w:ind w:left="7"/>
        <w:rPr>
          <w:rFonts w:hint="eastAsia" w:ascii="宋体" w:hAnsi="宋体" w:eastAsia="宋体" w:cs="宋体"/>
          <w:color w:val="auto"/>
          <w:sz w:val="24"/>
          <w:szCs w:val="24"/>
        </w:rPr>
      </w:pPr>
      <w:r>
        <w:rPr>
          <w:rFonts w:hint="eastAsia" w:ascii="宋体" w:hAnsi="宋体" w:eastAsia="宋体" w:cs="宋体"/>
          <w:color w:val="auto"/>
          <w:spacing w:val="-2"/>
          <w:sz w:val="24"/>
          <w:szCs w:val="24"/>
        </w:rPr>
        <w:t>实质性内容做任何更改。</w:t>
      </w:r>
    </w:p>
    <w:p w14:paraId="26A02F87">
      <w:pPr>
        <w:spacing w:before="183" w:line="468" w:lineRule="exact"/>
        <w:jc w:val="right"/>
        <w:rPr>
          <w:rFonts w:hint="eastAsia" w:ascii="宋体" w:hAnsi="宋体" w:eastAsia="宋体" w:cs="宋体"/>
          <w:color w:val="auto"/>
          <w:sz w:val="24"/>
          <w:szCs w:val="24"/>
        </w:rPr>
      </w:pPr>
      <w:r>
        <w:rPr>
          <w:rFonts w:hint="eastAsia" w:ascii="宋体" w:hAnsi="宋体" w:eastAsia="宋体" w:cs="宋体"/>
          <w:color w:val="auto"/>
          <w:spacing w:val="-3"/>
          <w:position w:val="17"/>
          <w:sz w:val="24"/>
          <w:szCs w:val="24"/>
        </w:rPr>
        <w:t>16.3 如果供应商在澄清规定时间内，未能答复或拒绝答复磋商小组提出的澄清要求，</w:t>
      </w:r>
    </w:p>
    <w:p w14:paraId="2E8A7733">
      <w:pPr>
        <w:spacing w:line="219" w:lineRule="auto"/>
        <w:rPr>
          <w:rFonts w:hint="eastAsia" w:ascii="宋体" w:hAnsi="宋体" w:eastAsia="宋体" w:cs="宋体"/>
          <w:color w:val="auto"/>
          <w:sz w:val="24"/>
          <w:szCs w:val="24"/>
        </w:rPr>
      </w:pPr>
      <w:r>
        <w:rPr>
          <w:rFonts w:hint="eastAsia" w:ascii="宋体" w:hAnsi="宋体" w:eastAsia="宋体" w:cs="宋体"/>
          <w:color w:val="auto"/>
          <w:spacing w:val="-1"/>
          <w:sz w:val="24"/>
          <w:szCs w:val="24"/>
        </w:rPr>
        <w:t>将由磋商小组根据其磋商响应文件按最大风险进行评审。</w:t>
      </w:r>
    </w:p>
    <w:p w14:paraId="4A7A5F0A">
      <w:pPr>
        <w:spacing w:before="303" w:line="220" w:lineRule="auto"/>
        <w:ind w:left="49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17．磋商过程的保密性</w:t>
      </w:r>
    </w:p>
    <w:p w14:paraId="746A33CA">
      <w:pPr>
        <w:spacing w:before="182" w:line="468" w:lineRule="exact"/>
        <w:ind w:left="49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17.1 磋商后，直到向成交的供应商授予合同</w:t>
      </w:r>
      <w:r>
        <w:rPr>
          <w:rFonts w:hint="eastAsia" w:ascii="宋体" w:hAnsi="宋体" w:eastAsia="宋体" w:cs="宋体"/>
          <w:color w:val="auto"/>
          <w:spacing w:val="-3"/>
          <w:position w:val="17"/>
          <w:sz w:val="24"/>
          <w:szCs w:val="24"/>
        </w:rPr>
        <w:t>时止，凡与审查、澄清、评价和比较文件</w:t>
      </w:r>
    </w:p>
    <w:p w14:paraId="6DE6688F">
      <w:pPr>
        <w:spacing w:before="1" w:line="218" w:lineRule="auto"/>
        <w:ind w:left="21"/>
        <w:rPr>
          <w:rFonts w:hint="eastAsia" w:ascii="宋体" w:hAnsi="宋体" w:eastAsia="宋体" w:cs="宋体"/>
          <w:color w:val="auto"/>
          <w:sz w:val="24"/>
          <w:szCs w:val="24"/>
        </w:rPr>
      </w:pPr>
      <w:r>
        <w:rPr>
          <w:rFonts w:hint="eastAsia" w:ascii="宋体" w:hAnsi="宋体" w:eastAsia="宋体" w:cs="宋体"/>
          <w:color w:val="auto"/>
          <w:spacing w:val="-1"/>
          <w:sz w:val="24"/>
          <w:szCs w:val="24"/>
        </w:rPr>
        <w:t>的有关资料以及授标意见等，均不得向供应商及与磋商无关的其他人透露。</w:t>
      </w:r>
    </w:p>
    <w:p w14:paraId="0D0E7E29">
      <w:pPr>
        <w:spacing w:before="184" w:line="468" w:lineRule="exact"/>
        <w:ind w:left="49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17.2 在磋商响应过程中，如果供应商试图在</w:t>
      </w:r>
      <w:r>
        <w:rPr>
          <w:rFonts w:hint="eastAsia" w:ascii="宋体" w:hAnsi="宋体" w:eastAsia="宋体" w:cs="宋体"/>
          <w:color w:val="auto"/>
          <w:spacing w:val="-3"/>
          <w:position w:val="17"/>
          <w:sz w:val="24"/>
          <w:szCs w:val="24"/>
        </w:rPr>
        <w:t>响应文件审查、澄清、比较及授予合同方</w:t>
      </w:r>
    </w:p>
    <w:p w14:paraId="6F64044C">
      <w:pPr>
        <w:spacing w:line="219" w:lineRule="auto"/>
        <w:ind w:left="2"/>
        <w:rPr>
          <w:rFonts w:hint="eastAsia" w:ascii="宋体" w:hAnsi="宋体" w:eastAsia="宋体" w:cs="宋体"/>
          <w:color w:val="auto"/>
          <w:sz w:val="24"/>
          <w:szCs w:val="24"/>
        </w:rPr>
      </w:pPr>
      <w:r>
        <w:rPr>
          <w:rFonts w:hint="eastAsia" w:ascii="宋体" w:hAnsi="宋体" w:eastAsia="宋体" w:cs="宋体"/>
          <w:color w:val="auto"/>
          <w:spacing w:val="-1"/>
          <w:sz w:val="24"/>
          <w:szCs w:val="24"/>
        </w:rPr>
        <w:t>面向买方施加任何影响，其响应文件将被拒绝。</w:t>
      </w:r>
    </w:p>
    <w:p w14:paraId="63B3730B">
      <w:pPr>
        <w:spacing w:before="184" w:line="219" w:lineRule="auto"/>
        <w:ind w:left="49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18．磋商评审办法及内容</w:t>
      </w:r>
    </w:p>
    <w:p w14:paraId="1D3A7D6D">
      <w:pPr>
        <w:spacing w:before="183" w:line="220" w:lineRule="auto"/>
        <w:ind w:left="499"/>
        <w:rPr>
          <w:rFonts w:hint="eastAsia" w:ascii="宋体" w:hAnsi="宋体" w:eastAsia="宋体" w:cs="宋体"/>
          <w:color w:val="auto"/>
          <w:sz w:val="24"/>
          <w:szCs w:val="24"/>
        </w:rPr>
      </w:pPr>
      <w:r>
        <w:rPr>
          <w:rFonts w:hint="eastAsia" w:ascii="宋体" w:hAnsi="宋体" w:eastAsia="宋体" w:cs="宋体"/>
          <w:color w:val="auto"/>
          <w:spacing w:val="-3"/>
          <w:sz w:val="24"/>
          <w:szCs w:val="24"/>
        </w:rPr>
        <w:t>18.1 磋商原则：</w:t>
      </w:r>
    </w:p>
    <w:p w14:paraId="060CEBD5">
      <w:pPr>
        <w:spacing w:before="182" w:line="468" w:lineRule="exact"/>
        <w:ind w:left="493"/>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（1）坚持磋商机会均等，信息公开，公平竞争的原则。</w:t>
      </w:r>
    </w:p>
    <w:p w14:paraId="74544E44">
      <w:pPr>
        <w:spacing w:line="219" w:lineRule="auto"/>
        <w:ind w:left="493"/>
        <w:rPr>
          <w:rFonts w:hint="eastAsia" w:ascii="宋体" w:hAnsi="宋体" w:eastAsia="宋体" w:cs="宋体"/>
          <w:color w:val="auto"/>
          <w:sz w:val="24"/>
          <w:szCs w:val="24"/>
        </w:rPr>
      </w:pPr>
      <w:r>
        <w:rPr>
          <w:rFonts w:hint="eastAsia" w:ascii="宋体" w:hAnsi="宋体" w:eastAsia="宋体" w:cs="宋体"/>
          <w:color w:val="auto"/>
          <w:spacing w:val="-1"/>
          <w:sz w:val="24"/>
          <w:szCs w:val="24"/>
        </w:rPr>
        <w:t>（2）坚持竞争性、经济实效性和公平性原则。</w:t>
      </w:r>
    </w:p>
    <w:p w14:paraId="06F5B5D0">
      <w:pPr>
        <w:spacing w:before="183" w:line="218" w:lineRule="auto"/>
        <w:ind w:left="493"/>
        <w:rPr>
          <w:rFonts w:hint="eastAsia" w:ascii="宋体" w:hAnsi="宋体" w:eastAsia="宋体" w:cs="宋体"/>
          <w:color w:val="auto"/>
          <w:sz w:val="24"/>
          <w:szCs w:val="24"/>
        </w:rPr>
      </w:pPr>
      <w:r>
        <w:rPr>
          <w:rFonts w:hint="eastAsia" w:ascii="宋体" w:hAnsi="宋体" w:eastAsia="宋体" w:cs="宋体"/>
          <w:color w:val="auto"/>
          <w:spacing w:val="-1"/>
          <w:sz w:val="24"/>
          <w:szCs w:val="24"/>
        </w:rPr>
        <w:t>（3）综合评估，择优选择技术方案优、业绩好、服务有保证的成交单位。</w:t>
      </w:r>
    </w:p>
    <w:p w14:paraId="7C5E5D94">
      <w:pPr>
        <w:spacing w:line="218" w:lineRule="auto"/>
        <w:rPr>
          <w:rFonts w:hint="eastAsia" w:ascii="宋体" w:hAnsi="宋体" w:eastAsia="宋体" w:cs="宋体"/>
          <w:color w:val="auto"/>
          <w:sz w:val="24"/>
          <w:szCs w:val="24"/>
        </w:rPr>
        <w:sectPr>
          <w:footerReference r:id="rId4" w:type="default"/>
          <w:pgSz w:w="11906" w:h="16839"/>
          <w:pgMar w:top="1431" w:right="1141" w:bottom="1156" w:left="1255" w:header="0" w:footer="680" w:gutter="0"/>
          <w:pgNumType w:fmt="decimal" w:start="1"/>
          <w:cols w:space="720" w:num="1"/>
        </w:sectPr>
      </w:pPr>
    </w:p>
    <w:p w14:paraId="4CE44009">
      <w:pPr>
        <w:spacing w:before="122" w:line="220" w:lineRule="auto"/>
        <w:ind w:firstLine="468" w:firstLineChars="20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18.2 磋商程序：</w:t>
      </w:r>
    </w:p>
    <w:p w14:paraId="67845F05">
      <w:pPr>
        <w:spacing w:before="182" w:line="468" w:lineRule="exact"/>
        <w:ind w:left="499"/>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rPr>
        <w:t>按照竞争性磋商响应文件初审、澄清有关问题、分别磋商、二次报价、比较与评审、推荐</w:t>
      </w:r>
    </w:p>
    <w:p w14:paraId="3DF85C39">
      <w:pPr>
        <w:spacing w:before="182" w:line="468" w:lineRule="exact"/>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rPr>
        <w:t>成交候选人名单。在上一步评审中被认定为无效磋商者，不进入下一步的评审。</w:t>
      </w:r>
    </w:p>
    <w:p w14:paraId="1D9F8DE1">
      <w:pPr>
        <w:pStyle w:val="72"/>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160" w:after="0" w:line="500" w:lineRule="exact"/>
        <w:ind w:right="70" w:rightChars="0" w:firstLine="476" w:firstLineChars="200"/>
        <w:jc w:val="both"/>
        <w:textAlignment w:val="auto"/>
        <w:rPr>
          <w:rFonts w:hint="eastAsia" w:cs="宋体"/>
          <w:spacing w:val="-6"/>
          <w:sz w:val="24"/>
          <w:lang w:val="en-US" w:eastAsia="zh-CN"/>
        </w:rPr>
      </w:pPr>
      <w:r>
        <w:rPr>
          <w:rFonts w:hint="eastAsia" w:ascii="宋体" w:hAnsi="宋体" w:eastAsia="宋体" w:cs="宋体"/>
          <w:color w:val="auto"/>
          <w:spacing w:val="-1"/>
          <w:sz w:val="24"/>
          <w:szCs w:val="24"/>
        </w:rPr>
        <w:t>18.2.1 依据程序，第一次报价和最终报价不予以公开。</w:t>
      </w:r>
    </w:p>
    <w:p w14:paraId="3E28056B">
      <w:pPr>
        <w:pStyle w:val="72"/>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160" w:after="0" w:line="500" w:lineRule="exact"/>
        <w:ind w:right="70" w:rightChars="0" w:firstLine="456" w:firstLineChars="200"/>
        <w:jc w:val="both"/>
        <w:textAlignment w:val="auto"/>
        <w:rPr>
          <w:rFonts w:hint="eastAsia" w:ascii="宋体" w:hAnsi="宋体" w:eastAsia="宋体" w:cs="宋体"/>
          <w:sz w:val="24"/>
          <w:lang w:eastAsia="zh-CN"/>
        </w:rPr>
      </w:pPr>
      <w:r>
        <w:rPr>
          <w:rFonts w:hint="eastAsia" w:cs="宋体"/>
          <w:spacing w:val="-6"/>
          <w:sz w:val="24"/>
          <w:lang w:val="en-US" w:eastAsia="zh-CN"/>
        </w:rPr>
        <w:t>18.2.2</w:t>
      </w:r>
      <w:r>
        <w:rPr>
          <w:rFonts w:hint="eastAsia" w:ascii="宋体" w:hAnsi="宋体" w:eastAsia="宋体" w:cs="宋体"/>
          <w:spacing w:val="-6"/>
          <w:sz w:val="24"/>
        </w:rPr>
        <w:t>、</w:t>
      </w:r>
      <w:r>
        <w:rPr>
          <w:rFonts w:hint="eastAsia" w:ascii="宋体" w:hAnsi="宋体" w:eastAsia="宋体" w:cs="宋体"/>
          <w:b/>
          <w:bCs/>
          <w:spacing w:val="-6"/>
          <w:sz w:val="24"/>
        </w:rPr>
        <w:t>响应文件的资格性审查</w:t>
      </w:r>
      <w:r>
        <w:rPr>
          <w:rFonts w:hint="eastAsia" w:ascii="宋体" w:hAnsi="宋体" w:eastAsia="宋体" w:cs="宋体"/>
          <w:spacing w:val="-6"/>
          <w:sz w:val="24"/>
        </w:rPr>
        <w:t>：依据法律法规和响应文件的规定，对响应文件中的供应商资格证明文件</w:t>
      </w:r>
      <w:r>
        <w:rPr>
          <w:rFonts w:hint="eastAsia" w:ascii="宋体" w:hAnsi="宋体" w:eastAsia="宋体" w:cs="宋体"/>
          <w:sz w:val="24"/>
        </w:rPr>
        <w:t>进行审查，以确认供应商具备相应资格。</w:t>
      </w:r>
      <w:r>
        <w:rPr>
          <w:rFonts w:hint="eastAsia" w:ascii="宋体" w:hAnsi="宋体" w:eastAsia="宋体" w:cs="宋体"/>
          <w:sz w:val="24"/>
          <w:lang w:eastAsia="zh-CN"/>
        </w:rPr>
        <w:t>磋商小组对</w:t>
      </w:r>
      <w:r>
        <w:rPr>
          <w:rFonts w:hint="eastAsia" w:ascii="宋体" w:hAnsi="宋体" w:eastAsia="宋体" w:cs="宋体"/>
          <w:sz w:val="24"/>
        </w:rPr>
        <w:t>审查资格证明文件</w:t>
      </w:r>
      <w:r>
        <w:rPr>
          <w:rFonts w:hint="eastAsia" w:ascii="宋体" w:hAnsi="宋体" w:eastAsia="宋体" w:cs="宋体"/>
          <w:sz w:val="24"/>
          <w:lang w:eastAsia="zh-CN"/>
        </w:rPr>
        <w:t>进行审查</w:t>
      </w:r>
    </w:p>
    <w:p w14:paraId="79765061">
      <w:pPr>
        <w:pStyle w:val="21"/>
        <w:rPr>
          <w:rFonts w:hint="eastAsia" w:ascii="宋体" w:hAnsi="宋体" w:eastAsia="宋体" w:cs="宋体"/>
          <w:sz w:val="6"/>
        </w:rPr>
      </w:pPr>
    </w:p>
    <w:tbl>
      <w:tblPr>
        <w:tblStyle w:val="29"/>
        <w:tblW w:w="94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9"/>
        <w:gridCol w:w="1975"/>
        <w:gridCol w:w="6480"/>
      </w:tblGrid>
      <w:tr w14:paraId="68EEA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009" w:type="dxa"/>
          </w:tcPr>
          <w:p w14:paraId="6CF8908B">
            <w:pPr>
              <w:pStyle w:val="71"/>
              <w:keepNext w:val="0"/>
              <w:keepLines w:val="0"/>
              <w:suppressLineNumbers w:val="0"/>
              <w:spacing w:before="111" w:beforeAutospacing="0" w:afterAutospacing="0"/>
              <w:ind w:left="272" w:right="265"/>
              <w:jc w:val="center"/>
              <w:rPr>
                <w:rFonts w:hint="eastAsia" w:ascii="宋体" w:hAnsi="宋体" w:eastAsia="宋体" w:cs="宋体"/>
                <w:b/>
                <w:sz w:val="21"/>
              </w:rPr>
            </w:pPr>
            <w:r>
              <w:rPr>
                <w:rFonts w:hint="eastAsia" w:ascii="宋体" w:hAnsi="宋体" w:eastAsia="宋体" w:cs="宋体"/>
                <w:b/>
                <w:sz w:val="21"/>
              </w:rPr>
              <w:t>序号</w:t>
            </w:r>
          </w:p>
        </w:tc>
        <w:tc>
          <w:tcPr>
            <w:tcW w:w="1975" w:type="dxa"/>
          </w:tcPr>
          <w:p w14:paraId="59C19DB4">
            <w:pPr>
              <w:pStyle w:val="71"/>
              <w:keepNext w:val="0"/>
              <w:keepLines w:val="0"/>
              <w:suppressLineNumbers w:val="0"/>
              <w:spacing w:before="111" w:beforeAutospacing="0" w:afterAutospacing="0"/>
              <w:ind w:left="122" w:right="113"/>
              <w:jc w:val="center"/>
              <w:rPr>
                <w:rFonts w:hint="eastAsia" w:ascii="宋体" w:hAnsi="宋体" w:eastAsia="宋体" w:cs="宋体"/>
                <w:b/>
                <w:sz w:val="21"/>
              </w:rPr>
            </w:pPr>
            <w:r>
              <w:rPr>
                <w:rFonts w:hint="eastAsia" w:ascii="宋体" w:hAnsi="宋体" w:eastAsia="宋体" w:cs="宋体"/>
                <w:b/>
                <w:sz w:val="21"/>
              </w:rPr>
              <w:t>审查因素</w:t>
            </w:r>
          </w:p>
        </w:tc>
        <w:tc>
          <w:tcPr>
            <w:tcW w:w="6480" w:type="dxa"/>
          </w:tcPr>
          <w:p w14:paraId="25B7D809">
            <w:pPr>
              <w:pStyle w:val="71"/>
              <w:keepNext w:val="0"/>
              <w:keepLines w:val="0"/>
              <w:suppressLineNumbers w:val="0"/>
              <w:spacing w:before="111" w:beforeAutospacing="0" w:afterAutospacing="0"/>
              <w:ind w:left="2798" w:right="2787"/>
              <w:jc w:val="center"/>
              <w:rPr>
                <w:rFonts w:hint="eastAsia" w:ascii="宋体" w:hAnsi="宋体" w:eastAsia="宋体" w:cs="宋体"/>
                <w:b/>
                <w:sz w:val="21"/>
              </w:rPr>
            </w:pPr>
            <w:r>
              <w:rPr>
                <w:rFonts w:hint="eastAsia" w:ascii="宋体" w:hAnsi="宋体" w:eastAsia="宋体" w:cs="宋体"/>
                <w:b/>
                <w:sz w:val="21"/>
              </w:rPr>
              <w:t>审查标准</w:t>
            </w:r>
          </w:p>
        </w:tc>
      </w:tr>
      <w:tr w14:paraId="507F0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09" w:type="dxa"/>
            <w:vAlign w:val="center"/>
          </w:tcPr>
          <w:p w14:paraId="16E505A5">
            <w:pPr>
              <w:pStyle w:val="71"/>
              <w:keepNext w:val="0"/>
              <w:keepLines w:val="0"/>
              <w:suppressLineNumbers w:val="0"/>
              <w:spacing w:beforeAutospacing="0" w:afterAutospacing="0"/>
              <w:jc w:val="center"/>
              <w:rPr>
                <w:rFonts w:hint="eastAsia" w:ascii="宋体" w:hAnsi="宋体" w:eastAsia="宋体" w:cs="宋体"/>
                <w:sz w:val="22"/>
              </w:rPr>
            </w:pPr>
          </w:p>
          <w:p w14:paraId="4F857288">
            <w:pPr>
              <w:pStyle w:val="71"/>
              <w:keepNext w:val="0"/>
              <w:keepLines w:val="0"/>
              <w:suppressLineNumbers w:val="0"/>
              <w:spacing w:before="2" w:beforeAutospacing="0" w:afterAutospacing="0"/>
              <w:jc w:val="center"/>
              <w:rPr>
                <w:rFonts w:hint="eastAsia" w:ascii="宋体" w:hAnsi="宋体" w:eastAsia="宋体" w:cs="宋体"/>
                <w:sz w:val="17"/>
              </w:rPr>
            </w:pPr>
          </w:p>
          <w:p w14:paraId="3E42B106">
            <w:pPr>
              <w:pStyle w:val="71"/>
              <w:keepNext w:val="0"/>
              <w:keepLines w:val="0"/>
              <w:suppressLineNumbers w:val="0"/>
              <w:spacing w:beforeAutospacing="0" w:afterAutospacing="0"/>
              <w:ind w:left="8"/>
              <w:jc w:val="center"/>
              <w:rPr>
                <w:rFonts w:hint="eastAsia" w:ascii="宋体" w:hAnsi="宋体" w:eastAsia="宋体" w:cs="宋体"/>
                <w:b/>
                <w:sz w:val="21"/>
              </w:rPr>
            </w:pPr>
            <w:r>
              <w:rPr>
                <w:rFonts w:hint="eastAsia" w:ascii="宋体" w:hAnsi="宋体" w:eastAsia="宋体" w:cs="宋体"/>
                <w:b/>
                <w:w w:val="99"/>
                <w:sz w:val="21"/>
              </w:rPr>
              <w:t>1</w:t>
            </w:r>
          </w:p>
        </w:tc>
        <w:tc>
          <w:tcPr>
            <w:tcW w:w="1975" w:type="dxa"/>
            <w:vAlign w:val="center"/>
          </w:tcPr>
          <w:p w14:paraId="2FDFEA02">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sz w:val="20"/>
              </w:rPr>
            </w:pPr>
          </w:p>
          <w:p w14:paraId="146F442E">
            <w:pPr>
              <w:pStyle w:val="71"/>
              <w:keepNext w:val="0"/>
              <w:keepLines w:val="0"/>
              <w:pageBreakBefore w:val="0"/>
              <w:widowControl w:val="0"/>
              <w:suppressLineNumbers w:val="0"/>
              <w:kinsoku/>
              <w:wordWrap/>
              <w:overflowPunct/>
              <w:topLinePunct w:val="0"/>
              <w:autoSpaceDE w:val="0"/>
              <w:autoSpaceDN w:val="0"/>
              <w:bidi w:val="0"/>
              <w:adjustRightInd/>
              <w:snapToGrid/>
              <w:spacing w:before="1" w:beforeAutospacing="0" w:afterAutospacing="0" w:line="240" w:lineRule="auto"/>
              <w:jc w:val="center"/>
              <w:textAlignment w:val="auto"/>
              <w:rPr>
                <w:rFonts w:hint="eastAsia" w:ascii="宋体" w:hAnsi="宋体" w:eastAsia="宋体" w:cs="宋体"/>
                <w:sz w:val="18"/>
              </w:rPr>
            </w:pPr>
          </w:p>
          <w:p w14:paraId="204A4DE7">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122" w:right="113"/>
              <w:jc w:val="center"/>
              <w:textAlignment w:val="auto"/>
              <w:rPr>
                <w:rFonts w:hint="eastAsia" w:ascii="宋体" w:hAnsi="宋体" w:eastAsia="宋体" w:cs="宋体"/>
                <w:b/>
                <w:sz w:val="21"/>
              </w:rPr>
            </w:pPr>
            <w:r>
              <w:rPr>
                <w:rFonts w:hint="eastAsia" w:ascii="宋体" w:hAnsi="宋体" w:eastAsia="宋体" w:cs="宋体"/>
                <w:b/>
                <w:sz w:val="21"/>
              </w:rPr>
              <w:t>营业执照</w:t>
            </w:r>
          </w:p>
        </w:tc>
        <w:tc>
          <w:tcPr>
            <w:tcW w:w="6480" w:type="dxa"/>
          </w:tcPr>
          <w:p w14:paraId="3169901D">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具有独立承担民事责任的能力：提供营业执照、税务登记证、组织机构代码证或三证合一的营业执照副本（或《事业单位法人证书》或其他合法组织登记证书、 自然人只需提交身份证）；</w:t>
            </w:r>
          </w:p>
        </w:tc>
      </w:tr>
      <w:tr w14:paraId="578BE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009" w:type="dxa"/>
            <w:vAlign w:val="center"/>
          </w:tcPr>
          <w:p w14:paraId="72922A72">
            <w:pPr>
              <w:pStyle w:val="71"/>
              <w:keepNext w:val="0"/>
              <w:keepLines w:val="0"/>
              <w:suppressLineNumbers w:val="0"/>
              <w:spacing w:before="11" w:beforeAutospacing="0" w:afterAutospacing="0"/>
              <w:jc w:val="center"/>
              <w:rPr>
                <w:rFonts w:hint="eastAsia" w:ascii="宋体" w:hAnsi="宋体" w:eastAsia="宋体" w:cs="宋体"/>
                <w:sz w:val="22"/>
              </w:rPr>
            </w:pPr>
          </w:p>
          <w:p w14:paraId="67BFBD04">
            <w:pPr>
              <w:pStyle w:val="71"/>
              <w:keepNext w:val="0"/>
              <w:keepLines w:val="0"/>
              <w:suppressLineNumbers w:val="0"/>
              <w:spacing w:beforeAutospacing="0" w:afterAutospacing="0"/>
              <w:ind w:left="8"/>
              <w:jc w:val="center"/>
              <w:rPr>
                <w:rFonts w:hint="eastAsia" w:ascii="宋体" w:hAnsi="宋体" w:eastAsia="宋体" w:cs="宋体"/>
                <w:b/>
                <w:sz w:val="21"/>
              </w:rPr>
            </w:pPr>
            <w:r>
              <w:rPr>
                <w:rFonts w:hint="eastAsia" w:ascii="宋体" w:hAnsi="宋体" w:eastAsia="宋体" w:cs="宋体"/>
                <w:b/>
                <w:w w:val="99"/>
                <w:sz w:val="21"/>
              </w:rPr>
              <w:t>2</w:t>
            </w:r>
          </w:p>
        </w:tc>
        <w:tc>
          <w:tcPr>
            <w:tcW w:w="1975" w:type="dxa"/>
            <w:vAlign w:val="center"/>
          </w:tcPr>
          <w:p w14:paraId="2963DDB8">
            <w:pPr>
              <w:pStyle w:val="71"/>
              <w:keepNext w:val="0"/>
              <w:keepLines w:val="0"/>
              <w:suppressLineNumbers w:val="0"/>
              <w:spacing w:before="10" w:beforeAutospacing="0" w:afterAutospacing="0"/>
              <w:jc w:val="center"/>
              <w:rPr>
                <w:rFonts w:hint="eastAsia" w:ascii="宋体" w:hAnsi="宋体" w:eastAsia="宋体" w:cs="宋体"/>
                <w:sz w:val="21"/>
              </w:rPr>
            </w:pPr>
          </w:p>
          <w:p w14:paraId="1F3174A1">
            <w:pPr>
              <w:pStyle w:val="71"/>
              <w:keepNext w:val="0"/>
              <w:keepLines w:val="0"/>
              <w:suppressLineNumbers w:val="0"/>
              <w:spacing w:beforeAutospacing="0" w:afterAutospacing="0"/>
              <w:ind w:left="124" w:right="113"/>
              <w:jc w:val="center"/>
              <w:rPr>
                <w:rFonts w:hint="eastAsia" w:ascii="宋体" w:hAnsi="宋体" w:eastAsia="宋体" w:cs="宋体"/>
                <w:b/>
                <w:sz w:val="21"/>
              </w:rPr>
            </w:pPr>
            <w:r>
              <w:rPr>
                <w:rFonts w:hint="eastAsia" w:ascii="宋体" w:hAnsi="宋体" w:eastAsia="宋体" w:cs="宋体"/>
                <w:b/>
                <w:sz w:val="21"/>
              </w:rPr>
              <w:t>授权委托书</w:t>
            </w:r>
          </w:p>
        </w:tc>
        <w:tc>
          <w:tcPr>
            <w:tcW w:w="6480" w:type="dxa"/>
          </w:tcPr>
          <w:p w14:paraId="17DB5BD8">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法定代表人直接参加投标的，须出具法定代表人身份证；法定代表人授权代表参加投标的，须出具法定代表人授权委托书、法定代表人身份证复印件以及被授权代表身份证复印件；</w:t>
            </w:r>
          </w:p>
        </w:tc>
      </w:tr>
      <w:tr w14:paraId="36185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09" w:type="dxa"/>
            <w:shd w:val="clear" w:color="auto" w:fill="auto"/>
            <w:vAlign w:val="center"/>
          </w:tcPr>
          <w:p w14:paraId="0C966914">
            <w:pPr>
              <w:pStyle w:val="71"/>
              <w:keepNext w:val="0"/>
              <w:keepLines w:val="0"/>
              <w:suppressLineNumbers w:val="0"/>
              <w:spacing w:beforeAutospacing="0" w:afterAutospacing="0"/>
              <w:ind w:left="8"/>
              <w:jc w:val="center"/>
              <w:rPr>
                <w:rFonts w:hint="eastAsia" w:ascii="宋体" w:hAnsi="宋体" w:eastAsia="宋体" w:cs="宋体"/>
                <w:b/>
                <w:w w:val="99"/>
                <w:sz w:val="21"/>
              </w:rPr>
            </w:pPr>
          </w:p>
          <w:p w14:paraId="0E7CCAB6">
            <w:pPr>
              <w:pStyle w:val="71"/>
              <w:keepNext w:val="0"/>
              <w:keepLines w:val="0"/>
              <w:suppressLineNumbers w:val="0"/>
              <w:spacing w:beforeAutospacing="0" w:afterAutospacing="0"/>
              <w:ind w:left="8"/>
              <w:jc w:val="center"/>
              <w:rPr>
                <w:rFonts w:hint="eastAsia" w:ascii="宋体" w:hAnsi="宋体" w:eastAsia="宋体" w:cs="宋体"/>
                <w:b/>
                <w:kern w:val="2"/>
                <w:sz w:val="21"/>
                <w:szCs w:val="22"/>
                <w:lang w:val="en-US" w:eastAsia="zh-CN" w:bidi="zh-CN"/>
              </w:rPr>
            </w:pPr>
            <w:r>
              <w:rPr>
                <w:rFonts w:hint="eastAsia" w:ascii="宋体" w:hAnsi="宋体" w:eastAsia="宋体" w:cs="宋体"/>
                <w:b/>
                <w:w w:val="99"/>
                <w:sz w:val="21"/>
                <w:lang w:val="en-US" w:eastAsia="zh-CN"/>
              </w:rPr>
              <w:t>3</w:t>
            </w:r>
          </w:p>
        </w:tc>
        <w:tc>
          <w:tcPr>
            <w:tcW w:w="1975" w:type="dxa"/>
            <w:vAlign w:val="center"/>
          </w:tcPr>
          <w:p w14:paraId="56623D57">
            <w:pPr>
              <w:pStyle w:val="71"/>
              <w:keepNext w:val="0"/>
              <w:keepLines w:val="0"/>
              <w:suppressLineNumbers w:val="0"/>
              <w:spacing w:beforeAutospacing="0" w:afterAutospacing="0"/>
              <w:ind w:left="124" w:right="113"/>
              <w:jc w:val="center"/>
              <w:rPr>
                <w:rFonts w:hint="eastAsia" w:ascii="宋体" w:hAnsi="宋体" w:eastAsia="宋体" w:cs="宋体"/>
                <w:b/>
                <w:sz w:val="21"/>
                <w:lang w:eastAsia="zh-CN"/>
              </w:rPr>
            </w:pPr>
            <w:r>
              <w:rPr>
                <w:rFonts w:hint="eastAsia" w:ascii="宋体" w:hAnsi="宋体" w:eastAsia="宋体" w:cs="宋体"/>
                <w:b/>
                <w:sz w:val="21"/>
                <w:lang w:eastAsia="zh-CN"/>
              </w:rPr>
              <w:t>企业资质</w:t>
            </w:r>
          </w:p>
        </w:tc>
        <w:tc>
          <w:tcPr>
            <w:tcW w:w="6480" w:type="dxa"/>
          </w:tcPr>
          <w:p w14:paraId="5FA0D45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kern w:val="2"/>
                <w:sz w:val="21"/>
                <w:szCs w:val="22"/>
                <w:lang w:val="zh-CN" w:eastAsia="zh-CN" w:bidi="zh-CN"/>
              </w:rPr>
            </w:pPr>
            <w:r>
              <w:rPr>
                <w:rFonts w:hint="eastAsia" w:ascii="宋体" w:hAnsi="宋体" w:eastAsia="宋体" w:cs="宋体"/>
                <w:color w:val="333333"/>
                <w:kern w:val="2"/>
                <w:sz w:val="21"/>
                <w:szCs w:val="22"/>
                <w:lang w:val="en-US" w:eastAsia="zh-CN" w:bidi="zh-CN"/>
              </w:rPr>
              <w:t>投标人须同时具备以下两类资质：1）设计类资质：工程设计综合资质甲级或工程设计市政行业乙级及以上资质或市政行业（排水工程）专业乙级及以上资质或水利行业设计乙级及以上资质或水利行业（河道整治）专业乙级及以上资质；2）勘察类资质：工程勘察综合甲级资质或工程勘察专业类岩土工程（勘察）丙级及以上资质；</w:t>
            </w:r>
          </w:p>
        </w:tc>
      </w:tr>
      <w:tr w14:paraId="2DC9D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1009" w:type="dxa"/>
            <w:shd w:val="clear" w:color="auto" w:fill="auto"/>
            <w:vAlign w:val="center"/>
          </w:tcPr>
          <w:p w14:paraId="60135B48">
            <w:pPr>
              <w:pStyle w:val="71"/>
              <w:keepNext w:val="0"/>
              <w:keepLines w:val="0"/>
              <w:suppressLineNumbers w:val="0"/>
              <w:spacing w:beforeAutospacing="0" w:afterAutospacing="0"/>
              <w:ind w:left="8"/>
              <w:jc w:val="center"/>
              <w:rPr>
                <w:rFonts w:hint="eastAsia" w:ascii="宋体" w:hAnsi="宋体" w:eastAsia="宋体" w:cs="宋体"/>
                <w:b/>
                <w:w w:val="99"/>
                <w:sz w:val="21"/>
                <w:lang w:val="en-US" w:eastAsia="zh-CN"/>
              </w:rPr>
            </w:pPr>
          </w:p>
          <w:p w14:paraId="64B7B3DD">
            <w:pPr>
              <w:pStyle w:val="71"/>
              <w:keepNext w:val="0"/>
              <w:keepLines w:val="0"/>
              <w:suppressLineNumbers w:val="0"/>
              <w:spacing w:beforeAutospacing="0" w:afterAutospacing="0"/>
              <w:ind w:left="8" w:leftChars="0" w:right="0" w:rightChars="0"/>
              <w:jc w:val="center"/>
              <w:rPr>
                <w:rFonts w:hint="eastAsia" w:ascii="宋体" w:hAnsi="宋体" w:eastAsia="宋体" w:cs="宋体"/>
                <w:b/>
                <w:w w:val="99"/>
                <w:kern w:val="2"/>
                <w:sz w:val="21"/>
                <w:szCs w:val="22"/>
                <w:lang w:val="en-US" w:eastAsia="zh-CN" w:bidi="zh-CN"/>
              </w:rPr>
            </w:pPr>
            <w:r>
              <w:rPr>
                <w:rFonts w:hint="eastAsia" w:ascii="宋体" w:hAnsi="宋体" w:eastAsia="宋体" w:cs="宋体"/>
                <w:b/>
                <w:w w:val="99"/>
                <w:sz w:val="21"/>
                <w:lang w:val="en-US" w:eastAsia="zh-CN"/>
              </w:rPr>
              <w:t>4</w:t>
            </w:r>
          </w:p>
        </w:tc>
        <w:tc>
          <w:tcPr>
            <w:tcW w:w="1975" w:type="dxa"/>
            <w:vAlign w:val="center"/>
          </w:tcPr>
          <w:p w14:paraId="09DA5700">
            <w:pPr>
              <w:pStyle w:val="71"/>
              <w:keepNext w:val="0"/>
              <w:keepLines w:val="0"/>
              <w:suppressLineNumbers w:val="0"/>
              <w:spacing w:beforeAutospacing="0" w:afterAutospacing="0"/>
              <w:ind w:left="124" w:right="113"/>
              <w:jc w:val="center"/>
              <w:rPr>
                <w:rFonts w:hint="eastAsia" w:ascii="宋体" w:hAnsi="宋体" w:eastAsia="宋体" w:cs="宋体"/>
                <w:b/>
                <w:sz w:val="21"/>
                <w:lang w:eastAsia="zh-CN"/>
              </w:rPr>
            </w:pPr>
            <w:r>
              <w:rPr>
                <w:rFonts w:hint="eastAsia" w:ascii="宋体" w:hAnsi="宋体" w:eastAsia="宋体" w:cs="宋体"/>
                <w:b/>
                <w:sz w:val="21"/>
                <w:lang w:eastAsia="zh-CN"/>
              </w:rPr>
              <w:t>项目负责人资质</w:t>
            </w:r>
          </w:p>
        </w:tc>
        <w:tc>
          <w:tcPr>
            <w:tcW w:w="6480" w:type="dxa"/>
          </w:tcPr>
          <w:p w14:paraId="1E070C5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kern w:val="2"/>
                <w:sz w:val="21"/>
                <w:szCs w:val="22"/>
                <w:lang w:val="zh-CN" w:eastAsia="zh-CN" w:bidi="zh-CN"/>
              </w:rPr>
            </w:pPr>
            <w:r>
              <w:rPr>
                <w:rFonts w:hint="eastAsia" w:ascii="宋体" w:hAnsi="宋体" w:eastAsia="宋体" w:cs="宋体"/>
                <w:color w:val="333333"/>
                <w:kern w:val="2"/>
                <w:sz w:val="21"/>
                <w:szCs w:val="22"/>
                <w:lang w:val="en-US" w:eastAsia="zh-CN" w:bidi="zh-CN"/>
              </w:rPr>
              <w:t>拟派项目负责人需具备水利工程、环境工程或相关专业高级工程师及以上职称或注册土木工程师（岩土工程）执业资格；</w:t>
            </w:r>
          </w:p>
        </w:tc>
      </w:tr>
      <w:tr w14:paraId="4ACAA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1009" w:type="dxa"/>
            <w:shd w:val="clear" w:color="auto" w:fill="auto"/>
            <w:vAlign w:val="center"/>
          </w:tcPr>
          <w:p w14:paraId="64E87C04">
            <w:pPr>
              <w:pStyle w:val="71"/>
              <w:keepNext w:val="0"/>
              <w:keepLines w:val="0"/>
              <w:suppressLineNumbers w:val="0"/>
              <w:spacing w:beforeAutospacing="0" w:afterAutospacing="0"/>
              <w:jc w:val="center"/>
              <w:rPr>
                <w:rFonts w:hint="eastAsia" w:ascii="宋体" w:hAnsi="宋体" w:eastAsia="宋体" w:cs="宋体"/>
                <w:sz w:val="22"/>
              </w:rPr>
            </w:pPr>
          </w:p>
          <w:p w14:paraId="0CB17A1A">
            <w:pPr>
              <w:pStyle w:val="71"/>
              <w:keepNext w:val="0"/>
              <w:keepLines w:val="0"/>
              <w:suppressLineNumbers w:val="0"/>
              <w:spacing w:beforeAutospacing="0" w:afterAutospacing="0"/>
              <w:ind w:left="8" w:leftChars="0" w:right="0" w:rightChars="0"/>
              <w:jc w:val="center"/>
              <w:rPr>
                <w:rFonts w:hint="eastAsia" w:ascii="宋体" w:hAnsi="宋体" w:eastAsia="宋体" w:cs="宋体"/>
                <w:b/>
                <w:kern w:val="2"/>
                <w:sz w:val="21"/>
                <w:szCs w:val="22"/>
                <w:lang w:val="en-US" w:eastAsia="zh-CN" w:bidi="zh-CN"/>
              </w:rPr>
            </w:pPr>
            <w:r>
              <w:rPr>
                <w:rFonts w:hint="eastAsia" w:ascii="宋体" w:hAnsi="宋体" w:eastAsia="宋体" w:cs="宋体"/>
                <w:b/>
                <w:w w:val="99"/>
                <w:sz w:val="21"/>
                <w:lang w:val="en-US" w:eastAsia="zh-CN"/>
              </w:rPr>
              <w:t>5</w:t>
            </w:r>
          </w:p>
        </w:tc>
        <w:tc>
          <w:tcPr>
            <w:tcW w:w="1975" w:type="dxa"/>
            <w:vAlign w:val="center"/>
          </w:tcPr>
          <w:p w14:paraId="01C2F857">
            <w:pPr>
              <w:pStyle w:val="71"/>
              <w:keepNext w:val="0"/>
              <w:keepLines w:val="0"/>
              <w:suppressLineNumbers w:val="0"/>
              <w:spacing w:before="12" w:beforeAutospacing="0" w:afterAutospacing="0"/>
              <w:jc w:val="center"/>
              <w:rPr>
                <w:rFonts w:hint="eastAsia" w:ascii="宋体" w:hAnsi="宋体" w:eastAsia="宋体" w:cs="宋体"/>
                <w:sz w:val="20"/>
              </w:rPr>
            </w:pPr>
          </w:p>
          <w:p w14:paraId="6B105520">
            <w:pPr>
              <w:pStyle w:val="71"/>
              <w:keepNext w:val="0"/>
              <w:keepLines w:val="0"/>
              <w:suppressLineNumbers w:val="0"/>
              <w:spacing w:beforeAutospacing="0" w:afterAutospacing="0"/>
              <w:ind w:left="124" w:leftChars="0" w:right="113" w:rightChars="0"/>
              <w:jc w:val="center"/>
              <w:rPr>
                <w:rFonts w:hint="eastAsia" w:ascii="宋体" w:hAnsi="宋体" w:eastAsia="宋体" w:cs="宋体"/>
                <w:b/>
                <w:sz w:val="21"/>
                <w:szCs w:val="22"/>
                <w:lang w:val="zh-CN" w:eastAsia="zh-CN" w:bidi="zh-CN"/>
              </w:rPr>
            </w:pPr>
            <w:r>
              <w:rPr>
                <w:rFonts w:hint="eastAsia" w:ascii="宋体" w:hAnsi="宋体" w:eastAsia="宋体" w:cs="宋体"/>
                <w:b/>
                <w:sz w:val="21"/>
              </w:rPr>
              <w:t>财务状况报告</w:t>
            </w:r>
          </w:p>
        </w:tc>
        <w:tc>
          <w:tcPr>
            <w:tcW w:w="6480" w:type="dxa"/>
            <w:vAlign w:val="top"/>
          </w:tcPr>
          <w:p w14:paraId="4C2633E7">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lang w:val="zh-CN" w:eastAsia="zh-CN"/>
              </w:rPr>
            </w:pPr>
            <w:r>
              <w:rPr>
                <w:rFonts w:hint="eastAsia" w:ascii="宋体" w:hAnsi="宋体" w:eastAsia="宋体" w:cs="宋体"/>
                <w:color w:val="333333"/>
                <w:sz w:val="21"/>
                <w:lang w:val="zh-CN" w:eastAsia="zh-CN"/>
              </w:rPr>
              <w:t>提供2024年度审计报告（成立时间至提交响应文件截止时间不足一年的可提供成立后任意时段的资产负债表）或银行出具的资信证明，（以上两种形式的资料提供任意一种即可</w:t>
            </w:r>
            <w:r>
              <w:rPr>
                <w:rFonts w:hint="eastAsia" w:cs="宋体"/>
                <w:color w:val="333333"/>
                <w:sz w:val="21"/>
                <w:lang w:val="zh-CN" w:eastAsia="zh-CN"/>
              </w:rPr>
              <w:t>）</w:t>
            </w:r>
            <w:r>
              <w:rPr>
                <w:rFonts w:hint="eastAsia" w:ascii="宋体" w:hAnsi="宋体" w:eastAsia="宋体" w:cs="宋体"/>
                <w:color w:val="333333"/>
                <w:sz w:val="21"/>
                <w:lang w:val="zh-CN" w:eastAsia="zh-CN"/>
              </w:rPr>
              <w:t>；</w:t>
            </w:r>
          </w:p>
        </w:tc>
      </w:tr>
      <w:tr w14:paraId="6F852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1009" w:type="dxa"/>
            <w:shd w:val="clear" w:color="auto" w:fill="auto"/>
            <w:vAlign w:val="center"/>
          </w:tcPr>
          <w:p w14:paraId="29158FFC">
            <w:pPr>
              <w:pStyle w:val="71"/>
              <w:keepNext w:val="0"/>
              <w:keepLines w:val="0"/>
              <w:suppressLineNumbers w:val="0"/>
              <w:spacing w:beforeAutospacing="0" w:afterAutospacing="0"/>
              <w:ind w:left="8" w:leftChars="0" w:right="0" w:rightChars="0"/>
              <w:jc w:val="center"/>
              <w:rPr>
                <w:rFonts w:hint="eastAsia" w:ascii="宋体" w:hAnsi="宋体" w:eastAsia="宋体" w:cs="宋体"/>
                <w:b/>
                <w:kern w:val="2"/>
                <w:sz w:val="21"/>
                <w:szCs w:val="22"/>
                <w:lang w:val="en-US" w:eastAsia="zh-CN" w:bidi="zh-CN"/>
              </w:rPr>
            </w:pPr>
            <w:r>
              <w:rPr>
                <w:rFonts w:hint="eastAsia" w:ascii="宋体" w:hAnsi="宋体" w:eastAsia="宋体" w:cs="宋体"/>
                <w:b/>
                <w:sz w:val="21"/>
                <w:lang w:val="en-US" w:eastAsia="zh-CN"/>
              </w:rPr>
              <w:t>6</w:t>
            </w:r>
          </w:p>
        </w:tc>
        <w:tc>
          <w:tcPr>
            <w:tcW w:w="1975" w:type="dxa"/>
            <w:vAlign w:val="center"/>
          </w:tcPr>
          <w:p w14:paraId="724619B1">
            <w:pPr>
              <w:pStyle w:val="71"/>
              <w:keepNext w:val="0"/>
              <w:keepLines w:val="0"/>
              <w:suppressLineNumbers w:val="0"/>
              <w:spacing w:beforeAutospacing="0" w:afterAutospacing="0"/>
              <w:jc w:val="center"/>
              <w:rPr>
                <w:rFonts w:hint="eastAsia" w:ascii="宋体" w:hAnsi="宋体" w:eastAsia="宋体" w:cs="宋体"/>
                <w:sz w:val="20"/>
              </w:rPr>
            </w:pPr>
          </w:p>
          <w:p w14:paraId="2225D50C">
            <w:pPr>
              <w:pStyle w:val="71"/>
              <w:keepNext w:val="0"/>
              <w:keepLines w:val="0"/>
              <w:suppressLineNumbers w:val="0"/>
              <w:spacing w:before="166" w:beforeAutospacing="0" w:afterAutospacing="0" w:line="213" w:lineRule="auto"/>
              <w:ind w:left="462" w:right="132" w:hanging="317"/>
              <w:jc w:val="center"/>
              <w:rPr>
                <w:rFonts w:hint="eastAsia" w:ascii="宋体" w:hAnsi="宋体" w:eastAsia="宋体" w:cs="宋体"/>
                <w:b/>
                <w:sz w:val="21"/>
              </w:rPr>
            </w:pPr>
            <w:r>
              <w:rPr>
                <w:rFonts w:hint="eastAsia" w:ascii="宋体" w:hAnsi="宋体" w:eastAsia="宋体" w:cs="宋体"/>
                <w:b/>
                <w:sz w:val="21"/>
              </w:rPr>
              <w:t>社会保障资金缴纳证明</w:t>
            </w:r>
          </w:p>
        </w:tc>
        <w:tc>
          <w:tcPr>
            <w:tcW w:w="6480" w:type="dxa"/>
          </w:tcPr>
          <w:p w14:paraId="46A6703A">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自202</w:t>
            </w:r>
            <w:r>
              <w:rPr>
                <w:rFonts w:hint="eastAsia" w:ascii="宋体" w:hAnsi="宋体" w:eastAsia="宋体" w:cs="宋体"/>
                <w:color w:val="333333"/>
                <w:sz w:val="21"/>
                <w:lang w:val="en-US" w:eastAsia="zh-CN"/>
              </w:rPr>
              <w:t>5</w:t>
            </w:r>
            <w:r>
              <w:rPr>
                <w:rFonts w:hint="eastAsia" w:ascii="宋体" w:hAnsi="宋体" w:eastAsia="宋体" w:cs="宋体"/>
                <w:color w:val="333333"/>
                <w:sz w:val="21"/>
              </w:rPr>
              <w:t>年</w:t>
            </w:r>
            <w:r>
              <w:rPr>
                <w:rFonts w:hint="eastAsia" w:ascii="宋体" w:hAnsi="宋体" w:eastAsia="宋体" w:cs="宋体"/>
                <w:color w:val="333333"/>
                <w:sz w:val="21"/>
                <w:lang w:val="en-US" w:eastAsia="zh-CN"/>
              </w:rPr>
              <w:t>1</w:t>
            </w:r>
            <w:r>
              <w:rPr>
                <w:rFonts w:hint="eastAsia" w:ascii="宋体" w:hAnsi="宋体" w:eastAsia="宋体" w:cs="宋体"/>
                <w:color w:val="333333"/>
                <w:sz w:val="21"/>
              </w:rPr>
              <w:t>月1日以来已缴存的至少1个月的社会保障资金缴存单据或社保机构开具的社会保险参保缴费情况证明，单据或证明上应有社保机构或代收机构的印章。依法不需要缴纳社会保障资金的供应商应提供相关文件证明；</w:t>
            </w:r>
          </w:p>
        </w:tc>
      </w:tr>
      <w:tr w14:paraId="70302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jc w:val="center"/>
        </w:trPr>
        <w:tc>
          <w:tcPr>
            <w:tcW w:w="1009" w:type="dxa"/>
            <w:shd w:val="clear" w:color="auto" w:fill="auto"/>
            <w:vAlign w:val="center"/>
          </w:tcPr>
          <w:p w14:paraId="7CB24FC5">
            <w:pPr>
              <w:pStyle w:val="71"/>
              <w:keepNext w:val="0"/>
              <w:keepLines w:val="0"/>
              <w:suppressLineNumbers w:val="0"/>
              <w:spacing w:before="1" w:beforeAutospacing="0" w:afterAutospacing="0"/>
              <w:ind w:left="124" w:leftChars="0" w:right="113" w:rightChars="0"/>
              <w:jc w:val="center"/>
              <w:rPr>
                <w:rFonts w:hint="default" w:ascii="宋体" w:hAnsi="宋体" w:eastAsia="宋体" w:cs="宋体"/>
                <w:b/>
                <w:kern w:val="2"/>
                <w:sz w:val="21"/>
                <w:szCs w:val="22"/>
                <w:lang w:val="en-US" w:eastAsia="zh-CN" w:bidi="zh-CN"/>
              </w:rPr>
            </w:pPr>
            <w:r>
              <w:rPr>
                <w:rFonts w:hint="eastAsia" w:ascii="宋体" w:hAnsi="宋体" w:eastAsia="宋体" w:cs="宋体"/>
                <w:b/>
                <w:sz w:val="21"/>
                <w:lang w:val="en-US" w:eastAsia="zh-CN"/>
              </w:rPr>
              <w:t>7</w:t>
            </w:r>
          </w:p>
        </w:tc>
        <w:tc>
          <w:tcPr>
            <w:tcW w:w="1975" w:type="dxa"/>
            <w:vAlign w:val="center"/>
          </w:tcPr>
          <w:p w14:paraId="2E6451DA">
            <w:pPr>
              <w:pStyle w:val="71"/>
              <w:keepNext w:val="0"/>
              <w:keepLines w:val="0"/>
              <w:suppressLineNumbers w:val="0"/>
              <w:spacing w:before="166" w:beforeAutospacing="0" w:afterAutospacing="0" w:line="213" w:lineRule="auto"/>
              <w:ind w:right="132"/>
              <w:jc w:val="center"/>
              <w:rPr>
                <w:rFonts w:hint="eastAsia" w:ascii="宋体" w:hAnsi="宋体" w:eastAsia="宋体" w:cs="宋体"/>
                <w:b/>
                <w:sz w:val="21"/>
              </w:rPr>
            </w:pPr>
            <w:r>
              <w:rPr>
                <w:rFonts w:hint="eastAsia" w:ascii="宋体" w:hAnsi="宋体" w:eastAsia="宋体" w:cs="宋体"/>
                <w:b/>
                <w:sz w:val="21"/>
              </w:rPr>
              <w:t>税收缴纳证明</w:t>
            </w:r>
          </w:p>
        </w:tc>
        <w:tc>
          <w:tcPr>
            <w:tcW w:w="6480" w:type="dxa"/>
          </w:tcPr>
          <w:p w14:paraId="12739426">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自202</w:t>
            </w:r>
            <w:r>
              <w:rPr>
                <w:rFonts w:hint="eastAsia" w:ascii="宋体" w:hAnsi="宋体" w:eastAsia="宋体" w:cs="宋体"/>
                <w:color w:val="333333"/>
                <w:sz w:val="21"/>
                <w:lang w:val="en-US" w:eastAsia="zh-CN"/>
              </w:rPr>
              <w:t>5</w:t>
            </w:r>
            <w:r>
              <w:rPr>
                <w:rFonts w:hint="eastAsia" w:ascii="宋体" w:hAnsi="宋体" w:eastAsia="宋体" w:cs="宋体"/>
                <w:color w:val="333333"/>
                <w:sz w:val="21"/>
              </w:rPr>
              <w:t>年</w:t>
            </w:r>
            <w:r>
              <w:rPr>
                <w:rFonts w:hint="eastAsia" w:ascii="宋体" w:hAnsi="宋体" w:eastAsia="宋体" w:cs="宋体"/>
                <w:color w:val="333333"/>
                <w:sz w:val="21"/>
                <w:lang w:val="en-US" w:eastAsia="zh-CN"/>
              </w:rPr>
              <w:t>1</w:t>
            </w:r>
            <w:r>
              <w:rPr>
                <w:rFonts w:hint="eastAsia" w:ascii="宋体" w:hAnsi="宋体" w:eastAsia="宋体" w:cs="宋体"/>
                <w:color w:val="333333"/>
                <w:sz w:val="21"/>
              </w:rPr>
              <w:t>月1日以来至少1个月的纳税证明或完税证明（提供增值税、企业所得税至少一种），纳税证明或完税证明上应有代收机构或税务机关的公章或业务专用章。依法免税的供应商应提供相关文件证明；</w:t>
            </w:r>
          </w:p>
        </w:tc>
      </w:tr>
      <w:tr w14:paraId="1F6E9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jc w:val="center"/>
        </w:trPr>
        <w:tc>
          <w:tcPr>
            <w:tcW w:w="1009" w:type="dxa"/>
            <w:shd w:val="clear" w:color="auto" w:fill="auto"/>
            <w:vAlign w:val="center"/>
          </w:tcPr>
          <w:p w14:paraId="67BA1F0E">
            <w:pPr>
              <w:pStyle w:val="71"/>
              <w:keepNext w:val="0"/>
              <w:keepLines w:val="0"/>
              <w:suppressLineNumbers w:val="0"/>
              <w:spacing w:before="1" w:beforeAutospacing="0" w:afterAutospacing="0"/>
              <w:ind w:left="124" w:leftChars="0" w:right="113" w:rightChars="0"/>
              <w:jc w:val="center"/>
              <w:rPr>
                <w:rFonts w:hint="eastAsia" w:ascii="宋体" w:hAnsi="宋体" w:eastAsia="宋体" w:cs="宋体"/>
                <w:b/>
                <w:kern w:val="2"/>
                <w:sz w:val="21"/>
                <w:szCs w:val="22"/>
                <w:lang w:val="en-US" w:eastAsia="zh-CN" w:bidi="zh-CN"/>
              </w:rPr>
            </w:pPr>
            <w:r>
              <w:rPr>
                <w:rFonts w:hint="eastAsia" w:ascii="宋体" w:hAnsi="宋体" w:eastAsia="宋体" w:cs="宋体"/>
                <w:b/>
                <w:sz w:val="21"/>
                <w:lang w:val="en-US" w:eastAsia="zh-CN"/>
              </w:rPr>
              <w:t>8</w:t>
            </w:r>
          </w:p>
        </w:tc>
        <w:tc>
          <w:tcPr>
            <w:tcW w:w="1975" w:type="dxa"/>
            <w:vAlign w:val="center"/>
          </w:tcPr>
          <w:p w14:paraId="2B70F453">
            <w:pPr>
              <w:pStyle w:val="71"/>
              <w:keepNext w:val="0"/>
              <w:keepLines w:val="0"/>
              <w:suppressLineNumbers w:val="0"/>
              <w:spacing w:before="1" w:beforeAutospacing="0" w:afterAutospacing="0"/>
              <w:ind w:left="124" w:right="113"/>
              <w:jc w:val="center"/>
              <w:rPr>
                <w:rFonts w:hint="eastAsia" w:ascii="宋体" w:hAnsi="宋体" w:eastAsia="宋体" w:cs="宋体"/>
                <w:b/>
                <w:sz w:val="21"/>
              </w:rPr>
            </w:pPr>
            <w:r>
              <w:rPr>
                <w:rFonts w:hint="eastAsia" w:ascii="宋体" w:hAnsi="宋体" w:eastAsia="宋体" w:cs="宋体"/>
                <w:b/>
                <w:sz w:val="21"/>
              </w:rPr>
              <w:t>主体信用查询记录</w:t>
            </w:r>
          </w:p>
        </w:tc>
        <w:tc>
          <w:tcPr>
            <w:tcW w:w="6480" w:type="dxa"/>
          </w:tcPr>
          <w:p w14:paraId="6BE6825C">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通过中国政府采购网（www.ccgp.gov.cn）和“信用中国”网站(www.creditchina.gov.cn)查询相关主体无失信记录（网站查询的截图，加盖企业公章）以及参加政府采购活动前3年内在经营活动中没有重大违法记录的书面声明；</w:t>
            </w:r>
          </w:p>
        </w:tc>
      </w:tr>
      <w:tr w14:paraId="39C0F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1009" w:type="dxa"/>
            <w:shd w:val="clear" w:color="auto" w:fill="auto"/>
            <w:vAlign w:val="center"/>
          </w:tcPr>
          <w:p w14:paraId="1E8D7A56">
            <w:pPr>
              <w:pStyle w:val="71"/>
              <w:keepNext w:val="0"/>
              <w:keepLines w:val="0"/>
              <w:suppressLineNumbers w:val="0"/>
              <w:spacing w:before="1" w:beforeAutospacing="0" w:afterAutospacing="0"/>
              <w:ind w:left="124" w:leftChars="0" w:right="113" w:rightChars="0"/>
              <w:jc w:val="center"/>
              <w:rPr>
                <w:rFonts w:hint="default" w:ascii="宋体" w:hAnsi="宋体" w:eastAsia="宋体" w:cs="宋体"/>
                <w:b/>
                <w:sz w:val="21"/>
                <w:szCs w:val="22"/>
                <w:lang w:val="en-US" w:eastAsia="zh-CN" w:bidi="zh-CN"/>
              </w:rPr>
            </w:pPr>
            <w:r>
              <w:rPr>
                <w:rFonts w:hint="eastAsia" w:ascii="宋体" w:hAnsi="宋体" w:eastAsia="宋体" w:cs="宋体"/>
                <w:b/>
                <w:sz w:val="21"/>
                <w:szCs w:val="22"/>
                <w:lang w:val="en-US" w:eastAsia="zh-CN" w:bidi="zh-CN"/>
              </w:rPr>
              <w:t>9</w:t>
            </w:r>
          </w:p>
        </w:tc>
        <w:tc>
          <w:tcPr>
            <w:tcW w:w="1975" w:type="dxa"/>
            <w:shd w:val="clear" w:color="auto" w:fill="auto"/>
            <w:vAlign w:val="center"/>
          </w:tcPr>
          <w:p w14:paraId="3C6973A8">
            <w:pPr>
              <w:pStyle w:val="71"/>
              <w:keepNext w:val="0"/>
              <w:keepLines w:val="0"/>
              <w:suppressLineNumbers w:val="0"/>
              <w:spacing w:before="10" w:beforeAutospacing="0" w:afterAutospacing="0"/>
              <w:jc w:val="center"/>
              <w:rPr>
                <w:rFonts w:hint="eastAsia" w:ascii="宋体" w:hAnsi="宋体" w:eastAsia="宋体" w:cs="宋体"/>
                <w:sz w:val="18"/>
              </w:rPr>
            </w:pPr>
          </w:p>
          <w:p w14:paraId="439558A2">
            <w:pPr>
              <w:pStyle w:val="71"/>
              <w:keepNext w:val="0"/>
              <w:keepLines w:val="0"/>
              <w:suppressLineNumbers w:val="0"/>
              <w:spacing w:beforeAutospacing="0" w:afterAutospacing="0" w:line="213" w:lineRule="auto"/>
              <w:ind w:left="462" w:leftChars="0" w:right="237" w:rightChars="0" w:hanging="212" w:firstLineChars="0"/>
              <w:jc w:val="center"/>
              <w:rPr>
                <w:rFonts w:hint="eastAsia" w:ascii="宋体" w:hAnsi="宋体" w:eastAsia="宋体" w:cs="宋体"/>
                <w:b/>
                <w:sz w:val="21"/>
                <w:szCs w:val="22"/>
                <w:lang w:val="zh-CN" w:eastAsia="zh-CN" w:bidi="zh-CN"/>
              </w:rPr>
            </w:pPr>
            <w:r>
              <w:rPr>
                <w:rFonts w:hint="eastAsia" w:ascii="宋体" w:hAnsi="宋体" w:eastAsia="宋体" w:cs="宋体"/>
                <w:b/>
                <w:sz w:val="21"/>
                <w:lang w:eastAsia="zh-CN"/>
              </w:rPr>
              <w:t>中小企业声明函</w:t>
            </w:r>
          </w:p>
        </w:tc>
        <w:tc>
          <w:tcPr>
            <w:tcW w:w="6480" w:type="dxa"/>
            <w:shd w:val="clear" w:color="auto" w:fill="auto"/>
            <w:vAlign w:val="top"/>
          </w:tcPr>
          <w:p w14:paraId="0E745B60">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szCs w:val="22"/>
                <w:lang w:val="en-US" w:eastAsia="zh-CN" w:bidi="zh-CN"/>
              </w:rPr>
            </w:pPr>
            <w:r>
              <w:rPr>
                <w:rFonts w:hint="eastAsia" w:ascii="宋体" w:hAnsi="宋体" w:eastAsia="宋体" w:cs="宋体"/>
                <w:color w:val="333333"/>
                <w:sz w:val="21"/>
                <w:lang w:val="en-US" w:eastAsia="zh-CN"/>
              </w:rPr>
              <w:t>供应商应提供中小企业声明函或残疾人福利性单位声明函或监狱企业证明文件；</w:t>
            </w:r>
          </w:p>
        </w:tc>
      </w:tr>
      <w:tr w14:paraId="60331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1009" w:type="dxa"/>
            <w:shd w:val="clear" w:color="auto" w:fill="auto"/>
            <w:vAlign w:val="center"/>
          </w:tcPr>
          <w:p w14:paraId="61AA1B4D">
            <w:pPr>
              <w:pStyle w:val="71"/>
              <w:keepNext w:val="0"/>
              <w:keepLines w:val="0"/>
              <w:suppressLineNumbers w:val="0"/>
              <w:spacing w:before="1" w:beforeAutospacing="0" w:afterAutospacing="0"/>
              <w:ind w:left="124" w:leftChars="0" w:right="113" w:rightChars="0"/>
              <w:jc w:val="center"/>
              <w:rPr>
                <w:rFonts w:hint="default" w:ascii="宋体" w:hAnsi="宋体" w:eastAsia="宋体" w:cs="宋体"/>
                <w:b/>
                <w:sz w:val="21"/>
                <w:szCs w:val="22"/>
                <w:lang w:val="en-US" w:eastAsia="zh-CN" w:bidi="zh-CN"/>
              </w:rPr>
            </w:pPr>
            <w:r>
              <w:rPr>
                <w:rFonts w:hint="eastAsia" w:ascii="宋体" w:hAnsi="宋体" w:eastAsia="宋体" w:cs="宋体"/>
                <w:b/>
                <w:sz w:val="21"/>
                <w:szCs w:val="22"/>
                <w:lang w:val="en-US" w:eastAsia="zh-CN" w:bidi="zh-CN"/>
              </w:rPr>
              <w:t>10</w:t>
            </w:r>
          </w:p>
        </w:tc>
        <w:tc>
          <w:tcPr>
            <w:tcW w:w="1975" w:type="dxa"/>
            <w:shd w:val="clear" w:color="auto" w:fill="auto"/>
            <w:vAlign w:val="center"/>
          </w:tcPr>
          <w:p w14:paraId="6BF99FFB">
            <w:pPr>
              <w:pStyle w:val="71"/>
              <w:keepNext w:val="0"/>
              <w:keepLines w:val="0"/>
              <w:suppressLineNumbers w:val="0"/>
              <w:spacing w:before="1" w:beforeAutospacing="0" w:afterAutospacing="0"/>
              <w:ind w:left="124" w:right="113"/>
              <w:jc w:val="center"/>
              <w:rPr>
                <w:rFonts w:hint="eastAsia" w:ascii="宋体" w:hAnsi="宋体" w:eastAsia="宋体" w:cs="宋体"/>
                <w:b/>
                <w:sz w:val="21"/>
              </w:rPr>
            </w:pPr>
          </w:p>
          <w:p w14:paraId="070D3D88">
            <w:pPr>
              <w:pStyle w:val="71"/>
              <w:keepNext w:val="0"/>
              <w:keepLines w:val="0"/>
              <w:suppressLineNumbers w:val="0"/>
              <w:spacing w:before="1" w:beforeAutospacing="0" w:afterAutospacing="0"/>
              <w:ind w:left="124" w:leftChars="0" w:right="113" w:rightChars="0"/>
              <w:jc w:val="center"/>
              <w:rPr>
                <w:rFonts w:hint="eastAsia" w:ascii="宋体" w:hAnsi="宋体" w:eastAsia="宋体" w:cs="宋体"/>
                <w:b/>
                <w:sz w:val="21"/>
                <w:szCs w:val="22"/>
                <w:lang w:val="zh-CN" w:eastAsia="zh-CN" w:bidi="zh-CN"/>
              </w:rPr>
            </w:pPr>
            <w:r>
              <w:rPr>
                <w:rFonts w:hint="eastAsia" w:ascii="宋体" w:hAnsi="宋体" w:eastAsia="宋体" w:cs="宋体"/>
                <w:b/>
                <w:sz w:val="21"/>
              </w:rPr>
              <w:t>非联合体投标</w:t>
            </w:r>
          </w:p>
        </w:tc>
        <w:tc>
          <w:tcPr>
            <w:tcW w:w="6480" w:type="dxa"/>
            <w:shd w:val="clear" w:color="auto" w:fill="auto"/>
            <w:vAlign w:val="top"/>
          </w:tcPr>
          <w:p w14:paraId="0B69CDFF">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lang w:eastAsia="zh-CN"/>
              </w:rPr>
            </w:pPr>
          </w:p>
          <w:p w14:paraId="2D3CD1B1">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szCs w:val="22"/>
                <w:lang w:val="zh-CN" w:eastAsia="zh-CN" w:bidi="zh-CN"/>
              </w:rPr>
            </w:pPr>
            <w:r>
              <w:rPr>
                <w:rFonts w:hint="eastAsia" w:ascii="宋体" w:hAnsi="宋体" w:eastAsia="宋体" w:cs="宋体"/>
                <w:color w:val="333333"/>
                <w:sz w:val="21"/>
                <w:lang w:eastAsia="zh-CN"/>
              </w:rPr>
              <w:t>本项目不接受联合体投标</w:t>
            </w:r>
            <w:r>
              <w:rPr>
                <w:rFonts w:hint="eastAsia" w:cs="宋体"/>
                <w:color w:val="333333"/>
                <w:sz w:val="21"/>
                <w:lang w:eastAsia="zh-CN"/>
              </w:rPr>
              <w:t>（提供书面声明）</w:t>
            </w:r>
            <w:r>
              <w:rPr>
                <w:rFonts w:hint="eastAsia" w:ascii="宋体" w:hAnsi="宋体" w:eastAsia="宋体" w:cs="宋体"/>
                <w:color w:val="333333"/>
                <w:sz w:val="21"/>
                <w:lang w:eastAsia="zh-CN"/>
              </w:rPr>
              <w:t>。</w:t>
            </w:r>
          </w:p>
        </w:tc>
      </w:tr>
      <w:tr w14:paraId="0F667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9464" w:type="dxa"/>
            <w:gridSpan w:val="3"/>
            <w:vAlign w:val="center"/>
          </w:tcPr>
          <w:p w14:paraId="32EB06B1">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center"/>
              <w:textAlignment w:val="auto"/>
              <w:rPr>
                <w:rFonts w:hint="eastAsia" w:ascii="宋体" w:hAnsi="宋体" w:eastAsia="宋体" w:cs="宋体"/>
                <w:color w:val="333333"/>
                <w:sz w:val="21"/>
              </w:rPr>
            </w:pPr>
            <w:r>
              <w:rPr>
                <w:rFonts w:hint="eastAsia" w:ascii="宋体" w:eastAsia="宋体"/>
                <w:b/>
                <w:sz w:val="24"/>
              </w:rPr>
              <w:t>备注：</w:t>
            </w:r>
            <w:r>
              <w:rPr>
                <w:rFonts w:hint="eastAsia" w:ascii="宋体" w:eastAsia="宋体"/>
                <w:b/>
                <w:sz w:val="24"/>
                <w:lang w:eastAsia="zh-CN"/>
              </w:rPr>
              <w:t>资格性</w:t>
            </w:r>
            <w:r>
              <w:rPr>
                <w:rFonts w:hint="eastAsia" w:ascii="宋体" w:eastAsia="宋体"/>
                <w:b/>
                <w:sz w:val="24"/>
              </w:rPr>
              <w:t>审查不合格的</w:t>
            </w:r>
            <w:r>
              <w:rPr>
                <w:rFonts w:hint="eastAsia" w:ascii="宋体" w:eastAsia="宋体"/>
                <w:b/>
                <w:sz w:val="24"/>
                <w:lang w:eastAsia="zh-CN"/>
              </w:rPr>
              <w:t>供应商</w:t>
            </w:r>
            <w:r>
              <w:rPr>
                <w:rFonts w:hint="eastAsia" w:ascii="宋体" w:eastAsia="宋体"/>
                <w:b/>
                <w:sz w:val="24"/>
              </w:rPr>
              <w:t>不得进入下一评审环节。</w:t>
            </w:r>
          </w:p>
        </w:tc>
      </w:tr>
    </w:tbl>
    <w:p w14:paraId="4493B158">
      <w:pPr>
        <w:pStyle w:val="10"/>
        <w:spacing w:before="1"/>
        <w:rPr>
          <w:rFonts w:hint="eastAsia" w:ascii="宋体" w:hAnsi="宋体" w:eastAsia="宋体" w:cs="宋体"/>
          <w:sz w:val="7"/>
        </w:rPr>
      </w:pPr>
    </w:p>
    <w:p w14:paraId="3F4C676A">
      <w:pPr>
        <w:pStyle w:val="72"/>
        <w:numPr>
          <w:ilvl w:val="0"/>
          <w:numId w:val="0"/>
        </w:numPr>
        <w:tabs>
          <w:tab w:val="left" w:pos="1334"/>
        </w:tabs>
        <w:spacing w:before="74" w:after="0" w:line="398" w:lineRule="auto"/>
        <w:ind w:right="510" w:rightChars="0" w:firstLine="456" w:firstLineChars="200"/>
        <w:jc w:val="left"/>
        <w:rPr>
          <w:rFonts w:hint="eastAsia" w:cs="宋体"/>
          <w:spacing w:val="-6"/>
          <w:sz w:val="24"/>
          <w:lang w:val="en-US" w:eastAsia="zh-CN"/>
        </w:rPr>
      </w:pPr>
    </w:p>
    <w:p w14:paraId="0C39B728">
      <w:pPr>
        <w:pStyle w:val="72"/>
        <w:numPr>
          <w:ilvl w:val="0"/>
          <w:numId w:val="0"/>
        </w:numPr>
        <w:tabs>
          <w:tab w:val="left" w:pos="1334"/>
        </w:tabs>
        <w:spacing w:before="74" w:after="0" w:line="398" w:lineRule="auto"/>
        <w:ind w:right="510" w:rightChars="0" w:firstLine="456" w:firstLineChars="200"/>
        <w:jc w:val="left"/>
        <w:rPr>
          <w:rFonts w:hint="eastAsia" w:ascii="宋体" w:hAnsi="宋体" w:eastAsia="宋体" w:cs="宋体"/>
          <w:sz w:val="24"/>
        </w:rPr>
      </w:pPr>
      <w:r>
        <w:rPr>
          <w:rFonts w:hint="eastAsia" w:cs="宋体"/>
          <w:spacing w:val="-6"/>
          <w:sz w:val="24"/>
          <w:lang w:val="en-US" w:eastAsia="zh-CN"/>
        </w:rPr>
        <w:t>18.2.3</w:t>
      </w:r>
      <w:r>
        <w:rPr>
          <w:rFonts w:hint="eastAsia" w:ascii="宋体" w:hAnsi="宋体" w:eastAsia="宋体" w:cs="宋体"/>
          <w:spacing w:val="-6"/>
          <w:sz w:val="24"/>
        </w:rPr>
        <w:t>、响应文件符合性审查：依据</w:t>
      </w:r>
      <w:r>
        <w:rPr>
          <w:rFonts w:hint="eastAsia" w:ascii="宋体" w:hAnsi="宋体" w:eastAsia="宋体" w:cs="宋体"/>
          <w:spacing w:val="-6"/>
          <w:sz w:val="24"/>
          <w:lang w:eastAsia="zh-CN"/>
        </w:rPr>
        <w:t>招标</w:t>
      </w:r>
      <w:r>
        <w:rPr>
          <w:rFonts w:hint="eastAsia" w:ascii="宋体" w:hAnsi="宋体" w:eastAsia="宋体" w:cs="宋体"/>
          <w:spacing w:val="-6"/>
          <w:sz w:val="24"/>
        </w:rPr>
        <w:t>文件的规定，对响应文件的有效性、完整性和对</w:t>
      </w:r>
      <w:r>
        <w:rPr>
          <w:rFonts w:hint="eastAsia" w:ascii="宋体" w:hAnsi="宋体" w:eastAsia="宋体" w:cs="宋体"/>
          <w:spacing w:val="-6"/>
          <w:sz w:val="24"/>
          <w:lang w:eastAsia="zh-CN"/>
        </w:rPr>
        <w:t>招标</w:t>
      </w:r>
      <w:r>
        <w:rPr>
          <w:rFonts w:hint="eastAsia" w:ascii="宋体" w:hAnsi="宋体" w:eastAsia="宋体" w:cs="宋体"/>
          <w:sz w:val="24"/>
        </w:rPr>
        <w:t>文件的响应程度进行审查，以确定是否对</w:t>
      </w:r>
      <w:r>
        <w:rPr>
          <w:rFonts w:hint="eastAsia" w:ascii="宋体" w:hAnsi="宋体" w:eastAsia="宋体" w:cs="宋体"/>
          <w:sz w:val="24"/>
          <w:lang w:eastAsia="zh-CN"/>
        </w:rPr>
        <w:t>招标</w:t>
      </w:r>
      <w:r>
        <w:rPr>
          <w:rFonts w:hint="eastAsia" w:ascii="宋体" w:hAnsi="宋体" w:eastAsia="宋体" w:cs="宋体"/>
          <w:sz w:val="24"/>
        </w:rPr>
        <w:t>文件的实质性内容作出</w:t>
      </w:r>
      <w:r>
        <w:rPr>
          <w:rFonts w:hint="eastAsia" w:cs="宋体"/>
          <w:sz w:val="24"/>
          <w:lang w:eastAsia="zh-CN"/>
        </w:rPr>
        <w:t>响应。</w:t>
      </w:r>
    </w:p>
    <w:tbl>
      <w:tblPr>
        <w:tblStyle w:val="29"/>
        <w:tblpPr w:leftFromText="180" w:rightFromText="180" w:vertAnchor="text" w:horzAnchor="page" w:tblpX="1389" w:tblpY="62"/>
        <w:tblOverlap w:val="never"/>
        <w:tblW w:w="94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6"/>
        <w:gridCol w:w="7420"/>
        <w:gridCol w:w="1162"/>
      </w:tblGrid>
      <w:tr w14:paraId="31E8E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836" w:type="dxa"/>
            <w:vAlign w:val="center"/>
          </w:tcPr>
          <w:p w14:paraId="48E84261">
            <w:pPr>
              <w:pStyle w:val="71"/>
              <w:keepNext w:val="0"/>
              <w:keepLines w:val="0"/>
              <w:suppressLineNumbers w:val="0"/>
              <w:spacing w:beforeAutospacing="0" w:afterAutospacing="0"/>
              <w:ind w:right="166"/>
              <w:jc w:val="center"/>
              <w:rPr>
                <w:rFonts w:hint="eastAsia" w:ascii="宋体" w:eastAsia="宋体"/>
                <w:b/>
                <w:sz w:val="22"/>
              </w:rPr>
            </w:pPr>
            <w:r>
              <w:rPr>
                <w:rFonts w:hint="eastAsia" w:ascii="宋体" w:eastAsia="宋体"/>
                <w:b/>
                <w:sz w:val="22"/>
              </w:rPr>
              <w:t>序号</w:t>
            </w:r>
          </w:p>
        </w:tc>
        <w:tc>
          <w:tcPr>
            <w:tcW w:w="7420" w:type="dxa"/>
            <w:vAlign w:val="center"/>
          </w:tcPr>
          <w:p w14:paraId="3C1BFDD8">
            <w:pPr>
              <w:pStyle w:val="71"/>
              <w:keepNext w:val="0"/>
              <w:keepLines w:val="0"/>
              <w:suppressLineNumbers w:val="0"/>
              <w:spacing w:before="4" w:beforeAutospacing="0" w:afterAutospacing="0"/>
              <w:jc w:val="center"/>
              <w:rPr>
                <w:rFonts w:hint="default" w:ascii="宋体"/>
                <w:sz w:val="26"/>
              </w:rPr>
            </w:pPr>
          </w:p>
          <w:p w14:paraId="17C3F899">
            <w:pPr>
              <w:pStyle w:val="71"/>
              <w:keepNext w:val="0"/>
              <w:keepLines w:val="0"/>
              <w:suppressLineNumbers w:val="0"/>
              <w:spacing w:beforeAutospacing="0" w:afterAutospacing="0"/>
              <w:ind w:left="3225" w:right="3211"/>
              <w:jc w:val="center"/>
              <w:rPr>
                <w:rFonts w:hint="eastAsia" w:ascii="宋体" w:eastAsia="宋体"/>
                <w:b/>
                <w:sz w:val="22"/>
              </w:rPr>
            </w:pPr>
            <w:r>
              <w:rPr>
                <w:rFonts w:hint="eastAsia" w:ascii="宋体" w:eastAsia="宋体"/>
                <w:b/>
                <w:sz w:val="22"/>
              </w:rPr>
              <w:t>审查因素</w:t>
            </w:r>
          </w:p>
        </w:tc>
        <w:tc>
          <w:tcPr>
            <w:tcW w:w="1162" w:type="dxa"/>
            <w:vAlign w:val="center"/>
          </w:tcPr>
          <w:p w14:paraId="332F43BF">
            <w:pPr>
              <w:pStyle w:val="71"/>
              <w:keepNext w:val="0"/>
              <w:keepLines w:val="0"/>
              <w:suppressLineNumbers w:val="0"/>
              <w:spacing w:before="4" w:beforeAutospacing="0" w:afterAutospacing="0"/>
              <w:jc w:val="center"/>
              <w:rPr>
                <w:rFonts w:hint="default" w:ascii="宋体"/>
                <w:sz w:val="26"/>
              </w:rPr>
            </w:pPr>
          </w:p>
          <w:p w14:paraId="4F1F12C0">
            <w:pPr>
              <w:pStyle w:val="71"/>
              <w:keepNext w:val="0"/>
              <w:keepLines w:val="0"/>
              <w:suppressLineNumbers w:val="0"/>
              <w:spacing w:beforeAutospacing="0" w:afterAutospacing="0"/>
              <w:ind w:left="108" w:right="113"/>
              <w:jc w:val="center"/>
              <w:rPr>
                <w:rFonts w:hint="eastAsia" w:ascii="宋体" w:eastAsia="宋体"/>
                <w:b/>
                <w:sz w:val="22"/>
              </w:rPr>
            </w:pPr>
            <w:r>
              <w:rPr>
                <w:rFonts w:hint="eastAsia" w:ascii="宋体" w:eastAsia="宋体"/>
                <w:b/>
                <w:sz w:val="22"/>
              </w:rPr>
              <w:t>审核标准</w:t>
            </w:r>
          </w:p>
        </w:tc>
      </w:tr>
      <w:tr w14:paraId="2CEC2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836" w:type="dxa"/>
            <w:vAlign w:val="center"/>
          </w:tcPr>
          <w:p w14:paraId="27D4EFB4">
            <w:pPr>
              <w:pStyle w:val="71"/>
              <w:keepNext w:val="0"/>
              <w:keepLines w:val="0"/>
              <w:suppressLineNumbers w:val="0"/>
              <w:spacing w:before="182" w:beforeAutospacing="0" w:afterAutospacing="0"/>
              <w:ind w:left="8"/>
              <w:jc w:val="center"/>
              <w:rPr>
                <w:rFonts w:hint="default" w:ascii="宋体"/>
                <w:b/>
                <w:sz w:val="24"/>
              </w:rPr>
            </w:pPr>
            <w:r>
              <w:rPr>
                <w:rFonts w:hint="default" w:ascii="宋体"/>
                <w:b/>
                <w:w w:val="99"/>
                <w:sz w:val="24"/>
              </w:rPr>
              <w:t>1</w:t>
            </w:r>
          </w:p>
        </w:tc>
        <w:tc>
          <w:tcPr>
            <w:tcW w:w="7420" w:type="dxa"/>
            <w:vAlign w:val="center"/>
          </w:tcPr>
          <w:p w14:paraId="7393CCEF">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lang w:val="zh-CN" w:eastAsia="zh-CN"/>
              </w:rPr>
            </w:pPr>
            <w:r>
              <w:rPr>
                <w:rFonts w:hint="eastAsia" w:ascii="宋体" w:hAnsi="宋体" w:eastAsia="宋体" w:cs="宋体"/>
                <w:color w:val="333333"/>
                <w:sz w:val="21"/>
                <w:lang w:val="zh-CN" w:eastAsia="zh-CN"/>
              </w:rPr>
              <w:t>投标文件项目名称、项目编号与招标文件一致；</w:t>
            </w:r>
          </w:p>
        </w:tc>
        <w:tc>
          <w:tcPr>
            <w:tcW w:w="1162" w:type="dxa"/>
          </w:tcPr>
          <w:p w14:paraId="2A7F12C6">
            <w:pPr>
              <w:pStyle w:val="71"/>
              <w:keepNext w:val="0"/>
              <w:keepLines w:val="0"/>
              <w:suppressLineNumbers w:val="0"/>
              <w:spacing w:beforeAutospacing="0" w:afterAutospacing="0"/>
              <w:rPr>
                <w:rFonts w:hint="default" w:ascii="宋体"/>
                <w:sz w:val="20"/>
              </w:rPr>
            </w:pPr>
          </w:p>
          <w:p w14:paraId="48CC8808">
            <w:pPr>
              <w:pStyle w:val="71"/>
              <w:keepNext w:val="0"/>
              <w:keepLines w:val="0"/>
              <w:suppressLineNumbers w:val="0"/>
              <w:spacing w:before="7" w:beforeAutospacing="0" w:afterAutospacing="0"/>
              <w:rPr>
                <w:rFonts w:hint="default" w:ascii="宋体"/>
                <w:sz w:val="20"/>
              </w:rPr>
            </w:pPr>
          </w:p>
          <w:p w14:paraId="29A1044D">
            <w:pPr>
              <w:pStyle w:val="71"/>
              <w:keepNext w:val="0"/>
              <w:keepLines w:val="0"/>
              <w:suppressLineNumbers w:val="0"/>
              <w:spacing w:beforeAutospacing="0" w:afterAutospacing="0"/>
              <w:ind w:left="108" w:right="100"/>
              <w:jc w:val="center"/>
              <w:rPr>
                <w:rFonts w:hint="eastAsia" w:ascii="宋体" w:eastAsia="宋体"/>
                <w:b/>
                <w:sz w:val="21"/>
              </w:rPr>
            </w:pPr>
            <w:r>
              <w:rPr>
                <w:rFonts w:hint="eastAsia" w:ascii="宋体" w:eastAsia="宋体"/>
                <w:b/>
                <w:sz w:val="21"/>
              </w:rPr>
              <w:t>是/否</w:t>
            </w:r>
          </w:p>
        </w:tc>
      </w:tr>
      <w:tr w14:paraId="19481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836" w:type="dxa"/>
            <w:vAlign w:val="center"/>
          </w:tcPr>
          <w:p w14:paraId="7D8BA41F">
            <w:pPr>
              <w:pStyle w:val="71"/>
              <w:keepNext w:val="0"/>
              <w:keepLines w:val="0"/>
              <w:suppressLineNumbers w:val="0"/>
              <w:spacing w:beforeAutospacing="0" w:afterAutospacing="0"/>
              <w:jc w:val="center"/>
              <w:rPr>
                <w:rFonts w:hint="default" w:ascii="宋体"/>
                <w:b/>
                <w:sz w:val="24"/>
              </w:rPr>
            </w:pPr>
            <w:r>
              <w:rPr>
                <w:rFonts w:hint="default" w:ascii="宋体"/>
                <w:b/>
                <w:w w:val="99"/>
                <w:sz w:val="24"/>
              </w:rPr>
              <w:t>2</w:t>
            </w:r>
          </w:p>
        </w:tc>
        <w:tc>
          <w:tcPr>
            <w:tcW w:w="7420" w:type="dxa"/>
            <w:vAlign w:val="center"/>
          </w:tcPr>
          <w:p w14:paraId="3B075ACF">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lang w:val="zh-CN" w:eastAsia="zh-CN"/>
              </w:rPr>
            </w:pPr>
            <w:r>
              <w:rPr>
                <w:rFonts w:hint="eastAsia" w:ascii="宋体" w:hAnsi="宋体" w:eastAsia="宋体" w:cs="宋体"/>
                <w:color w:val="333333"/>
                <w:sz w:val="21"/>
                <w:lang w:val="zh-CN" w:eastAsia="zh-CN"/>
              </w:rPr>
              <w:t>签署、盖章符合招标文件要求，且无遗漏；</w:t>
            </w:r>
          </w:p>
        </w:tc>
        <w:tc>
          <w:tcPr>
            <w:tcW w:w="1162" w:type="dxa"/>
          </w:tcPr>
          <w:p w14:paraId="7A1C23C6">
            <w:pPr>
              <w:pStyle w:val="71"/>
              <w:keepNext w:val="0"/>
              <w:keepLines w:val="0"/>
              <w:suppressLineNumbers w:val="0"/>
              <w:spacing w:beforeAutospacing="0" w:afterAutospacing="0"/>
              <w:rPr>
                <w:rFonts w:hint="default" w:ascii="宋体"/>
                <w:sz w:val="20"/>
              </w:rPr>
            </w:pPr>
          </w:p>
          <w:p w14:paraId="5F9ED992">
            <w:pPr>
              <w:pStyle w:val="71"/>
              <w:keepNext w:val="0"/>
              <w:keepLines w:val="0"/>
              <w:suppressLineNumbers w:val="0"/>
              <w:spacing w:before="10" w:beforeAutospacing="0" w:afterAutospacing="0"/>
              <w:rPr>
                <w:rFonts w:hint="default" w:ascii="宋体"/>
                <w:sz w:val="17"/>
              </w:rPr>
            </w:pPr>
          </w:p>
          <w:p w14:paraId="223C5394">
            <w:pPr>
              <w:pStyle w:val="71"/>
              <w:keepNext w:val="0"/>
              <w:keepLines w:val="0"/>
              <w:suppressLineNumbers w:val="0"/>
              <w:spacing w:before="1" w:beforeAutospacing="0" w:afterAutospacing="0"/>
              <w:ind w:left="108" w:right="100"/>
              <w:jc w:val="center"/>
              <w:rPr>
                <w:rFonts w:hint="eastAsia" w:ascii="宋体" w:eastAsia="宋体"/>
                <w:b/>
                <w:sz w:val="21"/>
              </w:rPr>
            </w:pPr>
            <w:r>
              <w:rPr>
                <w:rFonts w:hint="eastAsia" w:ascii="宋体" w:eastAsia="宋体"/>
                <w:b/>
                <w:sz w:val="21"/>
              </w:rPr>
              <w:t>是/否</w:t>
            </w:r>
          </w:p>
        </w:tc>
      </w:tr>
      <w:tr w14:paraId="3ACBB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36" w:type="dxa"/>
            <w:vAlign w:val="center"/>
          </w:tcPr>
          <w:p w14:paraId="237CADBF">
            <w:pPr>
              <w:pStyle w:val="71"/>
              <w:keepNext w:val="0"/>
              <w:keepLines w:val="0"/>
              <w:suppressLineNumbers w:val="0"/>
              <w:spacing w:beforeAutospacing="0" w:afterAutospacing="0"/>
              <w:jc w:val="center"/>
              <w:rPr>
                <w:rFonts w:hint="default" w:ascii="宋体" w:eastAsia="微软雅黑"/>
                <w:b/>
                <w:w w:val="99"/>
                <w:sz w:val="24"/>
                <w:lang w:val="en-US" w:eastAsia="zh-CN"/>
              </w:rPr>
            </w:pPr>
            <w:r>
              <w:rPr>
                <w:rFonts w:hint="eastAsia" w:ascii="宋体"/>
                <w:b/>
                <w:w w:val="99"/>
                <w:sz w:val="24"/>
                <w:lang w:val="en-US" w:eastAsia="zh-CN"/>
              </w:rPr>
              <w:t>3</w:t>
            </w:r>
          </w:p>
        </w:tc>
        <w:tc>
          <w:tcPr>
            <w:tcW w:w="7420" w:type="dxa"/>
            <w:vAlign w:val="center"/>
          </w:tcPr>
          <w:p w14:paraId="43E529D9">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lang w:val="zh-CN" w:eastAsia="zh-CN"/>
              </w:rPr>
            </w:pPr>
          </w:p>
          <w:p w14:paraId="6090C899">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lang w:val="zh-CN" w:eastAsia="zh-CN"/>
              </w:rPr>
            </w:pPr>
            <w:r>
              <w:rPr>
                <w:rFonts w:hint="eastAsia" w:ascii="宋体" w:hAnsi="宋体" w:eastAsia="宋体" w:cs="宋体"/>
                <w:color w:val="333333"/>
                <w:sz w:val="21"/>
                <w:lang w:val="zh-CN" w:eastAsia="zh-CN"/>
              </w:rPr>
              <w:t>投标有效期为开标之日起九十（90）个日历日；</w:t>
            </w:r>
          </w:p>
        </w:tc>
        <w:tc>
          <w:tcPr>
            <w:tcW w:w="1162" w:type="dxa"/>
            <w:vAlign w:val="center"/>
          </w:tcPr>
          <w:p w14:paraId="4853874C">
            <w:pPr>
              <w:pStyle w:val="71"/>
              <w:keepNext w:val="0"/>
              <w:keepLines w:val="0"/>
              <w:suppressLineNumbers w:val="0"/>
              <w:spacing w:before="1" w:beforeAutospacing="0" w:afterAutospacing="0"/>
              <w:ind w:left="108" w:right="100"/>
              <w:jc w:val="center"/>
              <w:rPr>
                <w:rFonts w:hint="eastAsia" w:ascii="宋体" w:eastAsia="宋体"/>
                <w:b/>
                <w:sz w:val="21"/>
              </w:rPr>
            </w:pPr>
            <w:r>
              <w:rPr>
                <w:rFonts w:hint="eastAsia" w:ascii="宋体" w:eastAsia="宋体"/>
                <w:b/>
                <w:sz w:val="21"/>
              </w:rPr>
              <w:t>是/否</w:t>
            </w:r>
          </w:p>
        </w:tc>
      </w:tr>
      <w:tr w14:paraId="04F16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836" w:type="dxa"/>
            <w:vAlign w:val="center"/>
          </w:tcPr>
          <w:p w14:paraId="32EB33B9">
            <w:pPr>
              <w:pStyle w:val="71"/>
              <w:keepNext w:val="0"/>
              <w:keepLines w:val="0"/>
              <w:suppressLineNumbers w:val="0"/>
              <w:spacing w:beforeAutospacing="0" w:afterAutospacing="0"/>
              <w:jc w:val="center"/>
              <w:rPr>
                <w:rFonts w:hint="default" w:ascii="宋体"/>
                <w:sz w:val="24"/>
              </w:rPr>
            </w:pPr>
          </w:p>
          <w:p w14:paraId="1867DD94">
            <w:pPr>
              <w:pStyle w:val="71"/>
              <w:keepNext w:val="0"/>
              <w:keepLines w:val="0"/>
              <w:suppressLineNumbers w:val="0"/>
              <w:spacing w:before="157" w:beforeAutospacing="0" w:afterAutospacing="0"/>
              <w:jc w:val="center"/>
              <w:rPr>
                <w:rFonts w:hint="default" w:ascii="宋体"/>
                <w:b/>
                <w:sz w:val="24"/>
              </w:rPr>
            </w:pPr>
            <w:r>
              <w:rPr>
                <w:rFonts w:hint="default" w:ascii="宋体"/>
                <w:b/>
                <w:w w:val="99"/>
                <w:sz w:val="24"/>
              </w:rPr>
              <w:t>4</w:t>
            </w:r>
          </w:p>
        </w:tc>
        <w:tc>
          <w:tcPr>
            <w:tcW w:w="7420" w:type="dxa"/>
          </w:tcPr>
          <w:p w14:paraId="14404ABC">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default" w:ascii="宋体" w:hAnsi="宋体" w:eastAsia="宋体" w:cs="宋体"/>
                <w:color w:val="333333"/>
                <w:sz w:val="21"/>
                <w:lang w:val="zh-CN" w:eastAsia="zh-CN"/>
              </w:rPr>
            </w:pPr>
          </w:p>
          <w:p w14:paraId="1B1D5BEF">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lang w:val="zh-CN" w:eastAsia="zh-CN"/>
              </w:rPr>
            </w:pPr>
            <w:r>
              <w:rPr>
                <w:rFonts w:hint="eastAsia" w:ascii="宋体" w:hAnsi="宋体" w:eastAsia="宋体" w:cs="宋体"/>
                <w:color w:val="333333"/>
                <w:sz w:val="21"/>
                <w:lang w:val="zh-CN" w:eastAsia="zh-CN"/>
              </w:rPr>
              <w:t>报价同时满足以下条款：（1）投标报价符合唯一性要求；（2）开标一览表填写符合要求；（3）报价货币符合招标文件要求；（4）未超出招标文件规定的最高限价；</w:t>
            </w:r>
          </w:p>
        </w:tc>
        <w:tc>
          <w:tcPr>
            <w:tcW w:w="1162" w:type="dxa"/>
            <w:vAlign w:val="center"/>
          </w:tcPr>
          <w:p w14:paraId="2E825E72">
            <w:pPr>
              <w:pStyle w:val="71"/>
              <w:keepNext w:val="0"/>
              <w:keepLines w:val="0"/>
              <w:suppressLineNumbers w:val="0"/>
              <w:spacing w:before="7" w:beforeAutospacing="0" w:afterAutospacing="0"/>
              <w:jc w:val="both"/>
              <w:rPr>
                <w:rFonts w:hint="default" w:ascii="宋体"/>
                <w:sz w:val="22"/>
              </w:rPr>
            </w:pPr>
          </w:p>
          <w:p w14:paraId="03382FC6">
            <w:pPr>
              <w:pStyle w:val="71"/>
              <w:keepNext w:val="0"/>
              <w:keepLines w:val="0"/>
              <w:suppressLineNumbers w:val="0"/>
              <w:spacing w:before="1" w:beforeAutospacing="0" w:afterAutospacing="0"/>
              <w:ind w:left="108" w:right="100"/>
              <w:jc w:val="center"/>
              <w:rPr>
                <w:rFonts w:hint="eastAsia" w:ascii="宋体" w:eastAsia="宋体"/>
                <w:b/>
                <w:sz w:val="21"/>
              </w:rPr>
            </w:pPr>
            <w:r>
              <w:rPr>
                <w:rFonts w:hint="eastAsia" w:ascii="宋体" w:eastAsia="宋体"/>
                <w:b/>
                <w:sz w:val="21"/>
              </w:rPr>
              <w:t>是/否</w:t>
            </w:r>
          </w:p>
        </w:tc>
      </w:tr>
      <w:tr w14:paraId="5C990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836" w:type="dxa"/>
            <w:vAlign w:val="center"/>
          </w:tcPr>
          <w:p w14:paraId="3569C912">
            <w:pPr>
              <w:pStyle w:val="71"/>
              <w:keepNext w:val="0"/>
              <w:keepLines w:val="0"/>
              <w:suppressLineNumbers w:val="0"/>
              <w:spacing w:before="157" w:beforeAutospacing="0" w:afterAutospacing="0"/>
              <w:jc w:val="center"/>
              <w:rPr>
                <w:rFonts w:hint="eastAsia" w:ascii="宋体" w:eastAsia="微软雅黑"/>
                <w:b/>
                <w:w w:val="99"/>
                <w:sz w:val="24"/>
                <w:lang w:val="en-US" w:eastAsia="zh-CN"/>
              </w:rPr>
            </w:pPr>
            <w:r>
              <w:rPr>
                <w:rFonts w:hint="eastAsia" w:ascii="宋体"/>
                <w:b/>
                <w:w w:val="99"/>
                <w:sz w:val="24"/>
                <w:lang w:val="en-US" w:eastAsia="zh-CN"/>
              </w:rPr>
              <w:t>5</w:t>
            </w:r>
          </w:p>
        </w:tc>
        <w:tc>
          <w:tcPr>
            <w:tcW w:w="7420" w:type="dxa"/>
          </w:tcPr>
          <w:p w14:paraId="59B6F99E">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lang w:val="zh-CN" w:eastAsia="zh-CN"/>
              </w:rPr>
            </w:pPr>
          </w:p>
          <w:p w14:paraId="617C0F46">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lang w:val="zh-CN" w:eastAsia="zh-CN"/>
              </w:rPr>
            </w:pPr>
            <w:r>
              <w:rPr>
                <w:rFonts w:hint="eastAsia" w:ascii="宋体" w:hAnsi="宋体" w:eastAsia="宋体" w:cs="宋体"/>
                <w:color w:val="333333"/>
                <w:sz w:val="21"/>
                <w:lang w:val="zh-CN" w:eastAsia="zh-CN"/>
              </w:rPr>
              <w:t>完全理解并接受法律法规和招标文件对供应商的各项须知、规约要求和责任义务，没有出现法律法规或招标文件明确规定的其他被视为“无效投标”的情形。</w:t>
            </w:r>
          </w:p>
        </w:tc>
        <w:tc>
          <w:tcPr>
            <w:tcW w:w="1162" w:type="dxa"/>
            <w:vAlign w:val="center"/>
          </w:tcPr>
          <w:p w14:paraId="1E6D811D">
            <w:pPr>
              <w:pStyle w:val="71"/>
              <w:keepNext w:val="0"/>
              <w:keepLines w:val="0"/>
              <w:suppressLineNumbers w:val="0"/>
              <w:spacing w:before="1" w:beforeAutospacing="0" w:afterAutospacing="0"/>
              <w:ind w:left="108" w:right="100"/>
              <w:jc w:val="center"/>
              <w:rPr>
                <w:rFonts w:hint="eastAsia" w:ascii="宋体" w:eastAsia="宋体"/>
                <w:b/>
                <w:sz w:val="21"/>
              </w:rPr>
            </w:pPr>
            <w:r>
              <w:rPr>
                <w:rFonts w:hint="eastAsia" w:ascii="宋体" w:eastAsia="宋体"/>
                <w:b/>
                <w:sz w:val="21"/>
              </w:rPr>
              <w:t>是/否</w:t>
            </w:r>
          </w:p>
        </w:tc>
      </w:tr>
      <w:tr w14:paraId="6AC17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418" w:type="dxa"/>
            <w:gridSpan w:val="3"/>
          </w:tcPr>
          <w:p w14:paraId="6A136DE7">
            <w:pPr>
              <w:pStyle w:val="71"/>
              <w:keepNext w:val="0"/>
              <w:keepLines w:val="0"/>
              <w:suppressLineNumbers w:val="0"/>
              <w:spacing w:before="8" w:beforeAutospacing="0" w:afterAutospacing="0"/>
              <w:rPr>
                <w:rFonts w:hint="default" w:ascii="宋体"/>
                <w:sz w:val="21"/>
              </w:rPr>
            </w:pPr>
          </w:p>
          <w:p w14:paraId="6CE03B4F">
            <w:pPr>
              <w:pStyle w:val="71"/>
              <w:keepNext w:val="0"/>
              <w:keepLines w:val="0"/>
              <w:suppressLineNumbers w:val="0"/>
              <w:spacing w:before="1" w:beforeAutospacing="0" w:afterAutospacing="0"/>
              <w:ind w:right="1325" w:firstLine="723" w:firstLineChars="300"/>
              <w:jc w:val="both"/>
              <w:rPr>
                <w:rFonts w:hint="eastAsia" w:ascii="宋体" w:eastAsia="宋体"/>
                <w:b/>
                <w:sz w:val="24"/>
              </w:rPr>
            </w:pPr>
            <w:r>
              <w:rPr>
                <w:rFonts w:hint="eastAsia" w:ascii="宋体" w:eastAsia="宋体"/>
                <w:b/>
                <w:sz w:val="24"/>
              </w:rPr>
              <w:t>备注：符合性审查不合格的</w:t>
            </w:r>
            <w:r>
              <w:rPr>
                <w:rFonts w:hint="eastAsia" w:ascii="宋体" w:eastAsia="宋体"/>
                <w:b/>
                <w:sz w:val="24"/>
                <w:lang w:eastAsia="zh-CN"/>
              </w:rPr>
              <w:t>供应商</w:t>
            </w:r>
            <w:r>
              <w:rPr>
                <w:rFonts w:hint="eastAsia" w:ascii="宋体" w:eastAsia="宋体"/>
                <w:b/>
                <w:sz w:val="24"/>
              </w:rPr>
              <w:t>不得进入下一评审环节。</w:t>
            </w:r>
          </w:p>
        </w:tc>
      </w:tr>
    </w:tbl>
    <w:p w14:paraId="7BD8A421">
      <w:pPr>
        <w:pStyle w:val="10"/>
        <w:rPr>
          <w:rFonts w:hint="eastAsia" w:ascii="宋体" w:hAnsi="宋体" w:eastAsia="宋体" w:cs="宋体"/>
        </w:rPr>
      </w:pPr>
    </w:p>
    <w:p w14:paraId="68CCFD1E">
      <w:pPr>
        <w:spacing w:before="114" w:line="360" w:lineRule="auto"/>
        <w:ind w:left="124" w:right="72" w:firstLine="478"/>
        <w:rPr>
          <w:rFonts w:hint="eastAsia" w:ascii="宋体" w:hAnsi="宋体" w:eastAsia="宋体" w:cs="宋体"/>
          <w:color w:val="auto"/>
          <w:sz w:val="24"/>
          <w:szCs w:val="24"/>
        </w:rPr>
      </w:pPr>
      <w:r>
        <w:rPr>
          <w:rFonts w:hint="eastAsia" w:ascii="宋体" w:hAnsi="宋体" w:eastAsia="宋体" w:cs="宋体"/>
          <w:color w:val="auto"/>
          <w:spacing w:val="1"/>
          <w:sz w:val="24"/>
          <w:szCs w:val="24"/>
        </w:rPr>
        <w:t>磋商小组在对响应文件的有效性、完整性和响应程度进行审查时，可以要求供应商对</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1"/>
          <w:sz w:val="24"/>
          <w:szCs w:val="24"/>
        </w:rPr>
        <w:t>响应文件中含义不明确、同类问题表述不一致或者有明显文字和计算错误的内容等作出必</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1"/>
          <w:sz w:val="24"/>
          <w:szCs w:val="24"/>
        </w:rPr>
        <w:t>要的澄清、说明或者更正。供应商的澄清、说明或者更正不得超出响应文件的范围或者改</w:t>
      </w:r>
      <w:r>
        <w:rPr>
          <w:rFonts w:hint="eastAsia" w:ascii="宋体" w:hAnsi="宋体" w:eastAsia="宋体" w:cs="宋体"/>
          <w:color w:val="auto"/>
          <w:spacing w:val="-1"/>
          <w:sz w:val="24"/>
          <w:szCs w:val="24"/>
        </w:rPr>
        <w:t>变响应文件的实质性内容。</w:t>
      </w:r>
    </w:p>
    <w:p w14:paraId="6EA93046">
      <w:pPr>
        <w:spacing w:before="114" w:line="360" w:lineRule="auto"/>
        <w:ind w:left="124" w:right="72" w:firstLine="478"/>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磋商小组要求供应商澄清、说明或者更正响应文件应当以书面形式作出。供应商的澄 清、说明或者更正应当由法定代表人或其授权代表签字或者加盖公章。由授权代表签字的，应当附法定代表人授权书。供应商为自然人的，应当由本人签字并附身份证明。</w:t>
      </w:r>
    </w:p>
    <w:p w14:paraId="7D1CDDAF">
      <w:pPr>
        <w:spacing w:before="114" w:line="360" w:lineRule="auto"/>
        <w:ind w:left="124" w:right="72" w:firstLine="478"/>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18.2.4 磋商过程中提交响应文件或者经评审实质性响应竞争性磋商文件要求的供应商只有两家时，采购人应当报告财政管理部门，由财政管理部门按照以下原则处理：</w:t>
      </w:r>
    </w:p>
    <w:p w14:paraId="0D33E9B7">
      <w:pPr>
        <w:spacing w:before="114" w:line="360" w:lineRule="auto"/>
        <w:ind w:left="124" w:right="72" w:firstLine="478"/>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（1）竞争性磋商文件没有不合理条款、磋商公告时间及程序符合规定的，竞争性磋商采购活动可以继续进行；</w:t>
      </w:r>
    </w:p>
    <w:p w14:paraId="1FF196E4">
      <w:pPr>
        <w:spacing w:before="114" w:line="360" w:lineRule="auto"/>
        <w:ind w:left="124" w:right="72" w:firstLine="478"/>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（2）竞争性磋商文件存在不合理条款的，磋商公告时间及程序不符合规定的，应予以</w:t>
      </w:r>
    </w:p>
    <w:p w14:paraId="0AB00C73">
      <w:pPr>
        <w:spacing w:before="114" w:line="360" w:lineRule="auto"/>
        <w:ind w:left="124" w:right="72" w:firstLine="478"/>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废标，并责成采购人依法重新招标。</w:t>
      </w:r>
    </w:p>
    <w:p w14:paraId="1E0CE7DC">
      <w:pPr>
        <w:spacing w:before="114" w:line="360" w:lineRule="auto"/>
        <w:ind w:left="124" w:right="72" w:firstLine="478"/>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磋商过程中提交响应文件或者经评审实质性响应竞争性磋商文件要求的供应商只有两 家时，采购人、采购代理机构依据《财政部关于印发&lt;政府采购竞争性磋商采购方式管理暂 行办法&gt;的通知》（财库〔2014〕214 号）》、《财库〔2015〕124 号 》规定并经财政部门批准后可以与该两家供应商进行竞争性磋商采购。</w:t>
      </w:r>
    </w:p>
    <w:p w14:paraId="63AC46D6">
      <w:pPr>
        <w:spacing w:before="184" w:line="220" w:lineRule="auto"/>
        <w:ind w:left="498"/>
        <w:rPr>
          <w:rFonts w:hint="eastAsia" w:ascii="宋体" w:hAnsi="宋体" w:eastAsia="宋体" w:cs="宋体"/>
          <w:color w:val="auto"/>
          <w:sz w:val="24"/>
          <w:szCs w:val="24"/>
        </w:rPr>
      </w:pPr>
      <w:r>
        <w:rPr>
          <w:rFonts w:hint="eastAsia" w:ascii="宋体" w:hAnsi="宋体" w:eastAsia="宋体" w:cs="宋体"/>
          <w:color w:val="auto"/>
          <w:spacing w:val="-4"/>
          <w:sz w:val="24"/>
          <w:szCs w:val="24"/>
        </w:rPr>
        <w:t>18.3 磋商过程</w:t>
      </w:r>
    </w:p>
    <w:p w14:paraId="35B54081">
      <w:pPr>
        <w:spacing w:before="183" w:line="360" w:lineRule="auto"/>
        <w:ind w:left="2" w:firstLine="477"/>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（1）磋商小组所有成员应当集中与单一供应商分别进行磋商，并给予所有参加磋商的供应商平等的磋商机会。</w:t>
      </w:r>
    </w:p>
    <w:p w14:paraId="4C9A6335">
      <w:pPr>
        <w:spacing w:before="183" w:line="360" w:lineRule="auto"/>
        <w:ind w:left="2" w:firstLine="477"/>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（2）在磋商过程中，磋商小组可以根据磋商文件和磋商情况实质性变动采购需求中的技术、服务要求以及合同草案条款，但不得变动磋商文件中的其他内容。实质性变动的内容，须经采购人代表确认。</w:t>
      </w:r>
    </w:p>
    <w:p w14:paraId="5BFD8880">
      <w:pPr>
        <w:spacing w:before="183" w:line="360" w:lineRule="auto"/>
        <w:ind w:left="2" w:firstLine="477"/>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（3）对磋商文件作出的实质性变动是磋商文件的有效组成部分，磋商小组应当及时以书面形式同时通知所有参加磋商的供应商。</w:t>
      </w:r>
    </w:p>
    <w:p w14:paraId="4BF10546">
      <w:pPr>
        <w:spacing w:before="183" w:line="360" w:lineRule="auto"/>
        <w:ind w:left="2" w:firstLine="477"/>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02ED664">
      <w:pPr>
        <w:spacing w:before="183" w:line="360" w:lineRule="auto"/>
        <w:ind w:left="2" w:firstLine="477"/>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18.4 最终报价</w:t>
      </w:r>
    </w:p>
    <w:p w14:paraId="1E63888C">
      <w:pPr>
        <w:spacing w:before="183" w:line="360" w:lineRule="auto"/>
        <w:ind w:left="2" w:firstLine="477"/>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磋商文件能够详细列明采购标的的技术、服务要求的，磋商结束后，所有实质性响应</w:t>
      </w:r>
    </w:p>
    <w:p w14:paraId="22914AFB">
      <w:pPr>
        <w:spacing w:before="183" w:line="360" w:lineRule="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的供应商应在规定时间内提交最终报价。</w:t>
      </w:r>
    </w:p>
    <w:p w14:paraId="12BB713D">
      <w:pPr>
        <w:spacing w:before="183" w:line="360" w:lineRule="auto"/>
        <w:ind w:left="2" w:firstLine="477"/>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磋商文件不能详细列明采购标的的技术、服务要求，需经磋商由供应商提供最终设计方案或解决方案的，磋商结束后，磋商小组应当按照少数服从多数的原则投票推荐 3 家以上供应商的设计方案或者解决方案，并要求其在规定时间内提交最终报价。</w:t>
      </w:r>
    </w:p>
    <w:p w14:paraId="3E8564B1">
      <w:pPr>
        <w:spacing w:before="183" w:line="360" w:lineRule="auto"/>
        <w:ind w:left="2" w:firstLine="477"/>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最终报价是供应商响应文件的有效组成部分。</w:t>
      </w:r>
    </w:p>
    <w:p w14:paraId="2BBB236E">
      <w:pPr>
        <w:spacing w:before="186" w:line="219" w:lineRule="auto"/>
        <w:ind w:left="498"/>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19．磋商响应文件的详细评审</w:t>
      </w:r>
    </w:p>
    <w:p w14:paraId="75055B91">
      <w:pPr>
        <w:spacing w:before="114" w:line="360" w:lineRule="auto"/>
        <w:ind w:right="72" w:firstLine="484"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19.1 磋商小组将按照第 19 项规定只对确定为实质上响应磋商文件要求的投标进行详细的评价和比较。</w:t>
      </w:r>
    </w:p>
    <w:p w14:paraId="78C1CED4">
      <w:pPr>
        <w:spacing w:before="114" w:line="360" w:lineRule="auto"/>
        <w:ind w:right="72" w:firstLine="484" w:firstLineChars="2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rPr>
        <w:t>19.2 评标方法：综合评分法。评价和比较以响应文件为依据，对所有实质上响应的投标分别从以下等方面进行评审</w:t>
      </w:r>
      <w:r>
        <w:rPr>
          <w:rFonts w:hint="eastAsia" w:ascii="宋体" w:hAnsi="宋体" w:eastAsia="宋体" w:cs="宋体"/>
          <w:color w:val="auto"/>
          <w:spacing w:val="1"/>
          <w:sz w:val="24"/>
          <w:szCs w:val="24"/>
          <w:lang w:eastAsia="zh-CN"/>
        </w:rPr>
        <w:t>。</w:t>
      </w:r>
    </w:p>
    <w:p w14:paraId="7C540F74">
      <w:pPr>
        <w:adjustRightInd w:val="0"/>
        <w:snapToGrid w:val="0"/>
        <w:spacing w:line="440" w:lineRule="exact"/>
        <w:ind w:firstLine="480" w:firstLineChars="200"/>
        <w:rPr>
          <w:rFonts w:hint="eastAsia" w:ascii="宋体" w:hAnsi="宋体" w:eastAsia="宋体" w:cs="宋体"/>
          <w:sz w:val="24"/>
          <w:shd w:val="clear" w:color="auto" w:fill="auto"/>
          <w:lang w:val="en-US" w:eastAsia="zh-CN"/>
        </w:rPr>
      </w:pPr>
      <w:r>
        <w:rPr>
          <w:rFonts w:hint="eastAsia" w:ascii="宋体" w:hAnsi="宋体" w:eastAsia="宋体" w:cs="宋体"/>
          <w:sz w:val="24"/>
          <w:shd w:val="clear" w:color="auto" w:fill="auto"/>
          <w:lang w:val="en-US" w:eastAsia="zh-CN"/>
        </w:rPr>
        <w:t>19.3综合评分法（分值，总分100分）</w:t>
      </w:r>
    </w:p>
    <w:p w14:paraId="6B1D3C10">
      <w:pPr>
        <w:pStyle w:val="73"/>
        <w:rPr>
          <w:rFonts w:hint="eastAsia" w:ascii="宋体" w:hAnsi="宋体" w:eastAsia="宋体" w:cs="宋体"/>
          <w:sz w:val="24"/>
          <w:shd w:val="clear" w:color="auto" w:fill="auto"/>
          <w:lang w:val="en-US" w:eastAsia="zh-CN"/>
        </w:rPr>
      </w:pPr>
    </w:p>
    <w:tbl>
      <w:tblPr>
        <w:tblStyle w:val="29"/>
        <w:tblW w:w="10379"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92"/>
        <w:gridCol w:w="7474"/>
        <w:gridCol w:w="889"/>
      </w:tblGrid>
      <w:tr w14:paraId="1CBA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2016" w:type="dxa"/>
            <w:gridSpan w:val="2"/>
            <w:noWrap w:val="0"/>
            <w:vAlign w:val="center"/>
          </w:tcPr>
          <w:p w14:paraId="24875B63">
            <w:pPr>
              <w:keepNext w:val="0"/>
              <w:keepLines w:val="0"/>
              <w:suppressLineNumbers w:val="0"/>
              <w:spacing w:beforeAutospacing="0" w:afterAutospacing="0"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总分  100分</w:t>
            </w:r>
          </w:p>
        </w:tc>
        <w:tc>
          <w:tcPr>
            <w:tcW w:w="7474" w:type="dxa"/>
            <w:noWrap w:val="0"/>
            <w:vAlign w:val="center"/>
          </w:tcPr>
          <w:p w14:paraId="3C402E22">
            <w:pPr>
              <w:keepNext w:val="0"/>
              <w:keepLines w:val="0"/>
              <w:suppressLineNumbers w:val="0"/>
              <w:spacing w:beforeAutospacing="0" w:afterAutospacing="0" w:line="360" w:lineRule="auto"/>
              <w:ind w:firstLine="422" w:firstLineChars="20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评  审  要  素</w:t>
            </w:r>
          </w:p>
        </w:tc>
        <w:tc>
          <w:tcPr>
            <w:tcW w:w="889" w:type="dxa"/>
            <w:noWrap w:val="0"/>
            <w:vAlign w:val="center"/>
          </w:tcPr>
          <w:p w14:paraId="0E21FEAC">
            <w:pPr>
              <w:keepNext w:val="0"/>
              <w:keepLines w:val="0"/>
              <w:suppressLineNumbers w:val="0"/>
              <w:spacing w:beforeAutospacing="0" w:afterAutospacing="0"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分项</w:t>
            </w:r>
          </w:p>
          <w:p w14:paraId="2849BA78">
            <w:pPr>
              <w:keepNext w:val="0"/>
              <w:keepLines w:val="0"/>
              <w:suppressLineNumbers w:val="0"/>
              <w:spacing w:beforeAutospacing="0" w:afterAutospacing="0"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分值</w:t>
            </w:r>
          </w:p>
        </w:tc>
      </w:tr>
      <w:tr w14:paraId="1352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9" w:hRule="atLeast"/>
        </w:trPr>
        <w:tc>
          <w:tcPr>
            <w:tcW w:w="1124" w:type="dxa"/>
            <w:noWrap w:val="0"/>
            <w:vAlign w:val="center"/>
          </w:tcPr>
          <w:p w14:paraId="461AAD73">
            <w:pPr>
              <w:keepNext w:val="0"/>
              <w:keepLines w:val="0"/>
              <w:suppressLineNumbers w:val="0"/>
              <w:spacing w:beforeAutospacing="0" w:afterAutospacing="0" w:line="360" w:lineRule="auto"/>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价格</w:t>
            </w:r>
          </w:p>
          <w:p w14:paraId="11B92D1F">
            <w:pPr>
              <w:keepNext w:val="0"/>
              <w:keepLines w:val="0"/>
              <w:suppressLineNumbers w:val="0"/>
              <w:spacing w:beforeAutospacing="0" w:afterAutospacing="0" w:line="360" w:lineRule="auto"/>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部分</w:t>
            </w:r>
          </w:p>
        </w:tc>
        <w:tc>
          <w:tcPr>
            <w:tcW w:w="892" w:type="dxa"/>
            <w:noWrap w:val="0"/>
            <w:vAlign w:val="center"/>
          </w:tcPr>
          <w:p w14:paraId="261E3A97">
            <w:pPr>
              <w:keepNext w:val="0"/>
              <w:keepLines w:val="0"/>
              <w:suppressLineNumbers w:val="0"/>
              <w:spacing w:beforeAutospacing="0" w:afterAutospacing="0" w:line="360" w:lineRule="auto"/>
              <w:jc w:val="center"/>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投标</w:t>
            </w:r>
          </w:p>
          <w:p w14:paraId="4458ABF0">
            <w:pPr>
              <w:keepNext w:val="0"/>
              <w:keepLines w:val="0"/>
              <w:suppressLineNumbers w:val="0"/>
              <w:spacing w:beforeAutospacing="0" w:afterAutospacing="0" w:line="360" w:lineRule="auto"/>
              <w:jc w:val="center"/>
              <w:rPr>
                <w:rFonts w:hint="eastAsia" w:ascii="宋体" w:hAnsi="宋体" w:eastAsia="宋体" w:cs="宋体"/>
                <w:b/>
                <w:color w:val="auto"/>
                <w:szCs w:val="24"/>
                <w:highlight w:val="none"/>
              </w:rPr>
            </w:pPr>
            <w:r>
              <w:rPr>
                <w:rFonts w:hint="eastAsia" w:ascii="宋体" w:hAnsi="宋体" w:eastAsia="宋体" w:cs="宋体"/>
                <w:bCs/>
                <w:color w:val="auto"/>
                <w:szCs w:val="24"/>
                <w:highlight w:val="none"/>
              </w:rPr>
              <w:t>报价</w:t>
            </w:r>
          </w:p>
        </w:tc>
        <w:tc>
          <w:tcPr>
            <w:tcW w:w="7474" w:type="dxa"/>
            <w:noWrap w:val="0"/>
            <w:vAlign w:val="center"/>
          </w:tcPr>
          <w:p w14:paraId="3EF7908B">
            <w:pPr>
              <w:keepNext w:val="0"/>
              <w:keepLines w:val="0"/>
              <w:numPr>
                <w:ilvl w:val="0"/>
                <w:numId w:val="2"/>
              </w:numPr>
              <w:suppressLineNumbers w:val="0"/>
              <w:spacing w:beforeAutospacing="0" w:afterAutospacing="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经初审合格的投标文件，其投标报价为有效投标报价</w:t>
            </w:r>
            <w:r>
              <w:rPr>
                <w:rFonts w:hint="eastAsia" w:cs="宋体"/>
                <w:color w:val="auto"/>
                <w:szCs w:val="24"/>
                <w:highlight w:val="none"/>
                <w:lang w:eastAsia="zh-CN"/>
              </w:rPr>
              <w:t>。</w:t>
            </w:r>
          </w:p>
          <w:p w14:paraId="26469C78">
            <w:pPr>
              <w:keepNext w:val="0"/>
              <w:keepLines w:val="0"/>
              <w:numPr>
                <w:ilvl w:val="0"/>
                <w:numId w:val="2"/>
              </w:numPr>
              <w:suppressLineNumbers w:val="0"/>
              <w:spacing w:beforeAutospacing="0" w:afterAutospacing="0" w:line="360" w:lineRule="auto"/>
              <w:ind w:left="0" w:leftChars="0" w:right="0" w:rightChars="0"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满足招标文件实质性要求且最终报价最低的投标人的价格为投</w:t>
            </w:r>
          </w:p>
          <w:p w14:paraId="5F5AADEA">
            <w:pPr>
              <w:keepNext w:val="0"/>
              <w:keepLines w:val="0"/>
              <w:numPr>
                <w:ilvl w:val="0"/>
                <w:numId w:val="0"/>
              </w:numPr>
              <w:suppressLineNumbers w:val="0"/>
              <w:spacing w:beforeAutospacing="0" w:afterAutospacing="0" w:line="360" w:lineRule="auto"/>
              <w:ind w:right="0" w:right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标基准价，其价格分为满分</w:t>
            </w:r>
            <w:r>
              <w:rPr>
                <w:rFonts w:hint="eastAsia" w:cs="宋体"/>
                <w:color w:val="auto"/>
                <w:szCs w:val="24"/>
                <w:highlight w:val="none"/>
                <w:lang w:val="en-US" w:eastAsia="zh-CN"/>
              </w:rPr>
              <w:t>15</w:t>
            </w:r>
            <w:r>
              <w:rPr>
                <w:rFonts w:hint="eastAsia" w:ascii="宋体" w:hAnsi="宋体" w:eastAsia="宋体" w:cs="宋体"/>
                <w:color w:val="auto"/>
                <w:szCs w:val="24"/>
                <w:highlight w:val="none"/>
              </w:rPr>
              <w:t>分。</w:t>
            </w:r>
          </w:p>
          <w:p w14:paraId="7064958B">
            <w:pPr>
              <w:keepNext w:val="0"/>
              <w:keepLines w:val="0"/>
              <w:suppressLineNumbers w:val="0"/>
              <w:spacing w:beforeAutospacing="0" w:afterAutospacing="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3.投标报价得分=（投标基准价/投标报价）×</w:t>
            </w:r>
            <w:r>
              <w:rPr>
                <w:rFonts w:hint="eastAsia" w:ascii="宋体" w:hAnsi="宋体" w:eastAsia="宋体" w:cs="宋体"/>
                <w:color w:val="auto"/>
                <w:szCs w:val="24"/>
                <w:highlight w:val="none"/>
                <w:lang w:val="en-US" w:eastAsia="zh-CN"/>
              </w:rPr>
              <w:t>15%</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100</w:t>
            </w:r>
            <w:r>
              <w:rPr>
                <w:rFonts w:hint="eastAsia" w:ascii="宋体" w:hAnsi="宋体" w:eastAsia="宋体" w:cs="宋体"/>
                <w:color w:val="auto"/>
                <w:szCs w:val="24"/>
                <w:highlight w:val="none"/>
              </w:rPr>
              <w:t>的公式计算得分。</w:t>
            </w:r>
          </w:p>
          <w:p w14:paraId="60480FFE">
            <w:pPr>
              <w:keepNext w:val="0"/>
              <w:keepLines w:val="0"/>
              <w:suppressLineNumbers w:val="0"/>
              <w:spacing w:beforeAutospacing="0" w:afterAutospacing="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4.投标报价不完整的，不进入评标标准价的计算，本项得0分。</w:t>
            </w:r>
          </w:p>
          <w:p w14:paraId="2F423B65">
            <w:pPr>
              <w:keepNext w:val="0"/>
              <w:keepLines w:val="0"/>
              <w:suppressLineNumbers w:val="0"/>
              <w:spacing w:beforeAutospacing="0" w:afterAutospacing="0"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5.经评委一致认定，投标人的投标最终总报价低于公认市场成本，或超过采购预算,其投标将被拒绝。</w:t>
            </w:r>
          </w:p>
          <w:p w14:paraId="69120CA7">
            <w:pPr>
              <w:pStyle w:val="3"/>
              <w:rPr>
                <w:rFonts w:hint="eastAsia"/>
              </w:rPr>
            </w:pPr>
            <w:bookmarkStart w:id="5" w:name="_Toc9607"/>
            <w:r>
              <w:rPr>
                <w:rFonts w:hint="eastAsia"/>
              </w:rPr>
              <w:t>投标报价明显低于其他投标人，经评审委员会质询后不能在规定时间内说明理由，或说明理由但评审委员会认为理由不能成立的，客观上形成不良竞争，按无效标处理。“本项目为专门面向小</w:t>
            </w:r>
            <w:r>
              <w:rPr>
                <w:rFonts w:hint="eastAsia"/>
                <w:lang w:eastAsia="zh-CN"/>
              </w:rPr>
              <w:t>微</w:t>
            </w:r>
            <w:r>
              <w:rPr>
                <w:rFonts w:hint="eastAsia"/>
              </w:rPr>
              <w:t>企业项目，专门面向</w:t>
            </w:r>
            <w:r>
              <w:rPr>
                <w:rFonts w:hint="eastAsia"/>
                <w:lang w:eastAsia="zh-CN"/>
              </w:rPr>
              <w:t>小微</w:t>
            </w:r>
            <w:r>
              <w:rPr>
                <w:rFonts w:hint="eastAsia"/>
              </w:rPr>
              <w:t>企业采购的项目，不再执行价格评审优惠的扶持政策。”</w:t>
            </w:r>
            <w:bookmarkEnd w:id="5"/>
          </w:p>
        </w:tc>
        <w:tc>
          <w:tcPr>
            <w:tcW w:w="889" w:type="dxa"/>
            <w:noWrap w:val="0"/>
            <w:vAlign w:val="center"/>
          </w:tcPr>
          <w:p w14:paraId="5AC478FE">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rPr>
            </w:pPr>
            <w:r>
              <w:rPr>
                <w:rFonts w:hint="eastAsia" w:cs="宋体"/>
                <w:color w:val="auto"/>
                <w:szCs w:val="24"/>
                <w:highlight w:val="none"/>
                <w:lang w:val="en-US" w:eastAsia="zh-CN"/>
              </w:rPr>
              <w:t>15</w:t>
            </w:r>
            <w:r>
              <w:rPr>
                <w:rFonts w:hint="eastAsia" w:ascii="宋体" w:hAnsi="宋体" w:eastAsia="宋体" w:cs="宋体"/>
                <w:color w:val="auto"/>
                <w:szCs w:val="24"/>
                <w:highlight w:val="none"/>
              </w:rPr>
              <w:t>分</w:t>
            </w:r>
          </w:p>
        </w:tc>
      </w:tr>
      <w:tr w14:paraId="3C77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trPr>
        <w:tc>
          <w:tcPr>
            <w:tcW w:w="1124" w:type="dxa"/>
            <w:shd w:val="clear" w:color="auto" w:fill="auto"/>
            <w:noWrap w:val="0"/>
            <w:vAlign w:val="center"/>
          </w:tcPr>
          <w:p w14:paraId="70EC8602">
            <w:pPr>
              <w:keepNext w:val="0"/>
              <w:keepLines w:val="0"/>
              <w:suppressLineNumbers w:val="0"/>
              <w:spacing w:beforeAutospacing="0" w:afterAutospacing="0" w:line="360" w:lineRule="auto"/>
              <w:jc w:val="center"/>
              <w:rPr>
                <w:rFonts w:hint="eastAsia" w:ascii="宋体" w:hAnsi="宋体" w:eastAsia="宋体" w:cs="宋体"/>
                <w:b/>
                <w:bCs/>
                <w:color w:val="auto"/>
                <w:szCs w:val="24"/>
                <w:highlight w:val="none"/>
              </w:rPr>
            </w:pPr>
          </w:p>
          <w:p w14:paraId="1ECEBCB2">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rPr>
            </w:pPr>
            <w:r>
              <w:rPr>
                <w:rFonts w:hint="eastAsia" w:cs="宋体"/>
                <w:b/>
                <w:bCs/>
                <w:color w:val="auto"/>
                <w:szCs w:val="24"/>
                <w:highlight w:val="none"/>
                <w:lang w:eastAsia="zh-CN"/>
              </w:rPr>
              <w:t>商务评审</w:t>
            </w:r>
          </w:p>
        </w:tc>
        <w:tc>
          <w:tcPr>
            <w:tcW w:w="892" w:type="dxa"/>
            <w:shd w:val="clear" w:color="auto" w:fill="auto"/>
            <w:noWrap w:val="0"/>
            <w:vAlign w:val="center"/>
          </w:tcPr>
          <w:p w14:paraId="057445BE">
            <w:pPr>
              <w:keepNext w:val="0"/>
              <w:keepLines w:val="0"/>
              <w:suppressLineNumbers w:val="0"/>
              <w:spacing w:beforeAutospacing="0" w:afterAutospacing="0" w:line="360" w:lineRule="auto"/>
              <w:jc w:val="center"/>
              <w:rPr>
                <w:rFonts w:hint="eastAsia" w:ascii="宋体" w:hAnsi="宋体" w:eastAsia="宋体" w:cs="宋体"/>
                <w:bCs/>
                <w:color w:val="auto"/>
                <w:szCs w:val="24"/>
                <w:highlight w:val="none"/>
                <w:lang w:eastAsia="zh-CN"/>
              </w:rPr>
            </w:pPr>
            <w:r>
              <w:rPr>
                <w:rFonts w:hint="eastAsia" w:cs="宋体"/>
                <w:bCs/>
                <w:color w:val="auto"/>
                <w:szCs w:val="24"/>
                <w:highlight w:val="none"/>
                <w:lang w:eastAsia="zh-CN"/>
              </w:rPr>
              <w:t>商务评审</w:t>
            </w:r>
          </w:p>
        </w:tc>
        <w:tc>
          <w:tcPr>
            <w:tcW w:w="7474" w:type="dxa"/>
            <w:shd w:val="clear" w:color="auto" w:fill="auto"/>
            <w:noWrap w:val="0"/>
            <w:vAlign w:val="top"/>
          </w:tcPr>
          <w:p w14:paraId="13D1C53C">
            <w:pPr>
              <w:keepNext w:val="0"/>
              <w:keepLines w:val="0"/>
              <w:suppressLineNumbers w:val="0"/>
              <w:spacing w:beforeAutospacing="0" w:afterAutospacing="0" w:line="360" w:lineRule="auto"/>
              <w:ind w:firstLine="400" w:firstLineChars="200"/>
              <w:rPr>
                <w:rFonts w:hint="eastAsia" w:ascii="Times New Roman" w:hAnsi="Times New Roman" w:eastAsia="宋体" w:cs="宋体"/>
                <w:color w:val="auto"/>
                <w:kern w:val="2"/>
                <w:sz w:val="20"/>
                <w:szCs w:val="21"/>
                <w:highlight w:val="none"/>
                <w:lang w:val="en-US" w:eastAsia="zh-CN" w:bidi="zh-CN"/>
              </w:rPr>
            </w:pPr>
            <w:r>
              <w:rPr>
                <w:rFonts w:hint="eastAsia" w:ascii="Times New Roman" w:hAnsi="Times New Roman" w:eastAsia="宋体" w:cs="宋体"/>
                <w:color w:val="auto"/>
                <w:kern w:val="2"/>
                <w:sz w:val="20"/>
                <w:szCs w:val="21"/>
                <w:highlight w:val="none"/>
                <w:lang w:val="en-US" w:eastAsia="zh-CN" w:bidi="zh-CN"/>
              </w:rPr>
              <w:t>经过有效性和符合性审核合格的单位，对全部商务条款付款、服务期、验收等方面进行响应。</w:t>
            </w:r>
          </w:p>
          <w:p w14:paraId="36FC9A7B">
            <w:pPr>
              <w:keepNext w:val="0"/>
              <w:keepLines w:val="0"/>
              <w:suppressLineNumbers w:val="0"/>
              <w:spacing w:beforeAutospacing="0" w:afterAutospacing="0" w:line="360" w:lineRule="auto"/>
              <w:ind w:firstLine="400" w:firstLineChars="200"/>
              <w:rPr>
                <w:rFonts w:hint="eastAsia" w:ascii="Times New Roman" w:hAnsi="Times New Roman" w:eastAsia="宋体" w:cs="宋体"/>
                <w:color w:val="auto"/>
                <w:kern w:val="2"/>
                <w:sz w:val="20"/>
                <w:szCs w:val="21"/>
                <w:highlight w:val="none"/>
                <w:lang w:val="en-US" w:eastAsia="zh-CN" w:bidi="zh-CN"/>
              </w:rPr>
            </w:pPr>
            <w:r>
              <w:rPr>
                <w:rFonts w:hint="eastAsia" w:ascii="Times New Roman" w:hAnsi="Times New Roman" w:eastAsia="宋体" w:cs="宋体"/>
                <w:color w:val="auto"/>
                <w:kern w:val="2"/>
                <w:sz w:val="20"/>
                <w:szCs w:val="21"/>
                <w:highlight w:val="none"/>
                <w:lang w:val="en-US" w:eastAsia="zh-CN" w:bidi="zh-CN"/>
              </w:rPr>
              <w:t>（1）完全响应且逐项详细说明（3-5分）；</w:t>
            </w:r>
          </w:p>
          <w:p w14:paraId="4BE0CD87">
            <w:pPr>
              <w:keepNext w:val="0"/>
              <w:keepLines w:val="0"/>
              <w:suppressLineNumbers w:val="0"/>
              <w:spacing w:beforeAutospacing="0" w:afterAutospacing="0" w:line="360" w:lineRule="auto"/>
              <w:ind w:firstLine="400" w:firstLineChars="200"/>
              <w:rPr>
                <w:rFonts w:hint="eastAsia" w:ascii="Times New Roman" w:hAnsi="Times New Roman" w:eastAsia="宋体" w:cs="宋体"/>
                <w:color w:val="auto"/>
                <w:kern w:val="2"/>
                <w:sz w:val="20"/>
                <w:szCs w:val="21"/>
                <w:highlight w:val="none"/>
                <w:lang w:val="en-US" w:eastAsia="zh-CN" w:bidi="zh-CN"/>
              </w:rPr>
            </w:pPr>
            <w:r>
              <w:rPr>
                <w:rFonts w:hint="eastAsia" w:ascii="Times New Roman" w:hAnsi="Times New Roman" w:eastAsia="宋体" w:cs="宋体"/>
                <w:color w:val="auto"/>
                <w:kern w:val="2"/>
                <w:sz w:val="20"/>
                <w:szCs w:val="21"/>
                <w:highlight w:val="none"/>
                <w:lang w:val="en-US" w:eastAsia="zh-CN" w:bidi="zh-CN"/>
              </w:rPr>
              <w:t>（2）有详细响应但响应内容不够详尽、完善（1-3分）；</w:t>
            </w:r>
          </w:p>
          <w:p w14:paraId="674DE3FB">
            <w:pPr>
              <w:keepNext w:val="0"/>
              <w:keepLines w:val="0"/>
              <w:suppressLineNumbers w:val="0"/>
              <w:spacing w:beforeAutospacing="0" w:afterAutospacing="0" w:line="360" w:lineRule="auto"/>
              <w:ind w:firstLine="400" w:firstLineChars="200"/>
              <w:rPr>
                <w:rFonts w:hint="eastAsia" w:ascii="宋体" w:hAnsi="宋体" w:eastAsia="宋体" w:cs="宋体"/>
                <w:color w:val="auto"/>
                <w:szCs w:val="24"/>
                <w:highlight w:val="none"/>
              </w:rPr>
            </w:pPr>
            <w:r>
              <w:rPr>
                <w:rFonts w:hint="eastAsia" w:ascii="Times New Roman" w:hAnsi="Times New Roman" w:eastAsia="宋体" w:cs="宋体"/>
                <w:color w:val="auto"/>
                <w:kern w:val="2"/>
                <w:sz w:val="20"/>
                <w:szCs w:val="21"/>
                <w:highlight w:val="none"/>
                <w:lang w:val="en-US" w:eastAsia="zh-CN" w:bidi="zh-CN"/>
              </w:rPr>
              <w:t>（3）响应一般，较差或者无响应（0-1分）。</w:t>
            </w:r>
          </w:p>
        </w:tc>
        <w:tc>
          <w:tcPr>
            <w:tcW w:w="889" w:type="dxa"/>
            <w:noWrap w:val="0"/>
            <w:vAlign w:val="center"/>
          </w:tcPr>
          <w:p w14:paraId="67DB4538">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rPr>
            </w:pPr>
            <w:r>
              <w:rPr>
                <w:rFonts w:hint="eastAsia" w:cs="宋体"/>
                <w:color w:val="auto"/>
                <w:szCs w:val="24"/>
                <w:highlight w:val="none"/>
                <w:lang w:val="en-US" w:eastAsia="zh-CN"/>
              </w:rPr>
              <w:t>5</w:t>
            </w:r>
            <w:r>
              <w:rPr>
                <w:rFonts w:hint="eastAsia" w:ascii="宋体" w:hAnsi="宋体" w:eastAsia="宋体" w:cs="宋体"/>
                <w:color w:val="auto"/>
                <w:szCs w:val="24"/>
                <w:highlight w:val="none"/>
              </w:rPr>
              <w:t>分</w:t>
            </w:r>
          </w:p>
        </w:tc>
      </w:tr>
      <w:tr w14:paraId="3CA3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 w:hRule="atLeast"/>
        </w:trPr>
        <w:tc>
          <w:tcPr>
            <w:tcW w:w="1124" w:type="dxa"/>
            <w:vMerge w:val="restart"/>
            <w:noWrap w:val="0"/>
            <w:vAlign w:val="center"/>
          </w:tcPr>
          <w:p w14:paraId="1BF122FD">
            <w:pPr>
              <w:keepNext w:val="0"/>
              <w:keepLines w:val="0"/>
              <w:suppressLineNumbers w:val="0"/>
              <w:shd w:val="clear"/>
              <w:spacing w:beforeAutospacing="0" w:afterAutospacing="0" w:line="360" w:lineRule="auto"/>
              <w:jc w:val="center"/>
              <w:rPr>
                <w:rFonts w:hint="eastAsia" w:ascii="宋体" w:hAnsi="宋体" w:eastAsia="宋体" w:cs="宋体"/>
                <w:b/>
                <w:bCs/>
                <w:color w:val="auto"/>
                <w:szCs w:val="24"/>
                <w:highlight w:val="none"/>
                <w:lang w:eastAsia="zh-CN"/>
              </w:rPr>
            </w:pPr>
            <w:r>
              <w:rPr>
                <w:rFonts w:hint="eastAsia" w:cs="宋体"/>
                <w:b/>
                <w:bCs/>
                <w:color w:val="auto"/>
                <w:szCs w:val="24"/>
                <w:highlight w:val="none"/>
                <w:lang w:eastAsia="zh-CN"/>
              </w:rPr>
              <w:t>服务方案</w:t>
            </w:r>
          </w:p>
          <w:p w14:paraId="2E80C151">
            <w:pPr>
              <w:keepNext w:val="0"/>
              <w:keepLines w:val="0"/>
              <w:suppressLineNumbers w:val="0"/>
              <w:shd w:val="clear"/>
              <w:spacing w:beforeAutospacing="0" w:afterAutospacing="0" w:line="360" w:lineRule="auto"/>
              <w:ind w:firstLine="210" w:firstLineChars="100"/>
              <w:jc w:val="both"/>
              <w:rPr>
                <w:rFonts w:hint="eastAsia" w:ascii="宋体" w:hAnsi="宋体" w:eastAsia="宋体" w:cs="宋体"/>
                <w:color w:val="auto"/>
                <w:szCs w:val="24"/>
                <w:highlight w:val="none"/>
              </w:rPr>
            </w:pPr>
            <w:r>
              <w:rPr>
                <w:rFonts w:hint="eastAsia" w:cs="宋体"/>
                <w:b/>
                <w:bCs/>
                <w:color w:val="auto"/>
                <w:szCs w:val="24"/>
                <w:highlight w:val="none"/>
                <w:lang w:val="en-US" w:eastAsia="zh-CN"/>
              </w:rPr>
              <w:t>56</w:t>
            </w:r>
            <w:r>
              <w:rPr>
                <w:rFonts w:hint="eastAsia" w:ascii="宋体" w:hAnsi="宋体" w:eastAsia="宋体" w:cs="宋体"/>
                <w:b/>
                <w:bCs/>
                <w:color w:val="auto"/>
                <w:szCs w:val="24"/>
                <w:highlight w:val="none"/>
              </w:rPr>
              <w:t>分</w:t>
            </w:r>
          </w:p>
        </w:tc>
        <w:tc>
          <w:tcPr>
            <w:tcW w:w="892" w:type="dxa"/>
            <w:noWrap w:val="0"/>
            <w:vAlign w:val="center"/>
          </w:tcPr>
          <w:p w14:paraId="5B96DDF5">
            <w:pPr>
              <w:keepNext w:val="0"/>
              <w:keepLines w:val="0"/>
              <w:suppressLineNumbers w:val="0"/>
              <w:spacing w:beforeAutospacing="0" w:afterAutospacing="0" w:line="360" w:lineRule="auto"/>
              <w:jc w:val="center"/>
              <w:rPr>
                <w:rFonts w:hint="eastAsia" w:ascii="宋体" w:hAnsi="宋体" w:eastAsia="宋体" w:cs="宋体"/>
                <w:bCs/>
                <w:color w:val="auto"/>
                <w:szCs w:val="24"/>
                <w:highlight w:val="none"/>
              </w:rPr>
            </w:pPr>
          </w:p>
          <w:p w14:paraId="27AD4D5F">
            <w:pPr>
              <w:keepNext w:val="0"/>
              <w:keepLines w:val="0"/>
              <w:suppressLineNumbers w:val="0"/>
              <w:spacing w:beforeAutospacing="0" w:afterAutospacing="0" w:line="360" w:lineRule="auto"/>
              <w:jc w:val="both"/>
              <w:rPr>
                <w:rFonts w:hint="eastAsia" w:ascii="宋体" w:hAnsi="宋体" w:eastAsia="宋体" w:cs="宋体"/>
                <w:bCs/>
                <w:color w:val="auto"/>
                <w:szCs w:val="24"/>
                <w:highlight w:val="none"/>
                <w:lang w:eastAsia="zh-CN"/>
              </w:rPr>
            </w:pPr>
            <w:r>
              <w:rPr>
                <w:rFonts w:hint="eastAsia" w:ascii="宋体" w:hAnsi="宋体" w:eastAsia="宋体" w:cs="宋体"/>
                <w:color w:val="auto"/>
                <w:sz w:val="18"/>
                <w:szCs w:val="21"/>
                <w:highlight w:val="none"/>
                <w:lang w:val="en-US" w:eastAsia="zh-CN"/>
              </w:rPr>
              <w:t>项目理解与需求分析</w:t>
            </w:r>
          </w:p>
        </w:tc>
        <w:tc>
          <w:tcPr>
            <w:tcW w:w="7474" w:type="dxa"/>
            <w:noWrap w:val="0"/>
            <w:vAlign w:val="top"/>
          </w:tcPr>
          <w:p w14:paraId="5BE74A95">
            <w:pPr>
              <w:keepNext w:val="0"/>
              <w:keepLines w:val="0"/>
              <w:suppressLineNumbers w:val="0"/>
              <w:spacing w:beforeAutospacing="0" w:afterAutospacing="0" w:line="360" w:lineRule="auto"/>
              <w:rPr>
                <w:rFonts w:hint="eastAsia" w:ascii="宋体" w:hAnsi="宋体" w:eastAsia="宋体" w:cs="宋体"/>
                <w:color w:val="auto"/>
                <w:sz w:val="18"/>
                <w:szCs w:val="21"/>
                <w:highlight w:val="none"/>
                <w:lang w:val="en-US" w:eastAsia="zh-CN"/>
              </w:rPr>
            </w:pPr>
            <w:r>
              <w:rPr>
                <w:rFonts w:hint="eastAsia" w:ascii="宋体" w:hAnsi="宋体" w:eastAsia="宋体" w:cs="宋体"/>
                <w:color w:val="auto"/>
                <w:sz w:val="18"/>
                <w:szCs w:val="21"/>
                <w:highlight w:val="none"/>
                <w:lang w:val="en-US" w:eastAsia="zh-CN"/>
              </w:rPr>
              <w:t>项目理解与需求分析：</w:t>
            </w:r>
          </w:p>
          <w:p w14:paraId="2384EB38">
            <w:pPr>
              <w:pStyle w:val="3"/>
              <w:ind w:right="-82" w:rightChars="0" w:firstLine="400" w:firstLineChars="200"/>
              <w:rPr>
                <w:rFonts w:hint="eastAsia" w:ascii="宋体" w:hAnsi="宋体" w:eastAsia="宋体" w:cs="宋体"/>
                <w:b w:val="0"/>
                <w:bCs w:val="0"/>
                <w:color w:val="auto"/>
                <w:kern w:val="2"/>
                <w:sz w:val="20"/>
                <w:szCs w:val="21"/>
                <w:highlight w:val="green"/>
                <w:lang w:val="en-US" w:eastAsia="zh-CN" w:bidi="zh-CN"/>
              </w:rPr>
            </w:pPr>
            <w:bookmarkStart w:id="6" w:name="_Toc3698"/>
            <w:r>
              <w:rPr>
                <w:rFonts w:hint="default" w:ascii="宋体" w:hAnsi="宋体" w:eastAsia="宋体" w:cs="宋体"/>
                <w:b w:val="0"/>
                <w:bCs w:val="0"/>
                <w:color w:val="auto"/>
                <w:kern w:val="2"/>
                <w:sz w:val="20"/>
                <w:szCs w:val="21"/>
                <w:highlight w:val="green"/>
                <w:lang w:val="en-US" w:eastAsia="zh-CN" w:bidi="zh-CN"/>
              </w:rPr>
              <w:t>①水文 / 地形描述精准 + 关键区域全覆盖 + 现状问题定位准确</w:t>
            </w:r>
            <w:r>
              <w:rPr>
                <w:rFonts w:hint="eastAsia" w:ascii="宋体" w:hAnsi="宋体" w:cs="宋体"/>
                <w:b w:val="0"/>
                <w:bCs w:val="0"/>
                <w:color w:val="auto"/>
                <w:kern w:val="2"/>
                <w:sz w:val="20"/>
                <w:szCs w:val="21"/>
                <w:highlight w:val="green"/>
                <w:lang w:val="en-US" w:eastAsia="zh-CN" w:bidi="zh-CN"/>
              </w:rPr>
              <w:t>；</w:t>
            </w:r>
            <w:r>
              <w:rPr>
                <w:rFonts w:hint="eastAsia" w:cs="宋体"/>
                <w:color w:val="auto"/>
                <w:sz w:val="20"/>
                <w:szCs w:val="21"/>
                <w:highlight w:val="green"/>
                <w:lang w:val="en-US" w:eastAsia="zh-CN" w:bidi="zh-CN"/>
              </w:rPr>
              <w:t>得7-10分</w:t>
            </w:r>
            <w:bookmarkEnd w:id="6"/>
          </w:p>
          <w:p w14:paraId="29699881">
            <w:pPr>
              <w:pStyle w:val="8"/>
              <w:keepNext w:val="0"/>
              <w:keepLines w:val="0"/>
              <w:suppressLineNumbers w:val="0"/>
              <w:spacing w:beforeAutospacing="0" w:afterAutospacing="0" w:line="360" w:lineRule="auto"/>
              <w:ind w:firstLine="480"/>
              <w:rPr>
                <w:rFonts w:hint="default" w:ascii="宋体" w:hAnsi="宋体" w:eastAsia="宋体" w:cs="宋体"/>
                <w:b w:val="0"/>
                <w:bCs w:val="0"/>
                <w:color w:val="auto"/>
                <w:kern w:val="2"/>
                <w:sz w:val="20"/>
                <w:szCs w:val="21"/>
                <w:highlight w:val="green"/>
                <w:lang w:val="en-US" w:eastAsia="zh-CN" w:bidi="zh-CN"/>
              </w:rPr>
            </w:pPr>
            <w:r>
              <w:rPr>
                <w:rFonts w:hint="default" w:ascii="宋体" w:hAnsi="宋体" w:eastAsia="宋体" w:cs="宋体"/>
                <w:b w:val="0"/>
                <w:bCs w:val="0"/>
                <w:color w:val="auto"/>
                <w:kern w:val="2"/>
                <w:sz w:val="20"/>
                <w:szCs w:val="21"/>
                <w:highlight w:val="green"/>
                <w:lang w:val="en-US" w:eastAsia="zh-CN" w:bidi="zh-CN"/>
              </w:rPr>
              <w:t>②</w:t>
            </w:r>
            <w:r>
              <w:rPr>
                <w:rFonts w:hint="eastAsia" w:ascii="宋体" w:hAnsi="宋体" w:eastAsia="宋体" w:cs="宋体"/>
                <w:b w:val="0"/>
                <w:bCs w:val="0"/>
                <w:color w:val="auto"/>
                <w:kern w:val="2"/>
                <w:sz w:val="20"/>
                <w:szCs w:val="21"/>
                <w:highlight w:val="green"/>
                <w:lang w:val="en-US" w:eastAsia="zh-CN" w:bidi="zh-CN"/>
              </w:rPr>
              <w:t>缺 1 项特征描述 / 关键区域漏判</w:t>
            </w:r>
            <w:r>
              <w:rPr>
                <w:rFonts w:hint="eastAsia" w:ascii="宋体" w:hAnsi="宋体" w:cs="宋体"/>
                <w:b w:val="0"/>
                <w:bCs w:val="0"/>
                <w:color w:val="auto"/>
                <w:kern w:val="2"/>
                <w:sz w:val="20"/>
                <w:szCs w:val="21"/>
                <w:highlight w:val="green"/>
                <w:lang w:val="en-US" w:eastAsia="zh-CN" w:bidi="zh-CN"/>
              </w:rPr>
              <w:t>；</w:t>
            </w:r>
            <w:r>
              <w:rPr>
                <w:rFonts w:hint="eastAsia" w:cs="宋体"/>
                <w:color w:val="auto"/>
                <w:sz w:val="20"/>
                <w:szCs w:val="21"/>
                <w:highlight w:val="green"/>
                <w:lang w:val="en-US" w:eastAsia="zh-CN" w:bidi="zh-CN"/>
              </w:rPr>
              <w:t>得4</w:t>
            </w:r>
            <w:r>
              <w:rPr>
                <w:rFonts w:hint="eastAsia" w:ascii="宋体" w:hAnsi="宋体" w:eastAsia="宋体" w:cs="宋体"/>
                <w:color w:val="auto"/>
                <w:sz w:val="20"/>
                <w:szCs w:val="21"/>
                <w:highlight w:val="green"/>
                <w:lang w:val="en-US" w:eastAsia="zh-CN" w:bidi="zh-CN"/>
              </w:rPr>
              <w:t>-</w:t>
            </w:r>
            <w:r>
              <w:rPr>
                <w:rFonts w:hint="eastAsia" w:ascii="宋体" w:hAnsi="宋体" w:cs="宋体"/>
                <w:color w:val="auto"/>
                <w:sz w:val="20"/>
                <w:szCs w:val="21"/>
                <w:highlight w:val="green"/>
                <w:lang w:val="en-US" w:eastAsia="zh-CN" w:bidi="zh-CN"/>
              </w:rPr>
              <w:t>7</w:t>
            </w:r>
            <w:r>
              <w:rPr>
                <w:rFonts w:hint="eastAsia" w:ascii="宋体" w:hAnsi="宋体" w:eastAsia="宋体" w:cs="宋体"/>
                <w:color w:val="auto"/>
                <w:sz w:val="20"/>
                <w:szCs w:val="21"/>
                <w:highlight w:val="green"/>
                <w:lang w:val="en-US" w:eastAsia="zh-CN" w:bidi="zh-CN"/>
              </w:rPr>
              <w:t>分</w:t>
            </w:r>
            <w:r>
              <w:rPr>
                <w:rFonts w:hint="eastAsia" w:ascii="宋体" w:hAnsi="宋体" w:eastAsia="宋体" w:cs="宋体"/>
                <w:b w:val="0"/>
                <w:bCs w:val="0"/>
                <w:color w:val="auto"/>
                <w:kern w:val="2"/>
                <w:sz w:val="20"/>
                <w:szCs w:val="21"/>
                <w:highlight w:val="green"/>
                <w:lang w:val="en-US" w:eastAsia="zh-CN" w:bidi="zh-CN"/>
              </w:rPr>
              <w:t>。</w:t>
            </w:r>
          </w:p>
          <w:p w14:paraId="11A2CCF2">
            <w:pPr>
              <w:pStyle w:val="8"/>
              <w:keepNext w:val="0"/>
              <w:keepLines w:val="0"/>
              <w:suppressLineNumbers w:val="0"/>
              <w:spacing w:beforeAutospacing="0" w:afterAutospacing="0" w:line="360" w:lineRule="auto"/>
              <w:ind w:firstLine="480"/>
              <w:rPr>
                <w:rFonts w:hint="eastAsia" w:ascii="宋体" w:hAnsi="宋体" w:eastAsia="宋体" w:cs="宋体"/>
                <w:color w:val="auto"/>
                <w:szCs w:val="24"/>
                <w:highlight w:val="none"/>
                <w:lang w:val="en-US" w:eastAsia="zh-CN"/>
              </w:rPr>
            </w:pPr>
            <w:r>
              <w:rPr>
                <w:rFonts w:hint="default" w:ascii="宋体" w:hAnsi="宋体" w:eastAsia="宋体" w:cs="宋体"/>
                <w:color w:val="auto"/>
                <w:sz w:val="20"/>
                <w:szCs w:val="21"/>
                <w:highlight w:val="none"/>
                <w:lang w:val="en-US" w:eastAsia="zh-CN" w:bidi="zh-CN"/>
              </w:rPr>
              <w:t>③</w:t>
            </w:r>
            <w:r>
              <w:rPr>
                <w:rFonts w:hint="eastAsia" w:ascii="宋体" w:hAnsi="宋体" w:eastAsia="宋体" w:cs="宋体"/>
                <w:color w:val="auto"/>
                <w:sz w:val="20"/>
                <w:szCs w:val="21"/>
                <w:highlight w:val="none"/>
                <w:lang w:val="en-US" w:eastAsia="zh-CN" w:bidi="zh-CN"/>
              </w:rPr>
              <w:t>核心特征描述错误 / 现状问题误判</w:t>
            </w:r>
            <w:r>
              <w:rPr>
                <w:rFonts w:hint="eastAsia" w:ascii="宋体" w:hAnsi="宋体" w:cs="宋体"/>
                <w:color w:val="auto"/>
                <w:sz w:val="20"/>
                <w:szCs w:val="21"/>
                <w:highlight w:val="none"/>
                <w:lang w:val="en-US" w:eastAsia="zh-CN" w:bidi="zh-CN"/>
              </w:rPr>
              <w:t>；</w:t>
            </w:r>
            <w:r>
              <w:rPr>
                <w:rFonts w:hint="eastAsia" w:cs="宋体"/>
                <w:color w:val="auto"/>
                <w:sz w:val="20"/>
                <w:szCs w:val="21"/>
                <w:highlight w:val="none"/>
                <w:lang w:val="en-US" w:eastAsia="zh-CN" w:bidi="zh-CN"/>
              </w:rPr>
              <w:t>得1</w:t>
            </w:r>
            <w:r>
              <w:rPr>
                <w:rFonts w:hint="eastAsia" w:ascii="宋体" w:hAnsi="宋体" w:eastAsia="宋体" w:cs="宋体"/>
                <w:color w:val="auto"/>
                <w:sz w:val="20"/>
                <w:szCs w:val="21"/>
                <w:highlight w:val="none"/>
                <w:lang w:val="en-US" w:eastAsia="zh-CN" w:bidi="zh-CN"/>
              </w:rPr>
              <w:t>-</w:t>
            </w:r>
            <w:r>
              <w:rPr>
                <w:rFonts w:hint="eastAsia" w:cs="宋体"/>
                <w:color w:val="auto"/>
                <w:sz w:val="20"/>
                <w:szCs w:val="21"/>
                <w:highlight w:val="none"/>
                <w:lang w:val="en-US" w:eastAsia="zh-CN" w:bidi="zh-CN"/>
              </w:rPr>
              <w:t>4</w:t>
            </w:r>
            <w:r>
              <w:rPr>
                <w:rFonts w:hint="eastAsia" w:ascii="宋体" w:hAnsi="宋体" w:eastAsia="宋体" w:cs="宋体"/>
                <w:color w:val="auto"/>
                <w:sz w:val="20"/>
                <w:szCs w:val="21"/>
                <w:highlight w:val="none"/>
                <w:lang w:val="en-US" w:eastAsia="zh-CN" w:bidi="zh-CN"/>
              </w:rPr>
              <w:t>分。</w:t>
            </w:r>
          </w:p>
        </w:tc>
        <w:tc>
          <w:tcPr>
            <w:tcW w:w="889" w:type="dxa"/>
            <w:noWrap w:val="0"/>
            <w:vAlign w:val="center"/>
          </w:tcPr>
          <w:p w14:paraId="625F3C6B">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rPr>
            </w:pPr>
            <w:r>
              <w:rPr>
                <w:rFonts w:hint="eastAsia" w:cs="宋体"/>
                <w:color w:val="auto"/>
                <w:szCs w:val="24"/>
                <w:highlight w:val="none"/>
                <w:lang w:val="en-US" w:eastAsia="zh-CN"/>
              </w:rPr>
              <w:t>10</w:t>
            </w:r>
            <w:r>
              <w:rPr>
                <w:rFonts w:hint="eastAsia" w:ascii="宋体" w:hAnsi="宋体" w:eastAsia="宋体" w:cs="宋体"/>
                <w:color w:val="auto"/>
                <w:szCs w:val="24"/>
                <w:highlight w:val="none"/>
              </w:rPr>
              <w:t>分</w:t>
            </w:r>
          </w:p>
        </w:tc>
      </w:tr>
      <w:tr w14:paraId="1D64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3" w:hRule="atLeast"/>
        </w:trPr>
        <w:tc>
          <w:tcPr>
            <w:tcW w:w="1124" w:type="dxa"/>
            <w:vMerge w:val="continue"/>
            <w:noWrap w:val="0"/>
            <w:vAlign w:val="center"/>
          </w:tcPr>
          <w:p w14:paraId="05FBBC3A">
            <w:pPr>
              <w:keepNext w:val="0"/>
              <w:keepLines w:val="0"/>
              <w:suppressLineNumbers w:val="0"/>
              <w:spacing w:beforeAutospacing="0" w:afterAutospacing="0" w:line="360" w:lineRule="auto"/>
              <w:ind w:firstLine="420" w:firstLineChars="200"/>
              <w:jc w:val="center"/>
              <w:rPr>
                <w:rFonts w:hint="eastAsia" w:ascii="宋体" w:hAnsi="宋体" w:eastAsia="宋体" w:cs="宋体"/>
                <w:color w:val="auto"/>
                <w:szCs w:val="24"/>
                <w:highlight w:val="none"/>
              </w:rPr>
            </w:pPr>
          </w:p>
        </w:tc>
        <w:tc>
          <w:tcPr>
            <w:tcW w:w="892" w:type="dxa"/>
            <w:noWrap w:val="0"/>
            <w:vAlign w:val="center"/>
          </w:tcPr>
          <w:p w14:paraId="6FDDE3BE">
            <w:pPr>
              <w:pStyle w:val="8"/>
              <w:keepNext w:val="0"/>
              <w:keepLines w:val="0"/>
              <w:suppressLineNumbers w:val="0"/>
              <w:spacing w:beforeAutospacing="0" w:afterAutospacing="0" w:line="360" w:lineRule="auto"/>
              <w:ind w:left="0" w:leftChars="0" w:firstLine="0" w:firstLineChars="0"/>
              <w:rPr>
                <w:rFonts w:hint="eastAsia" w:cs="宋体"/>
                <w:color w:val="auto"/>
                <w:sz w:val="22"/>
                <w:szCs w:val="24"/>
                <w:highlight w:val="none"/>
                <w:lang w:val="en-US" w:eastAsia="zh-CN" w:bidi="zh-CN"/>
              </w:rPr>
            </w:pPr>
            <w:r>
              <w:rPr>
                <w:rFonts w:hint="eastAsia" w:cs="宋体"/>
                <w:bCs/>
                <w:color w:val="auto"/>
                <w:szCs w:val="24"/>
                <w:highlight w:val="none"/>
                <w:lang w:val="en-US" w:eastAsia="zh-CN"/>
              </w:rPr>
              <w:t xml:space="preserve"> </w:t>
            </w:r>
            <w:r>
              <w:rPr>
                <w:rFonts w:hint="eastAsia" w:cs="宋体"/>
                <w:color w:val="auto"/>
                <w:sz w:val="22"/>
                <w:szCs w:val="24"/>
                <w:highlight w:val="none"/>
                <w:lang w:val="en-US" w:eastAsia="zh-CN" w:bidi="zh-CN"/>
              </w:rPr>
              <w:t>设计思路与原则</w:t>
            </w:r>
          </w:p>
          <w:p w14:paraId="30FC3E1C">
            <w:pPr>
              <w:keepNext w:val="0"/>
              <w:keepLines w:val="0"/>
              <w:suppressLineNumbers w:val="0"/>
              <w:spacing w:beforeAutospacing="0" w:afterAutospacing="0" w:line="360" w:lineRule="auto"/>
              <w:rPr>
                <w:rFonts w:hint="eastAsia" w:ascii="宋体" w:hAnsi="宋体" w:eastAsia="宋体" w:cs="宋体"/>
                <w:bCs/>
                <w:color w:val="auto"/>
                <w:szCs w:val="24"/>
                <w:highlight w:val="none"/>
                <w:lang w:eastAsia="zh-CN"/>
              </w:rPr>
            </w:pPr>
          </w:p>
        </w:tc>
        <w:tc>
          <w:tcPr>
            <w:tcW w:w="7474" w:type="dxa"/>
            <w:noWrap w:val="0"/>
            <w:vAlign w:val="top"/>
          </w:tcPr>
          <w:p w14:paraId="5F2FC521">
            <w:pPr>
              <w:pStyle w:val="8"/>
              <w:keepNext w:val="0"/>
              <w:keepLines w:val="0"/>
              <w:suppressLineNumbers w:val="0"/>
              <w:spacing w:beforeAutospacing="0" w:afterAutospacing="0" w:line="360" w:lineRule="auto"/>
              <w:ind w:firstLine="480"/>
              <w:rPr>
                <w:rFonts w:hint="eastAsia" w:ascii="宋体" w:hAnsi="宋体" w:eastAsia="宋体" w:cs="宋体"/>
                <w:b w:val="0"/>
                <w:bCs w:val="0"/>
                <w:color w:val="auto"/>
                <w:kern w:val="2"/>
                <w:sz w:val="20"/>
                <w:szCs w:val="21"/>
                <w:highlight w:val="green"/>
                <w:lang w:val="en-US" w:eastAsia="zh-CN" w:bidi="zh-CN"/>
              </w:rPr>
            </w:pPr>
            <w:r>
              <w:rPr>
                <w:rFonts w:hint="eastAsia" w:ascii="宋体" w:hAnsi="宋体" w:eastAsia="宋体" w:cs="宋体"/>
                <w:b w:val="0"/>
                <w:bCs w:val="0"/>
                <w:color w:val="auto"/>
                <w:kern w:val="2"/>
                <w:sz w:val="20"/>
                <w:szCs w:val="21"/>
                <w:highlight w:val="green"/>
                <w:lang w:val="en-US" w:eastAsia="zh-CN" w:bidi="zh-CN"/>
              </w:rPr>
              <w:t>设计思路与原则</w:t>
            </w:r>
          </w:p>
          <w:p w14:paraId="57F31F4B">
            <w:pPr>
              <w:pStyle w:val="8"/>
              <w:keepNext w:val="0"/>
              <w:keepLines w:val="0"/>
              <w:suppressLineNumbers w:val="0"/>
              <w:spacing w:beforeAutospacing="0" w:afterAutospacing="0" w:line="360" w:lineRule="auto"/>
              <w:ind w:firstLine="480"/>
              <w:rPr>
                <w:rFonts w:hint="eastAsia" w:ascii="宋体" w:hAnsi="宋体" w:eastAsia="宋体" w:cs="宋体"/>
                <w:b w:val="0"/>
                <w:bCs w:val="0"/>
                <w:color w:val="auto"/>
                <w:kern w:val="2"/>
                <w:sz w:val="20"/>
                <w:szCs w:val="21"/>
                <w:highlight w:val="green"/>
                <w:lang w:val="en-US" w:eastAsia="zh-CN" w:bidi="zh-CN"/>
              </w:rPr>
            </w:pPr>
            <w:r>
              <w:rPr>
                <w:rFonts w:hint="eastAsia" w:ascii="宋体" w:hAnsi="宋体" w:eastAsia="宋体" w:cs="宋体"/>
                <w:b w:val="0"/>
                <w:bCs w:val="0"/>
                <w:color w:val="auto"/>
                <w:kern w:val="2"/>
                <w:sz w:val="20"/>
                <w:szCs w:val="21"/>
                <w:highlight w:val="green"/>
                <w:lang w:val="en-US" w:eastAsia="zh-CN" w:bidi="zh-CN"/>
              </w:rPr>
              <w:t>①设计逻辑链闭环 + 每个问题对应专属方案 + 与目标直接挂钩；得7-10分</w:t>
            </w:r>
          </w:p>
          <w:p w14:paraId="3490CC46">
            <w:pPr>
              <w:pStyle w:val="8"/>
              <w:keepNext w:val="0"/>
              <w:keepLines w:val="0"/>
              <w:suppressLineNumbers w:val="0"/>
              <w:spacing w:beforeAutospacing="0" w:afterAutospacing="0" w:line="360" w:lineRule="auto"/>
              <w:ind w:firstLine="480"/>
              <w:rPr>
                <w:rFonts w:hint="eastAsia" w:ascii="宋体" w:hAnsi="宋体" w:eastAsia="宋体" w:cs="宋体"/>
                <w:b w:val="0"/>
                <w:bCs w:val="0"/>
                <w:color w:val="auto"/>
                <w:kern w:val="2"/>
                <w:sz w:val="20"/>
                <w:szCs w:val="21"/>
                <w:highlight w:val="green"/>
                <w:lang w:val="en-US" w:eastAsia="zh-CN" w:bidi="zh-CN"/>
              </w:rPr>
            </w:pPr>
            <w:r>
              <w:rPr>
                <w:rFonts w:hint="eastAsia" w:ascii="宋体" w:hAnsi="宋体" w:eastAsia="宋体" w:cs="宋体"/>
                <w:b w:val="0"/>
                <w:bCs w:val="0"/>
                <w:color w:val="auto"/>
                <w:kern w:val="2"/>
                <w:sz w:val="20"/>
                <w:szCs w:val="21"/>
                <w:highlight w:val="green"/>
                <w:lang w:val="en-US" w:eastAsia="zh-CN" w:bidi="zh-CN"/>
              </w:rPr>
              <w:t>②逻辑链完整但目标匹配度低；得4 -7分。</w:t>
            </w:r>
          </w:p>
          <w:p w14:paraId="370ED36D">
            <w:pPr>
              <w:pStyle w:val="8"/>
              <w:keepNext w:val="0"/>
              <w:keepLines w:val="0"/>
              <w:suppressLineNumbers w:val="0"/>
              <w:spacing w:beforeAutospacing="0" w:afterAutospacing="0" w:line="360" w:lineRule="auto"/>
              <w:ind w:firstLine="480"/>
              <w:rPr>
                <w:rFonts w:hint="default" w:ascii="宋体" w:hAnsi="宋体" w:eastAsia="宋体" w:cs="宋体"/>
                <w:color w:val="auto"/>
                <w:sz w:val="22"/>
                <w:szCs w:val="24"/>
                <w:highlight w:val="none"/>
                <w:lang w:val="en-US" w:eastAsia="zh-CN" w:bidi="zh-CN"/>
              </w:rPr>
            </w:pPr>
            <w:r>
              <w:rPr>
                <w:rFonts w:hint="eastAsia" w:ascii="宋体" w:hAnsi="宋体" w:eastAsia="宋体" w:cs="宋体"/>
                <w:b w:val="0"/>
                <w:bCs w:val="0"/>
                <w:color w:val="auto"/>
                <w:kern w:val="2"/>
                <w:sz w:val="20"/>
                <w:szCs w:val="21"/>
                <w:highlight w:val="green"/>
                <w:lang w:val="en-US" w:eastAsia="zh-CN" w:bidi="zh-CN"/>
              </w:rPr>
              <w:t>③问题与方案脱节；得1-4分.</w:t>
            </w:r>
          </w:p>
        </w:tc>
        <w:tc>
          <w:tcPr>
            <w:tcW w:w="889" w:type="dxa"/>
            <w:noWrap w:val="0"/>
            <w:vAlign w:val="center"/>
          </w:tcPr>
          <w:p w14:paraId="18233A0E">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rPr>
            </w:pPr>
            <w:r>
              <w:rPr>
                <w:rFonts w:hint="eastAsia" w:cs="宋体"/>
                <w:color w:val="auto"/>
                <w:szCs w:val="24"/>
                <w:highlight w:val="none"/>
                <w:lang w:val="en-US" w:eastAsia="zh-CN"/>
              </w:rPr>
              <w:t>10</w:t>
            </w:r>
            <w:r>
              <w:rPr>
                <w:rFonts w:hint="eastAsia" w:ascii="宋体" w:hAnsi="宋体" w:eastAsia="宋体" w:cs="宋体"/>
                <w:color w:val="auto"/>
                <w:szCs w:val="24"/>
                <w:highlight w:val="none"/>
              </w:rPr>
              <w:t>分</w:t>
            </w:r>
          </w:p>
        </w:tc>
      </w:tr>
      <w:tr w14:paraId="25CE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atLeast"/>
        </w:trPr>
        <w:tc>
          <w:tcPr>
            <w:tcW w:w="1124" w:type="dxa"/>
            <w:vMerge w:val="continue"/>
            <w:noWrap w:val="0"/>
            <w:vAlign w:val="center"/>
          </w:tcPr>
          <w:p w14:paraId="67378E73">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lang w:val="en-US" w:eastAsia="zh-CN"/>
              </w:rPr>
            </w:pPr>
          </w:p>
        </w:tc>
        <w:tc>
          <w:tcPr>
            <w:tcW w:w="892" w:type="dxa"/>
            <w:noWrap w:val="0"/>
            <w:vAlign w:val="center"/>
          </w:tcPr>
          <w:p w14:paraId="3630AC17">
            <w:pPr>
              <w:keepNext w:val="0"/>
              <w:keepLines w:val="0"/>
              <w:suppressLineNumbers w:val="0"/>
              <w:spacing w:beforeAutospacing="0" w:afterAutospacing="0" w:line="360" w:lineRule="auto"/>
              <w:jc w:val="center"/>
              <w:rPr>
                <w:rFonts w:hint="eastAsia" w:ascii="宋体" w:hAnsi="宋体" w:eastAsia="宋体" w:cs="宋体"/>
                <w:bCs/>
                <w:color w:val="auto"/>
                <w:szCs w:val="24"/>
                <w:highlight w:val="none"/>
                <w:lang w:eastAsia="zh-CN"/>
              </w:rPr>
            </w:pPr>
            <w:r>
              <w:rPr>
                <w:rFonts w:hint="eastAsia" w:ascii="宋体" w:hAnsi="宋体" w:eastAsia="宋体" w:cs="宋体"/>
                <w:color w:val="auto"/>
                <w:sz w:val="22"/>
                <w:szCs w:val="24"/>
                <w:highlight w:val="none"/>
                <w:lang w:val="en-US" w:eastAsia="zh-CN" w:bidi="zh-CN"/>
              </w:rPr>
              <w:t>地勘方案设计与数据应用</w:t>
            </w:r>
          </w:p>
        </w:tc>
        <w:tc>
          <w:tcPr>
            <w:tcW w:w="7474" w:type="dxa"/>
            <w:noWrap w:val="0"/>
            <w:vAlign w:val="top"/>
          </w:tcPr>
          <w:p w14:paraId="4CAF2CA4">
            <w:pPr>
              <w:pStyle w:val="8"/>
              <w:keepNext w:val="0"/>
              <w:keepLines w:val="0"/>
              <w:suppressLineNumbers w:val="0"/>
              <w:spacing w:beforeAutospacing="0" w:afterAutospacing="0" w:line="360" w:lineRule="auto"/>
              <w:ind w:firstLine="480"/>
              <w:rPr>
                <w:rFonts w:hint="eastAsia" w:cs="宋体"/>
                <w:color w:val="auto"/>
                <w:sz w:val="20"/>
                <w:szCs w:val="21"/>
                <w:highlight w:val="none"/>
                <w:lang w:val="en-US" w:eastAsia="zh-CN" w:bidi="zh-CN"/>
              </w:rPr>
            </w:pPr>
            <w:r>
              <w:rPr>
                <w:rFonts w:hint="eastAsia" w:cs="宋体"/>
                <w:color w:val="auto"/>
                <w:sz w:val="20"/>
                <w:szCs w:val="21"/>
                <w:highlight w:val="none"/>
                <w:lang w:val="en-US" w:eastAsia="zh-CN" w:bidi="zh-CN"/>
              </w:rPr>
              <w:t>地勘方案设计与数据应用</w:t>
            </w:r>
          </w:p>
          <w:p w14:paraId="12C56426">
            <w:pPr>
              <w:pStyle w:val="8"/>
              <w:keepNext w:val="0"/>
              <w:keepLines w:val="0"/>
              <w:suppressLineNumbers w:val="0"/>
              <w:spacing w:beforeAutospacing="0" w:afterAutospacing="0" w:line="360" w:lineRule="auto"/>
              <w:ind w:firstLine="480"/>
              <w:rPr>
                <w:rFonts w:hint="eastAsia" w:cs="宋体"/>
                <w:color w:val="auto"/>
                <w:sz w:val="20"/>
                <w:szCs w:val="21"/>
                <w:highlight w:val="none"/>
                <w:lang w:val="en-US" w:eastAsia="zh-CN" w:bidi="zh-CN"/>
              </w:rPr>
            </w:pPr>
            <w:r>
              <w:rPr>
                <w:rFonts w:hint="default" w:cs="宋体"/>
                <w:color w:val="auto"/>
                <w:sz w:val="20"/>
                <w:szCs w:val="21"/>
                <w:highlight w:val="none"/>
                <w:lang w:val="en-US" w:eastAsia="zh-CN" w:bidi="zh-CN"/>
              </w:rPr>
              <w:t>①</w:t>
            </w:r>
            <w:r>
              <w:rPr>
                <w:rFonts w:hint="eastAsia" w:cs="宋体"/>
                <w:color w:val="auto"/>
                <w:sz w:val="20"/>
                <w:szCs w:val="21"/>
                <w:highlight w:val="none"/>
                <w:lang w:val="en-US" w:eastAsia="zh-CN" w:bidi="zh-CN"/>
              </w:rPr>
              <w:t>结合项目区域水文地质、污染特征定制地勘范围、点位、深度，明确地勘方法的选择依据，完全匹配项目需求；得 7-10 分；</w:t>
            </w:r>
          </w:p>
          <w:p w14:paraId="45D96433">
            <w:pPr>
              <w:pStyle w:val="8"/>
              <w:keepNext w:val="0"/>
              <w:keepLines w:val="0"/>
              <w:suppressLineNumbers w:val="0"/>
              <w:spacing w:beforeAutospacing="0" w:afterAutospacing="0" w:line="360" w:lineRule="auto"/>
              <w:ind w:firstLine="480"/>
              <w:rPr>
                <w:rFonts w:hint="eastAsia" w:cs="宋体"/>
                <w:color w:val="auto"/>
                <w:sz w:val="20"/>
                <w:szCs w:val="21"/>
                <w:highlight w:val="none"/>
                <w:lang w:val="en-US" w:eastAsia="zh-CN" w:bidi="zh-CN"/>
              </w:rPr>
            </w:pPr>
            <w:r>
              <w:rPr>
                <w:rFonts w:hint="default" w:cs="宋体"/>
                <w:color w:val="auto"/>
                <w:sz w:val="20"/>
                <w:szCs w:val="21"/>
                <w:highlight w:val="none"/>
                <w:lang w:val="en-US" w:eastAsia="zh-CN" w:bidi="zh-CN"/>
              </w:rPr>
              <w:t>②地勘范围</w:t>
            </w:r>
            <w:r>
              <w:rPr>
                <w:rFonts w:hint="eastAsia" w:cs="宋体"/>
                <w:color w:val="auto"/>
                <w:sz w:val="20"/>
                <w:szCs w:val="21"/>
                <w:highlight w:val="none"/>
                <w:lang w:val="en-US" w:eastAsia="zh-CN" w:bidi="zh-CN"/>
              </w:rPr>
              <w:t>和</w:t>
            </w:r>
            <w:r>
              <w:rPr>
                <w:rFonts w:hint="default" w:cs="宋体"/>
                <w:color w:val="auto"/>
                <w:sz w:val="20"/>
                <w:szCs w:val="21"/>
                <w:highlight w:val="none"/>
                <w:lang w:val="en-US" w:eastAsia="zh-CN" w:bidi="zh-CN"/>
              </w:rPr>
              <w:t>点位基本覆盖核心区域，但未针对特殊工况优化，方法选择无明确论证；</w:t>
            </w:r>
            <w:r>
              <w:rPr>
                <w:rFonts w:hint="eastAsia" w:cs="宋体"/>
                <w:color w:val="auto"/>
                <w:sz w:val="20"/>
                <w:szCs w:val="21"/>
                <w:highlight w:val="none"/>
                <w:lang w:val="en-US" w:eastAsia="zh-CN" w:bidi="zh-CN"/>
              </w:rPr>
              <w:t>得4 - 7分</w:t>
            </w:r>
          </w:p>
          <w:p w14:paraId="53DA924B">
            <w:pPr>
              <w:pStyle w:val="8"/>
              <w:keepNext w:val="0"/>
              <w:keepLines w:val="0"/>
              <w:suppressLineNumbers w:val="0"/>
              <w:spacing w:beforeAutospacing="0" w:afterAutospacing="0" w:line="360" w:lineRule="auto"/>
              <w:ind w:firstLine="480"/>
              <w:rPr>
                <w:rFonts w:hint="eastAsia"/>
                <w:lang w:val="en-US" w:eastAsia="zh-CN"/>
              </w:rPr>
            </w:pPr>
            <w:r>
              <w:rPr>
                <w:rFonts w:hint="default" w:cs="宋体"/>
                <w:color w:val="auto"/>
                <w:sz w:val="20"/>
                <w:szCs w:val="21"/>
                <w:highlight w:val="none"/>
                <w:lang w:val="en-US" w:eastAsia="zh-CN" w:bidi="zh-CN"/>
              </w:rPr>
              <w:t>③地勘方案套用通用模板，未结合项目实际调整，点位分布较零散；</w:t>
            </w:r>
            <w:r>
              <w:rPr>
                <w:rFonts w:hint="eastAsia" w:cs="宋体"/>
                <w:color w:val="auto"/>
                <w:sz w:val="20"/>
                <w:szCs w:val="21"/>
                <w:highlight w:val="none"/>
                <w:lang w:val="en-US" w:eastAsia="zh-CN" w:bidi="zh-CN"/>
              </w:rPr>
              <w:t>得1 -4分；</w:t>
            </w:r>
          </w:p>
        </w:tc>
        <w:tc>
          <w:tcPr>
            <w:tcW w:w="889" w:type="dxa"/>
            <w:noWrap w:val="0"/>
            <w:vAlign w:val="center"/>
          </w:tcPr>
          <w:p w14:paraId="3FF2DBAA">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lang w:val="en-US" w:eastAsia="zh-CN"/>
              </w:rPr>
            </w:pPr>
            <w:r>
              <w:rPr>
                <w:rFonts w:hint="eastAsia" w:cs="宋体"/>
                <w:color w:val="auto"/>
                <w:szCs w:val="24"/>
                <w:highlight w:val="none"/>
                <w:lang w:val="en-US" w:eastAsia="zh-CN"/>
              </w:rPr>
              <w:t>10</w:t>
            </w:r>
            <w:r>
              <w:rPr>
                <w:rFonts w:hint="eastAsia" w:ascii="宋体" w:hAnsi="宋体" w:eastAsia="宋体" w:cs="宋体"/>
                <w:color w:val="auto"/>
                <w:szCs w:val="24"/>
                <w:highlight w:val="none"/>
                <w:lang w:val="en-US" w:eastAsia="zh-CN"/>
              </w:rPr>
              <w:t>分</w:t>
            </w:r>
          </w:p>
        </w:tc>
      </w:tr>
      <w:tr w14:paraId="3476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5" w:hRule="atLeast"/>
        </w:trPr>
        <w:tc>
          <w:tcPr>
            <w:tcW w:w="1124" w:type="dxa"/>
            <w:vMerge w:val="continue"/>
            <w:noWrap w:val="0"/>
            <w:vAlign w:val="center"/>
          </w:tcPr>
          <w:p w14:paraId="28169A2A">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lang w:val="en-US" w:eastAsia="zh-CN"/>
              </w:rPr>
            </w:pPr>
          </w:p>
        </w:tc>
        <w:tc>
          <w:tcPr>
            <w:tcW w:w="892" w:type="dxa"/>
            <w:noWrap w:val="0"/>
            <w:vAlign w:val="center"/>
          </w:tcPr>
          <w:p w14:paraId="7E9173AD">
            <w:pPr>
              <w:keepNext w:val="0"/>
              <w:keepLines w:val="0"/>
              <w:suppressLineNumbers w:val="0"/>
              <w:spacing w:beforeAutospacing="0" w:afterAutospacing="0" w:line="360" w:lineRule="auto"/>
              <w:jc w:val="center"/>
              <w:rPr>
                <w:rFonts w:hint="eastAsia" w:ascii="Times New Roman" w:hAnsi="Times New Roman" w:eastAsia="宋体" w:cs="宋体"/>
                <w:color w:val="auto"/>
                <w:kern w:val="2"/>
                <w:sz w:val="20"/>
                <w:szCs w:val="21"/>
                <w:highlight w:val="none"/>
                <w:lang w:val="en-US" w:eastAsia="zh-CN" w:bidi="zh-CN"/>
              </w:rPr>
            </w:pPr>
            <w:r>
              <w:rPr>
                <w:rFonts w:hint="eastAsia" w:ascii="Times New Roman" w:hAnsi="Times New Roman" w:eastAsia="宋体" w:cs="宋体"/>
                <w:color w:val="auto"/>
                <w:kern w:val="2"/>
                <w:sz w:val="20"/>
                <w:szCs w:val="21"/>
                <w:highlight w:val="none"/>
                <w:lang w:val="en-US" w:eastAsia="zh-CN" w:bidi="zh-CN"/>
              </w:rPr>
              <w:t>技术方案</w:t>
            </w:r>
          </w:p>
        </w:tc>
        <w:tc>
          <w:tcPr>
            <w:tcW w:w="7474" w:type="dxa"/>
            <w:noWrap w:val="0"/>
            <w:vAlign w:val="top"/>
          </w:tcPr>
          <w:p w14:paraId="7E4B1298">
            <w:pPr>
              <w:pStyle w:val="8"/>
              <w:keepNext w:val="0"/>
              <w:keepLines w:val="0"/>
              <w:suppressLineNumbers w:val="0"/>
              <w:spacing w:beforeAutospacing="0" w:afterAutospacing="0" w:line="360" w:lineRule="auto"/>
              <w:ind w:firstLine="480"/>
              <w:rPr>
                <w:rFonts w:hint="eastAsia" w:cs="宋体"/>
                <w:color w:val="auto"/>
                <w:kern w:val="2"/>
                <w:sz w:val="20"/>
                <w:szCs w:val="21"/>
                <w:highlight w:val="none"/>
                <w:lang w:val="en-US" w:eastAsia="zh-CN" w:bidi="zh-CN"/>
              </w:rPr>
            </w:pPr>
            <w:r>
              <w:rPr>
                <w:rFonts w:hint="eastAsia" w:cs="宋体"/>
                <w:color w:val="auto"/>
                <w:kern w:val="2"/>
                <w:sz w:val="20"/>
                <w:szCs w:val="21"/>
                <w:highlight w:val="none"/>
                <w:lang w:val="en-US" w:eastAsia="zh-CN" w:bidi="zh-CN"/>
              </w:rPr>
              <w:t>技术方案</w:t>
            </w:r>
          </w:p>
          <w:p w14:paraId="6C3C6F09">
            <w:pPr>
              <w:pStyle w:val="8"/>
              <w:keepNext w:val="0"/>
              <w:keepLines w:val="0"/>
              <w:suppressLineNumbers w:val="0"/>
              <w:spacing w:beforeAutospacing="0" w:afterAutospacing="0" w:line="360" w:lineRule="auto"/>
              <w:ind w:firstLine="480"/>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①针对项目污染类型选择匹配技术，技术原理清晰；得</w:t>
            </w:r>
            <w:r>
              <w:rPr>
                <w:rFonts w:hint="eastAsia" w:ascii="Times New Roman" w:hAnsi="Times New Roman" w:eastAsia="宋体" w:cs="宋体"/>
                <w:color w:val="auto"/>
                <w:kern w:val="2"/>
                <w:sz w:val="20"/>
                <w:szCs w:val="21"/>
                <w:highlight w:val="none"/>
                <w:lang w:val="en-US" w:eastAsia="zh-CN" w:bidi="zh-CN"/>
              </w:rPr>
              <w:t>5</w:t>
            </w:r>
            <w:r>
              <w:rPr>
                <w:rFonts w:hint="default" w:ascii="Times New Roman" w:hAnsi="Times New Roman" w:eastAsia="宋体" w:cs="宋体"/>
                <w:color w:val="auto"/>
                <w:kern w:val="2"/>
                <w:sz w:val="20"/>
                <w:szCs w:val="21"/>
                <w:highlight w:val="none"/>
                <w:lang w:val="en-US" w:eastAsia="zh-CN" w:bidi="zh-CN"/>
              </w:rPr>
              <w:t>-</w:t>
            </w:r>
            <w:r>
              <w:rPr>
                <w:rFonts w:hint="eastAsia" w:ascii="Times New Roman" w:hAnsi="Times New Roman" w:eastAsia="宋体" w:cs="宋体"/>
                <w:color w:val="auto"/>
                <w:kern w:val="2"/>
                <w:sz w:val="20"/>
                <w:szCs w:val="21"/>
                <w:highlight w:val="none"/>
                <w:lang w:val="en-US" w:eastAsia="zh-CN" w:bidi="zh-CN"/>
              </w:rPr>
              <w:t>8</w:t>
            </w:r>
            <w:r>
              <w:rPr>
                <w:rFonts w:hint="default" w:ascii="Times New Roman" w:hAnsi="Times New Roman" w:eastAsia="宋体" w:cs="宋体"/>
                <w:color w:val="auto"/>
                <w:kern w:val="2"/>
                <w:sz w:val="20"/>
                <w:szCs w:val="21"/>
                <w:highlight w:val="none"/>
                <w:lang w:val="en-US" w:eastAsia="zh-CN" w:bidi="zh-CN"/>
              </w:rPr>
              <w:t>分</w:t>
            </w:r>
          </w:p>
          <w:p w14:paraId="384242F6">
            <w:pPr>
              <w:pStyle w:val="8"/>
              <w:keepNext w:val="0"/>
              <w:keepLines w:val="0"/>
              <w:suppressLineNumbers w:val="0"/>
              <w:spacing w:beforeAutospacing="0" w:afterAutospacing="0" w:line="360" w:lineRule="auto"/>
              <w:ind w:firstLine="480"/>
              <w:rPr>
                <w:rFonts w:hint="eastAsia"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②技术选择基本匹配污染类型，但未说明原理，或案例规模</w:t>
            </w:r>
            <w:r>
              <w:rPr>
                <w:rFonts w:hint="eastAsia" w:cs="宋体"/>
                <w:color w:val="auto"/>
                <w:kern w:val="2"/>
                <w:sz w:val="20"/>
                <w:szCs w:val="21"/>
                <w:highlight w:val="none"/>
                <w:lang w:val="en-US" w:eastAsia="zh-CN" w:bidi="zh-CN"/>
              </w:rPr>
              <w:t>以及</w:t>
            </w:r>
            <w:r>
              <w:rPr>
                <w:rFonts w:hint="default" w:ascii="Times New Roman" w:hAnsi="Times New Roman" w:eastAsia="宋体" w:cs="宋体"/>
                <w:color w:val="auto"/>
                <w:kern w:val="2"/>
                <w:sz w:val="20"/>
                <w:szCs w:val="21"/>
                <w:highlight w:val="none"/>
                <w:lang w:val="en-US" w:eastAsia="zh-CN" w:bidi="zh-CN"/>
              </w:rPr>
              <w:t>污染类型差异较大</w:t>
            </w:r>
            <w:r>
              <w:rPr>
                <w:rFonts w:hint="eastAsia" w:ascii="Times New Roman" w:hAnsi="Times New Roman" w:eastAsia="宋体" w:cs="宋体"/>
                <w:color w:val="auto"/>
                <w:kern w:val="2"/>
                <w:sz w:val="20"/>
                <w:szCs w:val="21"/>
                <w:highlight w:val="none"/>
                <w:lang w:val="en-US" w:eastAsia="zh-CN" w:bidi="zh-CN"/>
              </w:rPr>
              <w:t>；</w:t>
            </w:r>
            <w:r>
              <w:rPr>
                <w:rFonts w:hint="default" w:ascii="Times New Roman" w:hAnsi="Times New Roman" w:eastAsia="宋体" w:cs="宋体"/>
                <w:color w:val="auto"/>
                <w:kern w:val="2"/>
                <w:sz w:val="20"/>
                <w:szCs w:val="21"/>
                <w:highlight w:val="none"/>
                <w:lang w:val="en-US" w:eastAsia="zh-CN" w:bidi="zh-CN"/>
              </w:rPr>
              <w:t>得</w:t>
            </w:r>
            <w:r>
              <w:rPr>
                <w:rFonts w:hint="eastAsia" w:ascii="Times New Roman" w:hAnsi="Times New Roman" w:eastAsia="宋体" w:cs="宋体"/>
                <w:color w:val="auto"/>
                <w:kern w:val="2"/>
                <w:sz w:val="20"/>
                <w:szCs w:val="21"/>
                <w:highlight w:val="none"/>
                <w:lang w:val="en-US" w:eastAsia="zh-CN" w:bidi="zh-CN"/>
              </w:rPr>
              <w:t>3</w:t>
            </w:r>
            <w:r>
              <w:rPr>
                <w:rFonts w:hint="default" w:ascii="Times New Roman" w:hAnsi="Times New Roman" w:eastAsia="宋体" w:cs="宋体"/>
                <w:color w:val="auto"/>
                <w:kern w:val="2"/>
                <w:sz w:val="20"/>
                <w:szCs w:val="21"/>
                <w:highlight w:val="none"/>
                <w:lang w:val="en-US" w:eastAsia="zh-CN" w:bidi="zh-CN"/>
              </w:rPr>
              <w:t>-</w:t>
            </w:r>
            <w:r>
              <w:rPr>
                <w:rFonts w:hint="eastAsia" w:ascii="Times New Roman" w:hAnsi="Times New Roman" w:eastAsia="宋体" w:cs="宋体"/>
                <w:color w:val="auto"/>
                <w:kern w:val="2"/>
                <w:sz w:val="20"/>
                <w:szCs w:val="21"/>
                <w:highlight w:val="none"/>
                <w:lang w:val="en-US" w:eastAsia="zh-CN" w:bidi="zh-CN"/>
              </w:rPr>
              <w:t>5</w:t>
            </w:r>
            <w:r>
              <w:rPr>
                <w:rFonts w:hint="default" w:ascii="Times New Roman" w:hAnsi="Times New Roman" w:eastAsia="宋体" w:cs="宋体"/>
                <w:color w:val="auto"/>
                <w:kern w:val="2"/>
                <w:sz w:val="20"/>
                <w:szCs w:val="21"/>
                <w:highlight w:val="none"/>
                <w:lang w:val="en-US" w:eastAsia="zh-CN" w:bidi="zh-CN"/>
              </w:rPr>
              <w:t>分</w:t>
            </w:r>
          </w:p>
          <w:p w14:paraId="4E9A6697">
            <w:pPr>
              <w:pStyle w:val="8"/>
              <w:keepNext w:val="0"/>
              <w:keepLines w:val="0"/>
              <w:suppressLineNumbers w:val="0"/>
              <w:spacing w:beforeAutospacing="0" w:afterAutospacing="0" w:line="360" w:lineRule="auto"/>
              <w:ind w:firstLine="480"/>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③</w:t>
            </w:r>
            <w:r>
              <w:rPr>
                <w:rFonts w:hint="eastAsia" w:ascii="Times New Roman" w:hAnsi="Times New Roman" w:eastAsia="宋体" w:cs="宋体"/>
                <w:color w:val="auto"/>
                <w:kern w:val="2"/>
                <w:sz w:val="20"/>
                <w:szCs w:val="21"/>
                <w:highlight w:val="none"/>
                <w:lang w:val="en-US" w:eastAsia="zh-CN" w:bidi="zh-CN"/>
              </w:rPr>
              <w:t>技术选择与污染类型匹配度低，无案例支撑</w:t>
            </w:r>
            <w:r>
              <w:rPr>
                <w:rFonts w:hint="eastAsia" w:cs="宋体"/>
                <w:color w:val="auto"/>
                <w:kern w:val="2"/>
                <w:sz w:val="20"/>
                <w:szCs w:val="21"/>
                <w:highlight w:val="none"/>
                <w:lang w:val="en-US" w:eastAsia="zh-CN" w:bidi="zh-CN"/>
              </w:rPr>
              <w:t>，</w:t>
            </w:r>
            <w:r>
              <w:rPr>
                <w:rFonts w:hint="eastAsia" w:ascii="Times New Roman" w:hAnsi="Times New Roman" w:eastAsia="宋体" w:cs="宋体"/>
                <w:color w:val="auto"/>
                <w:kern w:val="2"/>
                <w:sz w:val="20"/>
                <w:szCs w:val="21"/>
                <w:highlight w:val="none"/>
                <w:lang w:val="en-US" w:eastAsia="zh-CN" w:bidi="zh-CN"/>
              </w:rPr>
              <w:t>技术选择错误，或技术无法实现治理目标；</w:t>
            </w:r>
            <w:r>
              <w:rPr>
                <w:rFonts w:hint="default" w:ascii="Times New Roman" w:hAnsi="Times New Roman" w:eastAsia="宋体" w:cs="宋体"/>
                <w:color w:val="auto"/>
                <w:kern w:val="2"/>
                <w:sz w:val="20"/>
                <w:szCs w:val="21"/>
                <w:highlight w:val="none"/>
                <w:lang w:val="en-US" w:eastAsia="zh-CN" w:bidi="zh-CN"/>
              </w:rPr>
              <w:t>得</w:t>
            </w:r>
            <w:r>
              <w:rPr>
                <w:rFonts w:hint="eastAsia" w:ascii="Times New Roman" w:hAnsi="Times New Roman" w:eastAsia="宋体" w:cs="宋体"/>
                <w:color w:val="auto"/>
                <w:kern w:val="2"/>
                <w:sz w:val="20"/>
                <w:szCs w:val="21"/>
                <w:highlight w:val="none"/>
                <w:lang w:val="en-US" w:eastAsia="zh-CN" w:bidi="zh-CN"/>
              </w:rPr>
              <w:t>1</w:t>
            </w:r>
            <w:r>
              <w:rPr>
                <w:rFonts w:hint="default" w:ascii="Times New Roman" w:hAnsi="Times New Roman" w:eastAsia="宋体" w:cs="宋体"/>
                <w:color w:val="auto"/>
                <w:kern w:val="2"/>
                <w:sz w:val="20"/>
                <w:szCs w:val="21"/>
                <w:highlight w:val="none"/>
                <w:lang w:val="en-US" w:eastAsia="zh-CN" w:bidi="zh-CN"/>
              </w:rPr>
              <w:t>-</w:t>
            </w:r>
            <w:r>
              <w:rPr>
                <w:rFonts w:hint="eastAsia" w:ascii="Times New Roman" w:hAnsi="Times New Roman" w:eastAsia="宋体" w:cs="宋体"/>
                <w:color w:val="auto"/>
                <w:kern w:val="2"/>
                <w:sz w:val="20"/>
                <w:szCs w:val="21"/>
                <w:highlight w:val="none"/>
                <w:lang w:val="en-US" w:eastAsia="zh-CN" w:bidi="zh-CN"/>
              </w:rPr>
              <w:t>3</w:t>
            </w:r>
            <w:r>
              <w:rPr>
                <w:rFonts w:hint="default" w:ascii="Times New Roman" w:hAnsi="Times New Roman" w:eastAsia="宋体" w:cs="宋体"/>
                <w:color w:val="auto"/>
                <w:kern w:val="2"/>
                <w:sz w:val="20"/>
                <w:szCs w:val="21"/>
                <w:highlight w:val="none"/>
                <w:lang w:val="en-US" w:eastAsia="zh-CN" w:bidi="zh-CN"/>
              </w:rPr>
              <w:t>分。</w:t>
            </w:r>
          </w:p>
        </w:tc>
        <w:tc>
          <w:tcPr>
            <w:tcW w:w="889" w:type="dxa"/>
            <w:noWrap w:val="0"/>
            <w:vAlign w:val="center"/>
          </w:tcPr>
          <w:p w14:paraId="72D58B54">
            <w:pPr>
              <w:keepNext w:val="0"/>
              <w:keepLines w:val="0"/>
              <w:suppressLineNumbers w:val="0"/>
              <w:spacing w:beforeAutospacing="0" w:afterAutospacing="0" w:line="360" w:lineRule="auto"/>
              <w:jc w:val="center"/>
              <w:rPr>
                <w:rFonts w:hint="default" w:ascii="宋体" w:hAnsi="宋体" w:eastAsia="宋体" w:cs="宋体"/>
                <w:color w:val="auto"/>
                <w:szCs w:val="24"/>
                <w:highlight w:val="none"/>
                <w:lang w:val="en-US" w:eastAsia="zh-CN"/>
              </w:rPr>
            </w:pPr>
            <w:r>
              <w:rPr>
                <w:rFonts w:hint="eastAsia" w:cs="宋体"/>
                <w:color w:val="auto"/>
                <w:szCs w:val="24"/>
                <w:highlight w:val="none"/>
                <w:lang w:val="en-US" w:eastAsia="zh-CN"/>
              </w:rPr>
              <w:t>8</w:t>
            </w:r>
          </w:p>
        </w:tc>
      </w:tr>
      <w:tr w14:paraId="078B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atLeast"/>
        </w:trPr>
        <w:tc>
          <w:tcPr>
            <w:tcW w:w="1124" w:type="dxa"/>
            <w:vMerge w:val="continue"/>
            <w:noWrap w:val="0"/>
            <w:vAlign w:val="center"/>
          </w:tcPr>
          <w:p w14:paraId="59BF1200">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lang w:val="en-US" w:eastAsia="zh-CN"/>
              </w:rPr>
            </w:pPr>
          </w:p>
        </w:tc>
        <w:tc>
          <w:tcPr>
            <w:tcW w:w="892" w:type="dxa"/>
            <w:noWrap w:val="0"/>
            <w:vAlign w:val="center"/>
          </w:tcPr>
          <w:p w14:paraId="451A008F">
            <w:pPr>
              <w:keepNext w:val="0"/>
              <w:keepLines w:val="0"/>
              <w:suppressLineNumbers w:val="0"/>
              <w:spacing w:beforeAutospacing="0" w:afterAutospacing="0" w:line="360" w:lineRule="auto"/>
              <w:jc w:val="center"/>
              <w:rPr>
                <w:rFonts w:hint="eastAsia" w:ascii="Times New Roman" w:hAnsi="Times New Roman" w:eastAsia="宋体" w:cs="宋体"/>
                <w:color w:val="auto"/>
                <w:kern w:val="2"/>
                <w:sz w:val="20"/>
                <w:szCs w:val="21"/>
                <w:highlight w:val="none"/>
                <w:lang w:val="en-US" w:eastAsia="zh-CN" w:bidi="zh-CN"/>
              </w:rPr>
            </w:pPr>
            <w:r>
              <w:rPr>
                <w:rFonts w:hint="eastAsia" w:ascii="Times New Roman" w:hAnsi="Times New Roman" w:eastAsia="宋体" w:cs="宋体"/>
                <w:color w:val="auto"/>
                <w:kern w:val="2"/>
                <w:sz w:val="20"/>
                <w:szCs w:val="21"/>
                <w:highlight w:val="none"/>
                <w:lang w:val="en-US" w:eastAsia="zh-CN" w:bidi="zh-CN"/>
              </w:rPr>
              <w:t>设计工作量与进度计划</w:t>
            </w:r>
          </w:p>
        </w:tc>
        <w:tc>
          <w:tcPr>
            <w:tcW w:w="7474" w:type="dxa"/>
            <w:noWrap w:val="0"/>
            <w:vAlign w:val="top"/>
          </w:tcPr>
          <w:p w14:paraId="32F97F37">
            <w:pPr>
              <w:pStyle w:val="8"/>
              <w:keepNext w:val="0"/>
              <w:keepLines w:val="0"/>
              <w:suppressLineNumbers w:val="0"/>
              <w:spacing w:beforeAutospacing="0" w:afterAutospacing="0" w:line="360" w:lineRule="auto"/>
              <w:ind w:firstLine="480"/>
              <w:rPr>
                <w:rFonts w:hint="eastAsia" w:ascii="Times New Roman" w:hAnsi="Times New Roman" w:eastAsia="宋体" w:cs="宋体"/>
                <w:color w:val="auto"/>
                <w:kern w:val="2"/>
                <w:sz w:val="20"/>
                <w:szCs w:val="21"/>
                <w:highlight w:val="none"/>
                <w:lang w:val="en-US" w:eastAsia="zh-CN" w:bidi="zh-CN"/>
              </w:rPr>
            </w:pPr>
            <w:r>
              <w:rPr>
                <w:rFonts w:hint="eastAsia" w:ascii="Times New Roman" w:hAnsi="Times New Roman" w:eastAsia="宋体" w:cs="宋体"/>
                <w:color w:val="auto"/>
                <w:kern w:val="2"/>
                <w:sz w:val="20"/>
                <w:szCs w:val="21"/>
                <w:highlight w:val="none"/>
                <w:lang w:val="en-US" w:eastAsia="zh-CN" w:bidi="zh-CN"/>
              </w:rPr>
              <w:t>设计工作量与进度计划</w:t>
            </w:r>
          </w:p>
          <w:p w14:paraId="4BBF56CE">
            <w:pPr>
              <w:pStyle w:val="8"/>
              <w:keepNext w:val="0"/>
              <w:keepLines w:val="0"/>
              <w:suppressLineNumbers w:val="0"/>
              <w:spacing w:beforeAutospacing="0" w:afterAutospacing="0" w:line="360" w:lineRule="auto"/>
              <w:ind w:firstLine="480"/>
              <w:rPr>
                <w:rFonts w:hint="eastAsia"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①设计方案与项目总工期匹配，明确各设计阶段及关键工程工序的时间节点，且考虑季节因素</w:t>
            </w:r>
            <w:r>
              <w:rPr>
                <w:rFonts w:hint="eastAsia" w:ascii="Times New Roman" w:hAnsi="Times New Roman" w:eastAsia="宋体" w:cs="宋体"/>
                <w:color w:val="auto"/>
                <w:kern w:val="2"/>
                <w:sz w:val="20"/>
                <w:szCs w:val="21"/>
                <w:highlight w:val="none"/>
                <w:lang w:val="en-US" w:eastAsia="zh-CN" w:bidi="zh-CN"/>
              </w:rPr>
              <w:t>；</w:t>
            </w:r>
            <w:r>
              <w:rPr>
                <w:rFonts w:hint="default" w:ascii="Times New Roman" w:hAnsi="Times New Roman" w:eastAsia="宋体" w:cs="宋体"/>
                <w:color w:val="auto"/>
                <w:kern w:val="2"/>
                <w:sz w:val="20"/>
                <w:szCs w:val="21"/>
                <w:highlight w:val="none"/>
                <w:lang w:val="en-US" w:eastAsia="zh-CN" w:bidi="zh-CN"/>
              </w:rPr>
              <w:t>得</w:t>
            </w:r>
            <w:r>
              <w:rPr>
                <w:rFonts w:hint="eastAsia" w:ascii="Times New Roman" w:hAnsi="Times New Roman" w:eastAsia="宋体" w:cs="宋体"/>
                <w:color w:val="auto"/>
                <w:kern w:val="2"/>
                <w:sz w:val="20"/>
                <w:szCs w:val="21"/>
                <w:highlight w:val="none"/>
                <w:lang w:val="en-US" w:eastAsia="zh-CN" w:bidi="zh-CN"/>
              </w:rPr>
              <w:t>4</w:t>
            </w:r>
            <w:r>
              <w:rPr>
                <w:rFonts w:hint="default" w:ascii="Times New Roman" w:hAnsi="Times New Roman" w:eastAsia="宋体" w:cs="宋体"/>
                <w:color w:val="auto"/>
                <w:kern w:val="2"/>
                <w:sz w:val="20"/>
                <w:szCs w:val="21"/>
                <w:highlight w:val="none"/>
                <w:lang w:val="en-US" w:eastAsia="zh-CN" w:bidi="zh-CN"/>
              </w:rPr>
              <w:t xml:space="preserve">- </w:t>
            </w:r>
            <w:r>
              <w:rPr>
                <w:rFonts w:hint="eastAsia" w:ascii="Times New Roman" w:hAnsi="Times New Roman" w:eastAsia="宋体" w:cs="宋体"/>
                <w:color w:val="auto"/>
                <w:kern w:val="2"/>
                <w:sz w:val="20"/>
                <w:szCs w:val="21"/>
                <w:highlight w:val="none"/>
                <w:lang w:val="en-US" w:eastAsia="zh-CN" w:bidi="zh-CN"/>
              </w:rPr>
              <w:t>6</w:t>
            </w:r>
            <w:r>
              <w:rPr>
                <w:rFonts w:hint="default" w:ascii="Times New Roman" w:hAnsi="Times New Roman" w:eastAsia="宋体" w:cs="宋体"/>
                <w:color w:val="auto"/>
                <w:kern w:val="2"/>
                <w:sz w:val="20"/>
                <w:szCs w:val="21"/>
                <w:highlight w:val="none"/>
                <w:lang w:val="en-US" w:eastAsia="zh-CN" w:bidi="zh-CN"/>
              </w:rPr>
              <w:t>分</w:t>
            </w:r>
          </w:p>
          <w:p w14:paraId="3972BCDE">
            <w:pPr>
              <w:pStyle w:val="8"/>
              <w:keepNext w:val="0"/>
              <w:keepLines w:val="0"/>
              <w:suppressLineNumbers w:val="0"/>
              <w:spacing w:beforeAutospacing="0" w:afterAutospacing="0" w:line="360" w:lineRule="auto"/>
              <w:ind w:firstLine="480"/>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②有基本时间节点，但未结合季节因素，或部分工序时间衔接不顺畅</w:t>
            </w:r>
            <w:r>
              <w:rPr>
                <w:rFonts w:hint="eastAsia" w:ascii="Times New Roman" w:hAnsi="Times New Roman" w:eastAsia="宋体" w:cs="宋体"/>
                <w:color w:val="auto"/>
                <w:kern w:val="2"/>
                <w:sz w:val="20"/>
                <w:szCs w:val="21"/>
                <w:highlight w:val="none"/>
                <w:lang w:val="en-US" w:eastAsia="zh-CN" w:bidi="zh-CN"/>
              </w:rPr>
              <w:t>；</w:t>
            </w:r>
            <w:r>
              <w:rPr>
                <w:rFonts w:hint="default" w:ascii="Times New Roman" w:hAnsi="Times New Roman" w:eastAsia="宋体" w:cs="宋体"/>
                <w:color w:val="auto"/>
                <w:kern w:val="2"/>
                <w:sz w:val="20"/>
                <w:szCs w:val="21"/>
                <w:highlight w:val="none"/>
                <w:lang w:val="en-US" w:eastAsia="zh-CN" w:bidi="zh-CN"/>
              </w:rPr>
              <w:t>得</w:t>
            </w:r>
            <w:r>
              <w:rPr>
                <w:rFonts w:hint="eastAsia" w:ascii="Times New Roman" w:hAnsi="Times New Roman" w:eastAsia="宋体" w:cs="宋体"/>
                <w:color w:val="auto"/>
                <w:kern w:val="2"/>
                <w:sz w:val="20"/>
                <w:szCs w:val="21"/>
                <w:highlight w:val="none"/>
                <w:lang w:val="en-US" w:eastAsia="zh-CN" w:bidi="zh-CN"/>
              </w:rPr>
              <w:t>2</w:t>
            </w:r>
            <w:r>
              <w:rPr>
                <w:rFonts w:hint="default" w:ascii="Times New Roman" w:hAnsi="Times New Roman" w:eastAsia="宋体" w:cs="宋体"/>
                <w:color w:val="auto"/>
                <w:kern w:val="2"/>
                <w:sz w:val="20"/>
                <w:szCs w:val="21"/>
                <w:highlight w:val="none"/>
                <w:lang w:val="en-US" w:eastAsia="zh-CN" w:bidi="zh-CN"/>
              </w:rPr>
              <w:t xml:space="preserve">- </w:t>
            </w:r>
            <w:r>
              <w:rPr>
                <w:rFonts w:hint="eastAsia" w:ascii="Times New Roman" w:hAnsi="Times New Roman" w:eastAsia="宋体" w:cs="宋体"/>
                <w:color w:val="auto"/>
                <w:kern w:val="2"/>
                <w:sz w:val="20"/>
                <w:szCs w:val="21"/>
                <w:highlight w:val="none"/>
                <w:lang w:val="en-US" w:eastAsia="zh-CN" w:bidi="zh-CN"/>
              </w:rPr>
              <w:t>4</w:t>
            </w:r>
            <w:r>
              <w:rPr>
                <w:rFonts w:hint="default" w:ascii="Times New Roman" w:hAnsi="Times New Roman" w:eastAsia="宋体" w:cs="宋体"/>
                <w:color w:val="auto"/>
                <w:kern w:val="2"/>
                <w:sz w:val="20"/>
                <w:szCs w:val="21"/>
                <w:highlight w:val="none"/>
                <w:lang w:val="en-US" w:eastAsia="zh-CN" w:bidi="zh-CN"/>
              </w:rPr>
              <w:t>分</w:t>
            </w:r>
          </w:p>
          <w:p w14:paraId="37E0359A">
            <w:pPr>
              <w:pStyle w:val="8"/>
              <w:keepNext w:val="0"/>
              <w:keepLines w:val="0"/>
              <w:suppressLineNumbers w:val="0"/>
              <w:spacing w:beforeAutospacing="0" w:afterAutospacing="0" w:line="360" w:lineRule="auto"/>
              <w:ind w:firstLine="480"/>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③仅提 “符合总工期”，无具体节点划分。对延误后的进度追赶无明确承诺，可能导致项目严重滞后得</w:t>
            </w:r>
            <w:r>
              <w:rPr>
                <w:rFonts w:hint="eastAsia" w:ascii="Times New Roman" w:hAnsi="Times New Roman" w:eastAsia="宋体" w:cs="宋体"/>
                <w:color w:val="auto"/>
                <w:kern w:val="2"/>
                <w:sz w:val="20"/>
                <w:szCs w:val="21"/>
                <w:highlight w:val="none"/>
                <w:lang w:val="en-US" w:eastAsia="zh-CN" w:bidi="zh-CN"/>
              </w:rPr>
              <w:t>1</w:t>
            </w:r>
            <w:r>
              <w:rPr>
                <w:rFonts w:hint="default" w:ascii="Times New Roman" w:hAnsi="Times New Roman" w:eastAsia="宋体" w:cs="宋体"/>
                <w:color w:val="auto"/>
                <w:kern w:val="2"/>
                <w:sz w:val="20"/>
                <w:szCs w:val="21"/>
                <w:highlight w:val="none"/>
                <w:lang w:val="en-US" w:eastAsia="zh-CN" w:bidi="zh-CN"/>
              </w:rPr>
              <w:t>-</w:t>
            </w:r>
            <w:r>
              <w:rPr>
                <w:rFonts w:hint="eastAsia" w:ascii="Times New Roman" w:hAnsi="Times New Roman" w:eastAsia="宋体" w:cs="宋体"/>
                <w:color w:val="auto"/>
                <w:kern w:val="2"/>
                <w:sz w:val="20"/>
                <w:szCs w:val="21"/>
                <w:highlight w:val="none"/>
                <w:lang w:val="en-US" w:eastAsia="zh-CN" w:bidi="zh-CN"/>
              </w:rPr>
              <w:t>2</w:t>
            </w:r>
            <w:r>
              <w:rPr>
                <w:rFonts w:hint="default" w:ascii="Times New Roman" w:hAnsi="Times New Roman" w:eastAsia="宋体" w:cs="宋体"/>
                <w:color w:val="auto"/>
                <w:kern w:val="2"/>
                <w:sz w:val="20"/>
                <w:szCs w:val="21"/>
                <w:highlight w:val="none"/>
                <w:lang w:val="en-US" w:eastAsia="zh-CN" w:bidi="zh-CN"/>
              </w:rPr>
              <w:t>分</w:t>
            </w:r>
          </w:p>
        </w:tc>
        <w:tc>
          <w:tcPr>
            <w:tcW w:w="889" w:type="dxa"/>
            <w:noWrap w:val="0"/>
            <w:vAlign w:val="center"/>
          </w:tcPr>
          <w:p w14:paraId="488271D9">
            <w:pPr>
              <w:keepNext w:val="0"/>
              <w:keepLines w:val="0"/>
              <w:suppressLineNumbers w:val="0"/>
              <w:spacing w:beforeAutospacing="0" w:afterAutospacing="0" w:line="360" w:lineRule="auto"/>
              <w:jc w:val="center"/>
              <w:rPr>
                <w:rFonts w:hint="default" w:ascii="宋体" w:hAnsi="宋体" w:eastAsia="宋体" w:cs="宋体"/>
                <w:color w:val="auto"/>
                <w:szCs w:val="24"/>
                <w:highlight w:val="none"/>
                <w:lang w:val="en-US" w:eastAsia="zh-CN"/>
              </w:rPr>
            </w:pPr>
            <w:r>
              <w:rPr>
                <w:rFonts w:hint="eastAsia" w:cs="宋体"/>
                <w:color w:val="auto"/>
                <w:szCs w:val="24"/>
                <w:highlight w:val="none"/>
                <w:lang w:val="en-US" w:eastAsia="zh-CN"/>
              </w:rPr>
              <w:t>6</w:t>
            </w:r>
          </w:p>
        </w:tc>
      </w:tr>
      <w:tr w14:paraId="13FF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9" w:hRule="atLeast"/>
        </w:trPr>
        <w:tc>
          <w:tcPr>
            <w:tcW w:w="1124" w:type="dxa"/>
            <w:vMerge w:val="continue"/>
            <w:noWrap w:val="0"/>
            <w:vAlign w:val="center"/>
          </w:tcPr>
          <w:p w14:paraId="40DD7EDA">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lang w:val="en-US" w:eastAsia="zh-CN"/>
              </w:rPr>
            </w:pPr>
          </w:p>
        </w:tc>
        <w:tc>
          <w:tcPr>
            <w:tcW w:w="892" w:type="dxa"/>
            <w:shd w:val="clear" w:color="auto" w:fill="auto"/>
            <w:noWrap w:val="0"/>
            <w:vAlign w:val="center"/>
          </w:tcPr>
          <w:p w14:paraId="4A2CE80A">
            <w:pPr>
              <w:keepNext w:val="0"/>
              <w:keepLines w:val="0"/>
              <w:suppressLineNumbers w:val="0"/>
              <w:spacing w:beforeAutospacing="0" w:afterAutospacing="0" w:line="360" w:lineRule="auto"/>
              <w:jc w:val="center"/>
              <w:rPr>
                <w:rFonts w:hint="eastAsia"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重点难点分析</w:t>
            </w:r>
          </w:p>
        </w:tc>
        <w:tc>
          <w:tcPr>
            <w:tcW w:w="7474" w:type="dxa"/>
            <w:shd w:val="clear" w:color="auto" w:fill="auto"/>
            <w:noWrap w:val="0"/>
            <w:vAlign w:val="top"/>
          </w:tcPr>
          <w:p w14:paraId="418E6356">
            <w:pPr>
              <w:pStyle w:val="8"/>
              <w:keepNext w:val="0"/>
              <w:keepLines w:val="0"/>
              <w:suppressLineNumbers w:val="0"/>
              <w:spacing w:beforeAutospacing="0" w:afterAutospacing="0" w:line="360" w:lineRule="auto"/>
              <w:ind w:firstLine="480"/>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①全面梳理项目潜在难点，涵盖技术层面、实施层面、管理层面等。对难点的成因、可能产生的影响分析透彻，逻辑清晰，无遗漏关键难点</w:t>
            </w:r>
            <w:r>
              <w:rPr>
                <w:rFonts w:hint="eastAsia" w:ascii="Times New Roman" w:hAnsi="Times New Roman" w:eastAsia="宋体" w:cs="宋体"/>
                <w:color w:val="auto"/>
                <w:kern w:val="2"/>
                <w:sz w:val="20"/>
                <w:szCs w:val="21"/>
                <w:highlight w:val="none"/>
                <w:lang w:val="en-US" w:eastAsia="zh-CN" w:bidi="zh-CN"/>
              </w:rPr>
              <w:t>；</w:t>
            </w:r>
            <w:r>
              <w:rPr>
                <w:rFonts w:hint="default" w:ascii="Times New Roman" w:hAnsi="Times New Roman" w:eastAsia="宋体" w:cs="宋体"/>
                <w:color w:val="auto"/>
                <w:kern w:val="2"/>
                <w:sz w:val="20"/>
                <w:szCs w:val="21"/>
                <w:highlight w:val="none"/>
                <w:lang w:val="en-US" w:eastAsia="zh-CN" w:bidi="zh-CN"/>
              </w:rPr>
              <w:t>得</w:t>
            </w:r>
            <w:r>
              <w:rPr>
                <w:rFonts w:hint="eastAsia" w:ascii="Times New Roman" w:hAnsi="Times New Roman" w:eastAsia="宋体" w:cs="宋体"/>
                <w:color w:val="auto"/>
                <w:kern w:val="2"/>
                <w:sz w:val="20"/>
                <w:szCs w:val="21"/>
                <w:highlight w:val="none"/>
                <w:lang w:val="en-US" w:eastAsia="zh-CN" w:bidi="zh-CN"/>
              </w:rPr>
              <w:t>4</w:t>
            </w:r>
            <w:r>
              <w:rPr>
                <w:rFonts w:hint="default" w:ascii="Times New Roman" w:hAnsi="Times New Roman" w:eastAsia="宋体" w:cs="宋体"/>
                <w:color w:val="auto"/>
                <w:kern w:val="2"/>
                <w:sz w:val="20"/>
                <w:szCs w:val="21"/>
                <w:highlight w:val="none"/>
                <w:lang w:val="en-US" w:eastAsia="zh-CN" w:bidi="zh-CN"/>
              </w:rPr>
              <w:t xml:space="preserve"> -</w:t>
            </w:r>
            <w:r>
              <w:rPr>
                <w:rFonts w:hint="eastAsia" w:ascii="Times New Roman" w:hAnsi="Times New Roman" w:eastAsia="宋体" w:cs="宋体"/>
                <w:color w:val="auto"/>
                <w:kern w:val="2"/>
                <w:sz w:val="20"/>
                <w:szCs w:val="21"/>
                <w:highlight w:val="none"/>
                <w:lang w:val="en-US" w:eastAsia="zh-CN" w:bidi="zh-CN"/>
              </w:rPr>
              <w:t>6</w:t>
            </w:r>
            <w:r>
              <w:rPr>
                <w:rFonts w:hint="default" w:ascii="Times New Roman" w:hAnsi="Times New Roman" w:eastAsia="宋体" w:cs="宋体"/>
                <w:color w:val="auto"/>
                <w:kern w:val="2"/>
                <w:sz w:val="20"/>
                <w:szCs w:val="21"/>
                <w:highlight w:val="none"/>
                <w:lang w:val="en-US" w:eastAsia="zh-CN" w:bidi="zh-CN"/>
              </w:rPr>
              <w:t>分</w:t>
            </w:r>
          </w:p>
          <w:p w14:paraId="15F79A90">
            <w:pPr>
              <w:pStyle w:val="8"/>
              <w:keepNext w:val="0"/>
              <w:keepLines w:val="0"/>
              <w:suppressLineNumbers w:val="0"/>
              <w:spacing w:beforeAutospacing="0" w:afterAutospacing="0" w:line="360" w:lineRule="auto"/>
              <w:ind w:firstLine="480"/>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②</w:t>
            </w:r>
            <w:r>
              <w:rPr>
                <w:rFonts w:hint="eastAsia" w:ascii="Times New Roman" w:hAnsi="Times New Roman" w:eastAsia="宋体" w:cs="宋体"/>
                <w:color w:val="auto"/>
                <w:kern w:val="2"/>
                <w:sz w:val="20"/>
                <w:szCs w:val="21"/>
                <w:highlight w:val="none"/>
                <w:lang w:val="en-US" w:eastAsia="zh-CN" w:bidi="zh-CN"/>
              </w:rPr>
              <w:t>梳理出项目的主要难点，如技术层面的工艺升级、实施层面的施工协调等，但对难点的成因分析不够深入，对一些潜在难点考虑不足，分析的全面性有待提升</w:t>
            </w:r>
            <w:r>
              <w:rPr>
                <w:rFonts w:hint="eastAsia" w:cs="宋体"/>
                <w:color w:val="auto"/>
                <w:kern w:val="2"/>
                <w:sz w:val="20"/>
                <w:szCs w:val="21"/>
                <w:highlight w:val="none"/>
                <w:lang w:val="en-US" w:eastAsia="zh-CN" w:bidi="zh-CN"/>
              </w:rPr>
              <w:t>；</w:t>
            </w:r>
            <w:r>
              <w:rPr>
                <w:rFonts w:hint="eastAsia" w:ascii="Times New Roman" w:hAnsi="Times New Roman" w:eastAsia="宋体" w:cs="宋体"/>
                <w:color w:val="auto"/>
                <w:kern w:val="2"/>
                <w:sz w:val="20"/>
                <w:szCs w:val="21"/>
                <w:highlight w:val="none"/>
                <w:lang w:val="en-US" w:eastAsia="zh-CN" w:bidi="zh-CN"/>
              </w:rPr>
              <w:t>2</w:t>
            </w:r>
            <w:r>
              <w:rPr>
                <w:rFonts w:hint="default" w:ascii="Times New Roman" w:hAnsi="Times New Roman" w:eastAsia="宋体" w:cs="宋体"/>
                <w:color w:val="auto"/>
                <w:kern w:val="2"/>
                <w:sz w:val="20"/>
                <w:szCs w:val="21"/>
                <w:highlight w:val="none"/>
                <w:lang w:val="en-US" w:eastAsia="zh-CN" w:bidi="zh-CN"/>
              </w:rPr>
              <w:t xml:space="preserve"> - </w:t>
            </w:r>
            <w:r>
              <w:rPr>
                <w:rFonts w:hint="eastAsia" w:ascii="Times New Roman" w:hAnsi="Times New Roman" w:eastAsia="宋体" w:cs="宋体"/>
                <w:color w:val="auto"/>
                <w:kern w:val="2"/>
                <w:sz w:val="20"/>
                <w:szCs w:val="21"/>
                <w:highlight w:val="none"/>
                <w:lang w:val="en-US" w:eastAsia="zh-CN" w:bidi="zh-CN"/>
              </w:rPr>
              <w:t>4</w:t>
            </w:r>
            <w:r>
              <w:rPr>
                <w:rFonts w:hint="default" w:ascii="Times New Roman" w:hAnsi="Times New Roman" w:eastAsia="宋体" w:cs="宋体"/>
                <w:color w:val="auto"/>
                <w:kern w:val="2"/>
                <w:sz w:val="20"/>
                <w:szCs w:val="21"/>
                <w:highlight w:val="none"/>
                <w:lang w:val="en-US" w:eastAsia="zh-CN" w:bidi="zh-CN"/>
              </w:rPr>
              <w:t>分。</w:t>
            </w:r>
          </w:p>
          <w:p w14:paraId="57BDB806">
            <w:pPr>
              <w:pStyle w:val="8"/>
              <w:keepNext w:val="0"/>
              <w:keepLines w:val="0"/>
              <w:suppressLineNumbers w:val="0"/>
              <w:spacing w:beforeAutospacing="0" w:afterAutospacing="0" w:line="360" w:lineRule="auto"/>
              <w:ind w:firstLine="480"/>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③未能全面梳理项目难点，仅提及个别浅显问题，对技术、实施等层面的核心难点缺乏认知，分析内容空洞，无法体现对项目的深入了解。；得</w:t>
            </w:r>
            <w:r>
              <w:rPr>
                <w:rFonts w:hint="eastAsia" w:ascii="Times New Roman" w:hAnsi="Times New Roman" w:eastAsia="宋体" w:cs="宋体"/>
                <w:color w:val="auto"/>
                <w:kern w:val="2"/>
                <w:sz w:val="20"/>
                <w:szCs w:val="21"/>
                <w:highlight w:val="none"/>
                <w:lang w:val="en-US" w:eastAsia="zh-CN" w:bidi="zh-CN"/>
              </w:rPr>
              <w:t>1</w:t>
            </w:r>
            <w:r>
              <w:rPr>
                <w:rFonts w:hint="default" w:ascii="Times New Roman" w:hAnsi="Times New Roman" w:eastAsia="宋体" w:cs="宋体"/>
                <w:color w:val="auto"/>
                <w:kern w:val="2"/>
                <w:sz w:val="20"/>
                <w:szCs w:val="21"/>
                <w:highlight w:val="none"/>
                <w:lang w:val="en-US" w:eastAsia="zh-CN" w:bidi="zh-CN"/>
              </w:rPr>
              <w:t xml:space="preserve"> -</w:t>
            </w:r>
            <w:r>
              <w:rPr>
                <w:rFonts w:hint="eastAsia" w:ascii="Times New Roman" w:hAnsi="Times New Roman" w:eastAsia="宋体" w:cs="宋体"/>
                <w:color w:val="auto"/>
                <w:kern w:val="2"/>
                <w:sz w:val="20"/>
                <w:szCs w:val="21"/>
                <w:highlight w:val="none"/>
                <w:lang w:val="en-US" w:eastAsia="zh-CN" w:bidi="zh-CN"/>
              </w:rPr>
              <w:t>2</w:t>
            </w:r>
            <w:r>
              <w:rPr>
                <w:rFonts w:hint="default" w:ascii="Times New Roman" w:hAnsi="Times New Roman" w:eastAsia="宋体" w:cs="宋体"/>
                <w:color w:val="auto"/>
                <w:kern w:val="2"/>
                <w:sz w:val="20"/>
                <w:szCs w:val="21"/>
                <w:highlight w:val="none"/>
                <w:lang w:val="en-US" w:eastAsia="zh-CN" w:bidi="zh-CN"/>
              </w:rPr>
              <w:t>分。</w:t>
            </w:r>
          </w:p>
        </w:tc>
        <w:tc>
          <w:tcPr>
            <w:tcW w:w="889" w:type="dxa"/>
            <w:noWrap w:val="0"/>
            <w:vAlign w:val="center"/>
          </w:tcPr>
          <w:p w14:paraId="01F59793">
            <w:pPr>
              <w:keepNext w:val="0"/>
              <w:keepLines w:val="0"/>
              <w:suppressLineNumbers w:val="0"/>
              <w:spacing w:beforeAutospacing="0" w:afterAutospacing="0" w:line="360" w:lineRule="auto"/>
              <w:jc w:val="center"/>
              <w:rPr>
                <w:rFonts w:hint="default" w:ascii="宋体" w:hAnsi="宋体" w:eastAsia="宋体" w:cs="宋体"/>
                <w:color w:val="auto"/>
                <w:szCs w:val="24"/>
                <w:highlight w:val="none"/>
                <w:lang w:val="en-US" w:eastAsia="zh-CN"/>
              </w:rPr>
            </w:pPr>
            <w:r>
              <w:rPr>
                <w:rFonts w:hint="eastAsia" w:cs="宋体"/>
                <w:color w:val="auto"/>
                <w:szCs w:val="24"/>
                <w:highlight w:val="none"/>
                <w:lang w:val="en-US" w:eastAsia="zh-CN"/>
              </w:rPr>
              <w:t>6</w:t>
            </w:r>
          </w:p>
        </w:tc>
      </w:tr>
      <w:tr w14:paraId="7495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9" w:hRule="atLeast"/>
        </w:trPr>
        <w:tc>
          <w:tcPr>
            <w:tcW w:w="1124" w:type="dxa"/>
            <w:vMerge w:val="continue"/>
            <w:noWrap w:val="0"/>
            <w:vAlign w:val="center"/>
          </w:tcPr>
          <w:p w14:paraId="34BF4446">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lang w:val="en-US" w:eastAsia="zh-CN"/>
              </w:rPr>
            </w:pPr>
          </w:p>
        </w:tc>
        <w:tc>
          <w:tcPr>
            <w:tcW w:w="892" w:type="dxa"/>
            <w:shd w:val="clear" w:color="auto" w:fill="auto"/>
            <w:noWrap w:val="0"/>
            <w:vAlign w:val="center"/>
          </w:tcPr>
          <w:p w14:paraId="6F5A96F1">
            <w:pPr>
              <w:keepNext w:val="0"/>
              <w:keepLines w:val="0"/>
              <w:suppressLineNumbers w:val="0"/>
              <w:spacing w:beforeAutospacing="0" w:afterAutospacing="0" w:line="360" w:lineRule="auto"/>
              <w:jc w:val="center"/>
              <w:rPr>
                <w:rFonts w:hint="eastAsia" w:ascii="Times New Roman" w:hAnsi="Times New Roman" w:eastAsia="宋体" w:cs="宋体"/>
                <w:color w:val="auto"/>
                <w:kern w:val="2"/>
                <w:sz w:val="20"/>
                <w:szCs w:val="21"/>
                <w:highlight w:val="none"/>
                <w:lang w:val="en-US" w:eastAsia="zh-CN" w:bidi="zh-CN"/>
              </w:rPr>
            </w:pPr>
            <w:r>
              <w:rPr>
                <w:rFonts w:hint="eastAsia" w:ascii="Times New Roman" w:hAnsi="Times New Roman" w:eastAsia="宋体" w:cs="宋体"/>
                <w:color w:val="auto"/>
                <w:kern w:val="2"/>
                <w:sz w:val="20"/>
                <w:szCs w:val="21"/>
                <w:highlight w:val="none"/>
                <w:lang w:val="en-US" w:eastAsia="zh-CN" w:bidi="zh-CN"/>
              </w:rPr>
              <w:t>质量与安全保障措施</w:t>
            </w:r>
          </w:p>
        </w:tc>
        <w:tc>
          <w:tcPr>
            <w:tcW w:w="7474" w:type="dxa"/>
            <w:shd w:val="clear" w:color="auto" w:fill="auto"/>
            <w:noWrap w:val="0"/>
            <w:vAlign w:val="top"/>
          </w:tcPr>
          <w:p w14:paraId="4804DD17">
            <w:pPr>
              <w:pStyle w:val="8"/>
              <w:keepNext w:val="0"/>
              <w:keepLines w:val="0"/>
              <w:suppressLineNumbers w:val="0"/>
              <w:spacing w:beforeAutospacing="0" w:afterAutospacing="0" w:line="360" w:lineRule="auto"/>
              <w:ind w:firstLine="480"/>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①针对项目可能出现的紧急情况，制定了全面且细化的应急保障预案。预案涵盖风险识别清单、分级响应机制、具体处置流程</w:t>
            </w:r>
            <w:r>
              <w:rPr>
                <w:rFonts w:hint="eastAsia" w:ascii="Times New Roman" w:hAnsi="Times New Roman" w:eastAsia="宋体" w:cs="宋体"/>
                <w:color w:val="auto"/>
                <w:kern w:val="2"/>
                <w:sz w:val="20"/>
                <w:szCs w:val="21"/>
                <w:highlight w:val="none"/>
                <w:lang w:val="en-US" w:eastAsia="zh-CN" w:bidi="zh-CN"/>
              </w:rPr>
              <w:t>；得4-6分</w:t>
            </w:r>
          </w:p>
          <w:p w14:paraId="3E3EF966">
            <w:pPr>
              <w:pStyle w:val="8"/>
              <w:keepNext w:val="0"/>
              <w:keepLines w:val="0"/>
              <w:suppressLineNumbers w:val="0"/>
              <w:spacing w:beforeAutospacing="0" w:afterAutospacing="0" w:line="360" w:lineRule="auto"/>
              <w:ind w:firstLine="480"/>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②针对主要紧急情况制定了应急预案，但风险识别不够全面，处置流程较为笼统，应急通讯录仅包含内部人员信息</w:t>
            </w:r>
            <w:r>
              <w:rPr>
                <w:rFonts w:hint="eastAsia" w:ascii="Times New Roman" w:hAnsi="Times New Roman" w:eastAsia="宋体" w:cs="宋体"/>
                <w:color w:val="auto"/>
                <w:kern w:val="2"/>
                <w:sz w:val="20"/>
                <w:szCs w:val="21"/>
                <w:highlight w:val="none"/>
                <w:lang w:val="en-US" w:eastAsia="zh-CN" w:bidi="zh-CN"/>
              </w:rPr>
              <w:t>；得2-4分</w:t>
            </w:r>
          </w:p>
          <w:p w14:paraId="2C4BBBFB">
            <w:pPr>
              <w:ind w:firstLine="400" w:firstLineChars="200"/>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③应急预案内容简单，仅笼统提及 “将及时处理紧急情况”，未明确风险类型、处置流程及责任分工，缺乏实质性内容</w:t>
            </w:r>
            <w:r>
              <w:rPr>
                <w:rFonts w:hint="eastAsia" w:ascii="Times New Roman" w:hAnsi="Times New Roman" w:eastAsia="宋体" w:cs="宋体"/>
                <w:color w:val="auto"/>
                <w:kern w:val="2"/>
                <w:sz w:val="20"/>
                <w:szCs w:val="21"/>
                <w:highlight w:val="none"/>
                <w:lang w:val="en-US" w:eastAsia="zh-CN" w:bidi="zh-CN"/>
              </w:rPr>
              <w:t>；1-2分</w:t>
            </w:r>
          </w:p>
        </w:tc>
        <w:tc>
          <w:tcPr>
            <w:tcW w:w="889" w:type="dxa"/>
            <w:noWrap w:val="0"/>
            <w:vAlign w:val="center"/>
          </w:tcPr>
          <w:p w14:paraId="09675B19">
            <w:pPr>
              <w:keepNext w:val="0"/>
              <w:keepLines w:val="0"/>
              <w:suppressLineNumbers w:val="0"/>
              <w:spacing w:beforeAutospacing="0" w:afterAutospacing="0" w:line="360" w:lineRule="auto"/>
              <w:jc w:val="center"/>
              <w:rPr>
                <w:rFonts w:hint="eastAsia" w:cs="宋体"/>
                <w:color w:val="auto"/>
                <w:szCs w:val="24"/>
                <w:highlight w:val="none"/>
                <w:lang w:val="en-US" w:eastAsia="zh-CN"/>
              </w:rPr>
            </w:pPr>
            <w:r>
              <w:rPr>
                <w:rFonts w:hint="eastAsia" w:cs="宋体"/>
                <w:color w:val="auto"/>
                <w:szCs w:val="24"/>
                <w:highlight w:val="none"/>
                <w:lang w:val="en-US" w:eastAsia="zh-CN"/>
              </w:rPr>
              <w:t>6</w:t>
            </w:r>
          </w:p>
        </w:tc>
      </w:tr>
      <w:tr w14:paraId="44CE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1124" w:type="dxa"/>
            <w:noWrap w:val="0"/>
            <w:vAlign w:val="center"/>
          </w:tcPr>
          <w:p w14:paraId="195CF109">
            <w:pPr>
              <w:keepNext w:val="0"/>
              <w:keepLines w:val="0"/>
              <w:widowControl/>
              <w:suppressLineNumbers w:val="0"/>
              <w:spacing w:beforeAutospacing="0" w:afterAutospacing="0"/>
              <w:jc w:val="left"/>
              <w:rPr>
                <w:rFonts w:hint="default" w:ascii="Segoe UI" w:hAnsi="Segoe UI" w:eastAsia="Segoe UI" w:cs="Segoe UI"/>
                <w:b/>
                <w:bCs/>
                <w:i w:val="0"/>
                <w:iCs w:val="0"/>
                <w:caps w:val="0"/>
                <w:color w:val="000000"/>
                <w:spacing w:val="0"/>
                <w:sz w:val="24"/>
                <w:szCs w:val="24"/>
                <w:shd w:val="clear" w:fill="FFFFFF"/>
                <w:lang w:val="zh-CN" w:eastAsia="zh-CN" w:bidi="zh-CN"/>
              </w:rPr>
            </w:pPr>
            <w:r>
              <w:rPr>
                <w:rFonts w:hint="eastAsia" w:ascii="Segoe UI" w:hAnsi="Segoe UI" w:eastAsia="Segoe UI" w:cs="Segoe UI"/>
                <w:b/>
                <w:bCs/>
                <w:i w:val="0"/>
                <w:iCs w:val="0"/>
                <w:caps w:val="0"/>
                <w:color w:val="000000"/>
                <w:spacing w:val="0"/>
                <w:sz w:val="24"/>
                <w:szCs w:val="24"/>
                <w:shd w:val="clear" w:fill="FFFFFF"/>
                <w:lang w:val="en-US" w:eastAsia="zh-CN" w:bidi="zh-CN"/>
              </w:rPr>
              <w:t xml:space="preserve">项目团 </w:t>
            </w:r>
          </w:p>
          <w:p w14:paraId="50A26C4D">
            <w:pPr>
              <w:keepNext w:val="0"/>
              <w:keepLines w:val="0"/>
              <w:widowControl/>
              <w:suppressLineNumbers w:val="0"/>
              <w:spacing w:beforeAutospacing="0" w:afterAutospacing="0"/>
              <w:jc w:val="left"/>
              <w:rPr>
                <w:rFonts w:hint="default" w:ascii="Segoe UI" w:hAnsi="Segoe UI" w:eastAsia="Segoe UI" w:cs="Segoe UI"/>
                <w:b/>
                <w:bCs/>
                <w:i w:val="0"/>
                <w:iCs w:val="0"/>
                <w:caps w:val="0"/>
                <w:color w:val="000000"/>
                <w:spacing w:val="0"/>
                <w:sz w:val="24"/>
                <w:szCs w:val="24"/>
                <w:shd w:val="clear" w:fill="FFFFFF"/>
                <w:lang w:val="zh-CN" w:eastAsia="zh-CN" w:bidi="zh-CN"/>
              </w:rPr>
            </w:pPr>
            <w:r>
              <w:rPr>
                <w:rFonts w:hint="eastAsia" w:ascii="Segoe UI" w:hAnsi="Segoe UI" w:eastAsia="Segoe UI" w:cs="Segoe UI"/>
                <w:b/>
                <w:bCs/>
                <w:i w:val="0"/>
                <w:iCs w:val="0"/>
                <w:caps w:val="0"/>
                <w:color w:val="000000"/>
                <w:spacing w:val="0"/>
                <w:sz w:val="24"/>
                <w:szCs w:val="24"/>
                <w:shd w:val="clear" w:fill="FFFFFF"/>
                <w:lang w:val="en-US" w:eastAsia="zh-CN" w:bidi="zh-CN"/>
              </w:rPr>
              <w:t>队</w:t>
            </w:r>
          </w:p>
          <w:p w14:paraId="3EBF7907">
            <w:pPr>
              <w:keepNext w:val="0"/>
              <w:keepLines w:val="0"/>
              <w:suppressLineNumbers w:val="0"/>
              <w:spacing w:beforeAutospacing="0" w:afterAutospacing="0" w:line="360" w:lineRule="auto"/>
              <w:ind w:left="221" w:hanging="240" w:hangingChars="100"/>
              <w:rPr>
                <w:rFonts w:hint="eastAsia" w:ascii="Segoe UI" w:hAnsi="Segoe UI" w:eastAsia="Segoe UI" w:cs="Segoe UI"/>
                <w:b/>
                <w:bCs/>
                <w:i w:val="0"/>
                <w:iCs w:val="0"/>
                <w:caps w:val="0"/>
                <w:color w:val="000000"/>
                <w:spacing w:val="0"/>
                <w:sz w:val="24"/>
                <w:szCs w:val="24"/>
                <w:shd w:val="clear" w:fill="FFFFFF"/>
                <w:lang w:val="zh-CN" w:eastAsia="zh-CN" w:bidi="zh-CN"/>
              </w:rPr>
            </w:pPr>
          </w:p>
        </w:tc>
        <w:tc>
          <w:tcPr>
            <w:tcW w:w="892" w:type="dxa"/>
            <w:noWrap w:val="0"/>
            <w:vAlign w:val="center"/>
          </w:tcPr>
          <w:p w14:paraId="5AAE23CA">
            <w:pPr>
              <w:keepNext w:val="0"/>
              <w:keepLines w:val="0"/>
              <w:widowControl/>
              <w:suppressLineNumbers w:val="0"/>
              <w:spacing w:beforeAutospacing="0" w:afterAutospacing="0" w:line="360" w:lineRule="auto"/>
              <w:jc w:val="center"/>
              <w:rPr>
                <w:rFonts w:hint="eastAsia" w:ascii="宋体" w:hAnsi="宋体" w:eastAsia="宋体" w:cs="宋体"/>
                <w:b w:val="0"/>
                <w:bCs w:val="0"/>
                <w:color w:val="auto"/>
                <w:szCs w:val="24"/>
                <w:highlight w:val="none"/>
                <w:lang w:eastAsia="zh-CN"/>
              </w:rPr>
            </w:pPr>
            <w:r>
              <w:rPr>
                <w:rFonts w:hint="eastAsia" w:cs="宋体"/>
                <w:b w:val="0"/>
                <w:bCs w:val="0"/>
                <w:color w:val="auto"/>
                <w:szCs w:val="24"/>
                <w:highlight w:val="none"/>
                <w:lang w:eastAsia="zh-CN"/>
              </w:rPr>
              <w:t>人员要求</w:t>
            </w:r>
          </w:p>
        </w:tc>
        <w:tc>
          <w:tcPr>
            <w:tcW w:w="7474" w:type="dxa"/>
            <w:noWrap w:val="0"/>
            <w:vAlign w:val="center"/>
          </w:tcPr>
          <w:p w14:paraId="3D087BEA">
            <w:pPr>
              <w:pStyle w:val="8"/>
              <w:keepNext w:val="0"/>
              <w:keepLines w:val="0"/>
              <w:suppressLineNumbers w:val="0"/>
              <w:shd w:val="clear"/>
              <w:spacing w:beforeAutospacing="0" w:afterAutospacing="0" w:line="360" w:lineRule="auto"/>
              <w:ind w:firstLine="480"/>
              <w:rPr>
                <w:rFonts w:hint="default" w:cs="宋体"/>
                <w:color w:val="auto"/>
                <w:sz w:val="20"/>
                <w:szCs w:val="21"/>
                <w:highlight w:val="none"/>
                <w:lang w:val="en-US" w:eastAsia="zh-CN" w:bidi="zh-CN"/>
              </w:rPr>
            </w:pPr>
            <w:r>
              <w:rPr>
                <w:rFonts w:hint="default" w:cs="宋体"/>
                <w:color w:val="auto"/>
                <w:sz w:val="20"/>
                <w:szCs w:val="21"/>
                <w:highlight w:val="none"/>
                <w:lang w:val="en-US" w:eastAsia="zh-CN" w:bidi="zh-CN"/>
              </w:rPr>
              <w:t xml:space="preserve">1、项目组织机构完善、人员齐全、配置合理、岗位职责分工明确，计 </w:t>
            </w:r>
            <w:r>
              <w:rPr>
                <w:rFonts w:hint="eastAsia" w:cs="宋体"/>
                <w:color w:val="auto"/>
                <w:sz w:val="20"/>
                <w:szCs w:val="21"/>
                <w:highlight w:val="none"/>
                <w:lang w:val="en-US" w:eastAsia="zh-CN" w:bidi="zh-CN"/>
              </w:rPr>
              <w:t>1</w:t>
            </w:r>
            <w:r>
              <w:rPr>
                <w:rFonts w:hint="default" w:cs="宋体"/>
                <w:color w:val="auto"/>
                <w:sz w:val="20"/>
                <w:szCs w:val="21"/>
                <w:highlight w:val="none"/>
                <w:lang w:val="en-US" w:eastAsia="zh-CN" w:bidi="zh-CN"/>
              </w:rPr>
              <w:t>-4 分；</w:t>
            </w:r>
          </w:p>
          <w:p w14:paraId="666AEE6F">
            <w:pPr>
              <w:pStyle w:val="8"/>
              <w:keepNext w:val="0"/>
              <w:keepLines w:val="0"/>
              <w:suppressLineNumbers w:val="0"/>
              <w:shd w:val="clear"/>
              <w:spacing w:beforeAutospacing="0" w:afterAutospacing="0" w:line="360" w:lineRule="auto"/>
              <w:ind w:firstLine="480"/>
              <w:rPr>
                <w:rFonts w:hint="eastAsia"/>
                <w:lang w:eastAsia="zh-CN"/>
              </w:rPr>
            </w:pPr>
            <w:r>
              <w:rPr>
                <w:rFonts w:hint="default" w:cs="宋体"/>
                <w:color w:val="auto"/>
                <w:sz w:val="20"/>
                <w:szCs w:val="21"/>
                <w:highlight w:val="none"/>
                <w:lang w:val="en-US" w:eastAsia="zh-CN" w:bidi="zh-CN"/>
              </w:rPr>
              <w:t>2、项目组成人员具备与本项目相关专业中级及以上职称的每位计1.5 分；最多得 6 分。（项目负责人不参与本项计分）</w:t>
            </w:r>
          </w:p>
        </w:tc>
        <w:tc>
          <w:tcPr>
            <w:tcW w:w="889" w:type="dxa"/>
            <w:noWrap w:val="0"/>
            <w:vAlign w:val="center"/>
          </w:tcPr>
          <w:p w14:paraId="7898090B">
            <w:pPr>
              <w:keepNext w:val="0"/>
              <w:keepLines w:val="0"/>
              <w:suppressLineNumbers w:val="0"/>
              <w:spacing w:beforeAutospacing="0" w:afterAutospacing="0" w:line="360" w:lineRule="auto"/>
              <w:jc w:val="center"/>
              <w:rPr>
                <w:rFonts w:hint="default" w:ascii="宋体" w:hAnsi="宋体" w:eastAsia="宋体" w:cs="宋体"/>
                <w:color w:val="auto"/>
                <w:szCs w:val="24"/>
                <w:highlight w:val="none"/>
                <w:lang w:val="en-US" w:eastAsia="zh-CN"/>
              </w:rPr>
            </w:pPr>
            <w:r>
              <w:rPr>
                <w:rFonts w:hint="eastAsia" w:cs="宋体"/>
                <w:color w:val="auto"/>
                <w:szCs w:val="24"/>
                <w:highlight w:val="none"/>
                <w:lang w:val="en-US" w:eastAsia="zh-CN"/>
              </w:rPr>
              <w:t>10</w:t>
            </w:r>
          </w:p>
        </w:tc>
      </w:tr>
      <w:tr w14:paraId="62D1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3" w:hRule="atLeast"/>
        </w:trPr>
        <w:tc>
          <w:tcPr>
            <w:tcW w:w="1124" w:type="dxa"/>
            <w:noWrap w:val="0"/>
            <w:vAlign w:val="center"/>
          </w:tcPr>
          <w:p w14:paraId="280C70B3">
            <w:pPr>
              <w:keepNext w:val="0"/>
              <w:keepLines w:val="0"/>
              <w:suppressLineNumbers w:val="0"/>
              <w:spacing w:beforeAutospacing="0" w:afterAutospacing="0" w:line="360" w:lineRule="auto"/>
              <w:jc w:val="center"/>
              <w:rPr>
                <w:rFonts w:hint="eastAsia" w:ascii="Segoe UI" w:hAnsi="Segoe UI" w:eastAsia="Segoe UI" w:cs="Segoe UI"/>
                <w:b/>
                <w:bCs/>
                <w:i w:val="0"/>
                <w:iCs w:val="0"/>
                <w:caps w:val="0"/>
                <w:color w:val="000000"/>
                <w:spacing w:val="0"/>
                <w:sz w:val="24"/>
                <w:szCs w:val="24"/>
                <w:shd w:val="clear" w:fill="FFFFFF"/>
                <w:lang w:val="en-US" w:eastAsia="zh-CN" w:bidi="zh-CN"/>
              </w:rPr>
            </w:pPr>
            <w:r>
              <w:rPr>
                <w:rFonts w:hint="eastAsia" w:ascii="Segoe UI" w:hAnsi="Segoe UI" w:eastAsia="Segoe UI" w:cs="Segoe UI"/>
                <w:b/>
                <w:bCs/>
                <w:i w:val="0"/>
                <w:iCs w:val="0"/>
                <w:caps w:val="0"/>
                <w:color w:val="000000"/>
                <w:spacing w:val="0"/>
                <w:sz w:val="24"/>
                <w:szCs w:val="24"/>
                <w:shd w:val="clear" w:fill="FFFFFF"/>
                <w:lang w:val="en-US" w:eastAsia="zh-CN" w:bidi="zh-CN"/>
              </w:rPr>
              <w:t>服务承诺</w:t>
            </w:r>
          </w:p>
        </w:tc>
        <w:tc>
          <w:tcPr>
            <w:tcW w:w="892" w:type="dxa"/>
            <w:noWrap w:val="0"/>
            <w:vAlign w:val="center"/>
          </w:tcPr>
          <w:p w14:paraId="6EFBB410">
            <w:pPr>
              <w:keepNext w:val="0"/>
              <w:keepLines w:val="0"/>
              <w:suppressLineNumbers w:val="0"/>
              <w:spacing w:beforeAutospacing="0" w:afterAutospacing="0" w:line="360" w:lineRule="auto"/>
              <w:jc w:val="center"/>
              <w:rPr>
                <w:rFonts w:hint="eastAsia" w:ascii="宋体" w:hAnsi="宋体" w:eastAsia="宋体" w:cs="宋体"/>
                <w:b w:val="0"/>
                <w:bCs w:val="0"/>
                <w:color w:val="auto"/>
                <w:szCs w:val="24"/>
                <w:highlight w:val="none"/>
              </w:rPr>
            </w:pPr>
            <w:r>
              <w:rPr>
                <w:rFonts w:hint="eastAsia" w:cs="宋体"/>
                <w:b w:val="0"/>
                <w:bCs w:val="0"/>
                <w:color w:val="auto"/>
                <w:sz w:val="22"/>
                <w:szCs w:val="24"/>
                <w:highlight w:val="none"/>
                <w:lang w:val="en-US" w:eastAsia="zh-CN" w:bidi="zh-CN"/>
              </w:rPr>
              <w:t xml:space="preserve"> </w:t>
            </w:r>
            <w:r>
              <w:rPr>
                <w:rFonts w:hint="eastAsia" w:cs="宋体"/>
                <w:b w:val="0"/>
                <w:bCs w:val="0"/>
                <w:sz w:val="24"/>
                <w:lang w:val="en-US" w:eastAsia="zh-CN"/>
              </w:rPr>
              <w:t>服务承诺</w:t>
            </w:r>
          </w:p>
        </w:tc>
        <w:tc>
          <w:tcPr>
            <w:tcW w:w="7474" w:type="dxa"/>
            <w:noWrap w:val="0"/>
            <w:vAlign w:val="center"/>
          </w:tcPr>
          <w:p w14:paraId="093ACCB2">
            <w:pPr>
              <w:pStyle w:val="8"/>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exact"/>
              <w:ind w:left="0" w:leftChars="0" w:firstLine="440" w:firstLineChars="200"/>
              <w:textAlignment w:val="auto"/>
              <w:rPr>
                <w:rFonts w:hint="default" w:ascii="宋体" w:hAnsi="宋体" w:eastAsia="宋体" w:cs="宋体"/>
                <w:color w:val="auto"/>
                <w:sz w:val="22"/>
                <w:szCs w:val="24"/>
                <w:highlight w:val="none"/>
                <w:lang w:val="en-US" w:eastAsia="zh-CN" w:bidi="zh-CN"/>
              </w:rPr>
            </w:pPr>
            <w:r>
              <w:rPr>
                <w:rFonts w:hint="default" w:ascii="宋体" w:hAnsi="宋体" w:eastAsia="宋体" w:cs="宋体"/>
                <w:color w:val="auto"/>
                <w:sz w:val="22"/>
                <w:szCs w:val="24"/>
                <w:highlight w:val="none"/>
                <w:lang w:val="en-US" w:eastAsia="zh-CN" w:bidi="zh-CN"/>
              </w:rPr>
              <w:t>①地勘数据每周同步，业主需求：1 小时内电话响应，24 小时内出初步方案，复杂问题 48 小时内出详细方案；得</w:t>
            </w:r>
            <w:r>
              <w:rPr>
                <w:rFonts w:hint="eastAsia" w:cs="宋体"/>
                <w:color w:val="auto"/>
                <w:sz w:val="22"/>
                <w:szCs w:val="24"/>
                <w:highlight w:val="none"/>
                <w:lang w:val="en-US" w:eastAsia="zh-CN" w:bidi="zh-CN"/>
              </w:rPr>
              <w:t>6</w:t>
            </w:r>
            <w:r>
              <w:rPr>
                <w:rFonts w:hint="default" w:ascii="宋体" w:hAnsi="宋体" w:eastAsia="宋体" w:cs="宋体"/>
                <w:color w:val="auto"/>
                <w:sz w:val="22"/>
                <w:szCs w:val="24"/>
                <w:highlight w:val="none"/>
                <w:lang w:val="en-US" w:eastAsia="zh-CN" w:bidi="zh-CN"/>
              </w:rPr>
              <w:t>-</w:t>
            </w:r>
            <w:r>
              <w:rPr>
                <w:rFonts w:hint="eastAsia" w:cs="宋体"/>
                <w:color w:val="auto"/>
                <w:sz w:val="22"/>
                <w:szCs w:val="24"/>
                <w:highlight w:val="none"/>
                <w:lang w:val="en-US" w:eastAsia="zh-CN" w:bidi="zh-CN"/>
              </w:rPr>
              <w:t>8</w:t>
            </w:r>
            <w:r>
              <w:rPr>
                <w:rFonts w:hint="default" w:ascii="宋体" w:hAnsi="宋体" w:eastAsia="宋体" w:cs="宋体"/>
                <w:color w:val="auto"/>
                <w:sz w:val="22"/>
                <w:szCs w:val="24"/>
                <w:highlight w:val="none"/>
                <w:lang w:val="en-US" w:eastAsia="zh-CN" w:bidi="zh-CN"/>
              </w:rPr>
              <w:t>分</w:t>
            </w:r>
            <w:r>
              <w:rPr>
                <w:rFonts w:hint="eastAsia" w:cs="宋体"/>
                <w:color w:val="auto"/>
                <w:sz w:val="22"/>
                <w:szCs w:val="24"/>
                <w:highlight w:val="none"/>
                <w:lang w:val="en-US" w:eastAsia="zh-CN" w:bidi="zh-CN"/>
              </w:rPr>
              <w:t>；</w:t>
            </w:r>
          </w:p>
          <w:p w14:paraId="0E7A6142">
            <w:pPr>
              <w:pStyle w:val="20"/>
              <w:keepNext w:val="0"/>
              <w:keepLines w:val="0"/>
              <w:suppressLineNumbers w:val="0"/>
              <w:spacing w:beforeAutospacing="0" w:afterAutospacing="0"/>
              <w:ind w:left="0" w:leftChars="0" w:firstLine="440" w:firstLineChars="200"/>
              <w:rPr>
                <w:rFonts w:hint="default" w:ascii="宋体" w:hAnsi="宋体" w:eastAsia="宋体" w:cs="宋体"/>
                <w:color w:val="auto"/>
                <w:sz w:val="22"/>
                <w:szCs w:val="24"/>
                <w:highlight w:val="none"/>
                <w:lang w:val="en-US" w:eastAsia="zh-CN" w:bidi="zh-CN"/>
              </w:rPr>
            </w:pPr>
            <w:r>
              <w:rPr>
                <w:rFonts w:hint="default" w:ascii="宋体" w:hAnsi="宋体" w:eastAsia="宋体" w:cs="宋体"/>
                <w:color w:val="auto"/>
                <w:kern w:val="2"/>
                <w:sz w:val="22"/>
                <w:szCs w:val="24"/>
                <w:highlight w:val="none"/>
                <w:lang w:val="en-US" w:eastAsia="zh-CN" w:bidi="zh-CN"/>
              </w:rPr>
              <w:t>②地勘数据每 10 天同步，业主需求：2 小时内电话响应，36 小时内出初步方案，复杂问题 72 小时内出详细方案；</w:t>
            </w:r>
            <w:r>
              <w:rPr>
                <w:rFonts w:hint="default" w:ascii="宋体" w:hAnsi="宋体" w:eastAsia="宋体" w:cs="宋体"/>
                <w:color w:val="auto"/>
                <w:kern w:val="2"/>
                <w:sz w:val="22"/>
                <w:szCs w:val="24"/>
                <w:highlight w:val="none"/>
                <w:lang w:eastAsia="zh-CN" w:bidi="zh-CN"/>
              </w:rPr>
              <w:t>；得</w:t>
            </w:r>
            <w:r>
              <w:rPr>
                <w:rFonts w:hint="default" w:ascii="宋体" w:hAnsi="宋体" w:eastAsia="宋体" w:cs="宋体"/>
                <w:color w:val="auto"/>
                <w:sz w:val="22"/>
                <w:szCs w:val="24"/>
                <w:highlight w:val="none"/>
                <w:lang w:eastAsia="zh-CN" w:bidi="zh-CN"/>
              </w:rPr>
              <w:t>3-6分</w:t>
            </w:r>
            <w:r>
              <w:rPr>
                <w:rFonts w:hint="default" w:ascii="宋体" w:hAnsi="宋体" w:eastAsia="宋体" w:cs="宋体"/>
                <w:color w:val="auto"/>
                <w:sz w:val="22"/>
                <w:szCs w:val="24"/>
                <w:highlight w:val="none"/>
                <w:lang w:val="en-US" w:eastAsia="zh-CN" w:bidi="zh-CN"/>
              </w:rPr>
              <w:t>。</w:t>
            </w:r>
          </w:p>
          <w:p w14:paraId="2AFA0098">
            <w:pPr>
              <w:keepNext w:val="0"/>
              <w:keepLines w:val="0"/>
              <w:suppressLineNumbers w:val="0"/>
              <w:spacing w:beforeAutospacing="0" w:afterAutospacing="0"/>
              <w:ind w:firstLine="440" w:firstLineChars="200"/>
              <w:rPr>
                <w:rFonts w:hint="eastAsia"/>
              </w:rPr>
            </w:pPr>
            <w:r>
              <w:rPr>
                <w:rFonts w:hint="default" w:ascii="宋体" w:hAnsi="宋体" w:eastAsia="宋体" w:cs="宋体"/>
                <w:color w:val="auto"/>
                <w:sz w:val="22"/>
                <w:szCs w:val="24"/>
                <w:highlight w:val="none"/>
                <w:lang w:val="en-US" w:eastAsia="zh-CN" w:bidi="zh-CN"/>
              </w:rPr>
              <w:t>③地勘数据每 2 周同步，业主需求：4 小时内电话响应，48 小时内出初步方案</w:t>
            </w:r>
            <w:r>
              <w:rPr>
                <w:rFonts w:hint="eastAsia" w:ascii="宋体" w:hAnsi="宋体" w:eastAsia="宋体" w:cs="宋体"/>
                <w:color w:val="auto"/>
                <w:sz w:val="22"/>
                <w:szCs w:val="24"/>
                <w:highlight w:val="none"/>
                <w:lang w:val="en-US" w:eastAsia="zh-CN" w:bidi="zh-CN"/>
              </w:rPr>
              <w:t>;</w:t>
            </w:r>
            <w:r>
              <w:rPr>
                <w:rFonts w:hint="default" w:ascii="宋体" w:hAnsi="宋体" w:eastAsia="宋体" w:cs="宋体"/>
                <w:color w:val="auto"/>
                <w:kern w:val="2"/>
                <w:sz w:val="22"/>
                <w:szCs w:val="24"/>
                <w:highlight w:val="none"/>
                <w:lang w:val="en-US" w:eastAsia="zh-CN" w:bidi="zh-CN"/>
              </w:rPr>
              <w:t>得</w:t>
            </w:r>
            <w:r>
              <w:rPr>
                <w:rFonts w:hint="eastAsia" w:ascii="宋体" w:hAnsi="宋体" w:eastAsia="宋体" w:cs="宋体"/>
                <w:color w:val="auto"/>
                <w:kern w:val="2"/>
                <w:sz w:val="22"/>
                <w:szCs w:val="24"/>
                <w:highlight w:val="none"/>
                <w:lang w:val="en-US" w:eastAsia="zh-CN" w:bidi="zh-CN"/>
              </w:rPr>
              <w:t>1</w:t>
            </w:r>
            <w:r>
              <w:rPr>
                <w:rFonts w:hint="default" w:ascii="宋体" w:hAnsi="宋体" w:eastAsia="宋体" w:cs="宋体"/>
                <w:color w:val="auto"/>
                <w:kern w:val="2"/>
                <w:sz w:val="22"/>
                <w:szCs w:val="24"/>
                <w:highlight w:val="none"/>
                <w:lang w:val="en-US" w:eastAsia="zh-CN" w:bidi="zh-CN"/>
              </w:rPr>
              <w:t>-</w:t>
            </w:r>
            <w:r>
              <w:rPr>
                <w:rFonts w:hint="eastAsia" w:ascii="宋体" w:hAnsi="宋体" w:eastAsia="宋体" w:cs="宋体"/>
                <w:color w:val="auto"/>
                <w:kern w:val="2"/>
                <w:sz w:val="22"/>
                <w:szCs w:val="24"/>
                <w:highlight w:val="none"/>
                <w:lang w:val="en-US" w:eastAsia="zh-CN" w:bidi="zh-CN"/>
              </w:rPr>
              <w:t>3</w:t>
            </w:r>
            <w:r>
              <w:rPr>
                <w:rFonts w:hint="default" w:ascii="宋体" w:hAnsi="宋体" w:eastAsia="宋体" w:cs="宋体"/>
                <w:color w:val="auto"/>
                <w:kern w:val="2"/>
                <w:sz w:val="22"/>
                <w:szCs w:val="24"/>
                <w:highlight w:val="none"/>
                <w:lang w:val="en-US" w:eastAsia="zh-CN" w:bidi="zh-CN"/>
              </w:rPr>
              <w:t>分</w:t>
            </w:r>
            <w:r>
              <w:rPr>
                <w:rFonts w:hint="default" w:ascii="宋体" w:hAnsi="宋体" w:eastAsia="宋体" w:cs="宋体"/>
                <w:color w:val="auto"/>
                <w:sz w:val="22"/>
                <w:szCs w:val="24"/>
                <w:highlight w:val="none"/>
                <w:lang w:val="en-US" w:eastAsia="zh-CN" w:bidi="zh-CN"/>
              </w:rPr>
              <w:t>。</w:t>
            </w:r>
          </w:p>
        </w:tc>
        <w:tc>
          <w:tcPr>
            <w:tcW w:w="889" w:type="dxa"/>
            <w:noWrap w:val="0"/>
            <w:vAlign w:val="center"/>
          </w:tcPr>
          <w:p w14:paraId="44271C0D">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rPr>
            </w:pPr>
            <w:r>
              <w:rPr>
                <w:rFonts w:hint="eastAsia" w:cs="宋体"/>
                <w:color w:val="auto"/>
                <w:szCs w:val="24"/>
                <w:highlight w:val="none"/>
                <w:lang w:val="en-US" w:eastAsia="zh-CN"/>
              </w:rPr>
              <w:t>8</w:t>
            </w:r>
          </w:p>
        </w:tc>
      </w:tr>
      <w:tr w14:paraId="3F71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2016" w:type="dxa"/>
            <w:gridSpan w:val="2"/>
            <w:noWrap w:val="0"/>
            <w:vAlign w:val="center"/>
          </w:tcPr>
          <w:p w14:paraId="393B80E4">
            <w:pPr>
              <w:keepNext w:val="0"/>
              <w:keepLines w:val="0"/>
              <w:suppressLineNumbers w:val="0"/>
              <w:spacing w:beforeAutospacing="0" w:afterAutospacing="0" w:line="360" w:lineRule="auto"/>
              <w:jc w:val="center"/>
              <w:rPr>
                <w:rFonts w:hint="eastAsia" w:ascii="宋体" w:hAnsi="宋体" w:eastAsia="宋体" w:cs="宋体"/>
                <w:b/>
                <w:color w:val="auto"/>
                <w:szCs w:val="24"/>
                <w:highlight w:val="none"/>
              </w:rPr>
            </w:pPr>
            <w:r>
              <w:rPr>
                <w:rFonts w:hint="eastAsia" w:cs="宋体"/>
                <w:b/>
                <w:color w:val="auto"/>
                <w:szCs w:val="24"/>
                <w:highlight w:val="none"/>
                <w:lang w:eastAsia="zh-CN"/>
              </w:rPr>
              <w:t>类似</w:t>
            </w:r>
            <w:r>
              <w:rPr>
                <w:rFonts w:hint="eastAsia" w:ascii="宋体" w:hAnsi="宋体" w:eastAsia="宋体" w:cs="宋体"/>
                <w:b/>
                <w:color w:val="auto"/>
                <w:szCs w:val="24"/>
                <w:highlight w:val="none"/>
              </w:rPr>
              <w:t>业绩</w:t>
            </w:r>
          </w:p>
          <w:p w14:paraId="153B3844">
            <w:pPr>
              <w:pStyle w:val="10"/>
              <w:keepNext w:val="0"/>
              <w:keepLines w:val="0"/>
              <w:suppressLineNumbers w:val="0"/>
              <w:spacing w:beforeAutospacing="0" w:afterAutospacing="0"/>
              <w:jc w:val="center"/>
              <w:rPr>
                <w:rFonts w:hint="eastAsia" w:ascii="宋体" w:hAnsi="宋体" w:eastAsia="宋体" w:cs="宋体"/>
                <w:color w:val="auto"/>
                <w:highlight w:val="none"/>
                <w:lang w:val="en-US" w:eastAsia="zh-CN"/>
              </w:rPr>
            </w:pPr>
            <w:r>
              <w:rPr>
                <w:rFonts w:hint="eastAsia" w:cs="宋体"/>
                <w:b/>
                <w:color w:val="auto"/>
                <w:sz w:val="24"/>
                <w:szCs w:val="24"/>
                <w:highlight w:val="none"/>
                <w:lang w:val="en-US" w:eastAsia="zh-CN"/>
              </w:rPr>
              <w:t>6</w:t>
            </w:r>
            <w:r>
              <w:rPr>
                <w:rFonts w:hint="eastAsia" w:ascii="宋体" w:hAnsi="宋体" w:eastAsia="宋体" w:cs="宋体"/>
                <w:b/>
                <w:color w:val="auto"/>
                <w:sz w:val="24"/>
                <w:szCs w:val="24"/>
                <w:highlight w:val="none"/>
                <w:lang w:val="en-US" w:eastAsia="zh-CN"/>
              </w:rPr>
              <w:t>分</w:t>
            </w:r>
          </w:p>
        </w:tc>
        <w:tc>
          <w:tcPr>
            <w:tcW w:w="7474" w:type="dxa"/>
            <w:noWrap w:val="0"/>
            <w:vAlign w:val="center"/>
          </w:tcPr>
          <w:p w14:paraId="16B7B311">
            <w:pPr>
              <w:keepNext w:val="0"/>
              <w:keepLines w:val="0"/>
              <w:suppressLineNumbers w:val="0"/>
              <w:spacing w:beforeAutospacing="0" w:afterAutospacing="0"/>
              <w:ind w:firstLine="440" w:firstLineChars="200"/>
              <w:rPr>
                <w:rFonts w:hint="eastAsia" w:ascii="宋体" w:hAnsi="宋体" w:eastAsia="宋体" w:cs="宋体"/>
                <w:color w:val="auto"/>
                <w:sz w:val="22"/>
                <w:szCs w:val="24"/>
                <w:highlight w:val="none"/>
                <w:lang w:val="en-US" w:eastAsia="zh-CN" w:bidi="zh-CN"/>
              </w:rPr>
            </w:pPr>
            <w:r>
              <w:rPr>
                <w:rFonts w:hint="eastAsia" w:ascii="宋体" w:hAnsi="宋体" w:eastAsia="宋体" w:cs="宋体"/>
                <w:color w:val="auto"/>
                <w:sz w:val="22"/>
                <w:szCs w:val="24"/>
                <w:highlight w:val="none"/>
                <w:lang w:val="en-US" w:eastAsia="zh-CN" w:bidi="zh-CN"/>
              </w:rPr>
              <w:t>根据投标人完成过类似项目的情况进行评分，提供2022年9月1日起至今完成过的类似项目业绩。每提供一个业绩证明得2分，最多得6分。</w:t>
            </w:r>
          </w:p>
          <w:p w14:paraId="39CA7CEF">
            <w:pPr>
              <w:keepNext w:val="0"/>
              <w:keepLines w:val="0"/>
              <w:suppressLineNumbers w:val="0"/>
              <w:spacing w:beforeAutospacing="0" w:afterAutospacing="0"/>
              <w:ind w:firstLine="44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 w:val="22"/>
                <w:szCs w:val="24"/>
                <w:highlight w:val="none"/>
                <w:lang w:val="en-US" w:eastAsia="zh-CN" w:bidi="zh-CN"/>
              </w:rPr>
              <w:t>注：以合同协议书或中标通知书复印件加盖公章为准。</w:t>
            </w:r>
          </w:p>
        </w:tc>
        <w:tc>
          <w:tcPr>
            <w:tcW w:w="889" w:type="dxa"/>
            <w:noWrap w:val="0"/>
            <w:vAlign w:val="center"/>
          </w:tcPr>
          <w:p w14:paraId="48EB31D2">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rPr>
            </w:pPr>
            <w:r>
              <w:rPr>
                <w:rFonts w:hint="eastAsia" w:cs="宋体"/>
                <w:color w:val="auto"/>
                <w:szCs w:val="24"/>
                <w:highlight w:val="none"/>
                <w:lang w:val="en-US" w:eastAsia="zh-CN"/>
              </w:rPr>
              <w:t>6</w:t>
            </w:r>
            <w:r>
              <w:rPr>
                <w:rFonts w:hint="eastAsia" w:ascii="宋体" w:hAnsi="宋体" w:eastAsia="宋体" w:cs="宋体"/>
                <w:color w:val="auto"/>
                <w:szCs w:val="24"/>
                <w:highlight w:val="none"/>
              </w:rPr>
              <w:t>分</w:t>
            </w:r>
          </w:p>
        </w:tc>
      </w:tr>
      <w:tr w14:paraId="3516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4" w:hRule="atLeast"/>
        </w:trPr>
        <w:tc>
          <w:tcPr>
            <w:tcW w:w="2016" w:type="dxa"/>
            <w:gridSpan w:val="2"/>
            <w:noWrap w:val="0"/>
            <w:vAlign w:val="center"/>
          </w:tcPr>
          <w:p w14:paraId="5304C7CC">
            <w:pPr>
              <w:pStyle w:val="14"/>
              <w:keepNext w:val="0"/>
              <w:keepLines w:val="0"/>
              <w:suppressLineNumbers w:val="0"/>
              <w:spacing w:beforeAutospacing="0" w:afterAutospacing="0"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说明</w:t>
            </w:r>
          </w:p>
        </w:tc>
        <w:tc>
          <w:tcPr>
            <w:tcW w:w="8363" w:type="dxa"/>
            <w:gridSpan w:val="2"/>
            <w:noWrap w:val="0"/>
            <w:vAlign w:val="center"/>
          </w:tcPr>
          <w:p w14:paraId="0E9686AF">
            <w:pPr>
              <w:keepNext w:val="0"/>
              <w:keepLines w:val="0"/>
              <w:suppressLineNumbers w:val="0"/>
              <w:spacing w:beforeAutospacing="0" w:afterAutospacing="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1、评标委员会各成员独立打分。</w:t>
            </w:r>
          </w:p>
          <w:p w14:paraId="6FF234E6">
            <w:pPr>
              <w:keepNext w:val="0"/>
              <w:keepLines w:val="0"/>
              <w:suppressLineNumbers w:val="0"/>
              <w:spacing w:beforeAutospacing="0" w:afterAutospacing="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2、评委打分超过得分界限或未按本表规定赋分时，该评委的打分作废，不计入汇总分。</w:t>
            </w:r>
          </w:p>
          <w:p w14:paraId="24DF3D09">
            <w:pPr>
              <w:keepNext w:val="0"/>
              <w:keepLines w:val="0"/>
              <w:suppressLineNumbers w:val="0"/>
              <w:spacing w:beforeAutospacing="0" w:afterAutospacing="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若出现综合得分并列时，比较价格得分，此分项得分高者排序在前；若价格得分仍相同，比较技术得分，此分项得分高者排序在前；若技术得分仍相同，则由全体评标委员会成员无记名投票，得票高者排序在前。</w:t>
            </w:r>
          </w:p>
          <w:p w14:paraId="0BBEE701">
            <w:pPr>
              <w:keepNext w:val="0"/>
              <w:keepLines w:val="0"/>
              <w:suppressLineNumbers w:val="0"/>
              <w:spacing w:beforeAutospacing="0" w:afterAutospacing="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4、各种计算采用插入法，数字均保留一位小数，第二位“四舍五入”。</w:t>
            </w:r>
          </w:p>
          <w:p w14:paraId="6CDE035C">
            <w:pPr>
              <w:keepNext w:val="0"/>
              <w:keepLines w:val="0"/>
              <w:suppressLineNumbers w:val="0"/>
              <w:spacing w:beforeAutospacing="0" w:afterAutospacing="0" w:line="360" w:lineRule="auto"/>
              <w:ind w:firstLine="420" w:firstLineChars="2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5、评标过程中，若出现特殊情况时，由评标委员会决定暂停评标，并提出具体处理意见。</w:t>
            </w:r>
          </w:p>
        </w:tc>
      </w:tr>
    </w:tbl>
    <w:p w14:paraId="4188D98F">
      <w:pPr>
        <w:pStyle w:val="72"/>
        <w:numPr>
          <w:ilvl w:val="0"/>
          <w:numId w:val="0"/>
        </w:numPr>
        <w:tabs>
          <w:tab w:val="left" w:pos="880"/>
        </w:tabs>
        <w:spacing w:before="74" w:after="0" w:line="240" w:lineRule="auto"/>
        <w:ind w:right="0" w:rightChars="0" w:firstLine="482" w:firstLineChars="200"/>
        <w:jc w:val="left"/>
        <w:rPr>
          <w:rFonts w:hint="eastAsia" w:ascii="宋体" w:hAnsi="宋体" w:eastAsia="宋体" w:cs="宋体"/>
          <w:b/>
          <w:bCs/>
          <w:sz w:val="24"/>
        </w:rPr>
      </w:pPr>
      <w:r>
        <w:rPr>
          <w:rFonts w:hint="eastAsia" w:cs="宋体"/>
          <w:b/>
          <w:bCs/>
          <w:sz w:val="24"/>
          <w:lang w:val="en-US" w:eastAsia="zh-CN"/>
        </w:rPr>
        <w:t>20</w:t>
      </w:r>
      <w:r>
        <w:rPr>
          <w:rFonts w:hint="eastAsia" w:ascii="宋体" w:hAnsi="宋体" w:eastAsia="宋体" w:cs="宋体"/>
          <w:b/>
          <w:bCs/>
          <w:sz w:val="24"/>
        </w:rPr>
        <w:t>、供应商企业政府采购政策</w:t>
      </w:r>
    </w:p>
    <w:p w14:paraId="307AF4BC">
      <w:pPr>
        <w:pStyle w:val="72"/>
        <w:numPr>
          <w:ilvl w:val="0"/>
          <w:numId w:val="0"/>
        </w:numPr>
        <w:tabs>
          <w:tab w:val="left" w:pos="880"/>
        </w:tabs>
        <w:spacing w:before="204" w:after="0" w:line="240" w:lineRule="auto"/>
        <w:ind w:right="0" w:rightChars="0" w:firstLine="480" w:firstLineChars="200"/>
        <w:jc w:val="left"/>
        <w:rPr>
          <w:rFonts w:hint="eastAsia" w:ascii="宋体" w:hAnsi="宋体" w:eastAsia="宋体" w:cs="宋体"/>
          <w:sz w:val="24"/>
        </w:rPr>
      </w:pPr>
      <w:r>
        <w:rPr>
          <w:rFonts w:hint="eastAsia" w:cs="宋体"/>
          <w:sz w:val="24"/>
          <w:lang w:val="en-US" w:eastAsia="zh-CN"/>
        </w:rPr>
        <w:t>20.1</w:t>
      </w:r>
      <w:r>
        <w:rPr>
          <w:rFonts w:hint="eastAsia" w:ascii="宋体" w:hAnsi="宋体" w:eastAsia="宋体" w:cs="宋体"/>
          <w:sz w:val="24"/>
        </w:rPr>
        <w:t>、中小企业落实政府采购政策</w:t>
      </w:r>
    </w:p>
    <w:p w14:paraId="75875F1D">
      <w:pPr>
        <w:pStyle w:val="72"/>
        <w:numPr>
          <w:ilvl w:val="0"/>
          <w:numId w:val="0"/>
        </w:numPr>
        <w:tabs>
          <w:tab w:val="left" w:pos="1640"/>
        </w:tabs>
        <w:spacing w:before="201" w:after="0" w:line="398" w:lineRule="auto"/>
        <w:ind w:right="70" w:rightChars="0" w:firstLine="480" w:firstLineChars="200"/>
        <w:jc w:val="both"/>
        <w:rPr>
          <w:rFonts w:hint="eastAsia" w:ascii="宋体" w:hAnsi="宋体" w:eastAsia="宋体" w:cs="宋体"/>
          <w:b/>
          <w:bCs/>
          <w:sz w:val="24"/>
        </w:rPr>
      </w:pPr>
      <w:r>
        <w:rPr>
          <w:rFonts w:hint="eastAsia" w:cs="宋体"/>
          <w:sz w:val="24"/>
          <w:lang w:eastAsia="zh-CN"/>
        </w:rPr>
        <w:t>（</w:t>
      </w:r>
      <w:r>
        <w:rPr>
          <w:rFonts w:hint="eastAsia" w:cs="宋体"/>
          <w:sz w:val="24"/>
          <w:lang w:val="en-US" w:eastAsia="zh-CN"/>
        </w:rPr>
        <w:t>1</w:t>
      </w:r>
      <w:r>
        <w:rPr>
          <w:rFonts w:hint="eastAsia" w:cs="宋体"/>
          <w:sz w:val="24"/>
          <w:lang w:eastAsia="zh-CN"/>
        </w:rPr>
        <w:t>）按照</w:t>
      </w:r>
      <w:r>
        <w:rPr>
          <w:rFonts w:hint="eastAsia" w:ascii="宋体" w:hAnsi="宋体" w:eastAsia="宋体" w:cs="宋体"/>
          <w:sz w:val="24"/>
        </w:rPr>
        <w:t>《陕西省财政厅关于落实政府采购支持中小企业政策有关事项的通知》陕财办采函〔2022〕10号 提高对</w:t>
      </w:r>
      <w:r>
        <w:rPr>
          <w:rFonts w:hint="eastAsia" w:cs="宋体"/>
          <w:sz w:val="24"/>
          <w:lang w:eastAsia="zh-CN"/>
        </w:rPr>
        <w:t>中</w:t>
      </w:r>
      <w:r>
        <w:rPr>
          <w:rFonts w:hint="eastAsia" w:ascii="宋体" w:hAnsi="宋体" w:eastAsia="宋体" w:cs="宋体"/>
          <w:sz w:val="24"/>
        </w:rPr>
        <w:t>小微企业的价格评审优惠。发布采购公告或者发出采购邀请、未预留份额专门面向中小企业的货物服务项目，采购人、采购代理机构应当对符合规定的</w:t>
      </w:r>
      <w:r>
        <w:rPr>
          <w:rFonts w:hint="eastAsia" w:cs="宋体"/>
          <w:sz w:val="24"/>
          <w:lang w:eastAsia="zh-CN"/>
        </w:rPr>
        <w:t>中</w:t>
      </w:r>
      <w:r>
        <w:rPr>
          <w:rFonts w:hint="eastAsia" w:ascii="宋体" w:hAnsi="宋体" w:eastAsia="宋体" w:cs="宋体"/>
          <w:sz w:val="24"/>
        </w:rPr>
        <w:t>小微企业报价给予 10 %的扣除，用扣除后的价格参加评审。并出具《</w:t>
      </w:r>
      <w:r>
        <w:rPr>
          <w:rFonts w:hint="eastAsia" w:cs="宋体"/>
          <w:sz w:val="24"/>
          <w:lang w:eastAsia="zh-CN"/>
        </w:rPr>
        <w:t>中小企业声明函</w:t>
      </w:r>
      <w:r>
        <w:rPr>
          <w:rFonts w:hint="eastAsia" w:ascii="宋体" w:hAnsi="宋体" w:eastAsia="宋体" w:cs="宋体"/>
          <w:sz w:val="24"/>
        </w:rPr>
        <w:t>》。</w:t>
      </w:r>
      <w:r>
        <w:rPr>
          <w:rFonts w:hint="eastAsia" w:ascii="宋体" w:hAnsi="宋体" w:eastAsia="宋体" w:cs="宋体"/>
          <w:b/>
          <w:bCs/>
          <w:sz w:val="24"/>
        </w:rPr>
        <w:t>注：本项目为专门面向</w:t>
      </w:r>
      <w:r>
        <w:rPr>
          <w:rFonts w:hint="eastAsia" w:cs="宋体"/>
          <w:b/>
          <w:bCs/>
          <w:sz w:val="24"/>
          <w:lang w:eastAsia="zh-CN"/>
        </w:rPr>
        <w:t>中小微</w:t>
      </w:r>
      <w:r>
        <w:rPr>
          <w:rFonts w:hint="eastAsia" w:ascii="宋体" w:hAnsi="宋体" w:eastAsia="宋体" w:cs="宋体"/>
          <w:b/>
          <w:bCs/>
          <w:sz w:val="24"/>
        </w:rPr>
        <w:t>企业采购的项目，因此，不再执行价格评审优惠扶持政策。</w:t>
      </w:r>
    </w:p>
    <w:p w14:paraId="58D0880E">
      <w:pPr>
        <w:pStyle w:val="72"/>
        <w:numPr>
          <w:ilvl w:val="0"/>
          <w:numId w:val="0"/>
        </w:numPr>
        <w:tabs>
          <w:tab w:val="left" w:pos="1634"/>
        </w:tabs>
        <w:spacing w:before="0" w:after="0" w:line="398" w:lineRule="auto"/>
        <w:ind w:right="70" w:rightChars="0" w:firstLine="468" w:firstLineChars="200"/>
        <w:jc w:val="both"/>
        <w:rPr>
          <w:rFonts w:hint="eastAsia" w:ascii="宋体" w:hAnsi="宋体" w:eastAsia="宋体" w:cs="宋体"/>
          <w:sz w:val="24"/>
        </w:rPr>
      </w:pPr>
      <w:r>
        <w:rPr>
          <w:rFonts w:hint="eastAsia" w:cs="宋体"/>
          <w:spacing w:val="-3"/>
          <w:sz w:val="24"/>
          <w:lang w:eastAsia="zh-CN"/>
        </w:rPr>
        <w:t>（</w:t>
      </w:r>
      <w:r>
        <w:rPr>
          <w:rFonts w:hint="eastAsia" w:cs="宋体"/>
          <w:spacing w:val="-3"/>
          <w:sz w:val="24"/>
          <w:lang w:val="en-US" w:eastAsia="zh-CN"/>
        </w:rPr>
        <w:t>2</w:t>
      </w:r>
      <w:r>
        <w:rPr>
          <w:rFonts w:hint="eastAsia" w:cs="宋体"/>
          <w:spacing w:val="-3"/>
          <w:sz w:val="24"/>
          <w:lang w:eastAsia="zh-CN"/>
        </w:rPr>
        <w:t>）</w:t>
      </w:r>
      <w:r>
        <w:rPr>
          <w:rFonts w:hint="eastAsia" w:ascii="宋体" w:hAnsi="宋体" w:eastAsia="宋体" w:cs="宋体"/>
          <w:spacing w:val="-3"/>
          <w:sz w:val="24"/>
        </w:rPr>
        <w:t>供应商须提供本企业制造的货物、承担的工程或者服务，或者提供其他中小企业</w:t>
      </w:r>
      <w:r>
        <w:rPr>
          <w:rFonts w:hint="eastAsia" w:ascii="宋体" w:hAnsi="宋体" w:eastAsia="宋体" w:cs="宋体"/>
          <w:spacing w:val="-4"/>
          <w:sz w:val="24"/>
        </w:rPr>
        <w:t>制造的货物。本项所称货物不包括使用大型企业注册商标的货物。</w:t>
      </w:r>
      <w:r>
        <w:rPr>
          <w:rFonts w:hint="eastAsia" w:cs="宋体"/>
          <w:spacing w:val="-4"/>
          <w:sz w:val="24"/>
          <w:lang w:eastAsia="zh-CN"/>
        </w:rPr>
        <w:t>中型、</w:t>
      </w:r>
      <w:r>
        <w:rPr>
          <w:rFonts w:hint="eastAsia" w:ascii="宋体" w:hAnsi="宋体" w:eastAsia="宋体" w:cs="宋体"/>
          <w:spacing w:val="-4"/>
          <w:sz w:val="24"/>
        </w:rPr>
        <w:t>小型、微型企业提供中型企业制造的货物的，视同为中型企业。</w:t>
      </w:r>
    </w:p>
    <w:p w14:paraId="29188342">
      <w:pPr>
        <w:pStyle w:val="72"/>
        <w:numPr>
          <w:ilvl w:val="0"/>
          <w:numId w:val="0"/>
        </w:numPr>
        <w:tabs>
          <w:tab w:val="left" w:pos="1514"/>
        </w:tabs>
        <w:spacing w:before="0" w:after="0" w:line="398" w:lineRule="auto"/>
        <w:ind w:right="70" w:rightChars="0" w:firstLine="432" w:firstLineChars="200"/>
        <w:jc w:val="both"/>
        <w:rPr>
          <w:rFonts w:hint="eastAsia" w:ascii="宋体" w:hAnsi="宋体" w:eastAsia="宋体" w:cs="宋体"/>
          <w:sz w:val="24"/>
        </w:rPr>
      </w:pPr>
      <w:r>
        <w:rPr>
          <w:rFonts w:hint="eastAsia" w:cs="宋体"/>
          <w:spacing w:val="-12"/>
          <w:sz w:val="24"/>
          <w:lang w:val="en-US" w:eastAsia="zh-CN"/>
        </w:rPr>
        <w:t>20.1.1</w:t>
      </w:r>
      <w:r>
        <w:rPr>
          <w:rFonts w:hint="eastAsia" w:ascii="宋体" w:hAnsi="宋体" w:eastAsia="宋体" w:cs="宋体"/>
          <w:spacing w:val="-12"/>
          <w:sz w:val="24"/>
        </w:rPr>
        <w:t>、监狱和戒毒企业应符合《财政部 司法部关于政府采购支持监狱企业发展有关问题</w:t>
      </w:r>
      <w:r>
        <w:rPr>
          <w:rFonts w:hint="eastAsia" w:ascii="宋体" w:hAnsi="宋体" w:eastAsia="宋体" w:cs="宋体"/>
          <w:spacing w:val="-1"/>
          <w:sz w:val="24"/>
        </w:rPr>
        <w:t>的通知》</w:t>
      </w:r>
      <w:r>
        <w:rPr>
          <w:rFonts w:hint="eastAsia" w:ascii="宋体" w:hAnsi="宋体" w:eastAsia="宋体" w:cs="宋体"/>
          <w:sz w:val="24"/>
        </w:rPr>
        <w:t>--</w:t>
      </w:r>
      <w:r>
        <w:rPr>
          <w:rFonts w:hint="eastAsia" w:ascii="宋体" w:hAnsi="宋体" w:eastAsia="宋体" w:cs="宋体"/>
          <w:spacing w:val="-2"/>
          <w:sz w:val="24"/>
        </w:rPr>
        <w:t>财库〔</w:t>
      </w:r>
      <w:r>
        <w:rPr>
          <w:rFonts w:hint="eastAsia" w:ascii="宋体" w:hAnsi="宋体" w:eastAsia="宋体" w:cs="宋体"/>
          <w:sz w:val="24"/>
        </w:rPr>
        <w:t>2014</w:t>
      </w:r>
      <w:r>
        <w:rPr>
          <w:rFonts w:hint="eastAsia" w:ascii="宋体" w:hAnsi="宋体" w:eastAsia="宋体" w:cs="宋体"/>
          <w:spacing w:val="-5"/>
          <w:sz w:val="24"/>
        </w:rPr>
        <w:t>〕</w:t>
      </w:r>
      <w:r>
        <w:rPr>
          <w:rFonts w:hint="eastAsia" w:ascii="宋体" w:hAnsi="宋体" w:eastAsia="宋体" w:cs="宋体"/>
          <w:sz w:val="24"/>
        </w:rPr>
        <w:t>68</w:t>
      </w:r>
      <w:r>
        <w:rPr>
          <w:rFonts w:hint="eastAsia" w:ascii="宋体" w:hAnsi="宋体" w:eastAsia="宋体" w:cs="宋体"/>
          <w:spacing w:val="-2"/>
          <w:sz w:val="24"/>
        </w:rPr>
        <w:t xml:space="preserve"> </w:t>
      </w:r>
      <w:r>
        <w:rPr>
          <w:rFonts w:hint="eastAsia" w:ascii="宋体" w:hAnsi="宋体" w:eastAsia="宋体" w:cs="宋体"/>
          <w:spacing w:val="-3"/>
          <w:sz w:val="24"/>
        </w:rPr>
        <w:t>号，并提供由省级以上监狱管理局、戒毒管理局</w:t>
      </w:r>
      <w:r>
        <w:rPr>
          <w:rFonts w:hint="eastAsia" w:cs="宋体"/>
          <w:spacing w:val="-3"/>
          <w:sz w:val="24"/>
          <w:lang w:eastAsia="zh-CN"/>
        </w:rPr>
        <w:t>（</w:t>
      </w:r>
      <w:r>
        <w:rPr>
          <w:rFonts w:hint="eastAsia" w:ascii="宋体" w:hAnsi="宋体" w:eastAsia="宋体" w:cs="宋体"/>
          <w:spacing w:val="-2"/>
          <w:sz w:val="24"/>
        </w:rPr>
        <w:t>含新疆生产建设</w:t>
      </w:r>
      <w:r>
        <w:rPr>
          <w:rFonts w:hint="eastAsia" w:ascii="宋体" w:hAnsi="宋体" w:eastAsia="宋体" w:cs="宋体"/>
          <w:sz w:val="24"/>
        </w:rPr>
        <w:t>兵团</w:t>
      </w:r>
      <w:r>
        <w:rPr>
          <w:rFonts w:hint="eastAsia" w:cs="宋体"/>
          <w:sz w:val="24"/>
          <w:lang w:eastAsia="zh-CN"/>
        </w:rPr>
        <w:t>）</w:t>
      </w:r>
      <w:r>
        <w:rPr>
          <w:rFonts w:hint="eastAsia" w:ascii="宋体" w:hAnsi="宋体" w:eastAsia="宋体" w:cs="宋体"/>
          <w:sz w:val="24"/>
        </w:rPr>
        <w:t>出具的属于监狱企业的证明。</w:t>
      </w:r>
    </w:p>
    <w:p w14:paraId="3868563E">
      <w:pPr>
        <w:pStyle w:val="72"/>
        <w:numPr>
          <w:ilvl w:val="0"/>
          <w:numId w:val="0"/>
        </w:numPr>
        <w:tabs>
          <w:tab w:val="left" w:pos="1516"/>
        </w:tabs>
        <w:spacing w:before="0" w:after="0" w:line="398" w:lineRule="auto"/>
        <w:ind w:right="70" w:rightChars="0" w:firstLine="480" w:firstLineChars="200"/>
        <w:jc w:val="both"/>
        <w:rPr>
          <w:rFonts w:hint="eastAsia" w:ascii="宋体" w:hAnsi="宋体" w:eastAsia="宋体" w:cs="宋体"/>
        </w:rPr>
      </w:pPr>
      <w:r>
        <w:rPr>
          <w:rFonts w:hint="eastAsia" w:cs="宋体"/>
          <w:sz w:val="24"/>
          <w:lang w:val="en-US" w:eastAsia="zh-CN"/>
        </w:rPr>
        <w:t>20.1.2</w:t>
      </w:r>
      <w:r>
        <w:rPr>
          <w:rFonts w:hint="eastAsia" w:ascii="宋体" w:hAnsi="宋体" w:eastAsia="宋体" w:cs="宋体"/>
          <w:sz w:val="24"/>
        </w:rPr>
        <w:t>、残疾人福利性单位应符合《财政部、民政部、中国残疾人联合会关于促进残疾人</w:t>
      </w:r>
      <w:r>
        <w:rPr>
          <w:rFonts w:hint="eastAsia" w:ascii="宋体" w:hAnsi="宋体" w:eastAsia="宋体" w:cs="宋体"/>
          <w:spacing w:val="-10"/>
          <w:sz w:val="24"/>
        </w:rPr>
        <w:t>就业政府采购政策的通知》</w:t>
      </w:r>
      <w:r>
        <w:rPr>
          <w:rFonts w:hint="eastAsia" w:ascii="宋体" w:hAnsi="宋体" w:eastAsia="宋体" w:cs="宋体"/>
          <w:sz w:val="24"/>
        </w:rPr>
        <w:t>（财库[2017]141号）文件规定，并提供《残疾人福利性单位声明</w:t>
      </w:r>
      <w:r>
        <w:rPr>
          <w:rFonts w:hint="eastAsia" w:ascii="宋体" w:hAnsi="宋体" w:eastAsia="宋体" w:cs="宋体"/>
        </w:rPr>
        <w:t>函》。</w:t>
      </w:r>
    </w:p>
    <w:p w14:paraId="7011EBF0">
      <w:pPr>
        <w:pStyle w:val="72"/>
        <w:numPr>
          <w:ilvl w:val="0"/>
          <w:numId w:val="0"/>
        </w:numPr>
        <w:tabs>
          <w:tab w:val="left" w:pos="1514"/>
        </w:tabs>
        <w:spacing w:before="203" w:after="0" w:line="240" w:lineRule="auto"/>
        <w:ind w:right="65" w:rightChars="31" w:firstLine="444" w:firstLineChars="200"/>
        <w:jc w:val="left"/>
        <w:rPr>
          <w:rFonts w:hint="eastAsia" w:ascii="宋体" w:hAnsi="宋体" w:eastAsia="宋体" w:cs="宋体"/>
          <w:sz w:val="24"/>
        </w:rPr>
      </w:pPr>
      <w:r>
        <w:rPr>
          <w:rFonts w:hint="eastAsia" w:cs="宋体"/>
          <w:spacing w:val="-9"/>
          <w:sz w:val="24"/>
          <w:lang w:val="en-US" w:eastAsia="zh-CN"/>
        </w:rPr>
        <w:t>20.1.3</w:t>
      </w:r>
      <w:r>
        <w:rPr>
          <w:rFonts w:hint="eastAsia" w:ascii="宋体" w:hAnsi="宋体" w:eastAsia="宋体" w:cs="宋体"/>
          <w:spacing w:val="-9"/>
          <w:sz w:val="24"/>
        </w:rPr>
        <w:t>、对于</w:t>
      </w:r>
      <w:r>
        <w:rPr>
          <w:rFonts w:hint="eastAsia" w:ascii="宋体" w:hAnsi="宋体" w:eastAsia="宋体" w:cs="宋体"/>
          <w:sz w:val="24"/>
        </w:rPr>
        <w:t>同时属于</w:t>
      </w:r>
      <w:r>
        <w:rPr>
          <w:rFonts w:hint="eastAsia" w:cs="宋体"/>
          <w:sz w:val="24"/>
          <w:lang w:eastAsia="zh-CN"/>
        </w:rPr>
        <w:t>中</w:t>
      </w:r>
      <w:r>
        <w:rPr>
          <w:rFonts w:hint="eastAsia" w:ascii="宋体" w:hAnsi="宋体" w:eastAsia="宋体" w:cs="宋体"/>
          <w:sz w:val="24"/>
        </w:rPr>
        <w:t>小微</w:t>
      </w:r>
      <w:r>
        <w:rPr>
          <w:rFonts w:hint="eastAsia" w:ascii="宋体" w:hAnsi="宋体" w:eastAsia="宋体" w:cs="宋体"/>
          <w:spacing w:val="-9"/>
          <w:sz w:val="24"/>
        </w:rPr>
        <w:t>企业、监狱企业或残疾人福利性单位的，不重复进行价格扣除。</w:t>
      </w:r>
    </w:p>
    <w:p w14:paraId="2DC13A44">
      <w:pPr>
        <w:pStyle w:val="72"/>
        <w:numPr>
          <w:ilvl w:val="0"/>
          <w:numId w:val="0"/>
        </w:numPr>
        <w:tabs>
          <w:tab w:val="left" w:pos="1516"/>
        </w:tabs>
        <w:spacing w:before="202" w:after="0" w:line="398" w:lineRule="auto"/>
        <w:ind w:right="70" w:rightChars="0" w:firstLine="476" w:firstLineChars="200"/>
        <w:jc w:val="left"/>
        <w:rPr>
          <w:rFonts w:hint="eastAsia" w:ascii="宋体" w:hAnsi="宋体" w:eastAsia="宋体" w:cs="宋体"/>
          <w:sz w:val="24"/>
        </w:rPr>
      </w:pPr>
      <w:r>
        <w:rPr>
          <w:rFonts w:hint="eastAsia" w:cs="宋体"/>
          <w:spacing w:val="-1"/>
          <w:sz w:val="24"/>
          <w:lang w:val="en-US" w:eastAsia="zh-CN"/>
        </w:rPr>
        <w:t>20.1.4</w:t>
      </w:r>
      <w:r>
        <w:rPr>
          <w:rFonts w:hint="eastAsia" w:ascii="宋体" w:hAnsi="宋体" w:eastAsia="宋体" w:cs="宋体"/>
          <w:spacing w:val="-1"/>
          <w:sz w:val="24"/>
        </w:rPr>
        <w:t>、若接受联合体，联合协议中约定，小型、微型企业和监狱企业的协议合同金额占</w:t>
      </w:r>
      <w:r>
        <w:rPr>
          <w:rFonts w:hint="eastAsia" w:ascii="宋体" w:hAnsi="宋体" w:eastAsia="宋体" w:cs="宋体"/>
          <w:spacing w:val="-5"/>
          <w:sz w:val="24"/>
        </w:rPr>
        <w:t xml:space="preserve">到联合体协议合同总金额 </w:t>
      </w:r>
      <w:r>
        <w:rPr>
          <w:rFonts w:hint="eastAsia" w:ascii="宋体" w:hAnsi="宋体" w:eastAsia="宋体" w:cs="宋体"/>
          <w:sz w:val="24"/>
        </w:rPr>
        <w:t>30%</w:t>
      </w:r>
      <w:r>
        <w:rPr>
          <w:rFonts w:hint="eastAsia" w:ascii="宋体" w:hAnsi="宋体" w:eastAsia="宋体" w:cs="宋体"/>
          <w:spacing w:val="-6"/>
          <w:sz w:val="24"/>
        </w:rPr>
        <w:t xml:space="preserve">以上的，可给予联合体 </w:t>
      </w:r>
      <w:r>
        <w:rPr>
          <w:rFonts w:hint="eastAsia" w:ascii="宋体" w:hAnsi="宋体" w:eastAsia="宋体" w:cs="宋体"/>
          <w:sz w:val="24"/>
        </w:rPr>
        <w:t>2%的价格扣除。</w:t>
      </w:r>
    </w:p>
    <w:p w14:paraId="4F1C7C9E">
      <w:pPr>
        <w:pStyle w:val="10"/>
        <w:spacing w:line="398" w:lineRule="auto"/>
        <w:ind w:right="70" w:rightChars="0" w:firstLine="476" w:firstLineChars="200"/>
        <w:rPr>
          <w:rFonts w:hint="eastAsia" w:ascii="宋体" w:hAnsi="宋体" w:eastAsia="宋体" w:cs="宋体"/>
          <w:spacing w:val="-1"/>
          <w:kern w:val="2"/>
          <w:sz w:val="24"/>
          <w:szCs w:val="22"/>
          <w:lang w:val="zh-CN" w:eastAsia="zh-CN" w:bidi="zh-CN"/>
        </w:rPr>
      </w:pPr>
      <w:r>
        <w:rPr>
          <w:rFonts w:hint="eastAsia" w:ascii="宋体" w:hAnsi="宋体" w:eastAsia="宋体" w:cs="宋体"/>
          <w:spacing w:val="-1"/>
          <w:kern w:val="2"/>
          <w:sz w:val="24"/>
          <w:szCs w:val="22"/>
          <w:lang w:val="zh-CN" w:eastAsia="zh-CN" w:bidi="zh-CN"/>
        </w:rPr>
        <w:t>联合体各方均为小型、微型企业和监狱企业的，联合体视同为小型、微型企业和监狱企业。</w:t>
      </w:r>
    </w:p>
    <w:p w14:paraId="31D6447C">
      <w:pPr>
        <w:pStyle w:val="72"/>
        <w:numPr>
          <w:ilvl w:val="0"/>
          <w:numId w:val="0"/>
        </w:numPr>
        <w:tabs>
          <w:tab w:val="left" w:pos="1393"/>
        </w:tabs>
        <w:spacing w:before="0" w:after="0" w:line="307" w:lineRule="exact"/>
        <w:ind w:right="0" w:rightChars="0"/>
        <w:jc w:val="left"/>
        <w:rPr>
          <w:rFonts w:hint="eastAsia" w:ascii="宋体" w:hAnsi="宋体" w:eastAsia="宋体" w:cs="宋体"/>
          <w:sz w:val="24"/>
        </w:rPr>
      </w:pPr>
      <w:r>
        <w:rPr>
          <w:rFonts w:hint="eastAsia" w:cs="宋体"/>
          <w:sz w:val="24"/>
          <w:lang w:val="en-US" w:eastAsia="zh-CN"/>
        </w:rPr>
        <w:t>20.2</w:t>
      </w:r>
      <w:r>
        <w:rPr>
          <w:rFonts w:hint="eastAsia" w:ascii="宋体" w:hAnsi="宋体" w:eastAsia="宋体" w:cs="宋体"/>
          <w:sz w:val="24"/>
          <w:lang w:eastAsia="zh-CN"/>
        </w:rPr>
        <w:t>招标</w:t>
      </w:r>
      <w:r>
        <w:rPr>
          <w:rFonts w:hint="eastAsia" w:ascii="宋体" w:hAnsi="宋体" w:eastAsia="宋体" w:cs="宋体"/>
          <w:sz w:val="24"/>
        </w:rPr>
        <w:t>产品政府采购政策</w:t>
      </w:r>
    </w:p>
    <w:p w14:paraId="48520FDE">
      <w:pPr>
        <w:pStyle w:val="72"/>
        <w:numPr>
          <w:ilvl w:val="0"/>
          <w:numId w:val="0"/>
        </w:numPr>
        <w:tabs>
          <w:tab w:val="left" w:pos="1514"/>
        </w:tabs>
        <w:spacing w:before="202" w:after="0" w:line="398" w:lineRule="auto"/>
        <w:ind w:right="70" w:rightChars="0" w:firstLine="448" w:firstLineChars="200"/>
        <w:jc w:val="both"/>
        <w:rPr>
          <w:rFonts w:hint="eastAsia" w:ascii="宋体" w:hAnsi="宋体" w:eastAsia="宋体" w:cs="宋体"/>
          <w:spacing w:val="-1"/>
          <w:sz w:val="24"/>
        </w:rPr>
      </w:pPr>
      <w:r>
        <w:rPr>
          <w:rFonts w:hint="eastAsia" w:cs="宋体"/>
          <w:spacing w:val="-8"/>
          <w:sz w:val="24"/>
          <w:lang w:val="en-US" w:eastAsia="zh-CN"/>
        </w:rPr>
        <w:t>20.2.1</w:t>
      </w:r>
      <w:r>
        <w:rPr>
          <w:rFonts w:hint="eastAsia" w:ascii="宋体" w:hAnsi="宋体" w:eastAsia="宋体" w:cs="宋体"/>
          <w:spacing w:val="-8"/>
          <w:sz w:val="24"/>
        </w:rPr>
        <w:t>、</w:t>
      </w:r>
      <w:r>
        <w:rPr>
          <w:rFonts w:hint="eastAsia" w:ascii="宋体" w:hAnsi="宋体" w:eastAsia="宋体" w:cs="宋体"/>
          <w:spacing w:val="-1"/>
          <w:sz w:val="24"/>
        </w:rPr>
        <w:t>节能产品根据《国务院办公厅关于建立政府强制采购节能产品制度的通知》（国办发[2007]51 号）的规定</w:t>
      </w:r>
      <w:r>
        <w:rPr>
          <w:rFonts w:hint="eastAsia" w:ascii="宋体" w:hAnsi="宋体" w:eastAsia="宋体" w:cs="宋体"/>
          <w:spacing w:val="-1"/>
          <w:sz w:val="24"/>
          <w:lang w:eastAsia="zh-CN"/>
        </w:rPr>
        <w:t>和关于调整优化节能产品、环境标志产品政府采购执行机制的通知（财库〔2019〕9 号）</w:t>
      </w:r>
      <w:r>
        <w:rPr>
          <w:rFonts w:hint="eastAsia" w:ascii="宋体" w:hAnsi="宋体" w:eastAsia="宋体" w:cs="宋体"/>
          <w:spacing w:val="-1"/>
          <w:sz w:val="24"/>
        </w:rPr>
        <w:t>的规定，依据品目清单和认证证书实施政府采购优先采购和强制采购。</w:t>
      </w:r>
    </w:p>
    <w:p w14:paraId="65629A22">
      <w:pPr>
        <w:pStyle w:val="72"/>
        <w:numPr>
          <w:ilvl w:val="0"/>
          <w:numId w:val="0"/>
        </w:numPr>
        <w:tabs>
          <w:tab w:val="left" w:pos="1516"/>
        </w:tabs>
        <w:spacing w:before="0" w:after="0" w:line="398" w:lineRule="auto"/>
        <w:ind w:right="70" w:rightChars="0" w:firstLine="476" w:firstLineChars="200"/>
        <w:jc w:val="left"/>
        <w:rPr>
          <w:rFonts w:hint="eastAsia" w:ascii="宋体" w:hAnsi="宋体" w:eastAsia="宋体" w:cs="宋体"/>
          <w:sz w:val="24"/>
        </w:rPr>
      </w:pPr>
      <w:r>
        <w:rPr>
          <w:rFonts w:hint="eastAsia" w:cs="宋体"/>
          <w:spacing w:val="-1"/>
          <w:sz w:val="24"/>
          <w:lang w:val="en-US" w:eastAsia="zh-CN"/>
        </w:rPr>
        <w:t>20.2.2</w:t>
      </w:r>
      <w:r>
        <w:rPr>
          <w:rFonts w:hint="eastAsia" w:ascii="宋体" w:hAnsi="宋体" w:eastAsia="宋体" w:cs="宋体"/>
          <w:spacing w:val="-1"/>
          <w:sz w:val="24"/>
        </w:rPr>
        <w:t>、以处于有效期之内的，国家确定的认证机构出具的节能产品、环境标志产品认证</w:t>
      </w:r>
      <w:r>
        <w:rPr>
          <w:rFonts w:hint="eastAsia" w:ascii="宋体" w:hAnsi="宋体" w:eastAsia="宋体" w:cs="宋体"/>
          <w:sz w:val="24"/>
        </w:rPr>
        <w:t>证书为依据，复印件须加盖供应商公章，否则不予计分。</w:t>
      </w:r>
    </w:p>
    <w:p w14:paraId="73AA637F">
      <w:pPr>
        <w:pStyle w:val="72"/>
        <w:numPr>
          <w:ilvl w:val="0"/>
          <w:numId w:val="0"/>
        </w:numPr>
        <w:tabs>
          <w:tab w:val="left" w:pos="1516"/>
        </w:tabs>
        <w:spacing w:before="0" w:after="0" w:line="398" w:lineRule="auto"/>
        <w:ind w:right="70" w:rightChars="0" w:firstLine="480" w:firstLineChars="200"/>
        <w:jc w:val="both"/>
        <w:rPr>
          <w:rFonts w:hint="eastAsia" w:ascii="宋体" w:hAnsi="宋体" w:eastAsia="宋体" w:cs="宋体"/>
          <w:sz w:val="24"/>
        </w:rPr>
      </w:pPr>
      <w:r>
        <w:rPr>
          <w:rFonts w:hint="eastAsia" w:cs="宋体"/>
          <w:sz w:val="24"/>
          <w:lang w:val="en-US" w:eastAsia="zh-CN"/>
        </w:rPr>
        <w:t>20.2.3</w:t>
      </w:r>
      <w:r>
        <w:rPr>
          <w:rFonts w:hint="eastAsia" w:ascii="宋体" w:hAnsi="宋体" w:eastAsia="宋体" w:cs="宋体"/>
          <w:sz w:val="24"/>
        </w:rPr>
        <w:t>、供应商在</w:t>
      </w:r>
      <w:r>
        <w:rPr>
          <w:rFonts w:hint="eastAsia" w:ascii="宋体" w:hAnsi="宋体" w:eastAsia="宋体" w:cs="宋体"/>
          <w:sz w:val="24"/>
          <w:lang w:eastAsia="zh-CN"/>
        </w:rPr>
        <w:t>招标</w:t>
      </w:r>
      <w:r>
        <w:rPr>
          <w:rFonts w:hint="eastAsia" w:ascii="宋体" w:hAnsi="宋体" w:eastAsia="宋体" w:cs="宋体"/>
          <w:sz w:val="24"/>
        </w:rPr>
        <w:t>响应文件中对所投标产品为节能、环保、环境标志产品清单中的产</w:t>
      </w:r>
      <w:r>
        <w:rPr>
          <w:rFonts w:hint="eastAsia" w:ascii="宋体" w:hAnsi="宋体" w:eastAsia="宋体" w:cs="宋体"/>
          <w:spacing w:val="-1"/>
          <w:sz w:val="24"/>
        </w:rPr>
        <w:t>品，在投标报价时必须对此类产品单独分项报价，未提供节能、环保、环境标志产品计分明</w:t>
      </w:r>
      <w:r>
        <w:rPr>
          <w:rFonts w:hint="eastAsia" w:ascii="宋体" w:hAnsi="宋体" w:eastAsia="宋体" w:cs="宋体"/>
          <w:sz w:val="24"/>
        </w:rPr>
        <w:t>细表不予计分。</w:t>
      </w:r>
    </w:p>
    <w:p w14:paraId="543D458D">
      <w:pPr>
        <w:pStyle w:val="72"/>
        <w:numPr>
          <w:ilvl w:val="0"/>
          <w:numId w:val="0"/>
        </w:numPr>
        <w:tabs>
          <w:tab w:val="left" w:pos="1514"/>
        </w:tabs>
        <w:spacing w:before="0" w:after="0" w:line="396" w:lineRule="auto"/>
        <w:ind w:right="70" w:rightChars="0" w:firstLine="436" w:firstLineChars="200"/>
        <w:jc w:val="left"/>
        <w:rPr>
          <w:rFonts w:hint="eastAsia" w:ascii="宋体" w:hAnsi="宋体" w:eastAsia="宋体" w:cs="宋体"/>
          <w:sz w:val="24"/>
        </w:rPr>
      </w:pPr>
      <w:r>
        <w:rPr>
          <w:rFonts w:hint="eastAsia" w:cs="宋体"/>
          <w:spacing w:val="-11"/>
          <w:sz w:val="24"/>
          <w:lang w:val="en-US" w:eastAsia="zh-CN"/>
        </w:rPr>
        <w:t>20.2.4</w:t>
      </w:r>
      <w:r>
        <w:rPr>
          <w:rFonts w:hint="eastAsia" w:ascii="宋体" w:hAnsi="宋体" w:eastAsia="宋体" w:cs="宋体"/>
          <w:spacing w:val="-11"/>
          <w:sz w:val="24"/>
        </w:rPr>
        <w:t>、若节能、环保、环境标志清单内的产品</w:t>
      </w:r>
      <w:r>
        <w:rPr>
          <w:rFonts w:hint="eastAsia" w:cs="宋体"/>
          <w:spacing w:val="-11"/>
          <w:sz w:val="24"/>
          <w:lang w:eastAsia="zh-CN"/>
        </w:rPr>
        <w:t>仅</w:t>
      </w:r>
      <w:r>
        <w:rPr>
          <w:rFonts w:hint="eastAsia" w:ascii="宋体" w:hAnsi="宋体" w:eastAsia="宋体" w:cs="宋体"/>
          <w:spacing w:val="-11"/>
          <w:sz w:val="24"/>
        </w:rPr>
        <w:t xml:space="preserve">构成投标产品的部件、组件或零件的， </w:t>
      </w:r>
      <w:r>
        <w:rPr>
          <w:rFonts w:hint="eastAsia" w:ascii="宋体" w:hAnsi="宋体" w:eastAsia="宋体" w:cs="宋体"/>
          <w:sz w:val="24"/>
        </w:rPr>
        <w:t>则该投标产品不享受鼓励优惠政策。</w:t>
      </w:r>
    </w:p>
    <w:p w14:paraId="7D73F299">
      <w:pPr>
        <w:pStyle w:val="72"/>
        <w:numPr>
          <w:ilvl w:val="0"/>
          <w:numId w:val="0"/>
        </w:numPr>
        <w:tabs>
          <w:tab w:val="left" w:pos="1516"/>
        </w:tabs>
        <w:spacing w:before="2" w:after="0" w:line="396" w:lineRule="auto"/>
        <w:ind w:right="70" w:rightChars="0" w:firstLine="476" w:firstLineChars="200"/>
        <w:jc w:val="left"/>
        <w:rPr>
          <w:rFonts w:hint="eastAsia" w:ascii="宋体" w:hAnsi="宋体" w:eastAsia="宋体" w:cs="宋体"/>
          <w:sz w:val="24"/>
        </w:rPr>
      </w:pPr>
      <w:r>
        <w:rPr>
          <w:rFonts w:hint="eastAsia" w:cs="宋体"/>
          <w:spacing w:val="-1"/>
          <w:sz w:val="24"/>
          <w:lang w:val="en-US" w:eastAsia="zh-CN"/>
        </w:rPr>
        <w:t>20.2.5</w:t>
      </w:r>
      <w:r>
        <w:rPr>
          <w:rFonts w:hint="eastAsia" w:ascii="宋体" w:hAnsi="宋体" w:eastAsia="宋体" w:cs="宋体"/>
          <w:spacing w:val="-1"/>
          <w:sz w:val="24"/>
        </w:rPr>
        <w:t>、同一标段的节能、环保、环境标志产品部分计分只对属于清单内的非强制类产品</w:t>
      </w:r>
      <w:r>
        <w:rPr>
          <w:rFonts w:hint="eastAsia" w:ascii="宋体" w:hAnsi="宋体" w:eastAsia="宋体" w:cs="宋体"/>
          <w:sz w:val="24"/>
        </w:rPr>
        <w:t>进行计分，强制类产品不给予计分。</w:t>
      </w:r>
    </w:p>
    <w:p w14:paraId="1B89474B">
      <w:pPr>
        <w:pStyle w:val="72"/>
        <w:numPr>
          <w:ilvl w:val="0"/>
          <w:numId w:val="0"/>
        </w:numPr>
        <w:tabs>
          <w:tab w:val="left" w:pos="1100"/>
          <w:tab w:val="left" w:pos="9020"/>
        </w:tabs>
        <w:spacing w:before="5" w:after="0" w:line="396" w:lineRule="auto"/>
        <w:ind w:left="440" w:leftChars="0" w:right="70" w:rightChars="0"/>
        <w:jc w:val="left"/>
        <w:rPr>
          <w:rFonts w:hint="eastAsia" w:ascii="宋体" w:hAnsi="宋体" w:eastAsia="宋体" w:cs="宋体"/>
          <w:spacing w:val="-1"/>
          <w:sz w:val="24"/>
        </w:rPr>
      </w:pPr>
      <w:r>
        <w:rPr>
          <w:rFonts w:hint="eastAsia" w:cs="宋体"/>
          <w:spacing w:val="-1"/>
          <w:sz w:val="24"/>
          <w:lang w:val="en-US" w:eastAsia="zh-CN"/>
        </w:rPr>
        <w:t>20.2.6</w:t>
      </w:r>
      <w:r>
        <w:rPr>
          <w:rFonts w:hint="eastAsia" w:ascii="宋体" w:hAnsi="宋体" w:eastAsia="宋体" w:cs="宋体"/>
          <w:spacing w:val="-1"/>
          <w:sz w:val="24"/>
        </w:rPr>
        <w:t>、节能、环保、环境标志产品不重复计分；同时列入国家级清单和省级清单的产品</w:t>
      </w:r>
    </w:p>
    <w:p w14:paraId="77E47D1E">
      <w:pPr>
        <w:pStyle w:val="72"/>
        <w:numPr>
          <w:ilvl w:val="0"/>
          <w:numId w:val="0"/>
        </w:numPr>
        <w:tabs>
          <w:tab w:val="left" w:pos="1100"/>
          <w:tab w:val="left" w:pos="9020"/>
        </w:tabs>
        <w:spacing w:before="5" w:after="0" w:line="396" w:lineRule="auto"/>
        <w:ind w:right="70" w:rightChars="0"/>
        <w:jc w:val="left"/>
        <w:rPr>
          <w:rFonts w:hint="eastAsia" w:ascii="宋体" w:hAnsi="宋体" w:eastAsia="宋体" w:cs="宋体"/>
          <w:sz w:val="24"/>
        </w:rPr>
      </w:pPr>
      <w:r>
        <w:rPr>
          <w:rFonts w:hint="eastAsia" w:ascii="宋体" w:hAnsi="宋体" w:eastAsia="宋体" w:cs="宋体"/>
          <w:sz w:val="24"/>
        </w:rPr>
        <w:t>不重复计分。</w:t>
      </w:r>
    </w:p>
    <w:p w14:paraId="46B48E57">
      <w:pPr>
        <w:pStyle w:val="72"/>
        <w:numPr>
          <w:ilvl w:val="0"/>
          <w:numId w:val="0"/>
        </w:numPr>
        <w:tabs>
          <w:tab w:val="left" w:pos="660"/>
        </w:tabs>
        <w:spacing w:before="5" w:after="0" w:line="396" w:lineRule="auto"/>
        <w:ind w:left="440" w:leftChars="0" w:right="70" w:rightChars="0"/>
        <w:jc w:val="left"/>
        <w:rPr>
          <w:rFonts w:hint="eastAsia" w:ascii="宋体" w:hAnsi="宋体" w:eastAsia="宋体" w:cs="宋体"/>
          <w:sz w:val="24"/>
        </w:rPr>
      </w:pPr>
      <w:r>
        <w:rPr>
          <w:rFonts w:hint="eastAsia" w:cs="宋体"/>
          <w:sz w:val="24"/>
          <w:lang w:val="en-US" w:eastAsia="zh-CN"/>
        </w:rPr>
        <w:t>20.2.7</w:t>
      </w:r>
      <w:r>
        <w:rPr>
          <w:rFonts w:hint="eastAsia" w:ascii="宋体" w:hAnsi="宋体" w:eastAsia="宋体" w:cs="宋体"/>
          <w:sz w:val="24"/>
        </w:rPr>
        <w:t>陕西省财政厅关于印发 《陕西省中小企业政府采购信用融资办法》（陕财办采</w:t>
      </w:r>
    </w:p>
    <w:p w14:paraId="5692ACEA">
      <w:pPr>
        <w:pStyle w:val="72"/>
        <w:numPr>
          <w:ilvl w:val="0"/>
          <w:numId w:val="0"/>
        </w:numPr>
        <w:tabs>
          <w:tab w:val="left" w:pos="660"/>
        </w:tabs>
        <w:spacing w:before="5" w:after="0" w:line="396" w:lineRule="auto"/>
        <w:ind w:right="70" w:rightChars="0"/>
        <w:jc w:val="left"/>
        <w:rPr>
          <w:rFonts w:hint="eastAsia" w:ascii="宋体" w:hAnsi="宋体" w:eastAsia="宋体" w:cs="宋体"/>
          <w:sz w:val="24"/>
        </w:rPr>
      </w:pPr>
      <w:r>
        <w:rPr>
          <w:rFonts w:hint="eastAsia" w:ascii="宋体" w:hAnsi="宋体" w:eastAsia="宋体" w:cs="宋体"/>
          <w:sz w:val="24"/>
        </w:rPr>
        <w:t>[2018]23 号）为支持和促进中小企业发展，进一步发挥政府采购政策功能作用，有效缓解中小企业融资难等问题，根据财政部财库【2011】124号文件的精神，陕西省财政厅制订了（陕西省财政厅关于印发《陕西省中小企业政府采购信用融资办法》）陕财办采〔2018〕23号，为参与陕西省政府采购项目的投标供应商提供政府采购信用担保，并按照程序确定了合作的担保机构。投标供应商在缴纳投标保证金时可自愿选择通过担保机构保函的形式缴纳；中标投标供应商如果需要融资贷款服务的，可凭成交通知书、政府采购合同等相关资料，按照《陕西省财政厅关于印发</w:t>
      </w:r>
      <w:r>
        <w:rPr>
          <w:rFonts w:hint="eastAsia" w:cs="宋体"/>
          <w:sz w:val="24"/>
          <w:lang w:eastAsia="zh-CN"/>
        </w:rPr>
        <w:t>〈</w:t>
      </w:r>
      <w:r>
        <w:rPr>
          <w:rFonts w:hint="eastAsia" w:ascii="宋体" w:hAnsi="宋体" w:eastAsia="宋体" w:cs="宋体"/>
          <w:sz w:val="24"/>
        </w:rPr>
        <w:t>陕西省中小企业政府采购信用融资办法</w:t>
      </w:r>
      <w:r>
        <w:rPr>
          <w:rFonts w:hint="eastAsia" w:cs="宋体"/>
          <w:sz w:val="24"/>
          <w:lang w:eastAsia="zh-CN"/>
        </w:rPr>
        <w:t>〉</w:t>
      </w:r>
      <w:r>
        <w:rPr>
          <w:rFonts w:hint="eastAsia" w:ascii="宋体" w:hAnsi="宋体" w:eastAsia="宋体" w:cs="宋体"/>
          <w:sz w:val="24"/>
        </w:rPr>
        <w:t>的通知》（陕财办采〔2018〕23号）相关政策、业务流程、办理平</w:t>
      </w:r>
      <w:r>
        <w:rPr>
          <w:rFonts w:hint="eastAsia" w:ascii="宋体" w:hAnsi="宋体" w:eastAsia="宋体" w:cs="宋体"/>
          <w:sz w:val="24"/>
          <w:lang w:eastAsia="zh-CN"/>
        </w:rPr>
        <w:t>台</w:t>
      </w:r>
      <w:r>
        <w:rPr>
          <w:rFonts w:hint="eastAsia" w:ascii="宋体" w:hAnsi="宋体" w:eastAsia="宋体" w:cs="宋体"/>
          <w:sz w:val="24"/>
        </w:rPr>
        <w:t>（http://www.ccgpshaanxi.gov.cn/zcdservice/zcd/shanxi/）的程序办理</w:t>
      </w:r>
    </w:p>
    <w:p w14:paraId="4147C5FB">
      <w:pPr>
        <w:pStyle w:val="72"/>
        <w:numPr>
          <w:ilvl w:val="0"/>
          <w:numId w:val="0"/>
        </w:numPr>
        <w:tabs>
          <w:tab w:val="left" w:pos="1334"/>
        </w:tabs>
        <w:spacing w:before="5" w:after="0" w:line="240" w:lineRule="auto"/>
        <w:ind w:right="0" w:rightChars="0" w:firstLine="480" w:firstLineChars="200"/>
        <w:jc w:val="left"/>
        <w:rPr>
          <w:rFonts w:hint="eastAsia" w:ascii="宋体" w:hAnsi="宋体" w:eastAsia="宋体" w:cs="宋体"/>
          <w:sz w:val="24"/>
        </w:rPr>
      </w:pPr>
      <w:r>
        <w:rPr>
          <w:rFonts w:hint="eastAsia" w:cs="宋体"/>
          <w:sz w:val="24"/>
          <w:lang w:val="en-US" w:eastAsia="zh-CN"/>
        </w:rPr>
        <w:t>21</w:t>
      </w:r>
      <w:r>
        <w:rPr>
          <w:rFonts w:hint="eastAsia" w:ascii="宋体" w:hAnsi="宋体" w:eastAsia="宋体" w:cs="宋体"/>
          <w:sz w:val="24"/>
        </w:rPr>
        <w:t>、供应商应如实提供以上证明文件，如存在虚假响应，将取消其</w:t>
      </w:r>
      <w:r>
        <w:rPr>
          <w:rFonts w:hint="eastAsia" w:ascii="宋体" w:hAnsi="宋体" w:eastAsia="宋体" w:cs="宋体"/>
          <w:sz w:val="24"/>
          <w:lang w:eastAsia="zh-CN"/>
        </w:rPr>
        <w:t>招标</w:t>
      </w:r>
      <w:r>
        <w:rPr>
          <w:rFonts w:hint="eastAsia" w:ascii="宋体" w:hAnsi="宋体" w:eastAsia="宋体" w:cs="宋体"/>
          <w:sz w:val="24"/>
        </w:rPr>
        <w:t>资格。</w:t>
      </w:r>
    </w:p>
    <w:p w14:paraId="22D763B4">
      <w:pPr>
        <w:pStyle w:val="10"/>
        <w:spacing w:before="202" w:line="398" w:lineRule="auto"/>
        <w:ind w:right="70" w:rightChars="0"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en-US" w:eastAsia="zh-CN" w:bidi="zh-CN"/>
        </w:rPr>
        <w:t>22</w:t>
      </w:r>
      <w:r>
        <w:rPr>
          <w:rFonts w:hint="eastAsia" w:ascii="宋体" w:hAnsi="宋体" w:eastAsia="宋体" w:cs="宋体"/>
          <w:kern w:val="2"/>
          <w:sz w:val="24"/>
          <w:szCs w:val="22"/>
          <w:lang w:val="zh-CN" w:eastAsia="zh-CN" w:bidi="zh-CN"/>
        </w:rPr>
        <w:t>、推荐成交候选供应商名单：招标小组根据以上内容进行综合比较，自主打分，由高到低进行汇总排序，推荐出成交候选单位。招标小组依据评审结果写出评审报告。</w:t>
      </w:r>
    </w:p>
    <w:p w14:paraId="73254059">
      <w:pPr>
        <w:pStyle w:val="4"/>
        <w:spacing w:line="307" w:lineRule="exact"/>
        <w:rPr>
          <w:rFonts w:hint="eastAsia" w:ascii="Times New Roman" w:hAnsi="Times New Roman" w:eastAsia="宋体" w:cs="宋体"/>
          <w:b/>
          <w:kern w:val="2"/>
          <w:sz w:val="21"/>
          <w:szCs w:val="24"/>
          <w:lang w:val="zh-CN" w:eastAsia="zh-CN" w:bidi="ar-SA"/>
        </w:rPr>
      </w:pPr>
      <w:bookmarkStart w:id="7" w:name="_Toc17722"/>
      <w:r>
        <w:rPr>
          <w:rFonts w:hint="eastAsia" w:ascii="Times New Roman" w:hAnsi="Times New Roman" w:eastAsia="宋体" w:cs="宋体"/>
          <w:b/>
          <w:kern w:val="2"/>
          <w:sz w:val="21"/>
          <w:szCs w:val="24"/>
          <w:lang w:val="zh-CN" w:eastAsia="zh-CN" w:bidi="ar-SA"/>
        </w:rPr>
        <w:t>四、确定成交单位</w:t>
      </w:r>
      <w:bookmarkEnd w:id="7"/>
    </w:p>
    <w:p w14:paraId="34EA4530">
      <w:pPr>
        <w:pStyle w:val="10"/>
        <w:spacing w:before="202" w:line="398" w:lineRule="auto"/>
        <w:ind w:right="70" w:rightChars="0" w:firstLine="420" w:firstLineChars="200"/>
        <w:rPr>
          <w:rFonts w:hint="eastAsia" w:ascii="宋体" w:hAnsi="宋体" w:eastAsia="宋体" w:cs="宋体"/>
          <w:kern w:val="2"/>
          <w:sz w:val="24"/>
          <w:szCs w:val="22"/>
          <w:lang w:val="zh-CN" w:eastAsia="zh-CN" w:bidi="zh-CN"/>
        </w:rPr>
      </w:pPr>
      <w:r>
        <w:rPr>
          <w:rFonts w:hint="eastAsia" w:ascii="宋体" w:hAnsi="宋体" w:eastAsia="宋体" w:cs="宋体"/>
        </w:rPr>
        <w:t>1</w:t>
      </w:r>
      <w:r>
        <w:rPr>
          <w:rFonts w:hint="eastAsia" w:ascii="宋体" w:hAnsi="宋体" w:eastAsia="宋体" w:cs="宋体"/>
          <w:kern w:val="2"/>
          <w:sz w:val="24"/>
          <w:szCs w:val="22"/>
          <w:lang w:val="zh-CN" w:eastAsia="zh-CN" w:bidi="zh-CN"/>
        </w:rPr>
        <w:t>、采购代理机构应在评审结束后两个工作日内，将评审报告送采购人确定成交单位。</w:t>
      </w:r>
    </w:p>
    <w:p w14:paraId="548A3C54">
      <w:pPr>
        <w:pStyle w:val="10"/>
        <w:spacing w:before="202" w:line="398" w:lineRule="auto"/>
        <w:ind w:right="70" w:rightChars="0"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2、采购人在收到评审报告后五个工作日内，根据评审报告对评审过程及结果进行严格审核后确定成交供应商，复函采购代理机构。</w:t>
      </w:r>
    </w:p>
    <w:p w14:paraId="0D4B4154">
      <w:pPr>
        <w:pStyle w:val="10"/>
        <w:spacing w:before="202" w:line="398" w:lineRule="auto"/>
        <w:ind w:right="70" w:rightChars="0"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3、采购代理机构在接到采购人的成交复函后，在财政部门指定的政府采购信息发布媒体上发布成交公告，公告期限为一个工作日，并向成交供应商发出“中标通知书”。</w:t>
      </w:r>
    </w:p>
    <w:p w14:paraId="477D9F9A">
      <w:pPr>
        <w:pStyle w:val="10"/>
        <w:spacing w:before="202" w:line="398" w:lineRule="auto"/>
        <w:ind w:right="70" w:rightChars="0"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4、采购代理机构将评审过程及成交供应商情况书面报监督机构备案。</w:t>
      </w:r>
    </w:p>
    <w:p w14:paraId="04502721">
      <w:pPr>
        <w:pStyle w:val="10"/>
        <w:spacing w:line="398" w:lineRule="auto"/>
        <w:ind w:right="2671" w:firstLine="422" w:firstLineChars="200"/>
        <w:rPr>
          <w:rFonts w:hint="eastAsia" w:ascii="宋体" w:hAnsi="宋体" w:eastAsia="宋体" w:cs="宋体"/>
          <w:b/>
          <w:lang w:eastAsia="zh-CN"/>
        </w:rPr>
      </w:pPr>
      <w:r>
        <w:rPr>
          <w:rFonts w:hint="eastAsia" w:ascii="宋体" w:hAnsi="宋体" w:cs="宋体"/>
          <w:b/>
          <w:lang w:eastAsia="zh-CN"/>
        </w:rPr>
        <w:t>五</w:t>
      </w:r>
      <w:r>
        <w:rPr>
          <w:rFonts w:hint="eastAsia" w:ascii="宋体" w:hAnsi="宋体" w:eastAsia="宋体" w:cs="宋体"/>
          <w:b/>
        </w:rPr>
        <w:t>、</w:t>
      </w:r>
      <w:r>
        <w:rPr>
          <w:rFonts w:hint="eastAsia" w:cs="宋体"/>
          <w:b/>
          <w:lang w:eastAsia="zh-CN"/>
        </w:rPr>
        <w:t>质疑与投诉</w:t>
      </w:r>
    </w:p>
    <w:p w14:paraId="1BDCD93B">
      <w:pPr>
        <w:pStyle w:val="10"/>
        <w:keepNext w:val="0"/>
        <w:keepLines w:val="0"/>
        <w:pageBreakBefore w:val="0"/>
        <w:widowControl w:val="0"/>
        <w:kinsoku/>
        <w:wordWrap/>
        <w:overflowPunct/>
        <w:topLinePunct w:val="0"/>
        <w:autoSpaceDE w:val="0"/>
        <w:autoSpaceDN w:val="0"/>
        <w:bidi w:val="0"/>
        <w:adjustRightInd/>
        <w:snapToGrid/>
        <w:spacing w:line="307" w:lineRule="exact"/>
        <w:ind w:firstLine="476" w:firstLineChars="200"/>
        <w:textAlignment w:val="auto"/>
        <w:rPr>
          <w:rFonts w:hint="eastAsia" w:ascii="宋体" w:hAnsi="宋体" w:eastAsia="宋体" w:cs="宋体"/>
          <w:spacing w:val="-1"/>
          <w:kern w:val="2"/>
          <w:sz w:val="24"/>
          <w:szCs w:val="22"/>
          <w:lang w:val="zh-CN" w:eastAsia="zh-CN" w:bidi="zh-CN"/>
        </w:rPr>
      </w:pPr>
      <w:r>
        <w:rPr>
          <w:rFonts w:hint="eastAsia" w:ascii="宋体" w:hAnsi="宋体" w:eastAsia="宋体" w:cs="宋体"/>
          <w:spacing w:val="-1"/>
          <w:kern w:val="2"/>
          <w:sz w:val="24"/>
          <w:szCs w:val="22"/>
          <w:lang w:val="zh-CN" w:eastAsia="zh-CN" w:bidi="zh-CN"/>
        </w:rPr>
        <w:t>1、供应商对政府采购活动事项有疑问的，可以向采购人、采购代理机构提出询问。</w:t>
      </w:r>
    </w:p>
    <w:p w14:paraId="03557434">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76" w:firstLineChars="200"/>
        <w:textAlignment w:val="auto"/>
        <w:rPr>
          <w:rFonts w:hint="eastAsia" w:ascii="宋体" w:hAnsi="宋体" w:eastAsia="宋体" w:cs="宋体"/>
          <w:spacing w:val="-1"/>
          <w:kern w:val="2"/>
          <w:sz w:val="24"/>
          <w:szCs w:val="22"/>
          <w:lang w:val="zh-CN" w:eastAsia="zh-CN" w:bidi="zh-CN"/>
        </w:rPr>
      </w:pPr>
      <w:r>
        <w:rPr>
          <w:rFonts w:hint="eastAsia" w:ascii="宋体" w:hAnsi="宋体" w:eastAsia="宋体" w:cs="宋体"/>
          <w:spacing w:val="-1"/>
          <w:kern w:val="2"/>
          <w:sz w:val="24"/>
          <w:szCs w:val="22"/>
          <w:lang w:val="zh-CN" w:eastAsia="zh-CN" w:bidi="zh-CN"/>
        </w:rPr>
        <w:t>2、供应商认为采购文件、采购过程、中标或者成交结果使自己的权益受到损害的，可以在知道或者应知其权益受到损害之日起 7 个工作日内，以书面形式向采购代理机构提出质疑。</w:t>
      </w:r>
    </w:p>
    <w:p w14:paraId="11B70E8A">
      <w:pPr>
        <w:pStyle w:val="10"/>
        <w:keepNext w:val="0"/>
        <w:keepLines w:val="0"/>
        <w:pageBreakBefore w:val="0"/>
        <w:widowControl w:val="0"/>
        <w:kinsoku/>
        <w:wordWrap/>
        <w:overflowPunct/>
        <w:topLinePunct w:val="0"/>
        <w:autoSpaceDE w:val="0"/>
        <w:autoSpaceDN w:val="0"/>
        <w:bidi w:val="0"/>
        <w:adjustRightInd/>
        <w:snapToGrid/>
        <w:spacing w:before="6"/>
        <w:ind w:firstLine="476" w:firstLineChars="200"/>
        <w:textAlignment w:val="auto"/>
        <w:rPr>
          <w:rFonts w:hint="eastAsia" w:ascii="宋体" w:hAnsi="宋体" w:eastAsia="宋体" w:cs="宋体"/>
          <w:spacing w:val="-1"/>
          <w:kern w:val="2"/>
          <w:sz w:val="24"/>
          <w:szCs w:val="22"/>
          <w:lang w:val="zh-CN" w:eastAsia="zh-CN" w:bidi="zh-CN"/>
        </w:rPr>
      </w:pPr>
      <w:r>
        <w:rPr>
          <w:rFonts w:hint="eastAsia" w:ascii="宋体" w:hAnsi="宋体" w:eastAsia="宋体" w:cs="宋体"/>
          <w:spacing w:val="-1"/>
          <w:kern w:val="2"/>
          <w:sz w:val="24"/>
          <w:szCs w:val="22"/>
          <w:lang w:val="zh-CN" w:eastAsia="zh-CN" w:bidi="zh-CN"/>
        </w:rPr>
        <w:t>3、供应商在法定质疑期内须一次性提出针对同一采购程序环节的质疑。</w:t>
      </w:r>
    </w:p>
    <w:p w14:paraId="13224C6A">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76" w:firstLineChars="200"/>
        <w:textAlignment w:val="auto"/>
        <w:rPr>
          <w:rFonts w:hint="eastAsia" w:ascii="宋体" w:hAnsi="宋体" w:eastAsia="宋体" w:cs="宋体"/>
          <w:spacing w:val="-1"/>
          <w:kern w:val="2"/>
          <w:sz w:val="24"/>
          <w:szCs w:val="22"/>
          <w:lang w:val="zh-CN" w:eastAsia="zh-CN" w:bidi="zh-CN"/>
        </w:rPr>
      </w:pPr>
      <w:r>
        <w:rPr>
          <w:rFonts w:hint="eastAsia" w:ascii="宋体" w:hAnsi="宋体" w:eastAsia="宋体" w:cs="宋体"/>
          <w:spacing w:val="-1"/>
          <w:kern w:val="2"/>
          <w:sz w:val="24"/>
          <w:szCs w:val="22"/>
          <w:lang w:val="zh-CN" w:eastAsia="zh-CN" w:bidi="zh-CN"/>
        </w:rPr>
        <w:t>4、供应商提出质疑应当提交质疑函和必要的证明材料。接收质疑函的方式：书面递交质疑函纸质版（当面递交）或 PDF 格式扫描件（发至电子邮箱），业务受理时间为工作日的08:</w:t>
      </w:r>
      <w:r>
        <w:rPr>
          <w:rFonts w:hint="eastAsia" w:ascii="宋体" w:hAnsi="宋体" w:eastAsia="宋体" w:cs="宋体"/>
          <w:spacing w:val="-1"/>
          <w:kern w:val="2"/>
          <w:sz w:val="24"/>
          <w:szCs w:val="22"/>
          <w:lang w:val="en-US" w:eastAsia="zh-CN" w:bidi="zh-CN"/>
        </w:rPr>
        <w:t>0</w:t>
      </w:r>
      <w:r>
        <w:rPr>
          <w:rFonts w:hint="eastAsia" w:ascii="宋体" w:hAnsi="宋体" w:eastAsia="宋体" w:cs="宋体"/>
          <w:spacing w:val="-1"/>
          <w:kern w:val="2"/>
          <w:sz w:val="24"/>
          <w:szCs w:val="22"/>
          <w:lang w:val="zh-CN" w:eastAsia="zh-CN" w:bidi="zh-CN"/>
        </w:rPr>
        <w:t>0 至 17:30。质疑函应当包括下列内容：</w:t>
      </w:r>
    </w:p>
    <w:p w14:paraId="060BC394">
      <w:pPr>
        <w:pStyle w:val="72"/>
        <w:numPr>
          <w:ilvl w:val="0"/>
          <w:numId w:val="0"/>
        </w:numPr>
        <w:tabs>
          <w:tab w:val="left" w:pos="660"/>
        </w:tabs>
        <w:spacing w:before="5" w:after="0" w:line="396" w:lineRule="auto"/>
        <w:ind w:right="70" w:rightChars="0"/>
        <w:jc w:val="left"/>
        <w:rPr>
          <w:rFonts w:hint="eastAsia" w:ascii="宋体" w:hAnsi="宋体" w:eastAsia="宋体" w:cs="宋体"/>
          <w:sz w:val="24"/>
          <w:lang w:val="zh-CN" w:eastAsia="zh-CN"/>
        </w:rPr>
      </w:pPr>
      <w:r>
        <w:rPr>
          <w:rFonts w:hint="eastAsia" w:ascii="宋体" w:hAnsi="宋体" w:eastAsia="宋体" w:cs="宋体"/>
          <w:sz w:val="24"/>
          <w:lang w:val="zh-CN" w:eastAsia="zh-CN"/>
        </w:rPr>
        <w:t>①、供应商的姓名或者名称、地址、邮编、联系人及联系电话；</w:t>
      </w:r>
    </w:p>
    <w:p w14:paraId="6A2DC45A">
      <w:pPr>
        <w:pStyle w:val="72"/>
        <w:numPr>
          <w:ilvl w:val="0"/>
          <w:numId w:val="0"/>
        </w:numPr>
        <w:tabs>
          <w:tab w:val="left" w:pos="660"/>
        </w:tabs>
        <w:spacing w:before="5" w:after="0" w:line="396" w:lineRule="auto"/>
        <w:ind w:right="70" w:rightChars="0"/>
        <w:jc w:val="left"/>
        <w:rPr>
          <w:rFonts w:hint="eastAsia" w:ascii="宋体" w:hAnsi="宋体" w:eastAsia="宋体" w:cs="宋体"/>
          <w:sz w:val="24"/>
          <w:lang w:val="zh-CN" w:eastAsia="zh-CN"/>
        </w:rPr>
      </w:pPr>
      <w:r>
        <w:rPr>
          <w:rFonts w:hint="eastAsia" w:ascii="宋体" w:hAnsi="宋体" w:eastAsia="宋体" w:cs="宋体"/>
          <w:sz w:val="24"/>
          <w:lang w:val="zh-CN" w:eastAsia="zh-CN"/>
        </w:rPr>
        <w:t>②、质疑项目的名称、编号；</w:t>
      </w:r>
    </w:p>
    <w:p w14:paraId="723FEC26">
      <w:pPr>
        <w:pStyle w:val="72"/>
        <w:numPr>
          <w:ilvl w:val="0"/>
          <w:numId w:val="0"/>
        </w:numPr>
        <w:tabs>
          <w:tab w:val="left" w:pos="660"/>
        </w:tabs>
        <w:spacing w:before="5" w:after="0" w:line="396" w:lineRule="auto"/>
        <w:ind w:right="70" w:rightChars="0"/>
        <w:jc w:val="left"/>
        <w:rPr>
          <w:rFonts w:hint="eastAsia" w:ascii="宋体" w:hAnsi="宋体" w:eastAsia="宋体" w:cs="宋体"/>
          <w:sz w:val="24"/>
          <w:lang w:val="zh-CN" w:eastAsia="zh-CN"/>
        </w:rPr>
      </w:pPr>
      <w:r>
        <w:rPr>
          <w:rFonts w:hint="eastAsia" w:ascii="宋体" w:hAnsi="宋体" w:eastAsia="宋体" w:cs="宋体"/>
          <w:sz w:val="24"/>
          <w:lang w:val="zh-CN" w:eastAsia="zh-CN"/>
        </w:rPr>
        <w:t>③、具体、明确的质疑事项和与质疑事项相关的请求；</w:t>
      </w:r>
    </w:p>
    <w:p w14:paraId="27D816C1">
      <w:pPr>
        <w:pStyle w:val="72"/>
        <w:numPr>
          <w:ilvl w:val="0"/>
          <w:numId w:val="0"/>
        </w:numPr>
        <w:tabs>
          <w:tab w:val="left" w:pos="660"/>
        </w:tabs>
        <w:spacing w:before="5" w:after="0" w:line="396" w:lineRule="auto"/>
        <w:ind w:right="70" w:rightChars="0"/>
        <w:jc w:val="left"/>
        <w:rPr>
          <w:rFonts w:hint="eastAsia" w:ascii="宋体" w:hAnsi="宋体" w:eastAsia="宋体" w:cs="宋体"/>
          <w:sz w:val="24"/>
          <w:lang w:val="zh-CN" w:eastAsia="zh-CN"/>
        </w:rPr>
      </w:pPr>
      <w:r>
        <w:rPr>
          <w:rFonts w:hint="eastAsia" w:ascii="宋体" w:hAnsi="宋体" w:eastAsia="宋体" w:cs="宋体"/>
          <w:sz w:val="24"/>
          <w:lang w:val="zh-CN" w:eastAsia="zh-CN"/>
        </w:rPr>
        <w:t>④、事实依据；</w:t>
      </w:r>
    </w:p>
    <w:p w14:paraId="3BEB7F57">
      <w:pPr>
        <w:pStyle w:val="72"/>
        <w:numPr>
          <w:ilvl w:val="0"/>
          <w:numId w:val="0"/>
        </w:numPr>
        <w:tabs>
          <w:tab w:val="left" w:pos="660"/>
        </w:tabs>
        <w:spacing w:before="5" w:after="0" w:line="396" w:lineRule="auto"/>
        <w:ind w:right="70" w:rightChars="0"/>
        <w:jc w:val="left"/>
        <w:rPr>
          <w:rFonts w:hint="eastAsia" w:ascii="宋体" w:hAnsi="宋体" w:eastAsia="宋体" w:cs="宋体"/>
          <w:sz w:val="24"/>
          <w:lang w:val="zh-CN" w:eastAsia="zh-CN"/>
        </w:rPr>
      </w:pPr>
      <w:r>
        <w:rPr>
          <w:rFonts w:hint="eastAsia" w:ascii="宋体" w:hAnsi="宋体" w:eastAsia="宋体" w:cs="宋体"/>
          <w:sz w:val="24"/>
          <w:lang w:val="zh-CN" w:eastAsia="zh-CN"/>
        </w:rPr>
        <w:t>⑤、必要的法律依据；</w:t>
      </w:r>
    </w:p>
    <w:p w14:paraId="768CE324">
      <w:pPr>
        <w:pStyle w:val="72"/>
        <w:numPr>
          <w:ilvl w:val="0"/>
          <w:numId w:val="0"/>
        </w:numPr>
        <w:tabs>
          <w:tab w:val="left" w:pos="660"/>
        </w:tabs>
        <w:spacing w:before="5" w:after="0" w:line="396" w:lineRule="auto"/>
        <w:ind w:right="70" w:rightChars="0"/>
        <w:jc w:val="left"/>
        <w:rPr>
          <w:rFonts w:hint="eastAsia" w:ascii="宋体" w:hAnsi="宋体" w:eastAsia="宋体" w:cs="宋体"/>
          <w:sz w:val="24"/>
          <w:lang w:val="zh-CN" w:eastAsia="zh-CN"/>
        </w:rPr>
      </w:pPr>
      <w:r>
        <w:rPr>
          <w:rFonts w:hint="eastAsia" w:ascii="宋体" w:hAnsi="宋体" w:eastAsia="宋体" w:cs="宋体"/>
          <w:sz w:val="24"/>
          <w:lang w:val="zh-CN" w:eastAsia="zh-CN"/>
        </w:rPr>
        <w:t>⑥、提出质疑的日期。</w:t>
      </w:r>
    </w:p>
    <w:p w14:paraId="32613DA8">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rPr>
      </w:pPr>
      <w:r>
        <w:rPr>
          <w:rFonts w:hint="eastAsia" w:ascii="宋体" w:hAnsi="宋体" w:eastAsia="宋体" w:cs="宋体"/>
          <w:sz w:val="24"/>
          <w:lang w:val="en-US" w:eastAsia="zh-CN"/>
        </w:rPr>
        <w:t>4.2、</w:t>
      </w:r>
      <w:r>
        <w:rPr>
          <w:rFonts w:hint="eastAsia" w:ascii="宋体" w:hAnsi="宋体" w:eastAsia="宋体" w:cs="宋体"/>
          <w:sz w:val="24"/>
        </w:rPr>
        <w:t>供应商为自然人的，应当由本人签字；供应商为法人或者其他组织的，应当由法定代表人、主要负责人，或者其授权代表签字或者盖章，并加盖公章。</w:t>
      </w:r>
    </w:p>
    <w:p w14:paraId="0FE89654">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 xml:space="preserve"> </w:t>
      </w:r>
      <w:r>
        <w:rPr>
          <w:rFonts w:hint="eastAsia" w:ascii="宋体" w:hAnsi="宋体" w:eastAsia="宋体" w:cs="宋体"/>
          <w:sz w:val="24"/>
          <w:lang w:val="en-US" w:eastAsia="zh-CN"/>
        </w:rPr>
        <w:t>4.3、</w:t>
      </w:r>
      <w:r>
        <w:rPr>
          <w:rFonts w:hint="eastAsia" w:ascii="宋体" w:hAnsi="宋体" w:eastAsia="宋体" w:cs="宋体"/>
          <w:sz w:val="24"/>
          <w:lang w:val="zh-CN" w:eastAsia="zh-CN"/>
        </w:rPr>
        <w:t>有下列情形之一的，属于无效质疑：</w:t>
      </w:r>
    </w:p>
    <w:p w14:paraId="1CD1252D">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①质疑人不是参与本次政府采购项目的服务商或潜在服务商；</w:t>
      </w:r>
    </w:p>
    <w:p w14:paraId="390D574F">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②质疑人与质疑事项不存在利害关系的；</w:t>
      </w:r>
    </w:p>
    <w:p w14:paraId="279BFAE4">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③未在法定期限内提出质疑的；</w:t>
      </w:r>
    </w:p>
    <w:p w14:paraId="052F1DD3">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④质疑未以书面形式提出，或质疑函主要内容构成不完整的；</w:t>
      </w:r>
    </w:p>
    <w:p w14:paraId="781D2C97">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⑤质疑函没有合法有效地签字、盖章或授权的；</w:t>
      </w:r>
    </w:p>
    <w:p w14:paraId="777C95DD">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⑥以非法手段取得证据、材料的；</w:t>
      </w:r>
    </w:p>
    <w:p w14:paraId="78FFE4C9">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pacing w:val="-8"/>
          <w:sz w:val="24"/>
          <w:szCs w:val="22"/>
          <w:lang w:val="zh-CN" w:eastAsia="zh-CN" w:bidi="zh-CN"/>
        </w:rPr>
      </w:pPr>
      <w:r>
        <w:rPr>
          <w:rFonts w:hint="eastAsia" w:ascii="宋体" w:hAnsi="宋体" w:eastAsia="宋体" w:cs="宋体"/>
          <w:sz w:val="24"/>
          <w:lang w:val="zh-CN" w:eastAsia="zh-CN"/>
        </w:rPr>
        <w:t>⑦质疑答复后，同一质疑人就同一事项再次提出质疑的；</w:t>
      </w:r>
    </w:p>
    <w:p w14:paraId="049C6ECB">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⑧不符合法律法规、规章和政府采购监管机构规定的其他条件的。</w:t>
      </w:r>
    </w:p>
    <w:p w14:paraId="7731A70C">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符合要求的质疑，招标代理机构将予以受理并答复，具体联系方式如下：</w:t>
      </w:r>
    </w:p>
    <w:p w14:paraId="32150A0F">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 xml:space="preserve">联系人：阮荣清 </w:t>
      </w:r>
    </w:p>
    <w:p w14:paraId="3AE39492">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eastAsia" w:ascii="宋体" w:hAnsi="宋体" w:eastAsia="宋体" w:cs="宋体"/>
          <w:sz w:val="24"/>
          <w:lang w:val="zh-CN" w:eastAsia="zh-CN"/>
        </w:rPr>
        <w:t>联系电话：</w:t>
      </w:r>
      <w:r>
        <w:rPr>
          <w:rFonts w:hint="eastAsia" w:ascii="宋体" w:hAnsi="宋体" w:eastAsia="宋体" w:cs="宋体"/>
          <w:sz w:val="24"/>
          <w:lang w:val="en-US" w:eastAsia="zh-CN"/>
        </w:rPr>
        <w:t>14729153054</w:t>
      </w:r>
    </w:p>
    <w:p w14:paraId="29719EA4">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en-US" w:eastAsia="zh-CN"/>
        </w:rPr>
        <w:t>邮箱：</w:t>
      </w:r>
      <w:r>
        <w:rPr>
          <w:rFonts w:hint="eastAsia" w:ascii="宋体" w:hAnsi="宋体" w:eastAsia="宋体" w:cs="宋体"/>
          <w:sz w:val="24"/>
          <w:lang w:val="zh-CN" w:eastAsia="zh-CN"/>
        </w:rPr>
        <w:fldChar w:fldCharType="begin"/>
      </w:r>
      <w:r>
        <w:rPr>
          <w:rFonts w:hint="eastAsia" w:ascii="宋体" w:hAnsi="宋体" w:eastAsia="宋体" w:cs="宋体"/>
          <w:sz w:val="24"/>
          <w:lang w:val="zh-CN" w:eastAsia="zh-CN"/>
        </w:rPr>
        <w:instrText xml:space="preserve"> HYPERLINK "mailto:1220423717@qq.com" \h </w:instrText>
      </w:r>
      <w:r>
        <w:rPr>
          <w:rFonts w:hint="eastAsia" w:ascii="宋体" w:hAnsi="宋体" w:eastAsia="宋体" w:cs="宋体"/>
          <w:sz w:val="24"/>
          <w:lang w:val="zh-CN" w:eastAsia="zh-CN"/>
        </w:rPr>
        <w:fldChar w:fldCharType="separate"/>
      </w:r>
      <w:r>
        <w:rPr>
          <w:rFonts w:hint="eastAsia" w:ascii="宋体" w:hAnsi="宋体" w:eastAsia="宋体" w:cs="宋体"/>
          <w:sz w:val="24"/>
          <w:lang w:val="en-US" w:eastAsia="zh-CN"/>
        </w:rPr>
        <w:t>1607152989</w:t>
      </w:r>
      <w:r>
        <w:rPr>
          <w:rFonts w:hint="eastAsia" w:ascii="宋体" w:hAnsi="宋体" w:eastAsia="宋体" w:cs="宋体"/>
          <w:sz w:val="24"/>
          <w:lang w:val="zh-CN" w:eastAsia="zh-CN"/>
        </w:rPr>
        <w:t>@qq.com</w:t>
      </w:r>
      <w:r>
        <w:rPr>
          <w:rFonts w:hint="eastAsia" w:ascii="宋体" w:hAnsi="宋体" w:eastAsia="宋体" w:cs="宋体"/>
          <w:sz w:val="24"/>
          <w:lang w:val="zh-CN" w:eastAsia="zh-CN"/>
        </w:rPr>
        <w:fldChar w:fldCharType="end"/>
      </w:r>
    </w:p>
    <w:p w14:paraId="62331C96">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地址：西安市雁塔区朱雀大街2号汇成天玺酒店C座11层</w:t>
      </w:r>
    </w:p>
    <w:p w14:paraId="21AB987C">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en-US" w:eastAsia="zh-CN"/>
        </w:rPr>
        <w:t>4.4、</w:t>
      </w:r>
      <w:r>
        <w:rPr>
          <w:rFonts w:hint="eastAsia" w:ascii="宋体" w:hAnsi="宋体" w:eastAsia="宋体" w:cs="宋体"/>
          <w:sz w:val="24"/>
          <w:lang w:val="zh-CN" w:eastAsia="zh-CN"/>
        </w:rPr>
        <w:t>供应商进行虚假和恶意质疑的，采购代理机构将提供相关资料报监督机构，按其情</w:t>
      </w:r>
    </w:p>
    <w:p w14:paraId="7DA9B332">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况进行相应处理。</w:t>
      </w:r>
    </w:p>
    <w:p w14:paraId="32CCFEA2">
      <w:pPr>
        <w:pStyle w:val="72"/>
        <w:keepNext w:val="0"/>
        <w:keepLines w:val="0"/>
        <w:pageBreakBefore w:val="0"/>
        <w:widowControl w:val="0"/>
        <w:numPr>
          <w:ilvl w:val="0"/>
          <w:numId w:val="3"/>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投诉</w:t>
      </w:r>
      <w:r>
        <w:rPr>
          <w:rFonts w:hint="default" w:ascii="宋体" w:hAnsi="宋体" w:eastAsia="宋体" w:cs="宋体"/>
          <w:sz w:val="24"/>
          <w:lang w:val="en-US" w:eastAsia="zh-CN"/>
        </w:rPr>
        <w:t>质疑供应商对采购人、采购代理机构的答复不满意，或者采购人、采购代理</w:t>
      </w:r>
    </w:p>
    <w:p w14:paraId="169B03AE">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机构未在规定时间内作出答复的，可以在答复期满后 15 个工作日内向同级财政部门提起投诉。</w:t>
      </w:r>
    </w:p>
    <w:p w14:paraId="6B24AF3D">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5.1、</w:t>
      </w:r>
      <w:r>
        <w:rPr>
          <w:rFonts w:hint="default" w:ascii="宋体" w:hAnsi="宋体" w:eastAsia="宋体" w:cs="宋体"/>
          <w:sz w:val="24"/>
          <w:lang w:val="en-US" w:eastAsia="zh-CN"/>
        </w:rPr>
        <w:t>投诉人投诉时</w:t>
      </w:r>
      <w:r>
        <w:rPr>
          <w:rFonts w:hint="eastAsia" w:ascii="宋体" w:hAnsi="宋体" w:eastAsia="宋体" w:cs="宋体"/>
          <w:sz w:val="24"/>
          <w:lang w:val="en-US" w:eastAsia="zh-CN"/>
        </w:rPr>
        <w:t>，</w:t>
      </w:r>
      <w:r>
        <w:rPr>
          <w:rFonts w:hint="default" w:ascii="宋体" w:hAnsi="宋体" w:eastAsia="宋体" w:cs="宋体"/>
          <w:sz w:val="24"/>
          <w:lang w:val="en-US" w:eastAsia="zh-CN"/>
        </w:rPr>
        <w:t>应当提交投诉书和必要的证明材料，并按照被投诉采购人、采购代理机构（以下简称被投诉人）和与投诉事项有关的供应商数量提供投诉书的副本。投诉书应当包括下列内容：</w:t>
      </w:r>
    </w:p>
    <w:p w14:paraId="25A67AAD">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① 投诉人和被投诉人的姓名或者名称、通讯地址、邮编、联系人及联系电话；</w:t>
      </w:r>
    </w:p>
    <w:p w14:paraId="274467A0">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② 质疑和质疑答复情况说明及相关证明材料；</w:t>
      </w:r>
    </w:p>
    <w:p w14:paraId="754CA180">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③ 具体、明确的投诉事项和与投诉事项相关的投诉请求；</w:t>
      </w:r>
    </w:p>
    <w:p w14:paraId="18C97682">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④ 事实依据；</w:t>
      </w:r>
    </w:p>
    <w:p w14:paraId="501C2241">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⑤ 法律依据；</w:t>
      </w:r>
    </w:p>
    <w:p w14:paraId="5AF0190C">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⑥ 提起投诉的日期。</w:t>
      </w:r>
    </w:p>
    <w:p w14:paraId="70DDD607">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5.2、</w:t>
      </w:r>
      <w:r>
        <w:rPr>
          <w:rFonts w:hint="default" w:ascii="宋体" w:hAnsi="宋体" w:eastAsia="宋体" w:cs="宋体"/>
          <w:sz w:val="24"/>
          <w:lang w:val="en-US" w:eastAsia="zh-CN"/>
        </w:rPr>
        <w:t>投诉人为自然人的，应当由本人签字；投诉人为法人或者其他组织的，应当由法定代表人、主要负责人，或者其授权代表签字或者盖章，并加盖公章。</w:t>
      </w:r>
    </w:p>
    <w:p w14:paraId="30DE0D1F">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5.3、</w:t>
      </w:r>
      <w:r>
        <w:rPr>
          <w:rFonts w:hint="default" w:ascii="宋体" w:hAnsi="宋体" w:eastAsia="宋体" w:cs="宋体"/>
          <w:sz w:val="24"/>
          <w:lang w:val="en-US" w:eastAsia="zh-CN"/>
        </w:rPr>
        <w:t>投诉人提起投诉应当符合下列条件：</w:t>
      </w:r>
    </w:p>
    <w:p w14:paraId="42FB0ED5">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① 提起投诉前已依法进行质疑；</w:t>
      </w:r>
    </w:p>
    <w:p w14:paraId="1CDDBD31">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② 投诉书内容符合《政府采购质疑和投诉办法》（财政部令第 94 号令）的规定；</w:t>
      </w:r>
    </w:p>
    <w:p w14:paraId="6E08823B">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③ 在投诉有效期限内提起投诉；</w:t>
      </w:r>
    </w:p>
    <w:p w14:paraId="2B34DEA7">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④ 同一投诉事项未经财政部门投诉处理；</w:t>
      </w:r>
    </w:p>
    <w:p w14:paraId="1C51B8F7">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⑤ 财政部规定的其他条件。</w:t>
      </w:r>
    </w:p>
    <w:p w14:paraId="2CAB60D2">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5.4、投诉联系方式</w:t>
      </w:r>
    </w:p>
    <w:p w14:paraId="384A2FE5">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投诉受理部门：石泉县财政局</w:t>
      </w:r>
    </w:p>
    <w:p w14:paraId="065622BB">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受理电话：0915-6321900</w:t>
      </w:r>
    </w:p>
    <w:p w14:paraId="2F105241">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地址：石泉县城关镇北街6号</w:t>
      </w:r>
    </w:p>
    <w:p w14:paraId="4893D8AF">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386" w:firstLineChars="200"/>
        <w:textAlignment w:val="auto"/>
        <w:rPr>
          <w:rFonts w:hint="eastAsia" w:ascii="宋体" w:hAnsi="宋体" w:eastAsia="宋体" w:cs="宋体"/>
          <w:b/>
          <w:bCs/>
          <w:spacing w:val="-9"/>
          <w:lang w:val="zh-CN" w:eastAsia="zh-CN"/>
        </w:rPr>
      </w:pPr>
      <w:r>
        <w:rPr>
          <w:rFonts w:hint="eastAsia" w:ascii="宋体" w:hAnsi="宋体" w:cs="宋体"/>
          <w:b/>
          <w:bCs/>
          <w:spacing w:val="-9"/>
          <w:lang w:val="zh-CN" w:eastAsia="zh-CN"/>
        </w:rPr>
        <w:t>六</w:t>
      </w:r>
      <w:r>
        <w:rPr>
          <w:rFonts w:hint="eastAsia" w:ascii="宋体" w:hAnsi="宋体" w:eastAsia="宋体" w:cs="宋体"/>
          <w:b/>
          <w:bCs/>
          <w:spacing w:val="-9"/>
          <w:lang w:val="zh-CN" w:eastAsia="zh-CN"/>
        </w:rPr>
        <w:t>、履约保证金：本项目无履约保证金</w:t>
      </w:r>
    </w:p>
    <w:p w14:paraId="51C16B9B">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386" w:firstLineChars="200"/>
        <w:textAlignment w:val="auto"/>
        <w:rPr>
          <w:rFonts w:hint="eastAsia" w:ascii="宋体" w:hAnsi="宋体" w:eastAsia="宋体" w:cs="宋体"/>
          <w:b/>
          <w:bCs/>
          <w:spacing w:val="-9"/>
          <w:lang w:val="zh-CN" w:eastAsia="zh-CN"/>
        </w:rPr>
      </w:pPr>
      <w:r>
        <w:rPr>
          <w:rFonts w:hint="eastAsia" w:ascii="宋体" w:hAnsi="宋体" w:cs="宋体"/>
          <w:b/>
          <w:bCs/>
          <w:spacing w:val="-9"/>
          <w:lang w:val="zh-CN" w:eastAsia="zh-CN"/>
        </w:rPr>
        <w:t>七</w:t>
      </w:r>
      <w:r>
        <w:rPr>
          <w:rFonts w:hint="eastAsia" w:ascii="宋体" w:hAnsi="宋体" w:eastAsia="宋体" w:cs="宋体"/>
          <w:b/>
          <w:bCs/>
          <w:spacing w:val="-9"/>
          <w:lang w:val="zh-CN" w:eastAsia="zh-CN"/>
        </w:rPr>
        <w:t>、合同</w:t>
      </w:r>
    </w:p>
    <w:p w14:paraId="4ABF2383">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1、自成交通知书发出后二十五日内，按照招标文件和成交供应商响应文件的约定，采购人与成交供应商洽谈合同条款，并签订合同。招标文件及成交供应商的响应文件均作为合同的组成部分。</w:t>
      </w:r>
    </w:p>
    <w:p w14:paraId="1CFEB9AB">
      <w:pPr>
        <w:pStyle w:val="10"/>
        <w:keepNext w:val="0"/>
        <w:keepLines w:val="0"/>
        <w:pageBreakBefore w:val="0"/>
        <w:widowControl w:val="0"/>
        <w:kinsoku/>
        <w:wordWrap/>
        <w:overflowPunct/>
        <w:topLinePunct w:val="0"/>
        <w:autoSpaceDE w:val="0"/>
        <w:autoSpaceDN w:val="0"/>
        <w:bidi w:val="0"/>
        <w:adjustRightInd/>
        <w:snapToGrid/>
        <w:spacing w:line="398" w:lineRule="auto"/>
        <w:ind w:right="70" w:rightChars="0" w:firstLine="480" w:firstLineChars="200"/>
        <w:jc w:val="both"/>
        <w:textAlignment w:val="auto"/>
        <w:rPr>
          <w:rFonts w:hint="eastAsia" w:ascii="宋体" w:hAnsi="宋体" w:eastAsia="宋体" w:cs="宋体"/>
          <w:kern w:val="2"/>
          <w:sz w:val="24"/>
          <w:szCs w:val="22"/>
          <w:lang w:val="en-US" w:eastAsia="zh-CN" w:bidi="zh-CN"/>
        </w:rPr>
      </w:pPr>
      <w:r>
        <w:rPr>
          <w:rFonts w:hint="eastAsia" w:ascii="宋体" w:hAnsi="宋体" w:eastAsia="宋体" w:cs="宋体"/>
          <w:kern w:val="2"/>
          <w:sz w:val="24"/>
          <w:szCs w:val="22"/>
          <w:lang w:val="en-US" w:eastAsia="zh-CN" w:bidi="zh-CN"/>
        </w:rPr>
        <w:t>2、确定成交单位后，成交供应商因自身原因未按程序签订合同，采购人将取消其成交资格，同时报请监督机构备案。在此情况下，采购人可按评审结果顺序将合同授予下一成交候选人或重新采购。</w:t>
      </w:r>
    </w:p>
    <w:p w14:paraId="5E242B06">
      <w:pPr>
        <w:pStyle w:val="4"/>
        <w:keepNext w:val="0"/>
        <w:keepLines w:val="0"/>
        <w:pageBreakBefore w:val="0"/>
        <w:widowControl w:val="0"/>
        <w:kinsoku/>
        <w:wordWrap/>
        <w:overflowPunct/>
        <w:topLinePunct w:val="0"/>
        <w:autoSpaceDE w:val="0"/>
        <w:autoSpaceDN w:val="0"/>
        <w:bidi w:val="0"/>
        <w:adjustRightInd/>
        <w:snapToGrid/>
        <w:spacing w:line="307" w:lineRule="exact"/>
        <w:ind w:left="0" w:leftChars="0" w:firstLine="480" w:firstLineChars="200"/>
        <w:textAlignment w:val="auto"/>
        <w:rPr>
          <w:rFonts w:hint="eastAsia" w:ascii="宋体" w:hAnsi="宋体" w:eastAsia="宋体" w:cs="宋体"/>
          <w:kern w:val="2"/>
          <w:sz w:val="24"/>
          <w:szCs w:val="22"/>
          <w:lang w:val="en-US" w:eastAsia="zh-CN" w:bidi="zh-CN"/>
        </w:rPr>
      </w:pPr>
      <w:bookmarkStart w:id="8" w:name="_Toc31736"/>
      <w:r>
        <w:rPr>
          <w:rFonts w:hint="eastAsia" w:ascii="宋体" w:hAnsi="宋体" w:eastAsia="宋体" w:cs="宋体"/>
          <w:kern w:val="2"/>
          <w:sz w:val="24"/>
          <w:szCs w:val="22"/>
          <w:lang w:val="en-US" w:eastAsia="zh-CN" w:bidi="zh-CN"/>
        </w:rPr>
        <w:t>八、成交服务费</w:t>
      </w:r>
      <w:bookmarkEnd w:id="8"/>
    </w:p>
    <w:p w14:paraId="0DE359E4">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1、成交供应商向采购代理机构支付服务费。</w:t>
      </w:r>
    </w:p>
    <w:p w14:paraId="5635B493">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2、服务费参照《国家计委关于印发〈招标代理服务收费管理暂行办法〉的通知》（审计价格[2002]1980 号）和国家发展和改革委员会办公厅颁发的《关于招标代理服务收费有关问题的通知》（发改办价格『2003』857 号）规定标准收取。</w:t>
      </w:r>
    </w:p>
    <w:p w14:paraId="739DD778">
      <w:pPr>
        <w:pStyle w:val="10"/>
        <w:keepNext w:val="0"/>
        <w:keepLines w:val="0"/>
        <w:pageBreakBefore w:val="0"/>
        <w:widowControl w:val="0"/>
        <w:kinsoku/>
        <w:wordWrap/>
        <w:overflowPunct/>
        <w:topLinePunct w:val="0"/>
        <w:autoSpaceDE w:val="0"/>
        <w:autoSpaceDN w:val="0"/>
        <w:bidi w:val="0"/>
        <w:adjustRightInd/>
        <w:snapToGrid/>
        <w:spacing w:before="203"/>
        <w:ind w:firstLine="480" w:firstLineChars="200"/>
        <w:textAlignment w:val="auto"/>
        <w:rPr>
          <w:rFonts w:hint="eastAsia" w:ascii="宋体" w:hAnsi="宋体" w:eastAsia="宋体" w:cs="宋体"/>
          <w:kern w:val="2"/>
          <w:sz w:val="24"/>
          <w:szCs w:val="22"/>
          <w:lang w:val="en-US" w:eastAsia="zh-CN" w:bidi="zh-CN"/>
        </w:rPr>
      </w:pPr>
      <w:r>
        <w:rPr>
          <w:rFonts w:hint="eastAsia" w:ascii="宋体" w:hAnsi="宋体" w:eastAsia="宋体" w:cs="宋体"/>
          <w:kern w:val="2"/>
          <w:sz w:val="24"/>
          <w:szCs w:val="22"/>
          <w:lang w:val="en-US" w:eastAsia="zh-CN" w:bidi="zh-CN"/>
        </w:rPr>
        <w:t>九、其他情况说明</w:t>
      </w:r>
    </w:p>
    <w:p w14:paraId="41D0B41B">
      <w:pPr>
        <w:pStyle w:val="10"/>
        <w:keepNext w:val="0"/>
        <w:keepLines w:val="0"/>
        <w:pageBreakBefore w:val="0"/>
        <w:widowControl w:val="0"/>
        <w:kinsoku/>
        <w:wordWrap/>
        <w:overflowPunct/>
        <w:topLinePunct w:val="0"/>
        <w:autoSpaceDE w:val="0"/>
        <w:autoSpaceDN w:val="0"/>
        <w:bidi w:val="0"/>
        <w:adjustRightInd/>
        <w:snapToGrid/>
        <w:spacing w:before="202" w:line="398" w:lineRule="auto"/>
        <w:ind w:right="70" w:rightChars="0" w:firstLine="480" w:firstLineChars="200"/>
        <w:jc w:val="both"/>
        <w:textAlignment w:val="auto"/>
        <w:rPr>
          <w:rFonts w:hint="eastAsia" w:ascii="宋体" w:hAnsi="宋体" w:eastAsia="宋体" w:cs="宋体"/>
          <w:kern w:val="2"/>
          <w:sz w:val="24"/>
          <w:szCs w:val="22"/>
          <w:lang w:val="en-US" w:eastAsia="zh-CN" w:bidi="zh-CN"/>
        </w:rPr>
      </w:pPr>
      <w:r>
        <w:rPr>
          <w:rFonts w:hint="eastAsia" w:ascii="宋体" w:hAnsi="宋体" w:eastAsia="宋体" w:cs="宋体"/>
          <w:kern w:val="2"/>
          <w:sz w:val="24"/>
          <w:szCs w:val="22"/>
          <w:lang w:val="en-US" w:eastAsia="zh-CN" w:bidi="zh-CN"/>
        </w:rPr>
        <w:t>招标截止时间结束后，递交响应文件或者经评审的实质性响应招标文件的供应商不足三家，采购代理机构请示监督机构后，终止招标活动或继续招标。</w:t>
      </w:r>
    </w:p>
    <w:p w14:paraId="02F79EC1">
      <w:pPr>
        <w:rPr>
          <w:rFonts w:hint="eastAsia" w:ascii="宋体" w:hAnsi="宋体" w:eastAsia="宋体" w:cs="宋体"/>
          <w:color w:val="auto"/>
        </w:rPr>
      </w:pPr>
    </w:p>
    <w:p w14:paraId="3677752F">
      <w:pPr>
        <w:rPr>
          <w:rFonts w:hint="eastAsia" w:ascii="宋体" w:hAnsi="宋体" w:eastAsia="宋体" w:cs="宋体"/>
          <w:color w:val="auto"/>
        </w:rPr>
      </w:pPr>
    </w:p>
    <w:p w14:paraId="5E598BD8">
      <w:pPr>
        <w:rPr>
          <w:rFonts w:hint="eastAsia" w:ascii="宋体" w:hAnsi="宋体" w:eastAsia="宋体" w:cs="宋体"/>
          <w:color w:val="auto"/>
        </w:rPr>
      </w:pPr>
    </w:p>
    <w:p w14:paraId="20D8868E">
      <w:pPr>
        <w:rPr>
          <w:rFonts w:hint="eastAsia" w:ascii="宋体" w:hAnsi="宋体" w:eastAsia="宋体" w:cs="宋体"/>
          <w:color w:val="auto"/>
        </w:rPr>
      </w:pPr>
    </w:p>
    <w:p w14:paraId="1B57CAE4">
      <w:pPr>
        <w:rPr>
          <w:rFonts w:hint="eastAsia" w:ascii="宋体" w:hAnsi="宋体" w:eastAsia="宋体" w:cs="宋体"/>
          <w:color w:val="auto"/>
        </w:rPr>
      </w:pPr>
    </w:p>
    <w:p w14:paraId="010FCEEB">
      <w:pPr>
        <w:rPr>
          <w:rFonts w:hint="eastAsia" w:ascii="宋体" w:hAnsi="宋体" w:eastAsia="宋体" w:cs="宋体"/>
          <w:color w:val="auto"/>
        </w:rPr>
      </w:pPr>
    </w:p>
    <w:p w14:paraId="5DF14D62">
      <w:pPr>
        <w:rPr>
          <w:rFonts w:hint="eastAsia" w:ascii="宋体" w:hAnsi="宋体" w:eastAsia="宋体" w:cs="宋体"/>
          <w:color w:val="auto"/>
        </w:rPr>
      </w:pPr>
    </w:p>
    <w:p w14:paraId="2F307DF0">
      <w:pPr>
        <w:rPr>
          <w:rFonts w:hint="eastAsia" w:ascii="宋体" w:hAnsi="宋体" w:eastAsia="宋体" w:cs="宋体"/>
          <w:color w:val="auto"/>
        </w:rPr>
      </w:pPr>
    </w:p>
    <w:p w14:paraId="38793706">
      <w:pPr>
        <w:rPr>
          <w:rFonts w:hint="eastAsia" w:ascii="宋体" w:hAnsi="宋体" w:eastAsia="宋体" w:cs="宋体"/>
          <w:color w:val="auto"/>
        </w:rPr>
      </w:pPr>
    </w:p>
    <w:p w14:paraId="0D9AA7EA">
      <w:pPr>
        <w:rPr>
          <w:rFonts w:hint="eastAsia" w:ascii="宋体" w:hAnsi="宋体" w:eastAsia="宋体" w:cs="宋体"/>
          <w:color w:val="auto"/>
        </w:rPr>
      </w:pPr>
    </w:p>
    <w:p w14:paraId="30245D4A">
      <w:pPr>
        <w:rPr>
          <w:rFonts w:hint="eastAsia" w:ascii="宋体" w:hAnsi="宋体" w:eastAsia="宋体" w:cs="宋体"/>
          <w:color w:val="auto"/>
        </w:rPr>
      </w:pPr>
    </w:p>
    <w:p w14:paraId="1F3A79E0">
      <w:pPr>
        <w:rPr>
          <w:rFonts w:hint="eastAsia" w:ascii="宋体" w:hAnsi="宋体" w:eastAsia="宋体" w:cs="宋体"/>
          <w:color w:val="auto"/>
        </w:rPr>
      </w:pPr>
    </w:p>
    <w:p w14:paraId="2DED0209">
      <w:pPr>
        <w:rPr>
          <w:rFonts w:hint="eastAsia" w:ascii="宋体" w:hAnsi="宋体" w:eastAsia="宋体" w:cs="宋体"/>
          <w:color w:val="auto"/>
        </w:rPr>
      </w:pPr>
    </w:p>
    <w:p w14:paraId="35E43D39">
      <w:pPr>
        <w:rPr>
          <w:rFonts w:hint="eastAsia" w:ascii="宋体" w:hAnsi="宋体" w:eastAsia="宋体" w:cs="宋体"/>
          <w:color w:val="auto"/>
        </w:rPr>
      </w:pPr>
    </w:p>
    <w:p w14:paraId="2BB2ECD4">
      <w:pPr>
        <w:rPr>
          <w:rFonts w:hint="eastAsia" w:ascii="宋体" w:hAnsi="宋体" w:eastAsia="宋体" w:cs="宋体"/>
          <w:color w:val="auto"/>
        </w:rPr>
      </w:pPr>
    </w:p>
    <w:p w14:paraId="351C980D">
      <w:pPr>
        <w:rPr>
          <w:rFonts w:hint="eastAsia" w:ascii="宋体" w:hAnsi="宋体" w:eastAsia="宋体" w:cs="宋体"/>
          <w:color w:val="auto"/>
        </w:rPr>
      </w:pPr>
    </w:p>
    <w:p w14:paraId="6941A2CE">
      <w:pPr>
        <w:rPr>
          <w:rFonts w:hint="eastAsia" w:ascii="宋体" w:hAnsi="宋体" w:eastAsia="宋体" w:cs="宋体"/>
          <w:color w:val="auto"/>
        </w:rPr>
      </w:pPr>
    </w:p>
    <w:p w14:paraId="08DD9B7B">
      <w:pPr>
        <w:rPr>
          <w:rFonts w:hint="eastAsia" w:ascii="宋体" w:hAnsi="宋体" w:eastAsia="宋体" w:cs="宋体"/>
          <w:color w:val="auto"/>
        </w:rPr>
      </w:pPr>
    </w:p>
    <w:p w14:paraId="74D10D19">
      <w:pPr>
        <w:rPr>
          <w:rFonts w:hint="eastAsia" w:ascii="宋体" w:hAnsi="宋体" w:eastAsia="宋体" w:cs="宋体"/>
          <w:color w:val="auto"/>
        </w:rPr>
      </w:pPr>
    </w:p>
    <w:p w14:paraId="6FAE7194">
      <w:pPr>
        <w:rPr>
          <w:rFonts w:hint="eastAsia" w:ascii="宋体" w:hAnsi="宋体" w:eastAsia="宋体" w:cs="宋体"/>
          <w:color w:val="auto"/>
        </w:rPr>
      </w:pPr>
    </w:p>
    <w:p w14:paraId="2F145AE7">
      <w:pPr>
        <w:rPr>
          <w:rFonts w:hint="eastAsia" w:ascii="宋体" w:hAnsi="宋体" w:eastAsia="宋体" w:cs="宋体"/>
          <w:color w:val="auto"/>
        </w:rPr>
      </w:pPr>
    </w:p>
    <w:p w14:paraId="056E80CD">
      <w:pPr>
        <w:rPr>
          <w:rFonts w:hint="eastAsia" w:ascii="宋体" w:hAnsi="宋体" w:eastAsia="宋体" w:cs="宋体"/>
          <w:color w:val="auto"/>
        </w:rPr>
      </w:pPr>
    </w:p>
    <w:p w14:paraId="45E144FF">
      <w:pPr>
        <w:rPr>
          <w:rFonts w:hint="eastAsia" w:ascii="宋体" w:hAnsi="宋体" w:eastAsia="宋体" w:cs="宋体"/>
          <w:color w:val="auto"/>
        </w:rPr>
      </w:pPr>
    </w:p>
    <w:p w14:paraId="140D3968">
      <w:pPr>
        <w:rPr>
          <w:rFonts w:hint="eastAsia" w:ascii="宋体" w:hAnsi="宋体" w:eastAsia="宋体" w:cs="宋体"/>
          <w:color w:val="auto"/>
        </w:rPr>
      </w:pPr>
    </w:p>
    <w:p w14:paraId="165F757E">
      <w:pPr>
        <w:rPr>
          <w:rFonts w:hint="eastAsia" w:ascii="宋体" w:hAnsi="宋体" w:eastAsia="宋体" w:cs="宋体"/>
          <w:color w:val="auto"/>
        </w:rPr>
      </w:pPr>
    </w:p>
    <w:p w14:paraId="5D5D7C1B">
      <w:pPr>
        <w:rPr>
          <w:rFonts w:hint="eastAsia" w:ascii="宋体" w:hAnsi="宋体" w:eastAsia="宋体" w:cs="宋体"/>
          <w:color w:val="auto"/>
        </w:rPr>
      </w:pPr>
    </w:p>
    <w:p w14:paraId="5C587F4B">
      <w:pPr>
        <w:rPr>
          <w:rFonts w:hint="eastAsia" w:ascii="宋体" w:hAnsi="宋体" w:eastAsia="宋体" w:cs="宋体"/>
          <w:color w:val="auto"/>
        </w:rPr>
      </w:pPr>
    </w:p>
    <w:p w14:paraId="611D1580">
      <w:pPr>
        <w:rPr>
          <w:rFonts w:hint="eastAsia" w:ascii="宋体" w:hAnsi="宋体" w:eastAsia="宋体" w:cs="宋体"/>
          <w:color w:val="auto"/>
        </w:rPr>
      </w:pPr>
    </w:p>
    <w:p w14:paraId="77AA678F">
      <w:pPr>
        <w:rPr>
          <w:rFonts w:hint="eastAsia" w:ascii="宋体" w:hAnsi="宋体" w:eastAsia="宋体" w:cs="宋体"/>
          <w:color w:val="auto"/>
        </w:rPr>
      </w:pPr>
    </w:p>
    <w:p w14:paraId="1B3FF285">
      <w:pPr>
        <w:pStyle w:val="37"/>
        <w:spacing w:before="240" w:after="240"/>
        <w:outlineLvl w:val="0"/>
        <w:rPr>
          <w:rFonts w:hint="eastAsia" w:ascii="宋体" w:hAnsi="宋体" w:eastAsia="宋体" w:cs="宋体"/>
          <w:color w:val="auto"/>
          <w:sz w:val="40"/>
          <w:szCs w:val="28"/>
          <w:lang w:eastAsia="zh-CN"/>
        </w:rPr>
      </w:pPr>
      <w:bookmarkStart w:id="9" w:name="_Toc30568"/>
      <w:r>
        <w:rPr>
          <w:rFonts w:hint="eastAsia" w:ascii="宋体" w:hAnsi="宋体" w:eastAsia="宋体" w:cs="宋体"/>
          <w:color w:val="auto"/>
          <w:sz w:val="40"/>
          <w:szCs w:val="28"/>
          <w:lang w:eastAsia="zh-CN"/>
        </w:rPr>
        <w:t>第三章</w:t>
      </w:r>
      <w:r>
        <w:rPr>
          <w:rFonts w:hint="eastAsia" w:ascii="宋体" w:hAnsi="宋体" w:eastAsia="宋体" w:cs="宋体"/>
          <w:color w:val="auto"/>
          <w:sz w:val="40"/>
          <w:szCs w:val="28"/>
          <w:lang w:val="en-US" w:eastAsia="zh-CN"/>
        </w:rPr>
        <w:t xml:space="preserve">  </w:t>
      </w:r>
      <w:r>
        <w:rPr>
          <w:rFonts w:hint="eastAsia" w:ascii="宋体" w:hAnsi="宋体" w:eastAsia="宋体" w:cs="宋体"/>
          <w:color w:val="auto"/>
          <w:sz w:val="40"/>
          <w:szCs w:val="28"/>
          <w:lang w:eastAsia="zh-CN"/>
        </w:rPr>
        <w:t>合同主要条款</w:t>
      </w:r>
      <w:bookmarkEnd w:id="9"/>
    </w:p>
    <w:p w14:paraId="5A6FAD54">
      <w:pPr>
        <w:jc w:val="center"/>
        <w:rPr>
          <w:rFonts w:ascii="宋体" w:hAnsi="宋体" w:eastAsia="宋体" w:cs="宋体"/>
          <w:sz w:val="24"/>
          <w:szCs w:val="24"/>
        </w:rPr>
      </w:pPr>
      <w:bookmarkStart w:id="10" w:name="_Toc21324"/>
      <w:r>
        <w:rPr>
          <w:rFonts w:ascii="宋体" w:hAnsi="宋体" w:eastAsia="宋体" w:cs="宋体"/>
          <w:sz w:val="36"/>
          <w:szCs w:val="36"/>
        </w:rPr>
        <w:t>建设工程设计和勘察合同</w:t>
      </w:r>
    </w:p>
    <w:p w14:paraId="14C65BDA">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[岩土工程勘察、水文地质勘察（含凿井）工程测量、工程物探] </w:t>
      </w:r>
    </w:p>
    <w:p w14:paraId="17906A93">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工程名称：______________________________</w:t>
      </w:r>
    </w:p>
    <w:p w14:paraId="377CFE44">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工程地点:_______________________________ </w:t>
      </w:r>
    </w:p>
    <w:p w14:paraId="2C7919BF">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合同编号：______________________________</w:t>
      </w:r>
    </w:p>
    <w:p w14:paraId="2380D8FF">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（由勘察人编填） </w:t>
      </w:r>
    </w:p>
    <w:p w14:paraId="28E2D0E4">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勘察证书等级：______________</w:t>
      </w:r>
    </w:p>
    <w:p w14:paraId="1BAAF997">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发包人：________________________________</w:t>
      </w:r>
    </w:p>
    <w:p w14:paraId="24FFE862">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勘察人：________________________________</w:t>
      </w:r>
    </w:p>
    <w:p w14:paraId="54AB8808">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签订日期：______________________________</w:t>
      </w:r>
    </w:p>
    <w:p w14:paraId="4F199F9D">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p>
    <w:p w14:paraId="45694A2F">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p>
    <w:p w14:paraId="7B74EA4C">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中华人民共和国建设部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监制</w:t>
      </w:r>
    </w:p>
    <w:p w14:paraId="021A98C5">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国家工商行政管理局发包人 </w:t>
      </w:r>
    </w:p>
    <w:p w14:paraId="7C70882A">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发包人</w:t>
      </w:r>
    </w:p>
    <w:p w14:paraId="13AD648D">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_______________________________________________________ </w:t>
      </w:r>
    </w:p>
    <w:p w14:paraId="1590D15E">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勘察人 </w:t>
      </w:r>
    </w:p>
    <w:p w14:paraId="51AC1F9B">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________________________________________________________ </w:t>
      </w:r>
    </w:p>
    <w:p w14:paraId="6799F35A">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发包人委托勘察人承担 </w:t>
      </w:r>
    </w:p>
    <w:p w14:paraId="03ADC54A">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______________________________________________________任务。</w:t>
      </w:r>
    </w:p>
    <w:p w14:paraId="6F9E2645">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根据《中华人民共和国合同法》及国家有关法规规定，结合本工程的具体情况，为明确责任，协作配合，确保工程勘察质量，经发包人、勘察人协商一致，签订本合同，共同遵守。</w:t>
      </w:r>
    </w:p>
    <w:p w14:paraId="2AB7680C">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第一条：工程概况 </w:t>
      </w:r>
    </w:p>
    <w:p w14:paraId="1FF29B56">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default" w:ascii="宋体" w:hAnsi="宋体" w:eastAsia="宋体" w:cs="宋体"/>
          <w:kern w:val="2"/>
          <w:sz w:val="24"/>
          <w:szCs w:val="22"/>
          <w:lang w:val="en-US" w:eastAsia="zh-CN" w:bidi="zh-CN"/>
        </w:rPr>
        <w:t>1.1</w:t>
      </w:r>
      <w:r>
        <w:rPr>
          <w:rFonts w:hint="eastAsia" w:ascii="宋体" w:hAnsi="宋体" w:eastAsia="宋体" w:cs="宋体"/>
          <w:kern w:val="2"/>
          <w:sz w:val="24"/>
          <w:szCs w:val="22"/>
          <w:lang w:val="zh-CN" w:eastAsia="zh-CN" w:bidi="zh-CN"/>
        </w:rPr>
        <w:t>工程名称：</w:t>
      </w:r>
    </w:p>
    <w:p w14:paraId="679ACE58">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 ___________________________________ </w:t>
      </w:r>
    </w:p>
    <w:p w14:paraId="646E797A">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default" w:ascii="宋体" w:hAnsi="宋体" w:eastAsia="宋体" w:cs="宋体"/>
          <w:kern w:val="2"/>
          <w:sz w:val="24"/>
          <w:szCs w:val="22"/>
          <w:lang w:val="en-US" w:eastAsia="zh-CN" w:bidi="zh-CN"/>
        </w:rPr>
        <w:t>1.2</w:t>
      </w:r>
      <w:r>
        <w:rPr>
          <w:rFonts w:hint="eastAsia" w:ascii="宋体" w:hAnsi="宋体" w:eastAsia="宋体" w:cs="宋体"/>
          <w:kern w:val="2"/>
          <w:sz w:val="24"/>
          <w:szCs w:val="22"/>
          <w:lang w:val="zh-CN" w:eastAsia="zh-CN" w:bidi="zh-CN"/>
        </w:rPr>
        <w:t xml:space="preserve">工程建设地点： </w:t>
      </w:r>
    </w:p>
    <w:p w14:paraId="61A5C85A">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_____________________________________</w:t>
      </w:r>
    </w:p>
    <w:p w14:paraId="1F9341F6">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default" w:ascii="宋体" w:hAnsi="宋体" w:eastAsia="宋体" w:cs="宋体"/>
          <w:kern w:val="2"/>
          <w:sz w:val="24"/>
          <w:szCs w:val="22"/>
          <w:lang w:val="en-US" w:eastAsia="zh-CN" w:bidi="zh-CN"/>
        </w:rPr>
        <w:t>1.3</w:t>
      </w:r>
      <w:r>
        <w:rPr>
          <w:rFonts w:hint="eastAsia" w:ascii="宋体" w:hAnsi="宋体" w:eastAsia="宋体" w:cs="宋体"/>
          <w:kern w:val="2"/>
          <w:sz w:val="24"/>
          <w:szCs w:val="22"/>
          <w:lang w:val="zh-CN" w:eastAsia="zh-CN" w:bidi="zh-CN"/>
        </w:rPr>
        <w:t>工程规模、特征：</w:t>
      </w:r>
    </w:p>
    <w:p w14:paraId="65647B04">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 ____________________________________ </w:t>
      </w:r>
    </w:p>
    <w:p w14:paraId="3325A4D6">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default" w:ascii="宋体" w:hAnsi="宋体" w:eastAsia="宋体" w:cs="宋体"/>
          <w:kern w:val="2"/>
          <w:sz w:val="24"/>
          <w:szCs w:val="22"/>
          <w:lang w:val="en-US" w:eastAsia="zh-CN" w:bidi="zh-CN"/>
        </w:rPr>
        <w:t>1.4</w:t>
      </w:r>
      <w:r>
        <w:rPr>
          <w:rFonts w:hint="eastAsia" w:ascii="宋体" w:hAnsi="宋体" w:eastAsia="宋体" w:cs="宋体"/>
          <w:kern w:val="2"/>
          <w:sz w:val="24"/>
          <w:szCs w:val="22"/>
          <w:lang w:val="zh-CN" w:eastAsia="zh-CN" w:bidi="zh-CN"/>
        </w:rPr>
        <w:t xml:space="preserve">工程勘察任务委托文号、日期： </w:t>
      </w:r>
    </w:p>
    <w:p w14:paraId="44C66F76">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______________________________________ </w:t>
      </w:r>
    </w:p>
    <w:p w14:paraId="392FC2D7">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1.5 工程勘察任务（内容）与技术要求： </w:t>
      </w:r>
    </w:p>
    <w:p w14:paraId="7BFFDDC3">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______________________________________ </w:t>
      </w:r>
    </w:p>
    <w:p w14:paraId="592995BD">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default" w:ascii="宋体" w:hAnsi="宋体" w:eastAsia="宋体" w:cs="宋体"/>
          <w:kern w:val="2"/>
          <w:sz w:val="24"/>
          <w:szCs w:val="22"/>
          <w:lang w:val="en-US" w:eastAsia="zh-CN" w:bidi="zh-CN"/>
        </w:rPr>
        <w:t>1.6</w:t>
      </w:r>
      <w:r>
        <w:rPr>
          <w:rFonts w:hint="eastAsia" w:ascii="宋体" w:hAnsi="宋体" w:eastAsia="宋体" w:cs="宋体"/>
          <w:kern w:val="2"/>
          <w:sz w:val="24"/>
          <w:szCs w:val="22"/>
          <w:lang w:val="zh-CN" w:eastAsia="zh-CN" w:bidi="zh-CN"/>
        </w:rPr>
        <w:t>承接方式</w:t>
      </w:r>
    </w:p>
    <w:p w14:paraId="2D77EA26">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 _____________________________________ </w:t>
      </w:r>
    </w:p>
    <w:p w14:paraId="34E4F67E">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default" w:ascii="宋体" w:hAnsi="宋体" w:eastAsia="宋体" w:cs="宋体"/>
          <w:kern w:val="2"/>
          <w:sz w:val="24"/>
          <w:szCs w:val="22"/>
          <w:lang w:val="en-US" w:eastAsia="zh-CN" w:bidi="zh-CN"/>
        </w:rPr>
        <w:t>1.7</w:t>
      </w:r>
      <w:r>
        <w:rPr>
          <w:rFonts w:hint="eastAsia" w:ascii="宋体" w:hAnsi="宋体" w:eastAsia="宋体" w:cs="宋体"/>
          <w:kern w:val="2"/>
          <w:sz w:val="24"/>
          <w:szCs w:val="22"/>
          <w:lang w:val="zh-CN" w:eastAsia="zh-CN" w:bidi="zh-CN"/>
        </w:rPr>
        <w:t xml:space="preserve">预计勘察工作量： </w:t>
      </w:r>
    </w:p>
    <w:p w14:paraId="4BCD5087">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________________________________________</w:t>
      </w:r>
    </w:p>
    <w:p w14:paraId="054C3E03">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第二条：发包人应及时向勘察人提供下列文件资料，并对其准确性、可靠性负责。 </w:t>
      </w:r>
    </w:p>
    <w:p w14:paraId="46A63B88">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提供本工程批准文件（复印件），以及用地（附红线范围）、施工、勘察许可等批件（复印件）。 </w:t>
      </w:r>
    </w:p>
    <w:p w14:paraId="7DF16389">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提供工程勘察任务委托书、技术要求和工作范围的地形图、建筑总平面布置图。 </w:t>
      </w:r>
    </w:p>
    <w:p w14:paraId="31EA79F7">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提供勘察工作范围已有的技术资料及工程所需的坐标与标高资料。</w:t>
      </w:r>
    </w:p>
    <w:p w14:paraId="7AFEA831">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2.4 提供勘察工作范围地下已有埋藏物的资料（如电力、电讯电缆、各种管道、人防设施、洞室等）及具体位置分布图。</w:t>
      </w:r>
    </w:p>
    <w:p w14:paraId="4BDCDAF8">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2.5 发包人不能提供上述资料，由勘察人收集的，发包人需向勘察人支付相应费用。 </w:t>
      </w:r>
    </w:p>
    <w:p w14:paraId="1F42205C">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第三条：勘察人向发包人提交勘察成果资料并对其质量负责。</w:t>
      </w:r>
    </w:p>
    <w:p w14:paraId="325DEE14">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勘察人负责向发包人提交勘察成果资料四份，发包人要求增加的份数另行收费。 </w:t>
      </w:r>
    </w:p>
    <w:p w14:paraId="08EAF6DA">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第四条：开工及提交勘察成果资料的时间和收费标准及付费方式</w:t>
      </w:r>
    </w:p>
    <w:p w14:paraId="29515F2E">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4.1 开工及提交勘察成果资料的时间 </w:t>
      </w:r>
    </w:p>
    <w:p w14:paraId="7C7A1C9E">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4.1.1 本工程的勘察工作定于________年________月________日开工，________年________月________日提交勘察成果资料，由于发包人或勘察人的原因未能按期开工或提交成果资料时，按本合同第六条规定办理。</w:t>
      </w:r>
    </w:p>
    <w:p w14:paraId="3326253B">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4.1.2 勘察工作有效期限以发包人下达的开工通知书或合同规定的时间为准，如遇特殊情况（设计变更、工作量变化、不可抗力影响以及非勘察人原因造成的停、窝工等）时，工期顺延。 4.2 收费标准及付费方式 </w:t>
      </w:r>
    </w:p>
    <w:p w14:paraId="6662BC11">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4.2.1 本工程勘察按国家规定的现行收费标准_____________________计取费用；或以“预算包干”、“中标价加签证”、“实际完成工作量结算”等方式计取收费。国家规定的收费标准中没有规定的收费项目，由发包人、勘察人另行议定。 </w:t>
      </w:r>
    </w:p>
    <w:p w14:paraId="4363D0C3">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4.2.2 本工程勘察费预算为________元（大写_____________________），合同生效后 3 天内，发包人应向勘察人支付预算勘察费的20％作为定金、计________元（本合同履行后，定金抵作勘察费）；勘察规模大、工期长的大型勘察工程，发包人还应按实际完成工程进度________％时，向勘察人支付预算勘察费的_________％的工程进度款，计___________元；勘察工作外业结束后________天内，发包人向勘察人支付预算勘察费的________％，计__________元；提交勘察成果资料后 10 天内，发包人应一次付清全部工程费用。</w:t>
      </w:r>
    </w:p>
    <w:p w14:paraId="2E306342">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第五条：发包人、勘察人责任 </w:t>
      </w:r>
    </w:p>
    <w:p w14:paraId="579FE7AA">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5.1 发包人责任 </w:t>
      </w:r>
    </w:p>
    <w:p w14:paraId="69FFE8BD">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5.1.1 发包人委托任务时，必须以书面形式向勘察人明确勘察任务及技术要求，并按第二条规定提供文件资料。 </w:t>
      </w:r>
    </w:p>
    <w:p w14:paraId="59CB6576">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5.1.2 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 </w:t>
      </w:r>
    </w:p>
    <w:p w14:paraId="56EB6DE6">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14:paraId="012D4BBA">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5.1.4 若勘察现场需要看守，特别是在有毒、有害等危险现场作业时，发包人应派人负责安全保卫工作，按国家有关规定，对从事危险作业的现场人员进行保健防护，并承担费用。 </w:t>
      </w:r>
    </w:p>
    <w:p w14:paraId="2F2D6A3A">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5.1.5 工程勘察前，若发包人负责提供材料的，应根据勘察人提出的工程用料计划，按时提供各种材料及其产品合格证明，并承担费用和运到现场，派人与勘察人的人员一起验收。 </w:t>
      </w:r>
    </w:p>
    <w:p w14:paraId="54F6EC7F">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5.1.6 勘察过程中的任何变更，经办理正式变更手续后，发包人应按实际发生的工作量支付勘察费。</w:t>
      </w:r>
    </w:p>
    <w:p w14:paraId="59861E32">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5.1.7 为勘察人的工作人员提供必要的生产、生活条件，并承担费用；如不能提供时，应一次性付给勘察人临时设施费_____________元。</w:t>
      </w:r>
    </w:p>
    <w:p w14:paraId="070C7517">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5.1.8 由于发包人原因造成勘察人停、窝工，除工期顺延外。发包人应支付停、窝工费（计算方法见 6.1）；发包人若要求在合同规定时间内提前完工（或提交勘察成果资料）时，发包人应按每提前一天向勘察人支付_________元计算加班费。 </w:t>
      </w:r>
    </w:p>
    <w:p w14:paraId="6ECF4768">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14:paraId="699D8514">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5.1.10 本合同有关条。款规定和补充协议中发包人应负的其它责任。</w:t>
      </w:r>
    </w:p>
    <w:p w14:paraId="2A0661B8">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5.2 勘察人责任 </w:t>
      </w:r>
    </w:p>
    <w:p w14:paraId="31F8444F">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5.2.1 勘察人应按国家技术规范、标准、规程和发包人的任务委托书及技术要求进行工程勘察，。按本合同规定的时间提交质量合格的勘察成果资料，并对其负责。 </w:t>
      </w:r>
    </w:p>
    <w:p w14:paraId="3D0BE853">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5.2.2 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____％。</w:t>
      </w:r>
    </w:p>
    <w:p w14:paraId="45DECEDF">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5.2.3 在工程勘察前，提出勘察纲要或勘察组织设计，派人与发包人的人员一起验收发包人提供的材料。 </w:t>
      </w:r>
    </w:p>
    <w:p w14:paraId="776F2A65">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5.2.4 勘察过程中，根据工程的岩土工程条件（或工作现场地形地貌、地质和水文地质条件）及技术规范要求，向发包人提出增减工作量或修改勘察工作的意见。并办理正式变更手续。 5.2.5 在现场工作的勘察人的人员，应遵守发包人的安全保卫及其它有关的规章制度，承担其有关资料保密义务。 </w:t>
      </w:r>
    </w:p>
    <w:p w14:paraId="5B6C75D1">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5.2.6 本合同有关条款规定和补充协议中勘察人应负的其它责任。</w:t>
      </w:r>
    </w:p>
    <w:p w14:paraId="49BA2C85">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第六条：违约责任 </w:t>
      </w:r>
    </w:p>
    <w:p w14:paraId="7689A112">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6.1 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14:paraId="51EA5EE1">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6.2 由于勘察人原因造成勘察成果资料质量不合格，不能满足技术要求时，其运工勘察费用由勘察人承担。 </w:t>
      </w:r>
    </w:p>
    <w:p w14:paraId="054E3729">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6.3 合同履行期间，由于工程停建而终止合同或发包人要求解除合同时，勘察人未进行勘察工作的，不退还发包人已付定金；已进行勘察工作的；完成的工作量在 50％以内时，发包人应向勘察人支付预算额50％的勘察费计________元；完成的工作量超过 50％时，则应向勘察人支付预算额100％的勘察费。</w:t>
      </w:r>
    </w:p>
    <w:p w14:paraId="2C424DF7">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6.4 发包人未按合同规定时间（日期）拨付勘察费，每超过一日，应偿付未支付勘察费的千分之一逾期违约金。</w:t>
      </w:r>
    </w:p>
    <w:p w14:paraId="105F9696">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6.5 由于勘察人原因未按合同规定时间（日期）提交勘察成果资料，每超过一日，应减收勘察费千分之一。 </w:t>
      </w:r>
    </w:p>
    <w:p w14:paraId="171DF661">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6.6 本合同签订后，发包人不履行合同时，无权要求退还定金；勘察人不履行合同时，双倍返还定金。 </w:t>
      </w:r>
    </w:p>
    <w:p w14:paraId="58D9A2D3">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第七条：本合同未尽事宜，经发包人与勘察人协商一致，签订补充协议，补充协议与本合同具有同等效力。 </w:t>
      </w:r>
    </w:p>
    <w:p w14:paraId="2FE92F2A">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第八条：其它约定事项： _____________________________________________ ____________________________________________________ </w:t>
      </w:r>
    </w:p>
    <w:p w14:paraId="4D283E39">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第九条：本合同发生争议，发包人、勘察人应及时协商解决，也可由当地建设行政主管部门调解，协商或调解不成时，发包人、勘察人同意由_______________仲裁委员会仲裁。发包人、勘察人未在本合同中约定仲裁机构，事后又未达成书面仲裁协议的，可向人民法院起拆。 </w:t>
      </w:r>
    </w:p>
    <w:p w14:paraId="4838A899">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第十条：本合同自发包人、勘察人签字盖章后生效；按规定到省级建设行政主管部门规定的审查部门备案；发包人、勘察人认为必要时，到项目所在地工商行政管理部门申请鉴证。发包人、勘察人履行完合同规定的义务后，本合同终止。 </w:t>
      </w:r>
    </w:p>
    <w:p w14:paraId="09AB452C">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本合同一式__________份，发包人__________份、勘察人__________份。</w:t>
      </w:r>
    </w:p>
    <w:p w14:paraId="3D825B93">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发包人名称： （盖章）</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 xml:space="preserve">勘察人名称： （盖章） </w:t>
      </w:r>
    </w:p>
    <w:p w14:paraId="6A526870">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p>
    <w:p w14:paraId="51E80B8B">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p>
    <w:p w14:paraId="6A6328E0">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法定代表人：（签字）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法定代表人：（签字）</w:t>
      </w:r>
    </w:p>
    <w:p w14:paraId="52F7F8D7">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委托代理人：（签字）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委托代理人：（签字）</w:t>
      </w:r>
    </w:p>
    <w:p w14:paraId="629A2BAC">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住 所：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 xml:space="preserve">住 所： </w:t>
      </w:r>
    </w:p>
    <w:p w14:paraId="59E5A918">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邮政编码：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 xml:space="preserve">邮政编码： </w:t>
      </w:r>
    </w:p>
    <w:p w14:paraId="39BB3D38">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电 话：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 xml:space="preserve">电 话： </w:t>
      </w:r>
    </w:p>
    <w:p w14:paraId="5F8C87CF">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传 真：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 xml:space="preserve">传 真： </w:t>
      </w:r>
    </w:p>
    <w:p w14:paraId="2297EF40">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开户银行：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 xml:space="preserve">开户银行： </w:t>
      </w:r>
    </w:p>
    <w:p w14:paraId="2AA4694F">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银行帐号：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 xml:space="preserve">银行帐号： </w:t>
      </w:r>
    </w:p>
    <w:p w14:paraId="564D1089">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建设行政主管部门备案：（盖章）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 xml:space="preserve">鉴证意见：  （盖章） </w:t>
      </w:r>
    </w:p>
    <w:p w14:paraId="3CBD45A4">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备案号：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 xml:space="preserve">经办人： </w:t>
      </w:r>
    </w:p>
    <w:p w14:paraId="43DE4122">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 xml:space="preserve">备案日期：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 xml:space="preserve">年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 xml:space="preserve">月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 xml:space="preserve">日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 xml:space="preserve">鉴证日期：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 xml:space="preserve">年 </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月</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日</w:t>
      </w:r>
    </w:p>
    <w:p w14:paraId="20154BFF">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p>
    <w:p w14:paraId="2F5669F8">
      <w:pPr>
        <w:pStyle w:val="37"/>
        <w:spacing w:before="240" w:after="240"/>
        <w:outlineLvl w:val="0"/>
        <w:rPr>
          <w:rFonts w:hint="eastAsia" w:ascii="宋体" w:hAnsi="宋体" w:eastAsia="宋体" w:cs="宋体"/>
          <w:color w:val="auto"/>
          <w:sz w:val="40"/>
          <w:szCs w:val="28"/>
          <w:lang w:eastAsia="zh-CN"/>
        </w:rPr>
      </w:pPr>
    </w:p>
    <w:p w14:paraId="6844843C">
      <w:pPr>
        <w:pStyle w:val="37"/>
        <w:spacing w:before="240" w:after="240"/>
        <w:outlineLvl w:val="0"/>
        <w:rPr>
          <w:rFonts w:hint="eastAsia" w:ascii="宋体" w:hAnsi="宋体" w:eastAsia="宋体" w:cs="宋体"/>
          <w:color w:val="auto"/>
          <w:sz w:val="40"/>
          <w:szCs w:val="28"/>
          <w:shd w:val="clear"/>
          <w:lang w:val="en-US" w:eastAsia="zh-CN"/>
        </w:rPr>
      </w:pPr>
      <w:r>
        <w:rPr>
          <w:rFonts w:hint="eastAsia" w:ascii="宋体" w:hAnsi="宋体" w:eastAsia="宋体" w:cs="宋体"/>
          <w:color w:val="auto"/>
          <w:sz w:val="40"/>
          <w:szCs w:val="28"/>
          <w:lang w:eastAsia="zh-CN"/>
        </w:rPr>
        <w:t>第</w:t>
      </w:r>
      <w:r>
        <w:rPr>
          <w:rFonts w:hint="eastAsia" w:ascii="宋体" w:hAnsi="宋体" w:eastAsia="宋体" w:cs="宋体"/>
          <w:color w:val="auto"/>
          <w:sz w:val="40"/>
          <w:szCs w:val="28"/>
          <w:shd w:val="clear"/>
          <w:lang w:eastAsia="zh-CN"/>
        </w:rPr>
        <w:t>四章 磋商内容及采购要求</w:t>
      </w:r>
      <w:bookmarkEnd w:id="10"/>
    </w:p>
    <w:p w14:paraId="2194D77D">
      <w:pPr>
        <w:pStyle w:val="3"/>
        <w:rPr>
          <w:rFonts w:hint="eastAsia" w:ascii="宋体" w:hAnsi="宋体" w:eastAsia="宋体" w:cs="宋体"/>
          <w:color w:val="auto"/>
        </w:rPr>
      </w:pPr>
    </w:p>
    <w:p w14:paraId="1F8F2F4B">
      <w:pPr>
        <w:adjustRightInd w:val="0"/>
        <w:snapToGrid w:val="0"/>
        <w:spacing w:before="156" w:beforeLines="50" w:after="156" w:afterLines="50" w:line="360" w:lineRule="auto"/>
        <w:rPr>
          <w:rFonts w:ascii="Times New Roman" w:hAnsi="Times New Roman" w:eastAsia="仿宋_GB2312" w:cs="Times New Roman"/>
          <w:b/>
          <w:bCs/>
          <w:sz w:val="24"/>
          <w:szCs w:val="28"/>
        </w:rPr>
      </w:pPr>
      <w:r>
        <w:rPr>
          <w:rFonts w:ascii="Times New Roman" w:hAnsi="Times New Roman" w:eastAsia="仿宋_GB2312" w:cs="Times New Roman"/>
          <w:b/>
          <w:bCs/>
          <w:sz w:val="24"/>
          <w:szCs w:val="28"/>
        </w:rPr>
        <w:t>一、项目概况</w:t>
      </w:r>
    </w:p>
    <w:p w14:paraId="53161016">
      <w:pPr>
        <w:adjustRightInd w:val="0"/>
        <w:snapToGrid w:val="0"/>
        <w:spacing w:line="360" w:lineRule="auto"/>
        <w:ind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本项目以改善农村生态环境为核心，重点解决藕溪沟流域生活污水及河道生态问题，通过实施农村生活污水治理与河道综合治理工程，提升乡村生态质量，实现“河畅、水清、景美、岸绿”的治理目标，保障下游汉江出石泉省控断面水质稳定达标，维护南水北调丹江口水库水源地水质安全。</w:t>
      </w:r>
    </w:p>
    <w:p w14:paraId="4A464E16">
      <w:pPr>
        <w:adjustRightInd w:val="0"/>
        <w:snapToGrid w:val="0"/>
        <w:spacing w:line="360" w:lineRule="auto"/>
        <w:ind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工程范围涵盖喜河镇藕溪流域团结村、中心村及晨光村共3个行政村。主要包括农村生活污水治理和河道治理两部分：团结村拟新建污水处理站，配套污水主管网及接户管；晨光村实施雨污分流改造，新建污水管网及接户系统；河道治理内容包括沿藕溪沟两岸建设生态缓冲带和生态护岸。</w:t>
      </w:r>
    </w:p>
    <w:p w14:paraId="062E87AC">
      <w:pPr>
        <w:adjustRightInd w:val="0"/>
        <w:snapToGrid w:val="0"/>
        <w:spacing w:before="156" w:beforeLines="50" w:after="156" w:afterLines="50" w:line="360" w:lineRule="auto"/>
        <w:rPr>
          <w:rFonts w:ascii="Times New Roman" w:hAnsi="Times New Roman" w:eastAsia="仿宋_GB2312" w:cs="Times New Roman"/>
          <w:b/>
          <w:bCs/>
          <w:sz w:val="24"/>
          <w:szCs w:val="28"/>
        </w:rPr>
      </w:pPr>
      <w:r>
        <w:rPr>
          <w:rFonts w:ascii="Times New Roman" w:hAnsi="Times New Roman" w:eastAsia="仿宋_GB2312" w:cs="Times New Roman"/>
          <w:b/>
          <w:bCs/>
          <w:sz w:val="24"/>
          <w:szCs w:val="28"/>
        </w:rPr>
        <w:t>二、招标内容</w:t>
      </w:r>
    </w:p>
    <w:p w14:paraId="4217979E">
      <w:pPr>
        <w:adjustRightInd w:val="0"/>
        <w:snapToGrid w:val="0"/>
        <w:spacing w:line="360" w:lineRule="auto"/>
        <w:ind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本次招标范围为藕溪沟流域环境治理工程的勘察与设计服务，具体包括：</w:t>
      </w:r>
    </w:p>
    <w:p w14:paraId="5B7C8ECC">
      <w:pPr>
        <w:adjustRightInd w:val="0"/>
        <w:snapToGrid w:val="0"/>
        <w:spacing w:line="360" w:lineRule="auto"/>
        <w:ind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（1）工程地质勘察；</w:t>
      </w:r>
    </w:p>
    <w:p w14:paraId="2838506A">
      <w:pPr>
        <w:adjustRightInd w:val="0"/>
        <w:snapToGrid w:val="0"/>
        <w:spacing w:line="360" w:lineRule="auto"/>
        <w:ind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（2）初步设计及概算编制；</w:t>
      </w:r>
    </w:p>
    <w:p w14:paraId="0F23CABB">
      <w:pPr>
        <w:adjustRightInd w:val="0"/>
        <w:snapToGrid w:val="0"/>
        <w:spacing w:line="360" w:lineRule="auto"/>
        <w:ind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（3）施工图设计；</w:t>
      </w:r>
    </w:p>
    <w:p w14:paraId="0CE676CC">
      <w:pPr>
        <w:adjustRightInd w:val="0"/>
        <w:snapToGrid w:val="0"/>
        <w:spacing w:line="360" w:lineRule="auto"/>
        <w:ind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（4）配合完成相关评审及报批工作。</w:t>
      </w:r>
    </w:p>
    <w:p w14:paraId="387FE844">
      <w:pPr>
        <w:adjustRightInd w:val="0"/>
        <w:snapToGrid w:val="0"/>
        <w:spacing w:before="156" w:beforeLines="50" w:after="156" w:afterLines="50" w:line="360" w:lineRule="auto"/>
        <w:rPr>
          <w:rFonts w:ascii="Times New Roman" w:hAnsi="Times New Roman" w:eastAsia="仿宋_GB2312" w:cs="Times New Roman"/>
          <w:b/>
          <w:bCs/>
          <w:sz w:val="24"/>
          <w:szCs w:val="28"/>
        </w:rPr>
      </w:pPr>
      <w:r>
        <w:rPr>
          <w:rFonts w:ascii="Times New Roman" w:hAnsi="Times New Roman" w:eastAsia="仿宋_GB2312" w:cs="Times New Roman"/>
          <w:b/>
          <w:bCs/>
          <w:sz w:val="24"/>
          <w:szCs w:val="28"/>
        </w:rPr>
        <w:t>三、提交成果要求</w:t>
      </w:r>
    </w:p>
    <w:p w14:paraId="1DFE44E9">
      <w:pPr>
        <w:adjustRightInd w:val="0"/>
        <w:snapToGrid w:val="0"/>
        <w:spacing w:line="360" w:lineRule="auto"/>
        <w:ind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承包人应根据招标要求及国家、行业有关规范，按阶段向发包人提交以下成果文件：</w:t>
      </w:r>
    </w:p>
    <w:p w14:paraId="0E419A15">
      <w:pPr>
        <w:adjustRightInd w:val="0"/>
        <w:snapToGrid w:val="0"/>
        <w:spacing w:line="360" w:lineRule="auto"/>
        <w:ind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（1）初步设计报告送审稿（纸质版8份，电子版1份）；</w:t>
      </w:r>
    </w:p>
    <w:p w14:paraId="51EEA8F4">
      <w:pPr>
        <w:adjustRightInd w:val="0"/>
        <w:snapToGrid w:val="0"/>
        <w:spacing w:line="360" w:lineRule="auto"/>
        <w:ind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（2）地质勘察报告（纸质版2份，电子版1份）；</w:t>
      </w:r>
    </w:p>
    <w:p w14:paraId="2EE299BF">
      <w:pPr>
        <w:adjustRightInd w:val="0"/>
        <w:snapToGrid w:val="0"/>
        <w:spacing w:line="360" w:lineRule="auto"/>
        <w:ind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（3）施工图设计文件（纸质版8份，电子版1份）；</w:t>
      </w:r>
    </w:p>
    <w:p w14:paraId="61AB47DF">
      <w:pPr>
        <w:adjustRightInd w:val="0"/>
        <w:snapToGrid w:val="0"/>
        <w:spacing w:line="360" w:lineRule="auto"/>
        <w:ind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（4）设计概算书（纸质版8份，电子版1份）；</w:t>
      </w:r>
    </w:p>
    <w:p w14:paraId="782D2B02">
      <w:pPr>
        <w:adjustRightInd w:val="0"/>
        <w:snapToGrid w:val="0"/>
        <w:spacing w:line="360" w:lineRule="auto"/>
        <w:ind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（5）其它为完成审批所需的支持性技术文件（如有）。</w:t>
      </w:r>
    </w:p>
    <w:p w14:paraId="2DE83BBA">
      <w:pPr>
        <w:adjustRightInd w:val="0"/>
        <w:snapToGrid w:val="0"/>
        <w:spacing w:line="360" w:lineRule="auto"/>
        <w:ind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所有电子文件应为可编辑格式（如CAD、Word、Excel等）。</w:t>
      </w:r>
    </w:p>
    <w:p w14:paraId="04EA7C5C">
      <w:pPr>
        <w:adjustRightInd w:val="0"/>
        <w:snapToGrid w:val="0"/>
        <w:spacing w:before="156" w:beforeLines="50" w:after="156" w:afterLines="50" w:line="360" w:lineRule="auto"/>
        <w:rPr>
          <w:rFonts w:ascii="Times New Roman" w:hAnsi="Times New Roman" w:eastAsia="仿宋_GB2312" w:cs="Times New Roman"/>
          <w:b/>
          <w:bCs/>
          <w:sz w:val="24"/>
          <w:szCs w:val="28"/>
        </w:rPr>
      </w:pPr>
      <w:r>
        <w:rPr>
          <w:rFonts w:ascii="Times New Roman" w:hAnsi="Times New Roman" w:eastAsia="仿宋_GB2312" w:cs="Times New Roman"/>
          <w:b/>
          <w:bCs/>
          <w:sz w:val="24"/>
          <w:szCs w:val="28"/>
        </w:rPr>
        <w:t>四、完成时限</w:t>
      </w:r>
    </w:p>
    <w:p w14:paraId="32B188E6">
      <w:pPr>
        <w:adjustRightInd w:val="0"/>
        <w:snapToGrid w:val="0"/>
        <w:spacing w:line="360" w:lineRule="auto"/>
        <w:ind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承包人须于合同签订后45日内完成初步设计送审稿，并报送发包人审查。</w:t>
      </w:r>
    </w:p>
    <w:p w14:paraId="56E4D775">
      <w:pPr>
        <w:adjustRightInd w:val="0"/>
        <w:snapToGrid w:val="0"/>
        <w:spacing w:before="156" w:beforeLines="50" w:after="156" w:afterLines="50" w:line="360" w:lineRule="auto"/>
        <w:rPr>
          <w:rFonts w:ascii="Times New Roman" w:hAnsi="Times New Roman" w:eastAsia="仿宋_GB2312" w:cs="Times New Roman"/>
          <w:b/>
          <w:bCs/>
          <w:sz w:val="24"/>
          <w:szCs w:val="28"/>
        </w:rPr>
      </w:pPr>
      <w:r>
        <w:rPr>
          <w:rFonts w:ascii="Times New Roman" w:hAnsi="Times New Roman" w:eastAsia="仿宋_GB2312" w:cs="Times New Roman"/>
          <w:b/>
          <w:bCs/>
          <w:sz w:val="24"/>
          <w:szCs w:val="28"/>
        </w:rPr>
        <w:t>五、验收标准</w:t>
      </w:r>
    </w:p>
    <w:p w14:paraId="5215F65A">
      <w:pPr>
        <w:adjustRightInd w:val="0"/>
        <w:snapToGrid w:val="0"/>
        <w:spacing w:line="360" w:lineRule="auto"/>
        <w:ind w:firstLine="480" w:firstLineChars="200"/>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成果文件需符合国家及行业现行标准与规范，满足初步设计及施工图深度要求，并通过相关主管部门审查。</w:t>
      </w:r>
    </w:p>
    <w:p w14:paraId="20D97875">
      <w:pPr>
        <w:rPr>
          <w:rFonts w:hint="eastAsia" w:ascii="宋体" w:hAnsi="宋体" w:eastAsia="宋体" w:cs="宋体"/>
          <w:color w:val="auto"/>
        </w:rPr>
      </w:pPr>
    </w:p>
    <w:p w14:paraId="76E4AD1A">
      <w:pPr>
        <w:pStyle w:val="3"/>
        <w:rPr>
          <w:rFonts w:hint="eastAsia" w:ascii="宋体" w:hAnsi="宋体" w:eastAsia="宋体" w:cs="宋体"/>
          <w:color w:val="auto"/>
        </w:rPr>
      </w:pPr>
    </w:p>
    <w:p w14:paraId="065395ED">
      <w:pPr>
        <w:rPr>
          <w:rFonts w:hint="eastAsia" w:ascii="宋体" w:hAnsi="宋体" w:eastAsia="宋体" w:cs="宋体"/>
          <w:color w:val="auto"/>
        </w:rPr>
      </w:pPr>
    </w:p>
    <w:p w14:paraId="171BA34A">
      <w:pPr>
        <w:pStyle w:val="3"/>
        <w:rPr>
          <w:rFonts w:hint="eastAsia" w:ascii="宋体" w:hAnsi="宋体" w:eastAsia="宋体" w:cs="宋体"/>
          <w:color w:val="auto"/>
        </w:rPr>
      </w:pPr>
    </w:p>
    <w:p w14:paraId="363ADF52">
      <w:pPr>
        <w:rPr>
          <w:rFonts w:hint="eastAsia" w:ascii="宋体" w:hAnsi="宋体" w:eastAsia="宋体" w:cs="宋体"/>
          <w:color w:val="auto"/>
        </w:rPr>
      </w:pPr>
    </w:p>
    <w:p w14:paraId="24827ECB">
      <w:pPr>
        <w:pStyle w:val="3"/>
        <w:rPr>
          <w:rFonts w:hint="eastAsia" w:ascii="宋体" w:hAnsi="宋体" w:eastAsia="宋体" w:cs="宋体"/>
          <w:color w:val="auto"/>
        </w:rPr>
      </w:pPr>
    </w:p>
    <w:p w14:paraId="18A85000">
      <w:pPr>
        <w:rPr>
          <w:rFonts w:hint="eastAsia" w:ascii="宋体" w:hAnsi="宋体" w:eastAsia="宋体" w:cs="宋体"/>
          <w:color w:val="auto"/>
        </w:rPr>
      </w:pPr>
    </w:p>
    <w:p w14:paraId="37542A74">
      <w:pPr>
        <w:pStyle w:val="3"/>
        <w:rPr>
          <w:rFonts w:hint="eastAsia" w:ascii="宋体" w:hAnsi="宋体" w:eastAsia="宋体" w:cs="宋体"/>
          <w:color w:val="auto"/>
        </w:rPr>
      </w:pPr>
    </w:p>
    <w:p w14:paraId="4EC8A73D">
      <w:pPr>
        <w:rPr>
          <w:rFonts w:hint="eastAsia" w:ascii="宋体" w:hAnsi="宋体" w:eastAsia="宋体" w:cs="宋体"/>
          <w:color w:val="auto"/>
        </w:rPr>
      </w:pPr>
    </w:p>
    <w:p w14:paraId="0927F4AE">
      <w:pPr>
        <w:rPr>
          <w:rFonts w:hint="eastAsia" w:ascii="宋体" w:hAnsi="宋体" w:eastAsia="宋体" w:cs="宋体"/>
          <w:color w:val="auto"/>
        </w:rPr>
      </w:pPr>
    </w:p>
    <w:p w14:paraId="6D167F34">
      <w:pPr>
        <w:rPr>
          <w:rFonts w:hint="eastAsia" w:ascii="宋体" w:hAnsi="宋体" w:eastAsia="宋体" w:cs="宋体"/>
          <w:color w:val="auto"/>
        </w:rPr>
      </w:pPr>
    </w:p>
    <w:p w14:paraId="7FF21CA4">
      <w:pPr>
        <w:rPr>
          <w:rFonts w:hint="eastAsia" w:ascii="宋体" w:hAnsi="宋体" w:eastAsia="宋体" w:cs="宋体"/>
          <w:color w:val="auto"/>
        </w:rPr>
      </w:pPr>
    </w:p>
    <w:p w14:paraId="72AAC72F">
      <w:pPr>
        <w:rPr>
          <w:rFonts w:hint="eastAsia" w:ascii="宋体" w:hAnsi="宋体" w:eastAsia="宋体" w:cs="宋体"/>
          <w:color w:val="auto"/>
        </w:rPr>
      </w:pPr>
    </w:p>
    <w:p w14:paraId="0B070B70">
      <w:pPr>
        <w:rPr>
          <w:rFonts w:hint="eastAsia" w:ascii="宋体" w:hAnsi="宋体" w:eastAsia="宋体" w:cs="宋体"/>
          <w:color w:val="auto"/>
        </w:rPr>
      </w:pPr>
    </w:p>
    <w:p w14:paraId="0597CB2E">
      <w:pPr>
        <w:rPr>
          <w:rFonts w:hint="eastAsia" w:ascii="宋体" w:hAnsi="宋体" w:eastAsia="宋体" w:cs="宋体"/>
          <w:color w:val="auto"/>
        </w:rPr>
      </w:pPr>
    </w:p>
    <w:p w14:paraId="66416874">
      <w:pPr>
        <w:rPr>
          <w:rFonts w:hint="eastAsia" w:ascii="宋体" w:hAnsi="宋体" w:eastAsia="宋体" w:cs="宋体"/>
          <w:color w:val="auto"/>
        </w:rPr>
      </w:pPr>
    </w:p>
    <w:p w14:paraId="3464C70D">
      <w:pPr>
        <w:rPr>
          <w:rFonts w:hint="eastAsia" w:ascii="宋体" w:hAnsi="宋体" w:eastAsia="宋体" w:cs="宋体"/>
          <w:color w:val="auto"/>
        </w:rPr>
      </w:pPr>
    </w:p>
    <w:p w14:paraId="021B86EB">
      <w:pPr>
        <w:rPr>
          <w:rFonts w:hint="eastAsia" w:ascii="宋体" w:hAnsi="宋体" w:eastAsia="宋体" w:cs="宋体"/>
          <w:color w:val="auto"/>
        </w:rPr>
      </w:pPr>
    </w:p>
    <w:p w14:paraId="29A04642">
      <w:pPr>
        <w:rPr>
          <w:rFonts w:hint="eastAsia" w:ascii="宋体" w:hAnsi="宋体" w:eastAsia="宋体" w:cs="宋体"/>
          <w:color w:val="auto"/>
        </w:rPr>
      </w:pPr>
    </w:p>
    <w:p w14:paraId="7A14BFE9">
      <w:pPr>
        <w:rPr>
          <w:rFonts w:hint="eastAsia" w:ascii="宋体" w:hAnsi="宋体" w:eastAsia="宋体" w:cs="宋体"/>
          <w:color w:val="auto"/>
        </w:rPr>
      </w:pPr>
    </w:p>
    <w:p w14:paraId="107EEDF1">
      <w:pPr>
        <w:rPr>
          <w:rFonts w:hint="eastAsia" w:ascii="宋体" w:hAnsi="宋体" w:eastAsia="宋体" w:cs="宋体"/>
          <w:color w:val="auto"/>
        </w:rPr>
      </w:pPr>
    </w:p>
    <w:p w14:paraId="59E097D9">
      <w:pPr>
        <w:rPr>
          <w:rFonts w:hint="eastAsia" w:ascii="宋体" w:hAnsi="宋体" w:eastAsia="宋体" w:cs="宋体"/>
          <w:color w:val="auto"/>
        </w:rPr>
      </w:pPr>
    </w:p>
    <w:p w14:paraId="20B27B58">
      <w:pPr>
        <w:rPr>
          <w:rFonts w:hint="eastAsia" w:ascii="宋体" w:hAnsi="宋体" w:eastAsia="宋体" w:cs="宋体"/>
          <w:color w:val="auto"/>
        </w:rPr>
      </w:pPr>
    </w:p>
    <w:p w14:paraId="7889C4DE">
      <w:pPr>
        <w:rPr>
          <w:rFonts w:hint="eastAsia" w:ascii="宋体" w:hAnsi="宋体" w:eastAsia="宋体" w:cs="宋体"/>
          <w:color w:val="auto"/>
        </w:rPr>
      </w:pPr>
    </w:p>
    <w:p w14:paraId="6FD363AA">
      <w:pPr>
        <w:rPr>
          <w:rFonts w:hint="eastAsia" w:ascii="宋体" w:hAnsi="宋体" w:eastAsia="宋体" w:cs="宋体"/>
          <w:color w:val="auto"/>
        </w:rPr>
      </w:pPr>
    </w:p>
    <w:p w14:paraId="1E847A93">
      <w:pPr>
        <w:rPr>
          <w:rFonts w:hint="eastAsia" w:ascii="宋体" w:hAnsi="宋体" w:eastAsia="宋体" w:cs="宋体"/>
          <w:color w:val="auto"/>
        </w:rPr>
      </w:pPr>
    </w:p>
    <w:p w14:paraId="78DB59CB">
      <w:pPr>
        <w:rPr>
          <w:rFonts w:hint="eastAsia" w:ascii="宋体" w:hAnsi="宋体" w:eastAsia="宋体" w:cs="宋体"/>
          <w:color w:val="auto"/>
        </w:rPr>
      </w:pPr>
    </w:p>
    <w:p w14:paraId="1EC5520E">
      <w:pPr>
        <w:rPr>
          <w:rFonts w:hint="eastAsia" w:ascii="宋体" w:hAnsi="宋体" w:eastAsia="宋体" w:cs="宋体"/>
          <w:color w:val="auto"/>
        </w:rPr>
      </w:pPr>
    </w:p>
    <w:p w14:paraId="2D2CAE69">
      <w:pPr>
        <w:rPr>
          <w:rFonts w:hint="eastAsia" w:ascii="宋体" w:hAnsi="宋体" w:eastAsia="宋体" w:cs="宋体"/>
          <w:color w:val="auto"/>
        </w:rPr>
      </w:pPr>
    </w:p>
    <w:p w14:paraId="5C5EAF59">
      <w:pPr>
        <w:rPr>
          <w:rFonts w:hint="eastAsia" w:ascii="宋体" w:hAnsi="宋体" w:eastAsia="宋体" w:cs="宋体"/>
          <w:color w:val="auto"/>
        </w:rPr>
      </w:pPr>
    </w:p>
    <w:p w14:paraId="6C2E46E9">
      <w:pPr>
        <w:rPr>
          <w:rFonts w:hint="eastAsia" w:ascii="宋体" w:hAnsi="宋体" w:eastAsia="宋体" w:cs="宋体"/>
          <w:color w:val="auto"/>
        </w:rPr>
      </w:pPr>
    </w:p>
    <w:p w14:paraId="6AE43EA5">
      <w:pPr>
        <w:rPr>
          <w:rFonts w:hint="eastAsia" w:ascii="宋体" w:hAnsi="宋体" w:eastAsia="宋体" w:cs="宋体"/>
          <w:color w:val="auto"/>
        </w:rPr>
      </w:pPr>
    </w:p>
    <w:p w14:paraId="2736B61F">
      <w:pPr>
        <w:rPr>
          <w:rFonts w:hint="eastAsia" w:ascii="宋体" w:hAnsi="宋体" w:eastAsia="宋体" w:cs="宋体"/>
          <w:color w:val="auto"/>
        </w:rPr>
      </w:pPr>
    </w:p>
    <w:p w14:paraId="6C02963C">
      <w:pPr>
        <w:rPr>
          <w:rFonts w:hint="eastAsia" w:ascii="宋体" w:hAnsi="宋体" w:eastAsia="宋体" w:cs="宋体"/>
          <w:color w:val="auto"/>
        </w:rPr>
      </w:pPr>
    </w:p>
    <w:p w14:paraId="76D76CB2">
      <w:pPr>
        <w:rPr>
          <w:rFonts w:hint="eastAsia" w:ascii="宋体" w:hAnsi="宋体" w:eastAsia="宋体" w:cs="宋体"/>
          <w:color w:val="auto"/>
        </w:rPr>
      </w:pPr>
    </w:p>
    <w:p w14:paraId="0814AF2B">
      <w:pPr>
        <w:rPr>
          <w:rFonts w:hint="eastAsia" w:ascii="宋体" w:hAnsi="宋体" w:eastAsia="宋体" w:cs="宋体"/>
          <w:color w:val="auto"/>
        </w:rPr>
      </w:pPr>
    </w:p>
    <w:p w14:paraId="501A9953">
      <w:pPr>
        <w:rPr>
          <w:rFonts w:hint="eastAsia" w:ascii="宋体" w:hAnsi="宋体" w:eastAsia="宋体" w:cs="宋体"/>
          <w:color w:val="auto"/>
        </w:rPr>
      </w:pPr>
    </w:p>
    <w:p w14:paraId="2247FD23">
      <w:pPr>
        <w:rPr>
          <w:rFonts w:hint="eastAsia" w:ascii="宋体" w:hAnsi="宋体" w:eastAsia="宋体" w:cs="宋体"/>
          <w:color w:val="auto"/>
        </w:rPr>
      </w:pPr>
    </w:p>
    <w:p w14:paraId="4982446F">
      <w:pPr>
        <w:rPr>
          <w:rFonts w:hint="eastAsia" w:ascii="宋体" w:hAnsi="宋体" w:eastAsia="宋体" w:cs="宋体"/>
          <w:color w:val="auto"/>
        </w:rPr>
      </w:pPr>
    </w:p>
    <w:p w14:paraId="4CB9B672">
      <w:pPr>
        <w:rPr>
          <w:rFonts w:hint="eastAsia" w:ascii="宋体" w:hAnsi="宋体" w:eastAsia="宋体" w:cs="宋体"/>
          <w:color w:val="auto"/>
        </w:rPr>
      </w:pPr>
    </w:p>
    <w:p w14:paraId="0BF7D803">
      <w:pPr>
        <w:rPr>
          <w:rFonts w:hint="eastAsia" w:ascii="宋体" w:hAnsi="宋体" w:eastAsia="宋体" w:cs="宋体"/>
          <w:color w:val="auto"/>
        </w:rPr>
      </w:pPr>
    </w:p>
    <w:p w14:paraId="78DB4505">
      <w:pPr>
        <w:pStyle w:val="37"/>
        <w:spacing w:before="240" w:after="240"/>
        <w:outlineLvl w:val="0"/>
        <w:rPr>
          <w:rFonts w:hint="eastAsia" w:ascii="宋体" w:hAnsi="宋体" w:eastAsia="宋体" w:cs="宋体"/>
          <w:color w:val="auto"/>
          <w:sz w:val="40"/>
          <w:szCs w:val="28"/>
          <w:lang w:eastAsia="zh-CN"/>
        </w:rPr>
      </w:pPr>
      <w:bookmarkStart w:id="11" w:name="_Toc1803"/>
      <w:r>
        <w:rPr>
          <w:rFonts w:hint="eastAsia" w:ascii="宋体" w:hAnsi="宋体" w:eastAsia="宋体" w:cs="宋体"/>
          <w:color w:val="auto"/>
          <w:sz w:val="40"/>
          <w:szCs w:val="28"/>
          <w:lang w:eastAsia="zh-CN"/>
        </w:rPr>
        <w:t>第五章　磋商响应文件构成及基本格式</w:t>
      </w:r>
      <w:bookmarkEnd w:id="11"/>
    </w:p>
    <w:p w14:paraId="1BE1F91D">
      <w:pPr>
        <w:spacing w:line="500" w:lineRule="exact"/>
        <w:rPr>
          <w:rFonts w:hint="eastAsia" w:ascii="宋体" w:hAnsi="宋体" w:eastAsia="宋体" w:cs="宋体"/>
          <w:color w:val="auto"/>
          <w:sz w:val="32"/>
          <w:szCs w:val="32"/>
          <w:u w:val="single"/>
          <w:lang w:val="en-US" w:eastAsia="zh-CN"/>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u w:val="single"/>
          <w:lang w:val="en-US" w:eastAsia="zh-CN"/>
        </w:rPr>
        <w:t xml:space="preserve"> SxDY-2025-250  </w:t>
      </w:r>
    </w:p>
    <w:p w14:paraId="215CC660">
      <w:pPr>
        <w:spacing w:line="500" w:lineRule="exact"/>
        <w:ind w:firstLine="211"/>
        <w:jc w:val="right"/>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正/副本</w:t>
      </w:r>
    </w:p>
    <w:p w14:paraId="4B4EB2CE">
      <w:pPr>
        <w:spacing w:line="500" w:lineRule="exact"/>
        <w:ind w:firstLine="211"/>
        <w:jc w:val="center"/>
        <w:rPr>
          <w:rFonts w:hint="eastAsia" w:ascii="宋体" w:hAnsi="宋体" w:eastAsia="宋体" w:cs="宋体"/>
          <w:b/>
          <w:color w:val="auto"/>
          <w:sz w:val="44"/>
          <w:szCs w:val="44"/>
        </w:rPr>
      </w:pPr>
    </w:p>
    <w:p w14:paraId="318F1745">
      <w:pPr>
        <w:jc w:val="center"/>
        <w:rPr>
          <w:rFonts w:hint="eastAsia" w:ascii="宋体" w:hAnsi="宋体" w:eastAsia="宋体" w:cs="宋体"/>
          <w:b/>
          <w:color w:val="auto"/>
          <w:sz w:val="44"/>
          <w:u w:val="single"/>
          <w:lang w:eastAsia="zh-CN"/>
        </w:rPr>
      </w:pPr>
    </w:p>
    <w:p w14:paraId="1E68C3D4">
      <w:pPr>
        <w:pStyle w:val="9"/>
        <w:jc w:val="center"/>
        <w:rPr>
          <w:rFonts w:hint="eastAsia" w:ascii="宋体" w:hAnsi="宋体" w:eastAsia="宋体" w:cs="宋体"/>
          <w:b/>
          <w:color w:val="auto"/>
          <w:sz w:val="44"/>
          <w:szCs w:val="44"/>
        </w:rPr>
      </w:pPr>
      <w:r>
        <w:rPr>
          <w:rFonts w:hint="eastAsia" w:ascii="宋体" w:hAnsi="宋体" w:cs="宋体"/>
          <w:b/>
          <w:color w:val="auto"/>
          <w:sz w:val="44"/>
          <w:szCs w:val="24"/>
          <w:u w:val="none"/>
          <w:lang w:eastAsia="zh-CN"/>
        </w:rPr>
        <w:t>安康市石泉县汉江流域（石泉段）水环境综合整治项目设计和地勘采购</w:t>
      </w:r>
    </w:p>
    <w:p w14:paraId="1E470002">
      <w:pPr>
        <w:rPr>
          <w:rFonts w:hint="eastAsia" w:ascii="宋体" w:hAnsi="宋体" w:eastAsia="宋体" w:cs="宋体"/>
          <w:color w:val="auto"/>
        </w:rPr>
      </w:pPr>
    </w:p>
    <w:p w14:paraId="76EF74D9">
      <w:pPr>
        <w:jc w:val="center"/>
        <w:rPr>
          <w:rFonts w:hint="eastAsia" w:ascii="宋体" w:hAnsi="宋体" w:eastAsia="宋体" w:cs="宋体"/>
          <w:b/>
          <w:color w:val="auto"/>
          <w:sz w:val="56"/>
          <w:szCs w:val="32"/>
          <w:u w:val="none"/>
          <w:lang w:eastAsia="zh-CN"/>
        </w:rPr>
      </w:pPr>
    </w:p>
    <w:p w14:paraId="4658C036">
      <w:pPr>
        <w:jc w:val="center"/>
        <w:rPr>
          <w:rFonts w:hint="eastAsia" w:ascii="宋体" w:hAnsi="宋体" w:eastAsia="宋体" w:cs="宋体"/>
          <w:b/>
          <w:color w:val="auto"/>
          <w:sz w:val="56"/>
          <w:szCs w:val="32"/>
          <w:u w:val="none"/>
          <w:lang w:eastAsia="zh-CN"/>
        </w:rPr>
      </w:pPr>
    </w:p>
    <w:p w14:paraId="7DE40881">
      <w:pPr>
        <w:jc w:val="center"/>
        <w:rPr>
          <w:rFonts w:hint="eastAsia" w:ascii="宋体" w:hAnsi="宋体" w:eastAsia="宋体" w:cs="宋体"/>
          <w:b/>
          <w:color w:val="auto"/>
          <w:sz w:val="56"/>
          <w:szCs w:val="32"/>
          <w:u w:val="none"/>
          <w:lang w:eastAsia="zh-CN"/>
        </w:rPr>
      </w:pPr>
      <w:r>
        <w:rPr>
          <w:rFonts w:hint="eastAsia" w:ascii="宋体" w:hAnsi="宋体" w:eastAsia="宋体" w:cs="宋体"/>
          <w:b/>
          <w:color w:val="auto"/>
          <w:sz w:val="56"/>
          <w:szCs w:val="32"/>
          <w:u w:val="none"/>
          <w:lang w:eastAsia="zh-CN"/>
        </w:rPr>
        <w:t>磋商响应文件</w:t>
      </w:r>
    </w:p>
    <w:p w14:paraId="1852F3BA">
      <w:pPr>
        <w:jc w:val="center"/>
        <w:rPr>
          <w:rFonts w:hint="eastAsia" w:ascii="宋体" w:hAnsi="宋体" w:eastAsia="宋体" w:cs="宋体"/>
          <w:b/>
          <w:color w:val="auto"/>
          <w:sz w:val="56"/>
          <w:szCs w:val="32"/>
          <w:u w:val="none"/>
          <w:lang w:eastAsia="zh-CN"/>
        </w:rPr>
      </w:pPr>
      <w:r>
        <w:rPr>
          <w:rFonts w:hint="eastAsia" w:ascii="宋体" w:hAnsi="宋体" w:eastAsia="宋体" w:cs="宋体"/>
          <w:b/>
          <w:color w:val="auto"/>
          <w:sz w:val="56"/>
          <w:szCs w:val="32"/>
          <w:u w:val="none"/>
          <w:lang w:eastAsia="zh-CN"/>
        </w:rPr>
        <w:t xml:space="preserve">  </w:t>
      </w:r>
    </w:p>
    <w:p w14:paraId="408EE11D">
      <w:pPr>
        <w:rPr>
          <w:rFonts w:hint="eastAsia" w:ascii="宋体" w:hAnsi="宋体" w:eastAsia="宋体" w:cs="宋体"/>
          <w:color w:val="auto"/>
          <w:sz w:val="32"/>
          <w:szCs w:val="32"/>
        </w:rPr>
      </w:pPr>
    </w:p>
    <w:p w14:paraId="7F115153">
      <w:pPr>
        <w:pStyle w:val="9"/>
        <w:rPr>
          <w:rFonts w:hint="eastAsia" w:ascii="宋体" w:hAnsi="宋体" w:eastAsia="宋体" w:cs="宋体"/>
          <w:color w:val="auto"/>
          <w:sz w:val="32"/>
          <w:szCs w:val="32"/>
        </w:rPr>
      </w:pPr>
    </w:p>
    <w:p w14:paraId="4360EAEE">
      <w:pPr>
        <w:pStyle w:val="9"/>
        <w:rPr>
          <w:rFonts w:hint="eastAsia" w:ascii="宋体" w:hAnsi="宋体" w:eastAsia="宋体" w:cs="宋体"/>
          <w:color w:val="auto"/>
          <w:sz w:val="32"/>
          <w:szCs w:val="32"/>
        </w:rPr>
      </w:pPr>
    </w:p>
    <w:p w14:paraId="0F86EE4A">
      <w:pPr>
        <w:spacing w:line="500" w:lineRule="exact"/>
        <w:rPr>
          <w:rFonts w:hint="eastAsia" w:ascii="宋体" w:hAnsi="宋体" w:eastAsia="宋体" w:cs="宋体"/>
          <w:color w:val="auto"/>
          <w:sz w:val="32"/>
          <w:szCs w:val="32"/>
        </w:rPr>
      </w:pPr>
    </w:p>
    <w:p w14:paraId="7248DCF1">
      <w:pPr>
        <w:spacing w:line="500" w:lineRule="exact"/>
        <w:rPr>
          <w:rFonts w:hint="eastAsia" w:ascii="宋体" w:hAnsi="宋体" w:eastAsia="宋体" w:cs="宋体"/>
          <w:color w:val="auto"/>
          <w:sz w:val="32"/>
          <w:szCs w:val="32"/>
        </w:rPr>
      </w:pPr>
    </w:p>
    <w:p w14:paraId="403455AB">
      <w:pPr>
        <w:adjustRightInd w:val="0"/>
        <w:snapToGrid w:val="0"/>
        <w:spacing w:line="1000" w:lineRule="exact"/>
        <w:ind w:firstLine="1576"/>
        <w:outlineLvl w:val="0"/>
        <w:rPr>
          <w:rFonts w:hint="eastAsia" w:ascii="宋体" w:hAnsi="宋体" w:eastAsia="宋体" w:cs="宋体"/>
          <w:b/>
          <w:color w:val="auto"/>
          <w:sz w:val="32"/>
          <w:szCs w:val="32"/>
          <w:u w:val="thick"/>
        </w:rPr>
      </w:pPr>
      <w:bookmarkStart w:id="12" w:name="_Toc24344"/>
      <w:bookmarkStart w:id="13" w:name="_Toc9708"/>
      <w:bookmarkStart w:id="14" w:name="_Toc5020"/>
      <w:r>
        <w:rPr>
          <w:rFonts w:hint="eastAsia" w:ascii="宋体" w:hAnsi="宋体" w:eastAsia="宋体" w:cs="宋体"/>
          <w:b/>
          <w:bCs/>
          <w:color w:val="auto"/>
          <w:sz w:val="32"/>
          <w:szCs w:val="32"/>
        </w:rPr>
        <w:t>供 应 商（盖章）</w:t>
      </w:r>
      <w:r>
        <w:rPr>
          <w:rFonts w:hint="eastAsia" w:ascii="宋体" w:hAnsi="宋体" w:eastAsia="宋体" w:cs="宋体"/>
          <w:b/>
          <w:color w:val="auto"/>
          <w:sz w:val="32"/>
          <w:szCs w:val="32"/>
        </w:rPr>
        <w:t>：</w:t>
      </w:r>
      <w:bookmarkEnd w:id="12"/>
      <w:bookmarkEnd w:id="13"/>
      <w:bookmarkEnd w:id="14"/>
    </w:p>
    <w:p w14:paraId="52174785">
      <w:pPr>
        <w:adjustRightInd w:val="0"/>
        <w:snapToGrid w:val="0"/>
        <w:spacing w:line="1000" w:lineRule="exact"/>
        <w:ind w:firstLine="1576"/>
        <w:outlineLvl w:val="0"/>
        <w:rPr>
          <w:rFonts w:hint="eastAsia" w:ascii="宋体" w:hAnsi="宋体" w:eastAsia="宋体" w:cs="宋体"/>
          <w:b/>
          <w:bCs/>
          <w:color w:val="auto"/>
          <w:sz w:val="32"/>
          <w:szCs w:val="32"/>
          <w:u w:val="thick"/>
        </w:rPr>
      </w:pPr>
      <w:bookmarkStart w:id="15" w:name="_Toc32146"/>
      <w:bookmarkStart w:id="16" w:name="_Toc7607"/>
      <w:bookmarkStart w:id="17" w:name="_Toc26102"/>
      <w:r>
        <w:rPr>
          <w:rFonts w:hint="eastAsia" w:ascii="宋体" w:hAnsi="宋体" w:eastAsia="宋体" w:cs="宋体"/>
          <w:b/>
          <w:bCs/>
          <w:color w:val="auto"/>
          <w:sz w:val="32"/>
          <w:szCs w:val="32"/>
        </w:rPr>
        <w:t>法定代表人或授权委托人（签字</w:t>
      </w:r>
      <w:r>
        <w:rPr>
          <w:rFonts w:hint="eastAsia" w:ascii="宋体" w:hAnsi="宋体" w:eastAsia="宋体" w:cs="宋体"/>
          <w:b/>
          <w:bCs/>
          <w:color w:val="auto"/>
          <w:sz w:val="32"/>
          <w:szCs w:val="32"/>
          <w:lang w:eastAsia="zh-CN"/>
        </w:rPr>
        <w:t>或</w:t>
      </w:r>
      <w:r>
        <w:rPr>
          <w:rFonts w:hint="eastAsia" w:ascii="宋体" w:hAnsi="宋体" w:eastAsia="宋体" w:cs="宋体"/>
          <w:b/>
          <w:bCs/>
          <w:color w:val="auto"/>
          <w:sz w:val="32"/>
          <w:szCs w:val="32"/>
        </w:rPr>
        <w:t>盖章）：</w:t>
      </w:r>
      <w:bookmarkEnd w:id="15"/>
      <w:bookmarkEnd w:id="16"/>
      <w:bookmarkEnd w:id="17"/>
    </w:p>
    <w:p w14:paraId="0BC912D3">
      <w:pPr>
        <w:adjustRightInd w:val="0"/>
        <w:snapToGrid w:val="0"/>
        <w:spacing w:line="1000" w:lineRule="exact"/>
        <w:ind w:firstLine="1576"/>
        <w:outlineLvl w:val="0"/>
        <w:rPr>
          <w:rFonts w:hint="eastAsia" w:ascii="宋体" w:hAnsi="宋体" w:eastAsia="宋体" w:cs="宋体"/>
          <w:color w:val="auto"/>
          <w:sz w:val="32"/>
          <w:szCs w:val="32"/>
          <w:u w:val="thick"/>
        </w:rPr>
      </w:pPr>
      <w:bookmarkStart w:id="18" w:name="_Toc1143"/>
      <w:bookmarkStart w:id="19" w:name="_Toc2862"/>
      <w:bookmarkStart w:id="20" w:name="_Toc6355"/>
      <w:r>
        <w:rPr>
          <w:rFonts w:hint="eastAsia" w:ascii="宋体" w:hAnsi="宋体" w:eastAsia="宋体" w:cs="宋体"/>
          <w:b/>
          <w:color w:val="auto"/>
          <w:sz w:val="32"/>
          <w:szCs w:val="32"/>
        </w:rPr>
        <w:t>时    间</w:t>
      </w:r>
      <w:r>
        <w:rPr>
          <w:rFonts w:hint="eastAsia" w:ascii="宋体" w:hAnsi="宋体" w:eastAsia="宋体" w:cs="宋体"/>
          <w:color w:val="auto"/>
          <w:sz w:val="32"/>
          <w:szCs w:val="32"/>
        </w:rPr>
        <w:t>：</w:t>
      </w:r>
      <w:bookmarkEnd w:id="18"/>
      <w:bookmarkEnd w:id="19"/>
      <w:bookmarkEnd w:id="20"/>
    </w:p>
    <w:p w14:paraId="69C88C70">
      <w:pPr>
        <w:pageBreakBefore/>
        <w:spacing w:line="500" w:lineRule="exact"/>
        <w:jc w:val="center"/>
        <w:rPr>
          <w:rFonts w:hint="eastAsia" w:ascii="宋体" w:hAnsi="宋体" w:eastAsia="宋体" w:cs="宋体"/>
          <w:b/>
          <w:color w:val="auto"/>
          <w:sz w:val="50"/>
        </w:rPr>
      </w:pPr>
      <w:r>
        <w:rPr>
          <w:rFonts w:hint="eastAsia" w:ascii="宋体" w:hAnsi="宋体" w:eastAsia="宋体" w:cs="宋体"/>
          <w:b/>
          <w:color w:val="auto"/>
          <w:sz w:val="50"/>
        </w:rPr>
        <w:t>目　　录</w:t>
      </w:r>
    </w:p>
    <w:p w14:paraId="6B59A56E">
      <w:pPr>
        <w:spacing w:line="600" w:lineRule="auto"/>
        <w:outlineLvl w:val="0"/>
        <w:rPr>
          <w:rFonts w:hint="eastAsia" w:ascii="宋体" w:hAnsi="宋体" w:eastAsia="宋体" w:cs="宋体"/>
          <w:b/>
          <w:bCs/>
          <w:color w:val="auto"/>
          <w:sz w:val="28"/>
          <w:szCs w:val="28"/>
        </w:rPr>
      </w:pPr>
      <w:bookmarkStart w:id="21" w:name="_Toc32072"/>
      <w:bookmarkStart w:id="22" w:name="_Toc276"/>
      <w:bookmarkStart w:id="23" w:name="_Toc3551"/>
      <w:r>
        <w:rPr>
          <w:rFonts w:hint="eastAsia" w:ascii="宋体" w:hAnsi="宋体" w:eastAsia="宋体" w:cs="宋体"/>
          <w:b/>
          <w:bCs/>
          <w:color w:val="auto"/>
          <w:sz w:val="28"/>
          <w:szCs w:val="28"/>
        </w:rPr>
        <w:t>一、投标函</w:t>
      </w:r>
      <w:bookmarkEnd w:id="21"/>
      <w:bookmarkEnd w:id="22"/>
      <w:bookmarkEnd w:id="23"/>
    </w:p>
    <w:p w14:paraId="3CB4A832">
      <w:pPr>
        <w:spacing w:line="600" w:lineRule="auto"/>
        <w:outlineLvl w:val="0"/>
        <w:rPr>
          <w:rFonts w:hint="eastAsia" w:ascii="宋体" w:hAnsi="宋体" w:eastAsia="宋体" w:cs="宋体"/>
          <w:b/>
          <w:bCs/>
          <w:color w:val="auto"/>
          <w:sz w:val="28"/>
          <w:szCs w:val="28"/>
        </w:rPr>
      </w:pPr>
      <w:bookmarkStart w:id="24" w:name="_Toc25752"/>
      <w:bookmarkStart w:id="25" w:name="_Toc1351"/>
      <w:bookmarkStart w:id="26" w:name="_Toc6462"/>
      <w:r>
        <w:rPr>
          <w:rFonts w:hint="eastAsia" w:ascii="宋体" w:hAnsi="宋体" w:eastAsia="宋体" w:cs="宋体"/>
          <w:b/>
          <w:bCs/>
          <w:color w:val="auto"/>
          <w:sz w:val="28"/>
          <w:szCs w:val="28"/>
        </w:rPr>
        <w:t>二、</w:t>
      </w:r>
      <w:bookmarkEnd w:id="24"/>
      <w:bookmarkEnd w:id="25"/>
      <w:r>
        <w:rPr>
          <w:rFonts w:hint="eastAsia" w:ascii="宋体" w:hAnsi="宋体" w:eastAsia="宋体" w:cs="宋体"/>
          <w:b/>
          <w:bCs/>
          <w:color w:val="auto"/>
          <w:sz w:val="28"/>
          <w:szCs w:val="28"/>
        </w:rPr>
        <w:t>磋商报价表</w:t>
      </w:r>
      <w:bookmarkEnd w:id="26"/>
    </w:p>
    <w:p w14:paraId="2C845DFC">
      <w:pPr>
        <w:spacing w:line="600" w:lineRule="auto"/>
        <w:outlineLvl w:val="0"/>
        <w:rPr>
          <w:rFonts w:hint="eastAsia" w:ascii="宋体" w:hAnsi="宋体" w:eastAsia="宋体" w:cs="宋体"/>
          <w:b/>
          <w:bCs/>
          <w:color w:val="auto"/>
          <w:sz w:val="28"/>
          <w:szCs w:val="28"/>
        </w:rPr>
      </w:pPr>
      <w:bookmarkStart w:id="27" w:name="_Toc5745"/>
      <w:bookmarkStart w:id="28" w:name="_Toc7874"/>
      <w:bookmarkStart w:id="29" w:name="_Toc1961"/>
      <w:r>
        <w:rPr>
          <w:rFonts w:hint="eastAsia" w:ascii="宋体" w:hAnsi="宋体" w:eastAsia="宋体" w:cs="宋体"/>
          <w:b/>
          <w:bCs/>
          <w:color w:val="auto"/>
          <w:sz w:val="28"/>
          <w:szCs w:val="28"/>
        </w:rPr>
        <w:t>三、</w:t>
      </w:r>
      <w:bookmarkEnd w:id="27"/>
      <w:r>
        <w:rPr>
          <w:rFonts w:hint="eastAsia" w:ascii="宋体" w:hAnsi="宋体" w:eastAsia="宋体" w:cs="宋体"/>
          <w:b/>
          <w:bCs/>
          <w:color w:val="auto"/>
          <w:sz w:val="28"/>
          <w:szCs w:val="28"/>
        </w:rPr>
        <w:t>资格证明文件</w:t>
      </w:r>
      <w:bookmarkEnd w:id="28"/>
      <w:bookmarkEnd w:id="29"/>
    </w:p>
    <w:p w14:paraId="3D8FC12F">
      <w:pPr>
        <w:spacing w:line="600" w:lineRule="auto"/>
        <w:outlineLvl w:val="0"/>
        <w:rPr>
          <w:rFonts w:hint="eastAsia" w:ascii="宋体" w:hAnsi="宋体" w:eastAsia="宋体" w:cs="宋体"/>
          <w:b/>
          <w:bCs/>
          <w:color w:val="auto"/>
          <w:sz w:val="28"/>
          <w:szCs w:val="28"/>
        </w:rPr>
      </w:pPr>
      <w:bookmarkStart w:id="30" w:name="_Toc31762"/>
      <w:bookmarkStart w:id="31" w:name="_Toc7257"/>
      <w:bookmarkStart w:id="32" w:name="_Toc12676"/>
      <w:r>
        <w:rPr>
          <w:rFonts w:hint="eastAsia" w:ascii="宋体" w:hAnsi="宋体" w:eastAsia="宋体" w:cs="宋体"/>
          <w:b/>
          <w:bCs/>
          <w:color w:val="auto"/>
          <w:sz w:val="28"/>
          <w:szCs w:val="28"/>
        </w:rPr>
        <w:t xml:space="preserve">四、 </w:t>
      </w:r>
      <w:bookmarkEnd w:id="30"/>
      <w:r>
        <w:rPr>
          <w:rFonts w:hint="eastAsia" w:ascii="宋体" w:hAnsi="宋体" w:eastAsia="宋体" w:cs="宋体"/>
          <w:b/>
          <w:bCs/>
          <w:color w:val="auto"/>
          <w:sz w:val="28"/>
          <w:szCs w:val="28"/>
        </w:rPr>
        <w:t>投标方案</w:t>
      </w:r>
      <w:bookmarkEnd w:id="31"/>
      <w:bookmarkEnd w:id="32"/>
      <w:bookmarkStart w:id="33" w:name="_Toc26495"/>
    </w:p>
    <w:p w14:paraId="4F3C14FC">
      <w:pPr>
        <w:spacing w:line="600" w:lineRule="auto"/>
        <w:outlineLvl w:val="0"/>
        <w:rPr>
          <w:rFonts w:hint="eastAsia" w:ascii="宋体" w:hAnsi="宋体" w:eastAsia="宋体" w:cs="宋体"/>
          <w:b/>
          <w:bCs/>
          <w:color w:val="auto"/>
          <w:sz w:val="28"/>
          <w:szCs w:val="28"/>
        </w:rPr>
      </w:pPr>
      <w:bookmarkStart w:id="34" w:name="_Toc197"/>
      <w:bookmarkStart w:id="35" w:name="_Toc2551"/>
      <w:r>
        <w:rPr>
          <w:rFonts w:hint="eastAsia" w:ascii="宋体" w:hAnsi="宋体" w:eastAsia="宋体" w:cs="宋体"/>
          <w:b/>
          <w:bCs/>
          <w:color w:val="auto"/>
          <w:sz w:val="28"/>
          <w:szCs w:val="28"/>
        </w:rPr>
        <w:t>五、投标人近三年类似项目业绩</w:t>
      </w:r>
      <w:bookmarkEnd w:id="34"/>
      <w:bookmarkEnd w:id="35"/>
    </w:p>
    <w:p w14:paraId="2B722E68">
      <w:pPr>
        <w:spacing w:line="600" w:lineRule="auto"/>
        <w:outlineLvl w:val="0"/>
        <w:rPr>
          <w:rFonts w:hint="eastAsia" w:ascii="宋体" w:hAnsi="宋体" w:eastAsia="宋体" w:cs="宋体"/>
          <w:b/>
          <w:bCs/>
          <w:color w:val="auto"/>
          <w:sz w:val="28"/>
          <w:szCs w:val="28"/>
        </w:rPr>
      </w:pPr>
      <w:bookmarkStart w:id="36" w:name="_Toc26652"/>
      <w:bookmarkStart w:id="37" w:name="_Toc131"/>
      <w:r>
        <w:rPr>
          <w:rFonts w:hint="eastAsia" w:ascii="宋体" w:hAnsi="宋体" w:eastAsia="宋体" w:cs="宋体"/>
          <w:b/>
          <w:bCs/>
          <w:color w:val="auto"/>
          <w:sz w:val="28"/>
          <w:szCs w:val="28"/>
        </w:rPr>
        <w:t>六、政府采购投标人拒绝政府采购领域商业贿赂承诺书</w:t>
      </w:r>
      <w:bookmarkEnd w:id="36"/>
      <w:bookmarkEnd w:id="37"/>
    </w:p>
    <w:bookmarkEnd w:id="33"/>
    <w:p w14:paraId="290BE8D4">
      <w:pPr>
        <w:spacing w:line="600" w:lineRule="auto"/>
        <w:outlineLvl w:val="0"/>
        <w:rPr>
          <w:rFonts w:hint="eastAsia" w:ascii="宋体" w:hAnsi="宋体" w:eastAsia="宋体" w:cs="宋体"/>
          <w:b/>
          <w:bCs/>
          <w:color w:val="auto"/>
          <w:sz w:val="28"/>
          <w:szCs w:val="28"/>
        </w:rPr>
      </w:pPr>
      <w:bookmarkStart w:id="38" w:name="_Toc12215"/>
      <w:bookmarkStart w:id="39" w:name="_Toc20217"/>
      <w:bookmarkStart w:id="40" w:name="_Toc22362"/>
      <w:r>
        <w:rPr>
          <w:rFonts w:hint="eastAsia" w:ascii="宋体" w:hAnsi="宋体" w:eastAsia="宋体" w:cs="宋体"/>
          <w:b/>
          <w:bCs/>
          <w:color w:val="auto"/>
          <w:sz w:val="28"/>
          <w:szCs w:val="28"/>
        </w:rPr>
        <w:t>七、其他材料</w:t>
      </w:r>
      <w:bookmarkEnd w:id="38"/>
      <w:bookmarkEnd w:id="39"/>
      <w:bookmarkEnd w:id="40"/>
    </w:p>
    <w:p w14:paraId="1CEF4A84">
      <w:pPr>
        <w:pStyle w:val="26"/>
        <w:autoSpaceDE w:val="0"/>
        <w:autoSpaceDN w:val="0"/>
        <w:spacing w:line="600" w:lineRule="auto"/>
        <w:ind w:firstLine="560" w:firstLineChars="200"/>
        <w:jc w:val="left"/>
        <w:rPr>
          <w:rFonts w:hint="eastAsia" w:ascii="宋体" w:hAnsi="宋体" w:eastAsia="宋体" w:cs="宋体"/>
          <w:b w:val="0"/>
          <w:color w:val="auto"/>
          <w:kern w:val="2"/>
          <w:sz w:val="28"/>
          <w:szCs w:val="28"/>
        </w:rPr>
      </w:pPr>
    </w:p>
    <w:p w14:paraId="26149EC0">
      <w:pPr>
        <w:pStyle w:val="26"/>
        <w:autoSpaceDE w:val="0"/>
        <w:autoSpaceDN w:val="0"/>
        <w:spacing w:line="600" w:lineRule="auto"/>
        <w:ind w:firstLine="560" w:firstLineChars="200"/>
        <w:jc w:val="left"/>
        <w:rPr>
          <w:rFonts w:hint="eastAsia" w:ascii="宋体" w:hAnsi="宋体" w:eastAsia="宋体" w:cs="宋体"/>
          <w:b w:val="0"/>
          <w:color w:val="auto"/>
          <w:kern w:val="2"/>
          <w:sz w:val="28"/>
          <w:szCs w:val="28"/>
        </w:rPr>
      </w:pPr>
    </w:p>
    <w:p w14:paraId="0BCEA824">
      <w:pPr>
        <w:pStyle w:val="26"/>
        <w:autoSpaceDE w:val="0"/>
        <w:autoSpaceDN w:val="0"/>
        <w:spacing w:line="600" w:lineRule="auto"/>
        <w:ind w:firstLine="560" w:firstLineChars="200"/>
        <w:jc w:val="left"/>
        <w:rPr>
          <w:rFonts w:hint="eastAsia" w:ascii="宋体" w:hAnsi="宋体" w:eastAsia="宋体" w:cs="宋体"/>
          <w:b w:val="0"/>
          <w:color w:val="auto"/>
          <w:sz w:val="28"/>
          <w:szCs w:val="28"/>
        </w:rPr>
      </w:pPr>
    </w:p>
    <w:p w14:paraId="7B3B6050">
      <w:pPr>
        <w:pStyle w:val="26"/>
        <w:spacing w:line="500" w:lineRule="exact"/>
        <w:jc w:val="left"/>
        <w:rPr>
          <w:rFonts w:hint="eastAsia" w:ascii="宋体" w:hAnsi="宋体" w:eastAsia="宋体" w:cs="宋体"/>
          <w:bCs/>
          <w:color w:val="auto"/>
          <w:sz w:val="28"/>
          <w:szCs w:val="28"/>
        </w:rPr>
      </w:pPr>
    </w:p>
    <w:p w14:paraId="1918A54A">
      <w:pPr>
        <w:pStyle w:val="26"/>
        <w:spacing w:line="500" w:lineRule="exact"/>
        <w:jc w:val="left"/>
        <w:rPr>
          <w:rFonts w:hint="eastAsia" w:ascii="宋体" w:hAnsi="宋体" w:eastAsia="宋体" w:cs="宋体"/>
          <w:bCs/>
          <w:color w:val="auto"/>
          <w:sz w:val="28"/>
          <w:szCs w:val="28"/>
        </w:rPr>
      </w:pPr>
    </w:p>
    <w:p w14:paraId="72260B94">
      <w:pPr>
        <w:pStyle w:val="26"/>
        <w:spacing w:line="500" w:lineRule="exact"/>
        <w:jc w:val="left"/>
        <w:rPr>
          <w:rFonts w:hint="eastAsia" w:ascii="宋体" w:hAnsi="宋体" w:eastAsia="宋体" w:cs="宋体"/>
          <w:bCs/>
          <w:color w:val="auto"/>
          <w:sz w:val="28"/>
          <w:szCs w:val="28"/>
        </w:rPr>
      </w:pPr>
    </w:p>
    <w:p w14:paraId="78F6EF0E">
      <w:pPr>
        <w:pStyle w:val="26"/>
        <w:spacing w:line="500" w:lineRule="exact"/>
        <w:jc w:val="left"/>
        <w:rPr>
          <w:rFonts w:hint="eastAsia" w:ascii="宋体" w:hAnsi="宋体" w:eastAsia="宋体" w:cs="宋体"/>
          <w:bCs/>
          <w:color w:val="auto"/>
          <w:sz w:val="28"/>
          <w:szCs w:val="28"/>
        </w:rPr>
      </w:pPr>
    </w:p>
    <w:p w14:paraId="66059138">
      <w:pPr>
        <w:pStyle w:val="26"/>
        <w:spacing w:line="500" w:lineRule="exact"/>
        <w:jc w:val="left"/>
        <w:rPr>
          <w:rFonts w:hint="eastAsia" w:ascii="宋体" w:hAnsi="宋体" w:eastAsia="宋体" w:cs="宋体"/>
          <w:bCs/>
          <w:color w:val="auto"/>
          <w:sz w:val="28"/>
          <w:szCs w:val="28"/>
        </w:rPr>
      </w:pPr>
    </w:p>
    <w:p w14:paraId="5C0A2FFD">
      <w:pPr>
        <w:pStyle w:val="26"/>
        <w:spacing w:line="500" w:lineRule="exact"/>
        <w:jc w:val="left"/>
        <w:rPr>
          <w:rFonts w:hint="eastAsia" w:ascii="宋体" w:hAnsi="宋体" w:eastAsia="宋体" w:cs="宋体"/>
          <w:bCs/>
          <w:color w:val="auto"/>
          <w:sz w:val="28"/>
          <w:szCs w:val="28"/>
        </w:rPr>
      </w:pPr>
    </w:p>
    <w:p w14:paraId="7BEBE92F">
      <w:pPr>
        <w:pStyle w:val="26"/>
        <w:spacing w:line="500" w:lineRule="exact"/>
        <w:jc w:val="left"/>
        <w:rPr>
          <w:rFonts w:hint="eastAsia" w:ascii="宋体" w:hAnsi="宋体" w:eastAsia="宋体" w:cs="宋体"/>
          <w:bCs/>
          <w:color w:val="auto"/>
          <w:sz w:val="28"/>
          <w:szCs w:val="28"/>
        </w:rPr>
      </w:pPr>
    </w:p>
    <w:p w14:paraId="0FE29CC9">
      <w:pPr>
        <w:pStyle w:val="26"/>
        <w:spacing w:line="500" w:lineRule="exact"/>
        <w:jc w:val="left"/>
        <w:rPr>
          <w:rFonts w:hint="eastAsia" w:ascii="宋体" w:hAnsi="宋体" w:eastAsia="宋体" w:cs="宋体"/>
          <w:bCs/>
          <w:color w:val="auto"/>
          <w:sz w:val="28"/>
          <w:szCs w:val="28"/>
        </w:rPr>
      </w:pPr>
    </w:p>
    <w:p w14:paraId="32BFBF4C">
      <w:pPr>
        <w:pStyle w:val="26"/>
        <w:autoSpaceDE w:val="0"/>
        <w:autoSpaceDN w:val="0"/>
        <w:spacing w:line="500" w:lineRule="exact"/>
        <w:rPr>
          <w:rFonts w:hint="eastAsia" w:ascii="宋体" w:hAnsi="宋体" w:eastAsia="宋体" w:cs="宋体"/>
          <w:color w:val="auto"/>
          <w:kern w:val="2"/>
          <w:sz w:val="32"/>
        </w:rPr>
      </w:pPr>
      <w:r>
        <w:rPr>
          <w:rFonts w:hint="eastAsia" w:ascii="宋体" w:hAnsi="宋体" w:eastAsia="宋体" w:cs="宋体"/>
          <w:color w:val="auto"/>
          <w:kern w:val="2"/>
          <w:sz w:val="32"/>
        </w:rPr>
        <w:t>一、投标函</w:t>
      </w:r>
    </w:p>
    <w:p w14:paraId="0DD4E552">
      <w:pPr>
        <w:pStyle w:val="10"/>
        <w:ind w:firstLine="420" w:firstLineChars="200"/>
        <w:rPr>
          <w:rFonts w:hint="eastAsia" w:ascii="宋体" w:hAnsi="宋体" w:eastAsia="宋体" w:cs="宋体"/>
          <w:color w:val="auto"/>
        </w:rPr>
      </w:pPr>
    </w:p>
    <w:p w14:paraId="050D9CBC">
      <w:pPr>
        <w:pStyle w:val="10"/>
        <w:rPr>
          <w:rFonts w:hint="eastAsia" w:ascii="宋体" w:hAnsi="宋体" w:eastAsia="宋体" w:cs="宋体"/>
          <w:color w:val="auto"/>
          <w:sz w:val="24"/>
          <w:szCs w:val="32"/>
        </w:rPr>
      </w:pPr>
      <w:r>
        <w:rPr>
          <w:rFonts w:hint="eastAsia" w:ascii="宋体" w:hAnsi="宋体" w:cs="宋体"/>
          <w:color w:val="auto"/>
          <w:sz w:val="24"/>
          <w:szCs w:val="32"/>
          <w:lang w:eastAsia="zh-CN"/>
        </w:rPr>
        <w:t>陕西大用项目管理有限公司</w:t>
      </w:r>
      <w:r>
        <w:rPr>
          <w:rFonts w:hint="eastAsia" w:ascii="宋体" w:hAnsi="宋体" w:eastAsia="宋体" w:cs="宋体"/>
          <w:color w:val="auto"/>
          <w:sz w:val="24"/>
          <w:szCs w:val="32"/>
        </w:rPr>
        <w:t>：</w:t>
      </w:r>
    </w:p>
    <w:p w14:paraId="3DB6A2FF">
      <w:pPr>
        <w:pStyle w:val="10"/>
        <w:tabs>
          <w:tab w:val="left" w:pos="4167"/>
          <w:tab w:val="left" w:pos="8140"/>
          <w:tab w:val="left" w:pos="9288"/>
          <w:tab w:val="left" w:pos="9680"/>
        </w:tabs>
        <w:spacing w:before="93" w:line="312" w:lineRule="auto"/>
        <w:ind w:right="70"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根据贵单位</w:t>
      </w:r>
      <w:r>
        <w:rPr>
          <w:rFonts w:hint="eastAsia" w:ascii="宋体" w:hAnsi="宋体" w:eastAsia="宋体" w:cs="宋体"/>
          <w:color w:val="auto"/>
          <w:sz w:val="24"/>
          <w:szCs w:val="32"/>
          <w:u w:val="single"/>
        </w:rPr>
        <w:tab/>
      </w:r>
      <w:r>
        <w:rPr>
          <w:rFonts w:hint="eastAsia" w:ascii="宋体" w:hAnsi="宋体" w:eastAsia="宋体" w:cs="宋体"/>
          <w:color w:val="auto"/>
          <w:sz w:val="24"/>
          <w:szCs w:val="32"/>
          <w:u w:val="single"/>
        </w:rPr>
        <w:t xml:space="preserve">（项目名称）    </w:t>
      </w:r>
      <w:r>
        <w:rPr>
          <w:rFonts w:hint="eastAsia" w:ascii="宋体" w:hAnsi="宋体" w:eastAsia="宋体" w:cs="宋体"/>
          <w:color w:val="auto"/>
          <w:spacing w:val="-56"/>
          <w:sz w:val="24"/>
          <w:szCs w:val="32"/>
          <w:u w:val="single"/>
        </w:rPr>
        <w:t>，</w:t>
      </w:r>
      <w:r>
        <w:rPr>
          <w:rFonts w:hint="eastAsia" w:ascii="宋体" w:hAnsi="宋体" w:eastAsia="宋体" w:cs="宋体"/>
          <w:color w:val="auto"/>
          <w:sz w:val="24"/>
          <w:szCs w:val="32"/>
          <w:u w:val="single"/>
        </w:rPr>
        <w:t>项目编号：</w:t>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rPr>
        <w:t>的</w:t>
      </w:r>
      <w:r>
        <w:rPr>
          <w:rFonts w:hint="eastAsia" w:ascii="宋体" w:hAnsi="宋体" w:eastAsia="宋体" w:cs="宋体"/>
          <w:color w:val="auto"/>
          <w:sz w:val="24"/>
          <w:szCs w:val="32"/>
          <w:lang w:eastAsia="zh-CN"/>
        </w:rPr>
        <w:t>磋商</w:t>
      </w:r>
      <w:r>
        <w:rPr>
          <w:rFonts w:hint="eastAsia" w:ascii="宋体" w:hAnsi="宋体" w:eastAsia="宋体" w:cs="宋体"/>
          <w:color w:val="auto"/>
          <w:sz w:val="24"/>
          <w:szCs w:val="32"/>
        </w:rPr>
        <w:t>公告，</w:t>
      </w:r>
    </w:p>
    <w:p w14:paraId="5514C32B">
      <w:pPr>
        <w:pStyle w:val="10"/>
        <w:tabs>
          <w:tab w:val="left" w:pos="4167"/>
          <w:tab w:val="left" w:pos="8140"/>
          <w:tab w:val="left" w:pos="9288"/>
          <w:tab w:val="left" w:pos="9680"/>
        </w:tabs>
        <w:spacing w:before="93" w:line="312" w:lineRule="auto"/>
        <w:ind w:right="70"/>
        <w:rPr>
          <w:rFonts w:hint="eastAsia" w:ascii="宋体" w:hAnsi="宋体" w:eastAsia="宋体" w:cs="宋体"/>
          <w:color w:val="auto"/>
          <w:sz w:val="24"/>
          <w:szCs w:val="32"/>
        </w:rPr>
      </w:pPr>
      <w:r>
        <w:rPr>
          <w:rFonts w:hint="eastAsia" w:ascii="宋体" w:hAnsi="宋体" w:eastAsia="宋体" w:cs="宋体"/>
          <w:color w:val="auto"/>
          <w:sz w:val="24"/>
          <w:szCs w:val="32"/>
        </w:rPr>
        <w:t>我方代表</w:t>
      </w:r>
      <w:r>
        <w:rPr>
          <w:rFonts w:hint="eastAsia" w:ascii="宋体" w:hAnsi="宋体" w:eastAsia="宋体" w:cs="宋体"/>
          <w:color w:val="auto"/>
          <w:sz w:val="24"/>
          <w:szCs w:val="32"/>
          <w:u w:val="single"/>
        </w:rPr>
        <w:t xml:space="preserve">（姓名、职务） </w:t>
      </w:r>
      <w:r>
        <w:rPr>
          <w:rFonts w:hint="eastAsia" w:ascii="宋体" w:hAnsi="宋体" w:eastAsia="宋体" w:cs="宋体"/>
          <w:color w:val="auto"/>
          <w:sz w:val="24"/>
          <w:szCs w:val="32"/>
        </w:rPr>
        <w:t>经正式授权并代表</w:t>
      </w:r>
      <w:r>
        <w:rPr>
          <w:rFonts w:hint="eastAsia" w:ascii="宋体" w:hAnsi="宋体" w:eastAsia="宋体" w:cs="宋体"/>
          <w:color w:val="auto"/>
          <w:sz w:val="24"/>
          <w:szCs w:val="32"/>
          <w:u w:val="single"/>
        </w:rPr>
        <w:t xml:space="preserve">（投标人名称） </w:t>
      </w:r>
      <w:r>
        <w:rPr>
          <w:rFonts w:hint="eastAsia" w:ascii="宋体" w:hAnsi="宋体" w:eastAsia="宋体" w:cs="宋体"/>
          <w:color w:val="auto"/>
          <w:spacing w:val="-14"/>
          <w:sz w:val="24"/>
          <w:szCs w:val="32"/>
        </w:rPr>
        <w:t>就</w:t>
      </w:r>
      <w:r>
        <w:rPr>
          <w:rFonts w:hint="eastAsia" w:ascii="宋体" w:hAnsi="宋体" w:eastAsia="宋体" w:cs="宋体"/>
          <w:color w:val="auto"/>
          <w:sz w:val="24"/>
          <w:szCs w:val="32"/>
        </w:rPr>
        <w:t>该项目进行投标。</w:t>
      </w:r>
    </w:p>
    <w:p w14:paraId="5C88325C">
      <w:pPr>
        <w:pStyle w:val="4"/>
        <w:spacing w:before="1"/>
        <w:ind w:firstLine="480" w:firstLineChars="200"/>
        <w:rPr>
          <w:rFonts w:hint="eastAsia" w:ascii="宋体" w:hAnsi="宋体" w:eastAsia="宋体" w:cs="宋体"/>
          <w:color w:val="auto"/>
          <w:sz w:val="24"/>
          <w:lang w:val="zh-CN" w:bidi="zh-CN"/>
        </w:rPr>
      </w:pPr>
      <w:bookmarkStart w:id="41" w:name="_Toc10547"/>
      <w:bookmarkStart w:id="42" w:name="_Toc31055"/>
      <w:r>
        <w:rPr>
          <w:rFonts w:hint="eastAsia" w:ascii="宋体" w:hAnsi="宋体" w:eastAsia="宋体" w:cs="宋体"/>
          <w:color w:val="auto"/>
          <w:sz w:val="24"/>
          <w:lang w:val="zh-CN" w:bidi="zh-CN"/>
        </w:rPr>
        <w:t>在此，签字代表宣布同意如下：</w:t>
      </w:r>
      <w:bookmarkEnd w:id="41"/>
      <w:bookmarkEnd w:id="42"/>
    </w:p>
    <w:p w14:paraId="12E324D0">
      <w:pPr>
        <w:pStyle w:val="72"/>
        <w:numPr>
          <w:ilvl w:val="0"/>
          <w:numId w:val="4"/>
        </w:numPr>
        <w:tabs>
          <w:tab w:val="left" w:pos="2301"/>
        </w:tabs>
        <w:spacing w:before="156" w:line="374" w:lineRule="auto"/>
        <w:ind w:right="290" w:firstLineChars="200"/>
        <w:jc w:val="left"/>
        <w:rPr>
          <w:rFonts w:hint="eastAsia" w:ascii="宋体" w:hAnsi="宋体" w:eastAsia="宋体" w:cs="宋体"/>
          <w:color w:val="auto"/>
          <w:sz w:val="24"/>
          <w:u w:val="single"/>
        </w:rPr>
      </w:pPr>
      <w:r>
        <w:rPr>
          <w:rFonts w:hint="eastAsia" w:ascii="宋体" w:hAnsi="宋体" w:eastAsia="宋体" w:cs="宋体"/>
          <w:color w:val="auto"/>
          <w:sz w:val="24"/>
        </w:rPr>
        <w:t>所附投标报价表中规定的应提交和交付的服务投标报价为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rPr>
        <w:t>元</w:t>
      </w:r>
      <w:r>
        <w:rPr>
          <w:rFonts w:hint="eastAsia" w:ascii="宋体" w:hAnsi="宋体" w:eastAsia="宋体" w:cs="宋体"/>
          <w:color w:val="auto"/>
          <w:sz w:val="24"/>
          <w:lang w:val="en-US" w:eastAsia="zh-CN"/>
        </w:rPr>
        <w:t>。</w:t>
      </w:r>
    </w:p>
    <w:p w14:paraId="27D7ABF7">
      <w:pPr>
        <w:pStyle w:val="72"/>
        <w:numPr>
          <w:ilvl w:val="0"/>
          <w:numId w:val="4"/>
        </w:numPr>
        <w:tabs>
          <w:tab w:val="left" w:pos="2301"/>
        </w:tabs>
        <w:spacing w:before="156" w:line="374" w:lineRule="auto"/>
        <w:ind w:right="1500" w:firstLineChars="200"/>
        <w:jc w:val="left"/>
        <w:rPr>
          <w:rFonts w:hint="eastAsia" w:ascii="宋体" w:hAnsi="宋体" w:eastAsia="宋体" w:cs="宋体"/>
          <w:color w:val="auto"/>
          <w:sz w:val="24"/>
        </w:rPr>
      </w:pPr>
      <w:r>
        <w:rPr>
          <w:rFonts w:hint="eastAsia" w:ascii="宋体" w:hAnsi="宋体" w:eastAsia="宋体" w:cs="宋体"/>
          <w:color w:val="auto"/>
          <w:sz w:val="24"/>
        </w:rPr>
        <w:t>投标人将按磋商文件的规定履行合同责任和义务。</w:t>
      </w:r>
    </w:p>
    <w:p w14:paraId="49A2F694">
      <w:pPr>
        <w:pStyle w:val="72"/>
        <w:numPr>
          <w:ilvl w:val="0"/>
          <w:numId w:val="4"/>
        </w:numPr>
        <w:tabs>
          <w:tab w:val="left" w:pos="2301"/>
        </w:tabs>
        <w:spacing w:before="156" w:line="374" w:lineRule="auto"/>
        <w:ind w:right="290" w:firstLine="476" w:firstLineChars="200"/>
        <w:jc w:val="left"/>
        <w:rPr>
          <w:rFonts w:hint="eastAsia" w:ascii="宋体" w:hAnsi="宋体" w:eastAsia="宋体" w:cs="宋体"/>
          <w:color w:val="auto"/>
          <w:sz w:val="24"/>
        </w:rPr>
      </w:pPr>
      <w:r>
        <w:rPr>
          <w:rFonts w:hint="eastAsia" w:ascii="宋体" w:hAnsi="宋体" w:eastAsia="宋体" w:cs="宋体"/>
          <w:color w:val="auto"/>
          <w:spacing w:val="-1"/>
          <w:sz w:val="24"/>
        </w:rPr>
        <w:t>投标人已详细审查全部磋商文件。我们完全理解并同意放弃对这方面</w:t>
      </w:r>
      <w:r>
        <w:rPr>
          <w:rFonts w:hint="eastAsia" w:ascii="宋体" w:hAnsi="宋体" w:eastAsia="宋体" w:cs="宋体"/>
          <w:color w:val="auto"/>
          <w:sz w:val="24"/>
        </w:rPr>
        <w:t>有不明及误解的权力。</w:t>
      </w:r>
    </w:p>
    <w:p w14:paraId="69016A92">
      <w:pPr>
        <w:pStyle w:val="72"/>
        <w:numPr>
          <w:ilvl w:val="0"/>
          <w:numId w:val="4"/>
        </w:numPr>
        <w:tabs>
          <w:tab w:val="left" w:pos="2301"/>
        </w:tabs>
        <w:spacing w:before="156" w:line="374" w:lineRule="auto"/>
        <w:ind w:right="86" w:rightChars="0" w:firstLineChars="200"/>
        <w:jc w:val="left"/>
        <w:rPr>
          <w:rFonts w:hint="eastAsia" w:ascii="宋体" w:hAnsi="宋体" w:eastAsia="宋体" w:cs="宋体"/>
          <w:color w:val="auto"/>
          <w:sz w:val="24"/>
        </w:rPr>
      </w:pPr>
      <w:r>
        <w:rPr>
          <w:rFonts w:hint="eastAsia" w:ascii="宋体" w:hAnsi="宋体" w:eastAsia="宋体" w:cs="宋体"/>
          <w:color w:val="auto"/>
          <w:sz w:val="24"/>
        </w:rPr>
        <w:t>本投标有效期为自开标日起</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日历日（</w:t>
      </w:r>
      <w:r>
        <w:rPr>
          <w:rFonts w:hint="eastAsia" w:ascii="宋体" w:hAnsi="宋体" w:eastAsia="宋体" w:cs="宋体"/>
          <w:color w:val="auto"/>
          <w:spacing w:val="-2"/>
          <w:sz w:val="24"/>
        </w:rPr>
        <w:t>中标人的投标文件有效期延</w:t>
      </w:r>
      <w:r>
        <w:rPr>
          <w:rFonts w:hint="eastAsia" w:ascii="宋体" w:hAnsi="宋体" w:eastAsia="宋体" w:cs="宋体"/>
          <w:color w:val="auto"/>
          <w:sz w:val="24"/>
        </w:rPr>
        <w:t>长为与合同有效期一致）。</w:t>
      </w:r>
    </w:p>
    <w:p w14:paraId="391BE556">
      <w:pPr>
        <w:pStyle w:val="72"/>
        <w:numPr>
          <w:ilvl w:val="0"/>
          <w:numId w:val="4"/>
        </w:numPr>
        <w:tabs>
          <w:tab w:val="left" w:pos="2301"/>
        </w:tabs>
        <w:spacing w:before="156" w:line="374" w:lineRule="auto"/>
        <w:ind w:right="86" w:rightChars="0" w:firstLineChars="200"/>
        <w:jc w:val="left"/>
        <w:rPr>
          <w:rFonts w:hint="eastAsia" w:ascii="宋体" w:hAnsi="宋体" w:eastAsia="宋体" w:cs="宋体"/>
          <w:color w:val="auto"/>
          <w:sz w:val="24"/>
        </w:rPr>
      </w:pPr>
      <w:r>
        <w:rPr>
          <w:rFonts w:hint="eastAsia" w:ascii="宋体" w:hAnsi="宋体" w:eastAsia="宋体" w:cs="宋体"/>
          <w:color w:val="auto"/>
          <w:sz w:val="24"/>
        </w:rPr>
        <w:t>投标人同意提供按照贵方可能要求的与其投标有关的一切数据或资料</w:t>
      </w:r>
      <w:r>
        <w:rPr>
          <w:rFonts w:hint="eastAsia" w:ascii="宋体" w:hAnsi="宋体" w:eastAsia="宋体" w:cs="宋体"/>
          <w:color w:val="auto"/>
          <w:spacing w:val="-4"/>
          <w:sz w:val="24"/>
        </w:rPr>
        <w:t>，完全理解贵方不一定接受最低投标报价的投标或收到的任何投标。</w:t>
      </w:r>
    </w:p>
    <w:p w14:paraId="22DD49AA">
      <w:pPr>
        <w:pStyle w:val="72"/>
        <w:numPr>
          <w:ilvl w:val="0"/>
          <w:numId w:val="4"/>
        </w:numPr>
        <w:tabs>
          <w:tab w:val="left" w:pos="2301"/>
        </w:tabs>
        <w:spacing w:before="156" w:line="374" w:lineRule="auto"/>
        <w:ind w:right="1500" w:firstLineChars="200"/>
        <w:jc w:val="left"/>
        <w:rPr>
          <w:rFonts w:hint="eastAsia" w:ascii="宋体" w:hAnsi="宋体" w:eastAsia="宋体" w:cs="宋体"/>
          <w:color w:val="auto"/>
          <w:sz w:val="24"/>
        </w:rPr>
      </w:pPr>
      <w:r>
        <w:rPr>
          <w:rFonts w:hint="eastAsia" w:ascii="宋体" w:hAnsi="宋体" w:eastAsia="宋体" w:cs="宋体"/>
          <w:color w:val="auto"/>
          <w:sz w:val="24"/>
        </w:rPr>
        <w:t>我方若中标对测量所有成果按照国家保密法相关规定进行保密</w:t>
      </w:r>
    </w:p>
    <w:p w14:paraId="5EF7672C">
      <w:pPr>
        <w:pStyle w:val="72"/>
        <w:numPr>
          <w:ilvl w:val="0"/>
          <w:numId w:val="4"/>
        </w:numPr>
        <w:tabs>
          <w:tab w:val="left" w:pos="2301"/>
        </w:tabs>
        <w:spacing w:before="156" w:line="374" w:lineRule="auto"/>
        <w:ind w:right="1500" w:firstLine="472" w:firstLineChars="200"/>
        <w:jc w:val="left"/>
        <w:rPr>
          <w:rFonts w:hint="eastAsia" w:ascii="宋体" w:hAnsi="宋体" w:eastAsia="宋体" w:cs="宋体"/>
          <w:color w:val="auto"/>
          <w:sz w:val="24"/>
        </w:rPr>
      </w:pPr>
      <w:r>
        <w:rPr>
          <w:rFonts w:hint="eastAsia" w:ascii="宋体" w:hAnsi="宋体" w:eastAsia="宋体" w:cs="宋体"/>
          <w:color w:val="auto"/>
          <w:spacing w:val="-2"/>
          <w:sz w:val="24"/>
        </w:rPr>
        <w:t xml:space="preserve">与本投标有关的一切正式往来信函请寄： </w:t>
      </w:r>
    </w:p>
    <w:p w14:paraId="6DB31BC7">
      <w:pPr>
        <w:pStyle w:val="72"/>
        <w:tabs>
          <w:tab w:val="left" w:pos="2301"/>
        </w:tabs>
        <w:spacing w:before="156" w:line="374" w:lineRule="auto"/>
        <w:ind w:right="1500" w:firstLine="787" w:firstLineChars="328"/>
        <w:jc w:val="left"/>
        <w:rPr>
          <w:rFonts w:hint="eastAsia" w:ascii="宋体" w:hAnsi="宋体" w:eastAsia="宋体" w:cs="宋体"/>
          <w:color w:val="auto"/>
          <w:sz w:val="24"/>
          <w:u w:val="single"/>
          <w:lang w:val="en-US"/>
        </w:rPr>
      </w:pPr>
      <w:r>
        <w:rPr>
          <w:rFonts w:hint="eastAsia" w:ascii="宋体" w:hAnsi="宋体" w:eastAsia="宋体" w:cs="宋体"/>
          <w:color w:val="auto"/>
          <w:sz w:val="24"/>
        </w:rPr>
        <w:t>投标单位名称（公</w:t>
      </w:r>
      <w:r>
        <w:rPr>
          <w:rFonts w:hint="eastAsia" w:ascii="宋体" w:hAnsi="宋体" w:eastAsia="宋体" w:cs="宋体"/>
          <w:color w:val="auto"/>
          <w:spacing w:val="-2"/>
          <w:sz w:val="24"/>
        </w:rPr>
        <w:t>章）：</w:t>
      </w:r>
    </w:p>
    <w:p w14:paraId="2AC5265A">
      <w:pPr>
        <w:pStyle w:val="10"/>
        <w:tabs>
          <w:tab w:val="left" w:pos="2539"/>
          <w:tab w:val="left" w:pos="3139"/>
          <w:tab w:val="left" w:pos="3739"/>
          <w:tab w:val="left" w:pos="4840"/>
        </w:tabs>
        <w:spacing w:line="374" w:lineRule="auto"/>
        <w:ind w:right="2266" w:firstLine="960" w:firstLineChars="400"/>
        <w:rPr>
          <w:rFonts w:hint="eastAsia" w:ascii="宋体" w:hAnsi="宋体" w:eastAsia="宋体" w:cs="宋体"/>
          <w:color w:val="auto"/>
          <w:spacing w:val="-19"/>
          <w:sz w:val="24"/>
          <w:szCs w:val="32"/>
          <w:u w:val="single"/>
        </w:rPr>
      </w:pPr>
      <w:r>
        <w:rPr>
          <w:rFonts w:hint="eastAsia" w:ascii="宋体" w:hAnsi="宋体" w:eastAsia="宋体" w:cs="宋体"/>
          <w:color w:val="auto"/>
          <w:sz w:val="24"/>
          <w:szCs w:val="32"/>
        </w:rPr>
        <w:t>法定代表人或授权代理人签字</w:t>
      </w:r>
      <w:r>
        <w:rPr>
          <w:rFonts w:hint="eastAsia" w:ascii="宋体" w:hAnsi="宋体" w:eastAsia="宋体" w:cs="宋体"/>
          <w:color w:val="auto"/>
          <w:spacing w:val="-19"/>
          <w:sz w:val="24"/>
          <w:szCs w:val="32"/>
        </w:rPr>
        <w:t>：</w:t>
      </w:r>
    </w:p>
    <w:p w14:paraId="7F4C9F6D">
      <w:pPr>
        <w:pStyle w:val="10"/>
        <w:tabs>
          <w:tab w:val="left" w:pos="2539"/>
          <w:tab w:val="left" w:pos="3139"/>
          <w:tab w:val="left" w:pos="3739"/>
          <w:tab w:val="left" w:pos="4840"/>
        </w:tabs>
        <w:spacing w:line="374" w:lineRule="auto"/>
        <w:ind w:right="2486" w:firstLine="960" w:firstLineChars="400"/>
        <w:rPr>
          <w:rFonts w:hint="eastAsia" w:ascii="宋体" w:hAnsi="宋体" w:eastAsia="宋体" w:cs="宋体"/>
          <w:color w:val="auto"/>
          <w:sz w:val="24"/>
          <w:szCs w:val="32"/>
          <w:u w:val="single"/>
        </w:rPr>
      </w:pPr>
      <w:r>
        <w:rPr>
          <w:rFonts w:hint="eastAsia" w:ascii="宋体" w:hAnsi="宋体" w:eastAsia="宋体" w:cs="宋体"/>
          <w:color w:val="auto"/>
          <w:sz w:val="24"/>
          <w:szCs w:val="32"/>
        </w:rPr>
        <w:t>详细地址：</w:t>
      </w:r>
    </w:p>
    <w:p w14:paraId="3A4EA0A9">
      <w:pPr>
        <w:pStyle w:val="10"/>
        <w:tabs>
          <w:tab w:val="left" w:pos="2539"/>
          <w:tab w:val="left" w:pos="3139"/>
          <w:tab w:val="left" w:pos="3739"/>
        </w:tabs>
        <w:spacing w:before="1" w:line="374" w:lineRule="auto"/>
        <w:ind w:right="2046" w:firstLine="960" w:firstLineChars="400"/>
        <w:rPr>
          <w:rFonts w:hint="eastAsia" w:ascii="宋体" w:hAnsi="宋体" w:eastAsia="宋体" w:cs="宋体"/>
          <w:color w:val="auto"/>
          <w:spacing w:val="-18"/>
          <w:sz w:val="24"/>
          <w:szCs w:val="32"/>
          <w:u w:val="single"/>
        </w:rPr>
      </w:pPr>
      <w:r>
        <w:rPr>
          <w:rFonts w:hint="eastAsia" w:ascii="宋体" w:hAnsi="宋体" w:eastAsia="宋体" w:cs="宋体"/>
          <w:color w:val="auto"/>
          <w:sz w:val="24"/>
          <w:szCs w:val="32"/>
        </w:rPr>
        <w:t>邮政编码</w:t>
      </w:r>
      <w:r>
        <w:rPr>
          <w:rFonts w:hint="eastAsia" w:ascii="宋体" w:hAnsi="宋体" w:eastAsia="宋体" w:cs="宋体"/>
          <w:color w:val="auto"/>
          <w:spacing w:val="-18"/>
          <w:sz w:val="24"/>
          <w:szCs w:val="32"/>
        </w:rPr>
        <w:t>：</w:t>
      </w:r>
    </w:p>
    <w:p w14:paraId="31CDCDD2">
      <w:pPr>
        <w:pStyle w:val="10"/>
        <w:tabs>
          <w:tab w:val="left" w:pos="2539"/>
          <w:tab w:val="left" w:pos="3139"/>
          <w:tab w:val="left" w:pos="3739"/>
        </w:tabs>
        <w:spacing w:before="1" w:line="374" w:lineRule="auto"/>
        <w:ind w:right="2266" w:firstLine="960" w:firstLineChars="400"/>
        <w:rPr>
          <w:rFonts w:hint="eastAsia" w:ascii="宋体" w:hAnsi="宋体" w:eastAsia="宋体" w:cs="宋体"/>
          <w:color w:val="auto"/>
          <w:sz w:val="24"/>
          <w:szCs w:val="32"/>
          <w:u w:val="single"/>
        </w:rPr>
      </w:pPr>
      <w:r>
        <w:rPr>
          <w:rFonts w:hint="eastAsia" w:ascii="宋体" w:hAnsi="宋体" w:eastAsia="宋体" w:cs="宋体"/>
          <w:color w:val="auto"/>
          <w:sz w:val="24"/>
          <w:szCs w:val="32"/>
        </w:rPr>
        <w:t>电</w:t>
      </w:r>
      <w:r>
        <w:rPr>
          <w:rFonts w:hint="eastAsia" w:ascii="宋体" w:hAnsi="宋体" w:eastAsia="宋体" w:cs="宋体"/>
          <w:color w:val="auto"/>
          <w:sz w:val="24"/>
          <w:szCs w:val="32"/>
          <w:lang w:val="en-US" w:eastAsia="zh-CN"/>
        </w:rPr>
        <w:t xml:space="preserve">    </w:t>
      </w:r>
      <w:r>
        <w:rPr>
          <w:rFonts w:hint="eastAsia" w:ascii="宋体" w:hAnsi="宋体" w:eastAsia="宋体" w:cs="宋体"/>
          <w:color w:val="auto"/>
          <w:sz w:val="24"/>
          <w:szCs w:val="32"/>
        </w:rPr>
        <w:t>话</w:t>
      </w:r>
      <w:r>
        <w:rPr>
          <w:rFonts w:hint="eastAsia" w:ascii="宋体" w:hAnsi="宋体" w:eastAsia="宋体" w:cs="宋体"/>
          <w:color w:val="auto"/>
          <w:spacing w:val="-18"/>
          <w:sz w:val="24"/>
          <w:szCs w:val="32"/>
        </w:rPr>
        <w:t>：</w:t>
      </w:r>
    </w:p>
    <w:p w14:paraId="519FB283">
      <w:pPr>
        <w:autoSpaceDE w:val="0"/>
        <w:autoSpaceDN w:val="0"/>
        <w:spacing w:line="500" w:lineRule="exact"/>
        <w:ind w:firstLine="420" w:firstLineChars="200"/>
        <w:jc w:val="right"/>
        <w:rPr>
          <w:rFonts w:hint="eastAsia" w:ascii="宋体" w:hAnsi="宋体" w:eastAsia="宋体" w:cs="宋体"/>
          <w:color w:val="auto"/>
        </w:rPr>
      </w:pPr>
    </w:p>
    <w:p w14:paraId="1A26EC71">
      <w:pPr>
        <w:autoSpaceDE w:val="0"/>
        <w:autoSpaceDN w:val="0"/>
        <w:spacing w:line="500" w:lineRule="exact"/>
        <w:ind w:firstLine="480" w:firstLineChars="200"/>
        <w:jc w:val="right"/>
        <w:rPr>
          <w:rFonts w:hint="eastAsia" w:ascii="宋体" w:hAnsi="宋体" w:eastAsia="宋体" w:cs="宋体"/>
          <w:color w:val="auto"/>
          <w:kern w:val="2"/>
          <w:sz w:val="24"/>
          <w:szCs w:val="22"/>
          <w:lang w:val="zh-CN" w:eastAsia="zh-CN" w:bidi="zh-CN"/>
        </w:rPr>
        <w:sectPr>
          <w:headerReference r:id="rId5" w:type="default"/>
          <w:footerReference r:id="rId6" w:type="default"/>
          <w:pgSz w:w="11906" w:h="16838"/>
          <w:pgMar w:top="1440" w:right="1080" w:bottom="1440" w:left="1080" w:header="851" w:footer="680" w:gutter="0"/>
          <w:cols w:space="720" w:num="1"/>
          <w:docGrid w:linePitch="286" w:charSpace="0"/>
        </w:sectPr>
      </w:pPr>
      <w:r>
        <w:rPr>
          <w:rFonts w:hint="eastAsia" w:ascii="宋体" w:hAnsi="宋体" w:eastAsia="宋体" w:cs="宋体"/>
          <w:color w:val="auto"/>
          <w:kern w:val="2"/>
          <w:sz w:val="24"/>
          <w:szCs w:val="22"/>
          <w:lang w:val="zh-CN" w:eastAsia="zh-CN" w:bidi="zh-CN"/>
        </w:rPr>
        <w:t>日</w:t>
      </w:r>
      <w:r>
        <w:rPr>
          <w:rFonts w:hint="eastAsia" w:ascii="宋体" w:hAnsi="宋体" w:eastAsia="宋体" w:cs="宋体"/>
          <w:color w:val="auto"/>
          <w:kern w:val="2"/>
          <w:sz w:val="24"/>
          <w:szCs w:val="22"/>
          <w:lang w:val="en-US" w:eastAsia="zh-CN" w:bidi="zh-CN"/>
        </w:rPr>
        <w:t xml:space="preserve">  </w:t>
      </w:r>
      <w:r>
        <w:rPr>
          <w:rFonts w:hint="eastAsia" w:ascii="宋体" w:hAnsi="宋体" w:eastAsia="宋体" w:cs="宋体"/>
          <w:color w:val="auto"/>
          <w:kern w:val="2"/>
          <w:sz w:val="24"/>
          <w:szCs w:val="22"/>
          <w:lang w:val="zh-CN" w:eastAsia="zh-CN" w:bidi="zh-CN"/>
        </w:rPr>
        <w:t>期：</w:t>
      </w:r>
      <w:r>
        <w:rPr>
          <w:rFonts w:hint="eastAsia" w:ascii="宋体" w:hAnsi="宋体" w:eastAsia="宋体" w:cs="宋体"/>
          <w:color w:val="auto"/>
          <w:kern w:val="2"/>
          <w:sz w:val="24"/>
          <w:szCs w:val="22"/>
          <w:lang w:val="zh-CN" w:eastAsia="zh-CN" w:bidi="zh-CN"/>
        </w:rPr>
        <w:tab/>
      </w:r>
      <w:r>
        <w:rPr>
          <w:rFonts w:hint="eastAsia" w:ascii="宋体" w:hAnsi="宋体" w:eastAsia="宋体" w:cs="宋体"/>
          <w:color w:val="auto"/>
          <w:kern w:val="2"/>
          <w:sz w:val="24"/>
          <w:szCs w:val="22"/>
          <w:lang w:val="zh-CN" w:eastAsia="zh-CN" w:bidi="zh-CN"/>
        </w:rPr>
        <w:t>年</w:t>
      </w:r>
      <w:r>
        <w:rPr>
          <w:rFonts w:hint="eastAsia" w:ascii="宋体" w:hAnsi="宋体" w:eastAsia="宋体" w:cs="宋体"/>
          <w:color w:val="auto"/>
          <w:kern w:val="2"/>
          <w:sz w:val="24"/>
          <w:szCs w:val="22"/>
          <w:lang w:val="zh-CN" w:eastAsia="zh-CN" w:bidi="zh-CN"/>
        </w:rPr>
        <w:tab/>
      </w:r>
      <w:r>
        <w:rPr>
          <w:rFonts w:hint="eastAsia" w:ascii="宋体" w:hAnsi="宋体" w:eastAsia="宋体" w:cs="宋体"/>
          <w:color w:val="auto"/>
          <w:kern w:val="2"/>
          <w:sz w:val="24"/>
          <w:szCs w:val="22"/>
          <w:lang w:val="zh-CN" w:eastAsia="zh-CN" w:bidi="zh-CN"/>
        </w:rPr>
        <w:t>月</w:t>
      </w:r>
      <w:r>
        <w:rPr>
          <w:rFonts w:hint="eastAsia" w:ascii="宋体" w:hAnsi="宋体" w:eastAsia="宋体" w:cs="宋体"/>
          <w:color w:val="auto"/>
          <w:kern w:val="2"/>
          <w:sz w:val="24"/>
          <w:szCs w:val="22"/>
          <w:lang w:val="zh-CN" w:eastAsia="zh-CN" w:bidi="zh-CN"/>
        </w:rPr>
        <w:tab/>
      </w:r>
      <w:r>
        <w:rPr>
          <w:rFonts w:hint="eastAsia" w:ascii="宋体" w:hAnsi="宋体" w:eastAsia="宋体" w:cs="宋体"/>
          <w:color w:val="auto"/>
          <w:kern w:val="2"/>
          <w:sz w:val="24"/>
          <w:szCs w:val="22"/>
          <w:lang w:val="zh-CN" w:eastAsia="zh-CN" w:bidi="zh-CN"/>
        </w:rPr>
        <w:t>日</w:t>
      </w:r>
    </w:p>
    <w:p w14:paraId="72EBD793">
      <w:pPr>
        <w:pStyle w:val="3"/>
        <w:numPr>
          <w:ilvl w:val="0"/>
          <w:numId w:val="0"/>
        </w:numPr>
        <w:ind w:left="0" w:leftChars="0" w:right="616" w:rightChars="0" w:firstLine="643" w:firstLineChars="200"/>
        <w:jc w:val="center"/>
        <w:rPr>
          <w:rFonts w:hint="eastAsia" w:ascii="宋体" w:hAnsi="宋体" w:eastAsia="宋体" w:cs="宋体"/>
          <w:b/>
          <w:bCs w:val="0"/>
          <w:color w:val="auto"/>
          <w:kern w:val="2"/>
          <w:sz w:val="32"/>
          <w:szCs w:val="22"/>
          <w:lang w:val="en-US" w:eastAsia="zh-CN" w:bidi="ar-SA"/>
        </w:rPr>
      </w:pPr>
      <w:bookmarkStart w:id="43" w:name="_Toc24114"/>
      <w:bookmarkStart w:id="44" w:name="_Toc12357"/>
      <w:r>
        <w:rPr>
          <w:rFonts w:hint="eastAsia" w:ascii="宋体" w:hAnsi="宋体" w:eastAsia="宋体" w:cs="宋体"/>
          <w:b/>
          <w:bCs w:val="0"/>
          <w:color w:val="auto"/>
          <w:kern w:val="2"/>
          <w:sz w:val="32"/>
          <w:szCs w:val="22"/>
          <w:lang w:val="en-US" w:eastAsia="zh-CN" w:bidi="ar-SA"/>
        </w:rPr>
        <w:t>一、</w:t>
      </w:r>
      <w:r>
        <w:rPr>
          <w:rFonts w:hint="eastAsia" w:ascii="宋体" w:hAnsi="宋体" w:eastAsia="宋体" w:cs="宋体"/>
          <w:b/>
          <w:bCs w:val="0"/>
          <w:color w:val="auto"/>
          <w:kern w:val="2"/>
          <w:sz w:val="32"/>
          <w:szCs w:val="22"/>
          <w:lang w:val="en-US" w:eastAsia="zh-CN" w:bidi="ar-SA"/>
        </w:rPr>
        <w:t>磋商</w:t>
      </w:r>
      <w:bookmarkEnd w:id="43"/>
      <w:r>
        <w:rPr>
          <w:rFonts w:hint="eastAsia" w:ascii="宋体" w:hAnsi="宋体" w:eastAsia="宋体" w:cs="宋体"/>
          <w:b/>
          <w:bCs w:val="0"/>
          <w:color w:val="auto"/>
          <w:kern w:val="2"/>
          <w:sz w:val="32"/>
          <w:szCs w:val="22"/>
          <w:lang w:val="en-US" w:eastAsia="zh-CN" w:bidi="ar-SA"/>
        </w:rPr>
        <w:t>报价表</w:t>
      </w:r>
      <w:bookmarkEnd w:id="44"/>
    </w:p>
    <w:p w14:paraId="281934BD">
      <w:pPr>
        <w:numPr>
          <w:ilvl w:val="0"/>
          <w:numId w:val="0"/>
        </w:numPr>
        <w:ind w:leftChars="200"/>
        <w:jc w:val="center"/>
        <w:rPr>
          <w:rFonts w:hint="default"/>
          <w:b/>
          <w:bCs/>
          <w:color w:val="auto"/>
          <w:sz w:val="28"/>
          <w:szCs w:val="32"/>
          <w:lang w:val="en-US" w:eastAsia="zh-CN"/>
        </w:rPr>
      </w:pPr>
      <w:r>
        <w:rPr>
          <w:rFonts w:hint="eastAsia"/>
          <w:b/>
          <w:bCs/>
          <w:color w:val="auto"/>
          <w:sz w:val="28"/>
          <w:szCs w:val="32"/>
          <w:lang w:val="en-US" w:eastAsia="zh-CN"/>
        </w:rPr>
        <w:t>2.1  磋商一览表</w:t>
      </w:r>
    </w:p>
    <w:p w14:paraId="11A57784">
      <w:pPr>
        <w:pStyle w:val="10"/>
        <w:rPr>
          <w:rFonts w:hint="eastAsia" w:ascii="宋体" w:hAnsi="宋体" w:eastAsia="宋体" w:cs="宋体"/>
          <w:b/>
          <w:color w:val="auto"/>
          <w:sz w:val="14"/>
        </w:rPr>
      </w:pPr>
    </w:p>
    <w:p w14:paraId="3A75462C">
      <w:pPr>
        <w:pStyle w:val="10"/>
        <w:spacing w:before="67"/>
        <w:rPr>
          <w:rFonts w:hint="eastAsia" w:ascii="宋体" w:hAnsi="宋体" w:eastAsia="宋体" w:cs="宋体"/>
          <w:color w:val="auto"/>
          <w:kern w:val="2"/>
          <w:sz w:val="24"/>
          <w:szCs w:val="22"/>
          <w:lang w:val="zh-CN" w:eastAsia="zh-CN" w:bidi="zh-CN"/>
        </w:rPr>
      </w:pPr>
      <w:r>
        <w:rPr>
          <w:rFonts w:hint="eastAsia" w:ascii="宋体" w:hAnsi="宋体" w:eastAsia="宋体" w:cs="宋体"/>
          <w:color w:val="auto"/>
          <w:kern w:val="2"/>
          <w:sz w:val="24"/>
          <w:szCs w:val="22"/>
          <w:lang w:val="zh-CN" w:eastAsia="zh-CN" w:bidi="zh-CN"/>
        </w:rPr>
        <w:t>项目编号：</w:t>
      </w:r>
    </w:p>
    <w:tbl>
      <w:tblPr>
        <w:tblStyle w:val="29"/>
        <w:tblW w:w="9915"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51"/>
        <w:gridCol w:w="2914"/>
        <w:gridCol w:w="1620"/>
        <w:gridCol w:w="1830"/>
      </w:tblGrid>
      <w:tr w14:paraId="4278E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3551" w:type="dxa"/>
          </w:tcPr>
          <w:p w14:paraId="1A8D156B">
            <w:pPr>
              <w:pStyle w:val="71"/>
              <w:jc w:val="center"/>
              <w:rPr>
                <w:color w:val="auto"/>
                <w:sz w:val="24"/>
              </w:rPr>
            </w:pPr>
          </w:p>
          <w:p w14:paraId="19673AF8">
            <w:pPr>
              <w:pStyle w:val="71"/>
              <w:spacing w:before="170"/>
              <w:ind w:left="166" w:right="156"/>
              <w:jc w:val="center"/>
              <w:rPr>
                <w:color w:val="auto"/>
                <w:sz w:val="24"/>
              </w:rPr>
            </w:pPr>
            <w:r>
              <w:rPr>
                <w:color w:val="auto"/>
                <w:sz w:val="24"/>
              </w:rPr>
              <w:t>项目名称</w:t>
            </w:r>
          </w:p>
        </w:tc>
        <w:tc>
          <w:tcPr>
            <w:tcW w:w="2914" w:type="dxa"/>
          </w:tcPr>
          <w:p w14:paraId="745C1FCA">
            <w:pPr>
              <w:pStyle w:val="71"/>
              <w:jc w:val="center"/>
              <w:rPr>
                <w:color w:val="auto"/>
                <w:sz w:val="24"/>
              </w:rPr>
            </w:pPr>
          </w:p>
          <w:p w14:paraId="53BB4DC0">
            <w:pPr>
              <w:pStyle w:val="71"/>
              <w:spacing w:before="170"/>
              <w:ind w:left="174"/>
              <w:jc w:val="center"/>
              <w:rPr>
                <w:color w:val="auto"/>
                <w:sz w:val="24"/>
              </w:rPr>
            </w:pPr>
            <w:r>
              <w:rPr>
                <w:rFonts w:hint="eastAsia"/>
                <w:color w:val="auto"/>
                <w:sz w:val="24"/>
                <w:lang w:eastAsia="zh-CN"/>
              </w:rPr>
              <w:t>磋商</w:t>
            </w:r>
            <w:r>
              <w:rPr>
                <w:color w:val="auto"/>
                <w:sz w:val="24"/>
              </w:rPr>
              <w:t>总报价（元）</w:t>
            </w:r>
          </w:p>
        </w:tc>
        <w:tc>
          <w:tcPr>
            <w:tcW w:w="1620" w:type="dxa"/>
          </w:tcPr>
          <w:p w14:paraId="2FA68362">
            <w:pPr>
              <w:pStyle w:val="71"/>
              <w:jc w:val="center"/>
              <w:rPr>
                <w:color w:val="auto"/>
                <w:sz w:val="24"/>
              </w:rPr>
            </w:pPr>
          </w:p>
          <w:p w14:paraId="2142B67F">
            <w:pPr>
              <w:pStyle w:val="71"/>
              <w:spacing w:before="170"/>
              <w:ind w:left="174"/>
              <w:jc w:val="center"/>
              <w:rPr>
                <w:color w:val="auto"/>
                <w:sz w:val="24"/>
              </w:rPr>
            </w:pPr>
            <w:r>
              <w:rPr>
                <w:color w:val="auto"/>
                <w:sz w:val="24"/>
              </w:rPr>
              <w:t>服务期限</w:t>
            </w:r>
          </w:p>
        </w:tc>
        <w:tc>
          <w:tcPr>
            <w:tcW w:w="1830" w:type="dxa"/>
          </w:tcPr>
          <w:p w14:paraId="51227F27">
            <w:pPr>
              <w:pStyle w:val="71"/>
              <w:jc w:val="center"/>
              <w:rPr>
                <w:color w:val="auto"/>
                <w:sz w:val="24"/>
              </w:rPr>
            </w:pPr>
          </w:p>
          <w:p w14:paraId="58206AF1">
            <w:pPr>
              <w:pStyle w:val="71"/>
              <w:tabs>
                <w:tab w:val="left" w:pos="952"/>
              </w:tabs>
              <w:spacing w:before="170"/>
              <w:ind w:left="472"/>
              <w:jc w:val="both"/>
              <w:rPr>
                <w:rFonts w:hint="eastAsia" w:eastAsia="宋体"/>
                <w:color w:val="auto"/>
                <w:sz w:val="24"/>
                <w:lang w:eastAsia="zh-CN"/>
              </w:rPr>
            </w:pPr>
            <w:r>
              <w:rPr>
                <w:rFonts w:hint="eastAsia"/>
                <w:color w:val="auto"/>
                <w:sz w:val="24"/>
                <w:lang w:eastAsia="zh-CN"/>
              </w:rPr>
              <w:t>质量要求</w:t>
            </w:r>
          </w:p>
        </w:tc>
      </w:tr>
      <w:tr w14:paraId="10CE3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3551" w:type="dxa"/>
            <w:vAlign w:val="center"/>
          </w:tcPr>
          <w:p w14:paraId="264097D1">
            <w:pPr>
              <w:pStyle w:val="71"/>
              <w:jc w:val="center"/>
              <w:rPr>
                <w:rFonts w:hint="eastAsia" w:eastAsia="宋体"/>
                <w:color w:val="auto"/>
                <w:sz w:val="24"/>
                <w:lang w:eastAsia="zh-CN"/>
              </w:rPr>
            </w:pPr>
            <w:r>
              <w:rPr>
                <w:rFonts w:hint="eastAsia" w:cs="宋体"/>
                <w:color w:val="auto"/>
                <w:kern w:val="2"/>
                <w:sz w:val="24"/>
                <w:szCs w:val="24"/>
                <w:u w:val="none"/>
                <w:lang w:val="en-US" w:eastAsia="zh-CN" w:bidi="ar-SA"/>
              </w:rPr>
              <w:t>安康市石泉县汉江流域（石泉段）水环境综合整治项目设计和地勘采购</w:t>
            </w:r>
          </w:p>
        </w:tc>
        <w:tc>
          <w:tcPr>
            <w:tcW w:w="2914" w:type="dxa"/>
            <w:vAlign w:val="center"/>
          </w:tcPr>
          <w:p w14:paraId="595D94AC">
            <w:pPr>
              <w:pStyle w:val="71"/>
              <w:jc w:val="center"/>
              <w:rPr>
                <w:rFonts w:ascii="Times New Roman"/>
                <w:color w:val="auto"/>
                <w:sz w:val="24"/>
              </w:rPr>
            </w:pPr>
          </w:p>
        </w:tc>
        <w:tc>
          <w:tcPr>
            <w:tcW w:w="1620" w:type="dxa"/>
            <w:vAlign w:val="center"/>
          </w:tcPr>
          <w:p w14:paraId="4D36AF14">
            <w:pPr>
              <w:pStyle w:val="71"/>
              <w:jc w:val="center"/>
              <w:rPr>
                <w:rFonts w:ascii="Times New Roman"/>
                <w:color w:val="auto"/>
                <w:sz w:val="24"/>
              </w:rPr>
            </w:pPr>
          </w:p>
        </w:tc>
        <w:tc>
          <w:tcPr>
            <w:tcW w:w="1830" w:type="dxa"/>
            <w:vAlign w:val="center"/>
          </w:tcPr>
          <w:p w14:paraId="2FC47B9A">
            <w:pPr>
              <w:pStyle w:val="71"/>
              <w:jc w:val="center"/>
              <w:rPr>
                <w:rFonts w:ascii="Times New Roman"/>
                <w:color w:val="auto"/>
                <w:sz w:val="24"/>
              </w:rPr>
            </w:pPr>
          </w:p>
        </w:tc>
      </w:tr>
      <w:tr w14:paraId="2C991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3551" w:type="dxa"/>
          </w:tcPr>
          <w:p w14:paraId="22DC324D">
            <w:pPr>
              <w:pStyle w:val="71"/>
              <w:rPr>
                <w:color w:val="auto"/>
                <w:sz w:val="24"/>
              </w:rPr>
            </w:pPr>
          </w:p>
          <w:p w14:paraId="5D8D9B32">
            <w:pPr>
              <w:pStyle w:val="71"/>
              <w:spacing w:before="169"/>
              <w:ind w:left="166" w:right="156"/>
              <w:jc w:val="center"/>
              <w:rPr>
                <w:color w:val="auto"/>
                <w:sz w:val="24"/>
              </w:rPr>
            </w:pPr>
            <w:r>
              <w:rPr>
                <w:rFonts w:hint="eastAsia"/>
                <w:color w:val="auto"/>
                <w:sz w:val="24"/>
                <w:lang w:eastAsia="zh-CN"/>
              </w:rPr>
              <w:t>磋商</w:t>
            </w:r>
            <w:r>
              <w:rPr>
                <w:color w:val="auto"/>
                <w:sz w:val="24"/>
              </w:rPr>
              <w:t>总报价（大写）</w:t>
            </w:r>
          </w:p>
        </w:tc>
        <w:tc>
          <w:tcPr>
            <w:tcW w:w="6364" w:type="dxa"/>
            <w:gridSpan w:val="3"/>
          </w:tcPr>
          <w:p w14:paraId="40D92DDA">
            <w:pPr>
              <w:pStyle w:val="71"/>
              <w:rPr>
                <w:rFonts w:ascii="Times New Roman"/>
                <w:color w:val="auto"/>
                <w:sz w:val="24"/>
              </w:rPr>
            </w:pPr>
          </w:p>
        </w:tc>
      </w:tr>
    </w:tbl>
    <w:p w14:paraId="329C0F2B">
      <w:pPr>
        <w:pStyle w:val="23"/>
        <w:rPr>
          <w:rFonts w:hint="eastAsia" w:ascii="宋体" w:hAnsi="宋体" w:eastAsia="宋体" w:cs="宋体"/>
          <w:color w:val="auto"/>
        </w:rPr>
      </w:pPr>
    </w:p>
    <w:p w14:paraId="08A43F2F">
      <w:pPr>
        <w:pStyle w:val="10"/>
        <w:rPr>
          <w:rFonts w:hint="eastAsia" w:ascii="宋体" w:hAnsi="宋体" w:eastAsia="宋体" w:cs="宋体"/>
          <w:color w:val="auto"/>
        </w:rPr>
      </w:pPr>
    </w:p>
    <w:p w14:paraId="00CB3915">
      <w:pPr>
        <w:pStyle w:val="10"/>
        <w:autoSpaceDE w:val="0"/>
        <w:autoSpaceDN w:val="0"/>
        <w:spacing w:line="360" w:lineRule="auto"/>
        <w:ind w:right="-143" w:rightChars="-68" w:firstLine="496" w:firstLineChars="200"/>
        <w:rPr>
          <w:rFonts w:hint="eastAsia" w:ascii="宋体" w:hAnsi="宋体" w:eastAsia="宋体" w:cs="宋体"/>
          <w:color w:val="auto"/>
        </w:rPr>
      </w:pPr>
      <w:r>
        <w:rPr>
          <w:rFonts w:hint="eastAsia" w:ascii="宋体" w:hAnsi="宋体" w:eastAsia="宋体" w:cs="宋体"/>
          <w:color w:val="auto"/>
          <w:spacing w:val="4"/>
          <w:sz w:val="24"/>
        </w:rPr>
        <w:t>注：开标</w:t>
      </w:r>
      <w:r>
        <w:rPr>
          <w:rFonts w:hint="eastAsia" w:ascii="宋体" w:hAnsi="宋体" w:eastAsia="宋体" w:cs="宋体"/>
          <w:color w:val="auto"/>
          <w:spacing w:val="2"/>
          <w:sz w:val="24"/>
        </w:rPr>
        <w:t>一览表中的“投标报价”应是本项目的全部费用的报价，包</w:t>
      </w:r>
      <w:r>
        <w:rPr>
          <w:rFonts w:hint="eastAsia" w:ascii="宋体" w:hAnsi="宋体" w:eastAsia="宋体" w:cs="宋体"/>
          <w:color w:val="auto"/>
          <w:spacing w:val="-4"/>
          <w:sz w:val="24"/>
        </w:rPr>
        <w:t>括但不限于以下费用</w:t>
      </w:r>
      <w:r>
        <w:rPr>
          <w:rFonts w:hint="eastAsia" w:ascii="宋体" w:hAnsi="宋体" w:eastAsia="宋体" w:cs="宋体"/>
          <w:color w:val="auto"/>
          <w:spacing w:val="-2"/>
          <w:sz w:val="24"/>
        </w:rPr>
        <w:t>： 人工费用、设备使用费用、材料费</w:t>
      </w:r>
      <w:r>
        <w:rPr>
          <w:rFonts w:hint="eastAsia" w:ascii="宋体" w:hAnsi="宋体" w:eastAsia="宋体" w:cs="宋体"/>
          <w:color w:val="auto"/>
          <w:spacing w:val="2"/>
          <w:sz w:val="24"/>
        </w:rPr>
        <w:t>、劳务费、税金及其他所有相关费用的总</w:t>
      </w:r>
      <w:r>
        <w:rPr>
          <w:rFonts w:hint="eastAsia" w:ascii="宋体" w:hAnsi="宋体" w:eastAsia="宋体" w:cs="宋体"/>
          <w:color w:val="auto"/>
          <w:spacing w:val="-11"/>
          <w:sz w:val="24"/>
        </w:rPr>
        <w:t>和。</w:t>
      </w:r>
    </w:p>
    <w:p w14:paraId="68763EFD">
      <w:pPr>
        <w:pStyle w:val="10"/>
        <w:tabs>
          <w:tab w:val="left" w:pos="3379"/>
        </w:tabs>
        <w:spacing w:before="214"/>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供应商</w:t>
      </w:r>
      <w:r>
        <w:rPr>
          <w:rFonts w:hint="eastAsia" w:ascii="宋体" w:hAnsi="宋体" w:eastAsia="宋体" w:cs="宋体"/>
          <w:color w:val="auto"/>
          <w:spacing w:val="-120"/>
          <w:sz w:val="24"/>
          <w:szCs w:val="32"/>
        </w:rPr>
        <w:t>：</w:t>
      </w:r>
      <w:r>
        <w:rPr>
          <w:rFonts w:hint="eastAsia" w:ascii="宋体" w:hAnsi="宋体" w:eastAsia="宋体" w:cs="宋体"/>
          <w:color w:val="auto"/>
          <w:sz w:val="24"/>
          <w:szCs w:val="32"/>
        </w:rPr>
        <w:t>（盖章）</w:t>
      </w:r>
    </w:p>
    <w:p w14:paraId="4DF0F334">
      <w:pPr>
        <w:pStyle w:val="23"/>
        <w:rPr>
          <w:rFonts w:hint="eastAsia" w:ascii="宋体" w:hAnsi="宋体" w:eastAsia="宋体" w:cs="宋体"/>
          <w:color w:val="auto"/>
          <w:sz w:val="24"/>
          <w:szCs w:val="21"/>
        </w:rPr>
      </w:pPr>
    </w:p>
    <w:p w14:paraId="2271E9D9">
      <w:pPr>
        <w:pStyle w:val="10"/>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法定代表人:（签字或盖章）</w:t>
      </w:r>
    </w:p>
    <w:p w14:paraId="4D8E9067">
      <w:pPr>
        <w:pStyle w:val="10"/>
        <w:rPr>
          <w:rFonts w:hint="eastAsia" w:ascii="宋体" w:hAnsi="宋体" w:eastAsia="宋体" w:cs="宋体"/>
          <w:color w:val="auto"/>
          <w:sz w:val="26"/>
        </w:rPr>
      </w:pPr>
    </w:p>
    <w:p w14:paraId="7F5B23BF">
      <w:pPr>
        <w:pStyle w:val="10"/>
        <w:spacing w:before="2"/>
        <w:rPr>
          <w:rFonts w:hint="eastAsia" w:ascii="宋体" w:hAnsi="宋体" w:eastAsia="宋体" w:cs="宋体"/>
          <w:color w:val="auto"/>
          <w:sz w:val="25"/>
        </w:rPr>
      </w:pPr>
    </w:p>
    <w:p w14:paraId="56AC865A">
      <w:pPr>
        <w:pStyle w:val="10"/>
        <w:tabs>
          <w:tab w:val="left" w:pos="7366"/>
          <w:tab w:val="left" w:pos="8326"/>
          <w:tab w:val="left" w:pos="9286"/>
        </w:tabs>
        <w:ind w:left="5806"/>
        <w:rPr>
          <w:rFonts w:hint="eastAsia" w:ascii="宋体" w:hAnsi="宋体" w:eastAsia="宋体" w:cs="宋体"/>
          <w:color w:val="auto"/>
          <w:sz w:val="28"/>
          <w:szCs w:val="36"/>
        </w:rPr>
      </w:pPr>
      <w:r>
        <w:rPr>
          <w:rFonts w:hint="eastAsia" w:ascii="宋体" w:hAnsi="宋体" w:eastAsia="宋体" w:cs="宋体"/>
          <w:color w:val="auto"/>
          <w:sz w:val="28"/>
          <w:szCs w:val="36"/>
        </w:rPr>
        <w:t>日期：</w:t>
      </w:r>
      <w:r>
        <w:rPr>
          <w:rFonts w:hint="eastAsia" w:ascii="宋体" w:hAnsi="宋体" w:eastAsia="宋体" w:cs="宋体"/>
          <w:color w:val="auto"/>
          <w:sz w:val="28"/>
          <w:szCs w:val="36"/>
          <w:u w:val="single"/>
        </w:rPr>
        <w:tab/>
      </w:r>
      <w:r>
        <w:rPr>
          <w:rFonts w:hint="eastAsia" w:ascii="宋体" w:hAnsi="宋体" w:eastAsia="宋体" w:cs="宋体"/>
          <w:color w:val="auto"/>
          <w:sz w:val="28"/>
          <w:szCs w:val="36"/>
        </w:rPr>
        <w:t>年</w:t>
      </w:r>
      <w:r>
        <w:rPr>
          <w:rFonts w:hint="eastAsia" w:ascii="宋体" w:hAnsi="宋体" w:eastAsia="宋体" w:cs="宋体"/>
          <w:color w:val="auto"/>
          <w:sz w:val="28"/>
          <w:szCs w:val="36"/>
          <w:u w:val="single"/>
        </w:rPr>
        <w:tab/>
      </w:r>
      <w:r>
        <w:rPr>
          <w:rFonts w:hint="eastAsia" w:ascii="宋体" w:hAnsi="宋体" w:eastAsia="宋体" w:cs="宋体"/>
          <w:color w:val="auto"/>
          <w:sz w:val="28"/>
          <w:szCs w:val="36"/>
        </w:rPr>
        <w:t>月</w:t>
      </w:r>
      <w:r>
        <w:rPr>
          <w:rFonts w:hint="eastAsia" w:ascii="宋体" w:hAnsi="宋体" w:eastAsia="宋体" w:cs="宋体"/>
          <w:color w:val="auto"/>
          <w:sz w:val="28"/>
          <w:szCs w:val="36"/>
          <w:u w:val="single"/>
        </w:rPr>
        <w:tab/>
      </w:r>
      <w:r>
        <w:rPr>
          <w:rFonts w:hint="eastAsia" w:ascii="宋体" w:hAnsi="宋体" w:eastAsia="宋体" w:cs="宋体"/>
          <w:color w:val="auto"/>
          <w:sz w:val="28"/>
          <w:szCs w:val="36"/>
        </w:rPr>
        <w:t>日</w:t>
      </w:r>
    </w:p>
    <w:p w14:paraId="7125898B">
      <w:pPr>
        <w:rPr>
          <w:rFonts w:hint="eastAsia" w:ascii="宋体" w:hAnsi="宋体" w:eastAsia="宋体" w:cs="宋体"/>
          <w:color w:val="auto"/>
          <w:sz w:val="28"/>
          <w:szCs w:val="32"/>
        </w:rPr>
      </w:pPr>
    </w:p>
    <w:p w14:paraId="413ECE99">
      <w:pPr>
        <w:pStyle w:val="21"/>
        <w:rPr>
          <w:rFonts w:hint="eastAsia" w:ascii="宋体" w:hAnsi="宋体" w:eastAsia="宋体" w:cs="宋体"/>
          <w:color w:val="auto"/>
          <w:sz w:val="28"/>
          <w:szCs w:val="32"/>
        </w:rPr>
      </w:pPr>
    </w:p>
    <w:p w14:paraId="51BB503C">
      <w:pPr>
        <w:pStyle w:val="21"/>
        <w:rPr>
          <w:rFonts w:hint="eastAsia" w:ascii="宋体" w:hAnsi="宋体" w:eastAsia="宋体" w:cs="宋体"/>
          <w:color w:val="auto"/>
          <w:sz w:val="28"/>
          <w:szCs w:val="32"/>
        </w:rPr>
      </w:pPr>
    </w:p>
    <w:p w14:paraId="081A43E8">
      <w:pPr>
        <w:pStyle w:val="21"/>
        <w:rPr>
          <w:rFonts w:hint="eastAsia" w:ascii="宋体" w:hAnsi="宋体" w:eastAsia="宋体" w:cs="宋体"/>
          <w:color w:val="auto"/>
          <w:sz w:val="28"/>
          <w:szCs w:val="32"/>
        </w:rPr>
      </w:pPr>
    </w:p>
    <w:p w14:paraId="49F5E78F">
      <w:pPr>
        <w:pStyle w:val="21"/>
        <w:rPr>
          <w:rFonts w:hint="eastAsia" w:ascii="宋体" w:hAnsi="宋体" w:eastAsia="宋体" w:cs="宋体"/>
          <w:color w:val="auto"/>
          <w:sz w:val="28"/>
          <w:szCs w:val="32"/>
        </w:rPr>
      </w:pPr>
    </w:p>
    <w:p w14:paraId="4BF8938F">
      <w:pPr>
        <w:pStyle w:val="21"/>
        <w:rPr>
          <w:rFonts w:hint="eastAsia" w:ascii="宋体" w:hAnsi="宋体" w:eastAsia="宋体" w:cs="宋体"/>
          <w:color w:val="auto"/>
          <w:sz w:val="28"/>
          <w:szCs w:val="32"/>
        </w:rPr>
      </w:pPr>
    </w:p>
    <w:p w14:paraId="299CB503">
      <w:pPr>
        <w:pStyle w:val="21"/>
        <w:rPr>
          <w:rFonts w:hint="eastAsia" w:ascii="宋体" w:hAnsi="宋体" w:eastAsia="宋体" w:cs="宋体"/>
          <w:color w:val="auto"/>
          <w:sz w:val="28"/>
          <w:szCs w:val="32"/>
        </w:rPr>
      </w:pPr>
    </w:p>
    <w:p w14:paraId="502416DC">
      <w:pPr>
        <w:pStyle w:val="21"/>
        <w:rPr>
          <w:rFonts w:hint="eastAsia" w:ascii="宋体" w:hAnsi="宋体" w:eastAsia="宋体" w:cs="宋体"/>
          <w:color w:val="auto"/>
          <w:sz w:val="28"/>
          <w:szCs w:val="32"/>
        </w:rPr>
      </w:pPr>
    </w:p>
    <w:p w14:paraId="515A9C9B">
      <w:pPr>
        <w:pStyle w:val="21"/>
        <w:rPr>
          <w:rFonts w:hint="eastAsia" w:ascii="宋体" w:hAnsi="宋体" w:eastAsia="宋体" w:cs="宋体"/>
          <w:color w:val="auto"/>
          <w:sz w:val="28"/>
          <w:szCs w:val="32"/>
        </w:rPr>
      </w:pPr>
    </w:p>
    <w:p w14:paraId="51743ADD">
      <w:pPr>
        <w:pStyle w:val="21"/>
        <w:rPr>
          <w:rFonts w:hint="eastAsia" w:ascii="宋体" w:hAnsi="宋体" w:eastAsia="宋体" w:cs="宋体"/>
          <w:color w:val="auto"/>
          <w:sz w:val="28"/>
          <w:szCs w:val="32"/>
        </w:rPr>
      </w:pPr>
    </w:p>
    <w:p w14:paraId="033303E7">
      <w:pPr>
        <w:pStyle w:val="21"/>
        <w:rPr>
          <w:rFonts w:hint="eastAsia" w:ascii="宋体" w:hAnsi="宋体" w:eastAsia="宋体" w:cs="宋体"/>
          <w:color w:val="auto"/>
          <w:sz w:val="28"/>
          <w:szCs w:val="32"/>
        </w:rPr>
      </w:pPr>
    </w:p>
    <w:p w14:paraId="11DF3D0F">
      <w:pPr>
        <w:pStyle w:val="21"/>
        <w:rPr>
          <w:rFonts w:hint="eastAsia" w:ascii="宋体" w:hAnsi="宋体" w:eastAsia="宋体" w:cs="宋体"/>
          <w:color w:val="auto"/>
          <w:sz w:val="28"/>
          <w:szCs w:val="32"/>
        </w:rPr>
      </w:pPr>
    </w:p>
    <w:p w14:paraId="64F2257D">
      <w:pPr>
        <w:spacing w:before="163" w:line="223" w:lineRule="auto"/>
        <w:ind w:left="3334"/>
        <w:rPr>
          <w:rFonts w:ascii="宋体" w:hAnsi="宋体" w:eastAsia="宋体" w:cs="宋体"/>
          <w:color w:val="auto"/>
          <w:sz w:val="31"/>
          <w:szCs w:val="31"/>
        </w:rPr>
      </w:pPr>
      <w:r>
        <w:rPr>
          <w:rFonts w:hint="eastAsia" w:ascii="宋体" w:hAnsi="宋体" w:eastAsia="宋体" w:cs="宋体"/>
          <w:color w:val="auto"/>
          <w:spacing w:val="6"/>
          <w:sz w:val="31"/>
          <w:szCs w:val="31"/>
          <w:lang w:val="en-US" w:eastAsia="zh-CN"/>
          <w14:textOutline w14:w="5793" w14:cap="sq" w14:cmpd="sng">
            <w14:solidFill>
              <w14:srgbClr w14:val="000000"/>
            </w14:solidFill>
            <w14:prstDash w14:val="solid"/>
            <w14:bevel/>
          </w14:textOutline>
        </w:rPr>
        <w:t>2.2</w:t>
      </w:r>
      <w:r>
        <w:rPr>
          <w:rFonts w:ascii="宋体" w:hAnsi="宋体" w:eastAsia="宋体" w:cs="宋体"/>
          <w:color w:val="auto"/>
          <w:spacing w:val="6"/>
          <w:sz w:val="31"/>
          <w:szCs w:val="31"/>
        </w:rPr>
        <w:t xml:space="preserve"> </w:t>
      </w:r>
      <w:r>
        <w:rPr>
          <w:rFonts w:ascii="宋体" w:hAnsi="宋体" w:eastAsia="宋体" w:cs="宋体"/>
          <w:color w:val="auto"/>
          <w:spacing w:val="6"/>
          <w:sz w:val="31"/>
          <w:szCs w:val="31"/>
          <w14:textOutline w14:w="5793" w14:cap="sq" w14:cmpd="sng">
            <w14:solidFill>
              <w14:srgbClr w14:val="000000"/>
            </w14:solidFill>
            <w14:prstDash w14:val="solid"/>
            <w14:bevel/>
          </w14:textOutline>
        </w:rPr>
        <w:t>分项报价</w:t>
      </w:r>
      <w:r>
        <w:rPr>
          <w:rFonts w:ascii="宋体" w:hAnsi="宋体" w:eastAsia="宋体" w:cs="宋体"/>
          <w:color w:val="auto"/>
          <w:spacing w:val="5"/>
          <w:sz w:val="31"/>
          <w:szCs w:val="31"/>
          <w14:textOutline w14:w="5793" w14:cap="sq" w14:cmpd="sng">
            <w14:solidFill>
              <w14:srgbClr w14:val="000000"/>
            </w14:solidFill>
            <w14:prstDash w14:val="solid"/>
            <w14:bevel/>
          </w14:textOutline>
        </w:rPr>
        <w:t>表</w:t>
      </w:r>
    </w:p>
    <w:p w14:paraId="3423660A">
      <w:pPr>
        <w:rPr>
          <w:color w:val="auto"/>
        </w:rPr>
      </w:pPr>
    </w:p>
    <w:p w14:paraId="67967033">
      <w:pPr>
        <w:spacing w:line="99" w:lineRule="auto"/>
        <w:rPr>
          <w:rFonts w:ascii="Arial"/>
          <w:color w:val="auto"/>
          <w:sz w:val="2"/>
        </w:rPr>
      </w:pPr>
    </w:p>
    <w:tbl>
      <w:tblPr>
        <w:tblStyle w:val="55"/>
        <w:tblW w:w="89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3043"/>
        <w:gridCol w:w="1204"/>
        <w:gridCol w:w="1303"/>
        <w:gridCol w:w="1487"/>
        <w:gridCol w:w="1171"/>
      </w:tblGrid>
      <w:tr w14:paraId="05D60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764" w:type="dxa"/>
            <w:vAlign w:val="top"/>
          </w:tcPr>
          <w:p w14:paraId="155E3229">
            <w:pPr>
              <w:spacing w:before="77" w:line="229" w:lineRule="auto"/>
              <w:ind w:left="147"/>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3043" w:type="dxa"/>
            <w:vAlign w:val="top"/>
          </w:tcPr>
          <w:p w14:paraId="1CD6A75E">
            <w:pPr>
              <w:spacing w:before="77" w:line="230" w:lineRule="auto"/>
              <w:ind w:left="1287"/>
              <w:rPr>
                <w:rFonts w:ascii="宋体" w:hAnsi="宋体" w:eastAsia="宋体" w:cs="宋体"/>
                <w:color w:val="auto"/>
                <w:sz w:val="23"/>
                <w:szCs w:val="23"/>
              </w:rPr>
            </w:pPr>
            <w:r>
              <w:rPr>
                <w:rFonts w:ascii="宋体" w:hAnsi="宋体" w:eastAsia="宋体" w:cs="宋体"/>
                <w:color w:val="auto"/>
                <w:spacing w:val="4"/>
                <w:sz w:val="23"/>
                <w:szCs w:val="23"/>
              </w:rPr>
              <w:t>名</w:t>
            </w:r>
            <w:r>
              <w:rPr>
                <w:rFonts w:ascii="宋体" w:hAnsi="宋体" w:eastAsia="宋体" w:cs="宋体"/>
                <w:color w:val="auto"/>
                <w:spacing w:val="3"/>
                <w:sz w:val="23"/>
                <w:szCs w:val="23"/>
              </w:rPr>
              <w:t>称</w:t>
            </w:r>
          </w:p>
        </w:tc>
        <w:tc>
          <w:tcPr>
            <w:tcW w:w="1204" w:type="dxa"/>
            <w:vAlign w:val="top"/>
          </w:tcPr>
          <w:p w14:paraId="478EBB03">
            <w:pPr>
              <w:spacing w:before="78" w:line="227" w:lineRule="auto"/>
              <w:ind w:left="310"/>
              <w:rPr>
                <w:rFonts w:ascii="宋体" w:hAnsi="宋体" w:eastAsia="宋体" w:cs="宋体"/>
                <w:color w:val="auto"/>
                <w:sz w:val="23"/>
                <w:szCs w:val="23"/>
              </w:rPr>
            </w:pPr>
            <w:r>
              <w:rPr>
                <w:rFonts w:ascii="宋体" w:hAnsi="宋体" w:eastAsia="宋体" w:cs="宋体"/>
                <w:color w:val="auto"/>
                <w:spacing w:val="5"/>
                <w:sz w:val="23"/>
                <w:szCs w:val="23"/>
              </w:rPr>
              <w:t>数</w:t>
            </w:r>
            <w:r>
              <w:rPr>
                <w:rFonts w:ascii="宋体" w:hAnsi="宋体" w:eastAsia="宋体" w:cs="宋体"/>
                <w:color w:val="auto"/>
                <w:spacing w:val="4"/>
                <w:sz w:val="23"/>
                <w:szCs w:val="23"/>
              </w:rPr>
              <w:t xml:space="preserve"> 量</w:t>
            </w:r>
          </w:p>
        </w:tc>
        <w:tc>
          <w:tcPr>
            <w:tcW w:w="1303" w:type="dxa"/>
            <w:vAlign w:val="top"/>
          </w:tcPr>
          <w:p w14:paraId="6488B196">
            <w:pPr>
              <w:spacing w:before="77" w:line="228" w:lineRule="auto"/>
              <w:ind w:left="546"/>
              <w:rPr>
                <w:rFonts w:ascii="宋体" w:hAnsi="宋体" w:eastAsia="宋体" w:cs="宋体"/>
                <w:color w:val="auto"/>
                <w:sz w:val="23"/>
                <w:szCs w:val="23"/>
              </w:rPr>
            </w:pPr>
            <w:r>
              <w:rPr>
                <w:rFonts w:ascii="宋体" w:hAnsi="宋体" w:eastAsia="宋体" w:cs="宋体"/>
                <w:color w:val="auto"/>
                <w:spacing w:val="4"/>
                <w:sz w:val="23"/>
                <w:szCs w:val="23"/>
              </w:rPr>
              <w:t>单位</w:t>
            </w:r>
          </w:p>
        </w:tc>
        <w:tc>
          <w:tcPr>
            <w:tcW w:w="1487" w:type="dxa"/>
            <w:vAlign w:val="top"/>
          </w:tcPr>
          <w:p w14:paraId="1A472DFE">
            <w:pPr>
              <w:spacing w:before="77" w:line="226" w:lineRule="auto"/>
              <w:ind w:left="152"/>
              <w:rPr>
                <w:rFonts w:ascii="宋体" w:hAnsi="宋体" w:eastAsia="宋体" w:cs="宋体"/>
                <w:color w:val="auto"/>
                <w:sz w:val="23"/>
                <w:szCs w:val="23"/>
              </w:rPr>
            </w:pPr>
            <w:r>
              <w:rPr>
                <w:rFonts w:ascii="宋体" w:hAnsi="宋体" w:eastAsia="宋体" w:cs="宋体"/>
                <w:color w:val="auto"/>
                <w:spacing w:val="8"/>
                <w:sz w:val="23"/>
                <w:szCs w:val="23"/>
              </w:rPr>
              <w:t>单</w:t>
            </w:r>
            <w:r>
              <w:rPr>
                <w:rFonts w:ascii="宋体" w:hAnsi="宋体" w:eastAsia="宋体" w:cs="宋体"/>
                <w:color w:val="auto"/>
                <w:spacing w:val="4"/>
                <w:sz w:val="23"/>
                <w:szCs w:val="23"/>
              </w:rPr>
              <w:t>价 (元)</w:t>
            </w:r>
          </w:p>
        </w:tc>
        <w:tc>
          <w:tcPr>
            <w:tcW w:w="1171" w:type="dxa"/>
            <w:vAlign w:val="top"/>
          </w:tcPr>
          <w:p w14:paraId="7263506C">
            <w:pPr>
              <w:spacing w:before="77" w:line="226" w:lineRule="auto"/>
              <w:ind w:left="72"/>
              <w:rPr>
                <w:rFonts w:ascii="宋体" w:hAnsi="宋体" w:eastAsia="宋体" w:cs="宋体"/>
                <w:color w:val="auto"/>
                <w:sz w:val="23"/>
                <w:szCs w:val="23"/>
              </w:rPr>
            </w:pPr>
            <w:r>
              <w:rPr>
                <w:rFonts w:ascii="宋体" w:hAnsi="宋体" w:eastAsia="宋体" w:cs="宋体"/>
                <w:color w:val="auto"/>
                <w:spacing w:val="-12"/>
                <w:sz w:val="23"/>
                <w:szCs w:val="23"/>
              </w:rPr>
              <w:t>总</w:t>
            </w:r>
            <w:r>
              <w:rPr>
                <w:rFonts w:ascii="宋体" w:hAnsi="宋体" w:eastAsia="宋体" w:cs="宋体"/>
                <w:color w:val="auto"/>
                <w:spacing w:val="-8"/>
                <w:sz w:val="23"/>
                <w:szCs w:val="23"/>
              </w:rPr>
              <w:t>价 (元)</w:t>
            </w:r>
          </w:p>
        </w:tc>
      </w:tr>
      <w:tr w14:paraId="4292D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764" w:type="dxa"/>
            <w:vAlign w:val="top"/>
          </w:tcPr>
          <w:p w14:paraId="2027DF2B">
            <w:pPr>
              <w:spacing w:before="118" w:line="192" w:lineRule="auto"/>
              <w:ind w:left="345"/>
              <w:rPr>
                <w:rFonts w:ascii="宋体" w:hAnsi="宋体" w:eastAsia="宋体" w:cs="宋体"/>
                <w:color w:val="auto"/>
                <w:sz w:val="23"/>
                <w:szCs w:val="23"/>
              </w:rPr>
            </w:pPr>
            <w:r>
              <w:rPr>
                <w:rFonts w:ascii="宋体" w:hAnsi="宋体" w:eastAsia="宋体" w:cs="宋体"/>
                <w:color w:val="auto"/>
                <w:sz w:val="23"/>
                <w:szCs w:val="23"/>
              </w:rPr>
              <w:t>1</w:t>
            </w:r>
          </w:p>
        </w:tc>
        <w:tc>
          <w:tcPr>
            <w:tcW w:w="3043" w:type="dxa"/>
            <w:vAlign w:val="top"/>
          </w:tcPr>
          <w:p w14:paraId="46FFE2B5">
            <w:pPr>
              <w:rPr>
                <w:rFonts w:ascii="Arial"/>
                <w:color w:val="auto"/>
                <w:sz w:val="21"/>
              </w:rPr>
            </w:pPr>
          </w:p>
        </w:tc>
        <w:tc>
          <w:tcPr>
            <w:tcW w:w="1204" w:type="dxa"/>
            <w:vAlign w:val="top"/>
          </w:tcPr>
          <w:p w14:paraId="56976FA2">
            <w:pPr>
              <w:rPr>
                <w:rFonts w:ascii="Arial"/>
                <w:color w:val="auto"/>
                <w:sz w:val="21"/>
              </w:rPr>
            </w:pPr>
          </w:p>
        </w:tc>
        <w:tc>
          <w:tcPr>
            <w:tcW w:w="1303" w:type="dxa"/>
            <w:vAlign w:val="top"/>
          </w:tcPr>
          <w:p w14:paraId="448394D4">
            <w:pPr>
              <w:rPr>
                <w:rFonts w:ascii="Arial"/>
                <w:color w:val="auto"/>
                <w:sz w:val="21"/>
              </w:rPr>
            </w:pPr>
          </w:p>
        </w:tc>
        <w:tc>
          <w:tcPr>
            <w:tcW w:w="1487" w:type="dxa"/>
            <w:vAlign w:val="top"/>
          </w:tcPr>
          <w:p w14:paraId="25F47D74">
            <w:pPr>
              <w:rPr>
                <w:rFonts w:ascii="Arial"/>
                <w:color w:val="auto"/>
                <w:sz w:val="21"/>
              </w:rPr>
            </w:pPr>
          </w:p>
        </w:tc>
        <w:tc>
          <w:tcPr>
            <w:tcW w:w="1171" w:type="dxa"/>
            <w:vAlign w:val="top"/>
          </w:tcPr>
          <w:p w14:paraId="3560B945">
            <w:pPr>
              <w:rPr>
                <w:rFonts w:ascii="Arial"/>
                <w:color w:val="auto"/>
                <w:sz w:val="21"/>
              </w:rPr>
            </w:pPr>
          </w:p>
        </w:tc>
      </w:tr>
      <w:tr w14:paraId="73619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39F63C8E">
            <w:pPr>
              <w:spacing w:before="120" w:line="192" w:lineRule="auto"/>
              <w:ind w:left="331"/>
              <w:rPr>
                <w:rFonts w:ascii="宋体" w:hAnsi="宋体" w:eastAsia="宋体" w:cs="宋体"/>
                <w:color w:val="auto"/>
                <w:sz w:val="23"/>
                <w:szCs w:val="23"/>
              </w:rPr>
            </w:pPr>
            <w:r>
              <w:rPr>
                <w:rFonts w:ascii="宋体" w:hAnsi="宋体" w:eastAsia="宋体" w:cs="宋体"/>
                <w:color w:val="auto"/>
                <w:sz w:val="23"/>
                <w:szCs w:val="23"/>
              </w:rPr>
              <w:t>2</w:t>
            </w:r>
          </w:p>
        </w:tc>
        <w:tc>
          <w:tcPr>
            <w:tcW w:w="3043" w:type="dxa"/>
            <w:vAlign w:val="top"/>
          </w:tcPr>
          <w:p w14:paraId="1E6A3DAD">
            <w:pPr>
              <w:rPr>
                <w:rFonts w:ascii="Arial"/>
                <w:color w:val="auto"/>
                <w:sz w:val="21"/>
              </w:rPr>
            </w:pPr>
          </w:p>
        </w:tc>
        <w:tc>
          <w:tcPr>
            <w:tcW w:w="1204" w:type="dxa"/>
            <w:vAlign w:val="top"/>
          </w:tcPr>
          <w:p w14:paraId="2457E702">
            <w:pPr>
              <w:rPr>
                <w:rFonts w:ascii="Arial"/>
                <w:color w:val="auto"/>
                <w:sz w:val="21"/>
              </w:rPr>
            </w:pPr>
          </w:p>
        </w:tc>
        <w:tc>
          <w:tcPr>
            <w:tcW w:w="1303" w:type="dxa"/>
            <w:vAlign w:val="top"/>
          </w:tcPr>
          <w:p w14:paraId="747294B6">
            <w:pPr>
              <w:rPr>
                <w:rFonts w:ascii="Arial"/>
                <w:color w:val="auto"/>
                <w:sz w:val="21"/>
              </w:rPr>
            </w:pPr>
          </w:p>
        </w:tc>
        <w:tc>
          <w:tcPr>
            <w:tcW w:w="1487" w:type="dxa"/>
            <w:vAlign w:val="top"/>
          </w:tcPr>
          <w:p w14:paraId="0B80A53C">
            <w:pPr>
              <w:rPr>
                <w:rFonts w:ascii="Arial"/>
                <w:color w:val="auto"/>
                <w:sz w:val="21"/>
              </w:rPr>
            </w:pPr>
          </w:p>
        </w:tc>
        <w:tc>
          <w:tcPr>
            <w:tcW w:w="1171" w:type="dxa"/>
            <w:vAlign w:val="top"/>
          </w:tcPr>
          <w:p w14:paraId="44FB64E6">
            <w:pPr>
              <w:rPr>
                <w:rFonts w:ascii="Arial"/>
                <w:color w:val="auto"/>
                <w:sz w:val="21"/>
              </w:rPr>
            </w:pPr>
          </w:p>
        </w:tc>
      </w:tr>
      <w:tr w14:paraId="4D48D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6E83FB21">
            <w:pPr>
              <w:spacing w:before="119" w:line="190" w:lineRule="auto"/>
              <w:ind w:left="332"/>
              <w:rPr>
                <w:rFonts w:ascii="宋体" w:hAnsi="宋体" w:eastAsia="宋体" w:cs="宋体"/>
                <w:color w:val="auto"/>
                <w:sz w:val="23"/>
                <w:szCs w:val="23"/>
              </w:rPr>
            </w:pPr>
            <w:r>
              <w:rPr>
                <w:rFonts w:ascii="宋体" w:hAnsi="宋体" w:eastAsia="宋体" w:cs="宋体"/>
                <w:color w:val="auto"/>
                <w:sz w:val="23"/>
                <w:szCs w:val="23"/>
              </w:rPr>
              <w:t>3</w:t>
            </w:r>
          </w:p>
        </w:tc>
        <w:tc>
          <w:tcPr>
            <w:tcW w:w="3043" w:type="dxa"/>
            <w:vAlign w:val="top"/>
          </w:tcPr>
          <w:p w14:paraId="0D17F7DF">
            <w:pPr>
              <w:rPr>
                <w:rFonts w:ascii="Arial"/>
                <w:color w:val="auto"/>
                <w:sz w:val="21"/>
              </w:rPr>
            </w:pPr>
          </w:p>
        </w:tc>
        <w:tc>
          <w:tcPr>
            <w:tcW w:w="1204" w:type="dxa"/>
            <w:vAlign w:val="top"/>
          </w:tcPr>
          <w:p w14:paraId="3EE968B7">
            <w:pPr>
              <w:rPr>
                <w:rFonts w:ascii="Arial"/>
                <w:color w:val="auto"/>
                <w:sz w:val="21"/>
              </w:rPr>
            </w:pPr>
          </w:p>
        </w:tc>
        <w:tc>
          <w:tcPr>
            <w:tcW w:w="1303" w:type="dxa"/>
            <w:vAlign w:val="top"/>
          </w:tcPr>
          <w:p w14:paraId="00E4D180">
            <w:pPr>
              <w:rPr>
                <w:rFonts w:ascii="Arial"/>
                <w:color w:val="auto"/>
                <w:sz w:val="21"/>
              </w:rPr>
            </w:pPr>
          </w:p>
        </w:tc>
        <w:tc>
          <w:tcPr>
            <w:tcW w:w="1487" w:type="dxa"/>
            <w:vAlign w:val="top"/>
          </w:tcPr>
          <w:p w14:paraId="4241A51A">
            <w:pPr>
              <w:rPr>
                <w:rFonts w:ascii="Arial"/>
                <w:color w:val="auto"/>
                <w:sz w:val="21"/>
              </w:rPr>
            </w:pPr>
          </w:p>
        </w:tc>
        <w:tc>
          <w:tcPr>
            <w:tcW w:w="1171" w:type="dxa"/>
            <w:vAlign w:val="top"/>
          </w:tcPr>
          <w:p w14:paraId="5F14309C">
            <w:pPr>
              <w:rPr>
                <w:rFonts w:ascii="Arial"/>
                <w:color w:val="auto"/>
                <w:sz w:val="21"/>
              </w:rPr>
            </w:pPr>
          </w:p>
        </w:tc>
      </w:tr>
      <w:tr w14:paraId="40B30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764" w:type="dxa"/>
            <w:vAlign w:val="top"/>
          </w:tcPr>
          <w:p w14:paraId="4E044B66">
            <w:pPr>
              <w:spacing w:before="120" w:line="192" w:lineRule="auto"/>
              <w:ind w:left="327"/>
              <w:rPr>
                <w:rFonts w:ascii="宋体" w:hAnsi="宋体" w:eastAsia="宋体" w:cs="宋体"/>
                <w:color w:val="auto"/>
                <w:sz w:val="23"/>
                <w:szCs w:val="23"/>
              </w:rPr>
            </w:pPr>
            <w:r>
              <w:rPr>
                <w:rFonts w:ascii="宋体" w:hAnsi="宋体" w:eastAsia="宋体" w:cs="宋体"/>
                <w:color w:val="auto"/>
                <w:sz w:val="23"/>
                <w:szCs w:val="23"/>
              </w:rPr>
              <w:t>4</w:t>
            </w:r>
          </w:p>
        </w:tc>
        <w:tc>
          <w:tcPr>
            <w:tcW w:w="3043" w:type="dxa"/>
            <w:vAlign w:val="top"/>
          </w:tcPr>
          <w:p w14:paraId="64AD1F7F">
            <w:pPr>
              <w:rPr>
                <w:rFonts w:ascii="Arial"/>
                <w:color w:val="auto"/>
                <w:sz w:val="21"/>
              </w:rPr>
            </w:pPr>
          </w:p>
        </w:tc>
        <w:tc>
          <w:tcPr>
            <w:tcW w:w="1204" w:type="dxa"/>
            <w:vAlign w:val="top"/>
          </w:tcPr>
          <w:p w14:paraId="10DEF649">
            <w:pPr>
              <w:rPr>
                <w:rFonts w:ascii="Arial"/>
                <w:color w:val="auto"/>
                <w:sz w:val="21"/>
              </w:rPr>
            </w:pPr>
          </w:p>
        </w:tc>
        <w:tc>
          <w:tcPr>
            <w:tcW w:w="1303" w:type="dxa"/>
            <w:vAlign w:val="top"/>
          </w:tcPr>
          <w:p w14:paraId="039522DA">
            <w:pPr>
              <w:rPr>
                <w:rFonts w:ascii="Arial"/>
                <w:color w:val="auto"/>
                <w:sz w:val="21"/>
              </w:rPr>
            </w:pPr>
          </w:p>
        </w:tc>
        <w:tc>
          <w:tcPr>
            <w:tcW w:w="1487" w:type="dxa"/>
            <w:vAlign w:val="top"/>
          </w:tcPr>
          <w:p w14:paraId="6525B346">
            <w:pPr>
              <w:rPr>
                <w:rFonts w:ascii="Arial"/>
                <w:color w:val="auto"/>
                <w:sz w:val="21"/>
              </w:rPr>
            </w:pPr>
          </w:p>
        </w:tc>
        <w:tc>
          <w:tcPr>
            <w:tcW w:w="1171" w:type="dxa"/>
            <w:vAlign w:val="top"/>
          </w:tcPr>
          <w:p w14:paraId="52AB231E">
            <w:pPr>
              <w:rPr>
                <w:rFonts w:ascii="Arial"/>
                <w:color w:val="auto"/>
                <w:sz w:val="21"/>
              </w:rPr>
            </w:pPr>
          </w:p>
        </w:tc>
      </w:tr>
      <w:tr w14:paraId="72104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74B8CF3E">
            <w:pPr>
              <w:rPr>
                <w:rFonts w:ascii="Arial"/>
                <w:color w:val="auto"/>
                <w:sz w:val="21"/>
              </w:rPr>
            </w:pPr>
          </w:p>
        </w:tc>
        <w:tc>
          <w:tcPr>
            <w:tcW w:w="3043" w:type="dxa"/>
            <w:vAlign w:val="top"/>
          </w:tcPr>
          <w:p w14:paraId="0E5780BF">
            <w:pPr>
              <w:spacing w:before="82" w:line="338" w:lineRule="exact"/>
              <w:ind w:left="1300"/>
              <w:rPr>
                <w:rFonts w:ascii="宋体" w:hAnsi="宋体" w:eastAsia="宋体" w:cs="宋体"/>
                <w:color w:val="auto"/>
                <w:sz w:val="23"/>
                <w:szCs w:val="23"/>
              </w:rPr>
            </w:pPr>
            <w:r>
              <w:rPr>
                <w:rFonts w:ascii="宋体" w:hAnsi="宋体" w:eastAsia="宋体" w:cs="宋体"/>
                <w:color w:val="auto"/>
                <w:spacing w:val="5"/>
                <w:position w:val="2"/>
                <w:sz w:val="23"/>
                <w:szCs w:val="23"/>
              </w:rPr>
              <w:t>……</w:t>
            </w:r>
          </w:p>
        </w:tc>
        <w:tc>
          <w:tcPr>
            <w:tcW w:w="1204" w:type="dxa"/>
            <w:vAlign w:val="top"/>
          </w:tcPr>
          <w:p w14:paraId="454B5923">
            <w:pPr>
              <w:rPr>
                <w:rFonts w:ascii="Arial"/>
                <w:color w:val="auto"/>
                <w:sz w:val="21"/>
              </w:rPr>
            </w:pPr>
          </w:p>
        </w:tc>
        <w:tc>
          <w:tcPr>
            <w:tcW w:w="1303" w:type="dxa"/>
            <w:vAlign w:val="top"/>
          </w:tcPr>
          <w:p w14:paraId="4936AB49">
            <w:pPr>
              <w:rPr>
                <w:rFonts w:ascii="Arial"/>
                <w:color w:val="auto"/>
                <w:sz w:val="21"/>
              </w:rPr>
            </w:pPr>
          </w:p>
        </w:tc>
        <w:tc>
          <w:tcPr>
            <w:tcW w:w="1487" w:type="dxa"/>
            <w:vAlign w:val="top"/>
          </w:tcPr>
          <w:p w14:paraId="38FC7BE0">
            <w:pPr>
              <w:rPr>
                <w:rFonts w:ascii="Arial"/>
                <w:color w:val="auto"/>
                <w:sz w:val="21"/>
              </w:rPr>
            </w:pPr>
          </w:p>
        </w:tc>
        <w:tc>
          <w:tcPr>
            <w:tcW w:w="1171" w:type="dxa"/>
            <w:vAlign w:val="top"/>
          </w:tcPr>
          <w:p w14:paraId="6C66B7FD">
            <w:pPr>
              <w:rPr>
                <w:rFonts w:ascii="Arial"/>
                <w:color w:val="auto"/>
                <w:sz w:val="21"/>
              </w:rPr>
            </w:pPr>
          </w:p>
        </w:tc>
      </w:tr>
      <w:tr w14:paraId="63162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5D83D0B8">
            <w:pPr>
              <w:rPr>
                <w:rFonts w:ascii="Arial"/>
                <w:color w:val="auto"/>
                <w:sz w:val="21"/>
              </w:rPr>
            </w:pPr>
          </w:p>
        </w:tc>
        <w:tc>
          <w:tcPr>
            <w:tcW w:w="3043" w:type="dxa"/>
            <w:vAlign w:val="top"/>
          </w:tcPr>
          <w:p w14:paraId="15A48DB0">
            <w:pPr>
              <w:rPr>
                <w:rFonts w:ascii="Arial"/>
                <w:color w:val="auto"/>
                <w:sz w:val="21"/>
              </w:rPr>
            </w:pPr>
          </w:p>
        </w:tc>
        <w:tc>
          <w:tcPr>
            <w:tcW w:w="1204" w:type="dxa"/>
            <w:vAlign w:val="top"/>
          </w:tcPr>
          <w:p w14:paraId="50E92998">
            <w:pPr>
              <w:rPr>
                <w:rFonts w:ascii="Arial"/>
                <w:color w:val="auto"/>
                <w:sz w:val="21"/>
              </w:rPr>
            </w:pPr>
          </w:p>
        </w:tc>
        <w:tc>
          <w:tcPr>
            <w:tcW w:w="1303" w:type="dxa"/>
            <w:vAlign w:val="top"/>
          </w:tcPr>
          <w:p w14:paraId="5D3BDF27">
            <w:pPr>
              <w:rPr>
                <w:rFonts w:ascii="Arial"/>
                <w:color w:val="auto"/>
                <w:sz w:val="21"/>
              </w:rPr>
            </w:pPr>
          </w:p>
        </w:tc>
        <w:tc>
          <w:tcPr>
            <w:tcW w:w="1487" w:type="dxa"/>
            <w:vAlign w:val="top"/>
          </w:tcPr>
          <w:p w14:paraId="40D3F12E">
            <w:pPr>
              <w:rPr>
                <w:rFonts w:ascii="Arial"/>
                <w:color w:val="auto"/>
                <w:sz w:val="21"/>
              </w:rPr>
            </w:pPr>
          </w:p>
        </w:tc>
        <w:tc>
          <w:tcPr>
            <w:tcW w:w="1171" w:type="dxa"/>
            <w:vAlign w:val="top"/>
          </w:tcPr>
          <w:p w14:paraId="20D92660">
            <w:pPr>
              <w:rPr>
                <w:rFonts w:ascii="Arial"/>
                <w:color w:val="auto"/>
                <w:sz w:val="21"/>
              </w:rPr>
            </w:pPr>
          </w:p>
        </w:tc>
      </w:tr>
      <w:tr w14:paraId="72534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64D7DB5C">
            <w:pPr>
              <w:rPr>
                <w:rFonts w:ascii="Arial"/>
                <w:color w:val="auto"/>
                <w:sz w:val="21"/>
              </w:rPr>
            </w:pPr>
          </w:p>
        </w:tc>
        <w:tc>
          <w:tcPr>
            <w:tcW w:w="3043" w:type="dxa"/>
            <w:vAlign w:val="top"/>
          </w:tcPr>
          <w:p w14:paraId="3FC29E9D">
            <w:pPr>
              <w:rPr>
                <w:rFonts w:ascii="Arial"/>
                <w:color w:val="auto"/>
                <w:sz w:val="21"/>
              </w:rPr>
            </w:pPr>
          </w:p>
        </w:tc>
        <w:tc>
          <w:tcPr>
            <w:tcW w:w="1204" w:type="dxa"/>
            <w:vAlign w:val="top"/>
          </w:tcPr>
          <w:p w14:paraId="6CB08E2D">
            <w:pPr>
              <w:rPr>
                <w:rFonts w:ascii="Arial"/>
                <w:color w:val="auto"/>
                <w:sz w:val="21"/>
              </w:rPr>
            </w:pPr>
          </w:p>
        </w:tc>
        <w:tc>
          <w:tcPr>
            <w:tcW w:w="1303" w:type="dxa"/>
            <w:vAlign w:val="top"/>
          </w:tcPr>
          <w:p w14:paraId="7489DEB2">
            <w:pPr>
              <w:rPr>
                <w:rFonts w:ascii="Arial"/>
                <w:color w:val="auto"/>
                <w:sz w:val="21"/>
              </w:rPr>
            </w:pPr>
          </w:p>
        </w:tc>
        <w:tc>
          <w:tcPr>
            <w:tcW w:w="1487" w:type="dxa"/>
            <w:vAlign w:val="top"/>
          </w:tcPr>
          <w:p w14:paraId="1D12F1D8">
            <w:pPr>
              <w:rPr>
                <w:rFonts w:ascii="Arial"/>
                <w:color w:val="auto"/>
                <w:sz w:val="21"/>
              </w:rPr>
            </w:pPr>
          </w:p>
        </w:tc>
        <w:tc>
          <w:tcPr>
            <w:tcW w:w="1171" w:type="dxa"/>
            <w:vAlign w:val="top"/>
          </w:tcPr>
          <w:p w14:paraId="6B33AACA">
            <w:pPr>
              <w:rPr>
                <w:rFonts w:ascii="Arial"/>
                <w:color w:val="auto"/>
                <w:sz w:val="21"/>
              </w:rPr>
            </w:pPr>
          </w:p>
        </w:tc>
      </w:tr>
      <w:tr w14:paraId="3F8AD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53CB592F">
            <w:pPr>
              <w:rPr>
                <w:rFonts w:ascii="Arial"/>
                <w:color w:val="auto"/>
                <w:sz w:val="21"/>
              </w:rPr>
            </w:pPr>
          </w:p>
        </w:tc>
        <w:tc>
          <w:tcPr>
            <w:tcW w:w="3043" w:type="dxa"/>
            <w:vAlign w:val="top"/>
          </w:tcPr>
          <w:p w14:paraId="2AD3D9D0">
            <w:pPr>
              <w:rPr>
                <w:rFonts w:ascii="Arial"/>
                <w:color w:val="auto"/>
                <w:sz w:val="21"/>
              </w:rPr>
            </w:pPr>
          </w:p>
        </w:tc>
        <w:tc>
          <w:tcPr>
            <w:tcW w:w="1204" w:type="dxa"/>
            <w:vAlign w:val="top"/>
          </w:tcPr>
          <w:p w14:paraId="358C6EBC">
            <w:pPr>
              <w:rPr>
                <w:rFonts w:ascii="Arial"/>
                <w:color w:val="auto"/>
                <w:sz w:val="21"/>
              </w:rPr>
            </w:pPr>
          </w:p>
        </w:tc>
        <w:tc>
          <w:tcPr>
            <w:tcW w:w="1303" w:type="dxa"/>
            <w:vAlign w:val="top"/>
          </w:tcPr>
          <w:p w14:paraId="5EFCE139">
            <w:pPr>
              <w:rPr>
                <w:rFonts w:ascii="Arial"/>
                <w:color w:val="auto"/>
                <w:sz w:val="21"/>
              </w:rPr>
            </w:pPr>
          </w:p>
        </w:tc>
        <w:tc>
          <w:tcPr>
            <w:tcW w:w="1487" w:type="dxa"/>
            <w:vAlign w:val="top"/>
          </w:tcPr>
          <w:p w14:paraId="370E8D0C">
            <w:pPr>
              <w:rPr>
                <w:rFonts w:ascii="Arial"/>
                <w:color w:val="auto"/>
                <w:sz w:val="21"/>
              </w:rPr>
            </w:pPr>
          </w:p>
        </w:tc>
        <w:tc>
          <w:tcPr>
            <w:tcW w:w="1171" w:type="dxa"/>
            <w:vAlign w:val="top"/>
          </w:tcPr>
          <w:p w14:paraId="125D4EF3">
            <w:pPr>
              <w:rPr>
                <w:rFonts w:ascii="Arial"/>
                <w:color w:val="auto"/>
                <w:sz w:val="21"/>
              </w:rPr>
            </w:pPr>
          </w:p>
        </w:tc>
      </w:tr>
      <w:tr w14:paraId="6D7A0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764" w:type="dxa"/>
            <w:vAlign w:val="top"/>
          </w:tcPr>
          <w:p w14:paraId="0AE53062">
            <w:pPr>
              <w:rPr>
                <w:rFonts w:ascii="Arial"/>
                <w:color w:val="auto"/>
                <w:sz w:val="21"/>
              </w:rPr>
            </w:pPr>
          </w:p>
        </w:tc>
        <w:tc>
          <w:tcPr>
            <w:tcW w:w="3043" w:type="dxa"/>
            <w:vAlign w:val="top"/>
          </w:tcPr>
          <w:p w14:paraId="34F15308">
            <w:pPr>
              <w:rPr>
                <w:rFonts w:ascii="Arial"/>
                <w:color w:val="auto"/>
                <w:sz w:val="21"/>
              </w:rPr>
            </w:pPr>
          </w:p>
        </w:tc>
        <w:tc>
          <w:tcPr>
            <w:tcW w:w="1204" w:type="dxa"/>
            <w:vAlign w:val="top"/>
          </w:tcPr>
          <w:p w14:paraId="40445FD8">
            <w:pPr>
              <w:rPr>
                <w:rFonts w:ascii="Arial"/>
                <w:color w:val="auto"/>
                <w:sz w:val="21"/>
              </w:rPr>
            </w:pPr>
          </w:p>
        </w:tc>
        <w:tc>
          <w:tcPr>
            <w:tcW w:w="1303" w:type="dxa"/>
            <w:vAlign w:val="top"/>
          </w:tcPr>
          <w:p w14:paraId="2E4953DF">
            <w:pPr>
              <w:rPr>
                <w:rFonts w:ascii="Arial"/>
                <w:color w:val="auto"/>
                <w:sz w:val="21"/>
              </w:rPr>
            </w:pPr>
          </w:p>
        </w:tc>
        <w:tc>
          <w:tcPr>
            <w:tcW w:w="1487" w:type="dxa"/>
            <w:vAlign w:val="top"/>
          </w:tcPr>
          <w:p w14:paraId="779A8798">
            <w:pPr>
              <w:rPr>
                <w:rFonts w:ascii="Arial"/>
                <w:color w:val="auto"/>
                <w:sz w:val="21"/>
              </w:rPr>
            </w:pPr>
          </w:p>
        </w:tc>
        <w:tc>
          <w:tcPr>
            <w:tcW w:w="1171" w:type="dxa"/>
            <w:vAlign w:val="top"/>
          </w:tcPr>
          <w:p w14:paraId="0A8256B8">
            <w:pPr>
              <w:rPr>
                <w:rFonts w:ascii="Arial"/>
                <w:color w:val="auto"/>
                <w:sz w:val="21"/>
              </w:rPr>
            </w:pPr>
          </w:p>
        </w:tc>
      </w:tr>
      <w:tr w14:paraId="533C9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4F49822D">
            <w:pPr>
              <w:rPr>
                <w:rFonts w:ascii="Arial"/>
                <w:color w:val="auto"/>
                <w:sz w:val="21"/>
              </w:rPr>
            </w:pPr>
          </w:p>
        </w:tc>
        <w:tc>
          <w:tcPr>
            <w:tcW w:w="3043" w:type="dxa"/>
            <w:vAlign w:val="top"/>
          </w:tcPr>
          <w:p w14:paraId="3E7645C1">
            <w:pPr>
              <w:rPr>
                <w:rFonts w:ascii="Arial"/>
                <w:color w:val="auto"/>
                <w:sz w:val="21"/>
              </w:rPr>
            </w:pPr>
          </w:p>
        </w:tc>
        <w:tc>
          <w:tcPr>
            <w:tcW w:w="1204" w:type="dxa"/>
            <w:vAlign w:val="top"/>
          </w:tcPr>
          <w:p w14:paraId="493E2DEC">
            <w:pPr>
              <w:rPr>
                <w:rFonts w:ascii="Arial"/>
                <w:color w:val="auto"/>
                <w:sz w:val="21"/>
              </w:rPr>
            </w:pPr>
          </w:p>
        </w:tc>
        <w:tc>
          <w:tcPr>
            <w:tcW w:w="1303" w:type="dxa"/>
            <w:vAlign w:val="top"/>
          </w:tcPr>
          <w:p w14:paraId="65930910">
            <w:pPr>
              <w:rPr>
                <w:rFonts w:ascii="Arial"/>
                <w:color w:val="auto"/>
                <w:sz w:val="21"/>
              </w:rPr>
            </w:pPr>
          </w:p>
        </w:tc>
        <w:tc>
          <w:tcPr>
            <w:tcW w:w="1487" w:type="dxa"/>
            <w:vAlign w:val="top"/>
          </w:tcPr>
          <w:p w14:paraId="64151029">
            <w:pPr>
              <w:rPr>
                <w:rFonts w:ascii="Arial"/>
                <w:color w:val="auto"/>
                <w:sz w:val="21"/>
              </w:rPr>
            </w:pPr>
          </w:p>
        </w:tc>
        <w:tc>
          <w:tcPr>
            <w:tcW w:w="1171" w:type="dxa"/>
            <w:vAlign w:val="top"/>
          </w:tcPr>
          <w:p w14:paraId="6E30070B">
            <w:pPr>
              <w:rPr>
                <w:rFonts w:ascii="Arial"/>
                <w:color w:val="auto"/>
                <w:sz w:val="21"/>
              </w:rPr>
            </w:pPr>
          </w:p>
        </w:tc>
      </w:tr>
      <w:tr w14:paraId="7959E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4BBA0075">
            <w:pPr>
              <w:rPr>
                <w:rFonts w:ascii="Arial"/>
                <w:color w:val="auto"/>
                <w:sz w:val="21"/>
              </w:rPr>
            </w:pPr>
          </w:p>
        </w:tc>
        <w:tc>
          <w:tcPr>
            <w:tcW w:w="3043" w:type="dxa"/>
            <w:vAlign w:val="top"/>
          </w:tcPr>
          <w:p w14:paraId="029E9460">
            <w:pPr>
              <w:rPr>
                <w:rFonts w:ascii="Arial"/>
                <w:color w:val="auto"/>
                <w:sz w:val="21"/>
              </w:rPr>
            </w:pPr>
          </w:p>
        </w:tc>
        <w:tc>
          <w:tcPr>
            <w:tcW w:w="1204" w:type="dxa"/>
            <w:vAlign w:val="top"/>
          </w:tcPr>
          <w:p w14:paraId="6B5D09E1">
            <w:pPr>
              <w:rPr>
                <w:rFonts w:ascii="Arial"/>
                <w:color w:val="auto"/>
                <w:sz w:val="21"/>
              </w:rPr>
            </w:pPr>
          </w:p>
        </w:tc>
        <w:tc>
          <w:tcPr>
            <w:tcW w:w="1303" w:type="dxa"/>
            <w:vAlign w:val="top"/>
          </w:tcPr>
          <w:p w14:paraId="0F66951A">
            <w:pPr>
              <w:rPr>
                <w:rFonts w:ascii="Arial"/>
                <w:color w:val="auto"/>
                <w:sz w:val="21"/>
              </w:rPr>
            </w:pPr>
          </w:p>
        </w:tc>
        <w:tc>
          <w:tcPr>
            <w:tcW w:w="1487" w:type="dxa"/>
            <w:vAlign w:val="top"/>
          </w:tcPr>
          <w:p w14:paraId="1191AC94">
            <w:pPr>
              <w:rPr>
                <w:rFonts w:ascii="Arial"/>
                <w:color w:val="auto"/>
                <w:sz w:val="21"/>
              </w:rPr>
            </w:pPr>
          </w:p>
        </w:tc>
        <w:tc>
          <w:tcPr>
            <w:tcW w:w="1171" w:type="dxa"/>
            <w:vAlign w:val="top"/>
          </w:tcPr>
          <w:p w14:paraId="5F7A8E91">
            <w:pPr>
              <w:rPr>
                <w:rFonts w:ascii="Arial"/>
                <w:color w:val="auto"/>
                <w:sz w:val="21"/>
              </w:rPr>
            </w:pPr>
          </w:p>
        </w:tc>
      </w:tr>
      <w:tr w14:paraId="4951D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64" w:type="dxa"/>
            <w:vAlign w:val="top"/>
          </w:tcPr>
          <w:p w14:paraId="5FD9288D">
            <w:pPr>
              <w:rPr>
                <w:rFonts w:ascii="Arial"/>
                <w:color w:val="auto"/>
                <w:sz w:val="21"/>
              </w:rPr>
            </w:pPr>
          </w:p>
        </w:tc>
        <w:tc>
          <w:tcPr>
            <w:tcW w:w="3043" w:type="dxa"/>
            <w:vAlign w:val="top"/>
          </w:tcPr>
          <w:p w14:paraId="4FF72F67">
            <w:pPr>
              <w:rPr>
                <w:rFonts w:ascii="Arial"/>
                <w:color w:val="auto"/>
                <w:sz w:val="21"/>
              </w:rPr>
            </w:pPr>
          </w:p>
        </w:tc>
        <w:tc>
          <w:tcPr>
            <w:tcW w:w="1204" w:type="dxa"/>
            <w:vAlign w:val="top"/>
          </w:tcPr>
          <w:p w14:paraId="64C83A14">
            <w:pPr>
              <w:rPr>
                <w:rFonts w:ascii="Arial"/>
                <w:color w:val="auto"/>
                <w:sz w:val="21"/>
              </w:rPr>
            </w:pPr>
          </w:p>
        </w:tc>
        <w:tc>
          <w:tcPr>
            <w:tcW w:w="1303" w:type="dxa"/>
            <w:vAlign w:val="top"/>
          </w:tcPr>
          <w:p w14:paraId="2386ADB3">
            <w:pPr>
              <w:rPr>
                <w:rFonts w:ascii="Arial"/>
                <w:color w:val="auto"/>
                <w:sz w:val="21"/>
              </w:rPr>
            </w:pPr>
          </w:p>
        </w:tc>
        <w:tc>
          <w:tcPr>
            <w:tcW w:w="1487" w:type="dxa"/>
            <w:vAlign w:val="top"/>
          </w:tcPr>
          <w:p w14:paraId="79C2AAA1">
            <w:pPr>
              <w:rPr>
                <w:rFonts w:ascii="Arial"/>
                <w:color w:val="auto"/>
                <w:sz w:val="21"/>
              </w:rPr>
            </w:pPr>
          </w:p>
        </w:tc>
        <w:tc>
          <w:tcPr>
            <w:tcW w:w="1171" w:type="dxa"/>
            <w:vAlign w:val="top"/>
          </w:tcPr>
          <w:p w14:paraId="2A7C7023">
            <w:pPr>
              <w:rPr>
                <w:rFonts w:ascii="Arial"/>
                <w:color w:val="auto"/>
                <w:sz w:val="21"/>
              </w:rPr>
            </w:pPr>
          </w:p>
        </w:tc>
      </w:tr>
      <w:tr w14:paraId="26919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431EB120">
            <w:pPr>
              <w:rPr>
                <w:rFonts w:ascii="Arial"/>
                <w:color w:val="auto"/>
                <w:sz w:val="21"/>
              </w:rPr>
            </w:pPr>
          </w:p>
        </w:tc>
        <w:tc>
          <w:tcPr>
            <w:tcW w:w="3043" w:type="dxa"/>
            <w:vAlign w:val="top"/>
          </w:tcPr>
          <w:p w14:paraId="18EB172E">
            <w:pPr>
              <w:rPr>
                <w:rFonts w:ascii="Arial"/>
                <w:color w:val="auto"/>
                <w:sz w:val="21"/>
              </w:rPr>
            </w:pPr>
          </w:p>
        </w:tc>
        <w:tc>
          <w:tcPr>
            <w:tcW w:w="1204" w:type="dxa"/>
            <w:vAlign w:val="top"/>
          </w:tcPr>
          <w:p w14:paraId="05178ABE">
            <w:pPr>
              <w:rPr>
                <w:rFonts w:ascii="Arial"/>
                <w:color w:val="auto"/>
                <w:sz w:val="21"/>
              </w:rPr>
            </w:pPr>
          </w:p>
        </w:tc>
        <w:tc>
          <w:tcPr>
            <w:tcW w:w="1303" w:type="dxa"/>
            <w:vAlign w:val="top"/>
          </w:tcPr>
          <w:p w14:paraId="7D7A7ABB">
            <w:pPr>
              <w:rPr>
                <w:rFonts w:ascii="Arial"/>
                <w:color w:val="auto"/>
                <w:sz w:val="21"/>
              </w:rPr>
            </w:pPr>
          </w:p>
        </w:tc>
        <w:tc>
          <w:tcPr>
            <w:tcW w:w="1487" w:type="dxa"/>
            <w:vAlign w:val="top"/>
          </w:tcPr>
          <w:p w14:paraId="7A83A2E4">
            <w:pPr>
              <w:rPr>
                <w:rFonts w:ascii="Arial"/>
                <w:color w:val="auto"/>
                <w:sz w:val="21"/>
              </w:rPr>
            </w:pPr>
          </w:p>
        </w:tc>
        <w:tc>
          <w:tcPr>
            <w:tcW w:w="1171" w:type="dxa"/>
            <w:vAlign w:val="top"/>
          </w:tcPr>
          <w:p w14:paraId="45757644">
            <w:pPr>
              <w:rPr>
                <w:rFonts w:ascii="Arial"/>
                <w:color w:val="auto"/>
                <w:sz w:val="21"/>
              </w:rPr>
            </w:pPr>
          </w:p>
        </w:tc>
      </w:tr>
      <w:tr w14:paraId="10D73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00C2CCFF">
            <w:pPr>
              <w:rPr>
                <w:rFonts w:ascii="Arial"/>
                <w:color w:val="auto"/>
                <w:sz w:val="21"/>
              </w:rPr>
            </w:pPr>
          </w:p>
        </w:tc>
        <w:tc>
          <w:tcPr>
            <w:tcW w:w="3043" w:type="dxa"/>
            <w:vAlign w:val="top"/>
          </w:tcPr>
          <w:p w14:paraId="59EB1EB9">
            <w:pPr>
              <w:rPr>
                <w:rFonts w:ascii="Arial"/>
                <w:color w:val="auto"/>
                <w:sz w:val="21"/>
              </w:rPr>
            </w:pPr>
          </w:p>
        </w:tc>
        <w:tc>
          <w:tcPr>
            <w:tcW w:w="1204" w:type="dxa"/>
            <w:vAlign w:val="top"/>
          </w:tcPr>
          <w:p w14:paraId="6F884995">
            <w:pPr>
              <w:rPr>
                <w:rFonts w:ascii="Arial"/>
                <w:color w:val="auto"/>
                <w:sz w:val="21"/>
              </w:rPr>
            </w:pPr>
          </w:p>
        </w:tc>
        <w:tc>
          <w:tcPr>
            <w:tcW w:w="1303" w:type="dxa"/>
            <w:vAlign w:val="top"/>
          </w:tcPr>
          <w:p w14:paraId="59B52322">
            <w:pPr>
              <w:rPr>
                <w:rFonts w:ascii="Arial"/>
                <w:color w:val="auto"/>
                <w:sz w:val="21"/>
              </w:rPr>
            </w:pPr>
          </w:p>
        </w:tc>
        <w:tc>
          <w:tcPr>
            <w:tcW w:w="1487" w:type="dxa"/>
            <w:vAlign w:val="top"/>
          </w:tcPr>
          <w:p w14:paraId="1DD80E03">
            <w:pPr>
              <w:rPr>
                <w:rFonts w:ascii="Arial"/>
                <w:color w:val="auto"/>
                <w:sz w:val="21"/>
              </w:rPr>
            </w:pPr>
          </w:p>
        </w:tc>
        <w:tc>
          <w:tcPr>
            <w:tcW w:w="1171" w:type="dxa"/>
            <w:vAlign w:val="top"/>
          </w:tcPr>
          <w:p w14:paraId="00A45BED">
            <w:pPr>
              <w:rPr>
                <w:rFonts w:ascii="Arial"/>
                <w:color w:val="auto"/>
                <w:sz w:val="21"/>
              </w:rPr>
            </w:pPr>
          </w:p>
        </w:tc>
      </w:tr>
      <w:tr w14:paraId="79F69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3807" w:type="dxa"/>
            <w:gridSpan w:val="2"/>
            <w:vAlign w:val="top"/>
          </w:tcPr>
          <w:p w14:paraId="28DA2054">
            <w:pPr>
              <w:spacing w:before="156" w:line="228" w:lineRule="auto"/>
              <w:ind w:left="1258"/>
              <w:rPr>
                <w:rFonts w:ascii="宋体" w:hAnsi="宋体" w:eastAsia="宋体" w:cs="宋体"/>
                <w:color w:val="auto"/>
                <w:sz w:val="23"/>
                <w:szCs w:val="23"/>
              </w:rPr>
            </w:pPr>
            <w:r>
              <w:rPr>
                <w:rFonts w:ascii="宋体" w:hAnsi="宋体" w:eastAsia="宋体" w:cs="宋体"/>
                <w:color w:val="auto"/>
                <w:spacing w:val="5"/>
                <w:sz w:val="23"/>
                <w:szCs w:val="23"/>
              </w:rPr>
              <w:t>总</w:t>
            </w:r>
            <w:r>
              <w:rPr>
                <w:rFonts w:ascii="宋体" w:hAnsi="宋体" w:eastAsia="宋体" w:cs="宋体"/>
                <w:color w:val="auto"/>
                <w:spacing w:val="4"/>
                <w:sz w:val="23"/>
                <w:szCs w:val="23"/>
              </w:rPr>
              <w:t xml:space="preserve"> 计 (元)</w:t>
            </w:r>
          </w:p>
        </w:tc>
        <w:tc>
          <w:tcPr>
            <w:tcW w:w="1204" w:type="dxa"/>
            <w:tcBorders>
              <w:right w:val="nil"/>
            </w:tcBorders>
            <w:vAlign w:val="top"/>
          </w:tcPr>
          <w:p w14:paraId="5C6836E8">
            <w:pPr>
              <w:spacing w:before="156" w:line="242" w:lineRule="auto"/>
              <w:ind w:left="77"/>
              <w:rPr>
                <w:rFonts w:ascii="宋体" w:hAnsi="宋体" w:eastAsia="宋体" w:cs="宋体"/>
                <w:color w:val="auto"/>
                <w:sz w:val="23"/>
                <w:szCs w:val="23"/>
              </w:rPr>
            </w:pPr>
            <w:r>
              <w:rPr>
                <w:rFonts w:ascii="宋体" w:hAnsi="宋体" w:eastAsia="宋体" w:cs="宋体"/>
                <w:color w:val="auto"/>
                <w:spacing w:val="-19"/>
                <w:sz w:val="23"/>
                <w:szCs w:val="23"/>
              </w:rPr>
              <w:t>￥</w:t>
            </w:r>
            <w:r>
              <w:rPr>
                <w:rFonts w:ascii="宋体" w:hAnsi="宋体" w:eastAsia="宋体" w:cs="宋体"/>
                <w:color w:val="auto"/>
                <w:spacing w:val="-90"/>
                <w:sz w:val="23"/>
                <w:szCs w:val="23"/>
              </w:rPr>
              <w:t xml:space="preserve"> </w:t>
            </w:r>
            <w:r>
              <w:rPr>
                <w:rFonts w:ascii="宋体" w:hAnsi="宋体" w:eastAsia="宋体" w:cs="宋体"/>
                <w:color w:val="auto"/>
                <w:spacing w:val="-19"/>
                <w:sz w:val="23"/>
                <w:szCs w:val="23"/>
              </w:rPr>
              <w:t>：</w:t>
            </w:r>
          </w:p>
        </w:tc>
        <w:tc>
          <w:tcPr>
            <w:tcW w:w="3961" w:type="dxa"/>
            <w:gridSpan w:val="3"/>
            <w:tcBorders>
              <w:left w:val="nil"/>
            </w:tcBorders>
            <w:vAlign w:val="top"/>
          </w:tcPr>
          <w:p w14:paraId="770AFFF2">
            <w:pPr>
              <w:spacing w:before="156" w:line="228" w:lineRule="auto"/>
              <w:ind w:left="553"/>
              <w:rPr>
                <w:rFonts w:ascii="宋体" w:hAnsi="宋体" w:eastAsia="宋体" w:cs="宋体"/>
                <w:color w:val="auto"/>
                <w:sz w:val="23"/>
                <w:szCs w:val="23"/>
              </w:rPr>
            </w:pPr>
            <w:r>
              <w:rPr>
                <w:rFonts w:ascii="宋体" w:hAnsi="宋体" w:eastAsia="宋体" w:cs="宋体"/>
                <w:color w:val="auto"/>
                <w:spacing w:val="31"/>
                <w:sz w:val="23"/>
                <w:szCs w:val="23"/>
              </w:rPr>
              <w:t>(大写)</w:t>
            </w:r>
          </w:p>
        </w:tc>
      </w:tr>
    </w:tbl>
    <w:p w14:paraId="4BEE9FEF">
      <w:pPr>
        <w:spacing w:before="303" w:line="226" w:lineRule="auto"/>
        <w:ind w:left="885"/>
        <w:rPr>
          <w:rFonts w:ascii="宋体" w:hAnsi="宋体" w:eastAsia="宋体" w:cs="宋体"/>
          <w:color w:val="auto"/>
          <w:sz w:val="23"/>
          <w:szCs w:val="23"/>
        </w:rPr>
      </w:pPr>
      <w:r>
        <w:rPr>
          <w:rFonts w:ascii="宋体" w:hAnsi="宋体" w:eastAsia="宋体" w:cs="宋体"/>
          <w:color w:val="auto"/>
          <w:spacing w:val="15"/>
          <w:sz w:val="23"/>
          <w:szCs w:val="23"/>
        </w:rPr>
        <w:t>注</w:t>
      </w:r>
      <w:r>
        <w:rPr>
          <w:rFonts w:ascii="宋体" w:hAnsi="宋体" w:eastAsia="宋体" w:cs="宋体"/>
          <w:color w:val="auto"/>
          <w:spacing w:val="9"/>
          <w:sz w:val="23"/>
          <w:szCs w:val="23"/>
        </w:rPr>
        <w:t>：① 如果按单价计算的结果与总价不一致，以单价为准修正总价。</w:t>
      </w:r>
    </w:p>
    <w:p w14:paraId="6B496E00">
      <w:pPr>
        <w:spacing w:before="163" w:line="225" w:lineRule="auto"/>
        <w:ind w:left="1303"/>
        <w:rPr>
          <w:rFonts w:ascii="宋体" w:hAnsi="宋体" w:eastAsia="宋体" w:cs="宋体"/>
          <w:color w:val="auto"/>
          <w:spacing w:val="9"/>
          <w:sz w:val="23"/>
          <w:szCs w:val="23"/>
        </w:rPr>
      </w:pPr>
      <w:r>
        <w:rPr>
          <w:rFonts w:ascii="宋体" w:hAnsi="宋体" w:eastAsia="宋体" w:cs="宋体"/>
          <w:color w:val="auto"/>
          <w:spacing w:val="14"/>
          <w:sz w:val="23"/>
          <w:szCs w:val="23"/>
        </w:rPr>
        <w:t>②</w:t>
      </w:r>
      <w:r>
        <w:rPr>
          <w:rFonts w:ascii="宋体" w:hAnsi="宋体" w:eastAsia="宋体" w:cs="宋体"/>
          <w:color w:val="auto"/>
          <w:spacing w:val="9"/>
          <w:sz w:val="23"/>
          <w:szCs w:val="23"/>
        </w:rPr>
        <w:t xml:space="preserve"> 分项内容根据需求自行拟定。</w:t>
      </w:r>
    </w:p>
    <w:p w14:paraId="5BFD55D4">
      <w:pPr>
        <w:spacing w:line="319" w:lineRule="auto"/>
        <w:rPr>
          <w:rFonts w:ascii="Arial"/>
          <w:color w:val="auto"/>
          <w:sz w:val="21"/>
        </w:rPr>
      </w:pPr>
    </w:p>
    <w:p w14:paraId="4678EDC7">
      <w:pPr>
        <w:spacing w:line="319" w:lineRule="auto"/>
        <w:rPr>
          <w:rFonts w:ascii="Arial"/>
          <w:color w:val="auto"/>
          <w:sz w:val="21"/>
        </w:rPr>
      </w:pPr>
    </w:p>
    <w:p w14:paraId="390EDCFF">
      <w:pPr>
        <w:spacing w:line="320" w:lineRule="auto"/>
        <w:rPr>
          <w:rFonts w:ascii="Arial"/>
          <w:color w:val="auto"/>
          <w:sz w:val="21"/>
        </w:rPr>
      </w:pPr>
    </w:p>
    <w:p w14:paraId="7F303BA4">
      <w:pPr>
        <w:spacing w:before="75" w:line="227" w:lineRule="auto"/>
        <w:ind w:left="585"/>
        <w:rPr>
          <w:rFonts w:ascii="宋体" w:hAnsi="宋体" w:eastAsia="宋体" w:cs="宋体"/>
          <w:color w:val="auto"/>
          <w:sz w:val="23"/>
          <w:szCs w:val="23"/>
        </w:rPr>
      </w:pPr>
      <w:r>
        <w:rPr>
          <w:rFonts w:ascii="宋体" w:hAnsi="宋体" w:eastAsia="宋体" w:cs="宋体"/>
          <w:color w:val="auto"/>
          <w:spacing w:val="-10"/>
          <w:sz w:val="23"/>
          <w:szCs w:val="23"/>
        </w:rPr>
        <w:t>供</w:t>
      </w:r>
      <w:r>
        <w:rPr>
          <w:rFonts w:ascii="宋体" w:hAnsi="宋体" w:eastAsia="宋体" w:cs="宋体"/>
          <w:color w:val="auto"/>
          <w:spacing w:val="-6"/>
          <w:sz w:val="23"/>
          <w:szCs w:val="23"/>
        </w:rPr>
        <w:t>应</w:t>
      </w:r>
      <w:r>
        <w:rPr>
          <w:rFonts w:ascii="宋体" w:hAnsi="宋体" w:eastAsia="宋体" w:cs="宋体"/>
          <w:color w:val="auto"/>
          <w:spacing w:val="-5"/>
          <w:sz w:val="23"/>
          <w:szCs w:val="23"/>
        </w:rPr>
        <w:t>商 ：  (盖章)</w:t>
      </w:r>
      <w:r>
        <w:rPr>
          <w:rFonts w:ascii="宋体" w:hAnsi="宋体" w:eastAsia="宋体" w:cs="宋体"/>
          <w:color w:val="auto"/>
          <w:sz w:val="23"/>
          <w:szCs w:val="23"/>
          <w:u w:val="single" w:color="auto"/>
        </w:rPr>
        <w:t xml:space="preserve">                          </w:t>
      </w:r>
    </w:p>
    <w:p w14:paraId="1D26ECF2">
      <w:pPr>
        <w:spacing w:line="258" w:lineRule="auto"/>
        <w:rPr>
          <w:rFonts w:ascii="Arial"/>
          <w:color w:val="auto"/>
          <w:sz w:val="21"/>
        </w:rPr>
      </w:pPr>
    </w:p>
    <w:p w14:paraId="2952B9F5">
      <w:pPr>
        <w:spacing w:line="259" w:lineRule="auto"/>
        <w:rPr>
          <w:rFonts w:ascii="Arial"/>
          <w:color w:val="auto"/>
          <w:sz w:val="21"/>
        </w:rPr>
      </w:pPr>
    </w:p>
    <w:p w14:paraId="059DFB3B">
      <w:pPr>
        <w:spacing w:before="75" w:line="224" w:lineRule="auto"/>
        <w:ind w:left="586"/>
        <w:rPr>
          <w:rFonts w:ascii="宋体" w:hAnsi="宋体" w:eastAsia="宋体" w:cs="宋体"/>
          <w:color w:val="auto"/>
          <w:sz w:val="23"/>
          <w:szCs w:val="23"/>
        </w:rPr>
      </w:pPr>
      <w:r>
        <w:rPr>
          <w:rFonts w:ascii="宋体" w:hAnsi="宋体" w:eastAsia="宋体" w:cs="宋体"/>
          <w:color w:val="auto"/>
          <w:spacing w:val="12"/>
          <w:sz w:val="23"/>
          <w:szCs w:val="23"/>
        </w:rPr>
        <w:t>法</w:t>
      </w:r>
      <w:r>
        <w:rPr>
          <w:rFonts w:ascii="宋体" w:hAnsi="宋体" w:eastAsia="宋体" w:cs="宋体"/>
          <w:color w:val="auto"/>
          <w:spacing w:val="8"/>
          <w:sz w:val="23"/>
          <w:szCs w:val="23"/>
        </w:rPr>
        <w:t>定代表人或委托代理人 (签字或盖章) ：</w:t>
      </w:r>
      <w:r>
        <w:rPr>
          <w:rFonts w:ascii="宋体" w:hAnsi="宋体" w:eastAsia="宋体" w:cs="宋体"/>
          <w:color w:val="auto"/>
          <w:sz w:val="23"/>
          <w:szCs w:val="23"/>
          <w:u w:val="single" w:color="auto"/>
        </w:rPr>
        <w:t xml:space="preserve">                </w:t>
      </w:r>
    </w:p>
    <w:p w14:paraId="156E9948">
      <w:pPr>
        <w:spacing w:line="262" w:lineRule="auto"/>
        <w:rPr>
          <w:rFonts w:ascii="Arial"/>
          <w:color w:val="auto"/>
          <w:sz w:val="21"/>
        </w:rPr>
      </w:pPr>
    </w:p>
    <w:p w14:paraId="5ED38F01">
      <w:pPr>
        <w:spacing w:line="262" w:lineRule="auto"/>
        <w:rPr>
          <w:rFonts w:ascii="Arial"/>
          <w:color w:val="auto"/>
          <w:sz w:val="21"/>
        </w:rPr>
      </w:pPr>
    </w:p>
    <w:p w14:paraId="18113606">
      <w:pPr>
        <w:spacing w:before="75" w:line="227" w:lineRule="auto"/>
        <w:ind w:right="294"/>
        <w:jc w:val="right"/>
        <w:rPr>
          <w:rFonts w:ascii="宋体" w:hAnsi="宋体" w:eastAsia="宋体" w:cs="宋体"/>
          <w:color w:val="auto"/>
          <w:sz w:val="23"/>
          <w:szCs w:val="23"/>
        </w:rPr>
      </w:pPr>
      <w:r>
        <w:rPr>
          <w:rFonts w:ascii="宋体" w:hAnsi="宋体" w:eastAsia="宋体" w:cs="宋体"/>
          <w:color w:val="auto"/>
          <w:spacing w:val="-1"/>
          <w:sz w:val="23"/>
          <w:szCs w:val="23"/>
        </w:rPr>
        <w:t>日</w:t>
      </w:r>
      <w:r>
        <w:rPr>
          <w:rFonts w:ascii="宋体" w:hAnsi="宋体" w:eastAsia="宋体" w:cs="宋体"/>
          <w:color w:val="auto"/>
          <w:sz w:val="23"/>
          <w:szCs w:val="23"/>
        </w:rPr>
        <w:t>期：      年    月    日</w:t>
      </w:r>
    </w:p>
    <w:p w14:paraId="7789978E">
      <w:pPr>
        <w:rPr>
          <w:color w:val="auto"/>
        </w:rPr>
        <w:sectPr>
          <w:footerReference r:id="rId7" w:type="default"/>
          <w:pgSz w:w="11906" w:h="16839"/>
          <w:pgMar w:top="1440" w:right="1080" w:bottom="1440" w:left="1080" w:header="0" w:footer="958" w:gutter="0"/>
          <w:pgNumType w:fmt="decimal"/>
          <w:cols w:space="720" w:num="1"/>
        </w:sectPr>
      </w:pPr>
    </w:p>
    <w:p w14:paraId="5B67CD6A">
      <w:pPr>
        <w:pStyle w:val="3"/>
        <w:jc w:val="center"/>
        <w:rPr>
          <w:rFonts w:hint="eastAsia" w:ascii="宋体" w:hAnsi="宋体" w:eastAsia="宋体" w:cs="宋体"/>
          <w:b/>
          <w:bCs w:val="0"/>
          <w:color w:val="auto"/>
          <w:kern w:val="2"/>
          <w:sz w:val="32"/>
          <w:szCs w:val="22"/>
          <w:lang w:val="en-US" w:eastAsia="zh-CN" w:bidi="ar-SA"/>
        </w:rPr>
      </w:pPr>
      <w:bookmarkStart w:id="45" w:name="三、资质证明文件"/>
      <w:bookmarkEnd w:id="45"/>
      <w:bookmarkStart w:id="46" w:name="_Toc21681"/>
      <w:bookmarkStart w:id="47" w:name="_Toc21294"/>
      <w:r>
        <w:rPr>
          <w:rFonts w:hint="eastAsia" w:ascii="宋体" w:hAnsi="宋体" w:eastAsia="宋体" w:cs="宋体"/>
          <w:b/>
          <w:bCs w:val="0"/>
          <w:color w:val="auto"/>
          <w:kern w:val="2"/>
          <w:sz w:val="32"/>
          <w:szCs w:val="22"/>
          <w:lang w:val="en-US" w:eastAsia="zh-CN" w:bidi="ar-SA"/>
        </w:rPr>
        <w:t>三、资格证明文件</w:t>
      </w:r>
      <w:bookmarkEnd w:id="46"/>
      <w:bookmarkEnd w:id="47"/>
    </w:p>
    <w:p w14:paraId="4F05CC87">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auto"/>
          <w:kern w:val="0"/>
          <w:sz w:val="24"/>
          <w:szCs w:val="24"/>
          <w:lang w:val="en-US" w:eastAsia="zh-CN" w:bidi="ar-SA"/>
        </w:rPr>
      </w:pPr>
      <w:bookmarkStart w:id="48" w:name="注：投标单位未按磋商采购文件要求附相关资质证件的，按废标处理。"/>
      <w:bookmarkEnd w:id="48"/>
      <w:bookmarkStart w:id="49" w:name="（1）具有独立承担民事责任的能力：提供营业执照、税务登记证、组织机构代码证或登载"/>
      <w:bookmarkEnd w:id="49"/>
      <w:r>
        <w:rPr>
          <w:rFonts w:hint="eastAsia" w:ascii="宋体" w:hAnsi="宋体" w:eastAsia="宋体" w:cs="宋体"/>
          <w:color w:val="auto"/>
          <w:kern w:val="0"/>
          <w:sz w:val="24"/>
          <w:szCs w:val="24"/>
          <w:lang w:val="en-US" w:eastAsia="zh-CN" w:bidi="ar-SA"/>
        </w:rPr>
        <w:t>（1）提供有效合格的统一社会信用代码的营业执照，其他组织经营的须提供合法凭证，自然人的提供身份证明文件；</w:t>
      </w:r>
    </w:p>
    <w:p w14:paraId="521574B6">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（2）法定代表人直接参加投标的，须出具法定代表人身份证；法定代表人授权代表参加投标的，须出具法定代表人授权委托书、法定代表人身份证复印件以及被授权代表身份证复印件；</w:t>
      </w:r>
    </w:p>
    <w:p w14:paraId="4C8C4197">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val="0"/>
          <w:color w:val="auto"/>
          <w:kern w:val="2"/>
          <w:sz w:val="24"/>
          <w:szCs w:val="24"/>
          <w:lang w:val="en-US" w:eastAsia="zh-CN" w:bidi="ar-SA"/>
        </w:rPr>
        <w:t xml:space="preserve"> （3）投标人须同时具备以下两类资质：1）设计类资质：工程设计综合资质甲级或工程设计市政行业乙级及以上资质或市政行业（排水工程）专业乙级及以上资质或水利行业设计乙级及以上资质或水利行业（河道整治）专业乙级及以上资质；2）勘察类资质：工程勘察综合甲级资质或工程勘察专业类岩土工程（勘察）丙级及以上资质；</w:t>
      </w:r>
      <w:r>
        <w:rPr>
          <w:rFonts w:hint="eastAsia" w:ascii="宋体" w:hAnsi="宋体" w:eastAsia="宋体" w:cs="宋体"/>
          <w:b w:val="0"/>
          <w:color w:val="auto"/>
          <w:kern w:val="2"/>
          <w:sz w:val="24"/>
          <w:szCs w:val="24"/>
          <w:lang w:val="en-US" w:eastAsia="zh-CN" w:bidi="ar-SA"/>
        </w:rPr>
        <w:br w:type="textWrapping"/>
      </w:r>
      <w:r>
        <w:rPr>
          <w:rFonts w:hint="eastAsia" w:ascii="宋体" w:hAnsi="宋体" w:eastAsia="宋体" w:cs="宋体"/>
          <w:b w:val="0"/>
          <w:color w:val="auto"/>
          <w:kern w:val="2"/>
          <w:sz w:val="24"/>
          <w:szCs w:val="24"/>
          <w:lang w:val="en-US" w:eastAsia="zh-CN" w:bidi="ar-SA"/>
        </w:rPr>
        <w:t xml:space="preserve">   （4）拟派项目负责人需具备水利工程、环境工程或相关专业高级工程师及以上职称或注册土木工程师（岩土工程）执业资格；</w:t>
      </w:r>
      <w:r>
        <w:rPr>
          <w:rFonts w:hint="eastAsia" w:ascii="宋体" w:hAnsi="宋体" w:eastAsia="宋体" w:cs="宋体"/>
          <w:b w:val="0"/>
          <w:color w:val="auto"/>
          <w:kern w:val="2"/>
          <w:sz w:val="24"/>
          <w:szCs w:val="24"/>
          <w:lang w:val="en-US" w:eastAsia="zh-CN" w:bidi="ar-SA"/>
        </w:rPr>
        <w:br w:type="textWrapping"/>
      </w:r>
      <w:r>
        <w:rPr>
          <w:rFonts w:hint="eastAsia" w:ascii="宋体" w:hAnsi="宋体" w:eastAsia="宋体" w:cs="宋体"/>
          <w:b w:val="0"/>
          <w:color w:val="auto"/>
          <w:kern w:val="2"/>
          <w:sz w:val="24"/>
          <w:szCs w:val="24"/>
          <w:lang w:val="en-US" w:eastAsia="zh-CN" w:bidi="ar-SA"/>
        </w:rPr>
        <w:t xml:space="preserve">   </w:t>
      </w:r>
      <w:r>
        <w:rPr>
          <w:rFonts w:hint="eastAsia" w:ascii="宋体" w:hAnsi="宋体" w:eastAsia="宋体" w:cs="宋体"/>
          <w:color w:val="auto"/>
          <w:kern w:val="0"/>
          <w:sz w:val="24"/>
          <w:szCs w:val="24"/>
          <w:lang w:val="en-US" w:eastAsia="zh-CN" w:bidi="ar-SA"/>
        </w:rPr>
        <w:t xml:space="preserve">（5）财务状况报告:提供2024年度经会计师事务所出具的财务报告（至少应包括资产负债表和利润表，成立时间至提交投标文件截止时间不足一年的可提供成立后任意时间段的财务报表）或提交投标文件截止时间前六个月内其基本账户开户银行出具的资信证明；     </w:t>
      </w:r>
    </w:p>
    <w:p w14:paraId="0C7B5DAF">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社会保障资金缴纳证明:自2025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14:paraId="7184B2C2">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（7）税收缴纳证明:自2025年1月1日以来已缴纳的至少一个月的纳税证明或完税证明，纳税证明或完税证明上应有代收机构或税务机关的公章或业务专用章。依法免税的供应商应提供相关文件证明；</w:t>
      </w:r>
    </w:p>
    <w:p w14:paraId="2C7D53A4">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通过中国政府采购网（www.ccgp.gov.cn）和“信用中国”网站(www.creditchina.gov.cn)查询相关主体无失信记录（网站查询的截图，加盖企业公章）以及参加政府采购活动前3年内在经营活动中没有重大违法记录的书面声明；</w:t>
      </w:r>
    </w:p>
    <w:p w14:paraId="44D3953B">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（9）供应商应提供中小企业声明函或残疾人福利性单位声明函或监狱企业证明文件；</w:t>
      </w:r>
    </w:p>
    <w:p w14:paraId="6C1D83C0">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（10）本项目不接受联合体投标。</w:t>
      </w:r>
    </w:p>
    <w:p w14:paraId="66595B56">
      <w:pPr>
        <w:spacing w:before="212"/>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注：供应商未按磋商文件要求附相关资质证件的，按无效投标文件处理。</w:t>
      </w:r>
    </w:p>
    <w:p w14:paraId="7F00D3B9">
      <w:pPr>
        <w:jc w:val="left"/>
        <w:rPr>
          <w:rFonts w:hint="eastAsia" w:ascii="宋体" w:hAnsi="宋体" w:eastAsia="宋体" w:cs="宋体"/>
          <w:color w:val="auto"/>
          <w:sz w:val="24"/>
          <w:szCs w:val="24"/>
        </w:rPr>
        <w:sectPr>
          <w:pgSz w:w="11910" w:h="16840"/>
          <w:pgMar w:top="1440" w:right="1080" w:bottom="1440" w:left="1080" w:header="720" w:footer="720" w:gutter="0"/>
          <w:cols w:space="720" w:num="1"/>
        </w:sectPr>
      </w:pPr>
    </w:p>
    <w:p w14:paraId="090DB50F">
      <w:pPr>
        <w:pStyle w:val="3"/>
        <w:jc w:val="center"/>
        <w:rPr>
          <w:rFonts w:hint="eastAsia" w:ascii="宋体" w:hAnsi="宋体" w:eastAsia="宋体" w:cs="宋体"/>
          <w:b/>
          <w:bCs w:val="0"/>
          <w:color w:val="auto"/>
          <w:kern w:val="2"/>
          <w:sz w:val="32"/>
          <w:szCs w:val="22"/>
          <w:lang w:val="en-US" w:eastAsia="zh-CN" w:bidi="ar-SA"/>
        </w:rPr>
      </w:pPr>
      <w:bookmarkStart w:id="50" w:name="_Toc18944"/>
      <w:bookmarkStart w:id="51" w:name="_Toc12651"/>
      <w:r>
        <w:rPr>
          <w:rFonts w:hint="eastAsia" w:ascii="宋体" w:hAnsi="宋体" w:eastAsia="宋体" w:cs="宋体"/>
          <w:b/>
          <w:bCs w:val="0"/>
          <w:color w:val="auto"/>
          <w:kern w:val="2"/>
          <w:sz w:val="32"/>
          <w:szCs w:val="22"/>
          <w:lang w:val="en-US" w:eastAsia="zh-CN" w:bidi="ar-SA"/>
        </w:rPr>
        <w:t>四、服务方案</w:t>
      </w:r>
      <w:bookmarkEnd w:id="50"/>
      <w:bookmarkEnd w:id="51"/>
    </w:p>
    <w:p w14:paraId="0596724C">
      <w:pPr>
        <w:pStyle w:val="10"/>
        <w:spacing w:before="185"/>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lang w:eastAsia="zh-CN"/>
        </w:rPr>
        <w:t>服务</w:t>
      </w:r>
      <w:r>
        <w:rPr>
          <w:rFonts w:hint="eastAsia" w:ascii="宋体" w:hAnsi="宋体" w:eastAsia="宋体" w:cs="宋体"/>
          <w:color w:val="auto"/>
          <w:sz w:val="24"/>
          <w:szCs w:val="32"/>
        </w:rPr>
        <w:t>方案编制（结合本项目磋商文件中评审办法的要求格式自拟。）</w:t>
      </w:r>
    </w:p>
    <w:p w14:paraId="74D2F152">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33D913C7">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50FF2246">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28141206">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25A577C3">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6CA10D36">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70FFA2D0">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02E60A2F">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0565B790">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4BB8C67D">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770A8745">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5683D659">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7664ECA7">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5039EA72">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7B4E724E">
      <w:pPr>
        <w:pStyle w:val="10"/>
        <w:spacing w:before="3"/>
        <w:rPr>
          <w:rFonts w:hint="eastAsia" w:ascii="宋体" w:hAnsi="宋体" w:eastAsia="宋体" w:cs="宋体"/>
          <w:color w:val="auto"/>
          <w:sz w:val="16"/>
        </w:rPr>
      </w:pPr>
    </w:p>
    <w:p w14:paraId="37E85768">
      <w:pPr>
        <w:pStyle w:val="23"/>
        <w:rPr>
          <w:rFonts w:hint="eastAsia" w:ascii="宋体" w:hAnsi="宋体" w:eastAsia="宋体" w:cs="宋体"/>
          <w:color w:val="auto"/>
          <w:sz w:val="16"/>
        </w:rPr>
      </w:pPr>
    </w:p>
    <w:p w14:paraId="5C6AA20F">
      <w:pPr>
        <w:pStyle w:val="23"/>
        <w:rPr>
          <w:rFonts w:hint="eastAsia" w:ascii="宋体" w:hAnsi="宋体" w:eastAsia="宋体" w:cs="宋体"/>
          <w:color w:val="auto"/>
          <w:sz w:val="16"/>
        </w:rPr>
      </w:pPr>
    </w:p>
    <w:p w14:paraId="5EA6632F">
      <w:pPr>
        <w:pStyle w:val="23"/>
        <w:rPr>
          <w:rFonts w:hint="eastAsia" w:ascii="宋体" w:hAnsi="宋体" w:eastAsia="宋体" w:cs="宋体"/>
          <w:color w:val="auto"/>
          <w:sz w:val="16"/>
        </w:rPr>
      </w:pPr>
    </w:p>
    <w:p w14:paraId="115F5F90">
      <w:pPr>
        <w:pStyle w:val="23"/>
        <w:rPr>
          <w:rFonts w:hint="eastAsia" w:ascii="宋体" w:hAnsi="宋体" w:eastAsia="宋体" w:cs="宋体"/>
          <w:color w:val="auto"/>
          <w:sz w:val="16"/>
        </w:rPr>
      </w:pPr>
    </w:p>
    <w:p w14:paraId="7D2E26BC">
      <w:pPr>
        <w:pStyle w:val="23"/>
        <w:rPr>
          <w:rFonts w:hint="eastAsia" w:ascii="宋体" w:hAnsi="宋体" w:eastAsia="宋体" w:cs="宋体"/>
          <w:color w:val="auto"/>
          <w:sz w:val="16"/>
        </w:rPr>
      </w:pPr>
    </w:p>
    <w:p w14:paraId="0776E2D2">
      <w:pPr>
        <w:pStyle w:val="23"/>
        <w:rPr>
          <w:rFonts w:hint="eastAsia" w:ascii="宋体" w:hAnsi="宋体" w:eastAsia="宋体" w:cs="宋体"/>
          <w:color w:val="auto"/>
          <w:sz w:val="16"/>
        </w:rPr>
      </w:pPr>
    </w:p>
    <w:p w14:paraId="67A20D50">
      <w:pPr>
        <w:pStyle w:val="23"/>
        <w:rPr>
          <w:rFonts w:hint="eastAsia" w:ascii="宋体" w:hAnsi="宋体" w:eastAsia="宋体" w:cs="宋体"/>
          <w:color w:val="auto"/>
          <w:sz w:val="16"/>
        </w:rPr>
      </w:pPr>
    </w:p>
    <w:p w14:paraId="559094B3">
      <w:pPr>
        <w:pStyle w:val="23"/>
        <w:rPr>
          <w:rFonts w:hint="eastAsia" w:ascii="宋体" w:hAnsi="宋体" w:eastAsia="宋体" w:cs="宋体"/>
          <w:color w:val="auto"/>
          <w:sz w:val="16"/>
        </w:rPr>
      </w:pPr>
    </w:p>
    <w:p w14:paraId="683A172E">
      <w:pPr>
        <w:pStyle w:val="23"/>
        <w:rPr>
          <w:rFonts w:hint="eastAsia" w:ascii="宋体" w:hAnsi="宋体" w:eastAsia="宋体" w:cs="宋体"/>
          <w:color w:val="auto"/>
          <w:sz w:val="16"/>
        </w:rPr>
      </w:pPr>
    </w:p>
    <w:p w14:paraId="265481CD">
      <w:pPr>
        <w:pStyle w:val="23"/>
        <w:rPr>
          <w:rFonts w:hint="eastAsia" w:ascii="宋体" w:hAnsi="宋体" w:eastAsia="宋体" w:cs="宋体"/>
          <w:color w:val="auto"/>
          <w:sz w:val="16"/>
        </w:rPr>
      </w:pPr>
    </w:p>
    <w:p w14:paraId="37E1E382">
      <w:pPr>
        <w:pStyle w:val="23"/>
        <w:rPr>
          <w:rFonts w:hint="eastAsia" w:ascii="宋体" w:hAnsi="宋体" w:eastAsia="宋体" w:cs="宋体"/>
          <w:color w:val="auto"/>
          <w:sz w:val="16"/>
        </w:rPr>
      </w:pPr>
    </w:p>
    <w:p w14:paraId="1F6E94D1">
      <w:pPr>
        <w:pStyle w:val="23"/>
        <w:rPr>
          <w:rFonts w:hint="eastAsia" w:ascii="宋体" w:hAnsi="宋体" w:eastAsia="宋体" w:cs="宋体"/>
          <w:color w:val="auto"/>
          <w:sz w:val="16"/>
        </w:rPr>
      </w:pPr>
    </w:p>
    <w:p w14:paraId="60E24223">
      <w:pPr>
        <w:pStyle w:val="23"/>
        <w:rPr>
          <w:rFonts w:hint="eastAsia" w:ascii="宋体" w:hAnsi="宋体" w:eastAsia="宋体" w:cs="宋体"/>
          <w:color w:val="auto"/>
          <w:sz w:val="16"/>
        </w:rPr>
      </w:pPr>
    </w:p>
    <w:p w14:paraId="6075882C">
      <w:pPr>
        <w:pStyle w:val="23"/>
        <w:rPr>
          <w:rFonts w:hint="eastAsia" w:ascii="宋体" w:hAnsi="宋体" w:eastAsia="宋体" w:cs="宋体"/>
          <w:color w:val="auto"/>
          <w:sz w:val="16"/>
        </w:rPr>
      </w:pPr>
    </w:p>
    <w:p w14:paraId="1C58514F">
      <w:pPr>
        <w:pStyle w:val="2"/>
        <w:numPr>
          <w:ilvl w:val="0"/>
          <w:numId w:val="0"/>
        </w:numPr>
        <w:spacing w:before="54"/>
        <w:ind w:left="668" w:leftChars="0" w:right="945" w:rightChars="0"/>
        <w:jc w:val="center"/>
        <w:rPr>
          <w:rFonts w:hint="eastAsia" w:ascii="宋体" w:hAnsi="宋体" w:eastAsia="宋体" w:cs="宋体"/>
          <w:color w:val="auto"/>
          <w:sz w:val="32"/>
          <w:szCs w:val="32"/>
        </w:rPr>
      </w:pPr>
      <w:bookmarkStart w:id="52" w:name="_Toc2952"/>
      <w:bookmarkStart w:id="53" w:name="_Toc28439"/>
      <w:r>
        <w:rPr>
          <w:rFonts w:hint="eastAsia" w:ascii="宋体" w:hAnsi="宋体" w:eastAsia="宋体" w:cs="宋体"/>
          <w:b/>
          <w:bCs/>
          <w:color w:val="auto"/>
          <w:kern w:val="44"/>
          <w:sz w:val="32"/>
          <w:szCs w:val="32"/>
          <w:lang w:val="en-US" w:eastAsia="zh-CN" w:bidi="ar-SA"/>
        </w:rPr>
        <w:t>五、</w:t>
      </w:r>
      <w:r>
        <w:rPr>
          <w:rFonts w:hint="eastAsia" w:ascii="宋体" w:hAnsi="宋体" w:eastAsia="宋体" w:cs="宋体"/>
          <w:color w:val="auto"/>
          <w:sz w:val="32"/>
          <w:szCs w:val="32"/>
        </w:rPr>
        <w:t>投标人近三年</w:t>
      </w:r>
      <w:r>
        <w:rPr>
          <w:rFonts w:hint="eastAsia" w:ascii="宋体" w:hAnsi="宋体" w:eastAsia="宋体" w:cs="宋体"/>
          <w:color w:val="auto"/>
          <w:sz w:val="32"/>
          <w:szCs w:val="32"/>
          <w:lang w:eastAsia="zh-CN"/>
        </w:rPr>
        <w:t>类似</w:t>
      </w:r>
      <w:r>
        <w:rPr>
          <w:rFonts w:hint="eastAsia" w:ascii="宋体" w:hAnsi="宋体" w:eastAsia="宋体" w:cs="宋体"/>
          <w:color w:val="auto"/>
          <w:sz w:val="32"/>
          <w:szCs w:val="32"/>
        </w:rPr>
        <w:t>项目业绩</w:t>
      </w:r>
      <w:bookmarkEnd w:id="52"/>
      <w:bookmarkEnd w:id="53"/>
    </w:p>
    <w:p w14:paraId="0A03DEA3">
      <w:pPr>
        <w:rPr>
          <w:rFonts w:hint="eastAsia" w:ascii="宋体" w:hAnsi="宋体" w:eastAsia="宋体" w:cs="宋体"/>
          <w:color w:val="auto"/>
        </w:rPr>
      </w:pPr>
    </w:p>
    <w:p w14:paraId="6FD335CB">
      <w:pPr>
        <w:jc w:val="center"/>
        <w:rPr>
          <w:rFonts w:hint="eastAsia" w:ascii="宋体" w:hAnsi="宋体" w:eastAsia="宋体" w:cs="宋体"/>
          <w:color w:val="auto"/>
          <w:sz w:val="24"/>
          <w:szCs w:val="28"/>
        </w:rPr>
      </w:pPr>
      <w:r>
        <w:rPr>
          <w:rFonts w:hint="eastAsia" w:ascii="宋体" w:hAnsi="宋体" w:eastAsia="宋体" w:cs="宋体"/>
          <w:color w:val="auto"/>
          <w:sz w:val="24"/>
          <w:szCs w:val="28"/>
        </w:rPr>
        <w:t>注：附合同书或中标通知书加盖公章</w:t>
      </w:r>
    </w:p>
    <w:p w14:paraId="242DBDF6">
      <w:pPr>
        <w:pStyle w:val="2"/>
        <w:spacing w:before="54"/>
        <w:ind w:left="668" w:right="945"/>
        <w:jc w:val="center"/>
        <w:rPr>
          <w:rFonts w:hint="eastAsia" w:ascii="宋体" w:hAnsi="宋体" w:eastAsia="宋体" w:cs="宋体"/>
          <w:color w:val="auto"/>
        </w:rPr>
      </w:pPr>
    </w:p>
    <w:p w14:paraId="7091517E">
      <w:pPr>
        <w:pStyle w:val="2"/>
        <w:spacing w:before="54"/>
        <w:ind w:left="668" w:right="945"/>
        <w:jc w:val="center"/>
        <w:rPr>
          <w:rFonts w:hint="eastAsia" w:ascii="宋体" w:hAnsi="宋体" w:eastAsia="宋体" w:cs="宋体"/>
          <w:color w:val="auto"/>
        </w:rPr>
      </w:pPr>
    </w:p>
    <w:p w14:paraId="5E78AE5E">
      <w:pPr>
        <w:pStyle w:val="2"/>
        <w:spacing w:before="54"/>
        <w:ind w:left="668" w:right="945"/>
        <w:jc w:val="center"/>
        <w:rPr>
          <w:rFonts w:hint="eastAsia" w:ascii="宋体" w:hAnsi="宋体" w:eastAsia="宋体" w:cs="宋体"/>
          <w:color w:val="auto"/>
        </w:rPr>
      </w:pPr>
    </w:p>
    <w:p w14:paraId="227CA143">
      <w:pPr>
        <w:pStyle w:val="2"/>
        <w:spacing w:before="54"/>
        <w:ind w:left="668" w:right="945"/>
        <w:jc w:val="center"/>
        <w:rPr>
          <w:rFonts w:hint="eastAsia" w:ascii="宋体" w:hAnsi="宋体" w:eastAsia="宋体" w:cs="宋体"/>
          <w:color w:val="auto"/>
        </w:rPr>
      </w:pPr>
    </w:p>
    <w:p w14:paraId="05FE6BAB">
      <w:pPr>
        <w:pStyle w:val="2"/>
        <w:spacing w:before="54"/>
        <w:ind w:left="668" w:right="945"/>
        <w:jc w:val="center"/>
        <w:rPr>
          <w:rFonts w:hint="eastAsia" w:ascii="宋体" w:hAnsi="宋体" w:eastAsia="宋体" w:cs="宋体"/>
          <w:color w:val="auto"/>
        </w:rPr>
      </w:pPr>
    </w:p>
    <w:p w14:paraId="1FAF4B54">
      <w:pPr>
        <w:pStyle w:val="2"/>
        <w:spacing w:before="54"/>
        <w:ind w:left="668" w:right="945"/>
        <w:jc w:val="center"/>
        <w:rPr>
          <w:rFonts w:hint="eastAsia" w:ascii="宋体" w:hAnsi="宋体" w:eastAsia="宋体" w:cs="宋体"/>
          <w:color w:val="auto"/>
        </w:rPr>
      </w:pPr>
    </w:p>
    <w:p w14:paraId="39404D2B">
      <w:pPr>
        <w:pStyle w:val="2"/>
        <w:spacing w:before="54"/>
        <w:ind w:left="668" w:right="945"/>
        <w:jc w:val="center"/>
        <w:rPr>
          <w:rFonts w:hint="eastAsia" w:ascii="宋体" w:hAnsi="宋体" w:eastAsia="宋体" w:cs="宋体"/>
          <w:color w:val="auto"/>
        </w:rPr>
      </w:pPr>
    </w:p>
    <w:p w14:paraId="05D8FB26">
      <w:pPr>
        <w:pStyle w:val="2"/>
        <w:spacing w:before="54"/>
        <w:ind w:left="668" w:right="945"/>
        <w:jc w:val="center"/>
        <w:rPr>
          <w:rFonts w:hint="eastAsia" w:ascii="宋体" w:hAnsi="宋体" w:eastAsia="宋体" w:cs="宋体"/>
          <w:color w:val="auto"/>
        </w:rPr>
      </w:pPr>
    </w:p>
    <w:p w14:paraId="1AA7F277">
      <w:pPr>
        <w:pStyle w:val="2"/>
        <w:spacing w:before="54"/>
        <w:ind w:left="668" w:right="945"/>
        <w:jc w:val="center"/>
        <w:rPr>
          <w:rFonts w:hint="eastAsia" w:ascii="宋体" w:hAnsi="宋体" w:eastAsia="宋体" w:cs="宋体"/>
          <w:color w:val="auto"/>
        </w:rPr>
      </w:pPr>
    </w:p>
    <w:p w14:paraId="58D59770">
      <w:pPr>
        <w:pStyle w:val="2"/>
        <w:spacing w:before="54"/>
        <w:ind w:left="668" w:right="945"/>
        <w:jc w:val="center"/>
        <w:rPr>
          <w:rFonts w:hint="eastAsia" w:ascii="宋体" w:hAnsi="宋体" w:eastAsia="宋体" w:cs="宋体"/>
          <w:color w:val="auto"/>
        </w:rPr>
      </w:pPr>
    </w:p>
    <w:p w14:paraId="2F1BF572">
      <w:pPr>
        <w:pStyle w:val="2"/>
        <w:spacing w:before="54"/>
        <w:ind w:left="668" w:right="945"/>
        <w:jc w:val="center"/>
        <w:rPr>
          <w:rFonts w:hint="eastAsia" w:ascii="宋体" w:hAnsi="宋体" w:eastAsia="宋体" w:cs="宋体"/>
          <w:color w:val="auto"/>
        </w:rPr>
      </w:pPr>
    </w:p>
    <w:p w14:paraId="3823660F">
      <w:pPr>
        <w:rPr>
          <w:rFonts w:hint="eastAsia" w:ascii="宋体" w:hAnsi="宋体" w:eastAsia="宋体" w:cs="宋体"/>
          <w:color w:val="auto"/>
        </w:rPr>
      </w:pPr>
    </w:p>
    <w:p w14:paraId="42F0A9BC">
      <w:pPr>
        <w:pStyle w:val="8"/>
        <w:ind w:firstLine="480"/>
        <w:rPr>
          <w:rFonts w:hint="eastAsia" w:ascii="宋体" w:hAnsi="宋体" w:eastAsia="宋体" w:cs="宋体"/>
          <w:color w:val="auto"/>
        </w:rPr>
      </w:pPr>
    </w:p>
    <w:p w14:paraId="191C7C6D">
      <w:pPr>
        <w:pStyle w:val="2"/>
        <w:spacing w:before="54"/>
        <w:ind w:left="668" w:right="945"/>
        <w:jc w:val="center"/>
        <w:rPr>
          <w:rFonts w:hint="eastAsia" w:ascii="宋体" w:hAnsi="宋体" w:eastAsia="宋体" w:cs="宋体"/>
          <w:color w:val="auto"/>
        </w:rPr>
      </w:pPr>
    </w:p>
    <w:p w14:paraId="333718EF">
      <w:pPr>
        <w:widowControl/>
        <w:numPr>
          <w:ilvl w:val="0"/>
          <w:numId w:val="0"/>
        </w:numPr>
        <w:ind w:left="668" w:leftChars="0"/>
        <w:jc w:val="center"/>
        <w:outlineLvl w:val="0"/>
        <w:rPr>
          <w:rFonts w:hint="eastAsia" w:ascii="宋体" w:hAnsi="宋体" w:eastAsia="宋体" w:cs="宋体"/>
          <w:b/>
          <w:bCs/>
          <w:color w:val="auto"/>
          <w:kern w:val="0"/>
          <w:sz w:val="32"/>
          <w:szCs w:val="32"/>
        </w:rPr>
      </w:pPr>
      <w:bookmarkStart w:id="54" w:name="_Toc22917"/>
      <w:bookmarkStart w:id="55" w:name="_Toc10912"/>
      <w:r>
        <w:rPr>
          <w:rFonts w:hint="eastAsia" w:ascii="宋体" w:hAnsi="宋体" w:eastAsia="宋体" w:cs="宋体"/>
          <w:b/>
          <w:bCs/>
          <w:color w:val="auto"/>
          <w:kern w:val="0"/>
          <w:sz w:val="32"/>
          <w:szCs w:val="32"/>
          <w:lang w:val="en-US" w:eastAsia="zh-CN" w:bidi="ar-SA"/>
        </w:rPr>
        <w:t>六、</w:t>
      </w:r>
      <w:r>
        <w:rPr>
          <w:rFonts w:hint="eastAsia" w:ascii="宋体" w:hAnsi="宋体" w:eastAsia="宋体" w:cs="宋体"/>
          <w:b/>
          <w:bCs/>
          <w:color w:val="auto"/>
          <w:kern w:val="0"/>
          <w:sz w:val="32"/>
          <w:szCs w:val="32"/>
        </w:rPr>
        <w:t>政府采购投标人拒绝政府采购领域商业贿赂承诺书</w:t>
      </w:r>
      <w:bookmarkEnd w:id="54"/>
      <w:bookmarkEnd w:id="55"/>
    </w:p>
    <w:p w14:paraId="30E90EBC">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为响应党中央、国务院关于治理政府采购领域商业贿赂行为的号召，我单位在此庄严承诺： </w:t>
      </w:r>
    </w:p>
    <w:p w14:paraId="5B7A4C38">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1、在参与政府采购活动中遵纪守法、诚信经营、公平竞标。 </w:t>
      </w:r>
    </w:p>
    <w:p w14:paraId="08A8E434">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2、不向政府采购人、采购代理机构和政府采购评审专家进行任何形式的商业贿赂以谋取交易机会。 </w:t>
      </w:r>
    </w:p>
    <w:p w14:paraId="35CCE076">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3、不向政府采购代理机构和采购人提供虚假资质文件或采用虚假应标方式参与政府采购市场竞争并谋取中标、成交。 </w:t>
      </w:r>
    </w:p>
    <w:p w14:paraId="04367120">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4、不采取“围标、陪标”等商业欺诈手段获得政府采购定单。 </w:t>
      </w:r>
    </w:p>
    <w:p w14:paraId="262FCA21">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5、不采取不正当手段诋毁、排挤其他</w:t>
      </w:r>
      <w:r>
        <w:rPr>
          <w:rFonts w:hint="eastAsia" w:ascii="宋体" w:hAnsi="宋体" w:eastAsia="宋体" w:cs="宋体"/>
          <w:color w:val="auto"/>
          <w:sz w:val="24"/>
        </w:rPr>
        <w:t>投标人</w:t>
      </w:r>
      <w:r>
        <w:rPr>
          <w:rFonts w:hint="eastAsia" w:ascii="宋体" w:hAnsi="宋体" w:eastAsia="宋体" w:cs="宋体"/>
          <w:color w:val="auto"/>
          <w:kern w:val="0"/>
          <w:sz w:val="24"/>
        </w:rPr>
        <w:t xml:space="preserve">。 </w:t>
      </w:r>
    </w:p>
    <w:p w14:paraId="04CF3A09">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6、不在提供商品和服务时“偷梁换柱、以次充好”损害采购人的合法权益。 </w:t>
      </w:r>
    </w:p>
    <w:p w14:paraId="605DE527">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7、不与采购人、采购代理机构政府采购评审专家或其它</w:t>
      </w:r>
      <w:r>
        <w:rPr>
          <w:rFonts w:hint="eastAsia" w:ascii="宋体" w:hAnsi="宋体" w:eastAsia="宋体" w:cs="宋体"/>
          <w:color w:val="auto"/>
          <w:sz w:val="24"/>
        </w:rPr>
        <w:t>投标人</w:t>
      </w:r>
      <w:r>
        <w:rPr>
          <w:rFonts w:hint="eastAsia" w:ascii="宋体" w:hAnsi="宋体" w:eastAsia="宋体" w:cs="宋体"/>
          <w:color w:val="auto"/>
          <w:kern w:val="0"/>
          <w:sz w:val="24"/>
        </w:rPr>
        <w:t xml:space="preserve">恶意串通，进行质疑和投诉，维护政府采购市场秩序。 </w:t>
      </w:r>
    </w:p>
    <w:p w14:paraId="7D380DF2">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8、尊重和接受政府采购监督管理部门的监督和政府采购代理机构招标采购要求，承担因违约行为给采购人造成的损失。 </w:t>
      </w:r>
    </w:p>
    <w:p w14:paraId="13E317DB">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9、不发生其他有悖于政府采购公开、公平、公正和诚信原则的行为。 </w:t>
      </w:r>
    </w:p>
    <w:p w14:paraId="29C45ADD">
      <w:pPr>
        <w:pStyle w:val="10"/>
        <w:rPr>
          <w:rFonts w:hint="eastAsia" w:ascii="宋体" w:hAnsi="宋体" w:eastAsia="宋体" w:cs="宋体"/>
          <w:color w:val="auto"/>
        </w:rPr>
      </w:pPr>
    </w:p>
    <w:p w14:paraId="2C2D7C1A">
      <w:pPr>
        <w:widowControl/>
        <w:spacing w:line="440" w:lineRule="exact"/>
        <w:ind w:firstLine="56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8"/>
          <w:szCs w:val="24"/>
        </w:rPr>
        <w:t>  </w:t>
      </w:r>
      <w:r>
        <w:rPr>
          <w:rFonts w:hint="eastAsia" w:ascii="宋体" w:hAnsi="宋体" w:eastAsia="宋体" w:cs="宋体"/>
          <w:color w:val="auto"/>
          <w:kern w:val="0"/>
          <w:sz w:val="28"/>
          <w:szCs w:val="24"/>
          <w:lang w:val="en-US" w:eastAsia="zh-CN"/>
        </w:rPr>
        <w:t xml:space="preserve"> </w:t>
      </w:r>
      <w:r>
        <w:rPr>
          <w:rFonts w:hint="eastAsia" w:ascii="宋体" w:hAnsi="宋体" w:eastAsia="宋体" w:cs="宋体"/>
          <w:color w:val="auto"/>
          <w:kern w:val="0"/>
          <w:sz w:val="24"/>
          <w:szCs w:val="24"/>
        </w:rPr>
        <w:t>承诺单位：</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 xml:space="preserve">（盖章） </w:t>
      </w:r>
    </w:p>
    <w:p w14:paraId="751D7CB8">
      <w:pPr>
        <w:widowControl/>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全权代表：</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 xml:space="preserve">（签字） </w:t>
      </w:r>
    </w:p>
    <w:p w14:paraId="0E7C86C7">
      <w:pPr>
        <w:widowControl/>
        <w:spacing w:line="440" w:lineRule="exact"/>
        <w:ind w:firstLine="480" w:firstLineChars="200"/>
        <w:jc w:val="left"/>
        <w:rPr>
          <w:rFonts w:hint="eastAsia" w:ascii="宋体" w:hAnsi="宋体" w:eastAsia="宋体" w:cs="宋体"/>
          <w:color w:val="auto"/>
          <w:kern w:val="0"/>
          <w:sz w:val="24"/>
          <w:szCs w:val="24"/>
          <w:u w:val="single"/>
          <w:lang w:val="en-US" w:eastAsia="zh-CN"/>
        </w:rPr>
      </w:pPr>
      <w:r>
        <w:rPr>
          <w:rFonts w:hint="eastAsia" w:ascii="宋体" w:hAnsi="宋体" w:eastAsia="宋体" w:cs="宋体"/>
          <w:color w:val="auto"/>
          <w:kern w:val="0"/>
          <w:sz w:val="24"/>
          <w:szCs w:val="24"/>
        </w:rPr>
        <w:t>    地　　址：</w:t>
      </w:r>
      <w:r>
        <w:rPr>
          <w:rFonts w:hint="eastAsia" w:ascii="宋体" w:hAnsi="宋体" w:eastAsia="宋体" w:cs="宋体"/>
          <w:color w:val="auto"/>
          <w:kern w:val="0"/>
          <w:sz w:val="24"/>
          <w:szCs w:val="24"/>
          <w:u w:val="single"/>
          <w:lang w:val="en-US" w:eastAsia="zh-CN"/>
        </w:rPr>
        <w:t xml:space="preserve">                                  </w:t>
      </w:r>
    </w:p>
    <w:p w14:paraId="4DC44DD3">
      <w:pPr>
        <w:widowControl/>
        <w:spacing w:line="440" w:lineRule="exact"/>
        <w:ind w:firstLine="1200" w:firstLineChars="5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邮    编：</w:t>
      </w:r>
      <w:r>
        <w:rPr>
          <w:rFonts w:hint="eastAsia" w:ascii="宋体" w:hAnsi="宋体" w:eastAsia="宋体" w:cs="宋体"/>
          <w:color w:val="auto"/>
          <w:kern w:val="0"/>
          <w:sz w:val="24"/>
          <w:szCs w:val="24"/>
          <w:u w:val="single"/>
        </w:rPr>
        <w:t xml:space="preserve">　　                         　　 </w:t>
      </w:r>
    </w:p>
    <w:p w14:paraId="507F0F68">
      <w:pPr>
        <w:widowControl/>
        <w:spacing w:line="440" w:lineRule="exact"/>
        <w:ind w:firstLine="720" w:firstLineChars="3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  电　　话：</w:t>
      </w:r>
      <w:r>
        <w:rPr>
          <w:rFonts w:hint="eastAsia" w:ascii="宋体" w:hAnsi="宋体" w:eastAsia="宋体" w:cs="宋体"/>
          <w:color w:val="auto"/>
          <w:kern w:val="0"/>
          <w:sz w:val="24"/>
          <w:szCs w:val="24"/>
          <w:u w:val="single"/>
        </w:rPr>
        <w:t>　　　                　    　　　</w:t>
      </w:r>
    </w:p>
    <w:p w14:paraId="40F5407C">
      <w:pPr>
        <w:widowControl/>
        <w:spacing w:line="440" w:lineRule="exact"/>
        <w:ind w:firstLine="720" w:firstLineChars="3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14:paraId="6842101F">
      <w:pPr>
        <w:spacing w:afterLines="100" w:line="440" w:lineRule="exact"/>
        <w:jc w:val="righ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年 　 　月 　　 日</w:t>
      </w:r>
    </w:p>
    <w:p w14:paraId="5F23C683">
      <w:pPr>
        <w:pStyle w:val="10"/>
        <w:rPr>
          <w:rFonts w:hint="eastAsia" w:ascii="宋体" w:hAnsi="宋体" w:eastAsia="宋体" w:cs="宋体"/>
          <w:color w:val="auto"/>
        </w:rPr>
      </w:pPr>
    </w:p>
    <w:p w14:paraId="56CA10F6">
      <w:pPr>
        <w:pStyle w:val="2"/>
        <w:spacing w:before="54"/>
        <w:ind w:left="668" w:right="945"/>
        <w:jc w:val="center"/>
        <w:rPr>
          <w:rFonts w:hint="eastAsia" w:ascii="宋体" w:hAnsi="宋体" w:eastAsia="宋体" w:cs="宋体"/>
          <w:color w:val="auto"/>
        </w:rPr>
      </w:pPr>
    </w:p>
    <w:p w14:paraId="48DA8107">
      <w:pPr>
        <w:rPr>
          <w:rFonts w:hint="eastAsia" w:ascii="宋体" w:hAnsi="宋体" w:eastAsia="宋体" w:cs="宋体"/>
          <w:color w:val="auto"/>
        </w:rPr>
      </w:pPr>
    </w:p>
    <w:p w14:paraId="53189183">
      <w:pPr>
        <w:pStyle w:val="10"/>
        <w:rPr>
          <w:rFonts w:hint="eastAsia" w:ascii="宋体" w:hAnsi="宋体" w:eastAsia="宋体" w:cs="宋体"/>
          <w:color w:val="auto"/>
        </w:rPr>
      </w:pPr>
    </w:p>
    <w:p w14:paraId="7312B70E">
      <w:pPr>
        <w:pStyle w:val="23"/>
        <w:rPr>
          <w:rFonts w:hint="eastAsia" w:ascii="宋体" w:hAnsi="宋体" w:eastAsia="宋体" w:cs="宋体"/>
          <w:color w:val="auto"/>
        </w:rPr>
      </w:pPr>
    </w:p>
    <w:p w14:paraId="3EAEAC2A">
      <w:pPr>
        <w:pStyle w:val="2"/>
        <w:spacing w:before="54"/>
        <w:ind w:left="668" w:right="945"/>
        <w:jc w:val="center"/>
        <w:rPr>
          <w:rFonts w:hint="eastAsia" w:ascii="宋体" w:hAnsi="宋体" w:eastAsia="宋体" w:cs="宋体"/>
          <w:color w:val="auto"/>
          <w:kern w:val="0"/>
          <w:sz w:val="32"/>
          <w:szCs w:val="32"/>
          <w:lang w:bidi="zh-CN"/>
        </w:rPr>
      </w:pPr>
      <w:bookmarkStart w:id="56" w:name="_Toc24905"/>
      <w:bookmarkStart w:id="57" w:name="_Toc4868"/>
      <w:r>
        <w:rPr>
          <w:rFonts w:hint="eastAsia" w:ascii="宋体" w:hAnsi="宋体" w:eastAsia="宋体" w:cs="宋体"/>
          <w:color w:val="auto"/>
          <w:kern w:val="0"/>
          <w:sz w:val="32"/>
          <w:szCs w:val="32"/>
          <w:lang w:val="zh-CN" w:bidi="zh-CN"/>
        </w:rPr>
        <w:t>七、附件</w:t>
      </w:r>
      <w:bookmarkEnd w:id="56"/>
      <w:bookmarkEnd w:id="57"/>
    </w:p>
    <w:p w14:paraId="79AC0014">
      <w:pPr>
        <w:pStyle w:val="8"/>
        <w:ind w:firstLine="0" w:firstLineChars="0"/>
        <w:jc w:val="center"/>
        <w:outlineLvl w:val="0"/>
        <w:rPr>
          <w:rFonts w:hint="eastAsia" w:ascii="宋体" w:hAnsi="宋体" w:eastAsia="宋体" w:cs="宋体"/>
          <w:b/>
          <w:color w:val="auto"/>
          <w:sz w:val="28"/>
          <w:szCs w:val="28"/>
          <w:lang w:val="zh-CN"/>
        </w:rPr>
      </w:pPr>
      <w:bookmarkStart w:id="58" w:name="_Toc4819"/>
      <w:bookmarkStart w:id="59" w:name="_Toc29097"/>
      <w:bookmarkStart w:id="60" w:name="_Toc1139"/>
      <w:r>
        <w:rPr>
          <w:rFonts w:hint="eastAsia" w:ascii="宋体" w:hAnsi="宋体" w:eastAsia="宋体" w:cs="宋体"/>
          <w:b/>
          <w:color w:val="auto"/>
          <w:sz w:val="28"/>
          <w:szCs w:val="28"/>
          <w:lang w:val="zh-CN"/>
        </w:rPr>
        <w:t>中小企业声明函</w:t>
      </w:r>
      <w:bookmarkEnd w:id="58"/>
      <w:bookmarkEnd w:id="59"/>
      <w:bookmarkEnd w:id="60"/>
    </w:p>
    <w:p w14:paraId="32EE1D8E">
      <w:pPr>
        <w:widowControl/>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本公司郑重声明，根据《政府采购促进中小企业发展管理办法》（财库﹝2020﹞46 号）的规定，本公司参加</w:t>
      </w:r>
      <w:r>
        <w:rPr>
          <w:rFonts w:hint="eastAsia" w:ascii="宋体" w:hAnsi="宋体" w:eastAsia="宋体" w:cs="宋体"/>
          <w:color w:val="auto"/>
          <w:kern w:val="0"/>
          <w:sz w:val="24"/>
          <w:szCs w:val="24"/>
          <w:u w:val="single"/>
        </w:rPr>
        <w:t>（单位名称）</w:t>
      </w:r>
      <w:r>
        <w:rPr>
          <w:rFonts w:hint="eastAsia" w:ascii="宋体" w:hAnsi="宋体" w:eastAsia="宋体" w:cs="宋体"/>
          <w:color w:val="auto"/>
          <w:kern w:val="0"/>
          <w:sz w:val="24"/>
          <w:szCs w:val="24"/>
        </w:rPr>
        <w:t>的</w:t>
      </w:r>
      <w:r>
        <w:rPr>
          <w:rFonts w:hint="eastAsia" w:ascii="宋体" w:hAnsi="宋体" w:eastAsia="宋体" w:cs="宋体"/>
          <w:color w:val="auto"/>
          <w:kern w:val="0"/>
          <w:sz w:val="24"/>
          <w:szCs w:val="24"/>
          <w:u w:val="single"/>
        </w:rPr>
        <w:t>（项目名称）</w:t>
      </w:r>
      <w:r>
        <w:rPr>
          <w:rFonts w:hint="eastAsia" w:ascii="宋体" w:hAnsi="宋体" w:eastAsia="宋体" w:cs="宋体"/>
          <w:color w:val="auto"/>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02216E9">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u w:val="single"/>
        </w:rPr>
        <w:t xml:space="preserve">（标的名称） </w:t>
      </w:r>
      <w:r>
        <w:rPr>
          <w:rFonts w:hint="eastAsia" w:ascii="宋体" w:hAnsi="宋体" w:eastAsia="宋体" w:cs="宋体"/>
          <w:color w:val="auto"/>
          <w:kern w:val="0"/>
          <w:sz w:val="24"/>
          <w:szCs w:val="24"/>
        </w:rPr>
        <w:t>，属于（采购文件中明确的所属行业）；承建（承接）企业为</w:t>
      </w:r>
      <w:r>
        <w:rPr>
          <w:rFonts w:hint="eastAsia" w:ascii="宋体" w:hAnsi="宋体" w:eastAsia="宋体" w:cs="宋体"/>
          <w:color w:val="auto"/>
          <w:kern w:val="0"/>
          <w:sz w:val="24"/>
          <w:szCs w:val="24"/>
          <w:u w:val="single"/>
        </w:rPr>
        <w:t>（企业名称）</w:t>
      </w:r>
      <w:r>
        <w:rPr>
          <w:rFonts w:hint="eastAsia" w:ascii="宋体" w:hAnsi="宋体" w:eastAsia="宋体" w:cs="宋体"/>
          <w:color w:val="auto"/>
          <w:kern w:val="0"/>
          <w:sz w:val="24"/>
          <w:szCs w:val="24"/>
        </w:rPr>
        <w:t>，从业人员人，营业收入为万元，资产总额为万元，属于</w:t>
      </w:r>
      <w:r>
        <w:rPr>
          <w:rFonts w:hint="eastAsia" w:ascii="宋体" w:hAnsi="宋体" w:eastAsia="宋体" w:cs="宋体"/>
          <w:color w:val="auto"/>
          <w:kern w:val="0"/>
          <w:sz w:val="24"/>
          <w:szCs w:val="24"/>
          <w:u w:val="single"/>
        </w:rPr>
        <w:t>（中型企业、小型企业、微型企业）</w:t>
      </w:r>
      <w:r>
        <w:rPr>
          <w:rFonts w:hint="eastAsia" w:ascii="宋体" w:hAnsi="宋体" w:eastAsia="宋体" w:cs="宋体"/>
          <w:color w:val="auto"/>
          <w:kern w:val="0"/>
          <w:sz w:val="24"/>
          <w:szCs w:val="24"/>
        </w:rPr>
        <w:t xml:space="preserve">； </w:t>
      </w:r>
    </w:p>
    <w:p w14:paraId="17D7489C">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2. </w:t>
      </w:r>
      <w:r>
        <w:rPr>
          <w:rFonts w:hint="eastAsia" w:ascii="宋体" w:hAnsi="宋体" w:eastAsia="宋体" w:cs="宋体"/>
          <w:color w:val="auto"/>
          <w:kern w:val="0"/>
          <w:sz w:val="24"/>
          <w:szCs w:val="24"/>
          <w:u w:val="single"/>
        </w:rPr>
        <w:t xml:space="preserve">（标的名称） </w:t>
      </w:r>
      <w:r>
        <w:rPr>
          <w:rFonts w:hint="eastAsia" w:ascii="宋体" w:hAnsi="宋体" w:eastAsia="宋体" w:cs="宋体"/>
          <w:color w:val="auto"/>
          <w:kern w:val="0"/>
          <w:sz w:val="24"/>
          <w:szCs w:val="24"/>
        </w:rPr>
        <w:t>，属于</w:t>
      </w:r>
      <w:r>
        <w:rPr>
          <w:rFonts w:hint="eastAsia" w:ascii="宋体" w:hAnsi="宋体" w:eastAsia="宋体" w:cs="宋体"/>
          <w:color w:val="auto"/>
          <w:kern w:val="0"/>
          <w:sz w:val="24"/>
          <w:szCs w:val="24"/>
          <w:u w:val="single"/>
        </w:rPr>
        <w:t>（采购文件中明确的所属行业）</w:t>
      </w:r>
      <w:r>
        <w:rPr>
          <w:rFonts w:hint="eastAsia" w:ascii="宋体" w:hAnsi="宋体" w:eastAsia="宋体" w:cs="宋体"/>
          <w:color w:val="auto"/>
          <w:kern w:val="0"/>
          <w:sz w:val="24"/>
          <w:szCs w:val="24"/>
        </w:rPr>
        <w:t>； 承建（承接）企业为</w:t>
      </w:r>
      <w:r>
        <w:rPr>
          <w:rFonts w:hint="eastAsia" w:ascii="宋体" w:hAnsi="宋体" w:eastAsia="宋体" w:cs="宋体"/>
          <w:color w:val="auto"/>
          <w:kern w:val="0"/>
          <w:sz w:val="24"/>
          <w:szCs w:val="24"/>
          <w:u w:val="single"/>
        </w:rPr>
        <w:t>（企业名称）</w:t>
      </w:r>
      <w:r>
        <w:rPr>
          <w:rFonts w:hint="eastAsia" w:ascii="宋体" w:hAnsi="宋体" w:eastAsia="宋体" w:cs="宋体"/>
          <w:color w:val="auto"/>
          <w:kern w:val="0"/>
          <w:sz w:val="24"/>
          <w:szCs w:val="24"/>
        </w:rPr>
        <w:t>，从业人员人，营业收入为万元，资产总额为万元，属于</w:t>
      </w:r>
      <w:r>
        <w:rPr>
          <w:rFonts w:hint="eastAsia" w:ascii="宋体" w:hAnsi="宋体" w:eastAsia="宋体" w:cs="宋体"/>
          <w:color w:val="auto"/>
          <w:kern w:val="0"/>
          <w:sz w:val="24"/>
          <w:szCs w:val="24"/>
          <w:u w:val="single"/>
        </w:rPr>
        <w:t>（中型企业、 小型企业、微型企业）</w:t>
      </w:r>
      <w:r>
        <w:rPr>
          <w:rFonts w:hint="eastAsia" w:ascii="宋体" w:hAnsi="宋体" w:eastAsia="宋体" w:cs="宋体"/>
          <w:color w:val="auto"/>
          <w:kern w:val="0"/>
          <w:sz w:val="24"/>
          <w:szCs w:val="24"/>
        </w:rPr>
        <w:t xml:space="preserve">； </w:t>
      </w:r>
    </w:p>
    <w:p w14:paraId="542A279F">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以上企业，不属于大企业的分支机构，不存在控股股东为大企业的情形，也不存在与大企业的负责人为同一人的情形。本企业对上述声明内容的真实性负责。如有虚假，将依法承担相应责任。 </w:t>
      </w:r>
    </w:p>
    <w:p w14:paraId="62D871D9">
      <w:pPr>
        <w:widowControl/>
        <w:spacing w:line="480" w:lineRule="auto"/>
        <w:ind w:firstLine="4080" w:firstLineChars="1700"/>
        <w:rPr>
          <w:rFonts w:hint="eastAsia" w:ascii="宋体" w:hAnsi="宋体" w:eastAsia="宋体" w:cs="宋体"/>
          <w:color w:val="auto"/>
          <w:kern w:val="0"/>
          <w:sz w:val="24"/>
          <w:szCs w:val="24"/>
        </w:rPr>
      </w:pPr>
    </w:p>
    <w:p w14:paraId="628456D9">
      <w:pPr>
        <w:widowControl/>
        <w:spacing w:line="480" w:lineRule="auto"/>
        <w:ind w:firstLine="4080" w:firstLineChars="17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企业名称（盖章）： </w:t>
      </w:r>
    </w:p>
    <w:p w14:paraId="62B9DD4A">
      <w:pPr>
        <w:spacing w:line="480" w:lineRule="auto"/>
        <w:ind w:firstLine="4320" w:firstLineChars="1800"/>
        <w:rPr>
          <w:rFonts w:hint="eastAsia" w:ascii="宋体" w:hAnsi="宋体" w:eastAsia="宋体" w:cs="宋体"/>
          <w:color w:val="auto"/>
          <w:sz w:val="24"/>
          <w:szCs w:val="24"/>
        </w:rPr>
      </w:pPr>
      <w:r>
        <w:rPr>
          <w:rFonts w:hint="eastAsia" w:ascii="宋体" w:hAnsi="宋体" w:eastAsia="宋体" w:cs="宋体"/>
          <w:color w:val="auto"/>
          <w:kern w:val="0"/>
          <w:sz w:val="24"/>
          <w:szCs w:val="24"/>
        </w:rPr>
        <w:t>日    期：</w:t>
      </w:r>
    </w:p>
    <w:p w14:paraId="0BE9BAC9">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从业人员、营业收入、资产总额填报上一年度数据，无上一年度数据的新成立企业可不填报。</w:t>
      </w:r>
    </w:p>
    <w:p w14:paraId="5F9BF2C2">
      <w:pPr>
        <w:pStyle w:val="3"/>
        <w:rPr>
          <w:rFonts w:hint="eastAsia" w:ascii="宋体" w:hAnsi="宋体" w:eastAsia="宋体" w:cs="宋体"/>
          <w:color w:val="auto"/>
        </w:rPr>
      </w:pPr>
    </w:p>
    <w:p w14:paraId="2A03EF40">
      <w:pPr>
        <w:rPr>
          <w:rFonts w:hint="eastAsia" w:ascii="宋体" w:hAnsi="宋体" w:eastAsia="宋体" w:cs="宋体"/>
          <w:color w:val="auto"/>
        </w:rPr>
      </w:pPr>
    </w:p>
    <w:p w14:paraId="11B0BBC0">
      <w:pPr>
        <w:rPr>
          <w:rFonts w:hint="eastAsia" w:ascii="宋体" w:hAnsi="宋体" w:eastAsia="宋体" w:cs="宋体"/>
          <w:color w:val="auto"/>
          <w:szCs w:val="21"/>
        </w:rPr>
      </w:pPr>
    </w:p>
    <w:p w14:paraId="7E50792D">
      <w:pPr>
        <w:autoSpaceDE w:val="0"/>
        <w:autoSpaceDN w:val="0"/>
        <w:adjustRightInd w:val="0"/>
        <w:spacing w:line="360" w:lineRule="auto"/>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残疾人福利性单位声明函</w:t>
      </w:r>
    </w:p>
    <w:p w14:paraId="11BE8881">
      <w:pPr>
        <w:autoSpaceDE w:val="0"/>
        <w:autoSpaceDN w:val="0"/>
        <w:adjustRightInd w:val="0"/>
        <w:spacing w:line="360" w:lineRule="auto"/>
        <w:ind w:firstLine="420" w:firstLineChars="200"/>
        <w:jc w:val="left"/>
        <w:rPr>
          <w:rFonts w:hint="eastAsia" w:ascii="宋体" w:hAnsi="宋体" w:eastAsia="宋体" w:cs="宋体"/>
          <w:bCs/>
          <w:color w:val="auto"/>
          <w:szCs w:val="21"/>
          <w:lang w:val="zh-CN"/>
        </w:rPr>
      </w:pPr>
    </w:p>
    <w:p w14:paraId="1C84364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F0F21F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本单位对上述声明的真实性负责。如有虚假，将依法承担相应责任。</w:t>
      </w:r>
    </w:p>
    <w:p w14:paraId="4D479DC4">
      <w:pPr>
        <w:autoSpaceDE w:val="0"/>
        <w:autoSpaceDN w:val="0"/>
        <w:adjustRightInd w:val="0"/>
        <w:spacing w:line="360" w:lineRule="auto"/>
        <w:ind w:firstLine="400" w:firstLineChars="200"/>
        <w:jc w:val="left"/>
        <w:rPr>
          <w:rFonts w:hint="eastAsia" w:ascii="宋体" w:hAnsi="宋体" w:eastAsia="宋体" w:cs="宋体"/>
          <w:bCs/>
          <w:color w:val="auto"/>
          <w:sz w:val="20"/>
          <w:szCs w:val="20"/>
          <w:lang w:val="zh-CN"/>
        </w:rPr>
      </w:pPr>
    </w:p>
    <w:p w14:paraId="7E8A1A21">
      <w:pPr>
        <w:autoSpaceDE w:val="0"/>
        <w:autoSpaceDN w:val="0"/>
        <w:adjustRightInd w:val="0"/>
        <w:spacing w:line="360" w:lineRule="auto"/>
        <w:ind w:firstLine="400" w:firstLineChars="200"/>
        <w:jc w:val="left"/>
        <w:rPr>
          <w:rFonts w:hint="eastAsia" w:ascii="宋体" w:hAnsi="宋体" w:eastAsia="宋体" w:cs="宋体"/>
          <w:bCs/>
          <w:color w:val="auto"/>
          <w:sz w:val="20"/>
          <w:szCs w:val="20"/>
          <w:lang w:val="zh-CN"/>
        </w:rPr>
      </w:pPr>
    </w:p>
    <w:p w14:paraId="0716DD9F">
      <w:pPr>
        <w:autoSpaceDE w:val="0"/>
        <w:autoSpaceDN w:val="0"/>
        <w:adjustRightInd w:val="0"/>
        <w:spacing w:line="360" w:lineRule="auto"/>
        <w:ind w:firstLine="3840" w:firstLineChars="1600"/>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单位名称（盖章）：</w:t>
      </w:r>
    </w:p>
    <w:p w14:paraId="7C1627F1">
      <w:pPr>
        <w:autoSpaceDE w:val="0"/>
        <w:autoSpaceDN w:val="0"/>
        <w:adjustRightInd w:val="0"/>
        <w:spacing w:line="360" w:lineRule="auto"/>
        <w:ind w:firstLine="3840" w:firstLineChars="1600"/>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日  期：</w:t>
      </w:r>
    </w:p>
    <w:p w14:paraId="4218B5EB">
      <w:pPr>
        <w:adjustRightInd w:val="0"/>
        <w:snapToGrid w:val="0"/>
        <w:spacing w:line="360" w:lineRule="auto"/>
        <w:jc w:val="left"/>
        <w:rPr>
          <w:rFonts w:hint="eastAsia" w:ascii="宋体" w:hAnsi="宋体" w:eastAsia="宋体" w:cs="宋体"/>
          <w:color w:val="auto"/>
          <w:sz w:val="24"/>
          <w:szCs w:val="24"/>
        </w:rPr>
      </w:pPr>
    </w:p>
    <w:p w14:paraId="202450AB">
      <w:pPr>
        <w:tabs>
          <w:tab w:val="left" w:pos="1620"/>
          <w:tab w:val="left" w:pos="1800"/>
        </w:tabs>
        <w:spacing w:line="360" w:lineRule="auto"/>
        <w:ind w:right="540" w:rightChars="257"/>
        <w:jc w:val="left"/>
        <w:rPr>
          <w:rFonts w:hint="eastAsia" w:ascii="宋体" w:hAnsi="宋体" w:eastAsia="宋体" w:cs="宋体"/>
          <w:color w:val="auto"/>
          <w:sz w:val="24"/>
          <w:szCs w:val="24"/>
        </w:rPr>
      </w:pPr>
    </w:p>
    <w:p w14:paraId="734DC625">
      <w:pPr>
        <w:pStyle w:val="73"/>
        <w:ind w:firstLine="480"/>
        <w:rPr>
          <w:rFonts w:hint="eastAsia" w:ascii="宋体" w:hAnsi="宋体" w:eastAsia="宋体" w:cs="宋体"/>
          <w:color w:val="auto"/>
          <w:sz w:val="24"/>
          <w:szCs w:val="24"/>
        </w:rPr>
      </w:pPr>
    </w:p>
    <w:p w14:paraId="170CED09">
      <w:pPr>
        <w:pStyle w:val="73"/>
        <w:ind w:firstLine="480"/>
        <w:rPr>
          <w:rFonts w:hint="eastAsia" w:ascii="宋体" w:hAnsi="宋体" w:eastAsia="宋体" w:cs="宋体"/>
          <w:color w:val="auto"/>
          <w:sz w:val="24"/>
          <w:szCs w:val="24"/>
        </w:rPr>
      </w:pPr>
    </w:p>
    <w:p w14:paraId="630A5069">
      <w:pPr>
        <w:pStyle w:val="73"/>
        <w:ind w:firstLine="0" w:firstLineChars="0"/>
        <w:rPr>
          <w:rFonts w:hint="eastAsia" w:ascii="宋体" w:hAnsi="宋体" w:eastAsia="宋体" w:cs="宋体"/>
          <w:color w:val="auto"/>
          <w:sz w:val="24"/>
          <w:szCs w:val="24"/>
        </w:rPr>
      </w:pPr>
    </w:p>
    <w:p w14:paraId="5CC3A721">
      <w:pPr>
        <w:pStyle w:val="73"/>
        <w:ind w:firstLine="480"/>
        <w:rPr>
          <w:rFonts w:hint="eastAsia" w:ascii="宋体" w:hAnsi="宋体" w:eastAsia="宋体" w:cs="宋体"/>
          <w:color w:val="auto"/>
          <w:sz w:val="24"/>
          <w:szCs w:val="24"/>
        </w:rPr>
      </w:pPr>
    </w:p>
    <w:p w14:paraId="2F318B12">
      <w:pPr>
        <w:pStyle w:val="73"/>
        <w:ind w:firstLine="480"/>
        <w:rPr>
          <w:rFonts w:hint="eastAsia" w:ascii="宋体" w:hAnsi="宋体" w:eastAsia="宋体" w:cs="宋体"/>
          <w:color w:val="auto"/>
          <w:sz w:val="24"/>
          <w:szCs w:val="24"/>
        </w:rPr>
      </w:pPr>
    </w:p>
    <w:p w14:paraId="1890543A">
      <w:pPr>
        <w:autoSpaceDE w:val="0"/>
        <w:autoSpaceDN w:val="0"/>
        <w:adjustRightInd w:val="0"/>
        <w:spacing w:line="360" w:lineRule="auto"/>
        <w:ind w:firstLine="480" w:firstLineChars="200"/>
        <w:jc w:val="left"/>
        <w:rPr>
          <w:rFonts w:hint="eastAsia" w:ascii="宋体" w:hAnsi="宋体" w:eastAsia="宋体" w:cs="宋体"/>
          <w:bCs/>
          <w:color w:val="auto"/>
          <w:sz w:val="24"/>
          <w:szCs w:val="24"/>
          <w:lang w:val="zh-CN"/>
        </w:rPr>
      </w:pPr>
    </w:p>
    <w:p w14:paraId="418476EF">
      <w:pPr>
        <w:autoSpaceDE w:val="0"/>
        <w:autoSpaceDN w:val="0"/>
        <w:adjustRightInd w:val="0"/>
        <w:spacing w:line="360" w:lineRule="auto"/>
        <w:jc w:val="left"/>
        <w:rPr>
          <w:rFonts w:hint="eastAsia" w:ascii="宋体" w:hAnsi="宋体" w:eastAsia="宋体" w:cs="宋体"/>
          <w:b/>
          <w:color w:val="auto"/>
          <w:sz w:val="24"/>
          <w:szCs w:val="24"/>
          <w:lang w:val="zh-CN"/>
        </w:rPr>
      </w:pPr>
      <w:r>
        <w:rPr>
          <w:rFonts w:hint="eastAsia" w:ascii="宋体" w:hAnsi="宋体" w:eastAsia="宋体" w:cs="宋体"/>
          <w:bCs/>
          <w:color w:val="auto"/>
          <w:sz w:val="24"/>
          <w:szCs w:val="24"/>
          <w:lang w:val="zh-CN"/>
        </w:rPr>
        <w:t>注：投标人应仔细阅读《财政部 民政部 中国残疾人联合会关于促进残疾人就业政府采购政策的通知》，并如实填写本表，符合条件的投标人未按上述要求提供、填写的，评审时不予以考虑。</w:t>
      </w:r>
      <w:r>
        <w:rPr>
          <w:rFonts w:hint="eastAsia" w:ascii="宋体" w:hAnsi="宋体" w:eastAsia="宋体" w:cs="宋体"/>
          <w:b/>
          <w:color w:val="auto"/>
          <w:sz w:val="24"/>
          <w:szCs w:val="24"/>
          <w:lang w:val="zh-CN"/>
        </w:rPr>
        <w:t>不符合条件的投标人无需填写，如果出现虚假应标，由此产生的后果由投标人自行负责。</w:t>
      </w:r>
    </w:p>
    <w:p w14:paraId="5F915463">
      <w:pPr>
        <w:pStyle w:val="10"/>
        <w:spacing w:line="360" w:lineRule="auto"/>
        <w:jc w:val="left"/>
        <w:rPr>
          <w:rFonts w:hint="eastAsia" w:ascii="宋体" w:hAnsi="宋体" w:eastAsia="宋体" w:cs="宋体"/>
          <w:color w:val="auto"/>
          <w:szCs w:val="21"/>
        </w:rPr>
      </w:pPr>
    </w:p>
    <w:p w14:paraId="56EF1E9B">
      <w:pPr>
        <w:rPr>
          <w:rFonts w:hint="eastAsia" w:ascii="宋体" w:hAnsi="宋体" w:eastAsia="宋体" w:cs="宋体"/>
          <w:color w:val="auto"/>
          <w:szCs w:val="21"/>
        </w:rPr>
      </w:pPr>
    </w:p>
    <w:p w14:paraId="51ECC4C6">
      <w:pPr>
        <w:pStyle w:val="73"/>
        <w:rPr>
          <w:rFonts w:hint="eastAsia" w:ascii="宋体" w:hAnsi="宋体" w:eastAsia="宋体" w:cs="宋体"/>
          <w:color w:val="auto"/>
          <w:szCs w:val="21"/>
        </w:rPr>
      </w:pPr>
    </w:p>
    <w:p w14:paraId="428568B9">
      <w:pPr>
        <w:pStyle w:val="73"/>
        <w:rPr>
          <w:rFonts w:hint="eastAsia" w:ascii="宋体" w:hAnsi="宋体" w:eastAsia="宋体" w:cs="宋体"/>
          <w:color w:val="auto"/>
          <w:szCs w:val="21"/>
        </w:rPr>
      </w:pPr>
    </w:p>
    <w:p w14:paraId="2BB8B925">
      <w:pPr>
        <w:pStyle w:val="73"/>
        <w:rPr>
          <w:rFonts w:hint="eastAsia" w:ascii="宋体" w:hAnsi="宋体" w:eastAsia="宋体" w:cs="宋体"/>
          <w:color w:val="auto"/>
          <w:szCs w:val="21"/>
        </w:rPr>
      </w:pPr>
    </w:p>
    <w:p w14:paraId="7A71F42D">
      <w:pPr>
        <w:pStyle w:val="73"/>
        <w:rPr>
          <w:rFonts w:hint="eastAsia" w:ascii="宋体" w:hAnsi="宋体" w:eastAsia="宋体" w:cs="宋体"/>
          <w:color w:val="auto"/>
          <w:szCs w:val="21"/>
        </w:rPr>
      </w:pPr>
    </w:p>
    <w:p w14:paraId="2DA5F88A">
      <w:pPr>
        <w:pStyle w:val="73"/>
        <w:rPr>
          <w:rFonts w:hint="eastAsia" w:ascii="宋体" w:hAnsi="宋体" w:eastAsia="宋体" w:cs="宋体"/>
          <w:color w:val="auto"/>
          <w:szCs w:val="21"/>
        </w:rPr>
      </w:pPr>
    </w:p>
    <w:p w14:paraId="0FA62A75">
      <w:pPr>
        <w:pStyle w:val="73"/>
        <w:rPr>
          <w:rFonts w:hint="eastAsia" w:ascii="宋体" w:hAnsi="宋体" w:eastAsia="宋体" w:cs="宋体"/>
          <w:color w:val="auto"/>
          <w:szCs w:val="21"/>
        </w:rPr>
      </w:pPr>
    </w:p>
    <w:p w14:paraId="5F42597D">
      <w:pPr>
        <w:pStyle w:val="73"/>
        <w:rPr>
          <w:rFonts w:hint="eastAsia" w:ascii="宋体" w:hAnsi="宋体" w:eastAsia="宋体" w:cs="宋体"/>
          <w:color w:val="auto"/>
          <w:szCs w:val="21"/>
        </w:rPr>
      </w:pPr>
    </w:p>
    <w:p w14:paraId="1E09953B">
      <w:pPr>
        <w:pStyle w:val="73"/>
        <w:rPr>
          <w:rFonts w:hint="eastAsia" w:ascii="宋体" w:hAnsi="宋体" w:eastAsia="宋体" w:cs="宋体"/>
          <w:color w:val="auto"/>
          <w:szCs w:val="21"/>
        </w:rPr>
      </w:pPr>
    </w:p>
    <w:p w14:paraId="0B9E58BE">
      <w:pPr>
        <w:pStyle w:val="73"/>
        <w:rPr>
          <w:rFonts w:hint="eastAsia" w:ascii="宋体" w:hAnsi="宋体" w:eastAsia="宋体" w:cs="宋体"/>
          <w:color w:val="auto"/>
          <w:szCs w:val="21"/>
        </w:rPr>
      </w:pPr>
    </w:p>
    <w:p w14:paraId="0AD586FF">
      <w:pPr>
        <w:pStyle w:val="73"/>
        <w:rPr>
          <w:rFonts w:hint="eastAsia" w:ascii="宋体" w:hAnsi="宋体" w:eastAsia="宋体" w:cs="宋体"/>
          <w:color w:val="auto"/>
          <w:szCs w:val="21"/>
        </w:rPr>
      </w:pPr>
    </w:p>
    <w:p w14:paraId="3169EF4D">
      <w:pPr>
        <w:pStyle w:val="73"/>
        <w:rPr>
          <w:rFonts w:hint="eastAsia" w:ascii="宋体" w:hAnsi="宋体" w:eastAsia="宋体" w:cs="宋体"/>
          <w:color w:val="auto"/>
          <w:szCs w:val="21"/>
        </w:rPr>
      </w:pPr>
    </w:p>
    <w:p w14:paraId="3F60A688">
      <w:pPr>
        <w:pStyle w:val="10"/>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监狱企业证明文件</w:t>
      </w:r>
    </w:p>
    <w:p w14:paraId="76B2BDC4">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599947F">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监狱企业参加政府采购活动时，应当提供由省级以上监狱管理局、戒毒管理局（含新疆生产建设兵团）出具的属于监狱企业的证明文件。</w:t>
      </w:r>
    </w:p>
    <w:p w14:paraId="1789CA30">
      <w:pPr>
        <w:spacing w:line="360" w:lineRule="auto"/>
        <w:rPr>
          <w:rFonts w:hint="eastAsia" w:ascii="宋体" w:hAnsi="宋体" w:eastAsia="宋体" w:cs="宋体"/>
          <w:b/>
          <w:color w:val="auto"/>
          <w:sz w:val="24"/>
          <w:szCs w:val="24"/>
        </w:rPr>
      </w:pPr>
    </w:p>
    <w:p w14:paraId="1B7EFC06">
      <w:pPr>
        <w:rPr>
          <w:rFonts w:hint="eastAsia" w:ascii="宋体" w:hAnsi="宋体" w:eastAsia="宋体" w:cs="宋体"/>
          <w:b/>
          <w:color w:val="auto"/>
          <w:sz w:val="24"/>
          <w:szCs w:val="24"/>
        </w:rPr>
      </w:pPr>
    </w:p>
    <w:p w14:paraId="260447BB">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说明：</w:t>
      </w:r>
    </w:p>
    <w:p w14:paraId="63F6D721">
      <w:pPr>
        <w:adjustRightInd w:val="0"/>
        <w:snapToGrid w:val="0"/>
        <w:spacing w:line="360" w:lineRule="auto"/>
        <w:ind w:firstLine="525"/>
        <w:rPr>
          <w:rFonts w:hint="eastAsia" w:ascii="宋体" w:hAnsi="宋体" w:eastAsia="宋体" w:cs="宋体"/>
          <w:bCs/>
          <w:color w:val="auto"/>
          <w:sz w:val="24"/>
          <w:szCs w:val="24"/>
        </w:rPr>
      </w:pPr>
      <w:r>
        <w:rPr>
          <w:rFonts w:hint="eastAsia" w:ascii="宋体" w:hAnsi="宋体" w:eastAsia="宋体" w:cs="宋体"/>
          <w:bCs/>
          <w:color w:val="auto"/>
          <w:sz w:val="24"/>
          <w:szCs w:val="24"/>
        </w:rPr>
        <w:t>1.无格式要求，由出具监狱企业证明的单位自行拟定；</w:t>
      </w:r>
    </w:p>
    <w:p w14:paraId="3DEF3071">
      <w:pPr>
        <w:adjustRightInd w:val="0"/>
        <w:snapToGrid w:val="0"/>
        <w:spacing w:line="360" w:lineRule="auto"/>
        <w:ind w:firstLine="525"/>
        <w:rPr>
          <w:rFonts w:hint="eastAsia" w:ascii="宋体" w:hAnsi="宋体" w:eastAsia="宋体" w:cs="宋体"/>
          <w:color w:val="auto"/>
          <w:sz w:val="24"/>
          <w:szCs w:val="24"/>
        </w:rPr>
      </w:pPr>
      <w:r>
        <w:rPr>
          <w:rFonts w:hint="eastAsia" w:ascii="宋体" w:hAnsi="宋体" w:eastAsia="宋体" w:cs="宋体"/>
          <w:color w:val="auto"/>
          <w:sz w:val="24"/>
          <w:szCs w:val="24"/>
        </w:rPr>
        <w:t>2.投标人未提供的，评审时不视为中小企业。</w:t>
      </w:r>
    </w:p>
    <w:p w14:paraId="4A9946DB">
      <w:pPr>
        <w:adjustRightInd w:val="0"/>
        <w:snapToGrid w:val="0"/>
        <w:spacing w:line="360" w:lineRule="auto"/>
        <w:ind w:firstLine="525"/>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b/>
          <w:bCs/>
          <w:color w:val="auto"/>
          <w:sz w:val="24"/>
          <w:szCs w:val="24"/>
        </w:rPr>
        <w:t>如实填写，不符合条件的投标人无需填写。如果出现虚假应标，由此产生的后果由投标人自行负责。</w:t>
      </w:r>
    </w:p>
    <w:p w14:paraId="20333825">
      <w:pPr>
        <w:pStyle w:val="27"/>
        <w:ind w:firstLine="240"/>
        <w:rPr>
          <w:rFonts w:hint="eastAsia" w:ascii="宋体" w:hAnsi="宋体" w:eastAsia="宋体" w:cs="宋体"/>
          <w:color w:val="auto"/>
          <w:sz w:val="24"/>
        </w:rPr>
      </w:pPr>
    </w:p>
    <w:p w14:paraId="4DDFC50C">
      <w:pPr>
        <w:spacing w:line="360" w:lineRule="auto"/>
        <w:rPr>
          <w:rFonts w:hint="eastAsia" w:ascii="宋体" w:hAnsi="宋体" w:eastAsia="宋体" w:cs="宋体"/>
          <w:color w:val="auto"/>
          <w:sz w:val="24"/>
          <w:szCs w:val="24"/>
        </w:rPr>
      </w:pPr>
    </w:p>
    <w:p w14:paraId="0FCCD79D">
      <w:pPr>
        <w:pStyle w:val="28"/>
        <w:tabs>
          <w:tab w:val="left" w:pos="4900"/>
        </w:tabs>
        <w:spacing w:before="156" w:after="156"/>
        <w:ind w:firstLine="0" w:firstLineChars="0"/>
        <w:rPr>
          <w:rFonts w:hint="eastAsia" w:ascii="宋体" w:hAnsi="宋体" w:eastAsia="宋体" w:cs="宋体"/>
          <w:color w:val="auto"/>
          <w:sz w:val="24"/>
        </w:rPr>
      </w:pPr>
    </w:p>
    <w:p w14:paraId="728D5441">
      <w:pPr>
        <w:pStyle w:val="28"/>
        <w:tabs>
          <w:tab w:val="left" w:pos="4900"/>
        </w:tabs>
        <w:spacing w:before="156" w:after="156"/>
        <w:ind w:firstLine="0" w:firstLineChars="0"/>
        <w:rPr>
          <w:rFonts w:hint="eastAsia" w:ascii="宋体" w:hAnsi="宋体" w:eastAsia="宋体" w:cs="宋体"/>
          <w:color w:val="auto"/>
          <w:sz w:val="24"/>
        </w:rPr>
      </w:pPr>
    </w:p>
    <w:p w14:paraId="5BBD05CD">
      <w:pPr>
        <w:pStyle w:val="28"/>
        <w:tabs>
          <w:tab w:val="left" w:pos="4900"/>
        </w:tabs>
        <w:spacing w:before="156" w:after="156"/>
        <w:ind w:firstLine="0" w:firstLineChars="0"/>
        <w:rPr>
          <w:rFonts w:hint="eastAsia" w:ascii="宋体" w:hAnsi="宋体" w:eastAsia="宋体" w:cs="宋体"/>
          <w:color w:val="auto"/>
          <w:sz w:val="24"/>
        </w:rPr>
      </w:pPr>
    </w:p>
    <w:p w14:paraId="05B0A2BE">
      <w:pPr>
        <w:pStyle w:val="28"/>
        <w:tabs>
          <w:tab w:val="left" w:pos="4900"/>
        </w:tabs>
        <w:spacing w:before="156" w:after="156"/>
        <w:ind w:firstLine="0" w:firstLineChars="0"/>
        <w:rPr>
          <w:rFonts w:hint="eastAsia" w:ascii="宋体" w:hAnsi="宋体" w:eastAsia="宋体" w:cs="宋体"/>
          <w:color w:val="auto"/>
          <w:sz w:val="24"/>
        </w:rPr>
      </w:pPr>
    </w:p>
    <w:p w14:paraId="25BBABF5">
      <w:pPr>
        <w:pStyle w:val="28"/>
        <w:tabs>
          <w:tab w:val="left" w:pos="4900"/>
        </w:tabs>
        <w:spacing w:before="156" w:after="156"/>
        <w:ind w:firstLine="0" w:firstLineChars="0"/>
        <w:rPr>
          <w:rFonts w:hint="eastAsia" w:ascii="宋体" w:hAnsi="宋体" w:eastAsia="宋体" w:cs="宋体"/>
          <w:color w:val="auto"/>
          <w:sz w:val="24"/>
        </w:rPr>
      </w:pPr>
    </w:p>
    <w:p w14:paraId="672C2933">
      <w:pPr>
        <w:pStyle w:val="28"/>
        <w:tabs>
          <w:tab w:val="left" w:pos="4900"/>
        </w:tabs>
        <w:spacing w:before="156" w:after="156"/>
        <w:ind w:firstLine="0" w:firstLineChars="0"/>
        <w:rPr>
          <w:rFonts w:hint="eastAsia" w:ascii="宋体" w:hAnsi="宋体" w:eastAsia="宋体" w:cs="宋体"/>
          <w:color w:val="auto"/>
          <w:sz w:val="24"/>
        </w:rPr>
      </w:pPr>
    </w:p>
    <w:p w14:paraId="305810FA">
      <w:pPr>
        <w:pStyle w:val="28"/>
        <w:tabs>
          <w:tab w:val="left" w:pos="4900"/>
        </w:tabs>
        <w:spacing w:before="156" w:after="156"/>
        <w:ind w:firstLine="0" w:firstLineChars="0"/>
        <w:rPr>
          <w:rFonts w:hint="eastAsia" w:ascii="宋体" w:hAnsi="宋体" w:eastAsia="宋体" w:cs="宋体"/>
          <w:color w:val="auto"/>
          <w:sz w:val="24"/>
        </w:rPr>
      </w:pPr>
    </w:p>
    <w:p w14:paraId="1DB1A8C5">
      <w:pPr>
        <w:pStyle w:val="28"/>
        <w:tabs>
          <w:tab w:val="left" w:pos="4900"/>
        </w:tabs>
        <w:spacing w:before="156" w:after="156"/>
        <w:ind w:firstLine="0" w:firstLineChars="0"/>
        <w:rPr>
          <w:rFonts w:hint="eastAsia" w:ascii="宋体" w:hAnsi="宋体" w:eastAsia="宋体" w:cs="宋体"/>
          <w:color w:val="auto"/>
          <w:sz w:val="24"/>
        </w:rPr>
      </w:pPr>
    </w:p>
    <w:p w14:paraId="047624FF">
      <w:pPr>
        <w:pStyle w:val="28"/>
        <w:tabs>
          <w:tab w:val="left" w:pos="4900"/>
        </w:tabs>
        <w:spacing w:before="156" w:after="156"/>
        <w:ind w:firstLine="0" w:firstLineChars="0"/>
        <w:rPr>
          <w:rFonts w:hint="eastAsia" w:ascii="宋体" w:hAnsi="宋体" w:eastAsia="宋体" w:cs="宋体"/>
          <w:color w:val="auto"/>
          <w:sz w:val="24"/>
        </w:rPr>
      </w:pPr>
    </w:p>
    <w:p w14:paraId="1DA63B6A">
      <w:pPr>
        <w:pStyle w:val="28"/>
        <w:tabs>
          <w:tab w:val="left" w:pos="4900"/>
        </w:tabs>
        <w:spacing w:before="156" w:after="156"/>
        <w:ind w:firstLine="0" w:firstLineChars="0"/>
        <w:rPr>
          <w:rFonts w:hint="eastAsia" w:ascii="宋体" w:hAnsi="宋体" w:eastAsia="宋体" w:cs="宋体"/>
          <w:color w:val="auto"/>
          <w:sz w:val="24"/>
        </w:rPr>
      </w:pPr>
    </w:p>
    <w:p w14:paraId="411CB1B6">
      <w:pPr>
        <w:pStyle w:val="28"/>
        <w:tabs>
          <w:tab w:val="left" w:pos="4900"/>
        </w:tabs>
        <w:spacing w:before="156" w:after="156"/>
        <w:ind w:firstLine="0" w:firstLineChars="0"/>
        <w:rPr>
          <w:rFonts w:hint="eastAsia" w:ascii="宋体" w:hAnsi="宋体" w:eastAsia="宋体" w:cs="宋体"/>
          <w:color w:val="auto"/>
          <w:sz w:val="24"/>
        </w:rPr>
      </w:pPr>
    </w:p>
    <w:p w14:paraId="229682CD">
      <w:pPr>
        <w:rPr>
          <w:rFonts w:hint="eastAsia" w:ascii="宋体" w:hAnsi="宋体" w:eastAsia="宋体" w:cs="宋体"/>
          <w:color w:val="auto"/>
        </w:rPr>
      </w:pPr>
    </w:p>
    <w:p w14:paraId="20534A18">
      <w:pPr>
        <w:pStyle w:val="28"/>
        <w:tabs>
          <w:tab w:val="left" w:pos="4900"/>
        </w:tabs>
        <w:spacing w:before="156" w:after="156"/>
        <w:ind w:firstLine="0" w:firstLineChars="0"/>
        <w:rPr>
          <w:rFonts w:hint="eastAsia" w:ascii="宋体" w:hAnsi="宋体" w:eastAsia="宋体" w:cs="宋体"/>
          <w:color w:val="auto"/>
          <w:sz w:val="24"/>
        </w:rPr>
      </w:pPr>
    </w:p>
    <w:p w14:paraId="5CEEF474">
      <w:pPr>
        <w:pStyle w:val="3"/>
        <w:jc w:val="center"/>
        <w:rPr>
          <w:rFonts w:hint="eastAsia" w:ascii="宋体" w:hAnsi="宋体" w:eastAsia="宋体" w:cs="宋体"/>
          <w:color w:val="auto"/>
        </w:rPr>
      </w:pPr>
      <w:bookmarkStart w:id="61" w:name="_Toc2669"/>
      <w:bookmarkStart w:id="62" w:name="_Toc31927"/>
      <w:r>
        <w:rPr>
          <w:rFonts w:hint="eastAsia" w:ascii="宋体" w:hAnsi="宋体" w:eastAsia="宋体" w:cs="宋体"/>
          <w:color w:val="auto"/>
        </w:rPr>
        <w:t>“节能产品”，“环境标志产品”证明材料（若有）</w:t>
      </w:r>
      <w:bookmarkEnd w:id="61"/>
      <w:bookmarkEnd w:id="62"/>
    </w:p>
    <w:p w14:paraId="4C523084">
      <w:pPr>
        <w:widowControl/>
        <w:spacing w:before="156" w:after="156"/>
        <w:ind w:left="6" w:firstLine="504"/>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说明：</w:t>
      </w:r>
    </w:p>
    <w:p w14:paraId="40419698">
      <w:pPr>
        <w:widowControl/>
        <w:spacing w:before="156" w:after="156"/>
        <w:ind w:left="6" w:firstLine="504"/>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供应商提供的产品属于下列情形，应按照磋商文件规定提供产品列入“节能产品”，“环境标志产品”所在页的复印件（该页包含制造商或企业名称或申请单位名称、规格型号、有效期截止日期等内容），并加盖供应商单位章。</w:t>
      </w:r>
    </w:p>
    <w:p w14:paraId="5D71FEEC">
      <w:pPr>
        <w:widowControl/>
        <w:numPr>
          <w:ilvl w:val="0"/>
          <w:numId w:val="5"/>
        </w:numPr>
        <w:spacing w:before="156" w:after="156"/>
        <w:ind w:left="6" w:firstLine="504"/>
        <w:rPr>
          <w:rFonts w:hint="eastAsia" w:ascii="宋体" w:hAnsi="宋体" w:eastAsia="宋体" w:cs="宋体"/>
          <w:color w:val="auto"/>
          <w:sz w:val="24"/>
          <w:szCs w:val="24"/>
        </w:rPr>
      </w:pPr>
      <w:r>
        <w:rPr>
          <w:rFonts w:hint="eastAsia" w:ascii="宋体" w:hAnsi="宋体" w:eastAsia="宋体" w:cs="宋体"/>
          <w:color w:val="auto"/>
          <w:spacing w:val="6"/>
          <w:sz w:val="24"/>
          <w:szCs w:val="24"/>
        </w:rPr>
        <w:t>符合政府采购强制采购政策的</w:t>
      </w:r>
      <w:r>
        <w:rPr>
          <w:rFonts w:hint="eastAsia" w:ascii="宋体" w:hAnsi="宋体" w:eastAsia="宋体" w:cs="宋体"/>
          <w:color w:val="auto"/>
          <w:sz w:val="24"/>
          <w:szCs w:val="24"/>
        </w:rPr>
        <w:t>财政部、环境保护部发布的《节能产品政府采购品目清单》中标记的“强制采购节能产品”。</w:t>
      </w:r>
    </w:p>
    <w:p w14:paraId="30E20E59">
      <w:pPr>
        <w:widowControl/>
        <w:numPr>
          <w:ilvl w:val="0"/>
          <w:numId w:val="5"/>
        </w:numPr>
        <w:spacing w:before="156" w:after="156"/>
        <w:ind w:left="6" w:firstLine="504"/>
        <w:rPr>
          <w:rFonts w:hint="eastAsia" w:ascii="宋体" w:hAnsi="宋体" w:eastAsia="宋体" w:cs="宋体"/>
          <w:color w:val="auto"/>
          <w:sz w:val="24"/>
          <w:szCs w:val="24"/>
        </w:rPr>
      </w:pPr>
      <w:r>
        <w:rPr>
          <w:rFonts w:hint="eastAsia" w:ascii="宋体" w:hAnsi="宋体" w:eastAsia="宋体" w:cs="宋体"/>
          <w:color w:val="auto"/>
          <w:spacing w:val="6"/>
          <w:sz w:val="24"/>
          <w:szCs w:val="24"/>
        </w:rPr>
        <w:t>符合政府采购强制采购政策的</w:t>
      </w:r>
      <w:r>
        <w:rPr>
          <w:rFonts w:hint="eastAsia" w:ascii="宋体" w:hAnsi="宋体" w:eastAsia="宋体" w:cs="宋体"/>
          <w:color w:val="auto"/>
          <w:sz w:val="24"/>
          <w:szCs w:val="24"/>
        </w:rPr>
        <w:t>财政部、环境保护部发布的《环境标志产品政府采购品目清单》中标记的的“环境标志产品”。</w:t>
      </w:r>
    </w:p>
    <w:p w14:paraId="619F5642">
      <w:pPr>
        <w:widowControl/>
        <w:spacing w:before="156" w:after="156"/>
        <w:ind w:left="6" w:firstLine="480"/>
        <w:rPr>
          <w:rFonts w:hint="eastAsia" w:ascii="宋体" w:hAnsi="宋体" w:eastAsia="宋体" w:cs="宋体"/>
          <w:color w:val="auto"/>
          <w:sz w:val="24"/>
          <w:szCs w:val="24"/>
        </w:rPr>
      </w:pPr>
      <w:r>
        <w:rPr>
          <w:rFonts w:hint="eastAsia" w:ascii="宋体" w:hAnsi="宋体" w:eastAsia="宋体" w:cs="宋体"/>
          <w:color w:val="auto"/>
          <w:sz w:val="24"/>
          <w:szCs w:val="24"/>
        </w:rPr>
        <w:t>2、未按照上述要求提供的，评审时不予以考虑。</w:t>
      </w:r>
    </w:p>
    <w:p w14:paraId="43D4B76E">
      <w:pPr>
        <w:pStyle w:val="28"/>
        <w:tabs>
          <w:tab w:val="left" w:pos="4900"/>
        </w:tabs>
        <w:spacing w:before="156" w:after="156"/>
        <w:ind w:firstLine="0" w:firstLineChars="0"/>
        <w:rPr>
          <w:rFonts w:hint="eastAsia" w:ascii="宋体" w:hAnsi="宋体" w:eastAsia="宋体" w:cs="宋体"/>
          <w:color w:val="auto"/>
          <w:sz w:val="24"/>
        </w:rPr>
      </w:pPr>
    </w:p>
    <w:p w14:paraId="1C2E4716">
      <w:pPr>
        <w:pStyle w:val="10"/>
        <w:rPr>
          <w:rFonts w:hint="eastAsia" w:ascii="宋体" w:hAnsi="宋体" w:eastAsia="宋体" w:cs="宋体"/>
          <w:color w:val="auto"/>
        </w:rPr>
      </w:pPr>
    </w:p>
    <w:p w14:paraId="3CD6AF13">
      <w:pPr>
        <w:pStyle w:val="10"/>
        <w:spacing w:before="1"/>
        <w:rPr>
          <w:rFonts w:hint="eastAsia" w:ascii="宋体" w:hAnsi="宋体" w:eastAsia="宋体" w:cs="宋体"/>
          <w:color w:val="auto"/>
          <w:sz w:val="32"/>
        </w:rPr>
      </w:pPr>
    </w:p>
    <w:p w14:paraId="27E0390E">
      <w:pPr>
        <w:ind w:left="1220"/>
        <w:jc w:val="left"/>
        <w:rPr>
          <w:rFonts w:hint="eastAsia" w:ascii="宋体" w:hAnsi="宋体" w:eastAsia="宋体" w:cs="宋体"/>
          <w:b/>
          <w:color w:val="auto"/>
        </w:rPr>
      </w:pPr>
      <w:r>
        <w:rPr>
          <w:rFonts w:hint="eastAsia" w:ascii="宋体" w:hAnsi="宋体" w:eastAsia="宋体" w:cs="宋体"/>
          <w:b/>
          <w:color w:val="auto"/>
        </w:rPr>
        <w:t>说明：</w:t>
      </w:r>
    </w:p>
    <w:p w14:paraId="04DC0ACC">
      <w:pPr>
        <w:pStyle w:val="10"/>
        <w:spacing w:before="6"/>
        <w:rPr>
          <w:rFonts w:hint="eastAsia" w:ascii="宋体" w:hAnsi="宋体" w:eastAsia="宋体" w:cs="宋体"/>
          <w:b/>
          <w:color w:val="auto"/>
          <w:sz w:val="18"/>
        </w:rPr>
      </w:pPr>
    </w:p>
    <w:p w14:paraId="6E575EAE">
      <w:pPr>
        <w:spacing w:before="1"/>
        <w:ind w:left="1640"/>
        <w:jc w:val="left"/>
        <w:rPr>
          <w:rFonts w:hint="eastAsia" w:ascii="宋体" w:hAnsi="宋体" w:eastAsia="宋体" w:cs="宋体"/>
          <w:b/>
          <w:color w:val="auto"/>
        </w:rPr>
      </w:pPr>
      <w:r>
        <w:rPr>
          <w:rFonts w:hint="eastAsia" w:ascii="宋体" w:hAnsi="宋体" w:eastAsia="宋体" w:cs="宋体"/>
          <w:b/>
          <w:color w:val="auto"/>
        </w:rPr>
        <w:t>1.如不是该类企业则不需提供证明文件（可删除此页）。</w:t>
      </w:r>
    </w:p>
    <w:p w14:paraId="3562C2FE">
      <w:pPr>
        <w:pStyle w:val="4"/>
        <w:spacing w:before="139" w:line="500" w:lineRule="exact"/>
        <w:ind w:left="80"/>
        <w:rPr>
          <w:rFonts w:hint="eastAsia" w:ascii="宋体" w:hAnsi="宋体" w:eastAsia="宋体" w:cs="宋体"/>
          <w:color w:val="auto"/>
        </w:rPr>
      </w:pPr>
    </w:p>
    <w:p w14:paraId="5EA0FE87">
      <w:pPr>
        <w:pStyle w:val="40"/>
        <w:ind w:firstLine="480"/>
        <w:rPr>
          <w:rFonts w:hint="eastAsia" w:ascii="宋体" w:hAnsi="宋体" w:eastAsia="宋体" w:cs="宋体"/>
          <w:color w:val="auto"/>
        </w:rPr>
      </w:pPr>
      <w:bookmarkStart w:id="63" w:name="_GoBack"/>
      <w:bookmarkEnd w:id="63"/>
    </w:p>
    <w:sectPr>
      <w:headerReference r:id="rId8" w:type="default"/>
      <w:footerReference r:id="rId9"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CEF6587-9E32-4D61-BB46-9F9032E8D48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embedRegular r:id="rId2" w:fontKey="{91E22299-ADD5-4AB3-9B5C-8BD0A052BAA8}"/>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3" w:fontKey="{5525ED54-8DF1-4389-A353-968BEEC7880A}"/>
  </w:font>
  <w:font w:name="仿宋">
    <w:panose1 w:val="02010609060101010101"/>
    <w:charset w:val="86"/>
    <w:family w:val="modern"/>
    <w:pitch w:val="default"/>
    <w:sig w:usb0="800002BF" w:usb1="38CF7CFA" w:usb2="00000016" w:usb3="00000000" w:csb0="00040001" w:csb1="00000000"/>
    <w:embedRegular r:id="rId4" w:fontKey="{118F4477-E796-4589-A54F-D9028EEBC344}"/>
  </w:font>
  <w:font w:name="华文仿宋">
    <w:altName w:val="仿宋"/>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Segoe UI">
    <w:panose1 w:val="020B0502040204020203"/>
    <w:charset w:val="00"/>
    <w:family w:val="auto"/>
    <w:pitch w:val="default"/>
    <w:sig w:usb0="E10022FF" w:usb1="C000E47F" w:usb2="00000029" w:usb3="00000000" w:csb0="200001DF" w:csb1="20000000"/>
    <w:embedRegular r:id="rId5" w:fontKey="{61173612-C33A-4DE4-B661-65943B7D29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3E330">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B6F24">
                          <w:pPr>
                            <w:pStyle w:val="1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0C9B6F24">
                    <w:pPr>
                      <w:pStyle w:val="1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3D902">
    <w:pPr>
      <w:pStyle w:val="17"/>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4AEAC">
    <w:pPr>
      <w:spacing w:line="230" w:lineRule="auto"/>
      <w:ind w:left="3731"/>
      <w:rPr>
        <w:rFonts w:ascii="宋体" w:hAnsi="宋体" w:eastAsia="宋体" w:cs="宋体"/>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1FE92">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2D90B">
    <w:pPr>
      <w:pStyle w:val="18"/>
    </w:pPr>
    <w:r>
      <w:drawing>
        <wp:inline distT="0" distB="0" distL="0" distR="0">
          <wp:extent cx="2305050" cy="295275"/>
          <wp:effectExtent l="0" t="0" r="0" b="0"/>
          <wp:docPr id="8" name="图片 2" descr="logo+中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logo+中英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05050"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6FD8F">
    <w:pPr>
      <w:pStyle w:val="18"/>
      <w:pBdr>
        <w:bottom w:val="none" w:color="auto" w:sz="0" w:space="1"/>
      </w:pBdr>
      <w:jc w:val="center"/>
      <w:rPr>
        <w:rFonts w:hint="eastAsia" w:eastAsia="宋体"/>
        <w:lang w:val="en-US" w:eastAsia="zh-CN"/>
      </w:rPr>
    </w:pPr>
    <w:r>
      <w:rPr>
        <w:rFonts w:hint="eastAsia"/>
        <w:lang w:val="en-US"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9336E">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DA41B"/>
    <w:multiLevelType w:val="singleLevel"/>
    <w:tmpl w:val="941DA41B"/>
    <w:lvl w:ilvl="0" w:tentative="0">
      <w:start w:val="5"/>
      <w:numFmt w:val="decimal"/>
      <w:suff w:val="nothing"/>
      <w:lvlText w:val="%1、"/>
      <w:lvlJc w:val="left"/>
    </w:lvl>
  </w:abstractNum>
  <w:abstractNum w:abstractNumId="1">
    <w:nsid w:val="FBA64357"/>
    <w:multiLevelType w:val="singleLevel"/>
    <w:tmpl w:val="FBA64357"/>
    <w:lvl w:ilvl="0" w:tentative="0">
      <w:start w:val="1"/>
      <w:numFmt w:val="decimal"/>
      <w:lvlText w:val="%1."/>
      <w:lvlJc w:val="left"/>
      <w:pPr>
        <w:tabs>
          <w:tab w:val="left" w:pos="312"/>
        </w:tabs>
      </w:pPr>
    </w:lvl>
  </w:abstractNum>
  <w:abstractNum w:abstractNumId="2">
    <w:nsid w:val="1BD51BCC"/>
    <w:multiLevelType w:val="singleLevel"/>
    <w:tmpl w:val="1BD51BCC"/>
    <w:lvl w:ilvl="0" w:tentative="0">
      <w:start w:val="1"/>
      <w:numFmt w:val="decimal"/>
      <w:suff w:val="nothing"/>
      <w:lvlText w:val="%1、"/>
      <w:lvlJc w:val="left"/>
    </w:lvl>
  </w:abstractNum>
  <w:abstractNum w:abstractNumId="3">
    <w:nsid w:val="58E5EC48"/>
    <w:multiLevelType w:val="singleLevel"/>
    <w:tmpl w:val="58E5EC48"/>
    <w:lvl w:ilvl="0" w:tentative="0">
      <w:start w:val="1"/>
      <w:numFmt w:val="decimal"/>
      <w:suff w:val="nothing"/>
      <w:lvlText w:val="（%1）"/>
      <w:lvlJc w:val="left"/>
    </w:lvl>
  </w:abstractNum>
  <w:abstractNum w:abstractNumId="4">
    <w:nsid w:val="65746407"/>
    <w:multiLevelType w:val="singleLevel"/>
    <w:tmpl w:val="65746407"/>
    <w:lvl w:ilvl="0" w:tentative="0">
      <w:start w:val="7"/>
      <w:numFmt w:val="chineseCounting"/>
      <w:suff w:val="nothing"/>
      <w:lvlText w:val="%1、"/>
      <w:lvlJc w:val="left"/>
      <w:rPr>
        <w:rFonts w:hint="eastAsi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TrueTypeFonts/>
  <w:saveSubsetFonts/>
  <w:bordersDoNotSurroundHeader w:val="0"/>
  <w:bordersDoNotSurroundFooter w:val="0"/>
  <w:documentProtection w:enforcement="0"/>
  <w:defaultTabStop w:val="420"/>
  <w:drawingGridHorizontalSpacing w:val="213"/>
  <w:drawingGridVerticalSpacing w:val="381"/>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YjY5NjliZjg1MDVlN2RmNGZmODFjYjU5M2ViNmQifQ=="/>
  </w:docVars>
  <w:rsids>
    <w:rsidRoot w:val="0047139F"/>
    <w:rsid w:val="00016068"/>
    <w:rsid w:val="000E38CA"/>
    <w:rsid w:val="002B52DA"/>
    <w:rsid w:val="003B1EAD"/>
    <w:rsid w:val="003E6A07"/>
    <w:rsid w:val="0047139F"/>
    <w:rsid w:val="004A10FD"/>
    <w:rsid w:val="00503777"/>
    <w:rsid w:val="005C4D2F"/>
    <w:rsid w:val="006066AC"/>
    <w:rsid w:val="006B7733"/>
    <w:rsid w:val="0073319C"/>
    <w:rsid w:val="00744D99"/>
    <w:rsid w:val="0079679C"/>
    <w:rsid w:val="007B0AAF"/>
    <w:rsid w:val="007C0DBE"/>
    <w:rsid w:val="008C061F"/>
    <w:rsid w:val="00904255"/>
    <w:rsid w:val="00BD0A4C"/>
    <w:rsid w:val="00BF6F24"/>
    <w:rsid w:val="00C513E0"/>
    <w:rsid w:val="00D0591D"/>
    <w:rsid w:val="00D1336F"/>
    <w:rsid w:val="00DE219A"/>
    <w:rsid w:val="00F0025B"/>
    <w:rsid w:val="00F37A60"/>
    <w:rsid w:val="00F74379"/>
    <w:rsid w:val="00F90118"/>
    <w:rsid w:val="00FD0915"/>
    <w:rsid w:val="00FF2F22"/>
    <w:rsid w:val="0168700A"/>
    <w:rsid w:val="017A2FAC"/>
    <w:rsid w:val="01974634"/>
    <w:rsid w:val="02A91D81"/>
    <w:rsid w:val="038E69B0"/>
    <w:rsid w:val="0430665F"/>
    <w:rsid w:val="044A1AD1"/>
    <w:rsid w:val="05A136AA"/>
    <w:rsid w:val="05E530D0"/>
    <w:rsid w:val="061D3ABF"/>
    <w:rsid w:val="06BC075E"/>
    <w:rsid w:val="07287718"/>
    <w:rsid w:val="091A3C28"/>
    <w:rsid w:val="094567AA"/>
    <w:rsid w:val="0A8E13AC"/>
    <w:rsid w:val="0AC1533C"/>
    <w:rsid w:val="0B1D6200"/>
    <w:rsid w:val="0CC87543"/>
    <w:rsid w:val="0D7D4536"/>
    <w:rsid w:val="0D8A2712"/>
    <w:rsid w:val="0DEE3746"/>
    <w:rsid w:val="0F3B29CB"/>
    <w:rsid w:val="0F8E6586"/>
    <w:rsid w:val="0FA43FFC"/>
    <w:rsid w:val="0FDD270D"/>
    <w:rsid w:val="102F546A"/>
    <w:rsid w:val="10DB0369"/>
    <w:rsid w:val="10E548CC"/>
    <w:rsid w:val="12CE0B60"/>
    <w:rsid w:val="141216DC"/>
    <w:rsid w:val="186B7A59"/>
    <w:rsid w:val="18F227E1"/>
    <w:rsid w:val="19684765"/>
    <w:rsid w:val="19707FF0"/>
    <w:rsid w:val="1B10685E"/>
    <w:rsid w:val="1C951971"/>
    <w:rsid w:val="1F132604"/>
    <w:rsid w:val="20601879"/>
    <w:rsid w:val="207277FE"/>
    <w:rsid w:val="226C3F91"/>
    <w:rsid w:val="22BD6367"/>
    <w:rsid w:val="234748C0"/>
    <w:rsid w:val="23510E84"/>
    <w:rsid w:val="24D334FA"/>
    <w:rsid w:val="277A4FC7"/>
    <w:rsid w:val="286751A4"/>
    <w:rsid w:val="29BB50A4"/>
    <w:rsid w:val="2A0D4F35"/>
    <w:rsid w:val="2C82701B"/>
    <w:rsid w:val="2CD258AD"/>
    <w:rsid w:val="2FAA2B11"/>
    <w:rsid w:val="30C15C2C"/>
    <w:rsid w:val="331F0A77"/>
    <w:rsid w:val="33BD118A"/>
    <w:rsid w:val="34C46423"/>
    <w:rsid w:val="3810197F"/>
    <w:rsid w:val="3AA7374B"/>
    <w:rsid w:val="3BCF11B0"/>
    <w:rsid w:val="3D360816"/>
    <w:rsid w:val="3DA07301"/>
    <w:rsid w:val="3E732CB5"/>
    <w:rsid w:val="3F3E58E4"/>
    <w:rsid w:val="3FCF61B9"/>
    <w:rsid w:val="401A30F6"/>
    <w:rsid w:val="41856926"/>
    <w:rsid w:val="433C67DE"/>
    <w:rsid w:val="43F55088"/>
    <w:rsid w:val="442E5C38"/>
    <w:rsid w:val="460A5119"/>
    <w:rsid w:val="465B3FCD"/>
    <w:rsid w:val="47360BCB"/>
    <w:rsid w:val="4924528A"/>
    <w:rsid w:val="49AD7F11"/>
    <w:rsid w:val="4AA545F6"/>
    <w:rsid w:val="4B273941"/>
    <w:rsid w:val="4B55511D"/>
    <w:rsid w:val="4B904FE8"/>
    <w:rsid w:val="4C1F5AA4"/>
    <w:rsid w:val="4C3F58A7"/>
    <w:rsid w:val="4EE760DA"/>
    <w:rsid w:val="4FD001C7"/>
    <w:rsid w:val="509146D2"/>
    <w:rsid w:val="50BB64D4"/>
    <w:rsid w:val="50F17C87"/>
    <w:rsid w:val="51985C29"/>
    <w:rsid w:val="540C5299"/>
    <w:rsid w:val="542B571F"/>
    <w:rsid w:val="54B82337"/>
    <w:rsid w:val="56A456C1"/>
    <w:rsid w:val="571A1A7B"/>
    <w:rsid w:val="57260BF7"/>
    <w:rsid w:val="58873F8A"/>
    <w:rsid w:val="590D39B1"/>
    <w:rsid w:val="5A766BC1"/>
    <w:rsid w:val="5BEF3CD6"/>
    <w:rsid w:val="5C5A2111"/>
    <w:rsid w:val="5DED4AC4"/>
    <w:rsid w:val="5F0B4ACB"/>
    <w:rsid w:val="5F3C2ED6"/>
    <w:rsid w:val="61286145"/>
    <w:rsid w:val="62886AAD"/>
    <w:rsid w:val="6294393B"/>
    <w:rsid w:val="639F3BDC"/>
    <w:rsid w:val="645323E8"/>
    <w:rsid w:val="68B83031"/>
    <w:rsid w:val="69D97BBF"/>
    <w:rsid w:val="6B2C7864"/>
    <w:rsid w:val="6B6F6707"/>
    <w:rsid w:val="6BA918F3"/>
    <w:rsid w:val="6C525B50"/>
    <w:rsid w:val="6E03038A"/>
    <w:rsid w:val="72096D5D"/>
    <w:rsid w:val="72246F2B"/>
    <w:rsid w:val="728D0A61"/>
    <w:rsid w:val="72CE7E91"/>
    <w:rsid w:val="732775A1"/>
    <w:rsid w:val="73A6496A"/>
    <w:rsid w:val="757A1C0A"/>
    <w:rsid w:val="76091BAC"/>
    <w:rsid w:val="765F2A4E"/>
    <w:rsid w:val="781520BE"/>
    <w:rsid w:val="78941235"/>
    <w:rsid w:val="7A1055E1"/>
    <w:rsid w:val="7A9063E8"/>
    <w:rsid w:val="7CAF663E"/>
    <w:rsid w:val="FBAB787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uiPriority="9" w:name="heading 5"/>
    <w:lsdException w:qFormat="1" w:unhideWhenUsed="0" w:uiPriority="99"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44"/>
    <w:autoRedefine/>
    <w:qFormat/>
    <w:uiPriority w:val="0"/>
    <w:pPr>
      <w:spacing w:beforeAutospacing="1" w:afterAutospacing="1"/>
      <w:jc w:val="left"/>
      <w:outlineLvl w:val="0"/>
    </w:pPr>
    <w:rPr>
      <w:rFonts w:hint="eastAsia" w:ascii="宋体" w:hAnsi="宋体" w:eastAsia="宋体"/>
      <w:b/>
      <w:bCs/>
      <w:kern w:val="44"/>
      <w:sz w:val="48"/>
      <w:szCs w:val="48"/>
    </w:rPr>
  </w:style>
  <w:style w:type="paragraph" w:styleId="3">
    <w:name w:val="heading 2"/>
    <w:basedOn w:val="1"/>
    <w:next w:val="1"/>
    <w:link w:val="45"/>
    <w:autoRedefine/>
    <w:qFormat/>
    <w:uiPriority w:val="0"/>
    <w:pPr>
      <w:keepNext/>
      <w:keepLines/>
      <w:spacing w:line="360" w:lineRule="auto"/>
      <w:ind w:right="616"/>
      <w:outlineLvl w:val="1"/>
    </w:pPr>
    <w:rPr>
      <w:rFonts w:ascii="Arial" w:hAnsi="Arial" w:eastAsia="宋体"/>
      <w:b/>
      <w:bCs/>
      <w:sz w:val="24"/>
      <w:szCs w:val="24"/>
    </w:rPr>
  </w:style>
  <w:style w:type="paragraph" w:styleId="4">
    <w:name w:val="heading 3"/>
    <w:basedOn w:val="1"/>
    <w:next w:val="1"/>
    <w:link w:val="46"/>
    <w:autoRedefine/>
    <w:qFormat/>
    <w:uiPriority w:val="99"/>
    <w:pPr>
      <w:tabs>
        <w:tab w:val="left" w:pos="588"/>
      </w:tabs>
      <w:spacing w:line="360" w:lineRule="auto"/>
      <w:outlineLvl w:val="2"/>
    </w:pPr>
    <w:rPr>
      <w:rFonts w:ascii="Tahoma" w:hAnsi="Tahoma" w:eastAsia="宋体"/>
      <w:szCs w:val="24"/>
    </w:rPr>
  </w:style>
  <w:style w:type="paragraph" w:styleId="5">
    <w:name w:val="heading 4"/>
    <w:basedOn w:val="1"/>
    <w:next w:val="1"/>
    <w:link w:val="47"/>
    <w:autoRedefine/>
    <w:qFormat/>
    <w:uiPriority w:val="99"/>
    <w:pPr>
      <w:keepNext/>
      <w:keepLines/>
      <w:adjustRightInd w:val="0"/>
      <w:spacing w:before="280" w:after="290" w:line="376" w:lineRule="atLeast"/>
      <w:textAlignment w:val="baseline"/>
      <w:outlineLvl w:val="3"/>
    </w:pPr>
    <w:rPr>
      <w:rFonts w:ascii="Arial" w:hAnsi="Times New Roman" w:eastAsia="宋体"/>
      <w:b/>
      <w:spacing w:val="20"/>
      <w:kern w:val="0"/>
      <w:sz w:val="20"/>
      <w:szCs w:val="24"/>
    </w:rPr>
  </w:style>
  <w:style w:type="paragraph" w:styleId="6">
    <w:name w:val="heading 6"/>
    <w:basedOn w:val="1"/>
    <w:next w:val="1"/>
    <w:link w:val="48"/>
    <w:autoRedefine/>
    <w:qFormat/>
    <w:uiPriority w:val="99"/>
    <w:pPr>
      <w:keepNext/>
      <w:keepLines/>
      <w:spacing w:before="240" w:after="64" w:line="320" w:lineRule="auto"/>
      <w:outlineLvl w:val="5"/>
    </w:pPr>
    <w:rPr>
      <w:rFonts w:ascii="Calibri Light" w:hAnsi="Calibri Light" w:eastAsia="宋体"/>
      <w:b/>
      <w:bCs/>
      <w:sz w:val="24"/>
      <w:szCs w:val="24"/>
    </w:rPr>
  </w:style>
  <w:style w:type="paragraph" w:styleId="7">
    <w:name w:val="heading 7"/>
    <w:basedOn w:val="1"/>
    <w:next w:val="1"/>
    <w:qFormat/>
    <w:uiPriority w:val="0"/>
    <w:pPr>
      <w:spacing w:before="240" w:after="60"/>
      <w:outlineLvl w:val="6"/>
    </w:pPr>
    <w:rPr>
      <w:sz w:val="24"/>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next w:val="1"/>
    <w:autoRedefine/>
    <w:qFormat/>
    <w:uiPriority w:val="0"/>
    <w:pPr>
      <w:spacing w:line="360" w:lineRule="auto"/>
      <w:ind w:firstLine="200" w:firstLineChars="200"/>
    </w:pPr>
    <w:rPr>
      <w:rFonts w:ascii="Times New Roman" w:hAnsi="Times New Roman" w:eastAsia="宋体"/>
      <w:sz w:val="24"/>
      <w:szCs w:val="20"/>
    </w:rPr>
  </w:style>
  <w:style w:type="paragraph" w:styleId="9">
    <w:name w:val="toa heading"/>
    <w:basedOn w:val="1"/>
    <w:next w:val="1"/>
    <w:autoRedefine/>
    <w:qFormat/>
    <w:uiPriority w:val="0"/>
    <w:pPr>
      <w:spacing w:before="120"/>
    </w:pPr>
    <w:rPr>
      <w:rFonts w:ascii="Arial" w:hAnsi="Arial" w:eastAsia="宋体"/>
      <w:sz w:val="24"/>
      <w:szCs w:val="24"/>
    </w:rPr>
  </w:style>
  <w:style w:type="paragraph" w:styleId="10">
    <w:name w:val="Body Text"/>
    <w:basedOn w:val="1"/>
    <w:link w:val="49"/>
    <w:autoRedefine/>
    <w:qFormat/>
    <w:uiPriority w:val="0"/>
    <w:pPr>
      <w:spacing w:after="120"/>
    </w:pPr>
    <w:rPr>
      <w:rFonts w:ascii="Times New Roman" w:hAnsi="Times New Roman" w:eastAsia="宋体"/>
      <w:szCs w:val="24"/>
    </w:rPr>
  </w:style>
  <w:style w:type="paragraph" w:styleId="11">
    <w:name w:val="Body Text Indent"/>
    <w:basedOn w:val="1"/>
    <w:link w:val="34"/>
    <w:autoRedefine/>
    <w:unhideWhenUsed/>
    <w:qFormat/>
    <w:uiPriority w:val="0"/>
    <w:pPr>
      <w:spacing w:after="120"/>
      <w:ind w:left="420" w:leftChars="200"/>
    </w:pPr>
  </w:style>
  <w:style w:type="paragraph" w:styleId="12">
    <w:name w:val="toc 3"/>
    <w:basedOn w:val="1"/>
    <w:next w:val="1"/>
    <w:autoRedefine/>
    <w:semiHidden/>
    <w:unhideWhenUsed/>
    <w:qFormat/>
    <w:uiPriority w:val="39"/>
    <w:pPr>
      <w:ind w:left="840" w:leftChars="400"/>
    </w:pPr>
  </w:style>
  <w:style w:type="paragraph" w:styleId="13">
    <w:name w:val="Plain Text"/>
    <w:basedOn w:val="1"/>
    <w:link w:val="50"/>
    <w:autoRedefine/>
    <w:qFormat/>
    <w:uiPriority w:val="0"/>
    <w:pPr>
      <w:spacing w:line="360" w:lineRule="auto"/>
    </w:pPr>
    <w:rPr>
      <w:rFonts w:ascii="宋体" w:hAnsi="Courier New" w:eastAsia="宋体"/>
      <w:szCs w:val="21"/>
    </w:rPr>
  </w:style>
  <w:style w:type="paragraph" w:styleId="14">
    <w:name w:val="Date"/>
    <w:basedOn w:val="1"/>
    <w:next w:val="1"/>
    <w:qFormat/>
    <w:uiPriority w:val="0"/>
    <w:rPr>
      <w:rFonts w:ascii="Times New Roman"/>
      <w:kern w:val="2"/>
      <w:sz w:val="28"/>
    </w:rPr>
  </w:style>
  <w:style w:type="paragraph" w:styleId="15">
    <w:name w:val="Body Text Indent 2"/>
    <w:basedOn w:val="1"/>
    <w:link w:val="51"/>
    <w:autoRedefine/>
    <w:qFormat/>
    <w:uiPriority w:val="0"/>
    <w:pPr>
      <w:ind w:firstLine="630"/>
    </w:pPr>
    <w:rPr>
      <w:rFonts w:ascii="Times New Roman" w:hAnsi="Times New Roman" w:eastAsia="宋体"/>
      <w:sz w:val="32"/>
      <w:szCs w:val="20"/>
    </w:rPr>
  </w:style>
  <w:style w:type="paragraph" w:styleId="16">
    <w:name w:val="Balloon Text"/>
    <w:basedOn w:val="1"/>
    <w:link w:val="75"/>
    <w:autoRedefine/>
    <w:semiHidden/>
    <w:unhideWhenUsed/>
    <w:qFormat/>
    <w:uiPriority w:val="99"/>
    <w:rPr>
      <w:sz w:val="18"/>
      <w:szCs w:val="18"/>
    </w:rPr>
  </w:style>
  <w:style w:type="paragraph" w:styleId="17">
    <w:name w:val="footer"/>
    <w:basedOn w:val="1"/>
    <w:link w:val="52"/>
    <w:autoRedefine/>
    <w:unhideWhenUsed/>
    <w:qFormat/>
    <w:uiPriority w:val="99"/>
    <w:pPr>
      <w:tabs>
        <w:tab w:val="center" w:pos="4153"/>
        <w:tab w:val="right" w:pos="8306"/>
      </w:tabs>
      <w:snapToGrid w:val="0"/>
      <w:jc w:val="center"/>
    </w:pPr>
    <w:rPr>
      <w:rFonts w:ascii="Times New Roman" w:hAnsi="Times New Roman" w:eastAsia="宋体"/>
      <w:b/>
      <w:sz w:val="18"/>
      <w:szCs w:val="24"/>
    </w:rPr>
  </w:style>
  <w:style w:type="paragraph" w:styleId="18">
    <w:name w:val="header"/>
    <w:basedOn w:val="1"/>
    <w:link w:val="5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right"/>
    </w:pPr>
    <w:rPr>
      <w:rFonts w:ascii="Times New Roman" w:hAnsi="Times New Roman" w:eastAsia="宋体"/>
      <w:sz w:val="18"/>
      <w:szCs w:val="24"/>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style>
  <w:style w:type="paragraph" w:styleId="21">
    <w:name w:val="footnote text"/>
    <w:basedOn w:val="1"/>
    <w:qFormat/>
    <w:uiPriority w:val="0"/>
    <w:pPr>
      <w:snapToGrid w:val="0"/>
      <w:jc w:val="left"/>
    </w:pPr>
    <w:rPr>
      <w:kern w:val="0"/>
      <w:sz w:val="18"/>
      <w:szCs w:val="20"/>
    </w:rPr>
  </w:style>
  <w:style w:type="paragraph" w:styleId="22">
    <w:name w:val="toc 2"/>
    <w:basedOn w:val="1"/>
    <w:next w:val="1"/>
    <w:autoRedefine/>
    <w:unhideWhenUsed/>
    <w:qFormat/>
    <w:uiPriority w:val="39"/>
    <w:pPr>
      <w:ind w:left="420" w:leftChars="200"/>
    </w:pPr>
  </w:style>
  <w:style w:type="paragraph" w:styleId="23">
    <w:name w:val="Body Text 2"/>
    <w:basedOn w:val="1"/>
    <w:autoRedefine/>
    <w:qFormat/>
    <w:uiPriority w:val="0"/>
    <w:rPr>
      <w:rFonts w:ascii="楷体_GB2312" w:hAnsi="Copperplate Gothic Bold" w:eastAsia="楷体_GB2312"/>
      <w:sz w:val="28"/>
    </w:rPr>
  </w:style>
  <w:style w:type="paragraph" w:styleId="24">
    <w:name w:val="Message Header"/>
    <w:basedOn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rPr>
  </w:style>
  <w:style w:type="paragraph" w:styleId="25">
    <w:name w:val="Normal (Web)"/>
    <w:basedOn w:val="1"/>
    <w:autoRedefine/>
    <w:qFormat/>
    <w:uiPriority w:val="0"/>
    <w:pPr>
      <w:widowControl/>
      <w:spacing w:beforeAutospacing="1" w:afterAutospacing="1"/>
      <w:jc w:val="left"/>
    </w:pPr>
    <w:rPr>
      <w:rFonts w:ascii="宋体" w:hAnsi="宋体" w:eastAsia="宋体" w:cs="宋体"/>
      <w:kern w:val="0"/>
      <w:sz w:val="24"/>
      <w:szCs w:val="24"/>
    </w:rPr>
  </w:style>
  <w:style w:type="paragraph" w:styleId="26">
    <w:name w:val="Title"/>
    <w:basedOn w:val="1"/>
    <w:autoRedefine/>
    <w:qFormat/>
    <w:uiPriority w:val="0"/>
    <w:pPr>
      <w:widowControl/>
      <w:jc w:val="center"/>
    </w:pPr>
    <w:rPr>
      <w:rFonts w:ascii="Tahoma" w:hAnsi="Tahoma"/>
      <w:b/>
      <w:kern w:val="0"/>
      <w:sz w:val="24"/>
    </w:rPr>
  </w:style>
  <w:style w:type="paragraph" w:styleId="27">
    <w:name w:val="Body Text First Indent"/>
    <w:basedOn w:val="10"/>
    <w:autoRedefine/>
    <w:qFormat/>
    <w:uiPriority w:val="0"/>
    <w:pPr>
      <w:ind w:firstLine="420" w:firstLineChars="100"/>
    </w:pPr>
  </w:style>
  <w:style w:type="paragraph" w:styleId="28">
    <w:name w:val="Body Text First Indent 2"/>
    <w:basedOn w:val="11"/>
    <w:link w:val="35"/>
    <w:autoRedefine/>
    <w:unhideWhenUsed/>
    <w:qFormat/>
    <w:uiPriority w:val="0"/>
    <w:pPr>
      <w:spacing w:after="0"/>
      <w:ind w:left="0" w:leftChars="0" w:firstLine="420" w:firstLineChars="200"/>
    </w:pPr>
    <w:rPr>
      <w:rFonts w:ascii="Times New Roman" w:hAnsi="Times New Roman" w:eastAsia="宋体"/>
      <w:sz w:val="32"/>
      <w:szCs w:val="20"/>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0"/>
    <w:rPr>
      <w:b/>
      <w:bCs/>
    </w:rPr>
  </w:style>
  <w:style w:type="character" w:styleId="33">
    <w:name w:val="Hyperlink"/>
    <w:autoRedefine/>
    <w:unhideWhenUsed/>
    <w:qFormat/>
    <w:uiPriority w:val="99"/>
    <w:rPr>
      <w:color w:val="0563C1"/>
      <w:u w:val="single"/>
    </w:rPr>
  </w:style>
  <w:style w:type="character" w:customStyle="1" w:styleId="34">
    <w:name w:val="正文文本缩进 Char"/>
    <w:basedOn w:val="31"/>
    <w:link w:val="11"/>
    <w:autoRedefine/>
    <w:semiHidden/>
    <w:qFormat/>
    <w:uiPriority w:val="99"/>
  </w:style>
  <w:style w:type="character" w:customStyle="1" w:styleId="35">
    <w:name w:val="正文首行缩进 2 Char"/>
    <w:link w:val="28"/>
    <w:autoRedefine/>
    <w:qFormat/>
    <w:uiPriority w:val="0"/>
    <w:rPr>
      <w:rFonts w:ascii="Times New Roman" w:hAnsi="Times New Roman" w:eastAsia="宋体" w:cs="Times New Roman"/>
      <w:sz w:val="32"/>
      <w:szCs w:val="20"/>
    </w:rPr>
  </w:style>
  <w:style w:type="paragraph" w:customStyle="1" w:styleId="3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7">
    <w:name w:val="章 标题"/>
    <w:basedOn w:val="1"/>
    <w:link w:val="39"/>
    <w:autoRedefine/>
    <w:qFormat/>
    <w:uiPriority w:val="0"/>
    <w:pPr>
      <w:spacing w:beforeLines="100" w:afterLines="100"/>
      <w:jc w:val="center"/>
    </w:pPr>
    <w:rPr>
      <w:rFonts w:ascii="Times New Roman" w:hAnsi="Times New Roman" w:eastAsia="华文中宋"/>
      <w:b/>
      <w:sz w:val="32"/>
    </w:rPr>
  </w:style>
  <w:style w:type="paragraph" w:customStyle="1" w:styleId="38">
    <w:name w:val="一级标题"/>
    <w:basedOn w:val="1"/>
    <w:link w:val="41"/>
    <w:autoRedefine/>
    <w:qFormat/>
    <w:uiPriority w:val="0"/>
    <w:pPr>
      <w:spacing w:beforeLines="50" w:afterLines="50"/>
      <w:jc w:val="left"/>
    </w:pPr>
    <w:rPr>
      <w:rFonts w:ascii="Times New Roman" w:hAnsi="Times New Roman" w:eastAsia="宋体"/>
      <w:b/>
      <w:sz w:val="28"/>
    </w:rPr>
  </w:style>
  <w:style w:type="character" w:customStyle="1" w:styleId="39">
    <w:name w:val="章 标题 字符"/>
    <w:link w:val="37"/>
    <w:autoRedefine/>
    <w:qFormat/>
    <w:uiPriority w:val="0"/>
    <w:rPr>
      <w:rFonts w:ascii="Times New Roman" w:hAnsi="Times New Roman" w:eastAsia="华文中宋"/>
      <w:b/>
      <w:sz w:val="32"/>
    </w:rPr>
  </w:style>
  <w:style w:type="paragraph" w:customStyle="1" w:styleId="40">
    <w:name w:val="正文 样式"/>
    <w:basedOn w:val="1"/>
    <w:link w:val="43"/>
    <w:autoRedefine/>
    <w:qFormat/>
    <w:uiPriority w:val="0"/>
    <w:pPr>
      <w:spacing w:line="360" w:lineRule="auto"/>
      <w:ind w:firstLine="200" w:firstLineChars="200"/>
      <w:jc w:val="left"/>
    </w:pPr>
    <w:rPr>
      <w:rFonts w:ascii="Times New Roman" w:hAnsi="Times New Roman" w:eastAsia="宋体"/>
      <w:sz w:val="24"/>
    </w:rPr>
  </w:style>
  <w:style w:type="character" w:customStyle="1" w:styleId="41">
    <w:name w:val="一级标题 字符"/>
    <w:link w:val="38"/>
    <w:autoRedefine/>
    <w:qFormat/>
    <w:uiPriority w:val="0"/>
    <w:rPr>
      <w:rFonts w:ascii="Times New Roman" w:hAnsi="Times New Roman" w:eastAsia="宋体"/>
      <w:b/>
      <w:sz w:val="28"/>
    </w:rPr>
  </w:style>
  <w:style w:type="paragraph" w:customStyle="1" w:styleId="42">
    <w:name w:val="Table Text"/>
    <w:basedOn w:val="1"/>
    <w:autoRedefine/>
    <w:semiHidden/>
    <w:qFormat/>
    <w:uiPriority w:val="0"/>
    <w:rPr>
      <w:rFonts w:ascii="宋体" w:hAnsi="宋体" w:eastAsia="宋体" w:cs="宋体"/>
      <w:sz w:val="20"/>
      <w:szCs w:val="20"/>
      <w:lang w:eastAsia="en-US"/>
    </w:rPr>
  </w:style>
  <w:style w:type="character" w:customStyle="1" w:styleId="43">
    <w:name w:val="正文 样式 字符"/>
    <w:link w:val="40"/>
    <w:autoRedefine/>
    <w:qFormat/>
    <w:uiPriority w:val="0"/>
    <w:rPr>
      <w:rFonts w:ascii="Times New Roman" w:hAnsi="Times New Roman" w:eastAsia="宋体"/>
      <w:sz w:val="24"/>
    </w:rPr>
  </w:style>
  <w:style w:type="character" w:customStyle="1" w:styleId="44">
    <w:name w:val="标题 1 Char"/>
    <w:link w:val="2"/>
    <w:autoRedefine/>
    <w:qFormat/>
    <w:uiPriority w:val="0"/>
    <w:rPr>
      <w:rFonts w:ascii="宋体" w:hAnsi="宋体" w:eastAsia="宋体" w:cs="Times New Roman"/>
      <w:b/>
      <w:bCs/>
      <w:kern w:val="44"/>
      <w:sz w:val="48"/>
      <w:szCs w:val="48"/>
    </w:rPr>
  </w:style>
  <w:style w:type="character" w:customStyle="1" w:styleId="45">
    <w:name w:val="标题 2 Char"/>
    <w:link w:val="3"/>
    <w:autoRedefine/>
    <w:qFormat/>
    <w:uiPriority w:val="0"/>
    <w:rPr>
      <w:rFonts w:ascii="Arial" w:hAnsi="Arial"/>
      <w:b/>
      <w:bCs/>
      <w:kern w:val="2"/>
      <w:sz w:val="24"/>
      <w:szCs w:val="24"/>
    </w:rPr>
  </w:style>
  <w:style w:type="character" w:customStyle="1" w:styleId="46">
    <w:name w:val="标题 3 Char"/>
    <w:link w:val="4"/>
    <w:autoRedefine/>
    <w:qFormat/>
    <w:uiPriority w:val="99"/>
    <w:rPr>
      <w:rFonts w:ascii="Tahoma" w:hAnsi="Tahoma" w:eastAsia="宋体" w:cs="Times New Roman"/>
      <w:szCs w:val="24"/>
    </w:rPr>
  </w:style>
  <w:style w:type="character" w:customStyle="1" w:styleId="47">
    <w:name w:val="标题 4 Char"/>
    <w:link w:val="5"/>
    <w:autoRedefine/>
    <w:qFormat/>
    <w:uiPriority w:val="99"/>
    <w:rPr>
      <w:rFonts w:ascii="Arial" w:hAnsi="Times New Roman" w:eastAsia="宋体" w:cs="Times New Roman"/>
      <w:b/>
      <w:spacing w:val="20"/>
      <w:kern w:val="0"/>
      <w:sz w:val="20"/>
      <w:szCs w:val="24"/>
    </w:rPr>
  </w:style>
  <w:style w:type="character" w:customStyle="1" w:styleId="48">
    <w:name w:val="标题 6 Char"/>
    <w:link w:val="6"/>
    <w:autoRedefine/>
    <w:qFormat/>
    <w:uiPriority w:val="99"/>
    <w:rPr>
      <w:rFonts w:ascii="Calibri Light" w:hAnsi="Calibri Light" w:eastAsia="宋体" w:cs="Times New Roman"/>
      <w:b/>
      <w:bCs/>
      <w:sz w:val="24"/>
      <w:szCs w:val="24"/>
    </w:rPr>
  </w:style>
  <w:style w:type="character" w:customStyle="1" w:styleId="49">
    <w:name w:val="正文文本 Char"/>
    <w:link w:val="10"/>
    <w:autoRedefine/>
    <w:qFormat/>
    <w:uiPriority w:val="0"/>
    <w:rPr>
      <w:rFonts w:ascii="Times New Roman" w:hAnsi="Times New Roman" w:eastAsia="宋体" w:cs="Times New Roman"/>
      <w:szCs w:val="24"/>
    </w:rPr>
  </w:style>
  <w:style w:type="character" w:customStyle="1" w:styleId="50">
    <w:name w:val="纯文本 Char"/>
    <w:link w:val="13"/>
    <w:autoRedefine/>
    <w:qFormat/>
    <w:uiPriority w:val="0"/>
    <w:rPr>
      <w:rFonts w:ascii="宋体" w:hAnsi="Courier New" w:eastAsia="宋体" w:cs="Times New Roman"/>
      <w:szCs w:val="21"/>
    </w:rPr>
  </w:style>
  <w:style w:type="character" w:customStyle="1" w:styleId="51">
    <w:name w:val="正文文本缩进 2 Char"/>
    <w:link w:val="15"/>
    <w:autoRedefine/>
    <w:qFormat/>
    <w:uiPriority w:val="0"/>
    <w:rPr>
      <w:rFonts w:ascii="Times New Roman" w:hAnsi="Times New Roman" w:eastAsia="宋体" w:cs="Times New Roman"/>
      <w:sz w:val="32"/>
      <w:szCs w:val="20"/>
    </w:rPr>
  </w:style>
  <w:style w:type="character" w:customStyle="1" w:styleId="52">
    <w:name w:val="页脚 Char"/>
    <w:link w:val="17"/>
    <w:autoRedefine/>
    <w:qFormat/>
    <w:uiPriority w:val="99"/>
    <w:rPr>
      <w:rFonts w:ascii="Times New Roman" w:hAnsi="Times New Roman" w:eastAsia="宋体" w:cs="Times New Roman"/>
      <w:b/>
      <w:sz w:val="18"/>
      <w:szCs w:val="24"/>
    </w:rPr>
  </w:style>
  <w:style w:type="character" w:customStyle="1" w:styleId="53">
    <w:name w:val="页眉 Char"/>
    <w:link w:val="18"/>
    <w:autoRedefine/>
    <w:qFormat/>
    <w:uiPriority w:val="0"/>
    <w:rPr>
      <w:rFonts w:ascii="Times New Roman" w:hAnsi="Times New Roman" w:eastAsia="宋体"/>
      <w:kern w:val="2"/>
      <w:sz w:val="18"/>
      <w:szCs w:val="24"/>
    </w:rPr>
  </w:style>
  <w:style w:type="paragraph" w:customStyle="1" w:styleId="54">
    <w:name w:val="列出段落1"/>
    <w:basedOn w:val="1"/>
    <w:autoRedefine/>
    <w:qFormat/>
    <w:uiPriority w:val="0"/>
    <w:pPr>
      <w:ind w:firstLine="420" w:firstLineChars="200"/>
    </w:pPr>
    <w:rPr>
      <w:rFonts w:ascii="Times New Roman" w:hAnsi="Times New Roman" w:eastAsia="宋体"/>
      <w:szCs w:val="21"/>
    </w:rPr>
  </w:style>
  <w:style w:type="table" w:customStyle="1" w:styleId="55">
    <w:name w:val="Table Normal"/>
    <w:autoRedefine/>
    <w:semiHidden/>
    <w:unhideWhenUsed/>
    <w:qFormat/>
    <w:uiPriority w:val="0"/>
    <w:tblPr>
      <w:tblCellMar>
        <w:top w:w="0" w:type="dxa"/>
        <w:left w:w="0" w:type="dxa"/>
        <w:bottom w:w="0" w:type="dxa"/>
        <w:right w:w="0" w:type="dxa"/>
      </w:tblCellMar>
    </w:tblPr>
  </w:style>
  <w:style w:type="paragraph" w:customStyle="1" w:styleId="56">
    <w:name w:val="p0"/>
    <w:basedOn w:val="1"/>
    <w:autoRedefine/>
    <w:qFormat/>
    <w:uiPriority w:val="0"/>
    <w:pPr>
      <w:widowControl/>
    </w:pPr>
    <w:rPr>
      <w:rFonts w:ascii="Times New Roman" w:hAnsi="Times New Roman" w:eastAsia="宋体"/>
      <w:kern w:val="0"/>
      <w:szCs w:val="21"/>
    </w:rPr>
  </w:style>
  <w:style w:type="paragraph" w:customStyle="1" w:styleId="57">
    <w:name w:val="样式2"/>
    <w:basedOn w:val="58"/>
    <w:autoRedefine/>
    <w:qFormat/>
    <w:uiPriority w:val="0"/>
    <w:pPr>
      <w:spacing w:line="560" w:lineRule="exact"/>
      <w:ind w:firstLine="643" w:firstLineChars="200"/>
      <w:jc w:val="both"/>
    </w:pPr>
    <w:rPr>
      <w:rFonts w:ascii="仿宋_GB2312" w:hAnsi="仿宋" w:eastAsia="仿宋_GB2312"/>
      <w:b/>
      <w:bCs/>
      <w:szCs w:val="32"/>
    </w:rPr>
  </w:style>
  <w:style w:type="paragraph" w:customStyle="1" w:styleId="58">
    <w:name w:val="@标题"/>
    <w:basedOn w:val="1"/>
    <w:next w:val="59"/>
    <w:autoRedefine/>
    <w:qFormat/>
    <w:uiPriority w:val="0"/>
    <w:pPr>
      <w:keepNext/>
      <w:spacing w:beforeLines="50" w:afterLines="50"/>
      <w:jc w:val="center"/>
      <w:outlineLvl w:val="1"/>
    </w:pPr>
    <w:rPr>
      <w:rFonts w:ascii="Calibri" w:hAnsi="Calibri" w:eastAsia="黑体"/>
      <w:kern w:val="32"/>
      <w:sz w:val="32"/>
      <w:szCs w:val="24"/>
    </w:rPr>
  </w:style>
  <w:style w:type="paragraph" w:customStyle="1" w:styleId="59">
    <w:name w:val="@正文"/>
    <w:basedOn w:val="60"/>
    <w:autoRedefine/>
    <w:qFormat/>
    <w:uiPriority w:val="0"/>
    <w:pPr>
      <w:wordWrap/>
      <w:spacing w:line="240" w:lineRule="auto"/>
      <w:ind w:firstLine="200" w:firstLineChars="200"/>
    </w:pPr>
    <w:rPr>
      <w:rFonts w:ascii="Calibri" w:hAnsi="Calibri" w:eastAsia="宋体" w:cs="等线"/>
      <w:color w:val="000000"/>
      <w:kern w:val="24"/>
      <w:sz w:val="24"/>
      <w:szCs w:val="24"/>
    </w:rPr>
  </w:style>
  <w:style w:type="paragraph" w:customStyle="1" w:styleId="60">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61">
    <w:name w:val="页眉1"/>
    <w:basedOn w:val="1"/>
    <w:next w:val="18"/>
    <w:autoRedefine/>
    <w:qFormat/>
    <w:uiPriority w:val="0"/>
    <w:pPr>
      <w:pBdr>
        <w:bottom w:val="single" w:color="auto" w:sz="6" w:space="1"/>
      </w:pBdr>
      <w:tabs>
        <w:tab w:val="center" w:pos="4153"/>
        <w:tab w:val="right" w:pos="8306"/>
      </w:tabs>
      <w:snapToGrid w:val="0"/>
      <w:jc w:val="center"/>
    </w:pPr>
    <w:rPr>
      <w:rFonts w:ascii="Calibri Light" w:hAnsi="Calibri Light" w:eastAsia="华文仿宋"/>
      <w:sz w:val="18"/>
      <w:szCs w:val="28"/>
    </w:rPr>
  </w:style>
  <w:style w:type="paragraph" w:customStyle="1" w:styleId="62">
    <w:name w:val="页脚1"/>
    <w:basedOn w:val="1"/>
    <w:next w:val="17"/>
    <w:autoRedefine/>
    <w:qFormat/>
    <w:uiPriority w:val="99"/>
    <w:pPr>
      <w:tabs>
        <w:tab w:val="center" w:pos="4153"/>
        <w:tab w:val="right" w:pos="8306"/>
      </w:tabs>
      <w:snapToGrid w:val="0"/>
      <w:jc w:val="left"/>
    </w:pPr>
    <w:rPr>
      <w:rFonts w:ascii="Calibri Light" w:hAnsi="Calibri Light" w:eastAsia="华文仿宋"/>
      <w:sz w:val="18"/>
      <w:szCs w:val="28"/>
    </w:rPr>
  </w:style>
  <w:style w:type="paragraph" w:customStyle="1" w:styleId="63">
    <w:name w:val="样式3"/>
    <w:basedOn w:val="1"/>
    <w:autoRedefine/>
    <w:qFormat/>
    <w:uiPriority w:val="0"/>
    <w:pPr>
      <w:spacing w:line="560" w:lineRule="exact"/>
      <w:jc w:val="center"/>
    </w:pPr>
    <w:rPr>
      <w:rFonts w:ascii="方正小标宋_GBK" w:hAnsi="仿宋" w:eastAsia="方正小标宋_GBK"/>
      <w:sz w:val="36"/>
      <w:szCs w:val="36"/>
    </w:rPr>
  </w:style>
  <w:style w:type="paragraph" w:customStyle="1" w:styleId="64">
    <w:name w:val="样式1"/>
    <w:basedOn w:val="4"/>
    <w:autoRedefine/>
    <w:qFormat/>
    <w:uiPriority w:val="0"/>
    <w:pPr>
      <w:jc w:val="left"/>
    </w:pPr>
    <w:rPr>
      <w:rFonts w:eastAsia="楷体"/>
      <w:sz w:val="32"/>
    </w:rPr>
  </w:style>
  <w:style w:type="paragraph" w:customStyle="1" w:styleId="65">
    <w:name w:val="副文 样式"/>
    <w:basedOn w:val="1"/>
    <w:link w:val="67"/>
    <w:autoRedefine/>
    <w:qFormat/>
    <w:uiPriority w:val="0"/>
    <w:pPr>
      <w:ind w:firstLine="200" w:firstLineChars="200"/>
      <w:jc w:val="left"/>
    </w:pPr>
    <w:rPr>
      <w:rFonts w:ascii="Times New Roman" w:hAnsi="Times New Roman" w:eastAsia="宋体"/>
      <w:sz w:val="24"/>
    </w:rPr>
  </w:style>
  <w:style w:type="paragraph" w:customStyle="1" w:styleId="66">
    <w:name w:val="副本 标题"/>
    <w:basedOn w:val="1"/>
    <w:link w:val="69"/>
    <w:autoRedefine/>
    <w:qFormat/>
    <w:uiPriority w:val="0"/>
    <w:pPr>
      <w:spacing w:beforeLines="100" w:afterLines="100"/>
      <w:jc w:val="center"/>
    </w:pPr>
    <w:rPr>
      <w:rFonts w:ascii="Times New Roman" w:hAnsi="Times New Roman" w:eastAsia="宋体"/>
      <w:b/>
      <w:sz w:val="28"/>
    </w:rPr>
  </w:style>
  <w:style w:type="character" w:customStyle="1" w:styleId="67">
    <w:name w:val="副文 样式 字符"/>
    <w:link w:val="65"/>
    <w:autoRedefine/>
    <w:qFormat/>
    <w:uiPriority w:val="0"/>
    <w:rPr>
      <w:rFonts w:ascii="Times New Roman" w:hAnsi="Times New Roman" w:eastAsia="宋体"/>
      <w:sz w:val="24"/>
    </w:rPr>
  </w:style>
  <w:style w:type="paragraph" w:customStyle="1" w:styleId="68">
    <w:name w:val="TOC 标题1"/>
    <w:basedOn w:val="2"/>
    <w:next w:val="1"/>
    <w:autoRedefine/>
    <w:unhideWhenUsed/>
    <w:qFormat/>
    <w:uiPriority w:val="39"/>
    <w:pPr>
      <w:keepNext/>
      <w:keepLines/>
      <w:widowControl/>
      <w:spacing w:before="240" w:beforeAutospacing="0" w:afterAutospacing="0" w:line="259" w:lineRule="auto"/>
      <w:outlineLvl w:val="9"/>
    </w:pPr>
    <w:rPr>
      <w:rFonts w:hint="default" w:ascii="等线 Light" w:hAnsi="等线 Light" w:eastAsia="等线 Light"/>
      <w:b w:val="0"/>
      <w:bCs w:val="0"/>
      <w:color w:val="2E74B5"/>
      <w:kern w:val="0"/>
      <w:sz w:val="32"/>
      <w:szCs w:val="32"/>
    </w:rPr>
  </w:style>
  <w:style w:type="character" w:customStyle="1" w:styleId="69">
    <w:name w:val="副本 标题 字符"/>
    <w:link w:val="66"/>
    <w:autoRedefine/>
    <w:qFormat/>
    <w:uiPriority w:val="0"/>
    <w:rPr>
      <w:rFonts w:ascii="Times New Roman" w:hAnsi="Times New Roman" w:eastAsia="宋体"/>
      <w:b/>
      <w:sz w:val="28"/>
    </w:rPr>
  </w:style>
  <w:style w:type="paragraph" w:customStyle="1" w:styleId="70">
    <w:name w:val="列出段落2"/>
    <w:basedOn w:val="1"/>
    <w:autoRedefine/>
    <w:qFormat/>
    <w:uiPriority w:val="0"/>
    <w:pPr>
      <w:ind w:firstLine="420" w:firstLineChars="200"/>
    </w:pPr>
    <w:rPr>
      <w:rFonts w:ascii="Times New Roman" w:hAnsi="Times New Roman"/>
      <w:szCs w:val="21"/>
    </w:rPr>
  </w:style>
  <w:style w:type="paragraph" w:customStyle="1" w:styleId="71">
    <w:name w:val="Table Paragraph"/>
    <w:basedOn w:val="1"/>
    <w:autoRedefine/>
    <w:qFormat/>
    <w:uiPriority w:val="1"/>
    <w:rPr>
      <w:rFonts w:ascii="宋体" w:hAnsi="宋体" w:eastAsia="宋体" w:cs="宋体"/>
      <w:lang w:val="zh-CN" w:bidi="zh-CN"/>
    </w:rPr>
  </w:style>
  <w:style w:type="paragraph" w:styleId="72">
    <w:name w:val="List Paragraph"/>
    <w:basedOn w:val="1"/>
    <w:autoRedefine/>
    <w:qFormat/>
    <w:uiPriority w:val="1"/>
    <w:pPr>
      <w:ind w:left="240" w:firstLine="480"/>
    </w:pPr>
    <w:rPr>
      <w:rFonts w:ascii="宋体" w:hAnsi="宋体" w:eastAsia="宋体" w:cs="宋体"/>
      <w:lang w:val="zh-CN" w:bidi="zh-CN"/>
    </w:rPr>
  </w:style>
  <w:style w:type="paragraph" w:customStyle="1" w:styleId="73">
    <w:name w:val="正文缩进1"/>
    <w:basedOn w:val="1"/>
    <w:autoRedefine/>
    <w:qFormat/>
    <w:uiPriority w:val="0"/>
    <w:pPr>
      <w:ind w:firstLine="420" w:firstLineChars="200"/>
    </w:pPr>
  </w:style>
  <w:style w:type="paragraph" w:customStyle="1" w:styleId="74">
    <w:name w:val="纯文本11"/>
    <w:basedOn w:val="1"/>
    <w:autoRedefine/>
    <w:qFormat/>
    <w:uiPriority w:val="99"/>
    <w:pPr>
      <w:adjustRightInd w:val="0"/>
      <w:textAlignment w:val="baseline"/>
    </w:pPr>
    <w:rPr>
      <w:rFonts w:ascii="宋体" w:hAnsi="Calibri" w:eastAsia="宋体"/>
    </w:rPr>
  </w:style>
  <w:style w:type="character" w:customStyle="1" w:styleId="75">
    <w:name w:val="批注框文本 Char"/>
    <w:basedOn w:val="31"/>
    <w:link w:val="16"/>
    <w:autoRedefine/>
    <w:semiHidden/>
    <w:qFormat/>
    <w:uiPriority w:val="99"/>
    <w:rPr>
      <w:rFonts w:ascii="等线" w:hAnsi="等线" w:eastAsia="等线"/>
      <w:kern w:val="2"/>
      <w:sz w:val="18"/>
      <w:szCs w:val="18"/>
    </w:rPr>
  </w:style>
  <w:style w:type="paragraph" w:customStyle="1" w:styleId="76">
    <w:name w:val="列出段落"/>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Version="0"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EFCF00-9AE4-4326-8662-707C4AAC493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54</Pages>
  <Words>16951</Words>
  <Characters>18370</Characters>
  <Lines>295</Lines>
  <Paragraphs>83</Paragraphs>
  <TotalTime>92</TotalTime>
  <ScaleCrop>false</ScaleCrop>
  <LinksUpToDate>false</LinksUpToDate>
  <CharactersWithSpaces>18871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2024-04-02T02:23:00Z</dcterms:created>
  <dc:creator>Administrator</dc:creator>
  <cp:lastModifiedBy>Administrator</cp:lastModifiedBy>
  <cp:lastPrinted>2025-06-09T01:35:00Z</cp:lastPrinted>
  <dcterms:modified xsi:type="dcterms:W3CDTF">2025-09-04T02:13:58Z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5698CDDF1AC94546BCF7470A18FF0BE0_13</vt:lpwstr>
  </property>
  <property fmtid="{D5CDD505-2E9C-101B-9397-08002B2CF9AE}" pid="4" name="KSOTemplateDocerSaveRecord">
    <vt:lpwstr>eyJoZGlkIjoiM2FiYjY5NjliZjg1MDVlN2RmNGZmODFjYjU5M2ViNmQiLCJ1c2VySWQiOiIxNDQ1NjI5MzAyIn0=</vt:lpwstr>
  </property>
</Properties>
</file>