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57994">
      <w:pPr>
        <w:pStyle w:val="11"/>
        <w:jc w:val="both"/>
        <w:rPr>
          <w:rFonts w:hint="eastAsia" w:cs="宋体"/>
          <w:b/>
          <w:bCs/>
          <w:color w:val="000000"/>
          <w:sz w:val="28"/>
          <w:szCs w:val="28"/>
          <w:lang w:val="en-US" w:eastAsia="zh-CN"/>
        </w:rPr>
      </w:pPr>
      <w:r>
        <w:rPr>
          <w:rFonts w:hint="eastAsia" w:ascii="宋体" w:hAnsi="宋体" w:eastAsia="宋体" w:cs="宋体"/>
          <w:b/>
          <w:bCs/>
          <w:color w:val="000000"/>
          <w:sz w:val="28"/>
          <w:szCs w:val="28"/>
        </w:rPr>
        <w:t>项目编号：</w:t>
      </w:r>
      <w:r>
        <w:rPr>
          <w:rFonts w:hint="eastAsia" w:cs="宋体"/>
          <w:b/>
          <w:bCs/>
          <w:color w:val="000000"/>
          <w:sz w:val="28"/>
          <w:szCs w:val="28"/>
          <w:lang w:val="en-US" w:eastAsia="zh-CN"/>
        </w:rPr>
        <w:t>YC25440020(CGP)</w:t>
      </w:r>
    </w:p>
    <w:p w14:paraId="116AE18E">
      <w:pPr>
        <w:pStyle w:val="11"/>
        <w:jc w:val="center"/>
        <w:rPr>
          <w:rFonts w:hint="eastAsia" w:cs="宋体"/>
          <w:b/>
          <w:bCs/>
          <w:color w:val="000000"/>
          <w:sz w:val="28"/>
          <w:szCs w:val="28"/>
          <w:lang w:val="en-US" w:eastAsia="zh-CN"/>
        </w:rPr>
      </w:pPr>
    </w:p>
    <w:p w14:paraId="70F6B144">
      <w:pPr>
        <w:pStyle w:val="11"/>
        <w:jc w:val="center"/>
        <w:rPr>
          <w:rFonts w:hint="eastAsia" w:cs="宋体"/>
          <w:b/>
          <w:bCs/>
          <w:color w:val="000000"/>
          <w:sz w:val="28"/>
          <w:szCs w:val="28"/>
          <w:lang w:val="en-US" w:eastAsia="zh-CN"/>
        </w:rPr>
      </w:pPr>
    </w:p>
    <w:p w14:paraId="0FD26071">
      <w:pPr>
        <w:spacing w:line="360" w:lineRule="auto"/>
        <w:jc w:val="center"/>
        <w:rPr>
          <w:rFonts w:hint="eastAsia" w:ascii="方正小标宋简体" w:hAnsi="方正小标宋简体" w:eastAsia="方正小标宋简体" w:cs="方正小标宋简体"/>
          <w:b/>
          <w:bCs/>
          <w:color w:val="000000"/>
          <w:spacing w:val="-20"/>
          <w:kern w:val="0"/>
          <w:sz w:val="44"/>
          <w:szCs w:val="44"/>
          <w:lang w:val="en-US" w:eastAsia="zh-CN" w:bidi="ar"/>
        </w:rPr>
      </w:pPr>
      <w:r>
        <w:rPr>
          <w:rFonts w:hint="eastAsia" w:ascii="方正小标宋简体" w:hAnsi="方正小标宋简体" w:eastAsia="方正小标宋简体" w:cs="方正小标宋简体"/>
          <w:b/>
          <w:bCs/>
          <w:color w:val="000000"/>
          <w:spacing w:val="-20"/>
          <w:kern w:val="0"/>
          <w:sz w:val="44"/>
          <w:szCs w:val="44"/>
          <w:lang w:val="en-US" w:eastAsia="zh-CN" w:bidi="ar"/>
        </w:rPr>
        <w:t>石泉县职业技术教育中心消防三年攻坚整改项目</w:t>
      </w:r>
    </w:p>
    <w:p w14:paraId="70E0BC8C">
      <w:pPr>
        <w:spacing w:line="360" w:lineRule="auto"/>
        <w:jc w:val="center"/>
        <w:rPr>
          <w:rFonts w:hint="eastAsia" w:ascii="宋体" w:hAnsi="宋体" w:eastAsia="宋体" w:cs="宋体"/>
          <w:b/>
          <w:sz w:val="56"/>
          <w:szCs w:val="56"/>
        </w:rPr>
      </w:pPr>
    </w:p>
    <w:p w14:paraId="5161DC53">
      <w:pPr>
        <w:spacing w:line="360" w:lineRule="auto"/>
        <w:jc w:val="center"/>
        <w:rPr>
          <w:rFonts w:hint="eastAsia" w:ascii="方正小标宋简体" w:hAnsi="方正小标宋简体" w:eastAsia="方正小标宋简体" w:cs="方正小标宋简体"/>
          <w:b/>
          <w:bCs/>
          <w:color w:val="000000"/>
          <w:spacing w:val="-20"/>
          <w:kern w:val="0"/>
          <w:sz w:val="44"/>
          <w:szCs w:val="44"/>
          <w:lang w:val="en-US" w:eastAsia="zh-CN" w:bidi="ar"/>
        </w:rPr>
      </w:pPr>
      <w:r>
        <w:rPr>
          <w:rFonts w:hint="eastAsia" w:ascii="方正小标宋简体" w:hAnsi="方正小标宋简体" w:eastAsia="方正小标宋简体" w:cs="方正小标宋简体"/>
          <w:b/>
          <w:bCs/>
          <w:color w:val="000000"/>
          <w:spacing w:val="-20"/>
          <w:kern w:val="0"/>
          <w:sz w:val="44"/>
          <w:szCs w:val="44"/>
          <w:lang w:val="en-US" w:eastAsia="zh-CN" w:bidi="ar"/>
        </w:rPr>
        <w:t>竞争性谈判文件</w:t>
      </w:r>
    </w:p>
    <w:p w14:paraId="2013CC1C">
      <w:pPr>
        <w:pStyle w:val="11"/>
        <w:rPr>
          <w:rFonts w:hint="eastAsia" w:ascii="宋体" w:hAnsi="宋体" w:eastAsia="宋体" w:cs="宋体"/>
        </w:rPr>
      </w:pPr>
    </w:p>
    <w:p w14:paraId="116FB57B">
      <w:pPr>
        <w:spacing w:line="360" w:lineRule="auto"/>
        <w:jc w:val="center"/>
        <w:rPr>
          <w:rFonts w:hint="eastAsia" w:ascii="宋体" w:hAnsi="宋体" w:eastAsia="宋体" w:cs="宋体"/>
          <w:color w:val="000000"/>
          <w:sz w:val="28"/>
          <w:szCs w:val="28"/>
        </w:rPr>
      </w:pPr>
      <w:bookmarkStart w:id="11" w:name="_GoBack"/>
      <w:r>
        <w:rPr>
          <w:rFonts w:hint="eastAsia" w:ascii="仿宋" w:hAnsi="仿宋" w:eastAsia="仿宋" w:cs="仿宋"/>
          <w:b/>
          <w:color w:val="auto"/>
          <w:sz w:val="28"/>
          <w:szCs w:val="28"/>
        </w:rPr>
        <w:drawing>
          <wp:inline distT="0" distB="0" distL="114300" distR="114300">
            <wp:extent cx="2200275" cy="2200275"/>
            <wp:effectExtent l="0" t="0" r="9525" b="9525"/>
            <wp:docPr id="15" name="图片 1" descr="LOGO+文字上下组合 蓝底白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LOGO+文字上下组合 蓝底白字"/>
                    <pic:cNvPicPr>
                      <a:picLocks noChangeAspect="1"/>
                    </pic:cNvPicPr>
                  </pic:nvPicPr>
                  <pic:blipFill>
                    <a:blip r:embed="rId18"/>
                    <a:stretch>
                      <a:fillRect/>
                    </a:stretch>
                  </pic:blipFill>
                  <pic:spPr>
                    <a:xfrm>
                      <a:off x="0" y="0"/>
                      <a:ext cx="2200275" cy="2200275"/>
                    </a:xfrm>
                    <a:prstGeom prst="rect">
                      <a:avLst/>
                    </a:prstGeom>
                    <a:noFill/>
                    <a:ln>
                      <a:noFill/>
                    </a:ln>
                  </pic:spPr>
                </pic:pic>
              </a:graphicData>
            </a:graphic>
          </wp:inline>
        </w:drawing>
      </w:r>
      <w:bookmarkEnd w:id="11"/>
    </w:p>
    <w:p w14:paraId="152FC8C0">
      <w:pPr>
        <w:pStyle w:val="5"/>
        <w:rPr>
          <w:rFonts w:hint="eastAsia" w:ascii="宋体" w:hAnsi="宋体" w:eastAsia="宋体" w:cs="宋体"/>
          <w:color w:val="000000"/>
          <w:sz w:val="28"/>
          <w:szCs w:val="28"/>
        </w:rPr>
      </w:pPr>
    </w:p>
    <w:p w14:paraId="68D1FF69">
      <w:pPr>
        <w:rPr>
          <w:rFonts w:hint="eastAsia" w:ascii="宋体" w:hAnsi="宋体" w:eastAsia="宋体" w:cs="宋体"/>
          <w:color w:val="000000"/>
          <w:sz w:val="28"/>
          <w:szCs w:val="28"/>
        </w:rPr>
      </w:pPr>
    </w:p>
    <w:p w14:paraId="0E78DB97">
      <w:pPr>
        <w:pStyle w:val="27"/>
        <w:ind w:firstLine="0" w:firstLineChars="0"/>
        <w:rPr>
          <w:rFonts w:hint="eastAsia" w:ascii="宋体" w:hAnsi="宋体" w:eastAsia="宋体" w:cs="宋体"/>
          <w:b/>
          <w:sz w:val="44"/>
          <w:szCs w:val="44"/>
        </w:rPr>
      </w:pPr>
    </w:p>
    <w:p w14:paraId="07067025">
      <w:pPr>
        <w:widowControl/>
        <w:spacing w:line="800" w:lineRule="exact"/>
        <w:ind w:firstLine="321" w:firstLineChars="100"/>
        <w:rPr>
          <w:rFonts w:hint="eastAsia" w:cs="宋体"/>
          <w:b/>
          <w:sz w:val="32"/>
          <w:szCs w:val="32"/>
          <w:u w:val="single"/>
          <w:lang w:val="en-US" w:eastAsia="zh-CN"/>
        </w:rPr>
      </w:pPr>
      <w:r>
        <w:rPr>
          <w:rFonts w:hint="eastAsia" w:ascii="宋体" w:hAnsi="宋体" w:eastAsia="宋体" w:cs="宋体"/>
          <w:b/>
          <w:sz w:val="32"/>
          <w:szCs w:val="32"/>
        </w:rPr>
        <w:t>采   购   人：</w:t>
      </w:r>
      <w:r>
        <w:rPr>
          <w:rFonts w:hint="eastAsia" w:cs="宋体"/>
          <w:b/>
          <w:sz w:val="32"/>
          <w:szCs w:val="32"/>
          <w:u w:val="single"/>
          <w:lang w:val="en-US" w:eastAsia="zh-CN"/>
        </w:rPr>
        <w:t xml:space="preserve">      石泉县职业技术教育中心        </w:t>
      </w:r>
    </w:p>
    <w:p w14:paraId="170E87A2">
      <w:pPr>
        <w:pStyle w:val="27"/>
        <w:rPr>
          <w:rFonts w:hint="default"/>
          <w:lang w:val="en-US" w:eastAsia="zh-CN"/>
        </w:rPr>
      </w:pPr>
    </w:p>
    <w:p w14:paraId="484E02AE">
      <w:pPr>
        <w:widowControl/>
        <w:spacing w:line="800" w:lineRule="exact"/>
        <w:ind w:left="0" w:leftChars="0" w:firstLine="220" w:firstLineChars="100"/>
        <w:rPr>
          <w:rFonts w:hint="default" w:ascii="宋体" w:hAnsi="宋体" w:eastAsia="宋体" w:cs="宋体"/>
          <w:b/>
          <w:sz w:val="32"/>
          <w:szCs w:val="32"/>
          <w:u w:val="single"/>
          <w:lang w:val="en-US" w:eastAsia="zh-CN"/>
        </w:rPr>
      </w:pPr>
      <w:r>
        <w:drawing>
          <wp:anchor distT="0" distB="0" distL="0" distR="0" simplePos="0" relativeHeight="251667456" behindDoc="1" locked="0" layoutInCell="1" allowOverlap="1">
            <wp:simplePos x="0" y="0"/>
            <wp:positionH relativeFrom="column">
              <wp:posOffset>3857625</wp:posOffset>
            </wp:positionH>
            <wp:positionV relativeFrom="paragraph">
              <wp:posOffset>23495</wp:posOffset>
            </wp:positionV>
            <wp:extent cx="1461770" cy="1461770"/>
            <wp:effectExtent l="0" t="0" r="1270" b="127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9"/>
                    <a:stretch>
                      <a:fillRect/>
                    </a:stretch>
                  </pic:blipFill>
                  <pic:spPr>
                    <a:xfrm>
                      <a:off x="0" y="0"/>
                      <a:ext cx="1461770" cy="1461770"/>
                    </a:xfrm>
                    <a:prstGeom prst="rect">
                      <a:avLst/>
                    </a:prstGeom>
                  </pic:spPr>
                </pic:pic>
              </a:graphicData>
            </a:graphic>
          </wp:anchor>
        </w:drawing>
      </w:r>
      <w:r>
        <w:rPr>
          <w:rFonts w:hint="eastAsia" w:ascii="宋体" w:hAnsi="宋体" w:eastAsia="宋体" w:cs="宋体"/>
          <w:b/>
          <w:sz w:val="32"/>
          <w:szCs w:val="32"/>
        </w:rPr>
        <w:t>采购代理机构：</w:t>
      </w:r>
      <w:r>
        <w:rPr>
          <w:rFonts w:hint="eastAsia" w:ascii="宋体" w:hAnsi="宋体" w:eastAsia="宋体" w:cs="宋体"/>
          <w:b/>
          <w:sz w:val="32"/>
          <w:szCs w:val="32"/>
          <w:u w:val="single"/>
          <w:lang w:val="en-US" w:eastAsia="zh-CN"/>
        </w:rPr>
        <w:t xml:space="preserve">  </w:t>
      </w:r>
      <w:r>
        <w:rPr>
          <w:rFonts w:hint="eastAsia" w:cs="宋体"/>
          <w:b/>
          <w:sz w:val="32"/>
          <w:szCs w:val="32"/>
          <w:u w:val="single"/>
          <w:lang w:val="en-US" w:eastAsia="zh-CN"/>
        </w:rPr>
        <w:t xml:space="preserve">   亿诚建设项目管理有限公司      </w:t>
      </w:r>
    </w:p>
    <w:p w14:paraId="4ABE3A04">
      <w:pPr>
        <w:widowControl/>
        <w:spacing w:line="800" w:lineRule="exact"/>
        <w:ind w:left="0" w:leftChars="0" w:firstLine="0" w:firstLineChars="0"/>
        <w:jc w:val="center"/>
        <w:rPr>
          <w:rFonts w:hint="eastAsia" w:ascii="宋体" w:hAnsi="宋体" w:eastAsia="宋体" w:cs="宋体"/>
          <w:b/>
          <w:sz w:val="32"/>
          <w:szCs w:val="32"/>
          <w:lang w:eastAsia="zh-CN"/>
        </w:rPr>
      </w:pPr>
      <w:r>
        <w:rPr>
          <w:rFonts w:hint="eastAsia" w:ascii="宋体" w:hAnsi="宋体" w:eastAsia="宋体" w:cs="宋体"/>
          <w:b/>
          <w:sz w:val="32"/>
          <w:szCs w:val="32"/>
          <w:lang w:val="en-US" w:eastAsia="zh-CN"/>
        </w:rPr>
        <w:t xml:space="preserve">     </w:t>
      </w:r>
      <w:r>
        <w:rPr>
          <w:rFonts w:hint="eastAsia" w:ascii="宋体" w:hAnsi="宋体" w:eastAsia="宋体" w:cs="宋体"/>
          <w:b/>
          <w:spacing w:val="20"/>
          <w:sz w:val="32"/>
          <w:szCs w:val="32"/>
          <w:lang w:eastAsia="zh-CN"/>
        </w:rPr>
        <w:t>202</w:t>
      </w:r>
      <w:r>
        <w:rPr>
          <w:rFonts w:hint="eastAsia" w:cs="宋体"/>
          <w:b/>
          <w:spacing w:val="20"/>
          <w:sz w:val="32"/>
          <w:szCs w:val="32"/>
          <w:lang w:val="en-US" w:eastAsia="zh-CN"/>
        </w:rPr>
        <w:t>5</w:t>
      </w:r>
      <w:r>
        <w:rPr>
          <w:rFonts w:hint="eastAsia" w:ascii="宋体" w:hAnsi="宋体" w:eastAsia="宋体" w:cs="宋体"/>
          <w:b/>
          <w:spacing w:val="20"/>
          <w:sz w:val="32"/>
          <w:szCs w:val="32"/>
          <w:lang w:eastAsia="zh-CN"/>
        </w:rPr>
        <w:t>年</w:t>
      </w:r>
      <w:r>
        <w:rPr>
          <w:rFonts w:hint="eastAsia" w:cs="宋体"/>
          <w:b/>
          <w:spacing w:val="20"/>
          <w:sz w:val="32"/>
          <w:szCs w:val="32"/>
          <w:lang w:val="en-US" w:eastAsia="zh-CN"/>
        </w:rPr>
        <w:t>9</w:t>
      </w:r>
      <w:r>
        <w:rPr>
          <w:rFonts w:hint="eastAsia" w:ascii="宋体" w:hAnsi="宋体" w:eastAsia="宋体" w:cs="宋体"/>
          <w:b/>
          <w:spacing w:val="20"/>
          <w:sz w:val="32"/>
          <w:szCs w:val="32"/>
          <w:lang w:eastAsia="zh-CN"/>
        </w:rPr>
        <w:t>月</w:t>
      </w:r>
      <w:r>
        <w:rPr>
          <w:rFonts w:hint="eastAsia" w:cs="宋体"/>
          <w:b/>
          <w:spacing w:val="20"/>
          <w:sz w:val="32"/>
          <w:szCs w:val="32"/>
          <w:lang w:val="en-US" w:eastAsia="zh-CN"/>
        </w:rPr>
        <w:t>9</w:t>
      </w:r>
      <w:r>
        <w:rPr>
          <w:rFonts w:hint="eastAsia" w:ascii="宋体" w:hAnsi="宋体" w:eastAsia="宋体" w:cs="宋体"/>
          <w:b/>
          <w:spacing w:val="20"/>
          <w:sz w:val="32"/>
          <w:szCs w:val="32"/>
          <w:lang w:eastAsia="zh-CN"/>
        </w:rPr>
        <w:t>日</w:t>
      </w:r>
    </w:p>
    <w:p w14:paraId="73733A19">
      <w:pPr>
        <w:spacing w:line="360" w:lineRule="auto"/>
        <w:ind w:left="0" w:leftChars="0" w:firstLine="0" w:firstLineChars="0"/>
        <w:jc w:val="center"/>
        <w:rPr>
          <w:rFonts w:hint="eastAsia" w:ascii="宋体" w:hAnsi="宋体" w:eastAsia="宋体" w:cs="宋体"/>
          <w:b/>
          <w:sz w:val="32"/>
          <w:szCs w:val="32"/>
        </w:rPr>
        <w:sectPr>
          <w:headerReference r:id="rId7" w:type="first"/>
          <w:headerReference r:id="rId5" w:type="default"/>
          <w:footerReference r:id="rId8" w:type="default"/>
          <w:headerReference r:id="rId6" w:type="even"/>
          <w:footerReference r:id="rId9" w:type="even"/>
          <w:pgSz w:w="11906" w:h="16838"/>
          <w:pgMar w:top="1418" w:right="1361" w:bottom="1418" w:left="1474" w:header="851" w:footer="992" w:gutter="0"/>
          <w:pgNumType w:start="1"/>
          <w:cols w:space="720" w:num="1"/>
          <w:titlePg/>
          <w:docGrid w:type="lines" w:linePitch="312" w:charSpace="0"/>
        </w:sectPr>
      </w:pPr>
    </w:p>
    <w:p w14:paraId="1F699A8F">
      <w:pPr>
        <w:pStyle w:val="2"/>
        <w:tabs>
          <w:tab w:val="left" w:pos="1444"/>
        </w:tabs>
      </w:pPr>
      <w:r>
        <w:t>目</w:t>
      </w:r>
      <w:r>
        <w:tab/>
      </w:r>
      <w:r>
        <w:t>录</w:t>
      </w:r>
    </w:p>
    <w:p w14:paraId="74945981">
      <w:pPr>
        <w:pStyle w:val="11"/>
        <w:spacing w:before="4"/>
        <w:rPr>
          <w:rFonts w:ascii="宋体" w:hAnsi="宋体" w:eastAsia="宋体" w:cs="宋体"/>
          <w:b/>
          <w:bCs/>
          <w:sz w:val="32"/>
          <w:szCs w:val="32"/>
          <w:lang w:val="zh-CN" w:eastAsia="zh-CN" w:bidi="zh-CN"/>
        </w:rPr>
      </w:pPr>
    </w:p>
    <w:p w14:paraId="605F61C6">
      <w:pPr>
        <w:pStyle w:val="3"/>
        <w:numPr>
          <w:ilvl w:val="0"/>
          <w:numId w:val="1"/>
        </w:numPr>
        <w:tabs>
          <w:tab w:val="left" w:pos="3963"/>
        </w:tabs>
        <w:spacing w:line="491" w:lineRule="auto"/>
        <w:ind w:right="3030" w:rightChars="0"/>
        <w:rPr>
          <w:spacing w:val="-16"/>
        </w:rPr>
      </w:pPr>
      <w:r>
        <w:rPr>
          <w:rFonts w:hint="eastAsia"/>
          <w:lang w:eastAsia="zh-CN"/>
        </w:rPr>
        <w:t>竞争性</w:t>
      </w:r>
      <w:r>
        <w:t>谈判公</w:t>
      </w:r>
      <w:r>
        <w:rPr>
          <w:spacing w:val="-16"/>
        </w:rPr>
        <w:t>告</w:t>
      </w:r>
    </w:p>
    <w:p w14:paraId="09CEAC28">
      <w:pPr>
        <w:pStyle w:val="3"/>
        <w:numPr>
          <w:ilvl w:val="0"/>
          <w:numId w:val="1"/>
        </w:numPr>
        <w:tabs>
          <w:tab w:val="left" w:pos="3963"/>
        </w:tabs>
        <w:spacing w:line="491" w:lineRule="auto"/>
        <w:ind w:right="3030" w:rightChars="0"/>
      </w:pPr>
      <w:r>
        <w:t>谈判须</w:t>
      </w:r>
      <w:r>
        <w:rPr>
          <w:spacing w:val="-16"/>
        </w:rPr>
        <w:t>知</w:t>
      </w:r>
    </w:p>
    <w:p w14:paraId="27FFF12F">
      <w:pPr>
        <w:tabs>
          <w:tab w:val="left" w:pos="3963"/>
        </w:tabs>
        <w:spacing w:before="0" w:line="491" w:lineRule="auto"/>
        <w:ind w:left="2676" w:right="2771" w:firstLine="0"/>
        <w:jc w:val="left"/>
        <w:rPr>
          <w:b/>
          <w:sz w:val="32"/>
        </w:rPr>
      </w:pPr>
      <w:r>
        <w:rPr>
          <w:b/>
          <w:sz w:val="32"/>
        </w:rPr>
        <w:t>第三章</w:t>
      </w:r>
      <w:r>
        <w:rPr>
          <w:b/>
          <w:sz w:val="32"/>
        </w:rPr>
        <w:tab/>
      </w:r>
      <w:r>
        <w:rPr>
          <w:b/>
          <w:sz w:val="32"/>
        </w:rPr>
        <w:t>采购内容及服务要</w:t>
      </w:r>
      <w:r>
        <w:rPr>
          <w:b/>
          <w:spacing w:val="-14"/>
          <w:sz w:val="32"/>
        </w:rPr>
        <w:t>求</w:t>
      </w:r>
      <w:r>
        <w:rPr>
          <w:b/>
          <w:sz w:val="32"/>
        </w:rPr>
        <w:t>第四章</w:t>
      </w:r>
      <w:r>
        <w:rPr>
          <w:b/>
          <w:sz w:val="32"/>
        </w:rPr>
        <w:tab/>
      </w:r>
      <w:r>
        <w:rPr>
          <w:b/>
          <w:sz w:val="32"/>
        </w:rPr>
        <w:t>合同主要条款</w:t>
      </w:r>
    </w:p>
    <w:p w14:paraId="545A64B4">
      <w:pPr>
        <w:tabs>
          <w:tab w:val="left" w:pos="3963"/>
        </w:tabs>
        <w:spacing w:before="0" w:line="409" w:lineRule="exact"/>
        <w:ind w:left="2676" w:right="0" w:firstLine="0"/>
        <w:jc w:val="left"/>
        <w:rPr>
          <w:b/>
          <w:sz w:val="32"/>
        </w:rPr>
      </w:pPr>
      <w:r>
        <w:rPr>
          <w:b/>
          <w:sz w:val="32"/>
        </w:rPr>
        <w:t>第五章</w:t>
      </w:r>
      <w:r>
        <w:rPr>
          <w:b/>
          <w:sz w:val="32"/>
        </w:rPr>
        <w:tab/>
      </w:r>
      <w:r>
        <w:rPr>
          <w:b/>
          <w:sz w:val="32"/>
        </w:rPr>
        <w:t>谈判响应文件基本格式</w:t>
      </w:r>
    </w:p>
    <w:p w14:paraId="287BE5AD">
      <w:pPr>
        <w:spacing w:after="0" w:line="409" w:lineRule="exact"/>
        <w:jc w:val="left"/>
        <w:rPr>
          <w:sz w:val="32"/>
        </w:rPr>
        <w:sectPr>
          <w:footerReference r:id="rId10" w:type="default"/>
          <w:pgSz w:w="11910" w:h="16840"/>
          <w:pgMar w:top="1580" w:right="1040" w:bottom="1420" w:left="1240" w:header="0" w:footer="1226" w:gutter="0"/>
          <w:cols w:space="720" w:num="1"/>
        </w:sectPr>
      </w:pPr>
    </w:p>
    <w:p w14:paraId="029B40C6">
      <w:pPr>
        <w:keepNext w:val="0"/>
        <w:keepLines w:val="0"/>
        <w:pageBreakBefore w:val="0"/>
        <w:numPr>
          <w:ilvl w:val="0"/>
          <w:numId w:val="0"/>
        </w:numPr>
        <w:tabs>
          <w:tab w:val="left" w:pos="1620"/>
        </w:tabs>
        <w:kinsoku/>
        <w:wordWrap/>
        <w:overflowPunct/>
        <w:topLinePunct w:val="0"/>
        <w:autoSpaceDE/>
        <w:autoSpaceDN/>
        <w:bidi w:val="0"/>
        <w:adjustRightInd/>
        <w:snapToGrid/>
        <w:spacing w:line="360" w:lineRule="auto"/>
        <w:ind w:right="-207" w:rightChars="-94"/>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第一章、</w:t>
      </w:r>
      <w:r>
        <w:rPr>
          <w:rFonts w:hint="eastAsia" w:ascii="仿宋" w:hAnsi="仿宋" w:eastAsia="仿宋" w:cs="仿宋"/>
          <w:b/>
          <w:color w:val="auto"/>
          <w:sz w:val="28"/>
          <w:szCs w:val="28"/>
          <w:highlight w:val="none"/>
        </w:rPr>
        <w:t>竞争性谈判公告</w:t>
      </w:r>
    </w:p>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460"/>
      </w:tblGrid>
      <w:tr w14:paraId="1F4E1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6" w:hRule="atLeast"/>
          <w:tblHeader/>
          <w:jc w:val="center"/>
        </w:trPr>
        <w:tc>
          <w:tcPr>
            <w:tcW w:w="946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09339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jc w:val="left"/>
              <w:textAlignment w:val="baseline"/>
              <w:rPr>
                <w:rFonts w:hint="eastAsia" w:ascii="仿宋" w:hAnsi="仿宋" w:eastAsia="仿宋" w:cs="仿宋"/>
                <w:b w:val="0"/>
                <w:bCs w:val="0"/>
                <w:sz w:val="22"/>
                <w:szCs w:val="22"/>
                <w:highlight w:val="none"/>
              </w:rPr>
            </w:pPr>
            <w:r>
              <w:rPr>
                <w:rStyle w:val="24"/>
                <w:rFonts w:hint="eastAsia" w:ascii="仿宋" w:hAnsi="仿宋" w:eastAsia="仿宋" w:cs="仿宋"/>
                <w:b/>
                <w:bCs/>
                <w:i w:val="0"/>
                <w:iCs w:val="0"/>
                <w:caps w:val="0"/>
                <w:color w:val="333333"/>
                <w:spacing w:val="0"/>
                <w:sz w:val="22"/>
                <w:szCs w:val="22"/>
                <w:highlight w:val="none"/>
                <w:shd w:val="clear" w:color="auto" w:fill="FFFFFF"/>
                <w:vertAlign w:val="baseline"/>
              </w:rPr>
              <w:t>项目概况</w:t>
            </w:r>
          </w:p>
          <w:p w14:paraId="68FEFB6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442" w:firstLineChars="200"/>
              <w:jc w:val="both"/>
              <w:textAlignment w:val="center"/>
              <w:rPr>
                <w:rFonts w:hint="eastAsia" w:ascii="仿宋" w:hAnsi="仿宋" w:eastAsia="仿宋" w:cs="仿宋"/>
                <w:b/>
                <w:bCs/>
                <w:sz w:val="22"/>
                <w:szCs w:val="22"/>
                <w:highlight w:val="none"/>
              </w:rPr>
            </w:pPr>
            <w:r>
              <w:rPr>
                <w:rFonts w:hint="eastAsia" w:ascii="仿宋" w:hAnsi="仿宋" w:eastAsia="仿宋" w:cs="仿宋"/>
                <w:b/>
                <w:bCs/>
                <w:i w:val="0"/>
                <w:iCs w:val="0"/>
                <w:caps w:val="0"/>
                <w:color w:val="333333"/>
                <w:spacing w:val="0"/>
                <w:sz w:val="22"/>
                <w:szCs w:val="22"/>
                <w:highlight w:val="none"/>
                <w:shd w:val="clear" w:color="auto" w:fill="FFFFFF"/>
                <w:vertAlign w:val="baseline"/>
                <w:lang w:val="en-US" w:eastAsia="zh-CN"/>
              </w:rPr>
              <w:t>石泉县职业技术教育中心消防三年攻坚整改项目</w:t>
            </w:r>
            <w:r>
              <w:rPr>
                <w:rFonts w:hint="eastAsia" w:ascii="仿宋" w:hAnsi="仿宋" w:eastAsia="仿宋" w:cs="仿宋"/>
                <w:i w:val="0"/>
                <w:iCs w:val="0"/>
                <w:caps w:val="0"/>
                <w:color w:val="333333"/>
                <w:spacing w:val="0"/>
                <w:sz w:val="22"/>
                <w:szCs w:val="22"/>
                <w:highlight w:val="none"/>
                <w:shd w:val="clear" w:color="auto" w:fill="FFFFFF"/>
                <w:vertAlign w:val="baseline"/>
              </w:rPr>
              <w:t>的</w:t>
            </w:r>
            <w:r>
              <w:rPr>
                <w:rFonts w:hint="eastAsia" w:ascii="仿宋" w:hAnsi="仿宋" w:eastAsia="仿宋" w:cs="仿宋"/>
                <w:color w:val="auto"/>
                <w:sz w:val="22"/>
                <w:szCs w:val="22"/>
                <w:highlight w:val="none"/>
                <w:shd w:val="clear" w:color="auto" w:fill="FFFFFF"/>
              </w:rPr>
              <w:t>潜在供应商应在</w:t>
            </w:r>
            <w:r>
              <w:rPr>
                <w:rFonts w:hint="eastAsia" w:ascii="仿宋" w:hAnsi="仿宋" w:eastAsia="仿宋" w:cs="仿宋"/>
                <w:color w:val="auto"/>
                <w:sz w:val="22"/>
                <w:szCs w:val="22"/>
                <w:highlight w:val="none"/>
                <w:shd w:val="clear" w:color="auto" w:fill="FFFFFF"/>
                <w:lang w:val="zh-CN"/>
              </w:rPr>
              <w:t>亿诚建设项目管理有限公司石泉分公司（金江花园后门）</w:t>
            </w:r>
            <w:r>
              <w:rPr>
                <w:rFonts w:hint="eastAsia" w:ascii="仿宋" w:hAnsi="仿宋" w:eastAsia="仿宋" w:cs="仿宋"/>
                <w:color w:val="auto"/>
                <w:sz w:val="22"/>
                <w:szCs w:val="22"/>
                <w:highlight w:val="none"/>
                <w:shd w:val="clear" w:color="auto" w:fill="FFFFFF"/>
              </w:rPr>
              <w:t>获取采购文件</w:t>
            </w:r>
            <w:r>
              <w:rPr>
                <w:rFonts w:hint="eastAsia" w:ascii="仿宋" w:hAnsi="仿宋" w:eastAsia="仿宋" w:cs="仿宋"/>
                <w:i w:val="0"/>
                <w:iCs w:val="0"/>
                <w:caps w:val="0"/>
                <w:color w:val="333333"/>
                <w:spacing w:val="0"/>
                <w:sz w:val="22"/>
                <w:szCs w:val="22"/>
                <w:highlight w:val="none"/>
                <w:shd w:val="clear" w:color="auto" w:fill="FFFFFF"/>
                <w:vertAlign w:val="baseline"/>
              </w:rPr>
              <w:t>，</w:t>
            </w:r>
            <w:r>
              <w:rPr>
                <w:rFonts w:hint="eastAsia" w:ascii="仿宋" w:hAnsi="仿宋" w:eastAsia="仿宋" w:cs="仿宋"/>
                <w:b/>
                <w:bCs/>
                <w:i w:val="0"/>
                <w:iCs w:val="0"/>
                <w:caps w:val="0"/>
                <w:color w:val="333333"/>
                <w:spacing w:val="0"/>
                <w:sz w:val="22"/>
                <w:szCs w:val="22"/>
                <w:highlight w:val="none"/>
                <w:shd w:val="clear" w:color="auto" w:fill="FFFFFF"/>
                <w:vertAlign w:val="baseline"/>
              </w:rPr>
              <w:t>202</w:t>
            </w:r>
            <w:r>
              <w:rPr>
                <w:rFonts w:hint="eastAsia" w:ascii="仿宋" w:hAnsi="仿宋" w:eastAsia="仿宋" w:cs="仿宋"/>
                <w:b/>
                <w:bCs/>
                <w:i w:val="0"/>
                <w:iCs w:val="0"/>
                <w:caps w:val="0"/>
                <w:color w:val="333333"/>
                <w:spacing w:val="0"/>
                <w:sz w:val="22"/>
                <w:szCs w:val="22"/>
                <w:highlight w:val="none"/>
                <w:shd w:val="clear" w:color="auto" w:fill="FFFFFF"/>
                <w:vertAlign w:val="baseline"/>
                <w:lang w:val="en-US" w:eastAsia="zh-CN"/>
              </w:rPr>
              <w:t>5</w:t>
            </w:r>
            <w:r>
              <w:rPr>
                <w:rFonts w:hint="eastAsia" w:ascii="仿宋" w:hAnsi="仿宋" w:eastAsia="仿宋" w:cs="仿宋"/>
                <w:b/>
                <w:bCs/>
                <w:i w:val="0"/>
                <w:iCs w:val="0"/>
                <w:caps w:val="0"/>
                <w:color w:val="333333"/>
                <w:spacing w:val="0"/>
                <w:sz w:val="22"/>
                <w:szCs w:val="22"/>
                <w:highlight w:val="none"/>
                <w:shd w:val="clear" w:color="auto" w:fill="FFFFFF"/>
                <w:vertAlign w:val="baseline"/>
              </w:rPr>
              <w:t>年</w:t>
            </w:r>
            <w:r>
              <w:rPr>
                <w:rFonts w:hint="eastAsia" w:ascii="仿宋" w:hAnsi="仿宋" w:eastAsia="仿宋" w:cs="仿宋"/>
                <w:b/>
                <w:bCs/>
                <w:i w:val="0"/>
                <w:iCs w:val="0"/>
                <w:caps w:val="0"/>
                <w:color w:val="333333"/>
                <w:spacing w:val="0"/>
                <w:sz w:val="22"/>
                <w:szCs w:val="22"/>
                <w:highlight w:val="none"/>
                <w:shd w:val="clear" w:color="auto" w:fill="FFFFFF"/>
                <w:vertAlign w:val="baseline"/>
                <w:lang w:val="en-US" w:eastAsia="zh-CN"/>
              </w:rPr>
              <w:t>9</w:t>
            </w:r>
            <w:r>
              <w:rPr>
                <w:rFonts w:hint="eastAsia" w:ascii="仿宋" w:hAnsi="仿宋" w:eastAsia="仿宋" w:cs="仿宋"/>
                <w:b/>
                <w:bCs/>
                <w:i w:val="0"/>
                <w:iCs w:val="0"/>
                <w:caps w:val="0"/>
                <w:color w:val="333333"/>
                <w:spacing w:val="0"/>
                <w:sz w:val="22"/>
                <w:szCs w:val="22"/>
                <w:highlight w:val="none"/>
                <w:shd w:val="clear" w:color="auto" w:fill="FFFFFF"/>
                <w:vertAlign w:val="baseline"/>
              </w:rPr>
              <w:t>月</w:t>
            </w:r>
            <w:r>
              <w:rPr>
                <w:rFonts w:hint="eastAsia" w:ascii="仿宋" w:hAnsi="仿宋" w:eastAsia="仿宋" w:cs="仿宋"/>
                <w:b/>
                <w:bCs/>
                <w:i w:val="0"/>
                <w:iCs w:val="0"/>
                <w:caps w:val="0"/>
                <w:color w:val="333333"/>
                <w:spacing w:val="0"/>
                <w:sz w:val="22"/>
                <w:szCs w:val="22"/>
                <w:highlight w:val="none"/>
                <w:shd w:val="clear" w:color="auto" w:fill="FFFFFF"/>
                <w:vertAlign w:val="baseline"/>
                <w:lang w:val="en-US" w:eastAsia="zh-CN"/>
              </w:rPr>
              <w:t>18</w:t>
            </w:r>
            <w:r>
              <w:rPr>
                <w:rFonts w:hint="eastAsia" w:ascii="仿宋" w:hAnsi="仿宋" w:eastAsia="仿宋" w:cs="仿宋"/>
                <w:b/>
                <w:bCs/>
                <w:i w:val="0"/>
                <w:iCs w:val="0"/>
                <w:caps w:val="0"/>
                <w:color w:val="333333"/>
                <w:spacing w:val="0"/>
                <w:sz w:val="22"/>
                <w:szCs w:val="22"/>
                <w:highlight w:val="none"/>
                <w:shd w:val="clear" w:color="auto" w:fill="FFFFFF"/>
                <w:vertAlign w:val="baseline"/>
              </w:rPr>
              <w:t>日</w:t>
            </w:r>
            <w:r>
              <w:rPr>
                <w:rFonts w:hint="eastAsia" w:ascii="仿宋" w:hAnsi="仿宋" w:eastAsia="仿宋" w:cs="仿宋"/>
                <w:b/>
                <w:bCs/>
                <w:i w:val="0"/>
                <w:iCs w:val="0"/>
                <w:caps w:val="0"/>
                <w:color w:val="333333"/>
                <w:spacing w:val="0"/>
                <w:sz w:val="22"/>
                <w:szCs w:val="22"/>
                <w:highlight w:val="none"/>
                <w:shd w:val="clear" w:color="auto" w:fill="FFFFFF"/>
                <w:vertAlign w:val="baseline"/>
                <w:lang w:val="en-US" w:eastAsia="zh-CN"/>
              </w:rPr>
              <w:t>15</w:t>
            </w:r>
            <w:r>
              <w:rPr>
                <w:rFonts w:hint="eastAsia" w:ascii="仿宋" w:hAnsi="仿宋" w:eastAsia="仿宋" w:cs="仿宋"/>
                <w:b/>
                <w:bCs/>
                <w:i w:val="0"/>
                <w:iCs w:val="0"/>
                <w:caps w:val="0"/>
                <w:color w:val="333333"/>
                <w:spacing w:val="0"/>
                <w:sz w:val="22"/>
                <w:szCs w:val="22"/>
                <w:highlight w:val="none"/>
                <w:shd w:val="clear" w:color="auto" w:fill="FFFFFF"/>
                <w:vertAlign w:val="baseline"/>
              </w:rPr>
              <w:t>时</w:t>
            </w:r>
            <w:r>
              <w:rPr>
                <w:rFonts w:hint="eastAsia" w:ascii="仿宋" w:hAnsi="仿宋" w:eastAsia="仿宋" w:cs="仿宋"/>
                <w:b/>
                <w:bCs/>
                <w:i w:val="0"/>
                <w:iCs w:val="0"/>
                <w:caps w:val="0"/>
                <w:color w:val="333333"/>
                <w:spacing w:val="0"/>
                <w:sz w:val="22"/>
                <w:szCs w:val="22"/>
                <w:highlight w:val="none"/>
                <w:shd w:val="clear" w:color="auto" w:fill="FFFFFF"/>
                <w:vertAlign w:val="baseline"/>
                <w:lang w:val="en-US" w:eastAsia="zh-CN"/>
              </w:rPr>
              <w:t>00</w:t>
            </w:r>
            <w:r>
              <w:rPr>
                <w:rFonts w:hint="eastAsia" w:ascii="仿宋" w:hAnsi="仿宋" w:eastAsia="仿宋" w:cs="仿宋"/>
                <w:b/>
                <w:bCs/>
                <w:i w:val="0"/>
                <w:iCs w:val="0"/>
                <w:caps w:val="0"/>
                <w:color w:val="333333"/>
                <w:spacing w:val="0"/>
                <w:sz w:val="22"/>
                <w:szCs w:val="22"/>
                <w:highlight w:val="none"/>
                <w:shd w:val="clear" w:color="auto" w:fill="FFFFFF"/>
                <w:vertAlign w:val="baseline"/>
              </w:rPr>
              <w:t>分</w:t>
            </w:r>
            <w:r>
              <w:rPr>
                <w:rFonts w:hint="eastAsia" w:ascii="仿宋" w:hAnsi="仿宋" w:eastAsia="仿宋" w:cs="仿宋"/>
                <w:i w:val="0"/>
                <w:iCs w:val="0"/>
                <w:caps w:val="0"/>
                <w:color w:val="333333"/>
                <w:spacing w:val="0"/>
                <w:sz w:val="22"/>
                <w:szCs w:val="22"/>
                <w:highlight w:val="none"/>
                <w:shd w:val="clear" w:color="auto" w:fill="FFFFFF"/>
                <w:vertAlign w:val="baseline"/>
              </w:rPr>
              <w:t>（北京时间）前递交</w:t>
            </w:r>
            <w:r>
              <w:rPr>
                <w:rFonts w:hint="eastAsia" w:ascii="仿宋" w:hAnsi="仿宋" w:eastAsia="仿宋" w:cs="仿宋"/>
                <w:i w:val="0"/>
                <w:iCs w:val="0"/>
                <w:caps w:val="0"/>
                <w:color w:val="333333"/>
                <w:spacing w:val="0"/>
                <w:sz w:val="22"/>
                <w:szCs w:val="22"/>
                <w:highlight w:val="none"/>
                <w:shd w:val="clear" w:color="auto" w:fill="FFFFFF"/>
                <w:vertAlign w:val="baseline"/>
                <w:lang w:eastAsia="zh-CN"/>
              </w:rPr>
              <w:t>响应文件</w:t>
            </w:r>
            <w:r>
              <w:rPr>
                <w:rFonts w:hint="eastAsia" w:ascii="仿宋" w:hAnsi="仿宋" w:eastAsia="仿宋" w:cs="仿宋"/>
                <w:i w:val="0"/>
                <w:iCs w:val="0"/>
                <w:caps w:val="0"/>
                <w:color w:val="333333"/>
                <w:spacing w:val="0"/>
                <w:sz w:val="22"/>
                <w:szCs w:val="22"/>
                <w:highlight w:val="none"/>
                <w:shd w:val="clear" w:color="auto" w:fill="FFFFFF"/>
                <w:vertAlign w:val="baseline"/>
              </w:rPr>
              <w:t>。</w:t>
            </w:r>
          </w:p>
        </w:tc>
      </w:tr>
    </w:tbl>
    <w:p w14:paraId="20546BF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jc w:val="left"/>
        <w:textAlignment w:val="baseline"/>
        <w:rPr>
          <w:rFonts w:hint="eastAsia" w:ascii="仿宋" w:hAnsi="仿宋" w:eastAsia="仿宋" w:cs="仿宋"/>
          <w:b w:val="0"/>
          <w:bCs w:val="0"/>
          <w:sz w:val="22"/>
          <w:szCs w:val="22"/>
          <w:highlight w:val="none"/>
        </w:rPr>
      </w:pPr>
      <w:r>
        <w:rPr>
          <w:rStyle w:val="24"/>
          <w:rFonts w:hint="eastAsia" w:ascii="仿宋" w:hAnsi="仿宋" w:eastAsia="仿宋" w:cs="仿宋"/>
          <w:b/>
          <w:bCs/>
          <w:i w:val="0"/>
          <w:iCs w:val="0"/>
          <w:caps w:val="0"/>
          <w:color w:val="333333"/>
          <w:spacing w:val="0"/>
          <w:sz w:val="22"/>
          <w:szCs w:val="22"/>
          <w:highlight w:val="none"/>
          <w:shd w:val="clear" w:color="auto" w:fill="FFFFFF"/>
          <w:vertAlign w:val="baseline"/>
        </w:rPr>
        <w:t>一、项目基本情况</w:t>
      </w:r>
    </w:p>
    <w:p w14:paraId="20832F4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40" w:firstLineChars="200"/>
        <w:jc w:val="both"/>
        <w:textAlignment w:val="baseline"/>
        <w:rPr>
          <w:rFonts w:hint="eastAsia" w:ascii="仿宋" w:hAnsi="仿宋" w:eastAsia="仿宋" w:cs="仿宋"/>
          <w:sz w:val="22"/>
          <w:szCs w:val="22"/>
          <w:highlight w:val="none"/>
          <w:lang w:val="en-US"/>
        </w:rPr>
      </w:pPr>
      <w:r>
        <w:rPr>
          <w:rFonts w:hint="eastAsia" w:ascii="仿宋" w:hAnsi="仿宋" w:eastAsia="仿宋" w:cs="仿宋"/>
          <w:sz w:val="22"/>
          <w:szCs w:val="22"/>
          <w:highlight w:val="none"/>
        </w:rPr>
        <w:t>项目编号：</w:t>
      </w:r>
      <w:r>
        <w:rPr>
          <w:rFonts w:hint="eastAsia" w:ascii="仿宋" w:hAnsi="仿宋" w:eastAsia="仿宋" w:cs="仿宋"/>
          <w:sz w:val="22"/>
          <w:szCs w:val="22"/>
          <w:highlight w:val="none"/>
          <w:lang w:val="en-US" w:eastAsia="zh-CN"/>
        </w:rPr>
        <w:t>YC25440020(CGP)</w:t>
      </w:r>
    </w:p>
    <w:p w14:paraId="23DF11C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40" w:firstLineChars="200"/>
        <w:jc w:val="both"/>
        <w:textAlignment w:val="baseline"/>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rPr>
        <w:t>项目名称：</w:t>
      </w:r>
      <w:r>
        <w:rPr>
          <w:rFonts w:hint="eastAsia" w:ascii="仿宋" w:hAnsi="仿宋" w:eastAsia="仿宋" w:cs="仿宋"/>
          <w:sz w:val="22"/>
          <w:szCs w:val="22"/>
          <w:highlight w:val="none"/>
          <w:lang w:val="en-US" w:eastAsia="zh-CN"/>
        </w:rPr>
        <w:t>石泉县职业技术教育中心消防三年攻坚整改项目</w:t>
      </w:r>
    </w:p>
    <w:p w14:paraId="709A52E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采购方式：</w:t>
      </w:r>
      <w:r>
        <w:rPr>
          <w:rFonts w:hint="eastAsia" w:ascii="仿宋" w:hAnsi="仿宋" w:eastAsia="仿宋" w:cs="仿宋"/>
          <w:sz w:val="22"/>
          <w:szCs w:val="22"/>
          <w:highlight w:val="none"/>
          <w:lang w:val="en-US" w:eastAsia="zh-CN"/>
        </w:rPr>
        <w:t>竞争性谈判</w:t>
      </w:r>
    </w:p>
    <w:p w14:paraId="13BDEDF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预算金额：</w:t>
      </w:r>
      <w:r>
        <w:rPr>
          <w:rFonts w:hint="eastAsia" w:ascii="仿宋" w:hAnsi="仿宋" w:eastAsia="仿宋" w:cs="仿宋"/>
          <w:sz w:val="22"/>
          <w:szCs w:val="22"/>
          <w:highlight w:val="none"/>
          <w:lang w:val="en-US" w:eastAsia="zh-CN"/>
        </w:rPr>
        <w:t>156659.86</w:t>
      </w:r>
      <w:r>
        <w:rPr>
          <w:rFonts w:hint="eastAsia" w:ascii="仿宋" w:hAnsi="仿宋" w:eastAsia="仿宋" w:cs="仿宋"/>
          <w:sz w:val="22"/>
          <w:szCs w:val="22"/>
          <w:highlight w:val="none"/>
          <w:lang w:val="zh-CN" w:eastAsia="zh-CN"/>
        </w:rPr>
        <w:t>元</w:t>
      </w:r>
    </w:p>
    <w:p w14:paraId="26E62EA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采购需求：</w:t>
      </w:r>
    </w:p>
    <w:p w14:paraId="3AB81E9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40" w:firstLineChars="200"/>
        <w:jc w:val="both"/>
        <w:textAlignment w:val="baseline"/>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rPr>
        <w:t>合同包1(</w:t>
      </w:r>
      <w:r>
        <w:rPr>
          <w:rFonts w:hint="eastAsia" w:ascii="仿宋" w:hAnsi="仿宋" w:eastAsia="仿宋" w:cs="仿宋"/>
          <w:sz w:val="22"/>
          <w:szCs w:val="22"/>
          <w:highlight w:val="none"/>
          <w:lang w:val="en-US" w:eastAsia="zh-CN"/>
        </w:rPr>
        <w:t>石泉县职业技术教育中心消防三年攻坚整改项目）</w:t>
      </w:r>
      <w:r>
        <w:rPr>
          <w:rFonts w:hint="eastAsia" w:ascii="仿宋" w:hAnsi="仿宋" w:eastAsia="仿宋" w:cs="仿宋"/>
          <w:sz w:val="22"/>
          <w:szCs w:val="22"/>
          <w:highlight w:val="none"/>
          <w:lang w:eastAsia="zh-CN"/>
        </w:rPr>
        <w:t>：</w:t>
      </w:r>
    </w:p>
    <w:p w14:paraId="73FDDCC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合同包预算金额：</w:t>
      </w:r>
      <w:r>
        <w:rPr>
          <w:rFonts w:hint="eastAsia" w:ascii="仿宋" w:hAnsi="仿宋" w:eastAsia="仿宋" w:cs="仿宋"/>
          <w:sz w:val="22"/>
          <w:szCs w:val="22"/>
          <w:highlight w:val="none"/>
          <w:lang w:val="en-US" w:eastAsia="zh-CN"/>
        </w:rPr>
        <w:t>156659.86</w:t>
      </w:r>
      <w:r>
        <w:rPr>
          <w:rFonts w:hint="eastAsia" w:ascii="仿宋" w:hAnsi="仿宋" w:eastAsia="仿宋" w:cs="仿宋"/>
          <w:sz w:val="22"/>
          <w:szCs w:val="22"/>
          <w:highlight w:val="none"/>
          <w:lang w:val="zh-CN" w:eastAsia="zh-CN"/>
        </w:rPr>
        <w:t>元</w:t>
      </w:r>
    </w:p>
    <w:p w14:paraId="0B15F05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合同包最高限价：</w:t>
      </w:r>
      <w:r>
        <w:rPr>
          <w:rFonts w:hint="eastAsia" w:ascii="仿宋" w:hAnsi="仿宋" w:eastAsia="仿宋" w:cs="仿宋"/>
          <w:sz w:val="22"/>
          <w:szCs w:val="22"/>
          <w:highlight w:val="none"/>
          <w:lang w:val="en-US" w:eastAsia="zh-CN"/>
        </w:rPr>
        <w:t>156659.86</w:t>
      </w:r>
      <w:r>
        <w:rPr>
          <w:rFonts w:hint="eastAsia" w:ascii="仿宋" w:hAnsi="仿宋" w:eastAsia="仿宋" w:cs="仿宋"/>
          <w:sz w:val="22"/>
          <w:szCs w:val="22"/>
          <w:highlight w:val="none"/>
          <w:lang w:val="zh-CN" w:eastAsia="zh-CN"/>
        </w:rPr>
        <w:t>元</w:t>
      </w:r>
    </w:p>
    <w:tbl>
      <w:tblPr>
        <w:tblStyle w:val="21"/>
        <w:tblW w:w="98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49"/>
        <w:gridCol w:w="1217"/>
        <w:gridCol w:w="1935"/>
        <w:gridCol w:w="1140"/>
        <w:gridCol w:w="1841"/>
        <w:gridCol w:w="1318"/>
        <w:gridCol w:w="1318"/>
      </w:tblGrid>
      <w:tr w14:paraId="17F4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18" w:hRule="atLeast"/>
          <w:tblHeader/>
          <w:jc w:val="center"/>
        </w:trPr>
        <w:tc>
          <w:tcPr>
            <w:tcW w:w="104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A5B3F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b/>
                <w:bCs/>
                <w:sz w:val="20"/>
                <w:szCs w:val="20"/>
                <w:highlight w:val="none"/>
              </w:rPr>
            </w:pPr>
            <w:bookmarkStart w:id="0" w:name="OLE_LINK32" w:colFirst="0" w:colLast="6"/>
            <w:r>
              <w:rPr>
                <w:rFonts w:hint="eastAsia" w:ascii="仿宋" w:hAnsi="仿宋" w:eastAsia="仿宋" w:cs="仿宋"/>
                <w:b/>
                <w:bCs/>
                <w:kern w:val="0"/>
                <w:sz w:val="20"/>
                <w:szCs w:val="20"/>
                <w:highlight w:val="none"/>
                <w:lang w:val="en-US" w:eastAsia="zh-CN" w:bidi="ar"/>
              </w:rPr>
              <w:t>品目号</w:t>
            </w:r>
          </w:p>
        </w:tc>
        <w:tc>
          <w:tcPr>
            <w:tcW w:w="12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B28D84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b/>
                <w:bCs/>
                <w:sz w:val="20"/>
                <w:szCs w:val="20"/>
                <w:highlight w:val="none"/>
              </w:rPr>
            </w:pPr>
            <w:r>
              <w:rPr>
                <w:rFonts w:hint="eastAsia" w:ascii="仿宋" w:hAnsi="仿宋" w:eastAsia="仿宋" w:cs="仿宋"/>
                <w:b/>
                <w:bCs/>
                <w:kern w:val="0"/>
                <w:sz w:val="20"/>
                <w:szCs w:val="20"/>
                <w:highlight w:val="none"/>
                <w:lang w:val="en-US" w:eastAsia="zh-CN" w:bidi="ar"/>
              </w:rPr>
              <w:t>品目名称</w:t>
            </w:r>
          </w:p>
        </w:tc>
        <w:tc>
          <w:tcPr>
            <w:tcW w:w="19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97DB8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b/>
                <w:bCs/>
                <w:sz w:val="20"/>
                <w:szCs w:val="20"/>
                <w:highlight w:val="none"/>
              </w:rPr>
            </w:pPr>
            <w:r>
              <w:rPr>
                <w:rFonts w:hint="eastAsia" w:ascii="仿宋" w:hAnsi="仿宋" w:eastAsia="仿宋" w:cs="仿宋"/>
                <w:b/>
                <w:bCs/>
                <w:kern w:val="0"/>
                <w:sz w:val="20"/>
                <w:szCs w:val="20"/>
                <w:highlight w:val="none"/>
                <w:lang w:val="en-US" w:eastAsia="zh-CN" w:bidi="ar"/>
              </w:rPr>
              <w:t>采购标的</w:t>
            </w:r>
          </w:p>
        </w:tc>
        <w:tc>
          <w:tcPr>
            <w:tcW w:w="11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C8643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b/>
                <w:bCs/>
                <w:kern w:val="0"/>
                <w:sz w:val="20"/>
                <w:szCs w:val="20"/>
                <w:highlight w:val="none"/>
                <w:lang w:val="en-US" w:eastAsia="zh-CN" w:bidi="ar"/>
              </w:rPr>
            </w:pPr>
            <w:r>
              <w:rPr>
                <w:rFonts w:hint="eastAsia" w:ascii="仿宋" w:hAnsi="仿宋" w:eastAsia="仿宋" w:cs="仿宋"/>
                <w:b/>
                <w:bCs/>
                <w:kern w:val="0"/>
                <w:sz w:val="20"/>
                <w:szCs w:val="20"/>
                <w:highlight w:val="none"/>
                <w:lang w:val="en-US" w:eastAsia="zh-CN" w:bidi="ar"/>
              </w:rPr>
              <w:t>数量</w:t>
            </w:r>
          </w:p>
          <w:p w14:paraId="6BA804A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b/>
                <w:bCs/>
                <w:sz w:val="20"/>
                <w:szCs w:val="20"/>
                <w:highlight w:val="none"/>
              </w:rPr>
            </w:pPr>
            <w:r>
              <w:rPr>
                <w:rFonts w:hint="eastAsia" w:ascii="仿宋" w:hAnsi="仿宋" w:eastAsia="仿宋" w:cs="仿宋"/>
                <w:b/>
                <w:bCs/>
                <w:kern w:val="0"/>
                <w:sz w:val="20"/>
                <w:szCs w:val="20"/>
                <w:highlight w:val="none"/>
                <w:lang w:val="en-US" w:eastAsia="zh-CN" w:bidi="ar"/>
              </w:rPr>
              <w:t>（单位）</w:t>
            </w:r>
          </w:p>
        </w:tc>
        <w:tc>
          <w:tcPr>
            <w:tcW w:w="18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5CAA6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b/>
                <w:bCs/>
                <w:sz w:val="20"/>
                <w:szCs w:val="20"/>
                <w:highlight w:val="none"/>
              </w:rPr>
            </w:pPr>
            <w:r>
              <w:rPr>
                <w:rFonts w:hint="eastAsia" w:ascii="仿宋" w:hAnsi="仿宋" w:eastAsia="仿宋" w:cs="仿宋"/>
                <w:b/>
                <w:bCs/>
                <w:kern w:val="0"/>
                <w:sz w:val="20"/>
                <w:szCs w:val="20"/>
                <w:highlight w:val="none"/>
                <w:lang w:val="en-US" w:eastAsia="zh-CN" w:bidi="ar"/>
              </w:rPr>
              <w:t>技术规格、参数及要求</w:t>
            </w:r>
          </w:p>
        </w:tc>
        <w:tc>
          <w:tcPr>
            <w:tcW w:w="131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7E63C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b/>
                <w:bCs/>
                <w:sz w:val="20"/>
                <w:szCs w:val="20"/>
                <w:highlight w:val="none"/>
              </w:rPr>
            </w:pPr>
            <w:r>
              <w:rPr>
                <w:rFonts w:hint="eastAsia" w:ascii="仿宋" w:hAnsi="仿宋" w:eastAsia="仿宋" w:cs="仿宋"/>
                <w:b/>
                <w:bCs/>
                <w:kern w:val="0"/>
                <w:sz w:val="20"/>
                <w:szCs w:val="20"/>
                <w:highlight w:val="none"/>
                <w:lang w:val="en-US" w:eastAsia="zh-CN" w:bidi="ar"/>
              </w:rPr>
              <w:t>品目预算(元)</w:t>
            </w:r>
          </w:p>
        </w:tc>
        <w:tc>
          <w:tcPr>
            <w:tcW w:w="131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C56EE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b/>
                <w:bCs/>
                <w:kern w:val="0"/>
                <w:sz w:val="20"/>
                <w:szCs w:val="20"/>
                <w:highlight w:val="none"/>
                <w:lang w:val="en-US" w:eastAsia="zh-CN" w:bidi="ar"/>
              </w:rPr>
            </w:pPr>
            <w:r>
              <w:rPr>
                <w:rFonts w:hint="eastAsia" w:ascii="仿宋" w:hAnsi="仿宋" w:eastAsia="仿宋" w:cs="仿宋"/>
                <w:b/>
                <w:bCs/>
                <w:kern w:val="0"/>
                <w:sz w:val="20"/>
                <w:szCs w:val="20"/>
                <w:highlight w:val="none"/>
                <w:lang w:val="en-US" w:eastAsia="zh-CN" w:bidi="ar"/>
              </w:rPr>
              <w:t>最高限价（元）</w:t>
            </w:r>
          </w:p>
        </w:tc>
      </w:tr>
      <w:tr w14:paraId="0D16B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9" w:hRule="atLeast"/>
          <w:jc w:val="center"/>
        </w:trPr>
        <w:tc>
          <w:tcPr>
            <w:tcW w:w="104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AAE8A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1-1</w:t>
            </w:r>
          </w:p>
        </w:tc>
        <w:tc>
          <w:tcPr>
            <w:tcW w:w="1217"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02B7523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消防工程</w:t>
            </w:r>
          </w:p>
        </w:tc>
        <w:tc>
          <w:tcPr>
            <w:tcW w:w="1935"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5D1339B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消防三年攻坚整改项目</w:t>
            </w:r>
          </w:p>
        </w:tc>
        <w:tc>
          <w:tcPr>
            <w:tcW w:w="1140"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0EF875D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sz w:val="20"/>
                <w:szCs w:val="20"/>
                <w:highlight w:val="none"/>
                <w:lang w:val="en-US" w:eastAsia="zh-CN"/>
              </w:rPr>
            </w:pPr>
            <w:bookmarkStart w:id="1" w:name="OLE_LINK8"/>
            <w:r>
              <w:rPr>
                <w:rFonts w:hint="eastAsia" w:ascii="仿宋" w:hAnsi="仿宋" w:eastAsia="仿宋" w:cs="仿宋"/>
                <w:sz w:val="20"/>
                <w:szCs w:val="20"/>
                <w:highlight w:val="none"/>
                <w:lang w:val="en-US" w:eastAsia="zh-CN"/>
              </w:rPr>
              <w:t>1</w:t>
            </w:r>
            <w:bookmarkEnd w:id="1"/>
            <w:r>
              <w:rPr>
                <w:rFonts w:hint="eastAsia" w:ascii="仿宋" w:hAnsi="仿宋" w:eastAsia="仿宋" w:cs="仿宋"/>
                <w:sz w:val="20"/>
                <w:szCs w:val="20"/>
                <w:highlight w:val="none"/>
                <w:lang w:val="en-US" w:eastAsia="zh-CN"/>
              </w:rPr>
              <w:t>（批）</w:t>
            </w:r>
          </w:p>
        </w:tc>
        <w:tc>
          <w:tcPr>
            <w:tcW w:w="1841"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6850760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sz w:val="20"/>
                <w:szCs w:val="20"/>
                <w:highlight w:val="none"/>
                <w:lang w:val="en-US" w:eastAsia="zh-CN"/>
              </w:rPr>
            </w:pPr>
            <w:bookmarkStart w:id="2" w:name="OLE_LINK10"/>
            <w:r>
              <w:rPr>
                <w:rFonts w:hint="eastAsia" w:ascii="仿宋" w:hAnsi="仿宋" w:eastAsia="仿宋" w:cs="仿宋"/>
                <w:sz w:val="20"/>
                <w:szCs w:val="20"/>
                <w:highlight w:val="none"/>
                <w:lang w:val="en-US" w:eastAsia="zh-CN"/>
              </w:rPr>
              <w:t>详见采购文件</w:t>
            </w:r>
            <w:bookmarkEnd w:id="2"/>
          </w:p>
        </w:tc>
        <w:tc>
          <w:tcPr>
            <w:tcW w:w="1318"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1946ACA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156659.86</w:t>
            </w:r>
          </w:p>
        </w:tc>
        <w:tc>
          <w:tcPr>
            <w:tcW w:w="131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F2B9E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jc w:val="center"/>
              <w:textAlignment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156659.86</w:t>
            </w:r>
          </w:p>
        </w:tc>
      </w:tr>
      <w:bookmarkEnd w:id="0"/>
    </w:tbl>
    <w:p w14:paraId="1ED47F0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本合同包不接受联合体投标</w:t>
      </w:r>
    </w:p>
    <w:p w14:paraId="7BE110A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en-US" w:eastAsia="zh-CN"/>
        </w:rPr>
      </w:pPr>
      <w:bookmarkStart w:id="3" w:name="OLE_LINK6"/>
      <w:r>
        <w:rPr>
          <w:rFonts w:hint="eastAsia" w:ascii="仿宋" w:hAnsi="仿宋" w:eastAsia="仿宋" w:cs="仿宋"/>
          <w:sz w:val="22"/>
          <w:szCs w:val="22"/>
          <w:highlight w:val="none"/>
        </w:rPr>
        <w:t>合同履行期限：</w:t>
      </w:r>
      <w:r>
        <w:rPr>
          <w:rFonts w:hint="eastAsia" w:ascii="仿宋" w:hAnsi="仿宋" w:eastAsia="仿宋" w:cs="仿宋"/>
          <w:color w:val="auto"/>
          <w:sz w:val="22"/>
          <w:szCs w:val="22"/>
          <w:highlight w:val="none"/>
          <w:lang w:val="en-US" w:eastAsia="zh-CN"/>
        </w:rPr>
        <w:t>自合同签订之日</w:t>
      </w:r>
      <w:r>
        <w:rPr>
          <w:rFonts w:hint="eastAsia" w:ascii="仿宋" w:hAnsi="仿宋" w:eastAsia="仿宋" w:cs="仿宋"/>
          <w:color w:val="auto"/>
          <w:sz w:val="22"/>
          <w:szCs w:val="22"/>
          <w:highlight w:val="none"/>
          <w:shd w:val="clear" w:color="auto" w:fill="auto"/>
          <w:lang w:val="en-US" w:eastAsia="zh-CN"/>
        </w:rPr>
        <w:t>起15个日</w:t>
      </w:r>
      <w:r>
        <w:rPr>
          <w:rFonts w:hint="eastAsia" w:ascii="仿宋" w:hAnsi="仿宋" w:eastAsia="仿宋" w:cs="仿宋"/>
          <w:color w:val="auto"/>
          <w:sz w:val="22"/>
          <w:szCs w:val="22"/>
          <w:highlight w:val="none"/>
          <w:lang w:val="en-US" w:eastAsia="zh-CN"/>
        </w:rPr>
        <w:t>历天</w:t>
      </w:r>
    </w:p>
    <w:bookmarkEnd w:id="3"/>
    <w:p w14:paraId="43C6686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jc w:val="left"/>
        <w:textAlignment w:val="baseline"/>
        <w:rPr>
          <w:rFonts w:hint="eastAsia" w:ascii="仿宋" w:hAnsi="仿宋" w:eastAsia="仿宋" w:cs="仿宋"/>
          <w:b w:val="0"/>
          <w:bCs w:val="0"/>
          <w:sz w:val="22"/>
          <w:szCs w:val="22"/>
          <w:highlight w:val="none"/>
        </w:rPr>
      </w:pPr>
      <w:r>
        <w:rPr>
          <w:rStyle w:val="24"/>
          <w:rFonts w:hint="eastAsia" w:ascii="仿宋" w:hAnsi="仿宋" w:eastAsia="仿宋" w:cs="仿宋"/>
          <w:b/>
          <w:bCs/>
          <w:i w:val="0"/>
          <w:iCs w:val="0"/>
          <w:caps w:val="0"/>
          <w:color w:val="333333"/>
          <w:spacing w:val="0"/>
          <w:sz w:val="22"/>
          <w:szCs w:val="22"/>
          <w:highlight w:val="none"/>
          <w:shd w:val="clear" w:color="auto" w:fill="FFFFFF"/>
          <w:vertAlign w:val="baseline"/>
        </w:rPr>
        <w:t>二、申请人的资格要求：</w:t>
      </w:r>
    </w:p>
    <w:p w14:paraId="4E7416D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rPr>
        <w:t>1.满足《中华人民共和国政府采购法》第二十二条规定</w:t>
      </w:r>
      <w:r>
        <w:rPr>
          <w:rFonts w:hint="eastAsia" w:ascii="仿宋" w:hAnsi="仿宋" w:eastAsia="仿宋" w:cs="仿宋"/>
          <w:sz w:val="22"/>
          <w:szCs w:val="22"/>
          <w:highlight w:val="none"/>
          <w:lang w:eastAsia="zh-CN"/>
        </w:rPr>
        <w:t>：</w:t>
      </w:r>
    </w:p>
    <w:p w14:paraId="3E041CC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2.落实政府采购政策需满足的资格要求：</w:t>
      </w:r>
    </w:p>
    <w:p w14:paraId="0118542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color w:val="auto"/>
          <w:sz w:val="22"/>
          <w:szCs w:val="22"/>
          <w:highlight w:val="none"/>
          <w:lang w:eastAsia="zh-CN"/>
        </w:rPr>
      </w:pPr>
      <w:r>
        <w:rPr>
          <w:rFonts w:hint="eastAsia" w:ascii="仿宋" w:hAnsi="仿宋" w:eastAsia="仿宋" w:cs="仿宋"/>
          <w:b w:val="0"/>
          <w:color w:val="auto"/>
          <w:sz w:val="22"/>
          <w:szCs w:val="22"/>
          <w:highlight w:val="none"/>
        </w:rPr>
        <w:t>合同包1(</w:t>
      </w:r>
      <w:r>
        <w:rPr>
          <w:rFonts w:hint="eastAsia" w:ascii="仿宋" w:hAnsi="仿宋" w:eastAsia="仿宋" w:cs="仿宋"/>
          <w:b w:val="0"/>
          <w:color w:val="auto"/>
          <w:sz w:val="22"/>
          <w:szCs w:val="22"/>
          <w:highlight w:val="none"/>
          <w:lang w:val="en-US" w:eastAsia="zh-CN"/>
        </w:rPr>
        <w:t>石泉县职业技术教育中心消防三年攻坚整改项目）</w:t>
      </w:r>
      <w:r>
        <w:rPr>
          <w:rFonts w:hint="eastAsia" w:ascii="仿宋" w:hAnsi="仿宋" w:eastAsia="仿宋" w:cs="仿宋"/>
          <w:b w:val="0"/>
          <w:color w:val="auto"/>
          <w:sz w:val="22"/>
          <w:szCs w:val="22"/>
          <w:highlight w:val="none"/>
        </w:rPr>
        <w:t>落实政府采购政策需满足的资格要求如下</w:t>
      </w:r>
      <w:r>
        <w:rPr>
          <w:rFonts w:hint="eastAsia" w:ascii="仿宋" w:hAnsi="仿宋" w:eastAsia="仿宋" w:cs="仿宋"/>
          <w:b w:val="0"/>
          <w:color w:val="auto"/>
          <w:sz w:val="22"/>
          <w:szCs w:val="22"/>
          <w:highlight w:val="none"/>
          <w:lang w:eastAsia="zh-CN"/>
        </w:rPr>
        <w:t>：</w:t>
      </w:r>
    </w:p>
    <w:p w14:paraId="511BCD35">
      <w:pPr>
        <w:pStyle w:val="29"/>
        <w:keepNext w:val="0"/>
        <w:keepLines w:val="0"/>
        <w:widowControl w:val="0"/>
        <w:suppressLineNumbers w:val="0"/>
        <w:shd w:val="clear" w:color="auto" w:fill="auto"/>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rPr>
      </w:pPr>
      <w:r>
        <w:rPr>
          <w:rFonts w:hint="eastAsia" w:ascii="仿宋" w:hAnsi="仿宋" w:eastAsia="仿宋" w:cs="仿宋"/>
          <w:color w:val="000000"/>
          <w:kern w:val="2"/>
          <w:sz w:val="22"/>
          <w:szCs w:val="22"/>
        </w:rPr>
        <w:t>本项目为专门面向</w:t>
      </w:r>
      <w:r>
        <w:rPr>
          <w:rFonts w:hint="eastAsia" w:ascii="仿宋" w:hAnsi="仿宋" w:eastAsia="仿宋" w:cs="仿宋"/>
          <w:color w:val="000000"/>
          <w:kern w:val="2"/>
          <w:sz w:val="22"/>
          <w:szCs w:val="22"/>
          <w:lang w:eastAsia="zh-CN"/>
        </w:rPr>
        <w:t>小微</w:t>
      </w:r>
      <w:r>
        <w:rPr>
          <w:rFonts w:hint="eastAsia" w:ascii="仿宋" w:hAnsi="仿宋" w:eastAsia="仿宋" w:cs="仿宋"/>
          <w:color w:val="000000"/>
          <w:kern w:val="2"/>
          <w:sz w:val="22"/>
          <w:szCs w:val="22"/>
        </w:rPr>
        <w:t>企业项目，供应商应为小型企业、微型企业、监狱企业、残疾人福利性单位。供应商为</w:t>
      </w:r>
      <w:r>
        <w:rPr>
          <w:rFonts w:hint="eastAsia" w:ascii="仿宋" w:hAnsi="仿宋" w:eastAsia="仿宋" w:cs="仿宋"/>
          <w:color w:val="000000"/>
          <w:kern w:val="2"/>
          <w:sz w:val="22"/>
          <w:szCs w:val="22"/>
          <w:lang w:eastAsia="zh-CN"/>
        </w:rPr>
        <w:t>小微</w:t>
      </w:r>
      <w:r>
        <w:rPr>
          <w:rFonts w:hint="eastAsia" w:ascii="仿宋" w:hAnsi="仿宋" w:eastAsia="仿宋" w:cs="仿宋"/>
          <w:color w:val="000000"/>
          <w:kern w:val="2"/>
          <w:sz w:val="22"/>
          <w:szCs w:val="22"/>
        </w:rPr>
        <w:t xml:space="preserve">企业的，提供《中小企业声明函》， </w:t>
      </w:r>
      <w:r>
        <w:rPr>
          <w:rFonts w:hint="eastAsia" w:ascii="仿宋" w:hAnsi="仿宋" w:eastAsia="仿宋" w:cs="仿宋"/>
          <w:b/>
          <w:bCs/>
          <w:color w:val="000000"/>
          <w:kern w:val="0"/>
          <w:sz w:val="22"/>
          <w:szCs w:val="22"/>
          <w:lang w:val="en-US" w:eastAsia="zh-CN" w:bidi="ar-SA"/>
        </w:rPr>
        <w:t>且小、微企业的划分标准所属行业为建筑业</w:t>
      </w:r>
      <w:r>
        <w:rPr>
          <w:rFonts w:hint="eastAsia" w:ascii="仿宋" w:hAnsi="仿宋" w:eastAsia="仿宋" w:cs="仿宋"/>
          <w:color w:val="000000"/>
          <w:kern w:val="0"/>
          <w:sz w:val="22"/>
          <w:szCs w:val="22"/>
          <w:lang w:val="en-US" w:eastAsia="zh-CN" w:bidi="ar-SA"/>
        </w:rPr>
        <w:t>；供应商为监狱企业的</w:t>
      </w:r>
      <w:r>
        <w:rPr>
          <w:rFonts w:hint="eastAsia" w:ascii="仿宋" w:hAnsi="仿宋" w:eastAsia="仿宋" w:cs="仿宋"/>
          <w:color w:val="000000"/>
          <w:kern w:val="2"/>
          <w:sz w:val="22"/>
          <w:szCs w:val="22"/>
        </w:rPr>
        <w:t>，应提供监狱企业的证明文件；供应商为残疾人福利性单位的，应提供《残疾人福利性单位声明函》(监狱企业或残疾人福利性单位视同小型、微型企业)。</w:t>
      </w:r>
    </w:p>
    <w:p w14:paraId="660A022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eastAsia="zh-CN"/>
        </w:rPr>
        <w:t xml:space="preserve">（1）、《政府采购促进中小企业发展管理办法》（财库〔2020〕46 号）； </w:t>
      </w:r>
    </w:p>
    <w:p w14:paraId="01DD2A6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eastAsia="zh-CN"/>
        </w:rPr>
        <w:t xml:space="preserve">（2）、《财政部司法部关于政府采购支持监狱企业发展有关问题的通知》（财库〔2014〕 68 号）； </w:t>
      </w:r>
    </w:p>
    <w:p w14:paraId="0520D1E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eastAsia="zh-CN"/>
        </w:rPr>
        <w:t xml:space="preserve">（3）、《财政部发展改革委生态环境部市场监管总局关于调整优化节能产品环境标志产品政府采购执行机制的通知》（财库〔2019〕9 号）； </w:t>
      </w:r>
    </w:p>
    <w:p w14:paraId="78EE233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CN"/>
        </w:rPr>
        <w:t xml:space="preserve">）、《三部门联合发布关于促进残疾人就业政府采购政策的通知》（财库〔2017〕 141 号）； </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CN"/>
        </w:rPr>
        <w:t xml:space="preserve">）、《财政部国务院扶贫办关于运用政府采购政策支持脱贫攻坚的通知》（财库 〔2019〕27号）； </w:t>
      </w:r>
    </w:p>
    <w:p w14:paraId="628291D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CN"/>
        </w:rPr>
        <w:t xml:space="preserve">）、《国务院办公厅关于建立政府强制采购节能产品制度的通知》（国办发〔2007〕 51 号）； </w:t>
      </w:r>
      <w:r>
        <w:rPr>
          <w:rFonts w:hint="eastAsia" w:ascii="仿宋" w:hAnsi="仿宋" w:eastAsia="仿宋" w:cs="仿宋"/>
          <w:b w:val="0"/>
          <w:bCs w:val="0"/>
          <w:color w:val="auto"/>
          <w:sz w:val="22"/>
          <w:szCs w:val="22"/>
          <w:highlight w:val="none"/>
          <w:lang w:val="en-US" w:eastAsia="zh-CN"/>
        </w:rPr>
        <w:t xml:space="preserve">   </w:t>
      </w:r>
    </w:p>
    <w:p w14:paraId="5E2BD58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7</w:t>
      </w:r>
      <w:r>
        <w:rPr>
          <w:rFonts w:hint="eastAsia" w:ascii="仿宋" w:hAnsi="仿宋" w:eastAsia="仿宋" w:cs="仿宋"/>
          <w:b w:val="0"/>
          <w:bCs w:val="0"/>
          <w:color w:val="auto"/>
          <w:sz w:val="22"/>
          <w:szCs w:val="22"/>
          <w:highlight w:val="none"/>
          <w:lang w:eastAsia="zh-CN"/>
        </w:rPr>
        <w:t>）、陕西省财政厅关于印发《陕西省中小企业政府采购信用融资办法》（陕财办采 〔2018〕23 号）；</w:t>
      </w:r>
    </w:p>
    <w:p w14:paraId="229FDCB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8</w:t>
      </w:r>
      <w:r>
        <w:rPr>
          <w:rFonts w:hint="eastAsia" w:ascii="仿宋" w:hAnsi="仿宋" w:eastAsia="仿宋" w:cs="仿宋"/>
          <w:b w:val="0"/>
          <w:bCs w:val="0"/>
          <w:color w:val="auto"/>
          <w:sz w:val="22"/>
          <w:szCs w:val="22"/>
          <w:highlight w:val="none"/>
          <w:lang w:eastAsia="zh-CN"/>
        </w:rPr>
        <w:t>）、《陕西省财政厅关于落实政府采购支持中小企业政策有关事项的通知》陕财办采函〔2022〕10号</w:t>
      </w:r>
      <w:r>
        <w:rPr>
          <w:rFonts w:hint="eastAsia" w:ascii="仿宋" w:hAnsi="仿宋" w:eastAsia="仿宋" w:cs="仿宋"/>
          <w:b w:val="0"/>
          <w:bCs w:val="0"/>
          <w:color w:val="auto"/>
          <w:sz w:val="22"/>
          <w:szCs w:val="22"/>
          <w:highlight w:val="none"/>
          <w:lang w:val="en-US" w:eastAsia="zh-CN"/>
        </w:rPr>
        <w:t>；</w:t>
      </w:r>
    </w:p>
    <w:p w14:paraId="04EEFFE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(9）、</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陕西省财政厅关于进一步落实政府采购支持中小企业相关政策的通知</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陕财办采〔2023〕3号；</w:t>
      </w:r>
    </w:p>
    <w:p w14:paraId="1A59FBE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（10）、《陕西省财政厅关于进一步优化政府采购营商环境有关事项的通知</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陕财办采〔2023〕4号。</w:t>
      </w:r>
    </w:p>
    <w:p w14:paraId="3848F94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520" w:lineRule="exact"/>
        <w:ind w:left="0" w:leftChars="0" w:right="0" w:rightChars="0" w:firstLine="480"/>
        <w:jc w:val="both"/>
        <w:textAlignment w:val="baseline"/>
        <w:rPr>
          <w:rFonts w:hint="eastAsia" w:ascii="仿宋" w:hAnsi="仿宋" w:eastAsia="仿宋" w:cs="仿宋"/>
          <w:b w:val="0"/>
          <w:color w:val="auto"/>
          <w:sz w:val="22"/>
          <w:szCs w:val="22"/>
          <w:highlight w:val="none"/>
        </w:rPr>
      </w:pPr>
      <w:r>
        <w:rPr>
          <w:rFonts w:hint="eastAsia" w:ascii="仿宋" w:hAnsi="仿宋" w:eastAsia="仿宋" w:cs="仿宋"/>
          <w:b w:val="0"/>
          <w:color w:val="auto"/>
          <w:sz w:val="22"/>
          <w:szCs w:val="22"/>
          <w:highlight w:val="none"/>
        </w:rPr>
        <w:t>3.本项目的特定资格要求：</w:t>
      </w:r>
    </w:p>
    <w:p w14:paraId="32DEA0E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rPr>
        <w:t>合同包1(</w:t>
      </w:r>
      <w:r>
        <w:rPr>
          <w:rFonts w:hint="eastAsia" w:ascii="仿宋" w:hAnsi="仿宋" w:eastAsia="仿宋" w:cs="仿宋"/>
          <w:sz w:val="22"/>
          <w:szCs w:val="22"/>
          <w:highlight w:val="none"/>
          <w:lang w:val="en-US" w:eastAsia="zh-CN"/>
        </w:rPr>
        <w:t>石泉县职业技术教育中心消防三年攻坚整改项目）</w:t>
      </w:r>
      <w:r>
        <w:rPr>
          <w:rFonts w:hint="eastAsia" w:ascii="仿宋" w:hAnsi="仿宋" w:eastAsia="仿宋" w:cs="仿宋"/>
          <w:sz w:val="22"/>
          <w:szCs w:val="22"/>
          <w:highlight w:val="none"/>
        </w:rPr>
        <w:t>特定资格要求如下</w:t>
      </w:r>
      <w:r>
        <w:rPr>
          <w:rFonts w:hint="eastAsia" w:ascii="仿宋" w:hAnsi="仿宋" w:eastAsia="仿宋" w:cs="仿宋"/>
          <w:sz w:val="22"/>
          <w:szCs w:val="22"/>
          <w:highlight w:val="none"/>
          <w:lang w:eastAsia="zh-CN"/>
        </w:rPr>
        <w:t>：</w:t>
      </w:r>
    </w:p>
    <w:p w14:paraId="0DCF54A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b w:val="0"/>
          <w:bCs w:val="0"/>
          <w:color w:val="auto"/>
          <w:kern w:val="0"/>
          <w:sz w:val="22"/>
          <w:szCs w:val="22"/>
          <w:highlight w:val="none"/>
          <w:lang w:val="en-US" w:eastAsia="zh-CN" w:bidi="ar"/>
        </w:rPr>
      </w:pPr>
      <w:r>
        <w:rPr>
          <w:rFonts w:hint="eastAsia" w:ascii="仿宋" w:hAnsi="仿宋" w:eastAsia="仿宋" w:cs="仿宋"/>
          <w:b w:val="0"/>
          <w:bCs w:val="0"/>
          <w:color w:val="auto"/>
          <w:kern w:val="0"/>
          <w:sz w:val="22"/>
          <w:szCs w:val="22"/>
          <w:highlight w:val="none"/>
          <w:lang w:val="en-US" w:eastAsia="zh-CN" w:bidi="ar"/>
        </w:rPr>
        <w:t xml:space="preserve">（1）具有独立承担民事责任的能力：提供营业执照、税务登记证、组织机构代码证或三证合一的营业执照副本（或《事业单位法人证书》或其他合法组织登记证书、自然人只须提交身份证)； </w:t>
      </w:r>
    </w:p>
    <w:p w14:paraId="70AA533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b w:val="0"/>
          <w:bCs w:val="0"/>
          <w:color w:val="auto"/>
          <w:kern w:val="0"/>
          <w:sz w:val="22"/>
          <w:szCs w:val="22"/>
          <w:highlight w:val="none"/>
          <w:lang w:val="en-US" w:eastAsia="zh-CN" w:bidi="ar"/>
        </w:rPr>
      </w:pPr>
      <w:r>
        <w:rPr>
          <w:rFonts w:hint="eastAsia" w:ascii="仿宋" w:hAnsi="仿宋" w:eastAsia="仿宋" w:cs="仿宋"/>
          <w:b w:val="0"/>
          <w:bCs w:val="0"/>
          <w:color w:val="auto"/>
          <w:kern w:val="0"/>
          <w:sz w:val="22"/>
          <w:szCs w:val="22"/>
          <w:highlight w:val="none"/>
          <w:lang w:val="en-US" w:eastAsia="zh-CN" w:bidi="ar"/>
        </w:rPr>
        <w:t>（2）法定代表人直接参加投标的，须出具法定代表人身份证；法定代表人授权代表参加投标的，须出具法定代表人授权委托书、法定代表人身份证复印件以及被授权代表身份证复印件；</w:t>
      </w:r>
    </w:p>
    <w:p w14:paraId="35B24FC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b w:val="0"/>
          <w:bCs w:val="0"/>
          <w:color w:val="auto"/>
          <w:kern w:val="0"/>
          <w:sz w:val="22"/>
          <w:szCs w:val="22"/>
          <w:highlight w:val="none"/>
          <w:lang w:val="en-US" w:eastAsia="zh-CN" w:bidi="ar"/>
        </w:rPr>
      </w:pPr>
      <w:r>
        <w:rPr>
          <w:rFonts w:hint="eastAsia" w:ascii="仿宋" w:hAnsi="仿宋" w:eastAsia="仿宋" w:cs="仿宋"/>
          <w:b w:val="0"/>
          <w:bCs w:val="0"/>
          <w:color w:val="auto"/>
          <w:kern w:val="0"/>
          <w:sz w:val="22"/>
          <w:szCs w:val="22"/>
          <w:highlight w:val="none"/>
          <w:lang w:val="en-US" w:eastAsia="zh-CN" w:bidi="ar"/>
        </w:rPr>
        <w:t>（3）供应商具有建设行政主管部门颁发的消防设施工程专业承包二级（含二级）以上资质，并具备合格有效的安全生产许可证；</w:t>
      </w:r>
    </w:p>
    <w:p w14:paraId="4CA4D7B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b w:val="0"/>
          <w:bCs w:val="0"/>
          <w:color w:val="auto"/>
          <w:kern w:val="0"/>
          <w:sz w:val="22"/>
          <w:szCs w:val="22"/>
          <w:highlight w:val="none"/>
          <w:lang w:val="en-US" w:eastAsia="zh-CN" w:bidi="ar"/>
        </w:rPr>
      </w:pPr>
      <w:r>
        <w:rPr>
          <w:rFonts w:hint="eastAsia" w:ascii="仿宋" w:hAnsi="仿宋" w:eastAsia="仿宋" w:cs="仿宋"/>
          <w:b w:val="0"/>
          <w:bCs w:val="0"/>
          <w:color w:val="auto"/>
          <w:kern w:val="0"/>
          <w:sz w:val="22"/>
          <w:szCs w:val="22"/>
          <w:highlight w:val="none"/>
          <w:lang w:val="en-US" w:eastAsia="zh-CN" w:bidi="ar"/>
        </w:rPr>
        <w:t>（4）拟派项目经理须具有机电工程专业二级（含二级）以上的注册建造师资格，提供注册证、安全生产考核合格证、无在建工程承诺书；</w:t>
      </w:r>
    </w:p>
    <w:p w14:paraId="3CB20AF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b w:val="0"/>
          <w:bCs w:val="0"/>
          <w:color w:val="auto"/>
          <w:kern w:val="0"/>
          <w:sz w:val="22"/>
          <w:szCs w:val="22"/>
          <w:highlight w:val="none"/>
          <w:lang w:val="en-US" w:eastAsia="zh-CN" w:bidi="ar"/>
        </w:rPr>
      </w:pPr>
      <w:r>
        <w:rPr>
          <w:rFonts w:hint="eastAsia" w:ascii="仿宋" w:hAnsi="仿宋" w:eastAsia="仿宋" w:cs="仿宋"/>
          <w:b w:val="0"/>
          <w:bCs w:val="0"/>
          <w:color w:val="auto"/>
          <w:kern w:val="0"/>
          <w:sz w:val="22"/>
          <w:szCs w:val="22"/>
          <w:highlight w:val="none"/>
          <w:lang w:val="en-US" w:eastAsia="zh-CN" w:bidi="ar"/>
        </w:rPr>
        <w:t>（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6）社会保障资金缴纳证明：自2025年1月1日以来已缴存的至少1个月的社会保障资金缴存单据或社保机构开具的社会保险参保缴费情况证明，单据或证明上应有社保机构或代收机构的印章。依法不需要缴纳社会保障资金的供应商应提供相关文件证明；</w:t>
      </w:r>
    </w:p>
    <w:p w14:paraId="05CDC6F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b w:val="0"/>
          <w:bCs w:val="0"/>
          <w:color w:val="auto"/>
          <w:kern w:val="0"/>
          <w:sz w:val="22"/>
          <w:szCs w:val="22"/>
          <w:highlight w:val="none"/>
          <w:lang w:val="en-US" w:eastAsia="zh-CN" w:bidi="ar"/>
        </w:rPr>
      </w:pPr>
      <w:r>
        <w:rPr>
          <w:rFonts w:hint="eastAsia" w:ascii="仿宋" w:hAnsi="仿宋" w:eastAsia="仿宋" w:cs="仿宋"/>
          <w:b w:val="0"/>
          <w:bCs w:val="0"/>
          <w:color w:val="auto"/>
          <w:kern w:val="0"/>
          <w:sz w:val="22"/>
          <w:szCs w:val="22"/>
          <w:highlight w:val="none"/>
          <w:lang w:val="en-US" w:eastAsia="zh-CN" w:bidi="ar"/>
        </w:rPr>
        <w:t>（7）税收缴纳证明：自2025年1月1日以来至少1个月的纳税证明或完税证明，纳税证明或完税证明上应有代收机构或税务机关的公章或业务专用章。依法免税的供应商应提供相关文件证明；</w:t>
      </w:r>
    </w:p>
    <w:p w14:paraId="6F93B80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b w:val="0"/>
          <w:bCs w:val="0"/>
          <w:color w:val="auto"/>
          <w:kern w:val="0"/>
          <w:sz w:val="22"/>
          <w:szCs w:val="22"/>
          <w:highlight w:val="none"/>
          <w:lang w:val="en-US" w:eastAsia="zh-CN" w:bidi="ar"/>
        </w:rPr>
      </w:pPr>
      <w:r>
        <w:rPr>
          <w:rFonts w:hint="eastAsia" w:ascii="仿宋" w:hAnsi="仿宋" w:eastAsia="仿宋" w:cs="仿宋"/>
          <w:b w:val="0"/>
          <w:bCs w:val="0"/>
          <w:color w:val="auto"/>
          <w:kern w:val="0"/>
          <w:sz w:val="22"/>
          <w:szCs w:val="22"/>
          <w:highlight w:val="none"/>
          <w:lang w:val="en-US" w:eastAsia="zh-CN" w:bidi="ar"/>
        </w:rPr>
        <w:t>（8）供应商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14:paraId="356DD8A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b w:val="0"/>
          <w:bCs w:val="0"/>
          <w:color w:val="auto"/>
          <w:kern w:val="0"/>
          <w:sz w:val="22"/>
          <w:szCs w:val="22"/>
          <w:highlight w:val="none"/>
          <w:lang w:val="en-US" w:eastAsia="zh-CN" w:bidi="ar"/>
        </w:rPr>
      </w:pPr>
      <w:r>
        <w:rPr>
          <w:rFonts w:hint="eastAsia" w:ascii="仿宋" w:hAnsi="仿宋" w:eastAsia="仿宋" w:cs="仿宋"/>
          <w:b w:val="0"/>
          <w:bCs w:val="0"/>
          <w:color w:val="auto"/>
          <w:kern w:val="0"/>
          <w:sz w:val="22"/>
          <w:szCs w:val="22"/>
          <w:highlight w:val="none"/>
          <w:lang w:val="en-US" w:eastAsia="zh-CN" w:bidi="ar"/>
        </w:rPr>
        <w:t>（9）参加本次政府采购活动前三年内，在经营活动中没有重大违法记录声明；</w:t>
      </w:r>
    </w:p>
    <w:p w14:paraId="4069EB2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b w:val="0"/>
          <w:bCs w:val="0"/>
          <w:color w:val="auto"/>
          <w:kern w:val="0"/>
          <w:sz w:val="22"/>
          <w:szCs w:val="22"/>
          <w:highlight w:val="none"/>
          <w:lang w:val="en-US" w:eastAsia="zh-CN" w:bidi="ar"/>
        </w:rPr>
      </w:pPr>
      <w:r>
        <w:rPr>
          <w:rFonts w:hint="eastAsia" w:ascii="仿宋" w:hAnsi="仿宋" w:eastAsia="仿宋" w:cs="仿宋"/>
          <w:b w:val="0"/>
          <w:bCs w:val="0"/>
          <w:color w:val="auto"/>
          <w:kern w:val="0"/>
          <w:sz w:val="22"/>
          <w:szCs w:val="22"/>
          <w:highlight w:val="none"/>
          <w:lang w:val="en-US" w:eastAsia="zh-CN" w:bidi="ar"/>
        </w:rPr>
        <w:t>（10）供应商应提供小微企业声明函或残疾人福利性单位声明函或监狱企业证明文件；</w:t>
      </w:r>
    </w:p>
    <w:p w14:paraId="7383DF5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440" w:firstLineChars="200"/>
        <w:jc w:val="left"/>
        <w:textAlignment w:val="baseline"/>
        <w:rPr>
          <w:rFonts w:hint="eastAsia" w:ascii="仿宋" w:hAnsi="仿宋" w:eastAsia="仿宋" w:cs="仿宋"/>
          <w:sz w:val="22"/>
          <w:szCs w:val="22"/>
          <w:highlight w:val="none"/>
          <w:lang w:val="en-US" w:eastAsia="zh-CN"/>
        </w:rPr>
      </w:pPr>
      <w:r>
        <w:rPr>
          <w:rFonts w:hint="eastAsia" w:ascii="仿宋" w:hAnsi="仿宋" w:eastAsia="仿宋" w:cs="仿宋"/>
          <w:b w:val="0"/>
          <w:bCs w:val="0"/>
          <w:color w:val="auto"/>
          <w:kern w:val="0"/>
          <w:sz w:val="22"/>
          <w:szCs w:val="22"/>
          <w:highlight w:val="none"/>
          <w:lang w:val="en-US" w:eastAsia="zh-CN" w:bidi="ar"/>
        </w:rPr>
        <w:t>（11）本项目不接受联合体投标。</w:t>
      </w:r>
    </w:p>
    <w:p w14:paraId="7A6E40E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jc w:val="left"/>
        <w:textAlignment w:val="baseline"/>
        <w:rPr>
          <w:rFonts w:hint="eastAsia" w:ascii="仿宋" w:hAnsi="仿宋" w:eastAsia="仿宋" w:cs="仿宋"/>
          <w:b w:val="0"/>
          <w:bCs w:val="0"/>
          <w:sz w:val="22"/>
          <w:szCs w:val="22"/>
          <w:highlight w:val="none"/>
        </w:rPr>
      </w:pPr>
      <w:r>
        <w:rPr>
          <w:rStyle w:val="24"/>
          <w:rFonts w:hint="eastAsia" w:ascii="仿宋" w:hAnsi="仿宋" w:eastAsia="仿宋" w:cs="仿宋"/>
          <w:b/>
          <w:bCs/>
          <w:i w:val="0"/>
          <w:iCs w:val="0"/>
          <w:caps w:val="0"/>
          <w:color w:val="333333"/>
          <w:spacing w:val="0"/>
          <w:sz w:val="22"/>
          <w:szCs w:val="22"/>
          <w:highlight w:val="none"/>
          <w:shd w:val="clear" w:color="auto" w:fill="FFFFFF"/>
          <w:vertAlign w:val="baseline"/>
        </w:rPr>
        <w:t>三、获取</w:t>
      </w:r>
      <w:r>
        <w:rPr>
          <w:rStyle w:val="24"/>
          <w:rFonts w:hint="eastAsia" w:ascii="仿宋" w:hAnsi="仿宋" w:eastAsia="仿宋" w:cs="仿宋"/>
          <w:b/>
          <w:bCs/>
          <w:i w:val="0"/>
          <w:iCs w:val="0"/>
          <w:caps w:val="0"/>
          <w:color w:val="333333"/>
          <w:spacing w:val="0"/>
          <w:sz w:val="22"/>
          <w:szCs w:val="22"/>
          <w:highlight w:val="none"/>
          <w:shd w:val="clear" w:color="auto" w:fill="FFFFFF"/>
          <w:vertAlign w:val="baseline"/>
          <w:lang w:val="en-US" w:eastAsia="zh-CN"/>
        </w:rPr>
        <w:t>采购</w:t>
      </w:r>
      <w:r>
        <w:rPr>
          <w:rStyle w:val="24"/>
          <w:rFonts w:hint="eastAsia" w:ascii="仿宋" w:hAnsi="仿宋" w:eastAsia="仿宋" w:cs="仿宋"/>
          <w:b/>
          <w:bCs/>
          <w:i w:val="0"/>
          <w:iCs w:val="0"/>
          <w:caps w:val="0"/>
          <w:color w:val="333333"/>
          <w:spacing w:val="0"/>
          <w:sz w:val="22"/>
          <w:szCs w:val="22"/>
          <w:highlight w:val="none"/>
          <w:shd w:val="clear" w:color="auto" w:fill="FFFFFF"/>
          <w:vertAlign w:val="baseline"/>
        </w:rPr>
        <w:t>文件</w:t>
      </w:r>
    </w:p>
    <w:p w14:paraId="2D91450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shd w:val="clear" w:color="auto" w:fill="auto"/>
        </w:rPr>
        <w:t>时间：202</w:t>
      </w:r>
      <w:r>
        <w:rPr>
          <w:rFonts w:hint="eastAsia" w:ascii="仿宋" w:hAnsi="仿宋" w:eastAsia="仿宋" w:cs="仿宋"/>
          <w:sz w:val="22"/>
          <w:szCs w:val="22"/>
          <w:highlight w:val="none"/>
          <w:shd w:val="clear" w:color="auto" w:fill="auto"/>
          <w:lang w:val="en-US" w:eastAsia="zh-CN"/>
        </w:rPr>
        <w:t>5</w:t>
      </w:r>
      <w:r>
        <w:rPr>
          <w:rFonts w:hint="eastAsia" w:ascii="仿宋" w:hAnsi="仿宋" w:eastAsia="仿宋" w:cs="仿宋"/>
          <w:sz w:val="22"/>
          <w:szCs w:val="22"/>
          <w:highlight w:val="none"/>
          <w:shd w:val="clear" w:color="auto" w:fill="auto"/>
        </w:rPr>
        <w:t>年</w:t>
      </w:r>
      <w:r>
        <w:rPr>
          <w:rFonts w:hint="eastAsia" w:ascii="仿宋" w:hAnsi="仿宋" w:eastAsia="仿宋" w:cs="仿宋"/>
          <w:sz w:val="22"/>
          <w:szCs w:val="22"/>
          <w:highlight w:val="none"/>
          <w:shd w:val="clear" w:color="auto" w:fill="auto"/>
          <w:lang w:val="en-US" w:eastAsia="zh-CN"/>
        </w:rPr>
        <w:t>9</w:t>
      </w:r>
      <w:r>
        <w:rPr>
          <w:rFonts w:hint="eastAsia" w:ascii="仿宋" w:hAnsi="仿宋" w:eastAsia="仿宋" w:cs="仿宋"/>
          <w:sz w:val="22"/>
          <w:szCs w:val="22"/>
          <w:highlight w:val="none"/>
          <w:shd w:val="clear" w:color="auto" w:fill="auto"/>
        </w:rPr>
        <w:t>月</w:t>
      </w:r>
      <w:r>
        <w:rPr>
          <w:rFonts w:hint="eastAsia" w:ascii="仿宋" w:hAnsi="仿宋" w:eastAsia="仿宋" w:cs="仿宋"/>
          <w:sz w:val="22"/>
          <w:szCs w:val="22"/>
          <w:highlight w:val="none"/>
          <w:shd w:val="clear" w:color="auto" w:fill="auto"/>
          <w:lang w:val="en-US" w:eastAsia="zh-CN"/>
        </w:rPr>
        <w:t>10</w:t>
      </w:r>
      <w:r>
        <w:rPr>
          <w:rFonts w:hint="eastAsia" w:ascii="仿宋" w:hAnsi="仿宋" w:eastAsia="仿宋" w:cs="仿宋"/>
          <w:sz w:val="22"/>
          <w:szCs w:val="22"/>
          <w:highlight w:val="none"/>
          <w:shd w:val="clear" w:color="auto" w:fill="auto"/>
        </w:rPr>
        <w:t>日至202</w:t>
      </w:r>
      <w:r>
        <w:rPr>
          <w:rFonts w:hint="eastAsia" w:ascii="仿宋" w:hAnsi="仿宋" w:eastAsia="仿宋" w:cs="仿宋"/>
          <w:sz w:val="22"/>
          <w:szCs w:val="22"/>
          <w:highlight w:val="none"/>
          <w:shd w:val="clear" w:color="auto" w:fill="auto"/>
          <w:lang w:val="en-US" w:eastAsia="zh-CN"/>
        </w:rPr>
        <w:t>5</w:t>
      </w:r>
      <w:r>
        <w:rPr>
          <w:rFonts w:hint="eastAsia" w:ascii="仿宋" w:hAnsi="仿宋" w:eastAsia="仿宋" w:cs="仿宋"/>
          <w:sz w:val="22"/>
          <w:szCs w:val="22"/>
          <w:highlight w:val="none"/>
          <w:shd w:val="clear" w:color="auto" w:fill="auto"/>
        </w:rPr>
        <w:t>年</w:t>
      </w:r>
      <w:r>
        <w:rPr>
          <w:rFonts w:hint="eastAsia" w:ascii="仿宋" w:hAnsi="仿宋" w:eastAsia="仿宋" w:cs="仿宋"/>
          <w:sz w:val="22"/>
          <w:szCs w:val="22"/>
          <w:highlight w:val="none"/>
          <w:shd w:val="clear" w:color="auto" w:fill="auto"/>
          <w:lang w:val="en-US" w:eastAsia="zh-CN"/>
        </w:rPr>
        <w:t>9</w:t>
      </w:r>
      <w:r>
        <w:rPr>
          <w:rFonts w:hint="eastAsia" w:ascii="仿宋" w:hAnsi="仿宋" w:eastAsia="仿宋" w:cs="仿宋"/>
          <w:sz w:val="22"/>
          <w:szCs w:val="22"/>
          <w:highlight w:val="none"/>
          <w:shd w:val="clear" w:color="auto" w:fill="auto"/>
        </w:rPr>
        <w:t>月</w:t>
      </w:r>
      <w:r>
        <w:rPr>
          <w:rFonts w:hint="eastAsia" w:ascii="仿宋" w:hAnsi="仿宋" w:eastAsia="仿宋" w:cs="仿宋"/>
          <w:sz w:val="22"/>
          <w:szCs w:val="22"/>
          <w:highlight w:val="none"/>
          <w:shd w:val="clear" w:color="auto" w:fill="auto"/>
          <w:lang w:val="en-US" w:eastAsia="zh-CN"/>
        </w:rPr>
        <w:t>12</w:t>
      </w:r>
      <w:r>
        <w:rPr>
          <w:rFonts w:hint="eastAsia" w:ascii="仿宋" w:hAnsi="仿宋" w:eastAsia="仿宋" w:cs="仿宋"/>
          <w:sz w:val="22"/>
          <w:szCs w:val="22"/>
          <w:highlight w:val="none"/>
          <w:shd w:val="clear" w:color="auto" w:fill="auto"/>
        </w:rPr>
        <w:t>日</w:t>
      </w:r>
      <w:r>
        <w:rPr>
          <w:rFonts w:hint="eastAsia" w:ascii="仿宋" w:hAnsi="仿宋" w:eastAsia="仿宋" w:cs="仿宋"/>
          <w:sz w:val="22"/>
          <w:szCs w:val="22"/>
          <w:highlight w:val="none"/>
        </w:rPr>
        <w:t>，每天上午09：00至12：00，下午1</w:t>
      </w:r>
      <w:r>
        <w:rPr>
          <w:rFonts w:hint="eastAsia" w:ascii="仿宋" w:hAnsi="仿宋" w:eastAsia="仿宋" w:cs="仿宋"/>
          <w:sz w:val="22"/>
          <w:szCs w:val="22"/>
          <w:highlight w:val="none"/>
          <w:lang w:val="en-US" w:eastAsia="zh-CN"/>
        </w:rPr>
        <w:t>4</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30</w:t>
      </w:r>
      <w:r>
        <w:rPr>
          <w:rFonts w:hint="eastAsia" w:ascii="仿宋" w:hAnsi="仿宋" w:eastAsia="仿宋" w:cs="仿宋"/>
          <w:sz w:val="22"/>
          <w:szCs w:val="22"/>
          <w:highlight w:val="none"/>
        </w:rPr>
        <w:t>至1</w:t>
      </w:r>
      <w:r>
        <w:rPr>
          <w:rFonts w:hint="eastAsia" w:ascii="仿宋" w:hAnsi="仿宋" w:eastAsia="仿宋" w:cs="仿宋"/>
          <w:sz w:val="22"/>
          <w:szCs w:val="22"/>
          <w:highlight w:val="none"/>
          <w:lang w:val="en-US" w:eastAsia="zh-CN"/>
        </w:rPr>
        <w:t>7</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3</w:t>
      </w:r>
      <w:r>
        <w:rPr>
          <w:rFonts w:hint="eastAsia" w:ascii="仿宋" w:hAnsi="仿宋" w:eastAsia="仿宋" w:cs="仿宋"/>
          <w:sz w:val="22"/>
          <w:szCs w:val="22"/>
          <w:highlight w:val="none"/>
        </w:rPr>
        <w:t>0（北京时间,法定节假日除外）</w:t>
      </w:r>
    </w:p>
    <w:p w14:paraId="4B80F24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zh-CN"/>
        </w:rPr>
      </w:pPr>
      <w:r>
        <w:rPr>
          <w:rFonts w:hint="eastAsia" w:ascii="仿宋" w:hAnsi="仿宋" w:eastAsia="仿宋" w:cs="仿宋"/>
          <w:sz w:val="22"/>
          <w:szCs w:val="22"/>
          <w:highlight w:val="none"/>
        </w:rPr>
        <w:t>地点：</w:t>
      </w:r>
      <w:r>
        <w:rPr>
          <w:rFonts w:hint="eastAsia" w:ascii="仿宋" w:hAnsi="仿宋" w:eastAsia="仿宋" w:cs="仿宋"/>
          <w:sz w:val="22"/>
          <w:szCs w:val="22"/>
          <w:highlight w:val="none"/>
          <w:lang w:val="zh-CN"/>
        </w:rPr>
        <w:t>石泉县育才路北路4号（金江花园后门）</w:t>
      </w:r>
    </w:p>
    <w:p w14:paraId="5F8B512B">
      <w:pPr>
        <w:pStyle w:val="18"/>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both"/>
        <w:textAlignment w:val="baseline"/>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响应文件提交</w:t>
      </w:r>
    </w:p>
    <w:p w14:paraId="653AC12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b w:val="0"/>
          <w:bCs w:val="0"/>
          <w:sz w:val="22"/>
          <w:szCs w:val="22"/>
          <w:highlight w:val="none"/>
        </w:rPr>
        <w:t>截止时间</w:t>
      </w:r>
      <w:r>
        <w:rPr>
          <w:rFonts w:hint="eastAsia" w:ascii="仿宋" w:hAnsi="仿宋" w:eastAsia="仿宋" w:cs="仿宋"/>
          <w:b w:val="0"/>
          <w:bCs w:val="0"/>
          <w:sz w:val="22"/>
          <w:szCs w:val="22"/>
          <w:highlight w:val="none"/>
          <w:lang w:eastAsia="zh-CN"/>
        </w:rPr>
        <w:t>：</w:t>
      </w:r>
      <w:r>
        <w:rPr>
          <w:rFonts w:hint="eastAsia" w:ascii="仿宋" w:hAnsi="仿宋" w:eastAsia="仿宋" w:cs="仿宋"/>
          <w:sz w:val="22"/>
          <w:szCs w:val="22"/>
          <w:highlight w:val="none"/>
        </w:rPr>
        <w:t>202</w:t>
      </w:r>
      <w:r>
        <w:rPr>
          <w:rFonts w:hint="eastAsia" w:ascii="仿宋" w:hAnsi="仿宋" w:eastAsia="仿宋" w:cs="仿宋"/>
          <w:sz w:val="22"/>
          <w:szCs w:val="22"/>
          <w:highlight w:val="none"/>
          <w:lang w:val="en-US" w:eastAsia="zh-CN"/>
        </w:rPr>
        <w:t>5</w:t>
      </w:r>
      <w:r>
        <w:rPr>
          <w:rFonts w:hint="eastAsia" w:ascii="仿宋" w:hAnsi="仿宋" w:eastAsia="仿宋" w:cs="仿宋"/>
          <w:sz w:val="22"/>
          <w:szCs w:val="22"/>
          <w:highlight w:val="none"/>
        </w:rPr>
        <w:t>年</w:t>
      </w:r>
      <w:r>
        <w:rPr>
          <w:rFonts w:hint="eastAsia" w:ascii="仿宋" w:hAnsi="仿宋" w:eastAsia="仿宋" w:cs="仿宋"/>
          <w:sz w:val="22"/>
          <w:szCs w:val="22"/>
          <w:highlight w:val="none"/>
          <w:lang w:val="en-US" w:eastAsia="zh-CN"/>
        </w:rPr>
        <w:t>9</w:t>
      </w:r>
      <w:r>
        <w:rPr>
          <w:rFonts w:hint="eastAsia" w:ascii="仿宋" w:hAnsi="仿宋" w:eastAsia="仿宋" w:cs="仿宋"/>
          <w:sz w:val="22"/>
          <w:szCs w:val="22"/>
          <w:highlight w:val="none"/>
        </w:rPr>
        <w:t>月</w:t>
      </w:r>
      <w:r>
        <w:rPr>
          <w:rFonts w:hint="eastAsia" w:ascii="仿宋" w:hAnsi="仿宋" w:eastAsia="仿宋" w:cs="仿宋"/>
          <w:sz w:val="22"/>
          <w:szCs w:val="22"/>
          <w:highlight w:val="none"/>
          <w:lang w:val="en-US" w:eastAsia="zh-CN"/>
        </w:rPr>
        <w:t>18</w:t>
      </w:r>
      <w:r>
        <w:rPr>
          <w:rFonts w:hint="eastAsia" w:ascii="仿宋" w:hAnsi="仿宋" w:eastAsia="仿宋" w:cs="仿宋"/>
          <w:sz w:val="22"/>
          <w:szCs w:val="22"/>
          <w:highlight w:val="none"/>
        </w:rPr>
        <w:t>日</w:t>
      </w:r>
      <w:r>
        <w:rPr>
          <w:rFonts w:hint="eastAsia" w:ascii="仿宋" w:hAnsi="仿宋" w:eastAsia="仿宋" w:cs="仿宋"/>
          <w:sz w:val="22"/>
          <w:szCs w:val="22"/>
          <w:highlight w:val="none"/>
          <w:lang w:val="en-US" w:eastAsia="zh-CN"/>
        </w:rPr>
        <w:t>15</w:t>
      </w:r>
      <w:r>
        <w:rPr>
          <w:rFonts w:hint="eastAsia" w:ascii="仿宋" w:hAnsi="仿宋" w:eastAsia="仿宋" w:cs="仿宋"/>
          <w:sz w:val="22"/>
          <w:szCs w:val="22"/>
          <w:highlight w:val="none"/>
        </w:rPr>
        <w:t>时</w:t>
      </w:r>
      <w:r>
        <w:rPr>
          <w:rFonts w:hint="eastAsia" w:ascii="仿宋" w:hAnsi="仿宋" w:eastAsia="仿宋" w:cs="仿宋"/>
          <w:sz w:val="22"/>
          <w:szCs w:val="22"/>
          <w:highlight w:val="none"/>
          <w:lang w:val="en-US" w:eastAsia="zh-CN"/>
        </w:rPr>
        <w:t>00</w:t>
      </w:r>
      <w:r>
        <w:rPr>
          <w:rFonts w:hint="eastAsia" w:ascii="仿宋" w:hAnsi="仿宋" w:eastAsia="仿宋" w:cs="仿宋"/>
          <w:sz w:val="22"/>
          <w:szCs w:val="22"/>
          <w:highlight w:val="none"/>
        </w:rPr>
        <w:t>分（北京时间）</w:t>
      </w:r>
    </w:p>
    <w:p w14:paraId="0202F91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zh-CN"/>
        </w:rPr>
      </w:pPr>
      <w:r>
        <w:rPr>
          <w:rFonts w:hint="eastAsia" w:ascii="仿宋" w:hAnsi="仿宋" w:eastAsia="仿宋" w:cs="仿宋"/>
          <w:sz w:val="22"/>
          <w:szCs w:val="22"/>
          <w:highlight w:val="none"/>
        </w:rPr>
        <w:t>地点：</w:t>
      </w:r>
      <w:r>
        <w:rPr>
          <w:rFonts w:hint="eastAsia" w:ascii="仿宋" w:hAnsi="仿宋" w:eastAsia="仿宋" w:cs="仿宋"/>
          <w:sz w:val="22"/>
          <w:szCs w:val="22"/>
          <w:highlight w:val="none"/>
          <w:lang w:val="zh-CN"/>
        </w:rPr>
        <w:t>亿诚建设项目管理有限公司石泉分公司会议室</w:t>
      </w:r>
    </w:p>
    <w:p w14:paraId="70468DB5">
      <w:pPr>
        <w:pStyle w:val="18"/>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auto"/>
        <w:kinsoku/>
        <w:wordWrap w:val="0"/>
        <w:overflowPunct/>
        <w:topLinePunct w:val="0"/>
        <w:autoSpaceDE/>
        <w:autoSpaceDN/>
        <w:bidi w:val="0"/>
        <w:adjustRightInd/>
        <w:snapToGrid/>
        <w:spacing w:before="0" w:beforeAutospacing="0" w:after="0" w:afterAutospacing="0" w:line="520" w:lineRule="exact"/>
        <w:ind w:left="0" w:leftChars="0" w:right="0" w:firstLine="0" w:firstLineChars="0"/>
        <w:jc w:val="both"/>
        <w:textAlignment w:val="baseline"/>
        <w:rPr>
          <w:rFonts w:hint="eastAsia" w:ascii="仿宋" w:hAnsi="仿宋" w:eastAsia="仿宋" w:cs="仿宋"/>
          <w:b/>
          <w:bCs/>
          <w:sz w:val="22"/>
          <w:szCs w:val="22"/>
          <w:highlight w:val="none"/>
          <w:lang w:val="zh-CN"/>
        </w:rPr>
      </w:pPr>
      <w:r>
        <w:rPr>
          <w:rFonts w:hint="eastAsia" w:ascii="仿宋" w:hAnsi="仿宋" w:eastAsia="仿宋" w:cs="仿宋"/>
          <w:b/>
          <w:bCs/>
          <w:sz w:val="22"/>
          <w:szCs w:val="22"/>
          <w:highlight w:val="none"/>
          <w:lang w:val="zh-CN"/>
        </w:rPr>
        <w:t>开启</w:t>
      </w:r>
    </w:p>
    <w:p w14:paraId="0D60E45F">
      <w:pPr>
        <w:pStyle w:val="34"/>
        <w:keepNext w:val="0"/>
        <w:keepLines w:val="0"/>
        <w:pageBreakBefore w:val="0"/>
        <w:shd w:val="clear" w:color="auto" w:fill="auto"/>
        <w:kinsoku/>
        <w:overflowPunct/>
        <w:topLinePunct w:val="0"/>
        <w:autoSpaceDE/>
        <w:autoSpaceDN/>
        <w:bidi w:val="0"/>
        <w:adjustRightInd/>
        <w:snapToGrid/>
        <w:spacing w:line="520" w:lineRule="exact"/>
        <w:ind w:firstLine="480"/>
        <w:rPr>
          <w:rFonts w:hint="eastAsia" w:ascii="仿宋" w:hAnsi="仿宋" w:eastAsia="仿宋" w:cs="仿宋"/>
          <w:color w:val="auto"/>
          <w:sz w:val="22"/>
          <w:szCs w:val="18"/>
        </w:rPr>
      </w:pPr>
      <w:r>
        <w:rPr>
          <w:rFonts w:hint="eastAsia" w:ascii="仿宋" w:hAnsi="仿宋" w:eastAsia="仿宋" w:cs="仿宋"/>
          <w:color w:val="auto"/>
          <w:sz w:val="22"/>
          <w:szCs w:val="18"/>
        </w:rPr>
        <w:t>时间：</w:t>
      </w:r>
      <w:r>
        <w:rPr>
          <w:rFonts w:hint="eastAsia" w:ascii="仿宋" w:hAnsi="仿宋" w:eastAsia="仿宋" w:cs="仿宋"/>
          <w:color w:val="auto"/>
          <w:sz w:val="22"/>
          <w:szCs w:val="18"/>
          <w:lang w:val="en-US" w:eastAsia="zh-CN"/>
        </w:rPr>
        <w:t>2025年9月18日15时00分00秒（</w:t>
      </w:r>
      <w:r>
        <w:rPr>
          <w:rFonts w:hint="eastAsia" w:ascii="仿宋" w:hAnsi="仿宋" w:eastAsia="仿宋" w:cs="仿宋"/>
          <w:color w:val="auto"/>
          <w:sz w:val="22"/>
          <w:szCs w:val="18"/>
        </w:rPr>
        <w:t>北京时间）</w:t>
      </w:r>
    </w:p>
    <w:p w14:paraId="0905C19B">
      <w:pPr>
        <w:pStyle w:val="34"/>
        <w:keepNext w:val="0"/>
        <w:keepLines w:val="0"/>
        <w:pageBreakBefore w:val="0"/>
        <w:kinsoku/>
        <w:overflowPunct/>
        <w:topLinePunct w:val="0"/>
        <w:autoSpaceDE/>
        <w:autoSpaceDN/>
        <w:bidi w:val="0"/>
        <w:adjustRightInd/>
        <w:snapToGrid/>
        <w:spacing w:line="520" w:lineRule="exact"/>
        <w:ind w:firstLine="480"/>
        <w:rPr>
          <w:rFonts w:hint="eastAsia" w:ascii="仿宋" w:hAnsi="仿宋" w:eastAsia="仿宋" w:cs="仿宋"/>
          <w:color w:val="auto"/>
          <w:sz w:val="22"/>
          <w:szCs w:val="18"/>
        </w:rPr>
      </w:pPr>
      <w:r>
        <w:rPr>
          <w:rFonts w:hint="eastAsia" w:ascii="仿宋" w:hAnsi="仿宋" w:eastAsia="仿宋" w:cs="仿宋"/>
          <w:color w:val="auto"/>
          <w:sz w:val="22"/>
          <w:szCs w:val="18"/>
        </w:rPr>
        <w:t>地点：亿诚建设项目管理有限公司石泉分公司会议室</w:t>
      </w:r>
    </w:p>
    <w:p w14:paraId="1EE59DB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both"/>
        <w:textAlignment w:val="baseline"/>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eastAsia="zh-CN"/>
        </w:rPr>
        <w:t>六</w:t>
      </w:r>
      <w:r>
        <w:rPr>
          <w:rFonts w:hint="eastAsia" w:ascii="仿宋" w:hAnsi="仿宋" w:eastAsia="仿宋" w:cs="仿宋"/>
          <w:b/>
          <w:bCs/>
          <w:sz w:val="22"/>
          <w:szCs w:val="22"/>
          <w:highlight w:val="none"/>
        </w:rPr>
        <w:t>、公告期限</w:t>
      </w:r>
    </w:p>
    <w:p w14:paraId="4913D53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自本公告发布之日起3个工作日。</w:t>
      </w:r>
    </w:p>
    <w:p w14:paraId="09C5ADA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both"/>
        <w:textAlignment w:val="baseline"/>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eastAsia="zh-CN"/>
        </w:rPr>
        <w:t>七</w:t>
      </w:r>
      <w:r>
        <w:rPr>
          <w:rFonts w:hint="eastAsia" w:ascii="仿宋" w:hAnsi="仿宋" w:eastAsia="仿宋" w:cs="仿宋"/>
          <w:b/>
          <w:bCs/>
          <w:sz w:val="22"/>
          <w:szCs w:val="22"/>
          <w:highlight w:val="none"/>
          <w:lang w:val="zh-CN"/>
        </w:rPr>
        <w:t>、</w:t>
      </w:r>
      <w:r>
        <w:rPr>
          <w:rFonts w:hint="eastAsia" w:ascii="仿宋" w:hAnsi="仿宋" w:eastAsia="仿宋" w:cs="仿宋"/>
          <w:b/>
          <w:bCs/>
          <w:sz w:val="22"/>
          <w:szCs w:val="22"/>
          <w:highlight w:val="none"/>
        </w:rPr>
        <w:t>其他补充事宜</w:t>
      </w:r>
    </w:p>
    <w:p w14:paraId="3432B00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zh-CN" w:eastAsia="zh-CN"/>
        </w:rPr>
      </w:pPr>
      <w:r>
        <w:rPr>
          <w:rFonts w:hint="eastAsia" w:ascii="仿宋" w:hAnsi="仿宋" w:eastAsia="仿宋" w:cs="仿宋"/>
          <w:sz w:val="22"/>
          <w:szCs w:val="22"/>
          <w:highlight w:val="none"/>
          <w:lang w:val="en-US" w:eastAsia="zh-CN"/>
        </w:rPr>
        <w:t xml:space="preserve"> 1、</w:t>
      </w:r>
      <w:r>
        <w:rPr>
          <w:rFonts w:hint="eastAsia" w:ascii="仿宋" w:hAnsi="仿宋" w:eastAsia="仿宋" w:cs="仿宋"/>
          <w:sz w:val="22"/>
          <w:szCs w:val="22"/>
          <w:highlight w:val="none"/>
          <w:lang w:val="zh-CN" w:eastAsia="zh-CN"/>
        </w:rPr>
        <w:t>各供应商必须在规定报名时间内领取谈判文件，国家法定节假日除外。文件领取截止时间为报名截止日期，领取方式为现场获取。</w:t>
      </w:r>
    </w:p>
    <w:p w14:paraId="6F8C10C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2、报名确认：供应商须在谈判文件发售时间内携带单位介绍信和经办人身份证原件及营业执照加盖供应商有效公章的复印件到石泉县育才北路4号进行报名确认，方可获取谈判文件（谢绝邮寄)。</w:t>
      </w:r>
    </w:p>
    <w:p w14:paraId="1C0755F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both"/>
        <w:textAlignment w:val="baseline"/>
        <w:rPr>
          <w:rFonts w:hint="eastAsia" w:ascii="仿宋" w:hAnsi="仿宋" w:eastAsia="仿宋" w:cs="仿宋"/>
          <w:sz w:val="22"/>
          <w:szCs w:val="22"/>
          <w:highlight w:val="none"/>
        </w:rPr>
      </w:pPr>
      <w:r>
        <w:rPr>
          <w:rFonts w:hint="eastAsia" w:ascii="仿宋" w:hAnsi="仿宋" w:eastAsia="仿宋" w:cs="仿宋"/>
          <w:b/>
          <w:bCs/>
          <w:sz w:val="22"/>
          <w:szCs w:val="22"/>
          <w:highlight w:val="none"/>
          <w:lang w:eastAsia="zh-CN"/>
        </w:rPr>
        <w:t>八</w:t>
      </w:r>
      <w:r>
        <w:rPr>
          <w:rFonts w:hint="eastAsia" w:ascii="仿宋" w:hAnsi="仿宋" w:eastAsia="仿宋" w:cs="仿宋"/>
          <w:b/>
          <w:bCs/>
          <w:sz w:val="22"/>
          <w:szCs w:val="22"/>
          <w:highlight w:val="none"/>
        </w:rPr>
        <w:t>、对本次招标提出询问，请按以下方式联系</w:t>
      </w:r>
      <w:r>
        <w:rPr>
          <w:rFonts w:hint="eastAsia" w:ascii="仿宋" w:hAnsi="仿宋" w:eastAsia="仿宋" w:cs="仿宋"/>
          <w:sz w:val="22"/>
          <w:szCs w:val="22"/>
          <w:highlight w:val="none"/>
        </w:rPr>
        <w:t>。</w:t>
      </w:r>
    </w:p>
    <w:p w14:paraId="640F8FA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1.采购人信息</w:t>
      </w:r>
    </w:p>
    <w:p w14:paraId="0359465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rPr>
        <w:t>名称：</w:t>
      </w:r>
      <w:r>
        <w:rPr>
          <w:rFonts w:hint="eastAsia" w:ascii="仿宋" w:hAnsi="仿宋" w:eastAsia="仿宋" w:cs="仿宋"/>
          <w:sz w:val="22"/>
          <w:szCs w:val="22"/>
          <w:highlight w:val="none"/>
          <w:lang w:val="en-US" w:eastAsia="zh-CN"/>
        </w:rPr>
        <w:t>石泉县职业技术教育中心</w:t>
      </w:r>
    </w:p>
    <w:p w14:paraId="3D895C1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rPr>
        <w:t>地址：</w:t>
      </w:r>
      <w:r>
        <w:rPr>
          <w:rFonts w:hint="eastAsia" w:ascii="仿宋" w:hAnsi="仿宋" w:eastAsia="仿宋" w:cs="仿宋"/>
          <w:sz w:val="22"/>
          <w:szCs w:val="22"/>
          <w:highlight w:val="none"/>
          <w:lang w:val="en-US" w:eastAsia="zh-CN"/>
        </w:rPr>
        <w:t>石泉县城关镇杨柳新区</w:t>
      </w:r>
    </w:p>
    <w:p w14:paraId="6392294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rPr>
        <w:t>联系方式：</w:t>
      </w:r>
      <w:r>
        <w:rPr>
          <w:rFonts w:hint="eastAsia" w:ascii="仿宋" w:hAnsi="仿宋" w:eastAsia="仿宋" w:cs="仿宋"/>
          <w:sz w:val="22"/>
          <w:szCs w:val="22"/>
          <w:highlight w:val="none"/>
          <w:lang w:val="en-US" w:eastAsia="zh-CN"/>
        </w:rPr>
        <w:t>15336296457</w:t>
      </w:r>
    </w:p>
    <w:p w14:paraId="0D34485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2.采购代理机构信息</w:t>
      </w:r>
    </w:p>
    <w:p w14:paraId="710280A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名称：</w:t>
      </w:r>
      <w:r>
        <w:rPr>
          <w:rFonts w:hint="eastAsia" w:ascii="仿宋" w:hAnsi="仿宋" w:eastAsia="仿宋" w:cs="仿宋"/>
          <w:sz w:val="22"/>
          <w:szCs w:val="22"/>
          <w:highlight w:val="none"/>
          <w:lang w:val="zh-CN"/>
        </w:rPr>
        <w:t>亿诚建设项目管理有限公司</w:t>
      </w:r>
    </w:p>
    <w:p w14:paraId="11D05AA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zh-CN"/>
        </w:rPr>
      </w:pPr>
      <w:r>
        <w:rPr>
          <w:rFonts w:hint="eastAsia" w:ascii="仿宋" w:hAnsi="仿宋" w:eastAsia="仿宋" w:cs="仿宋"/>
          <w:sz w:val="22"/>
          <w:szCs w:val="22"/>
          <w:highlight w:val="none"/>
        </w:rPr>
        <w:t>地址：</w:t>
      </w:r>
      <w:r>
        <w:rPr>
          <w:rFonts w:hint="eastAsia" w:ascii="仿宋" w:hAnsi="仿宋" w:eastAsia="仿宋" w:cs="仿宋"/>
          <w:sz w:val="22"/>
          <w:szCs w:val="22"/>
          <w:highlight w:val="none"/>
          <w:lang w:val="zh-CN"/>
        </w:rPr>
        <w:t>西安市高新区丈八五路高科尚都one尚城A座10F</w:t>
      </w:r>
    </w:p>
    <w:p w14:paraId="36F261D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rPr>
        <w:t>联系方式：</w:t>
      </w:r>
      <w:r>
        <w:rPr>
          <w:rFonts w:hint="eastAsia" w:ascii="仿宋" w:hAnsi="仿宋" w:eastAsia="仿宋" w:cs="仿宋"/>
          <w:sz w:val="22"/>
          <w:szCs w:val="22"/>
          <w:highlight w:val="none"/>
          <w:lang w:val="en-US" w:eastAsia="zh-CN"/>
        </w:rPr>
        <w:t>17391332881</w:t>
      </w:r>
    </w:p>
    <w:p w14:paraId="60A58B0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3.项目联系方式</w:t>
      </w:r>
    </w:p>
    <w:p w14:paraId="732DC95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rPr>
        <w:t>项目联系人：</w:t>
      </w:r>
      <w:r>
        <w:rPr>
          <w:rFonts w:hint="eastAsia" w:ascii="仿宋" w:hAnsi="仿宋" w:eastAsia="仿宋" w:cs="仿宋"/>
          <w:sz w:val="22"/>
          <w:szCs w:val="22"/>
          <w:highlight w:val="none"/>
          <w:lang w:eastAsia="zh-CN"/>
        </w:rPr>
        <w:t>肖航</w:t>
      </w:r>
    </w:p>
    <w:p w14:paraId="747C799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both"/>
        <w:textAlignment w:val="baseline"/>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rPr>
        <w:t>电话：</w:t>
      </w:r>
      <w:r>
        <w:rPr>
          <w:rFonts w:hint="eastAsia" w:ascii="仿宋" w:hAnsi="仿宋" w:eastAsia="仿宋" w:cs="仿宋"/>
          <w:sz w:val="22"/>
          <w:szCs w:val="22"/>
          <w:highlight w:val="none"/>
          <w:lang w:val="en-US" w:eastAsia="zh-CN"/>
        </w:rPr>
        <w:t>17391332881</w:t>
      </w:r>
    </w:p>
    <w:p w14:paraId="6C53A14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right"/>
        <w:textAlignment w:val="baseline"/>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rPr>
        <w:t xml:space="preserve">                                     亿诚建设项目管理有限公司</w:t>
      </w:r>
    </w:p>
    <w:p w14:paraId="181D8DB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440" w:firstLineChars="200"/>
        <w:jc w:val="right"/>
        <w:textAlignment w:val="baseline"/>
        <w:rPr>
          <w:rFonts w:hint="eastAsia" w:ascii="仿宋" w:hAnsi="仿宋" w:eastAsia="仿宋" w:cs="仿宋"/>
          <w:sz w:val="22"/>
          <w:szCs w:val="22"/>
          <w:highlight w:val="none"/>
        </w:rPr>
      </w:pPr>
      <w:r>
        <w:rPr>
          <w:rFonts w:hint="eastAsia" w:ascii="仿宋" w:hAnsi="仿宋" w:eastAsia="仿宋" w:cs="仿宋"/>
          <w:sz w:val="22"/>
          <w:szCs w:val="22"/>
          <w:highlight w:val="none"/>
        </w:rPr>
        <w:t>202</w:t>
      </w:r>
      <w:r>
        <w:rPr>
          <w:rFonts w:hint="eastAsia" w:ascii="仿宋" w:hAnsi="仿宋" w:eastAsia="仿宋" w:cs="仿宋"/>
          <w:sz w:val="22"/>
          <w:szCs w:val="22"/>
          <w:highlight w:val="none"/>
          <w:lang w:val="en-US" w:eastAsia="zh-CN"/>
        </w:rPr>
        <w:t>5</w:t>
      </w:r>
      <w:r>
        <w:rPr>
          <w:rFonts w:hint="eastAsia" w:ascii="仿宋" w:hAnsi="仿宋" w:eastAsia="仿宋" w:cs="仿宋"/>
          <w:sz w:val="22"/>
          <w:szCs w:val="22"/>
          <w:highlight w:val="none"/>
        </w:rPr>
        <w:t>年</w:t>
      </w:r>
      <w:r>
        <w:rPr>
          <w:rFonts w:hint="eastAsia" w:ascii="仿宋" w:hAnsi="仿宋" w:eastAsia="仿宋" w:cs="仿宋"/>
          <w:sz w:val="22"/>
          <w:szCs w:val="22"/>
          <w:highlight w:val="none"/>
          <w:lang w:val="en-US" w:eastAsia="zh-CN"/>
        </w:rPr>
        <w:t>9</w:t>
      </w:r>
      <w:r>
        <w:rPr>
          <w:rFonts w:hint="eastAsia" w:ascii="仿宋" w:hAnsi="仿宋" w:eastAsia="仿宋" w:cs="仿宋"/>
          <w:sz w:val="22"/>
          <w:szCs w:val="22"/>
          <w:highlight w:val="none"/>
        </w:rPr>
        <w:t>月</w:t>
      </w:r>
      <w:r>
        <w:rPr>
          <w:rFonts w:hint="eastAsia" w:ascii="仿宋" w:hAnsi="仿宋" w:eastAsia="仿宋" w:cs="仿宋"/>
          <w:sz w:val="22"/>
          <w:szCs w:val="22"/>
          <w:highlight w:val="none"/>
          <w:lang w:val="en-US" w:eastAsia="zh-CN"/>
        </w:rPr>
        <w:t>9日</w:t>
      </w:r>
    </w:p>
    <w:p w14:paraId="6BE962C6">
      <w:pPr>
        <w:pStyle w:val="11"/>
        <w:jc w:val="center"/>
        <w:rPr>
          <w:rFonts w:hint="eastAsia" w:ascii="宋体" w:hAnsi="宋体" w:eastAsia="宋体" w:cs="宋体"/>
          <w:b/>
          <w:sz w:val="32"/>
          <w:szCs w:val="22"/>
          <w:lang w:val="zh-CN" w:eastAsia="zh-CN" w:bidi="zh-CN"/>
        </w:rPr>
      </w:pPr>
    </w:p>
    <w:p w14:paraId="22D775E5">
      <w:pPr>
        <w:pStyle w:val="11"/>
        <w:jc w:val="center"/>
        <w:rPr>
          <w:rFonts w:hint="eastAsia" w:ascii="宋体" w:hAnsi="宋体" w:eastAsia="宋体" w:cs="宋体"/>
          <w:b/>
          <w:sz w:val="32"/>
          <w:szCs w:val="22"/>
          <w:lang w:val="zh-CN" w:eastAsia="zh-CN" w:bidi="zh-CN"/>
        </w:rPr>
      </w:pPr>
    </w:p>
    <w:p w14:paraId="0DE895FF">
      <w:pPr>
        <w:pStyle w:val="11"/>
        <w:jc w:val="center"/>
        <w:rPr>
          <w:rFonts w:hint="eastAsia" w:ascii="宋体" w:hAnsi="宋体" w:eastAsia="宋体" w:cs="宋体"/>
          <w:b/>
          <w:sz w:val="32"/>
          <w:szCs w:val="22"/>
          <w:lang w:val="zh-CN" w:eastAsia="zh-CN" w:bidi="zh-CN"/>
        </w:rPr>
      </w:pPr>
    </w:p>
    <w:p w14:paraId="679617E1">
      <w:pPr>
        <w:pStyle w:val="11"/>
        <w:jc w:val="center"/>
        <w:rPr>
          <w:rFonts w:hint="default" w:ascii="宋体" w:hAnsi="宋体" w:eastAsia="宋体" w:cs="宋体"/>
          <w:b/>
          <w:sz w:val="32"/>
          <w:szCs w:val="22"/>
          <w:lang w:val="en-US" w:eastAsia="zh-CN" w:bidi="zh-CN"/>
        </w:rPr>
      </w:pPr>
      <w:r>
        <w:rPr>
          <w:rFonts w:hint="eastAsia" w:ascii="宋体" w:hAnsi="宋体" w:eastAsia="宋体" w:cs="宋体"/>
          <w:b/>
          <w:sz w:val="32"/>
          <w:szCs w:val="22"/>
          <w:lang w:val="zh-CN" w:eastAsia="zh-CN" w:bidi="zh-CN"/>
        </w:rPr>
        <w:t>第二章</w:t>
      </w:r>
      <w:r>
        <w:rPr>
          <w:rFonts w:hint="eastAsia" w:ascii="宋体" w:hAnsi="宋体" w:eastAsia="宋体" w:cs="宋体"/>
          <w:b/>
          <w:sz w:val="32"/>
          <w:szCs w:val="22"/>
          <w:lang w:val="en-US" w:eastAsia="zh-CN" w:bidi="zh-CN"/>
        </w:rPr>
        <w:t xml:space="preserve">  谈判须知</w:t>
      </w:r>
    </w:p>
    <w:p w14:paraId="7446692F">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left="348" w:leftChars="0" w:right="0" w:rightChars="0" w:firstLine="3614" w:firstLineChars="1500"/>
        <w:jc w:val="both"/>
        <w:textAlignment w:val="auto"/>
      </w:pPr>
      <w:bookmarkStart w:id="4" w:name="一、 总 则"/>
      <w:bookmarkEnd w:id="4"/>
      <w:r>
        <w:rPr>
          <w:rFonts w:hint="eastAsia" w:ascii="宋体" w:hAnsi="宋体" w:eastAsia="宋体" w:cs="宋体"/>
          <w:b/>
          <w:bCs/>
          <w:sz w:val="24"/>
          <w:szCs w:val="24"/>
          <w:lang w:val="zh-CN" w:eastAsia="zh-CN" w:bidi="zh-CN"/>
        </w:rPr>
        <w:t>一、</w:t>
      </w:r>
      <w:r>
        <w:t>总 则</w:t>
      </w:r>
    </w:p>
    <w:p w14:paraId="31395339">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本次采购依据《中华人民共和国政府采购法》、《中华人民共和国政府采购法实施条例》及国家现行有关法律法规执行。</w:t>
      </w:r>
    </w:p>
    <w:p w14:paraId="6F35D622">
      <w:pPr>
        <w:pStyle w:val="11"/>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1" w:firstLineChars="42"/>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1.采购人、采购代理机构、监督管理机构</w:t>
      </w:r>
    </w:p>
    <w:p w14:paraId="37B53889">
      <w:pPr>
        <w:pStyle w:val="11"/>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cs="宋体"/>
          <w:kern w:val="2"/>
          <w:sz w:val="24"/>
          <w:szCs w:val="24"/>
          <w:lang w:val="en-US" w:eastAsia="zh-CN" w:bidi="ar"/>
        </w:rPr>
      </w:pPr>
      <w:r>
        <w:rPr>
          <w:rFonts w:hint="eastAsia" w:ascii="宋体" w:hAnsi="宋体" w:eastAsia="宋体" w:cs="宋体"/>
          <w:kern w:val="2"/>
          <w:sz w:val="24"/>
          <w:szCs w:val="24"/>
          <w:lang w:val="en-US" w:eastAsia="zh-CN" w:bidi="ar"/>
        </w:rPr>
        <w:t>1.1采购人：</w:t>
      </w:r>
      <w:r>
        <w:rPr>
          <w:rFonts w:hint="eastAsia" w:cs="宋体"/>
          <w:kern w:val="2"/>
          <w:sz w:val="24"/>
          <w:szCs w:val="24"/>
          <w:lang w:val="en-US" w:eastAsia="zh-CN" w:bidi="ar"/>
        </w:rPr>
        <w:t>石泉县职业技术教育中心</w:t>
      </w:r>
    </w:p>
    <w:p w14:paraId="40FECAB3">
      <w:pPr>
        <w:pStyle w:val="11"/>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cs="宋体"/>
          <w:kern w:val="2"/>
          <w:sz w:val="24"/>
          <w:szCs w:val="24"/>
          <w:lang w:val="en-US" w:eastAsia="zh-CN" w:bidi="ar"/>
        </w:rPr>
      </w:pPr>
      <w:r>
        <w:rPr>
          <w:rFonts w:hint="eastAsia" w:cs="宋体"/>
          <w:kern w:val="2"/>
          <w:sz w:val="24"/>
          <w:szCs w:val="24"/>
          <w:lang w:val="en-US" w:eastAsia="zh-CN" w:bidi="ar"/>
        </w:rPr>
        <w:t>1.2</w:t>
      </w:r>
      <w:r>
        <w:rPr>
          <w:rFonts w:hint="eastAsia" w:ascii="宋体" w:hAnsi="宋体" w:eastAsia="宋体" w:cs="宋体"/>
          <w:kern w:val="2"/>
          <w:sz w:val="24"/>
          <w:szCs w:val="24"/>
          <w:lang w:val="en-US" w:eastAsia="zh-CN" w:bidi="ar"/>
        </w:rPr>
        <w:t xml:space="preserve">采购代理机构： </w:t>
      </w:r>
      <w:r>
        <w:rPr>
          <w:rFonts w:hint="eastAsia" w:cs="宋体"/>
          <w:kern w:val="2"/>
          <w:sz w:val="24"/>
          <w:szCs w:val="24"/>
          <w:lang w:val="en-US" w:eastAsia="zh-CN" w:bidi="ar"/>
        </w:rPr>
        <w:t>亿诚建设项目管理有限公司</w:t>
      </w:r>
    </w:p>
    <w:p w14:paraId="2CEB3565">
      <w:pPr>
        <w:pStyle w:val="11"/>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1.3</w:t>
      </w:r>
      <w:r>
        <w:rPr>
          <w:rFonts w:hint="eastAsia" w:ascii="宋体" w:hAnsi="宋体" w:eastAsia="宋体" w:cs="宋体"/>
          <w:kern w:val="2"/>
          <w:sz w:val="24"/>
          <w:szCs w:val="24"/>
          <w:lang w:val="en-US" w:eastAsia="zh-CN" w:bidi="ar"/>
        </w:rPr>
        <w:t>监督管理机构：石泉县政府采购管理股</w:t>
      </w:r>
    </w:p>
    <w:p w14:paraId="6EA9F8EE">
      <w:pPr>
        <w:pStyle w:val="29"/>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41" w:after="0" w:line="540" w:lineRule="exact"/>
        <w:ind w:right="3470" w:rightChars="0" w:firstLine="482" w:firstLineChars="200"/>
        <w:jc w:val="left"/>
        <w:textAlignment w:val="auto"/>
        <w:rPr>
          <w:b/>
          <w:sz w:val="24"/>
        </w:rPr>
      </w:pPr>
      <w:r>
        <w:rPr>
          <w:rFonts w:hint="eastAsia"/>
          <w:b/>
          <w:sz w:val="24"/>
          <w:lang w:val="en-US" w:eastAsia="zh-CN"/>
        </w:rPr>
        <w:t>2.</w:t>
      </w:r>
      <w:r>
        <w:rPr>
          <w:b/>
          <w:sz w:val="24"/>
        </w:rPr>
        <w:t>合格的供应商条件</w:t>
      </w:r>
    </w:p>
    <w:p w14:paraId="08E23BDE">
      <w:pPr>
        <w:pStyle w:val="11"/>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2.1基本资格条件：符合《中华人民共和国政府采购法》第二十二条的规定；</w:t>
      </w:r>
    </w:p>
    <w:p w14:paraId="4BEA8AF5">
      <w:pPr>
        <w:pStyle w:val="11"/>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2.1.1 </w:t>
      </w:r>
      <w:r>
        <w:rPr>
          <w:rFonts w:hint="eastAsia" w:ascii="宋体" w:hAnsi="宋体" w:eastAsia="宋体" w:cs="宋体"/>
          <w:kern w:val="2"/>
          <w:sz w:val="24"/>
          <w:szCs w:val="24"/>
          <w:lang w:val="en-US" w:eastAsia="zh-CN" w:bidi="ar"/>
        </w:rPr>
        <w:t>特定资格条件：</w:t>
      </w:r>
    </w:p>
    <w:p w14:paraId="704B2F49">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（1）具有独立承担民事责任的能力：提供营业执照、税务登记证、组织机构代码证或三证合一的营业执照副本（或《事业单位法人证书》或其他合法组织登记证书、自然人只须提交身份证)； </w:t>
      </w:r>
    </w:p>
    <w:p w14:paraId="0B278820">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18818443">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（3）供应商具有建设行政主管部门颁发的消防设施工程专业承包二级（含二级）以上资质，并具备合格有效的安全生产许可证；</w:t>
      </w:r>
    </w:p>
    <w:p w14:paraId="105260CD">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（4）拟派项目经理须具有机电工程专业二级（含二级）以上的注册建造师资格，提供注册证、安全生产考核合格证、无在建工程承诺书；</w:t>
      </w:r>
    </w:p>
    <w:p w14:paraId="168494CC">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7CD9B3B9">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2025年1月1日以来已缴存的至少1个月的社会保障资金缴存单据或社保机构开具的社会保险参保缴费情况证明，单据或证明上应有社保机构或代收机构的印章。依法不需要缴纳社会保障资金的供应商应提供相关文件证明；</w:t>
      </w:r>
    </w:p>
    <w:p w14:paraId="558AF6BF">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（7）税收缴纳证明：自2025年1月1日以来至少1个月的纳税证明或完税证明，纳税证明或完税证明上应有代收机构或税务机关的公章或业务专用章。依法免税的供应商应提供相关文件证明；</w:t>
      </w:r>
    </w:p>
    <w:p w14:paraId="1D34F07F">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供应商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14:paraId="14B2154A">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（9）参加本次政府采购活动前三年内，在经营活动中没有重大违法记录声明；</w:t>
      </w:r>
    </w:p>
    <w:p w14:paraId="3ACEFA0F">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（10）供应商应提供小微企业声明函或残疾人福利性单位声明函或监狱企业证明文件；</w:t>
      </w:r>
    </w:p>
    <w:p w14:paraId="3A403D65">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（11）本项目不接受联合体投标。</w:t>
      </w:r>
    </w:p>
    <w:p w14:paraId="13D48DCA">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2.1.2 供应商必须从采购代理机构进行报名确认，未从采购代理机构报名确认的潜在供应商均无资格参加谈判。</w:t>
      </w:r>
    </w:p>
    <w:p w14:paraId="0B590C41">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2.1.3 本项目不接受联合体谈判。</w:t>
      </w:r>
    </w:p>
    <w:p w14:paraId="7B99B924">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2.2 合格的工程与服务</w:t>
      </w:r>
    </w:p>
    <w:p w14:paraId="2D276E5A">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2.2.1 </w:t>
      </w:r>
      <w:r>
        <w:rPr>
          <w:rFonts w:hint="eastAsia" w:ascii="宋体" w:hAnsi="宋体" w:eastAsia="宋体" w:cs="宋体"/>
          <w:kern w:val="2"/>
          <w:sz w:val="24"/>
          <w:szCs w:val="24"/>
          <w:lang w:val="en-US" w:eastAsia="zh-CN" w:bidi="ar"/>
        </w:rPr>
        <w:t>本次谈判所用货物及其有关服务，均应来自上述2.1 条款所规定的合格供应商。</w:t>
      </w:r>
    </w:p>
    <w:p w14:paraId="3F2C2253">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2.2.2 </w:t>
      </w:r>
      <w:r>
        <w:rPr>
          <w:rFonts w:hint="eastAsia" w:ascii="宋体" w:hAnsi="宋体" w:eastAsia="宋体" w:cs="宋体"/>
          <w:kern w:val="2"/>
          <w:sz w:val="24"/>
          <w:szCs w:val="24"/>
          <w:lang w:val="en-US" w:eastAsia="zh-CN" w:bidi="ar"/>
        </w:rPr>
        <w:t>货物系指供应商按谈判文件规定，向采购人提供的符合谈判文件要求的相关的货物。</w:t>
      </w:r>
    </w:p>
    <w:p w14:paraId="63271E30">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2.2.3 </w:t>
      </w:r>
      <w:r>
        <w:rPr>
          <w:rFonts w:hint="eastAsia" w:ascii="宋体" w:hAnsi="宋体" w:eastAsia="宋体" w:cs="宋体"/>
          <w:kern w:val="2"/>
          <w:sz w:val="24"/>
          <w:szCs w:val="24"/>
          <w:lang w:val="en-US" w:eastAsia="zh-CN" w:bidi="ar"/>
        </w:rPr>
        <w:t>服务系指谈判文件规定的，供应商须承担的与谈判工程有关的辅助服务， 如包装、运输、保险、售后服务以及其他类似的义务。</w:t>
      </w:r>
    </w:p>
    <w:p w14:paraId="235F06E2">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3.</w:t>
      </w:r>
      <w:r>
        <w:rPr>
          <w:rFonts w:hint="eastAsia" w:ascii="宋体" w:hAnsi="宋体" w:eastAsia="宋体" w:cs="宋体"/>
          <w:b/>
          <w:bCs/>
          <w:kern w:val="2"/>
          <w:sz w:val="24"/>
          <w:szCs w:val="24"/>
          <w:lang w:val="en-US" w:eastAsia="zh-CN" w:bidi="ar"/>
        </w:rPr>
        <w:t>谈判费用</w:t>
      </w:r>
    </w:p>
    <w:p w14:paraId="7FA14F3B">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供应商应承担所有与准备和参加谈判有关的费用。</w:t>
      </w:r>
    </w:p>
    <w:p w14:paraId="66151A15">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2" w:firstLineChars="200"/>
        <w:textAlignment w:val="auto"/>
        <w:rPr>
          <w:rFonts w:hint="eastAsia" w:cs="宋体"/>
          <w:b/>
          <w:bCs/>
          <w:kern w:val="2"/>
          <w:sz w:val="24"/>
          <w:szCs w:val="24"/>
          <w:lang w:val="en-US" w:eastAsia="zh-CN" w:bidi="ar"/>
        </w:rPr>
      </w:pPr>
      <w:r>
        <w:rPr>
          <w:rFonts w:hint="eastAsia" w:cs="宋体"/>
          <w:b/>
          <w:bCs/>
          <w:kern w:val="2"/>
          <w:sz w:val="24"/>
          <w:szCs w:val="24"/>
          <w:lang w:val="en-US" w:eastAsia="zh-CN" w:bidi="ar"/>
        </w:rPr>
        <w:t>4.供应商注意事项</w:t>
      </w:r>
    </w:p>
    <w:p w14:paraId="28B01693">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5" w:after="0" w:line="540" w:lineRule="exact"/>
        <w:ind w:right="0" w:rightChars="0"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询问</w:t>
      </w:r>
    </w:p>
    <w:p w14:paraId="339ADE26">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供应商对政府采购活动事项有疑问的，可以向采购代理机构（邮箱：</w:t>
      </w:r>
      <w:r>
        <w:rPr>
          <w:rFonts w:hint="eastAsia" w:cs="宋体"/>
          <w:kern w:val="2"/>
          <w:sz w:val="24"/>
          <w:szCs w:val="24"/>
          <w:lang w:val="en-US" w:eastAsia="zh-CN" w:bidi="ar"/>
        </w:rPr>
        <w:t>1823762566</w:t>
      </w:r>
      <w:r>
        <w:rPr>
          <w:rFonts w:hint="eastAsia" w:ascii="宋体" w:hAnsi="宋体" w:eastAsia="宋体" w:cs="宋体"/>
          <w:kern w:val="2"/>
          <w:sz w:val="24"/>
          <w:szCs w:val="24"/>
          <w:lang w:val="en-US" w:eastAsia="zh-CN" w:bidi="ar"/>
        </w:rPr>
        <w:t>@qq.com）或采购人提出询问。采购代理机构或采购人将在 3 个工作日内对供应商依法提出的询问作出答复。</w:t>
      </w:r>
    </w:p>
    <w:p w14:paraId="5078F421">
      <w:pPr>
        <w:pStyle w:val="11"/>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供应商提出的询问超出采购人对采购代理机构委托授权范围的，采购代理机构告知供应商向采购人提出。</w:t>
      </w:r>
    </w:p>
    <w:p w14:paraId="68956A18">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（2）质疑和投诉</w:t>
      </w:r>
    </w:p>
    <w:p w14:paraId="4A309EC9">
      <w:pPr>
        <w:pStyle w:val="11"/>
        <w:keepNext w:val="0"/>
        <w:keepLines w:val="0"/>
        <w:pageBreakBefore w:val="0"/>
        <w:widowControl w:val="0"/>
        <w:kinsoku/>
        <w:wordWrap/>
        <w:overflowPunct/>
        <w:topLinePunct w:val="0"/>
        <w:autoSpaceDE w:val="0"/>
        <w:autoSpaceDN w:val="0"/>
        <w:bidi w:val="0"/>
        <w:adjustRightInd/>
        <w:snapToGrid/>
        <w:spacing w:before="141"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供应商认为采购文件、采购过程或成交结果使自身的合法权益受到损害，可以在法定期限内，以书面形式向采购代理机构或采购人提出质疑。</w:t>
      </w:r>
    </w:p>
    <w:p w14:paraId="65AAA45A">
      <w:pPr>
        <w:pStyle w:val="29"/>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质疑书应当包括以下主要内容：被质疑项目名称、项目编号、标段、采购公告/成交公告发布时间、质疑事项、证据材料、法律依据（具体条款）、质疑人有效联系方式等。</w:t>
      </w:r>
    </w:p>
    <w:p w14:paraId="15A8CECC">
      <w:pPr>
        <w:pStyle w:val="29"/>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2）</w:t>
      </w:r>
      <w:r>
        <w:rPr>
          <w:rFonts w:hint="eastAsia" w:ascii="宋体" w:hAnsi="宋体" w:eastAsia="宋体" w:cs="宋体"/>
          <w:kern w:val="2"/>
          <w:sz w:val="24"/>
          <w:szCs w:val="24"/>
          <w:lang w:val="en-US" w:eastAsia="zh-CN" w:bidi="ar"/>
        </w:rPr>
        <w:t>质疑书应当由法定代表人签字并加盖鲜章，鲜章不得以合同章或其他印章代替。质疑人可以委托代理人办理质疑事项，代理人办理质疑事项时，除提交质疑书外， 还应当提交质疑人的授权委托书及代理人的有效身份证明，授权委托书应当载明委托代理的具体权限和事项。</w:t>
      </w:r>
    </w:p>
    <w:p w14:paraId="5C5E5D60">
      <w:pPr>
        <w:pStyle w:val="29"/>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4"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有下列情形之一的，属于无效质疑，采购代理机构和采购人不予受理：</w:t>
      </w:r>
    </w:p>
    <w:p w14:paraId="07F63BBF">
      <w:pPr>
        <w:pStyle w:val="11"/>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①质疑人不是参与本次政府采购项目的供应商或潜在供应商；</w:t>
      </w:r>
    </w:p>
    <w:p w14:paraId="656FA03B">
      <w:pPr>
        <w:pStyle w:val="11"/>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②质疑人与质疑事项不存在利害关系的；</w:t>
      </w:r>
    </w:p>
    <w:p w14:paraId="16776192">
      <w:pPr>
        <w:pStyle w:val="11"/>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③未在法定期限内提出质疑的；</w:t>
      </w:r>
    </w:p>
    <w:p w14:paraId="165183D8">
      <w:pPr>
        <w:pStyle w:val="11"/>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④质疑未以书面形式提出，或质疑书主要内容构成不完整的；</w:t>
      </w:r>
    </w:p>
    <w:p w14:paraId="3B814BD3">
      <w:pPr>
        <w:pStyle w:val="11"/>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⑤质疑书没有合法有效的签字、盖章或授权的；</w:t>
      </w:r>
    </w:p>
    <w:p w14:paraId="6A6DA547">
      <w:pPr>
        <w:pStyle w:val="11"/>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⑥以非法手段取得证据、材料的；</w:t>
      </w:r>
    </w:p>
    <w:p w14:paraId="41385EBF">
      <w:pPr>
        <w:pStyle w:val="11"/>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⑦质疑答复后，同一质疑人就同一事项再次提出质疑的；</w:t>
      </w:r>
    </w:p>
    <w:p w14:paraId="52C5637D">
      <w:pPr>
        <w:pStyle w:val="11"/>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⑧不符合法律、法规、规章和政府采购监管机构规定的其他条件的。</w:t>
      </w:r>
    </w:p>
    <w:p w14:paraId="2E0A5C37">
      <w:pPr>
        <w:pStyle w:val="29"/>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2"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采购代理机构或采购人将在收到书面质疑后 7 个工作日内按规定需要答复的，以书面形式通知质疑人和其他有关供应商，但答复的内容不应涉及商业秘密。</w:t>
      </w:r>
    </w:p>
    <w:p w14:paraId="6535C0C0">
      <w:pPr>
        <w:pStyle w:val="29"/>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质疑人对采购代理机构或采购人的答复不满意，以及采购代理机构或采购人未在规定时间内做出答复的，可以在答复期满后 15 个工作日内向政府采购监管机构提出投诉。</w:t>
      </w:r>
    </w:p>
    <w:p w14:paraId="0E01379D">
      <w:pPr>
        <w:pStyle w:val="29"/>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6）</w:t>
      </w:r>
      <w:r>
        <w:rPr>
          <w:rFonts w:hint="eastAsia" w:ascii="宋体" w:hAnsi="宋体" w:eastAsia="宋体" w:cs="宋体"/>
          <w:kern w:val="2"/>
          <w:sz w:val="24"/>
          <w:szCs w:val="24"/>
          <w:lang w:val="en-US" w:eastAsia="zh-CN" w:bidi="ar"/>
        </w:rPr>
        <w:t>供应商投诉的事项不得超出已质疑事项的范围。</w:t>
      </w:r>
    </w:p>
    <w:p w14:paraId="793ED5B9">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关于信用记录的查询和使用</w:t>
      </w:r>
    </w:p>
    <w:p w14:paraId="0C18A649">
      <w:pPr>
        <w:pStyle w:val="29"/>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4" w:after="0" w:line="540" w:lineRule="exact"/>
        <w:ind w:right="-48" w:rightChars="-22"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采购人及谈判小组将通过【信用中国（</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"http://www.creditchina.gov.cn/"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www.creditchina.gov.cn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）】、【中国政府采购网（</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"http://www.ccgp.gov.cn/"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www.ccgp.gov.cn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网站对谈判响应文件中的企业及个人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号）的第二条第（三）款规定，其响应或成交资格将被取消。</w:t>
      </w:r>
    </w:p>
    <w:p w14:paraId="224DAE24">
      <w:pPr>
        <w:pStyle w:val="11"/>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①查询渠道：谈判小组通过“信用中国”网站(www.creditchina.gov.cn)、中国政府采购网(www.ccgp.gov.cn)、国家企业信用信息公示系统（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）等渠道查询相关主体信用记录；</w:t>
      </w:r>
    </w:p>
    <w:p w14:paraId="45062B3F">
      <w:pPr>
        <w:pStyle w:val="11"/>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②查询截止时点：谈判文件发售期至响应截止时间前；</w:t>
      </w:r>
    </w:p>
    <w:p w14:paraId="6597A096">
      <w:pPr>
        <w:pStyle w:val="11"/>
        <w:keepNext w:val="0"/>
        <w:keepLines w:val="0"/>
        <w:pageBreakBefore w:val="0"/>
        <w:widowControl w:val="0"/>
        <w:kinsoku/>
        <w:wordWrap/>
        <w:overflowPunct/>
        <w:topLinePunct w:val="0"/>
        <w:autoSpaceDE w:val="0"/>
        <w:autoSpaceDN w:val="0"/>
        <w:bidi w:val="0"/>
        <w:adjustRightInd/>
        <w:snapToGrid/>
        <w:spacing w:before="141"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③查询记录和证据留存方式：响应人提供在网站查询的截图（加盖响应单位鲜章），并附在响应文件中；</w:t>
      </w:r>
    </w:p>
    <w:p w14:paraId="4D2D5EAA">
      <w:pPr>
        <w:pStyle w:val="11"/>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④使用规则：对列入失信被执行人、重大税收违法案件当事人名单、政府采购严重违法失信行为记录名单的响应人，其响应无效；</w:t>
      </w:r>
    </w:p>
    <w:p w14:paraId="1864F1AB">
      <w:pPr>
        <w:pStyle w:val="11"/>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⑤特别说明：响应人如在成交通知书发出前出现违法失信行为，采购人仍有权利提请谈判小组取消其成交资格。</w:t>
      </w:r>
    </w:p>
    <w:p w14:paraId="25D578E7">
      <w:pPr>
        <w:pStyle w:val="29"/>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311"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供应商在参加政府采购活动前3 年内因违法经营被禁止在一定期限内参加政府采购活动，期限届满的，可以参加政府采购活动的，但供应商应提供相关证明材料。</w:t>
      </w:r>
    </w:p>
    <w:p w14:paraId="4C6A5292">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关于对中小企业的优惠政策</w:t>
      </w:r>
    </w:p>
    <w:p w14:paraId="233C05D2">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1、1）《政府采购促进中小企业发展管理办法》（财库﹝2020﹞46 号）小型、微型企业应当同时符合以下条件：</w:t>
      </w:r>
    </w:p>
    <w:p w14:paraId="5D6E2A61">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①符合小微企业划分标准（中小企业划分标准是指国务院有关部门根据企业从业人员、营业收入、资产总额等指标制定的中小企业划型标准（工信部联企业〔2011〕300 号））。</w:t>
      </w:r>
    </w:p>
    <w:p w14:paraId="058D1221">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②提供本企业制造的货物、承担的工程或者服务，或者提供其他小微企业制造的货物，不包括提供或使用大型企业注册商标的货物。</w:t>
      </w:r>
    </w:p>
    <w:p w14:paraId="7D28EB89">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③小型、微型企业提供中型企业制造的货物的，视同为中型企业；小型、微型、中型企业提供大型企业制造的货物的，视同为大型企业。</w:t>
      </w:r>
    </w:p>
    <w:p w14:paraId="365AE886">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2）《财政部司法部关于政府采购支持监狱企业发展有关问题的通知》（财库〔2014〕68号）。</w:t>
      </w:r>
    </w:p>
    <w:p w14:paraId="546EC64C">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3）《国务院办公厅关于建立政府强制采购节能产品制度的通知》（国办发〔2007〕51号）。</w:t>
      </w:r>
    </w:p>
    <w:p w14:paraId="39163712">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4E4B773E">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5）监狱企业的价格评分标准</w:t>
      </w:r>
    </w:p>
    <w:p w14:paraId="5B151411">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①在政府采购活动中，监狱企业视同小型、微型企业，享受预留份额、评审中价格扣除等政府采购促进小微企业发展的政府采购政策。</w:t>
      </w:r>
    </w:p>
    <w:p w14:paraId="2D94F081">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 xml:space="preserve"> ②监狱企业参加政府采购活动时，应当提供由省级以上监狱管理局、戒毒管理局（含新疆生产建设兵团）出具的属于监狱企业的证明文件。</w:t>
      </w:r>
    </w:p>
    <w:p w14:paraId="2F07BA75">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③监狱企业按《财政部、司法部关于政府采购支持监狱企业发展有关问题的通知》（财库〔2014〕68号）文件规定标准执行。</w:t>
      </w:r>
    </w:p>
    <w:p w14:paraId="087D37A8">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④监狱企业视同小型、微型企业，享受评审中价格扣除等政府促进小微企业发展的政府采购政策</w:t>
      </w:r>
    </w:p>
    <w:p w14:paraId="1051FF4F">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6）监狱企业属于小型、微型企业的，不重复享受政策。</w:t>
      </w:r>
    </w:p>
    <w:p w14:paraId="330EBF4D">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7）残疾人福利性单位的价格评分标准</w:t>
      </w:r>
    </w:p>
    <w:p w14:paraId="582F67F1">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①在政府采购活动中，残疾人福利性单位视同小型、微型企业，享受预留份额、评审中价格扣除等政府采购促进小微企业发展的政府采购政策。</w:t>
      </w:r>
    </w:p>
    <w:p w14:paraId="5C7C5DB5">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②残疾人福利性单位属于小型、微型企业的，不重复享受政策。</w:t>
      </w:r>
    </w:p>
    <w:p w14:paraId="71573F58">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③符合条件的残疾人福利性单位在参加政府采购活动时，应当提供本通知规定的《残疾人福利性单位声明函》（式样见投标文件格式），并对声明的真实性负责，未提供的不视为残疾人福利性单位。</w:t>
      </w:r>
    </w:p>
    <w:p w14:paraId="07829E1E">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89）监狱和戒毒企业应符合《财政部 司法部关于政府采购支持监狱企业发展有关问题的通知》--财库[2014]68号文件规定，并提供由省级以上监狱管理局、戒毒管理局(含新疆生产建设兵团)出具的属于监狱企业的证明。</w:t>
      </w:r>
    </w:p>
    <w:p w14:paraId="6BCEEF89">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9）残疾人福利性单位应符合《财政部、民政部、中国残疾人联合会关于促进残疾人就业政府采购政策的通知》（财库[2017]141号）文件规定，并提供《残疾人福利性单位声明函》。</w:t>
      </w:r>
    </w:p>
    <w:p w14:paraId="45AFAAFF">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10）残疾人福利性、监狱企业单位属于小型、微型企业的，不重复享受政策。</w:t>
      </w:r>
    </w:p>
    <w:p w14:paraId="0CBBBFF3">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2、投标产品政府采购政策</w:t>
      </w:r>
    </w:p>
    <w:p w14:paraId="5716EF56">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2.1）、节能产品根据《国务院办公厅关于建立政府强制采购节能产品制度的通知》（国办发[2007]51号）的规定，以中国政府采购网（http://www.ccgp.gov.cn/）公布的最新一期节能产品政府采购清单为准。</w:t>
      </w:r>
    </w:p>
    <w:p w14:paraId="2D3443F1">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DC81EE4">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3）、若节能、环保、环境标志清单内的产品仅是构成投标产品的部件、组件或零件的，则该投标产品不享受鼓励优惠政策。</w:t>
      </w:r>
    </w:p>
    <w:p w14:paraId="5D379BA0">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4）、同一项目的节能、环保、环境标志产品部分计分只对属于清单内的非强制类产品进行计分，强制类产品不给予计分。 </w:t>
      </w:r>
    </w:p>
    <w:p w14:paraId="12846F7C">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5）、节能、环保、环境标志产品不重复计分；同时列入国家级清单和省级清单的产品不重复计分。 </w:t>
      </w:r>
    </w:p>
    <w:p w14:paraId="77D2FA3E">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7）、获得上述认证的产品在投标时应提供有效证明材料。以上所有证明文件复印件须加盖投标人公章并注明“与原件一致”，否则不予计分。</w:t>
      </w:r>
    </w:p>
    <w:p w14:paraId="4AFDBBA5">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8）、投标人应如实提供以上证明文件，如存在虚假应标，将取消其投标资格。</w:t>
      </w:r>
    </w:p>
    <w:p w14:paraId="66131460">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注：本项目为专门面向中小企业项目，专门面向中小企业采购的项目，不再执行价格评审优惠的扶持政策</w:t>
      </w:r>
    </w:p>
    <w:p w14:paraId="532A8457">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关于节能、环保、绿色产品</w:t>
      </w:r>
    </w:p>
    <w:p w14:paraId="00B52F79">
      <w:pPr>
        <w:pStyle w:val="11"/>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14:paraId="3BBE1DBA">
      <w:pPr>
        <w:pStyle w:val="11"/>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的产品属于政府采购节能产品、环境标志产品品目清单范围的，响应人需提供国家确定的认证机构出具的、处于有效期之内的节能产品、环境标志产品认证证书，对获得证书的产品实施政府优先采购或强制采购。</w:t>
      </w:r>
    </w:p>
    <w:p w14:paraId="39526D9A">
      <w:pPr>
        <w:pStyle w:val="11"/>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w:t>
      </w:r>
      <w:r>
        <w:rPr>
          <w:rFonts w:hint="eastAsia" w:ascii="宋体" w:hAnsi="宋体" w:eastAsia="宋体" w:cs="宋体"/>
          <w:kern w:val="2"/>
          <w:sz w:val="24"/>
          <w:szCs w:val="24"/>
          <w:lang w:val="zh-CN" w:eastAsia="zh-CN" w:bidi="ar"/>
        </w:rPr>
        <w:t>陕西省财政厅关于印发 《陕西省中小企业政府采购信用融资办法》（陕财办采[2018]23 号）</w:t>
      </w:r>
      <w:bookmarkStart w:id="5" w:name="二、谈判文件"/>
      <w:bookmarkEnd w:id="5"/>
    </w:p>
    <w:p w14:paraId="11049040">
      <w:pPr>
        <w:pStyle w:val="11"/>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zh-CN" w:eastAsia="zh-CN" w:bidi="ar"/>
        </w:rPr>
      </w:pPr>
      <w:r>
        <w:rPr>
          <w:rFonts w:hint="eastAsia" w:ascii="宋体" w:hAnsi="宋体" w:eastAsia="宋体" w:cs="宋体"/>
          <w:kern w:val="2"/>
          <w:sz w:val="24"/>
          <w:szCs w:val="24"/>
          <w:lang w:val="en-US" w:eastAsia="zh-CN" w:bidi="ar"/>
        </w:rPr>
        <w:t>为支持和促进</w:t>
      </w:r>
      <w:r>
        <w:rPr>
          <w:rFonts w:hint="eastAsia" w:cs="宋体"/>
          <w:kern w:val="2"/>
          <w:sz w:val="24"/>
          <w:szCs w:val="24"/>
          <w:lang w:val="en-US" w:eastAsia="zh-CN" w:bidi="ar"/>
        </w:rPr>
        <w:t>中小</w:t>
      </w:r>
      <w:r>
        <w:rPr>
          <w:rFonts w:hint="eastAsia" w:ascii="宋体" w:hAnsi="宋体" w:eastAsia="宋体" w:cs="宋体"/>
          <w:kern w:val="2"/>
          <w:sz w:val="24"/>
          <w:szCs w:val="24"/>
          <w:lang w:val="en-US" w:eastAsia="zh-CN" w:bidi="ar"/>
        </w:rPr>
        <w:t>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投标供应商提供政府采购信用担保，并按照程序确定了合作的担保机构。投标供应商在缴纳投标保证金时可自愿选择通过担保机构保函的形式缴纳；中标投标供应商如果需要融资贷款服务的，可凭成交通知书、政府采购合同等相关资料，按照《陕西省财政厅关于印发&lt;陕西省中小企业政府采购信用融资办法&gt;的通知》（陕财办采〔2018〕23号）相关政策、业务流程、办理平台（http://www.ccgp-shaanxi.gov.cn/zcdservice/zcd/shanxi/）的程序办理。</w:t>
      </w:r>
    </w:p>
    <w:p w14:paraId="1D20579D">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p>
    <w:p w14:paraId="06AE90F4">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二、谈判文件</w:t>
      </w:r>
    </w:p>
    <w:p w14:paraId="671B515A">
      <w:pPr>
        <w:pStyle w:val="29"/>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4</w:t>
      </w:r>
      <w:r>
        <w:rPr>
          <w:rFonts w:hint="eastAsia" w:ascii="宋体" w:hAnsi="宋体" w:eastAsia="宋体" w:cs="宋体"/>
          <w:b/>
          <w:bCs/>
          <w:kern w:val="2"/>
          <w:sz w:val="24"/>
          <w:szCs w:val="24"/>
          <w:lang w:val="en-US" w:eastAsia="zh-CN" w:bidi="ar"/>
        </w:rPr>
        <w:t>.谈判文件构成</w:t>
      </w:r>
    </w:p>
    <w:p w14:paraId="7B1C4E95">
      <w:pPr>
        <w:pStyle w:val="29"/>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谈判文件包括下列内容： </w:t>
      </w:r>
    </w:p>
    <w:p w14:paraId="3AA68500">
      <w:pPr>
        <w:pStyle w:val="29"/>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第一章</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竞争性谈判公告</w:t>
      </w:r>
    </w:p>
    <w:p w14:paraId="19FA3443">
      <w:pPr>
        <w:pStyle w:val="11"/>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第二章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谈判须知</w:t>
      </w:r>
    </w:p>
    <w:p w14:paraId="3DAC81D3">
      <w:pPr>
        <w:pStyle w:val="11"/>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第三章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采购内容与</w:t>
      </w:r>
      <w:r>
        <w:rPr>
          <w:rFonts w:hint="eastAsia" w:cs="宋体"/>
          <w:kern w:val="2"/>
          <w:sz w:val="24"/>
          <w:szCs w:val="24"/>
          <w:lang w:val="en-US" w:eastAsia="zh-CN" w:bidi="ar"/>
        </w:rPr>
        <w:t>服务</w:t>
      </w:r>
      <w:r>
        <w:rPr>
          <w:rFonts w:hint="eastAsia" w:ascii="宋体" w:hAnsi="宋体" w:eastAsia="宋体" w:cs="宋体"/>
          <w:kern w:val="2"/>
          <w:sz w:val="24"/>
          <w:szCs w:val="24"/>
          <w:lang w:val="en-US" w:eastAsia="zh-CN" w:bidi="ar"/>
        </w:rPr>
        <w:t>要求</w:t>
      </w:r>
    </w:p>
    <w:p w14:paraId="30DDE7AD">
      <w:pPr>
        <w:pStyle w:val="11"/>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第四章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合同主要条款</w:t>
      </w:r>
    </w:p>
    <w:p w14:paraId="423C6B7A">
      <w:pPr>
        <w:pStyle w:val="11"/>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第五章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谈判响应文件格式</w:t>
      </w:r>
    </w:p>
    <w:p w14:paraId="1A8C40B8">
      <w:pPr>
        <w:pStyle w:val="11"/>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5</w:t>
      </w:r>
      <w:r>
        <w:rPr>
          <w:rFonts w:hint="eastAsia" w:ascii="宋体" w:hAnsi="宋体" w:eastAsia="宋体" w:cs="宋体"/>
          <w:b/>
          <w:bCs/>
          <w:kern w:val="2"/>
          <w:sz w:val="24"/>
          <w:szCs w:val="24"/>
          <w:lang w:val="en-US" w:eastAsia="zh-CN" w:bidi="ar"/>
        </w:rPr>
        <w:t>.谈判文件的澄清和修改</w:t>
      </w:r>
    </w:p>
    <w:p w14:paraId="09C6D303">
      <w:pPr>
        <w:pStyle w:val="11"/>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5.1 </w:t>
      </w:r>
      <w:r>
        <w:rPr>
          <w:rFonts w:hint="eastAsia" w:ascii="宋体" w:hAnsi="宋体" w:eastAsia="宋体" w:cs="宋体"/>
          <w:kern w:val="2"/>
          <w:sz w:val="24"/>
          <w:szCs w:val="24"/>
          <w:lang w:val="en-US" w:eastAsia="zh-CN" w:bidi="ar"/>
        </w:rPr>
        <w:t>任何要求对谈判文件进行澄清的响应供应商均应在谈判响应文件递交截止期 3 日前以书面形式通知采购代理机构，采购代理机构对供应商所要求澄清的内容以书面形式予以答复。供应商在规定的时间内未要求对谈判文件澄清或提出疑问的，将视其为无异议。对谈判文件中描述有歧意或前后不一致的地方，谈判小组有权进行评判，但对同一条款的评判应适用于每个供应商。</w:t>
      </w:r>
    </w:p>
    <w:p w14:paraId="398A8C8E">
      <w:pPr>
        <w:pStyle w:val="11"/>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5.2 </w:t>
      </w:r>
      <w:r>
        <w:rPr>
          <w:rFonts w:hint="eastAsia" w:ascii="宋体" w:hAnsi="宋体" w:eastAsia="宋体" w:cs="宋体"/>
          <w:kern w:val="2"/>
          <w:sz w:val="24"/>
          <w:szCs w:val="24"/>
          <w:lang w:val="en-US" w:eastAsia="zh-CN" w:bidi="ar"/>
        </w:rPr>
        <w:t>采购代理机构对谈判文件的修改将以书面形式发给所有谈判文件收受人，该修改书将构成谈判文件的一部分,对供应商有约束力。供应商在收到通知后应立即以电话、传真或其他书面形式予以确认。</w:t>
      </w:r>
    </w:p>
    <w:p w14:paraId="436574AF">
      <w:pPr>
        <w:pStyle w:val="11"/>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5.3 </w:t>
      </w:r>
      <w:r>
        <w:rPr>
          <w:rFonts w:hint="eastAsia" w:ascii="宋体" w:hAnsi="宋体" w:eastAsia="宋体" w:cs="宋体"/>
          <w:kern w:val="2"/>
          <w:sz w:val="24"/>
          <w:szCs w:val="24"/>
          <w:lang w:val="en-US" w:eastAsia="zh-CN" w:bidi="ar"/>
        </w:rPr>
        <w:t>在谈判过程中，谈判文件如有实质性变动的，谈判小组应当以书面形式通知所有参加谈判的供应商。</w:t>
      </w:r>
    </w:p>
    <w:p w14:paraId="15DC88DB">
      <w:pPr>
        <w:pStyle w:val="11"/>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5.4 </w:t>
      </w:r>
      <w:r>
        <w:rPr>
          <w:rFonts w:hint="eastAsia" w:ascii="宋体" w:hAnsi="宋体" w:eastAsia="宋体" w:cs="宋体"/>
          <w:kern w:val="2"/>
          <w:sz w:val="24"/>
          <w:szCs w:val="24"/>
          <w:lang w:val="en-US" w:eastAsia="zh-CN" w:bidi="ar"/>
        </w:rPr>
        <w:t>招标采购单位可以视采购具体情况，延长谈判截止时间和谈判时间，并将变更时间书面通知所有谈判文件收受人。</w:t>
      </w:r>
    </w:p>
    <w:p w14:paraId="36B9BB62">
      <w:pPr>
        <w:pStyle w:val="11"/>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6.</w:t>
      </w:r>
      <w:r>
        <w:rPr>
          <w:rFonts w:hint="eastAsia" w:ascii="宋体" w:hAnsi="宋体" w:eastAsia="宋体" w:cs="宋体"/>
          <w:b/>
          <w:bCs/>
          <w:kern w:val="2"/>
          <w:sz w:val="24"/>
          <w:szCs w:val="24"/>
          <w:lang w:val="en-US" w:eastAsia="zh-CN" w:bidi="ar"/>
        </w:rPr>
        <w:t>谈判文件的解释权归采购单位及采购代理机构。</w:t>
      </w:r>
    </w:p>
    <w:p w14:paraId="54561260">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b/>
          <w:bCs/>
          <w:kern w:val="2"/>
          <w:sz w:val="24"/>
          <w:szCs w:val="24"/>
          <w:lang w:val="en-US" w:eastAsia="zh-CN" w:bidi="ar"/>
        </w:rPr>
      </w:pPr>
      <w:bookmarkStart w:id="6" w:name="三、谈判响应文件的编制"/>
      <w:bookmarkEnd w:id="6"/>
      <w:r>
        <w:rPr>
          <w:rFonts w:hint="eastAsia" w:ascii="宋体" w:hAnsi="宋体" w:eastAsia="宋体" w:cs="宋体"/>
          <w:b/>
          <w:bCs/>
          <w:kern w:val="2"/>
          <w:sz w:val="24"/>
          <w:szCs w:val="24"/>
          <w:lang w:val="en-US" w:eastAsia="zh-CN" w:bidi="ar"/>
        </w:rPr>
        <w:t>三、谈判响应文件的编制</w:t>
      </w:r>
    </w:p>
    <w:p w14:paraId="6ECE90A8">
      <w:pPr>
        <w:pStyle w:val="29"/>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35"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7.</w:t>
      </w:r>
      <w:r>
        <w:rPr>
          <w:rFonts w:hint="eastAsia" w:ascii="宋体" w:hAnsi="宋体" w:eastAsia="宋体" w:cs="宋体"/>
          <w:b/>
          <w:bCs/>
          <w:kern w:val="2"/>
          <w:sz w:val="24"/>
          <w:szCs w:val="24"/>
          <w:lang w:val="en-US" w:eastAsia="zh-CN" w:bidi="ar"/>
        </w:rPr>
        <w:t>编制要求</w:t>
      </w:r>
    </w:p>
    <w:p w14:paraId="6AFD32FB">
      <w:pPr>
        <w:pStyle w:val="29"/>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31"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7.1 </w:t>
      </w:r>
      <w:r>
        <w:rPr>
          <w:rFonts w:hint="eastAsia" w:ascii="宋体" w:hAnsi="宋体" w:eastAsia="宋体" w:cs="宋体"/>
          <w:b w:val="0"/>
          <w:bCs w:val="0"/>
          <w:kern w:val="2"/>
          <w:sz w:val="24"/>
          <w:szCs w:val="24"/>
          <w:lang w:val="en-US" w:eastAsia="zh-CN" w:bidi="ar"/>
        </w:rPr>
        <w:t>供应商应认真阅读谈判文件的所有内容，严格按照谈判文件的要求编制和提供谈判响应文件，并保证所提供的全部资料的真实性，使谈判响应文件对谈判文件作出实质性响应。如果供应商在谈判响应文件中没有按照谈判文件要求提交全部资料或者谈判响应文件没有对谈判文件在各方面都做出实质性响应，其谈判将被拒绝。</w:t>
      </w:r>
    </w:p>
    <w:p w14:paraId="67081B6B">
      <w:pPr>
        <w:pStyle w:val="29"/>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0"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7.2 </w:t>
      </w:r>
      <w:r>
        <w:rPr>
          <w:rFonts w:hint="eastAsia" w:ascii="宋体" w:hAnsi="宋体" w:eastAsia="宋体" w:cs="宋体"/>
          <w:b w:val="0"/>
          <w:bCs w:val="0"/>
          <w:kern w:val="2"/>
          <w:sz w:val="24"/>
          <w:szCs w:val="24"/>
          <w:lang w:val="en-US" w:eastAsia="zh-CN" w:bidi="ar"/>
        </w:rPr>
        <w:t>供应商提交的谈判响应文件（包括产品的技术资料）以及供应商与采购代理机构就有关谈判的所有来往函电均应以中文书写。</w:t>
      </w:r>
    </w:p>
    <w:p w14:paraId="7DD7D91D">
      <w:pPr>
        <w:pStyle w:val="5"/>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8. </w:t>
      </w:r>
      <w:r>
        <w:rPr>
          <w:rFonts w:hint="eastAsia" w:ascii="宋体" w:hAnsi="宋体" w:eastAsia="宋体" w:cs="宋体"/>
          <w:b/>
          <w:bCs/>
          <w:kern w:val="2"/>
          <w:sz w:val="24"/>
          <w:szCs w:val="24"/>
          <w:lang w:val="en-US" w:eastAsia="zh-CN" w:bidi="ar"/>
        </w:rPr>
        <w:t>谈判响应文件构成和格式</w:t>
      </w:r>
    </w:p>
    <w:p w14:paraId="027FE06C">
      <w:pPr>
        <w:pStyle w:val="29"/>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8.1 </w:t>
      </w:r>
      <w:r>
        <w:rPr>
          <w:rFonts w:hint="eastAsia" w:ascii="宋体" w:hAnsi="宋体" w:eastAsia="宋体" w:cs="宋体"/>
          <w:b w:val="0"/>
          <w:bCs w:val="0"/>
          <w:kern w:val="2"/>
          <w:sz w:val="24"/>
          <w:szCs w:val="24"/>
          <w:lang w:val="en-US" w:eastAsia="zh-CN" w:bidi="ar"/>
        </w:rPr>
        <w:t>供应商编写的谈判响应文件应包括，但不限于下列部分，请按谈判文件提供的相应格式并依照下列顺序编写：</w:t>
      </w:r>
    </w:p>
    <w:p w14:paraId="1BD323C0">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ascii="宋体" w:hAnsi="宋体" w:eastAsia="宋体" w:cs="宋体"/>
          <w:b w:val="0"/>
          <w:bCs w:val="0"/>
          <w:kern w:val="2"/>
          <w:sz w:val="24"/>
          <w:szCs w:val="24"/>
          <w:lang w:val="zh-CN" w:eastAsia="zh-CN" w:bidi="ar"/>
        </w:rPr>
        <w:t>一、谈判响应函</w:t>
      </w:r>
    </w:p>
    <w:p w14:paraId="162F9104">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二</w:t>
      </w:r>
      <w:r>
        <w:rPr>
          <w:rFonts w:hint="eastAsia" w:ascii="宋体" w:hAnsi="宋体" w:eastAsia="宋体" w:cs="宋体"/>
          <w:b w:val="0"/>
          <w:bCs w:val="0"/>
          <w:kern w:val="2"/>
          <w:sz w:val="24"/>
          <w:szCs w:val="24"/>
          <w:lang w:val="zh-CN" w:eastAsia="zh-CN" w:bidi="ar"/>
        </w:rPr>
        <w:t>、谈判报价表</w:t>
      </w:r>
    </w:p>
    <w:p w14:paraId="317EA128">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三</w:t>
      </w:r>
      <w:r>
        <w:rPr>
          <w:rFonts w:hint="eastAsia" w:ascii="宋体" w:hAnsi="宋体" w:eastAsia="宋体" w:cs="宋体"/>
          <w:b w:val="0"/>
          <w:bCs w:val="0"/>
          <w:kern w:val="2"/>
          <w:sz w:val="24"/>
          <w:szCs w:val="24"/>
          <w:lang w:val="zh-CN" w:eastAsia="zh-CN" w:bidi="ar"/>
        </w:rPr>
        <w:t>、</w:t>
      </w:r>
      <w:r>
        <w:rPr>
          <w:rFonts w:hint="eastAsia" w:cs="宋体"/>
          <w:b w:val="0"/>
          <w:bCs w:val="0"/>
          <w:kern w:val="2"/>
          <w:sz w:val="24"/>
          <w:szCs w:val="24"/>
          <w:lang w:val="zh-CN" w:eastAsia="zh-CN" w:bidi="ar"/>
        </w:rPr>
        <w:t>供应商</w:t>
      </w:r>
      <w:r>
        <w:rPr>
          <w:rFonts w:hint="eastAsia" w:ascii="宋体" w:hAnsi="宋体" w:eastAsia="宋体" w:cs="宋体"/>
          <w:b w:val="0"/>
          <w:bCs w:val="0"/>
          <w:kern w:val="2"/>
          <w:sz w:val="24"/>
          <w:szCs w:val="24"/>
          <w:lang w:val="zh-CN" w:eastAsia="zh-CN" w:bidi="ar"/>
        </w:rPr>
        <w:t>资格证明文件</w:t>
      </w:r>
    </w:p>
    <w:p w14:paraId="374AAD9B">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四</w:t>
      </w:r>
      <w:r>
        <w:rPr>
          <w:rFonts w:hint="eastAsia" w:ascii="宋体" w:hAnsi="宋体" w:eastAsia="宋体" w:cs="宋体"/>
          <w:b w:val="0"/>
          <w:bCs w:val="0"/>
          <w:kern w:val="2"/>
          <w:sz w:val="24"/>
          <w:szCs w:val="24"/>
          <w:lang w:val="en-US" w:eastAsia="zh-CN" w:bidi="ar"/>
        </w:rPr>
        <w:t>、业绩证明</w:t>
      </w:r>
    </w:p>
    <w:p w14:paraId="4B11482C">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五、谈判方案说明书</w:t>
      </w:r>
    </w:p>
    <w:p w14:paraId="38D2E046">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03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六、供应商拒绝政府采购领域商业贿赂承诺书</w:t>
      </w:r>
    </w:p>
    <w:p w14:paraId="7F67AD33">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default"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七、其他材料</w:t>
      </w:r>
    </w:p>
    <w:p w14:paraId="05FF0C99">
      <w:pPr>
        <w:pStyle w:val="29"/>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29"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8.2 </w:t>
      </w:r>
      <w:r>
        <w:rPr>
          <w:rFonts w:hint="eastAsia" w:ascii="宋体" w:hAnsi="宋体" w:eastAsia="宋体" w:cs="宋体"/>
          <w:b w:val="0"/>
          <w:bCs w:val="0"/>
          <w:kern w:val="2"/>
          <w:sz w:val="24"/>
          <w:szCs w:val="24"/>
          <w:lang w:val="en-US" w:eastAsia="zh-CN" w:bidi="ar"/>
        </w:rPr>
        <w:t>供应商应按照</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的内容及第五章提供的格式编写响应文件，不得缺少谈判文件要求填写的表格或提交的资料。</w:t>
      </w:r>
    </w:p>
    <w:p w14:paraId="46F9F01A">
      <w:pPr>
        <w:pStyle w:val="29"/>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8.3 </w:t>
      </w:r>
      <w:r>
        <w:rPr>
          <w:rFonts w:hint="eastAsia" w:ascii="宋体" w:hAnsi="宋体" w:eastAsia="宋体" w:cs="宋体"/>
          <w:b w:val="0"/>
          <w:bCs w:val="0"/>
          <w:kern w:val="2"/>
          <w:sz w:val="24"/>
          <w:szCs w:val="24"/>
          <w:lang w:val="en-US" w:eastAsia="zh-CN" w:bidi="ar"/>
        </w:rPr>
        <w:t>供应商应将响应文件按</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规定的顺序编排、并应编制目录。</w:t>
      </w:r>
    </w:p>
    <w:p w14:paraId="1D286E7F">
      <w:pPr>
        <w:pStyle w:val="29"/>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29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9</w:t>
      </w:r>
      <w:r>
        <w:rPr>
          <w:rFonts w:hint="eastAsia" w:ascii="宋体" w:hAnsi="宋体" w:eastAsia="宋体" w:cs="宋体"/>
          <w:b/>
          <w:bCs/>
          <w:kern w:val="2"/>
          <w:sz w:val="24"/>
          <w:szCs w:val="24"/>
          <w:lang w:val="en-US" w:eastAsia="zh-CN" w:bidi="ar"/>
        </w:rPr>
        <w:t>．谈判报价</w:t>
      </w:r>
    </w:p>
    <w:p w14:paraId="36DD71D7">
      <w:pPr>
        <w:pStyle w:val="29"/>
        <w:keepNext w:val="0"/>
        <w:keepLines w:val="0"/>
        <w:pageBreakBefore w:val="0"/>
        <w:widowControl w:val="0"/>
        <w:numPr>
          <w:ilvl w:val="0"/>
          <w:numId w:val="0"/>
        </w:numPr>
        <w:tabs>
          <w:tab w:val="left" w:pos="118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9.1</w:t>
      </w:r>
      <w:r>
        <w:rPr>
          <w:rFonts w:hint="eastAsia" w:ascii="宋体" w:hAnsi="宋体" w:eastAsia="宋体" w:cs="宋体"/>
          <w:b w:val="0"/>
          <w:bCs w:val="0"/>
          <w:kern w:val="2"/>
          <w:sz w:val="24"/>
          <w:szCs w:val="24"/>
          <w:lang w:val="en-US" w:eastAsia="zh-CN" w:bidi="ar"/>
        </w:rPr>
        <w:t>供应商的的投标报价应是在服务期内，供应商按合同规定的范围所提供的全部服务所需的费用。</w:t>
      </w:r>
    </w:p>
    <w:p w14:paraId="042ED1AE">
      <w:pPr>
        <w:pStyle w:val="29"/>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9.2</w:t>
      </w:r>
      <w:r>
        <w:rPr>
          <w:rFonts w:hint="eastAsia" w:ascii="宋体" w:hAnsi="宋体" w:eastAsia="宋体" w:cs="宋体"/>
          <w:b w:val="0"/>
          <w:bCs w:val="0"/>
          <w:kern w:val="2"/>
          <w:sz w:val="24"/>
          <w:szCs w:val="24"/>
          <w:lang w:val="en-US" w:eastAsia="zh-CN" w:bidi="ar"/>
        </w:rPr>
        <w:t>供应商被视为充分地理解了谈判文件内容并考虑了现场条件和施工环境，报价中含有此方面的一切风险费用。供应商应按照招标文件相关要求自行进行投标报价。</w:t>
      </w:r>
    </w:p>
    <w:p w14:paraId="305C3637">
      <w:pPr>
        <w:pStyle w:val="29"/>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9.3</w:t>
      </w:r>
      <w:r>
        <w:rPr>
          <w:rFonts w:hint="eastAsia" w:ascii="宋体" w:hAnsi="宋体" w:eastAsia="宋体" w:cs="宋体"/>
          <w:b w:val="0"/>
          <w:bCs w:val="0"/>
          <w:kern w:val="2"/>
          <w:sz w:val="24"/>
          <w:szCs w:val="24"/>
          <w:lang w:val="en-US" w:eastAsia="zh-CN" w:bidi="ar"/>
        </w:rPr>
        <w:t>服务费支付按本谈判文件中载明的服务合同规定的方式支付。</w:t>
      </w:r>
    </w:p>
    <w:p w14:paraId="111910A3">
      <w:pPr>
        <w:pStyle w:val="29"/>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26"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9.4</w:t>
      </w:r>
      <w:r>
        <w:rPr>
          <w:rFonts w:hint="eastAsia" w:ascii="宋体" w:hAnsi="宋体" w:eastAsia="宋体" w:cs="宋体"/>
          <w:b w:val="0"/>
          <w:bCs w:val="0"/>
          <w:kern w:val="2"/>
          <w:sz w:val="24"/>
          <w:szCs w:val="24"/>
          <w:lang w:val="en-US" w:eastAsia="zh-CN" w:bidi="ar"/>
        </w:rPr>
        <w:t>本项目采购预算为：</w:t>
      </w:r>
      <w:r>
        <w:rPr>
          <w:rFonts w:hint="eastAsia" w:cs="宋体"/>
          <w:b w:val="0"/>
          <w:bCs w:val="0"/>
          <w:kern w:val="2"/>
          <w:sz w:val="24"/>
          <w:szCs w:val="24"/>
          <w:u w:val="single"/>
          <w:lang w:val="en-US" w:eastAsia="zh-CN" w:bidi="ar"/>
        </w:rPr>
        <w:t>壹拾伍万陆仟陆佰伍拾玖元捌角陆分</w:t>
      </w:r>
      <w:r>
        <w:rPr>
          <w:rFonts w:hint="eastAsia" w:ascii="宋体" w:hAnsi="宋体" w:eastAsia="宋体" w:cs="宋体"/>
          <w:b w:val="0"/>
          <w:bCs w:val="0"/>
          <w:kern w:val="2"/>
          <w:sz w:val="24"/>
          <w:szCs w:val="24"/>
          <w:shd w:val="clear"/>
          <w:lang w:val="en-US" w:eastAsia="zh-CN" w:bidi="ar"/>
        </w:rPr>
        <w:t>（￥</w:t>
      </w:r>
      <w:r>
        <w:rPr>
          <w:rFonts w:hint="eastAsia" w:cs="宋体"/>
          <w:b w:val="0"/>
          <w:bCs w:val="0"/>
          <w:kern w:val="2"/>
          <w:sz w:val="24"/>
          <w:szCs w:val="24"/>
          <w:shd w:val="clear"/>
          <w:lang w:val="en-US" w:eastAsia="zh-CN" w:bidi="ar"/>
        </w:rPr>
        <w:t>:</w:t>
      </w:r>
      <w:r>
        <w:rPr>
          <w:rFonts w:hint="eastAsia" w:cs="宋体"/>
          <w:kern w:val="2"/>
          <w:sz w:val="24"/>
          <w:szCs w:val="24"/>
          <w:shd w:val="clear"/>
          <w:lang w:val="en-US" w:eastAsia="zh-CN" w:bidi="ar"/>
        </w:rPr>
        <w:t>156659.86</w:t>
      </w:r>
      <w:r>
        <w:rPr>
          <w:rFonts w:hint="eastAsia" w:ascii="宋体" w:hAnsi="宋体" w:eastAsia="宋体" w:cs="宋体"/>
          <w:b w:val="0"/>
          <w:bCs w:val="0"/>
          <w:kern w:val="2"/>
          <w:sz w:val="24"/>
          <w:szCs w:val="24"/>
          <w:shd w:val="clear"/>
          <w:lang w:val="en-US" w:eastAsia="zh-CN" w:bidi="ar"/>
        </w:rPr>
        <w:t>元</w:t>
      </w:r>
      <w:r>
        <w:rPr>
          <w:rFonts w:hint="eastAsia" w:ascii="宋体" w:hAnsi="宋体" w:eastAsia="宋体" w:cs="宋体"/>
          <w:b w:val="0"/>
          <w:bCs w:val="0"/>
          <w:kern w:val="2"/>
          <w:sz w:val="24"/>
          <w:szCs w:val="24"/>
          <w:lang w:val="en-US" w:eastAsia="zh-CN" w:bidi="ar"/>
        </w:rPr>
        <w:t>），谈判报价大于采购预算的则视为废标。</w:t>
      </w:r>
    </w:p>
    <w:p w14:paraId="646B721C">
      <w:pPr>
        <w:pStyle w:val="29"/>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9.5</w:t>
      </w:r>
      <w:r>
        <w:rPr>
          <w:rFonts w:hint="eastAsia" w:ascii="宋体" w:hAnsi="宋体" w:eastAsia="宋体" w:cs="宋体"/>
          <w:b w:val="0"/>
          <w:bCs w:val="0"/>
          <w:kern w:val="2"/>
          <w:sz w:val="24"/>
          <w:szCs w:val="24"/>
          <w:lang w:val="en-US" w:eastAsia="zh-CN" w:bidi="ar"/>
        </w:rPr>
        <w:t>供应商不得以低于成本的报价参加投标，供应商的投标报价明显低于其他供应商的报价，经谈判小组质询后不能在规定时间内说明理由，或说明理由经谈判小组会认为不成立，则按无效标处理。</w:t>
      </w:r>
    </w:p>
    <w:p w14:paraId="0E184221">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10.</w:t>
      </w:r>
      <w:r>
        <w:rPr>
          <w:rFonts w:hint="eastAsia" w:ascii="宋体" w:hAnsi="宋体" w:eastAsia="宋体" w:cs="宋体"/>
          <w:b/>
          <w:bCs/>
          <w:kern w:val="2"/>
          <w:sz w:val="24"/>
          <w:szCs w:val="24"/>
          <w:lang w:val="en-US" w:eastAsia="zh-CN" w:bidi="ar"/>
        </w:rPr>
        <w:t>谈判货币</w:t>
      </w:r>
    </w:p>
    <w:p w14:paraId="50B79D7F">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10.1 </w:t>
      </w:r>
      <w:r>
        <w:rPr>
          <w:rFonts w:hint="eastAsia" w:ascii="宋体" w:hAnsi="宋体" w:eastAsia="宋体" w:cs="宋体"/>
          <w:b w:val="0"/>
          <w:bCs w:val="0"/>
          <w:kern w:val="2"/>
          <w:sz w:val="24"/>
          <w:szCs w:val="24"/>
          <w:lang w:val="en-US" w:eastAsia="zh-CN" w:bidi="ar"/>
        </w:rPr>
        <w:t>供应商提供的服务一律以人民币报价。</w:t>
      </w:r>
    </w:p>
    <w:p w14:paraId="0F44D6D5">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02"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11. </w:t>
      </w:r>
      <w:r>
        <w:rPr>
          <w:rFonts w:hint="eastAsia" w:ascii="宋体" w:hAnsi="宋体" w:eastAsia="宋体" w:cs="宋体"/>
          <w:b/>
          <w:bCs/>
          <w:kern w:val="2"/>
          <w:sz w:val="24"/>
          <w:szCs w:val="24"/>
          <w:lang w:val="en-US" w:eastAsia="zh-CN" w:bidi="ar"/>
        </w:rPr>
        <w:t>谈判保证金：无。</w:t>
      </w:r>
    </w:p>
    <w:p w14:paraId="5282F63E">
      <w:pPr>
        <w:pStyle w:val="29"/>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34"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12. </w:t>
      </w:r>
      <w:r>
        <w:rPr>
          <w:rFonts w:hint="eastAsia" w:ascii="宋体" w:hAnsi="宋体" w:eastAsia="宋体" w:cs="宋体"/>
          <w:b/>
          <w:bCs/>
          <w:kern w:val="2"/>
          <w:sz w:val="24"/>
          <w:szCs w:val="24"/>
          <w:lang w:val="en-US" w:eastAsia="zh-CN" w:bidi="ar"/>
        </w:rPr>
        <w:t>谈判有效期</w:t>
      </w:r>
    </w:p>
    <w:p w14:paraId="5834AD87">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12.1 </w:t>
      </w:r>
      <w:r>
        <w:rPr>
          <w:rFonts w:hint="eastAsia" w:ascii="宋体" w:hAnsi="宋体" w:eastAsia="宋体" w:cs="宋体"/>
          <w:b w:val="0"/>
          <w:bCs w:val="0"/>
          <w:kern w:val="2"/>
          <w:sz w:val="24"/>
          <w:szCs w:val="24"/>
          <w:lang w:val="en-US" w:eastAsia="zh-CN" w:bidi="ar"/>
        </w:rPr>
        <w:t>谈判有效期为谈判之日起九十（90）个日历日（成交供应商的谈判响应文件有效期与合同有效期一致）。供应商的谈判有效期比谈判文件规定短的将被视为非响应性谈判而予以拒绝。</w:t>
      </w:r>
    </w:p>
    <w:p w14:paraId="03FD4738">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12.2 </w:t>
      </w:r>
      <w:r>
        <w:rPr>
          <w:rFonts w:hint="eastAsia" w:ascii="宋体" w:hAnsi="宋体" w:eastAsia="宋体" w:cs="宋体"/>
          <w:b w:val="0"/>
          <w:bCs w:val="0"/>
          <w:kern w:val="2"/>
          <w:sz w:val="24"/>
          <w:szCs w:val="24"/>
          <w:lang w:val="en-US" w:eastAsia="zh-CN" w:bidi="ar"/>
        </w:rPr>
        <w:t>在特殊情况下，在原谈判有效期期满之前，招标采购单位可征得供应商同意延长谈判有效期。这种要求与答复均应为书面形式提交。</w:t>
      </w:r>
    </w:p>
    <w:p w14:paraId="7C576F8B">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13. </w:t>
      </w:r>
      <w:r>
        <w:rPr>
          <w:rFonts w:hint="eastAsia" w:ascii="宋体" w:hAnsi="宋体" w:eastAsia="宋体" w:cs="宋体"/>
          <w:b/>
          <w:bCs/>
          <w:kern w:val="2"/>
          <w:sz w:val="24"/>
          <w:szCs w:val="24"/>
          <w:lang w:val="en-US" w:eastAsia="zh-CN" w:bidi="ar"/>
        </w:rPr>
        <w:t>谈判响应文件的制作和签署</w:t>
      </w:r>
    </w:p>
    <w:p w14:paraId="7F5F5B53">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bookmarkStart w:id="7" w:name="四、谈判响应文件的递交"/>
      <w:bookmarkEnd w:id="7"/>
      <w:r>
        <w:rPr>
          <w:rFonts w:hint="eastAsia" w:ascii="宋体" w:hAnsi="宋体" w:eastAsia="宋体" w:cs="宋体"/>
          <w:b w:val="0"/>
          <w:bCs w:val="0"/>
          <w:kern w:val="2"/>
          <w:sz w:val="24"/>
          <w:szCs w:val="24"/>
          <w:lang w:val="en-US" w:eastAsia="zh-CN" w:bidi="ar"/>
        </w:rPr>
        <w:t>13.1 供应商应提交谈判响应文件正本1份和副本1份、电子版(U盘）1份且与文字版一致。每套谈判响应文件须清楚地标明“正本”、“副本”。一旦正本和副本不符，以正本为准。</w:t>
      </w:r>
    </w:p>
    <w:p w14:paraId="032EA7B7">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13.2 谈判响应文件封面及内容应由法定代表人或其委托代理人签字，由委托代理人签字的，在谈判响应文件中须同时提交法定代表人授权委托书原件。</w:t>
      </w:r>
    </w:p>
    <w:p w14:paraId="4D07C5ED">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13.3 谈判响应文件的正本和副本应分别单独采用A4纸胶粘装订成册，装订应牢固，不易拆散，不得夹页、换页，不得采用活页装订，应编制目录，字迹应清晰易于辨认，文件编制应符合8.1至8.3项要求。</w:t>
      </w:r>
    </w:p>
    <w:p w14:paraId="7ACBE4F8">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13.4 除供应商对谈判响应文件错处做必要修改外，谈判响应文件不得行间插字、涂改和增删，如有修改错漏处，必须由供应商的法人或其授权代表在修改处签字后才有效。</w:t>
      </w:r>
    </w:p>
    <w:p w14:paraId="52845EA1">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13.5 谈判响应文件因表述不清所引起的后果由供应商负责。</w:t>
      </w:r>
    </w:p>
    <w:p w14:paraId="23D39E7D">
      <w:pPr>
        <w:pStyle w:val="5"/>
        <w:keepNext w:val="0"/>
        <w:keepLines w:val="0"/>
        <w:pageBreakBefore w:val="0"/>
        <w:widowControl w:val="0"/>
        <w:kinsoku/>
        <w:wordWrap/>
        <w:overflowPunct/>
        <w:topLinePunct w:val="0"/>
        <w:autoSpaceDE w:val="0"/>
        <w:autoSpaceDN w:val="0"/>
        <w:bidi w:val="0"/>
        <w:adjustRightInd/>
        <w:snapToGrid/>
        <w:spacing w:before="102" w:line="540" w:lineRule="exact"/>
        <w:ind w:left="800" w:right="875"/>
        <w:jc w:val="center"/>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四、谈判响应文件的递交</w:t>
      </w:r>
    </w:p>
    <w:p w14:paraId="5D58BB4B">
      <w:pPr>
        <w:shd w:val="clear"/>
        <w:snapToGrid w:val="0"/>
        <w:spacing w:line="440" w:lineRule="exact"/>
        <w:ind w:firstLine="482" w:firstLineChars="200"/>
        <w:rPr>
          <w:rFonts w:hint="eastAsia" w:ascii="宋体" w:hAnsi="宋体" w:cs="宋体"/>
          <w:b/>
          <w:sz w:val="24"/>
        </w:rPr>
      </w:pPr>
      <w:r>
        <w:rPr>
          <w:rFonts w:hint="eastAsia" w:cs="宋体"/>
          <w:b/>
          <w:bCs/>
          <w:kern w:val="2"/>
          <w:sz w:val="24"/>
          <w:szCs w:val="24"/>
          <w:lang w:val="en-US" w:eastAsia="zh-CN" w:bidi="ar"/>
        </w:rPr>
        <w:t>1</w:t>
      </w:r>
      <w:r>
        <w:rPr>
          <w:rFonts w:hint="eastAsia" w:ascii="宋体" w:hAnsi="宋体" w:cs="宋体"/>
          <w:b/>
          <w:sz w:val="24"/>
        </w:rPr>
        <w:t>14．谈判响应文件的密封和标记</w:t>
      </w:r>
    </w:p>
    <w:p w14:paraId="41046DD8">
      <w:pPr>
        <w:shd w:val="clear"/>
        <w:spacing w:line="440" w:lineRule="exact"/>
        <w:ind w:firstLine="480" w:firstLineChars="200"/>
        <w:rPr>
          <w:rFonts w:hint="eastAsia" w:ascii="宋体" w:hAnsi="宋体" w:cs="宋体"/>
          <w:sz w:val="24"/>
        </w:rPr>
      </w:pPr>
      <w:r>
        <w:rPr>
          <w:rFonts w:hint="eastAsia" w:ascii="宋体" w:hAnsi="宋体" w:cs="宋体"/>
          <w:sz w:val="24"/>
        </w:rPr>
        <w:t>14.1 谈判响应文件的“正本”与“副本”应分开包装，封套上应清楚地标记“正本”或“副本”字样。电子版应与正本包在同一个封套里。骑缝处必须粘贴密封封条，并加盖供应商公章。</w:t>
      </w:r>
    </w:p>
    <w:p w14:paraId="5F705414">
      <w:pPr>
        <w:shd w:val="clear"/>
        <w:spacing w:line="440" w:lineRule="exact"/>
        <w:ind w:firstLine="480" w:firstLineChars="200"/>
        <w:rPr>
          <w:rFonts w:hint="eastAsia" w:ascii="宋体" w:hAnsi="宋体" w:cs="宋体"/>
          <w:sz w:val="24"/>
        </w:rPr>
      </w:pPr>
      <w:r>
        <w:rPr>
          <w:rFonts w:hint="eastAsia" w:ascii="宋体" w:hAnsi="宋体" w:cs="宋体"/>
          <w:sz w:val="24"/>
        </w:rPr>
        <w:t>14.2 标记要求：</w:t>
      </w:r>
    </w:p>
    <w:p w14:paraId="3E460638">
      <w:pPr>
        <w:shd w:val="clear"/>
        <w:spacing w:line="440" w:lineRule="exact"/>
        <w:ind w:firstLine="480" w:firstLineChars="200"/>
        <w:rPr>
          <w:rFonts w:hint="eastAsia" w:ascii="宋体" w:hAnsi="宋体" w:cs="宋体"/>
          <w:sz w:val="24"/>
        </w:rPr>
      </w:pPr>
      <w:r>
        <w:rPr>
          <w:rFonts w:hint="eastAsia" w:ascii="宋体" w:hAnsi="宋体" w:cs="宋体"/>
          <w:sz w:val="24"/>
        </w:rPr>
        <w:t>(1)清楚标明“递交至</w:t>
      </w:r>
      <w:r>
        <w:rPr>
          <w:rFonts w:hint="eastAsia" w:cs="宋体"/>
          <w:sz w:val="24"/>
          <w:lang w:eastAsia="zh-CN"/>
        </w:rPr>
        <w:t>亿诚建设项目管理有限公司</w:t>
      </w:r>
      <w:r>
        <w:rPr>
          <w:rFonts w:hint="eastAsia" w:ascii="宋体" w:hAnsi="宋体" w:cs="宋体"/>
          <w:sz w:val="24"/>
        </w:rPr>
        <w:t>”；</w:t>
      </w:r>
    </w:p>
    <w:p w14:paraId="2E6B4E25">
      <w:pPr>
        <w:shd w:val="clear"/>
        <w:spacing w:line="440" w:lineRule="exact"/>
        <w:ind w:firstLine="480" w:firstLineChars="200"/>
        <w:rPr>
          <w:rFonts w:hint="eastAsia" w:ascii="宋体" w:hAnsi="宋体" w:cs="宋体"/>
          <w:sz w:val="24"/>
        </w:rPr>
      </w:pPr>
      <w:r>
        <w:rPr>
          <w:rFonts w:hint="eastAsia" w:ascii="宋体" w:hAnsi="宋体" w:cs="宋体"/>
          <w:sz w:val="24"/>
        </w:rPr>
        <w:t>(2)注明项目名称、项目编号和</w:t>
      </w:r>
      <w:r>
        <w:rPr>
          <w:rFonts w:hint="eastAsia" w:ascii="宋体" w:hAnsi="宋体" w:cs="宋体"/>
          <w:sz w:val="24"/>
          <w:shd w:val="clear" w:color="auto" w:fill="auto"/>
        </w:rPr>
        <w:t>“</w:t>
      </w:r>
      <w:r>
        <w:rPr>
          <w:rFonts w:hint="eastAsia" w:ascii="宋体" w:hAnsi="宋体" w:cs="宋体"/>
          <w:sz w:val="24"/>
          <w:u w:val="single"/>
          <w:shd w:val="clear" w:color="auto" w:fill="auto"/>
        </w:rPr>
        <w:t>在</w:t>
      </w:r>
      <w:r>
        <w:rPr>
          <w:rFonts w:hint="eastAsia" w:ascii="宋体" w:hAnsi="宋体" w:cs="宋体"/>
          <w:sz w:val="24"/>
          <w:u w:val="single"/>
          <w:shd w:val="clear" w:color="auto" w:fill="auto"/>
          <w:lang w:eastAsia="zh-CN"/>
        </w:rPr>
        <w:t>202</w:t>
      </w:r>
      <w:r>
        <w:rPr>
          <w:rFonts w:hint="eastAsia" w:ascii="宋体" w:hAnsi="宋体" w:cs="宋体"/>
          <w:sz w:val="24"/>
          <w:u w:val="single"/>
          <w:shd w:val="clear" w:color="auto" w:fill="auto"/>
          <w:lang w:val="en-US" w:eastAsia="zh-CN"/>
        </w:rPr>
        <w:t>5</w:t>
      </w:r>
      <w:r>
        <w:rPr>
          <w:rFonts w:hint="eastAsia" w:ascii="宋体" w:hAnsi="宋体" w:cs="宋体"/>
          <w:sz w:val="24"/>
          <w:u w:val="single"/>
          <w:shd w:val="clear" w:color="auto" w:fill="auto"/>
          <w:lang w:eastAsia="zh-CN"/>
        </w:rPr>
        <w:t>年</w:t>
      </w:r>
      <w:r>
        <w:rPr>
          <w:rFonts w:hint="eastAsia" w:cs="宋体"/>
          <w:sz w:val="24"/>
          <w:u w:val="single"/>
          <w:shd w:val="clear" w:color="auto" w:fill="auto"/>
          <w:lang w:val="en-US" w:eastAsia="zh-CN"/>
        </w:rPr>
        <w:t>9</w:t>
      </w:r>
      <w:r>
        <w:rPr>
          <w:rFonts w:hint="eastAsia" w:ascii="宋体" w:hAnsi="宋体" w:cs="宋体"/>
          <w:sz w:val="24"/>
          <w:u w:val="single"/>
          <w:shd w:val="clear" w:color="auto" w:fill="auto"/>
          <w:lang w:eastAsia="zh-CN"/>
        </w:rPr>
        <w:t>月</w:t>
      </w:r>
      <w:r>
        <w:rPr>
          <w:rFonts w:hint="eastAsia" w:cs="宋体"/>
          <w:sz w:val="24"/>
          <w:u w:val="single"/>
          <w:shd w:val="clear" w:color="auto" w:fill="auto"/>
          <w:lang w:val="en-US" w:eastAsia="zh-CN"/>
        </w:rPr>
        <w:t>18</w:t>
      </w:r>
      <w:r>
        <w:rPr>
          <w:rFonts w:hint="eastAsia" w:ascii="宋体" w:hAnsi="宋体" w:cs="宋体"/>
          <w:sz w:val="24"/>
          <w:u w:val="single"/>
          <w:shd w:val="clear" w:color="auto" w:fill="auto"/>
          <w:lang w:eastAsia="zh-CN"/>
        </w:rPr>
        <w:t>日</w:t>
      </w:r>
      <w:r>
        <w:rPr>
          <w:rFonts w:hint="eastAsia" w:cs="宋体"/>
          <w:sz w:val="24"/>
          <w:u w:val="single"/>
          <w:shd w:val="clear" w:color="auto" w:fill="auto"/>
          <w:lang w:val="en-US" w:eastAsia="zh-CN"/>
        </w:rPr>
        <w:t>15</w:t>
      </w:r>
      <w:r>
        <w:rPr>
          <w:rFonts w:hint="eastAsia" w:ascii="宋体" w:hAnsi="宋体" w:cs="宋体"/>
          <w:sz w:val="24"/>
          <w:u w:val="single"/>
          <w:shd w:val="clear" w:color="auto" w:fill="auto"/>
        </w:rPr>
        <w:t>：</w:t>
      </w:r>
      <w:r>
        <w:rPr>
          <w:rFonts w:hint="eastAsia" w:ascii="宋体" w:hAnsi="宋体" w:cs="宋体"/>
          <w:sz w:val="24"/>
          <w:u w:val="single"/>
          <w:shd w:val="clear" w:color="auto" w:fill="auto"/>
          <w:lang w:val="en-US" w:eastAsia="zh-CN"/>
        </w:rPr>
        <w:t>0</w:t>
      </w:r>
      <w:r>
        <w:rPr>
          <w:rFonts w:hint="eastAsia" w:ascii="宋体" w:hAnsi="宋体" w:cs="宋体"/>
          <w:sz w:val="24"/>
          <w:u w:val="single"/>
          <w:shd w:val="clear" w:color="auto" w:fill="auto"/>
        </w:rPr>
        <w:t>0时前不得启封</w:t>
      </w:r>
      <w:r>
        <w:rPr>
          <w:rFonts w:hint="eastAsia" w:ascii="宋体" w:hAnsi="宋体" w:cs="宋体"/>
          <w:sz w:val="24"/>
          <w:shd w:val="clear" w:color="auto" w:fill="auto"/>
        </w:rPr>
        <w:t>”的</w:t>
      </w:r>
      <w:r>
        <w:rPr>
          <w:rFonts w:hint="eastAsia" w:ascii="宋体" w:hAnsi="宋体" w:cs="宋体"/>
          <w:sz w:val="24"/>
        </w:rPr>
        <w:t>字样；</w:t>
      </w:r>
    </w:p>
    <w:p w14:paraId="54260E87">
      <w:pPr>
        <w:shd w:val="clear"/>
        <w:spacing w:line="440" w:lineRule="exact"/>
        <w:ind w:firstLine="480" w:firstLineChars="200"/>
        <w:rPr>
          <w:rFonts w:hint="eastAsia" w:ascii="宋体" w:hAnsi="宋体" w:cs="宋体"/>
          <w:sz w:val="24"/>
        </w:rPr>
      </w:pPr>
      <w:r>
        <w:rPr>
          <w:rFonts w:hint="eastAsia" w:ascii="宋体" w:hAnsi="宋体" w:cs="宋体"/>
          <w:sz w:val="24"/>
        </w:rPr>
        <w:t>(3)标明供应商名称和地址并加盖供应商公章。</w:t>
      </w:r>
    </w:p>
    <w:p w14:paraId="4F039FBF">
      <w:pPr>
        <w:shd w:val="clear"/>
        <w:spacing w:line="440" w:lineRule="exact"/>
        <w:ind w:firstLine="480" w:firstLineChars="200"/>
        <w:rPr>
          <w:rFonts w:hint="eastAsia" w:ascii="宋体" w:hAnsi="宋体" w:cs="宋体"/>
          <w:sz w:val="24"/>
        </w:rPr>
      </w:pPr>
      <w:r>
        <w:rPr>
          <w:rFonts w:hint="eastAsia" w:ascii="宋体" w:hAnsi="宋体" w:cs="宋体"/>
          <w:sz w:val="24"/>
        </w:rPr>
        <w:t>14.3 所有供应商须按14.1、14.2项要求密封并加写标记。供应商查验文件密封时，如不符合上述要求，均按不合格处理。</w:t>
      </w:r>
    </w:p>
    <w:p w14:paraId="41BFEEBC">
      <w:pPr>
        <w:shd w:val="clear"/>
        <w:spacing w:line="440" w:lineRule="exact"/>
        <w:ind w:firstLine="482" w:firstLineChars="200"/>
        <w:rPr>
          <w:rFonts w:hint="eastAsia" w:ascii="宋体" w:hAnsi="宋体" w:cs="宋体"/>
          <w:b/>
          <w:sz w:val="24"/>
        </w:rPr>
      </w:pPr>
      <w:r>
        <w:rPr>
          <w:rFonts w:hint="eastAsia" w:ascii="宋体" w:hAnsi="宋体" w:cs="宋体"/>
          <w:b/>
          <w:sz w:val="24"/>
        </w:rPr>
        <w:t>15．谈判截止日期</w:t>
      </w:r>
    </w:p>
    <w:p w14:paraId="6E441415">
      <w:pPr>
        <w:shd w:val="clear"/>
        <w:spacing w:line="440" w:lineRule="exact"/>
        <w:ind w:firstLine="480" w:firstLineChars="200"/>
        <w:rPr>
          <w:rFonts w:hint="eastAsia" w:ascii="宋体" w:hAnsi="宋体" w:cs="宋体"/>
          <w:sz w:val="24"/>
        </w:rPr>
      </w:pPr>
      <w:r>
        <w:rPr>
          <w:rFonts w:hint="eastAsia" w:ascii="宋体" w:hAnsi="宋体" w:cs="宋体"/>
          <w:sz w:val="24"/>
        </w:rPr>
        <w:t>15.1供应商应在不迟于谈判文件中规定的谈判截止时间将谈判响应文件递交至采购代理机构。</w:t>
      </w:r>
    </w:p>
    <w:p w14:paraId="790C4736">
      <w:pPr>
        <w:shd w:val="clear"/>
        <w:snapToGrid w:val="0"/>
        <w:spacing w:line="440" w:lineRule="exact"/>
        <w:ind w:firstLine="480" w:firstLineChars="200"/>
        <w:rPr>
          <w:rFonts w:hint="eastAsia" w:ascii="宋体" w:hAnsi="宋体" w:cs="宋体"/>
          <w:sz w:val="24"/>
        </w:rPr>
      </w:pPr>
      <w:r>
        <w:rPr>
          <w:rFonts w:hint="eastAsia" w:ascii="宋体" w:hAnsi="宋体" w:cs="宋体"/>
          <w:sz w:val="24"/>
        </w:rPr>
        <w:t>15.2 采购代理机构可以按本须知</w:t>
      </w:r>
      <w:r>
        <w:rPr>
          <w:rFonts w:hint="eastAsia" w:ascii="宋体" w:hAnsi="宋体" w:cs="宋体"/>
          <w:snapToGrid w:val="0"/>
          <w:kern w:val="24"/>
          <w:sz w:val="24"/>
        </w:rPr>
        <w:t>第5.3条</w:t>
      </w:r>
      <w:r>
        <w:rPr>
          <w:rFonts w:hint="eastAsia" w:ascii="宋体" w:hAnsi="宋体" w:cs="宋体"/>
          <w:snapToGrid w:val="0"/>
          <w:sz w:val="24"/>
        </w:rPr>
        <w:t>规</w:t>
      </w:r>
      <w:r>
        <w:rPr>
          <w:rFonts w:hint="eastAsia" w:ascii="宋体" w:hAnsi="宋体" w:cs="宋体"/>
          <w:sz w:val="24"/>
        </w:rPr>
        <w:t>定，通知因修改谈判文件而适当延长谈判截止期。在此情况下，招标采购单位和供应商受谈判截止期制约的所有权利和义务均应延长至新的截止期。</w:t>
      </w:r>
    </w:p>
    <w:p w14:paraId="6DE4BBBC">
      <w:pPr>
        <w:shd w:val="clear"/>
        <w:spacing w:line="440" w:lineRule="exact"/>
        <w:ind w:firstLine="482" w:firstLineChars="200"/>
        <w:rPr>
          <w:rFonts w:hint="eastAsia" w:ascii="宋体" w:hAnsi="宋体" w:cs="宋体"/>
          <w:b/>
          <w:sz w:val="24"/>
        </w:rPr>
      </w:pPr>
      <w:r>
        <w:rPr>
          <w:rFonts w:hint="eastAsia" w:ascii="宋体" w:hAnsi="宋体" w:cs="宋体"/>
          <w:b/>
          <w:sz w:val="24"/>
        </w:rPr>
        <w:t>16．迟交的谈判响应文件</w:t>
      </w:r>
    </w:p>
    <w:p w14:paraId="77D3AC2E">
      <w:pPr>
        <w:shd w:val="clear"/>
        <w:spacing w:line="440" w:lineRule="exact"/>
        <w:ind w:firstLine="480" w:firstLineChars="200"/>
        <w:rPr>
          <w:rFonts w:hint="eastAsia" w:ascii="宋体" w:hAnsi="宋体" w:cs="宋体"/>
          <w:sz w:val="24"/>
        </w:rPr>
      </w:pPr>
      <w:r>
        <w:rPr>
          <w:rFonts w:hint="eastAsia" w:ascii="宋体" w:hAnsi="宋体" w:cs="宋体"/>
          <w:sz w:val="24"/>
        </w:rPr>
        <w:t>16.1采购人、采购代理机构及谈判小组将拒绝接收谈判截止期后送达的任何谈判响应文件。</w:t>
      </w:r>
    </w:p>
    <w:p w14:paraId="61DEC438">
      <w:pPr>
        <w:shd w:val="clear"/>
        <w:spacing w:line="440" w:lineRule="exact"/>
        <w:ind w:firstLine="482" w:firstLineChars="200"/>
        <w:rPr>
          <w:rFonts w:hint="eastAsia" w:ascii="宋体" w:hAnsi="宋体" w:cs="宋体"/>
          <w:b/>
          <w:sz w:val="24"/>
        </w:rPr>
      </w:pPr>
      <w:r>
        <w:rPr>
          <w:rFonts w:hint="eastAsia" w:ascii="宋体" w:hAnsi="宋体" w:cs="宋体"/>
          <w:b/>
          <w:sz w:val="24"/>
        </w:rPr>
        <w:t>17．谈判响应文件的修改和撤回</w:t>
      </w:r>
    </w:p>
    <w:p w14:paraId="21A7D0CC">
      <w:pPr>
        <w:shd w:val="clear"/>
        <w:spacing w:line="440" w:lineRule="exact"/>
        <w:ind w:firstLine="480" w:firstLineChars="200"/>
        <w:rPr>
          <w:rFonts w:hint="eastAsia" w:ascii="宋体" w:hAnsi="宋体" w:cs="宋体"/>
          <w:sz w:val="24"/>
        </w:rPr>
      </w:pPr>
      <w:r>
        <w:rPr>
          <w:rFonts w:hint="eastAsia" w:ascii="宋体" w:hAnsi="宋体" w:cs="宋体"/>
          <w:sz w:val="24"/>
        </w:rPr>
        <w:t>17.1 供应商在递交谈判响应文件后，谈判截止时间前，可以修改或撤回其谈判响应文件。但供应商必须书面通知采购人及代理机构，并在规定的谈判截止期之前将修改或撤回的响应文件递交到采购代理机构。</w:t>
      </w:r>
    </w:p>
    <w:p w14:paraId="306AF16E">
      <w:pPr>
        <w:shd w:val="clear"/>
        <w:spacing w:line="440" w:lineRule="exact"/>
        <w:ind w:firstLine="480" w:firstLineChars="200"/>
        <w:rPr>
          <w:rFonts w:hint="eastAsia" w:ascii="宋体" w:hAnsi="宋体" w:cs="宋体"/>
          <w:sz w:val="24"/>
        </w:rPr>
      </w:pPr>
      <w:r>
        <w:rPr>
          <w:rFonts w:hint="eastAsia" w:ascii="宋体" w:hAnsi="宋体" w:cs="宋体"/>
          <w:sz w:val="24"/>
        </w:rPr>
        <w:t>17.2 供应商修改或撤回的响应文件应按本须知第14条规定密封、标记和递交，并在内层封套上加注“修改”或“撤回”字样。</w:t>
      </w:r>
    </w:p>
    <w:p w14:paraId="4D5421B0">
      <w:pPr>
        <w:shd w:val="clear"/>
        <w:spacing w:line="440" w:lineRule="exact"/>
        <w:ind w:firstLine="480" w:firstLineChars="200"/>
        <w:rPr>
          <w:rFonts w:hint="eastAsia" w:ascii="宋体" w:hAnsi="宋体" w:cs="宋体"/>
          <w:sz w:val="24"/>
        </w:rPr>
      </w:pPr>
      <w:r>
        <w:rPr>
          <w:rFonts w:hint="eastAsia" w:ascii="宋体" w:hAnsi="宋体" w:cs="宋体"/>
          <w:sz w:val="24"/>
        </w:rPr>
        <w:t>17.3 在谈判截止日期之后，供应商不得对其谈判响应文件做任何修改。</w:t>
      </w:r>
    </w:p>
    <w:p w14:paraId="17EAF8AE">
      <w:pPr>
        <w:shd w:val="clear"/>
        <w:spacing w:line="440" w:lineRule="exact"/>
        <w:ind w:firstLine="480" w:firstLineChars="200"/>
        <w:rPr>
          <w:rFonts w:hint="eastAsia" w:ascii="宋体" w:hAnsi="宋体" w:cs="宋体"/>
          <w:b/>
          <w:sz w:val="24"/>
        </w:rPr>
      </w:pPr>
      <w:r>
        <w:rPr>
          <w:rFonts w:hint="eastAsia" w:ascii="宋体" w:hAnsi="宋体" w:cs="宋体"/>
          <w:sz w:val="24"/>
        </w:rPr>
        <w:t>17.4 从谈判截止期始至谈判文件确定的谈判有效期期满这段时间内，供应商不得撤回其谈判响应文件。</w:t>
      </w:r>
    </w:p>
    <w:p w14:paraId="345EA771">
      <w:pPr>
        <w:pStyle w:val="29"/>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1055" w:rightChars="0" w:firstLine="482" w:firstLineChars="200"/>
        <w:jc w:val="center"/>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五、谈判与评审</w:t>
      </w:r>
    </w:p>
    <w:p w14:paraId="5E7AC595">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18．文件开启和评审</w:t>
      </w:r>
    </w:p>
    <w:p w14:paraId="665F0206">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18.1 采购代理机构组织谈判、文件开启、评审工作，谈判整个过程接受监督部门的监督。</w:t>
      </w:r>
    </w:p>
    <w:p w14:paraId="0402FB41">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18.2 采购代理机构在规定的时间和地点组织谈判，投标单位须委派代表并签名报到以证明其出席。</w:t>
      </w:r>
    </w:p>
    <w:p w14:paraId="41D69083">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18.3 谈判时，由各供应商代表共同检查谈判响应文件的密封情况，经确认无误后由采购代理机构的工作人员当众拆封。密封不合格的谈判响应文件以及不符合第17条规定，提交了可接受的“撤回”通知书的谈判响应文件将不予拆封。</w:t>
      </w:r>
    </w:p>
    <w:p w14:paraId="3F6140FD">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18.4 拆封后，采购代理机构录入供应商“谈判报价表”中的全部内容。各供应商的授权代表签字确认。</w:t>
      </w:r>
    </w:p>
    <w:p w14:paraId="32C6AD26">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 xml:space="preserve">18.5 采购代理机构将在谈判会议现场做谈判记录。 </w:t>
      </w:r>
    </w:p>
    <w:p w14:paraId="5023E56E">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19．谈判小组</w:t>
      </w:r>
    </w:p>
    <w:p w14:paraId="1AFE9D1D">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19.1招标采购单位将按照《中华人民共和国政府采购法》及有关规定组建谈判小组。</w:t>
      </w:r>
    </w:p>
    <w:p w14:paraId="6D23A97D">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19.2 谈判小组由采购人代表及有关评审专家组成，评审专家从政府采购专家库中随机抽取产生。</w:t>
      </w:r>
    </w:p>
    <w:p w14:paraId="1FDEEBBD">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19.3 谈判小组负责谈判工作，对谈判响应文件进行审查和评估，并向招标采购单位提交书面评审报告，推荐成交候选人。</w:t>
      </w:r>
    </w:p>
    <w:p w14:paraId="41C637D9">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19.4 文件开启后，直到向成交的供应商授予承包合同为止，凡与审查、澄清、评价和比较谈判的有关资料及授标意见等内容，谈判小组均不得向其他供应商及与谈判无关的其他人透露。</w:t>
      </w:r>
    </w:p>
    <w:p w14:paraId="4B1FB438">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20、谈判办法及内容</w:t>
      </w:r>
    </w:p>
    <w:p w14:paraId="7B06E571">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20.1 谈判原则：</w:t>
      </w:r>
    </w:p>
    <w:p w14:paraId="0A74F15D">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 xml:space="preserve">（1）坚持谈判机会均等，信息公开，公平竞争的原则。  </w:t>
      </w:r>
    </w:p>
    <w:p w14:paraId="6A73257A">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（2）坚持竞争性、经济实效性和公平性原则。</w:t>
      </w:r>
    </w:p>
    <w:p w14:paraId="7AADF179">
      <w:pPr>
        <w:pStyle w:val="5"/>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 </w:t>
      </w:r>
      <w:r>
        <w:rPr>
          <w:rFonts w:hint="eastAsia" w:ascii="宋体" w:hAnsi="宋体" w:eastAsia="宋体" w:cs="宋体"/>
          <w:b w:val="0"/>
          <w:bCs w:val="0"/>
          <w:kern w:val="2"/>
          <w:sz w:val="24"/>
          <w:szCs w:val="24"/>
          <w:lang w:val="en-US" w:eastAsia="zh-CN" w:bidi="ar"/>
        </w:rPr>
        <w:t>谈判程序：</w:t>
      </w:r>
    </w:p>
    <w:p w14:paraId="35E352DB">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按照初审（资格审查、符合性审查）、二次报价、推荐成交候选人四个步骤进行评审。在上一步评审中被否决者，不进入下一步的评审。</w:t>
      </w:r>
    </w:p>
    <w:p w14:paraId="0BC44DD1">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资格审查：本次谈判所要求的必备资质证明文件，缺其中一项或某项达不到谈判要求，均按无效文件处理。</w:t>
      </w:r>
    </w:p>
    <w:tbl>
      <w:tblPr>
        <w:tblStyle w:val="21"/>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974"/>
        <w:gridCol w:w="6477"/>
      </w:tblGrid>
      <w:tr w14:paraId="184A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008" w:type="dxa"/>
          </w:tcPr>
          <w:p w14:paraId="78A2E9C2">
            <w:pPr>
              <w:pStyle w:val="30"/>
              <w:keepNext w:val="0"/>
              <w:keepLines w:val="0"/>
              <w:suppressLineNumbers w:val="0"/>
              <w:spacing w:before="111" w:beforeAutospacing="0" w:afterAutospacing="0"/>
              <w:ind w:left="272" w:right="265"/>
              <w:jc w:val="center"/>
              <w:rPr>
                <w:rFonts w:hint="eastAsia" w:ascii="宋体" w:hAnsi="宋体" w:eastAsia="宋体" w:cs="宋体"/>
                <w:b/>
                <w:sz w:val="21"/>
              </w:rPr>
            </w:pPr>
            <w:r>
              <w:rPr>
                <w:rFonts w:hint="eastAsia" w:ascii="宋体" w:hAnsi="宋体" w:eastAsia="宋体" w:cs="宋体"/>
                <w:b/>
                <w:sz w:val="21"/>
              </w:rPr>
              <w:t>序号</w:t>
            </w:r>
          </w:p>
        </w:tc>
        <w:tc>
          <w:tcPr>
            <w:tcW w:w="1974" w:type="dxa"/>
          </w:tcPr>
          <w:p w14:paraId="07C5C20A">
            <w:pPr>
              <w:pStyle w:val="30"/>
              <w:keepNext w:val="0"/>
              <w:keepLines w:val="0"/>
              <w:suppressLineNumbers w:val="0"/>
              <w:spacing w:before="111" w:beforeAutospacing="0" w:afterAutospacing="0"/>
              <w:ind w:left="122" w:right="113"/>
              <w:jc w:val="center"/>
              <w:rPr>
                <w:rFonts w:hint="eastAsia" w:ascii="宋体" w:hAnsi="宋体" w:eastAsia="宋体" w:cs="宋体"/>
                <w:b/>
                <w:sz w:val="21"/>
              </w:rPr>
            </w:pPr>
            <w:r>
              <w:rPr>
                <w:rFonts w:hint="eastAsia" w:ascii="宋体" w:hAnsi="宋体" w:eastAsia="宋体" w:cs="宋体"/>
                <w:b/>
                <w:sz w:val="21"/>
              </w:rPr>
              <w:t>审查因素</w:t>
            </w:r>
          </w:p>
        </w:tc>
        <w:tc>
          <w:tcPr>
            <w:tcW w:w="6477" w:type="dxa"/>
          </w:tcPr>
          <w:p w14:paraId="7C2BC635">
            <w:pPr>
              <w:pStyle w:val="30"/>
              <w:keepNext w:val="0"/>
              <w:keepLines w:val="0"/>
              <w:suppressLineNumbers w:val="0"/>
              <w:spacing w:before="111" w:beforeAutospacing="0" w:afterAutospacing="0"/>
              <w:ind w:left="2798" w:right="2787"/>
              <w:jc w:val="center"/>
              <w:rPr>
                <w:rFonts w:hint="eastAsia" w:ascii="宋体" w:hAnsi="宋体" w:eastAsia="宋体" w:cs="宋体"/>
                <w:b/>
                <w:sz w:val="21"/>
              </w:rPr>
            </w:pPr>
            <w:r>
              <w:rPr>
                <w:rFonts w:hint="eastAsia" w:ascii="宋体" w:hAnsi="宋体" w:eastAsia="宋体" w:cs="宋体"/>
                <w:b/>
                <w:sz w:val="21"/>
              </w:rPr>
              <w:t>审查标准</w:t>
            </w:r>
          </w:p>
        </w:tc>
      </w:tr>
      <w:tr w14:paraId="63E1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1008" w:type="dxa"/>
            <w:vAlign w:val="center"/>
          </w:tcPr>
          <w:p w14:paraId="2993C8FE">
            <w:pPr>
              <w:pStyle w:val="30"/>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1</w:t>
            </w:r>
          </w:p>
        </w:tc>
        <w:tc>
          <w:tcPr>
            <w:tcW w:w="1974" w:type="dxa"/>
            <w:vAlign w:val="center"/>
          </w:tcPr>
          <w:p w14:paraId="05DE1BA7">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122" w:right="113"/>
              <w:jc w:val="center"/>
              <w:textAlignment w:val="auto"/>
              <w:rPr>
                <w:rFonts w:hint="eastAsia" w:ascii="宋体" w:hAnsi="宋体" w:eastAsia="宋体" w:cs="宋体"/>
                <w:b/>
                <w:sz w:val="21"/>
              </w:rPr>
            </w:pPr>
            <w:r>
              <w:rPr>
                <w:rFonts w:hint="eastAsia" w:ascii="宋体" w:hAnsi="宋体" w:eastAsia="宋体" w:cs="宋体"/>
                <w:b/>
                <w:sz w:val="21"/>
              </w:rPr>
              <w:t>营业执照</w:t>
            </w:r>
          </w:p>
        </w:tc>
        <w:tc>
          <w:tcPr>
            <w:tcW w:w="6477" w:type="dxa"/>
            <w:vAlign w:val="center"/>
          </w:tcPr>
          <w:p w14:paraId="340CD09E">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提供有效合格的统一社会信用代码的营业执照，其他组织经营的须提供合法凭证，自然人的提供身份证明文件；</w:t>
            </w:r>
          </w:p>
        </w:tc>
      </w:tr>
      <w:tr w14:paraId="3380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797AF0EE">
            <w:pPr>
              <w:pStyle w:val="30"/>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2</w:t>
            </w:r>
          </w:p>
        </w:tc>
        <w:tc>
          <w:tcPr>
            <w:tcW w:w="1974" w:type="dxa"/>
            <w:vAlign w:val="center"/>
          </w:tcPr>
          <w:p w14:paraId="208B8E44">
            <w:pPr>
              <w:pStyle w:val="30"/>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授权委托书</w:t>
            </w:r>
          </w:p>
        </w:tc>
        <w:tc>
          <w:tcPr>
            <w:tcW w:w="6477" w:type="dxa"/>
            <w:vAlign w:val="center"/>
          </w:tcPr>
          <w:p w14:paraId="2E3A7FE2">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法定代表人直接参加投标的，须出具法定代表人身份证；法定代表人授权代表参加投标的，须出具法定代表人授权委托书、法定代表人身份证复印件以及被授权代表身份证复印件；</w:t>
            </w:r>
          </w:p>
        </w:tc>
      </w:tr>
      <w:tr w14:paraId="0B4DD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02694B0E">
            <w:pPr>
              <w:pStyle w:val="30"/>
              <w:keepNext w:val="0"/>
              <w:keepLines w:val="0"/>
              <w:suppressLineNumbers w:val="0"/>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3</w:t>
            </w:r>
          </w:p>
        </w:tc>
        <w:tc>
          <w:tcPr>
            <w:tcW w:w="1974" w:type="dxa"/>
            <w:vAlign w:val="center"/>
          </w:tcPr>
          <w:p w14:paraId="69CAC26D">
            <w:pPr>
              <w:pStyle w:val="30"/>
              <w:keepNext w:val="0"/>
              <w:keepLines w:val="0"/>
              <w:suppressLineNumbers w:val="0"/>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供应商资质要求</w:t>
            </w:r>
          </w:p>
        </w:tc>
        <w:tc>
          <w:tcPr>
            <w:tcW w:w="6477" w:type="dxa"/>
            <w:vAlign w:val="center"/>
          </w:tcPr>
          <w:p w14:paraId="1C69E21F">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lang w:val="en-US" w:eastAsia="zh-CN"/>
              </w:rPr>
              <w:t>供应商具有建设行政主管部门颁发的消防设施工程专业承包二级（含二级）以上资质，并具备合格有效的安全生产许可证；</w:t>
            </w:r>
          </w:p>
        </w:tc>
      </w:tr>
      <w:tr w14:paraId="67702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6346407C">
            <w:pPr>
              <w:pStyle w:val="30"/>
              <w:keepNext w:val="0"/>
              <w:keepLines w:val="0"/>
              <w:suppressLineNumbers w:val="0"/>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4</w:t>
            </w:r>
          </w:p>
        </w:tc>
        <w:tc>
          <w:tcPr>
            <w:tcW w:w="1974" w:type="dxa"/>
            <w:vAlign w:val="center"/>
          </w:tcPr>
          <w:p w14:paraId="2A7005D3">
            <w:pPr>
              <w:pStyle w:val="30"/>
              <w:keepNext w:val="0"/>
              <w:keepLines w:val="0"/>
              <w:suppressLineNumbers w:val="0"/>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项目经理资质要求</w:t>
            </w:r>
          </w:p>
        </w:tc>
        <w:tc>
          <w:tcPr>
            <w:tcW w:w="6477" w:type="dxa"/>
            <w:vAlign w:val="center"/>
          </w:tcPr>
          <w:p w14:paraId="4B74B217">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lang w:val="en-US" w:eastAsia="zh-CN"/>
              </w:rPr>
              <w:t>拟派项目经理须具有机电工程专业二级（含二级）以上的注册建造师资格，提供注册证、安全生产考核合格证、无在建工程承诺书；</w:t>
            </w:r>
          </w:p>
        </w:tc>
      </w:tr>
      <w:tr w14:paraId="5F0A3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jc w:val="center"/>
        </w:trPr>
        <w:tc>
          <w:tcPr>
            <w:tcW w:w="1008" w:type="dxa"/>
            <w:vAlign w:val="center"/>
          </w:tcPr>
          <w:p w14:paraId="746F5E05">
            <w:pPr>
              <w:pStyle w:val="30"/>
              <w:keepNext w:val="0"/>
              <w:keepLines w:val="0"/>
              <w:suppressLineNumbers w:val="0"/>
              <w:spacing w:before="1"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5</w:t>
            </w:r>
          </w:p>
        </w:tc>
        <w:tc>
          <w:tcPr>
            <w:tcW w:w="1974" w:type="dxa"/>
            <w:vAlign w:val="center"/>
          </w:tcPr>
          <w:p w14:paraId="1E292511">
            <w:pPr>
              <w:pStyle w:val="30"/>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财务状况报告</w:t>
            </w:r>
          </w:p>
        </w:tc>
        <w:tc>
          <w:tcPr>
            <w:tcW w:w="6477" w:type="dxa"/>
            <w:vAlign w:val="center"/>
          </w:tcPr>
          <w:p w14:paraId="310B16E4">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 xml:space="preserve">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tc>
      </w:tr>
      <w:tr w14:paraId="6CC33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987B7BF">
            <w:pPr>
              <w:pStyle w:val="30"/>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6</w:t>
            </w:r>
          </w:p>
        </w:tc>
        <w:tc>
          <w:tcPr>
            <w:tcW w:w="1974" w:type="dxa"/>
            <w:vAlign w:val="center"/>
          </w:tcPr>
          <w:p w14:paraId="1C26B2BD">
            <w:pPr>
              <w:pStyle w:val="30"/>
              <w:keepNext w:val="0"/>
              <w:keepLines w:val="0"/>
              <w:suppressLineNumbers w:val="0"/>
              <w:spacing w:before="166" w:beforeAutospacing="0" w:afterAutospacing="0" w:line="213" w:lineRule="auto"/>
              <w:ind w:left="462" w:right="132" w:hanging="317"/>
              <w:jc w:val="center"/>
              <w:rPr>
                <w:rFonts w:hint="eastAsia" w:ascii="宋体" w:hAnsi="宋体" w:eastAsia="宋体" w:cs="宋体"/>
                <w:b/>
                <w:sz w:val="21"/>
              </w:rPr>
            </w:pPr>
            <w:r>
              <w:rPr>
                <w:rFonts w:hint="eastAsia" w:ascii="宋体" w:hAnsi="宋体" w:eastAsia="宋体" w:cs="宋体"/>
                <w:b/>
                <w:sz w:val="21"/>
              </w:rPr>
              <w:t>社会保障资金缴纳证明</w:t>
            </w:r>
          </w:p>
        </w:tc>
        <w:tc>
          <w:tcPr>
            <w:tcW w:w="6477" w:type="dxa"/>
            <w:vAlign w:val="center"/>
          </w:tcPr>
          <w:p w14:paraId="660C5495">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w:t>
            </w:r>
            <w:r>
              <w:rPr>
                <w:rFonts w:hint="eastAsia" w:cs="宋体"/>
                <w:color w:val="333333"/>
                <w:sz w:val="21"/>
                <w:lang w:val="en-US" w:eastAsia="zh-CN"/>
              </w:rPr>
              <w:t>25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14:paraId="15B3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8259AEA">
            <w:pPr>
              <w:pStyle w:val="30"/>
              <w:keepNext w:val="0"/>
              <w:keepLines w:val="0"/>
              <w:suppressLineNumbers w:val="0"/>
              <w:spacing w:beforeAutospacing="0" w:afterAutospacing="0"/>
              <w:ind w:left="8"/>
              <w:jc w:val="center"/>
              <w:rPr>
                <w:rFonts w:hint="eastAsia" w:ascii="宋体" w:hAnsi="宋体" w:eastAsia="宋体" w:cs="宋体"/>
                <w:b/>
                <w:w w:val="99"/>
                <w:sz w:val="21"/>
                <w:lang w:val="en-US" w:eastAsia="zh-CN"/>
              </w:rPr>
            </w:pPr>
          </w:p>
          <w:p w14:paraId="33FF1BC0">
            <w:pPr>
              <w:pStyle w:val="30"/>
              <w:keepNext w:val="0"/>
              <w:keepLines w:val="0"/>
              <w:suppressLineNumbers w:val="0"/>
              <w:spacing w:beforeAutospacing="0" w:afterAutospacing="0"/>
              <w:ind w:left="8"/>
              <w:jc w:val="center"/>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7</w:t>
            </w:r>
          </w:p>
        </w:tc>
        <w:tc>
          <w:tcPr>
            <w:tcW w:w="1974" w:type="dxa"/>
            <w:vAlign w:val="center"/>
          </w:tcPr>
          <w:p w14:paraId="5DC9D34F">
            <w:pPr>
              <w:pStyle w:val="30"/>
              <w:keepNext w:val="0"/>
              <w:keepLines w:val="0"/>
              <w:suppressLineNumbers w:val="0"/>
              <w:spacing w:before="166" w:beforeAutospacing="0" w:afterAutospacing="0" w:line="213" w:lineRule="auto"/>
              <w:ind w:right="132"/>
              <w:jc w:val="center"/>
              <w:rPr>
                <w:rFonts w:hint="eastAsia" w:ascii="宋体" w:hAnsi="宋体" w:eastAsia="宋体" w:cs="宋体"/>
                <w:b/>
                <w:sz w:val="21"/>
              </w:rPr>
            </w:pPr>
            <w:r>
              <w:rPr>
                <w:rFonts w:hint="eastAsia" w:ascii="宋体" w:hAnsi="宋体" w:eastAsia="宋体" w:cs="宋体"/>
                <w:b/>
                <w:sz w:val="21"/>
              </w:rPr>
              <w:t>税收缴纳证明</w:t>
            </w:r>
          </w:p>
        </w:tc>
        <w:tc>
          <w:tcPr>
            <w:tcW w:w="6477" w:type="dxa"/>
            <w:vAlign w:val="center"/>
          </w:tcPr>
          <w:p w14:paraId="2734EB70">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自202</w:t>
            </w:r>
            <w:r>
              <w:rPr>
                <w:rFonts w:hint="eastAsia" w:cs="宋体"/>
                <w:color w:val="333333"/>
                <w:sz w:val="21"/>
                <w:lang w:val="en-US" w:eastAsia="zh-CN"/>
              </w:rPr>
              <w:t>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月1日以来已缴纳的至少一个月的纳税证明或完税证明，纳税证明或完税证明上应有代收机构或税务机关的公章或业务专用章。依法免税的供应商应提供相关文件证明；</w:t>
            </w:r>
          </w:p>
        </w:tc>
      </w:tr>
      <w:tr w14:paraId="42E3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jc w:val="center"/>
        </w:trPr>
        <w:tc>
          <w:tcPr>
            <w:tcW w:w="1008" w:type="dxa"/>
            <w:vAlign w:val="center"/>
          </w:tcPr>
          <w:p w14:paraId="2EF2C92E">
            <w:pPr>
              <w:pStyle w:val="30"/>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8</w:t>
            </w:r>
          </w:p>
        </w:tc>
        <w:tc>
          <w:tcPr>
            <w:tcW w:w="1974" w:type="dxa"/>
            <w:vAlign w:val="center"/>
          </w:tcPr>
          <w:p w14:paraId="013F4562">
            <w:pPr>
              <w:pStyle w:val="30"/>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主体信用查询记录</w:t>
            </w:r>
          </w:p>
        </w:tc>
        <w:tc>
          <w:tcPr>
            <w:tcW w:w="6477" w:type="dxa"/>
            <w:vAlign w:val="center"/>
          </w:tcPr>
          <w:p w14:paraId="4C2857A6">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lang w:val="en-US" w:eastAsia="zh-CN"/>
              </w:rPr>
              <w:t>供应商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tc>
      </w:tr>
      <w:tr w14:paraId="018F1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1008" w:type="dxa"/>
            <w:vAlign w:val="center"/>
          </w:tcPr>
          <w:p w14:paraId="49C2F190">
            <w:pPr>
              <w:pStyle w:val="30"/>
              <w:keepNext w:val="0"/>
              <w:keepLines w:val="0"/>
              <w:suppressLineNumbers w:val="0"/>
              <w:spacing w:beforeAutospacing="0" w:afterAutospacing="0"/>
              <w:ind w:left="8"/>
              <w:jc w:val="center"/>
              <w:rPr>
                <w:rFonts w:hint="default" w:ascii="宋体" w:hAnsi="宋体" w:eastAsia="宋体" w:cs="宋体"/>
                <w:b/>
                <w:w w:val="99"/>
                <w:sz w:val="21"/>
                <w:lang w:val="en-US" w:eastAsia="zh-CN"/>
              </w:rPr>
            </w:pPr>
            <w:r>
              <w:rPr>
                <w:rFonts w:hint="eastAsia" w:cs="宋体"/>
                <w:b/>
                <w:w w:val="99"/>
                <w:sz w:val="21"/>
                <w:lang w:val="en-US" w:eastAsia="zh-CN"/>
              </w:rPr>
              <w:t>9</w:t>
            </w:r>
          </w:p>
        </w:tc>
        <w:tc>
          <w:tcPr>
            <w:tcW w:w="1974" w:type="dxa"/>
            <w:vAlign w:val="center"/>
          </w:tcPr>
          <w:p w14:paraId="017D3C6A">
            <w:pPr>
              <w:pStyle w:val="30"/>
              <w:keepNext w:val="0"/>
              <w:keepLines w:val="0"/>
              <w:suppressLineNumbers w:val="0"/>
              <w:spacing w:before="1" w:beforeAutospacing="0" w:afterAutospacing="0"/>
              <w:ind w:left="124" w:right="113"/>
              <w:jc w:val="center"/>
              <w:rPr>
                <w:rFonts w:hint="eastAsia" w:ascii="宋体" w:hAnsi="宋体" w:eastAsia="宋体" w:cs="宋体"/>
                <w:b/>
                <w:sz w:val="21"/>
                <w:lang w:eastAsia="zh-CN"/>
              </w:rPr>
            </w:pPr>
            <w:r>
              <w:rPr>
                <w:rFonts w:hint="eastAsia" w:cs="宋体"/>
                <w:b/>
                <w:sz w:val="21"/>
                <w:lang w:eastAsia="zh-CN"/>
              </w:rPr>
              <w:t>书面声明</w:t>
            </w:r>
          </w:p>
        </w:tc>
        <w:tc>
          <w:tcPr>
            <w:tcW w:w="6477" w:type="dxa"/>
            <w:vAlign w:val="center"/>
          </w:tcPr>
          <w:p w14:paraId="73AF94CB">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参加本次政府采购活动前三年内，在经营活动中没有重大违法记录声明；</w:t>
            </w:r>
          </w:p>
        </w:tc>
      </w:tr>
      <w:tr w14:paraId="5F16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008" w:type="dxa"/>
            <w:vAlign w:val="center"/>
          </w:tcPr>
          <w:p w14:paraId="2A165CC5">
            <w:pPr>
              <w:pStyle w:val="30"/>
              <w:keepNext w:val="0"/>
              <w:keepLines w:val="0"/>
              <w:suppressLineNumbers w:val="0"/>
              <w:spacing w:before="1" w:beforeAutospacing="0" w:afterAutospacing="0"/>
              <w:ind w:left="124" w:right="113"/>
              <w:jc w:val="center"/>
              <w:rPr>
                <w:rFonts w:hint="default" w:ascii="宋体" w:hAnsi="宋体" w:eastAsia="宋体" w:cs="宋体"/>
                <w:b/>
                <w:sz w:val="21"/>
                <w:lang w:val="en-US" w:eastAsia="zh-CN"/>
              </w:rPr>
            </w:pPr>
            <w:r>
              <w:rPr>
                <w:rFonts w:hint="eastAsia" w:cs="宋体"/>
                <w:b/>
                <w:sz w:val="21"/>
                <w:lang w:val="en-US" w:eastAsia="zh-CN"/>
              </w:rPr>
              <w:t>10</w:t>
            </w:r>
          </w:p>
        </w:tc>
        <w:tc>
          <w:tcPr>
            <w:tcW w:w="1974" w:type="dxa"/>
            <w:vAlign w:val="center"/>
          </w:tcPr>
          <w:p w14:paraId="3F563C19">
            <w:pPr>
              <w:pStyle w:val="30"/>
              <w:keepNext w:val="0"/>
              <w:keepLines w:val="0"/>
              <w:suppressLineNumbers w:val="0"/>
              <w:spacing w:before="1"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中小企业</w:t>
            </w:r>
          </w:p>
        </w:tc>
        <w:tc>
          <w:tcPr>
            <w:tcW w:w="6477" w:type="dxa"/>
            <w:vAlign w:val="center"/>
          </w:tcPr>
          <w:p w14:paraId="3B0BBD17">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供应商应提供中小企业声明函或残疾人福利性单位声明函或监狱企业证明文件；</w:t>
            </w:r>
          </w:p>
        </w:tc>
      </w:tr>
      <w:tr w14:paraId="7D03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008" w:type="dxa"/>
            <w:vAlign w:val="center"/>
          </w:tcPr>
          <w:p w14:paraId="3D10F1AC">
            <w:pPr>
              <w:pStyle w:val="30"/>
              <w:keepNext w:val="0"/>
              <w:keepLines w:val="0"/>
              <w:suppressLineNumbers w:val="0"/>
              <w:spacing w:before="1" w:beforeAutospacing="0" w:afterAutospacing="0"/>
              <w:ind w:left="124" w:right="113"/>
              <w:jc w:val="center"/>
              <w:rPr>
                <w:rFonts w:hint="default" w:ascii="宋体" w:hAnsi="宋体" w:eastAsia="宋体" w:cs="宋体"/>
                <w:b/>
                <w:sz w:val="21"/>
                <w:lang w:val="en-US" w:eastAsia="zh-CN"/>
              </w:rPr>
            </w:pPr>
            <w:r>
              <w:rPr>
                <w:rFonts w:hint="eastAsia" w:cs="宋体"/>
                <w:b/>
                <w:sz w:val="21"/>
                <w:lang w:val="en-US" w:eastAsia="zh-CN"/>
              </w:rPr>
              <w:t>11</w:t>
            </w:r>
          </w:p>
        </w:tc>
        <w:tc>
          <w:tcPr>
            <w:tcW w:w="1974" w:type="dxa"/>
            <w:vAlign w:val="center"/>
          </w:tcPr>
          <w:p w14:paraId="5EBD64BB">
            <w:pPr>
              <w:pStyle w:val="30"/>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非联合体投标</w:t>
            </w:r>
          </w:p>
        </w:tc>
        <w:tc>
          <w:tcPr>
            <w:tcW w:w="6477" w:type="dxa"/>
            <w:vAlign w:val="center"/>
          </w:tcPr>
          <w:p w14:paraId="52EE64BB">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eastAsia="zh-CN"/>
              </w:rPr>
            </w:pPr>
            <w:r>
              <w:rPr>
                <w:rFonts w:hint="eastAsia" w:ascii="宋体" w:hAnsi="宋体" w:eastAsia="宋体" w:cs="宋体"/>
                <w:color w:val="333333"/>
                <w:sz w:val="21"/>
                <w:lang w:eastAsia="zh-CN"/>
              </w:rPr>
              <w:t>本项目不接受联合体投标。</w:t>
            </w:r>
          </w:p>
        </w:tc>
      </w:tr>
      <w:tr w14:paraId="76275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459" w:type="dxa"/>
            <w:gridSpan w:val="3"/>
            <w:vAlign w:val="center"/>
          </w:tcPr>
          <w:p w14:paraId="6E85280D">
            <w:pPr>
              <w:pStyle w:val="3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b w:val="0"/>
                <w:bCs/>
                <w:sz w:val="24"/>
              </w:rPr>
              <w:t>备注：</w:t>
            </w:r>
            <w:r>
              <w:rPr>
                <w:rFonts w:hint="eastAsia" w:ascii="宋体" w:hAnsi="宋体" w:eastAsia="宋体" w:cs="宋体"/>
                <w:b w:val="0"/>
                <w:bCs/>
                <w:sz w:val="24"/>
                <w:lang w:eastAsia="zh-CN"/>
              </w:rPr>
              <w:t>资格性</w:t>
            </w:r>
            <w:r>
              <w:rPr>
                <w:rFonts w:hint="eastAsia" w:ascii="宋体" w:hAnsi="宋体" w:eastAsia="宋体" w:cs="宋体"/>
                <w:b w:val="0"/>
                <w:bCs/>
                <w:sz w:val="24"/>
              </w:rPr>
              <w:t>审查不合格的投标单位不得进入下一评审环节。</w:t>
            </w:r>
          </w:p>
        </w:tc>
      </w:tr>
    </w:tbl>
    <w:p w14:paraId="1BC866A9">
      <w:pPr>
        <w:pStyle w:val="27"/>
        <w:keepNext w:val="0"/>
        <w:keepLines w:val="0"/>
        <w:pageBreakBefore w:val="0"/>
        <w:widowControl w:val="0"/>
        <w:kinsoku/>
        <w:wordWrap/>
        <w:overflowPunct/>
        <w:topLinePunct w:val="0"/>
        <w:autoSpaceDE w:val="0"/>
        <w:autoSpaceDN w:val="0"/>
        <w:bidi w:val="0"/>
        <w:adjustRightInd/>
        <w:snapToGrid/>
        <w:spacing w:line="540" w:lineRule="exact"/>
        <w:ind w:firstLine="720" w:firstLineChars="3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注：资格审查由</w:t>
      </w:r>
      <w:r>
        <w:rPr>
          <w:rFonts w:hint="eastAsia" w:cs="宋体"/>
          <w:b w:val="0"/>
          <w:bCs w:val="0"/>
          <w:kern w:val="2"/>
          <w:sz w:val="24"/>
          <w:szCs w:val="24"/>
          <w:lang w:val="en-US" w:eastAsia="zh-CN" w:bidi="ar"/>
        </w:rPr>
        <w:t>谈判小组</w:t>
      </w:r>
      <w:r>
        <w:rPr>
          <w:rFonts w:hint="eastAsia" w:ascii="宋体" w:hAnsi="宋体" w:eastAsia="宋体" w:cs="宋体"/>
          <w:b w:val="0"/>
          <w:bCs w:val="0"/>
          <w:kern w:val="2"/>
          <w:sz w:val="24"/>
          <w:szCs w:val="24"/>
          <w:lang w:val="en-US" w:eastAsia="zh-CN" w:bidi="ar"/>
        </w:rPr>
        <w:t>进行审查。</w:t>
      </w:r>
    </w:p>
    <w:p w14:paraId="32C7FC68">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19" w:line="540" w:lineRule="exact"/>
        <w:ind w:right="0" w:rightChars="0" w:firstLine="480" w:firstLineChars="200"/>
        <w:textAlignment w:val="auto"/>
        <w:rPr>
          <w:b w:val="0"/>
          <w:bCs w:val="0"/>
        </w:rPr>
      </w:pPr>
      <w:r>
        <w:rPr>
          <w:rFonts w:hint="eastAsia"/>
          <w:b w:val="0"/>
          <w:bCs w:val="0"/>
          <w:lang w:eastAsia="zh-CN"/>
        </w:rPr>
        <w:t>（</w:t>
      </w:r>
      <w:r>
        <w:rPr>
          <w:rFonts w:hint="eastAsia"/>
          <w:b w:val="0"/>
          <w:bCs w:val="0"/>
          <w:lang w:val="en-US" w:eastAsia="zh-CN"/>
        </w:rPr>
        <w:t>2</w:t>
      </w:r>
      <w:r>
        <w:rPr>
          <w:rFonts w:hint="eastAsia"/>
          <w:b w:val="0"/>
          <w:bCs w:val="0"/>
          <w:lang w:eastAsia="zh-CN"/>
        </w:rPr>
        <w:t>）</w:t>
      </w:r>
      <w:r>
        <w:rPr>
          <w:b w:val="0"/>
          <w:bCs w:val="0"/>
        </w:rPr>
        <w:t>符合性评审：不符合下列情况之一的，其投标将按无效处理：</w:t>
      </w:r>
    </w:p>
    <w:tbl>
      <w:tblPr>
        <w:tblStyle w:val="21"/>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549"/>
        <w:gridCol w:w="4969"/>
      </w:tblGrid>
      <w:tr w14:paraId="4009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380" w:type="dxa"/>
            <w:noWrap w:val="0"/>
            <w:vAlign w:val="center"/>
          </w:tcPr>
          <w:p w14:paraId="25A53FA0">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序号</w:t>
            </w:r>
          </w:p>
        </w:tc>
        <w:tc>
          <w:tcPr>
            <w:tcW w:w="2549" w:type="dxa"/>
            <w:noWrap w:val="0"/>
            <w:vAlign w:val="center"/>
          </w:tcPr>
          <w:p w14:paraId="38873F48">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审查内容</w:t>
            </w:r>
          </w:p>
        </w:tc>
        <w:tc>
          <w:tcPr>
            <w:tcW w:w="4969" w:type="dxa"/>
            <w:noWrap w:val="0"/>
            <w:vAlign w:val="center"/>
          </w:tcPr>
          <w:p w14:paraId="2AD9E08E">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合格条件</w:t>
            </w:r>
          </w:p>
        </w:tc>
      </w:tr>
      <w:tr w14:paraId="70D2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380" w:type="dxa"/>
            <w:noWrap w:val="0"/>
            <w:vAlign w:val="center"/>
          </w:tcPr>
          <w:p w14:paraId="62B28989">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p>
        </w:tc>
        <w:tc>
          <w:tcPr>
            <w:tcW w:w="2549" w:type="dxa"/>
            <w:noWrap w:val="0"/>
            <w:vAlign w:val="center"/>
          </w:tcPr>
          <w:p w14:paraId="01E94AE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响应文件的签署、盖章</w:t>
            </w:r>
          </w:p>
        </w:tc>
        <w:tc>
          <w:tcPr>
            <w:tcW w:w="4969" w:type="dxa"/>
            <w:noWrap w:val="0"/>
            <w:vAlign w:val="center"/>
          </w:tcPr>
          <w:p w14:paraId="5D4CBA6B">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6A1A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1380" w:type="dxa"/>
            <w:noWrap w:val="0"/>
            <w:vAlign w:val="center"/>
          </w:tcPr>
          <w:p w14:paraId="530B0AE8">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w:t>
            </w:r>
          </w:p>
        </w:tc>
        <w:tc>
          <w:tcPr>
            <w:tcW w:w="2549" w:type="dxa"/>
            <w:noWrap w:val="0"/>
            <w:vAlign w:val="center"/>
          </w:tcPr>
          <w:p w14:paraId="1F68637D">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投标报价</w:t>
            </w:r>
          </w:p>
        </w:tc>
        <w:tc>
          <w:tcPr>
            <w:tcW w:w="4969" w:type="dxa"/>
            <w:noWrap w:val="0"/>
            <w:vAlign w:val="center"/>
          </w:tcPr>
          <w:p w14:paraId="74CAFA7D">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报价符合唯一性要求；</w:t>
            </w:r>
          </w:p>
          <w:p w14:paraId="29A9CE33">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投标函附录填写符合要求；</w:t>
            </w:r>
          </w:p>
          <w:p w14:paraId="75F3AE40">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计量单位、报价货币均符合采购文件要求；</w:t>
            </w:r>
          </w:p>
          <w:p w14:paraId="75CEF6D3">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未超出最高限价。</w:t>
            </w:r>
          </w:p>
        </w:tc>
      </w:tr>
      <w:tr w14:paraId="6F72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552BBD43">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549" w:type="dxa"/>
            <w:noWrap w:val="0"/>
            <w:vAlign w:val="center"/>
          </w:tcPr>
          <w:p w14:paraId="61390D5E">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工期</w:t>
            </w:r>
          </w:p>
        </w:tc>
        <w:tc>
          <w:tcPr>
            <w:tcW w:w="4969" w:type="dxa"/>
            <w:noWrap w:val="0"/>
            <w:vAlign w:val="center"/>
          </w:tcPr>
          <w:p w14:paraId="4814DAB5">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05BC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2F494BAC">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4</w:t>
            </w:r>
          </w:p>
        </w:tc>
        <w:tc>
          <w:tcPr>
            <w:tcW w:w="2549" w:type="dxa"/>
            <w:noWrap w:val="0"/>
            <w:vAlign w:val="center"/>
          </w:tcPr>
          <w:p w14:paraId="07F040BC">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质量标准</w:t>
            </w:r>
          </w:p>
        </w:tc>
        <w:tc>
          <w:tcPr>
            <w:tcW w:w="4969" w:type="dxa"/>
            <w:noWrap w:val="0"/>
            <w:vAlign w:val="center"/>
          </w:tcPr>
          <w:p w14:paraId="2B5B9BE7">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48B3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1717B6E1">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549" w:type="dxa"/>
            <w:noWrap w:val="0"/>
            <w:vAlign w:val="center"/>
          </w:tcPr>
          <w:p w14:paraId="5E0400B5">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投标有效期</w:t>
            </w:r>
          </w:p>
        </w:tc>
        <w:tc>
          <w:tcPr>
            <w:tcW w:w="4969" w:type="dxa"/>
            <w:noWrap w:val="0"/>
            <w:vAlign w:val="center"/>
          </w:tcPr>
          <w:p w14:paraId="7790C21F">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6E1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380" w:type="dxa"/>
            <w:noWrap w:val="0"/>
            <w:vAlign w:val="center"/>
          </w:tcPr>
          <w:p w14:paraId="64A5AE32">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eastAsia="zh-CN"/>
              </w:rPr>
            </w:pPr>
            <w:r>
              <w:rPr>
                <w:rFonts w:hint="eastAsia" w:cs="宋体"/>
                <w:color w:val="auto"/>
                <w:sz w:val="21"/>
                <w:szCs w:val="21"/>
                <w:highlight w:val="none"/>
                <w:lang w:val="en-US" w:eastAsia="zh-CN"/>
              </w:rPr>
              <w:t>6</w:t>
            </w:r>
          </w:p>
        </w:tc>
        <w:tc>
          <w:tcPr>
            <w:tcW w:w="2549" w:type="dxa"/>
            <w:noWrap w:val="0"/>
            <w:vAlign w:val="center"/>
          </w:tcPr>
          <w:p w14:paraId="22B8B3E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对采购文件响应</w:t>
            </w:r>
          </w:p>
          <w:p w14:paraId="3EEA2697">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程度</w:t>
            </w:r>
          </w:p>
        </w:tc>
        <w:tc>
          <w:tcPr>
            <w:tcW w:w="4969" w:type="dxa"/>
            <w:noWrap w:val="0"/>
            <w:vAlign w:val="center"/>
          </w:tcPr>
          <w:p w14:paraId="03A178B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要求实质性条款全部响应，不能有采购人不能接受的附加条件</w:t>
            </w:r>
          </w:p>
        </w:tc>
      </w:tr>
      <w:tr w14:paraId="7360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898" w:type="dxa"/>
            <w:gridSpan w:val="3"/>
            <w:noWrap w:val="0"/>
            <w:vAlign w:val="center"/>
          </w:tcPr>
          <w:p w14:paraId="31EE59E2">
            <w:pPr>
              <w:keepNext w:val="0"/>
              <w:keepLines w:val="0"/>
              <w:pageBreakBefore w:val="0"/>
              <w:kinsoku/>
              <w:wordWrap/>
              <w:overflowPunct/>
              <w:topLinePunct w:val="0"/>
              <w:autoSpaceDE w:val="0"/>
              <w:autoSpaceDN w:val="0"/>
              <w:bidi w:val="0"/>
              <w:adjustRightInd w:val="0"/>
              <w:spacing w:line="480" w:lineRule="exact"/>
              <w:ind w:firstLine="422"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lang w:val="en-US" w:eastAsia="zh-CN"/>
              </w:rPr>
              <w:t>说明</w:t>
            </w:r>
            <w:r>
              <w:rPr>
                <w:rFonts w:hint="eastAsia" w:ascii="宋体" w:hAnsi="宋体" w:eastAsia="宋体" w:cs="宋体"/>
                <w:b/>
                <w:bCs/>
                <w:color w:val="auto"/>
                <w:sz w:val="21"/>
                <w:szCs w:val="21"/>
                <w:highlight w:val="none"/>
                <w:lang w:val="zh-CN" w:eastAsia="zh-CN"/>
              </w:rPr>
              <w:t>：由</w:t>
            </w:r>
            <w:r>
              <w:rPr>
                <w:rFonts w:hint="eastAsia" w:ascii="宋体" w:hAnsi="宋体" w:eastAsia="宋体" w:cs="宋体"/>
                <w:b/>
                <w:bCs/>
                <w:color w:val="auto"/>
                <w:sz w:val="21"/>
                <w:szCs w:val="21"/>
                <w:highlight w:val="none"/>
                <w:lang w:val="en-US" w:eastAsia="zh-CN"/>
              </w:rPr>
              <w:t>谈判小组</w:t>
            </w:r>
            <w:r>
              <w:rPr>
                <w:rFonts w:hint="eastAsia" w:ascii="宋体" w:hAnsi="宋体" w:eastAsia="宋体" w:cs="宋体"/>
                <w:b/>
                <w:bCs/>
                <w:color w:val="auto"/>
                <w:sz w:val="21"/>
                <w:szCs w:val="21"/>
                <w:highlight w:val="none"/>
                <w:lang w:val="zh-CN" w:eastAsia="zh-CN"/>
              </w:rPr>
              <w:t>对上述资料进行审查，有一项不符合要求，则</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val="zh-CN" w:eastAsia="zh-CN"/>
              </w:rPr>
              <w:t>文件的</w:t>
            </w:r>
            <w:r>
              <w:rPr>
                <w:rFonts w:hint="eastAsia" w:ascii="宋体" w:hAnsi="宋体" w:eastAsia="宋体" w:cs="宋体"/>
                <w:b/>
                <w:bCs/>
                <w:color w:val="auto"/>
                <w:sz w:val="21"/>
                <w:szCs w:val="21"/>
                <w:highlight w:val="none"/>
                <w:lang w:val="en-US" w:eastAsia="zh-CN"/>
              </w:rPr>
              <w:t>符合性</w:t>
            </w:r>
            <w:r>
              <w:rPr>
                <w:rFonts w:hint="eastAsia" w:ascii="宋体" w:hAnsi="宋体" w:eastAsia="宋体" w:cs="宋体"/>
                <w:b/>
                <w:bCs/>
                <w:color w:val="auto"/>
                <w:sz w:val="21"/>
                <w:szCs w:val="21"/>
                <w:highlight w:val="none"/>
                <w:lang w:val="zh-CN" w:eastAsia="zh-CN"/>
              </w:rPr>
              <w:t>审查为不合格，</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val="zh-CN" w:eastAsia="zh-CN"/>
              </w:rPr>
              <w:t>文件无效，无资格进入后续评审阶段。</w:t>
            </w:r>
          </w:p>
        </w:tc>
      </w:tr>
    </w:tbl>
    <w:p w14:paraId="4162476F">
      <w:pPr>
        <w:pStyle w:val="11"/>
        <w:keepNext w:val="0"/>
        <w:keepLines w:val="0"/>
        <w:pageBreakBefore w:val="0"/>
        <w:widowControl w:val="0"/>
        <w:kinsoku/>
        <w:wordWrap/>
        <w:overflowPunct/>
        <w:topLinePunct w:val="0"/>
        <w:autoSpaceDE w:val="0"/>
        <w:autoSpaceDN w:val="0"/>
        <w:bidi w:val="0"/>
        <w:adjustRightInd/>
        <w:snapToGrid/>
        <w:spacing w:before="112" w:line="540" w:lineRule="exact"/>
        <w:ind w:right="-48" w:rightChars="-22" w:firstLine="480" w:firstLineChars="200"/>
        <w:textAlignment w:val="auto"/>
      </w:pPr>
      <w:r>
        <w:rPr>
          <w:rFonts w:hint="eastAsia"/>
          <w:lang w:eastAsia="zh-CN"/>
        </w:rPr>
        <w:t>谈</w:t>
      </w:r>
      <w:r>
        <w:t>判小组应在符合性评审的基础上对各投标单位的响应文件认真阅读，并对采购内容等有关要求进行谈判，最后由投标单位进行最终报价。</w:t>
      </w:r>
    </w:p>
    <w:p w14:paraId="3F5AB4A8">
      <w:pPr>
        <w:pStyle w:val="29"/>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商务性响应文件符合要求。</w:t>
      </w:r>
    </w:p>
    <w:p w14:paraId="5301CF41">
      <w:pPr>
        <w:pStyle w:val="29"/>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8"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综合评定，推荐候选成交单位。</w:t>
      </w:r>
    </w:p>
    <w:p w14:paraId="60667492">
      <w:pPr>
        <w:pStyle w:val="29"/>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2" w:after="0" w:line="540" w:lineRule="exact"/>
        <w:ind w:right="-48" w:rightChars="-22" w:firstLine="468" w:firstLineChars="200"/>
        <w:jc w:val="both"/>
        <w:textAlignment w:val="auto"/>
        <w:rPr>
          <w:sz w:val="24"/>
        </w:rPr>
      </w:pPr>
      <w:r>
        <w:rPr>
          <w:rFonts w:hint="eastAsia"/>
          <w:spacing w:val="-3"/>
          <w:sz w:val="24"/>
          <w:lang w:eastAsia="zh-CN"/>
        </w:rPr>
        <w:t>（</w:t>
      </w:r>
      <w:r>
        <w:rPr>
          <w:rFonts w:hint="eastAsia"/>
          <w:spacing w:val="-3"/>
          <w:sz w:val="24"/>
          <w:lang w:val="en-US" w:eastAsia="zh-CN"/>
        </w:rPr>
        <w:t>3</w:t>
      </w:r>
      <w:r>
        <w:rPr>
          <w:rFonts w:hint="eastAsia"/>
          <w:spacing w:val="-3"/>
          <w:sz w:val="24"/>
          <w:lang w:eastAsia="zh-CN"/>
        </w:rPr>
        <w:t>）</w:t>
      </w:r>
      <w:r>
        <w:rPr>
          <w:spacing w:val="-3"/>
          <w:sz w:val="24"/>
        </w:rPr>
        <w:t>谈判澄清：采购代理机构有权就谈判响应文件中有疑义之处或前后表述不</w:t>
      </w:r>
      <w:r>
        <w:rPr>
          <w:spacing w:val="-6"/>
          <w:sz w:val="24"/>
        </w:rPr>
        <w:t>一致的问题，向投标单位提出询问或澄清。投标单位必须在谈判文件规定的时间内派</w:t>
      </w:r>
      <w:r>
        <w:rPr>
          <w:spacing w:val="-4"/>
          <w:sz w:val="24"/>
        </w:rPr>
        <w:t>技术和商务人员进行澄清，有关澄清的内容应以书面形式提交，并由投标单位法定代</w:t>
      </w:r>
      <w:r>
        <w:rPr>
          <w:sz w:val="24"/>
        </w:rPr>
        <w:t>表人或被授权人签名确认。</w:t>
      </w:r>
    </w:p>
    <w:p w14:paraId="37CE4CD1">
      <w:pPr>
        <w:pStyle w:val="29"/>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after="0" w:line="540" w:lineRule="exact"/>
        <w:ind w:right="-48" w:rightChars="-22" w:firstLine="468" w:firstLineChars="200"/>
        <w:jc w:val="left"/>
        <w:textAlignment w:val="auto"/>
        <w:rPr>
          <w:sz w:val="24"/>
        </w:rPr>
      </w:pPr>
      <w:r>
        <w:rPr>
          <w:rFonts w:hint="eastAsia"/>
          <w:spacing w:val="-3"/>
          <w:sz w:val="24"/>
          <w:lang w:eastAsia="zh-CN"/>
        </w:rPr>
        <w:t>（</w:t>
      </w:r>
      <w:r>
        <w:rPr>
          <w:rFonts w:hint="eastAsia"/>
          <w:spacing w:val="-3"/>
          <w:sz w:val="24"/>
          <w:lang w:val="en-US" w:eastAsia="zh-CN"/>
        </w:rPr>
        <w:t>4</w:t>
      </w:r>
      <w:r>
        <w:rPr>
          <w:rFonts w:hint="eastAsia"/>
          <w:spacing w:val="-3"/>
          <w:sz w:val="24"/>
          <w:lang w:eastAsia="zh-CN"/>
        </w:rPr>
        <w:t>）</w:t>
      </w:r>
      <w:r>
        <w:rPr>
          <w:spacing w:val="-3"/>
          <w:sz w:val="24"/>
        </w:rPr>
        <w:t>谈判响应文件应按给定的格式如实填写，充分反映谈判文件的要求，出现</w:t>
      </w:r>
      <w:r>
        <w:rPr>
          <w:sz w:val="24"/>
        </w:rPr>
        <w:t>下列情况，统一规定为：</w:t>
      </w:r>
    </w:p>
    <w:p w14:paraId="59AB089E">
      <w:pPr>
        <w:pStyle w:val="11"/>
        <w:keepNext w:val="0"/>
        <w:keepLines w:val="0"/>
        <w:pageBreakBefore w:val="0"/>
        <w:widowControl w:val="0"/>
        <w:kinsoku/>
        <w:wordWrap/>
        <w:overflowPunct/>
        <w:topLinePunct w:val="0"/>
        <w:autoSpaceDE w:val="0"/>
        <w:autoSpaceDN w:val="0"/>
        <w:bidi w:val="0"/>
        <w:adjustRightInd/>
        <w:snapToGrid/>
        <w:spacing w:before="9" w:line="540" w:lineRule="exact"/>
        <w:ind w:right="-48" w:rightChars="-22" w:firstLine="480" w:firstLineChars="200"/>
        <w:textAlignment w:val="auto"/>
      </w:pPr>
      <w:r>
        <w:t>① 图表与文字不符，以图表为准。</w:t>
      </w:r>
    </w:p>
    <w:p w14:paraId="1449FFAE">
      <w:pPr>
        <w:pStyle w:val="11"/>
        <w:keepNext w:val="0"/>
        <w:keepLines w:val="0"/>
        <w:pageBreakBefore w:val="0"/>
        <w:widowControl w:val="0"/>
        <w:kinsoku/>
        <w:wordWrap/>
        <w:overflowPunct/>
        <w:topLinePunct w:val="0"/>
        <w:autoSpaceDE w:val="0"/>
        <w:autoSpaceDN w:val="0"/>
        <w:bidi w:val="0"/>
        <w:adjustRightInd/>
        <w:snapToGrid/>
        <w:spacing w:before="132" w:line="540" w:lineRule="exact"/>
        <w:ind w:firstLine="480" w:firstLineChars="200"/>
        <w:textAlignment w:val="auto"/>
      </w:pPr>
      <w:r>
        <w:t>② 单价与总价不符，以单价为准。</w:t>
      </w:r>
    </w:p>
    <w:p w14:paraId="5CAD1AB5">
      <w:pPr>
        <w:pStyle w:val="11"/>
        <w:keepNext w:val="0"/>
        <w:keepLines w:val="0"/>
        <w:pageBreakBefore w:val="0"/>
        <w:widowControl w:val="0"/>
        <w:kinsoku/>
        <w:wordWrap/>
        <w:overflowPunct/>
        <w:topLinePunct w:val="0"/>
        <w:autoSpaceDE w:val="0"/>
        <w:autoSpaceDN w:val="0"/>
        <w:bidi w:val="0"/>
        <w:adjustRightInd/>
        <w:snapToGrid/>
        <w:spacing w:before="102" w:line="540" w:lineRule="exact"/>
        <w:ind w:firstLine="480" w:firstLineChars="200"/>
        <w:jc w:val="both"/>
        <w:textAlignment w:val="auto"/>
      </w:pPr>
      <w:r>
        <w:t>③ 大写与小写不符，以大写为准。</w:t>
      </w:r>
    </w:p>
    <w:p w14:paraId="0378B8B7">
      <w:pPr>
        <w:pStyle w:val="11"/>
        <w:keepNext w:val="0"/>
        <w:keepLines w:val="0"/>
        <w:pageBreakBefore w:val="0"/>
        <w:widowControl w:val="0"/>
        <w:kinsoku/>
        <w:wordWrap/>
        <w:overflowPunct/>
        <w:topLinePunct w:val="0"/>
        <w:autoSpaceDE w:val="0"/>
        <w:autoSpaceDN w:val="0"/>
        <w:bidi w:val="0"/>
        <w:adjustRightInd/>
        <w:snapToGrid/>
        <w:spacing w:before="134" w:line="540" w:lineRule="exact"/>
        <w:ind w:firstLine="480" w:firstLineChars="200"/>
        <w:jc w:val="both"/>
        <w:textAlignment w:val="auto"/>
      </w:pPr>
      <w:r>
        <w:t>④ 正本与副本不符，以正本为准。</w:t>
      </w:r>
    </w:p>
    <w:p w14:paraId="1B80FF73">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20.4 </w:t>
      </w:r>
      <w:r>
        <w:rPr>
          <w:sz w:val="24"/>
        </w:rPr>
        <w:t>投标单位的谈判响应文件中必须提供相关的证明材料。如果发现有弄虚作假的，谈判小组将取消其谈判资格。</w:t>
      </w:r>
    </w:p>
    <w:p w14:paraId="0995A1EE">
      <w:pPr>
        <w:pStyle w:val="29"/>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 w:after="0" w:line="540" w:lineRule="exact"/>
        <w:ind w:right="-50" w:rightChars="0" w:firstLine="480" w:firstLineChars="200"/>
        <w:jc w:val="both"/>
        <w:textAlignment w:val="auto"/>
        <w:rPr>
          <w:sz w:val="24"/>
        </w:rPr>
      </w:pPr>
      <w:r>
        <w:rPr>
          <w:rFonts w:hint="eastAsia"/>
          <w:sz w:val="24"/>
          <w:lang w:val="en-US" w:eastAsia="zh-CN"/>
        </w:rPr>
        <w:t xml:space="preserve">20.5 </w:t>
      </w:r>
      <w:r>
        <w:rPr>
          <w:rFonts w:hint="eastAsia"/>
          <w:sz w:val="24"/>
        </w:rPr>
        <w:t>谈判小组从质量和服务均能满足采购文件实质性响应要求的供应商中，按照政府采购政策对各供应商最后报价</w:t>
      </w:r>
      <w:r>
        <w:rPr>
          <w:rFonts w:hint="eastAsia"/>
          <w:sz w:val="24"/>
          <w:lang w:eastAsia="zh-CN"/>
        </w:rPr>
        <w:t>由低到高的</w:t>
      </w:r>
      <w:r>
        <w:rPr>
          <w:rFonts w:hint="eastAsia"/>
          <w:sz w:val="24"/>
        </w:rPr>
        <w:t>顺序提出3名以上成交候选人，并编写评审报告</w:t>
      </w:r>
      <w:r>
        <w:rPr>
          <w:spacing w:val="-5"/>
          <w:sz w:val="24"/>
        </w:rPr>
        <w:t>。</w:t>
      </w:r>
    </w:p>
    <w:p w14:paraId="767AB809">
      <w:pPr>
        <w:pStyle w:val="29"/>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 w:after="0" w:line="540" w:lineRule="exact"/>
        <w:ind w:right="0" w:rightChars="0" w:firstLine="480" w:firstLineChars="200"/>
        <w:jc w:val="both"/>
        <w:textAlignment w:val="auto"/>
        <w:rPr>
          <w:sz w:val="24"/>
        </w:rPr>
      </w:pPr>
      <w:r>
        <w:rPr>
          <w:rFonts w:hint="eastAsia"/>
          <w:sz w:val="24"/>
          <w:lang w:val="en-US" w:eastAsia="zh-CN"/>
        </w:rPr>
        <w:t xml:space="preserve">20.6 </w:t>
      </w:r>
      <w:r>
        <w:rPr>
          <w:sz w:val="24"/>
        </w:rPr>
        <w:t>谈判小组根据原始谈判记录和谈判结果编写谈判结果报告，报采购人。</w:t>
      </w:r>
    </w:p>
    <w:p w14:paraId="61C41BC3">
      <w:pPr>
        <w:pStyle w:val="5"/>
        <w:keepNext w:val="0"/>
        <w:keepLines w:val="0"/>
        <w:pageBreakBefore w:val="0"/>
        <w:widowControl w:val="0"/>
        <w:numPr>
          <w:ilvl w:val="0"/>
          <w:numId w:val="0"/>
        </w:numPr>
        <w:tabs>
          <w:tab w:val="left" w:pos="1312"/>
        </w:tabs>
        <w:kinsoku/>
        <w:wordWrap/>
        <w:overflowPunct/>
        <w:topLinePunct w:val="0"/>
        <w:autoSpaceDE w:val="0"/>
        <w:autoSpaceDN w:val="0"/>
        <w:bidi w:val="0"/>
        <w:adjustRightInd/>
        <w:snapToGrid/>
        <w:spacing w:before="132" w:after="0" w:line="540" w:lineRule="exact"/>
        <w:ind w:right="0" w:rightChars="0" w:firstLine="482" w:firstLineChars="200"/>
        <w:jc w:val="both"/>
        <w:textAlignment w:val="auto"/>
      </w:pPr>
      <w:r>
        <w:rPr>
          <w:rFonts w:hint="eastAsia"/>
          <w:lang w:val="en-US" w:eastAsia="zh-CN"/>
        </w:rPr>
        <w:t>21.</w:t>
      </w:r>
      <w:r>
        <w:t>确定成交单位</w:t>
      </w:r>
    </w:p>
    <w:p w14:paraId="38EE93F2">
      <w:pP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21.1</w:t>
      </w:r>
      <w:r>
        <w:rPr>
          <w:rFonts w:hint="eastAsia" w:ascii="宋体" w:hAnsi="宋体" w:cs="宋体"/>
          <w:kern w:val="0"/>
          <w:sz w:val="24"/>
        </w:rPr>
        <w:t>谈判小组根据评审方法的规定对供应商进行评审排序，推荐1～3名成交候选人，作为评审结果。评审结果由全体谈判小组成员签字确认。谈判小组应当从质量和服务均能满足采购文件实质性响应要求的供应商中，按照政府采购政策对各供应商最后报价</w:t>
      </w:r>
      <w:r>
        <w:rPr>
          <w:rFonts w:hint="eastAsia" w:cs="宋体"/>
          <w:kern w:val="0"/>
          <w:sz w:val="24"/>
          <w:lang w:eastAsia="zh-CN"/>
        </w:rPr>
        <w:t>由低到高的</w:t>
      </w:r>
      <w:r>
        <w:rPr>
          <w:rFonts w:hint="eastAsia" w:ascii="宋体" w:hAnsi="宋体" w:cs="宋体"/>
          <w:kern w:val="0"/>
          <w:sz w:val="24"/>
        </w:rPr>
        <w:t>顺序提出3名以上成交候选人（合格供应商家数不足时以实际合格数量为准）</w:t>
      </w:r>
    </w:p>
    <w:p w14:paraId="220AD7A6">
      <w:pP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21.2</w:t>
      </w:r>
      <w:r>
        <w:rPr>
          <w:rFonts w:hint="eastAsia" w:ascii="宋体" w:hAnsi="宋体" w:eastAsia="宋体" w:cs="宋体"/>
          <w:kern w:val="0"/>
          <w:sz w:val="24"/>
        </w:rPr>
        <w:t>采购代理机构在评审工作结束后2个工作日内，将评审报告送采购人确认</w:t>
      </w:r>
      <w:r>
        <w:rPr>
          <w:rFonts w:hint="eastAsia" w:ascii="宋体" w:hAnsi="宋体" w:eastAsia="宋体" w:cs="宋体"/>
          <w:kern w:val="0"/>
          <w:sz w:val="24"/>
          <w:lang w:eastAsia="zh-CN"/>
        </w:rPr>
        <w:t>。</w:t>
      </w:r>
    </w:p>
    <w:p w14:paraId="798EBF83">
      <w:pPr>
        <w:overflowPunct w:val="0"/>
        <w:adjustRightInd w:val="0"/>
        <w:snapToGrid w:val="0"/>
        <w:spacing w:line="560" w:lineRule="exact"/>
        <w:ind w:firstLine="480" w:firstLineChars="200"/>
        <w:rPr>
          <w:rFonts w:hint="eastAsia"/>
          <w:lang w:eastAsia="zh-CN"/>
        </w:rPr>
      </w:pPr>
      <w:r>
        <w:rPr>
          <w:rFonts w:hint="eastAsia" w:cs="宋体"/>
          <w:kern w:val="0"/>
          <w:sz w:val="24"/>
          <w:lang w:val="en-US" w:eastAsia="zh-CN"/>
        </w:rPr>
        <w:t>21.3</w:t>
      </w:r>
      <w:r>
        <w:rPr>
          <w:rFonts w:hint="eastAsia" w:ascii="宋体" w:hAnsi="宋体" w:cs="宋体"/>
          <w:kern w:val="0"/>
          <w:sz w:val="24"/>
        </w:rPr>
        <w:t>采购人应当在收到评审报告后5个工作日内，从评审报告提出的成交候选人中次序确定排序第一的成交候选人为成交供应商，也可以书面授权谈判小组直接确定成交供应商。采购人逾期未确定成交供应商且不提出异议的，视为同意按评审报告提出的成交候选人次序确定排序第一的成交候选人为成交供应商。</w:t>
      </w:r>
    </w:p>
    <w:p w14:paraId="34B78B30">
      <w:pP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21.4</w:t>
      </w:r>
      <w:r>
        <w:rPr>
          <w:rFonts w:hint="eastAsia" w:ascii="宋体" w:hAnsi="宋体" w:eastAsia="宋体" w:cs="宋体"/>
          <w:kern w:val="0"/>
          <w:sz w:val="24"/>
          <w:lang w:eastAsia="zh-CN"/>
        </w:rPr>
        <w:t>采购代理机构将在成交供应商确定后2个工作日内，在【陕西省政府采购网（www.ccgp-shaanxi.gov.cn）】</w:t>
      </w:r>
      <w:r>
        <w:rPr>
          <w:rFonts w:hint="eastAsia" w:cs="宋体"/>
          <w:kern w:val="0"/>
          <w:sz w:val="24"/>
          <w:lang w:eastAsia="zh-CN"/>
        </w:rPr>
        <w:t>上</w:t>
      </w:r>
      <w:r>
        <w:rPr>
          <w:rFonts w:hint="eastAsia" w:ascii="宋体" w:hAnsi="宋体" w:eastAsia="宋体" w:cs="宋体"/>
          <w:kern w:val="0"/>
          <w:sz w:val="24"/>
          <w:lang w:eastAsia="zh-CN"/>
        </w:rPr>
        <w:t>发布成交结果，成交结果公告期限为1个工作日。</w:t>
      </w:r>
    </w:p>
    <w:p w14:paraId="79572F03">
      <w:pP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21.5</w:t>
      </w:r>
      <w:r>
        <w:rPr>
          <w:rFonts w:hint="eastAsia" w:ascii="宋体" w:hAnsi="宋体" w:cs="宋体"/>
          <w:kern w:val="0"/>
          <w:sz w:val="24"/>
        </w:rPr>
        <w:t>排名第一的成交候选人放弃成交、在规定期限内未能签订合同、因不可抗力不能履行合同、不按照谈判文件要求，或者被查实存在影响成交结果的违法行为等情形，不符合成交条件的，采购人可以按照谈判小组提出的成交候选人名单排序依次确定其他成交候选人为成交供应商，也可以重新谈判。</w:t>
      </w:r>
    </w:p>
    <w:p w14:paraId="5E08C6BE">
      <w:pP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21.6</w:t>
      </w:r>
      <w:r>
        <w:rPr>
          <w:rFonts w:hint="eastAsia" w:ascii="宋体" w:hAnsi="宋体" w:cs="宋体"/>
          <w:kern w:val="0"/>
          <w:sz w:val="24"/>
        </w:rPr>
        <w:t>供应商或者其他利害关系人对评审结果有异议的，应当在公示期间提出。</w:t>
      </w:r>
    </w:p>
    <w:p w14:paraId="38511F59">
      <w:pPr>
        <w:autoSpaceDE w:val="0"/>
        <w:autoSpaceDN w:val="0"/>
        <w:adjustRightInd w:val="0"/>
        <w:snapToGrid w:val="0"/>
        <w:spacing w:line="440" w:lineRule="exact"/>
        <w:ind w:firstLine="482" w:firstLineChars="200"/>
        <w:rPr>
          <w:rFonts w:hint="eastAsia" w:ascii="宋体" w:hAnsi="宋体" w:cs="宋体"/>
          <w:b/>
          <w:sz w:val="24"/>
          <w:lang w:val="zh-CN"/>
        </w:rPr>
      </w:pPr>
      <w:bookmarkStart w:id="8" w:name="六、授予合同"/>
      <w:bookmarkEnd w:id="8"/>
      <w:r>
        <w:rPr>
          <w:rFonts w:hint="eastAsia" w:cs="宋体"/>
          <w:b/>
          <w:sz w:val="24"/>
          <w:lang w:val="en-US" w:eastAsia="zh-CN"/>
        </w:rPr>
        <w:t>22.</w:t>
      </w:r>
      <w:r>
        <w:rPr>
          <w:rFonts w:hint="eastAsia" w:ascii="宋体" w:hAnsi="宋体" w:cs="宋体"/>
          <w:b/>
          <w:sz w:val="24"/>
          <w:lang w:val="zh-CN"/>
        </w:rPr>
        <w:t>本项目落实政府采购政策</w:t>
      </w:r>
    </w:p>
    <w:p w14:paraId="1CCA78AD">
      <w:pPr>
        <w:spacing w:line="560" w:lineRule="exact"/>
        <w:ind w:firstLine="482" w:firstLineChars="200"/>
        <w:jc w:val="left"/>
        <w:rPr>
          <w:rFonts w:hint="eastAsia" w:ascii="宋体" w:hAnsi="宋体" w:cs="宋体"/>
          <w:b/>
          <w:sz w:val="24"/>
          <w:lang w:val="zh-CN"/>
        </w:rPr>
      </w:pPr>
      <w:r>
        <w:rPr>
          <w:rFonts w:hint="eastAsia" w:cs="宋体"/>
          <w:b/>
          <w:sz w:val="24"/>
          <w:lang w:val="en-US" w:eastAsia="zh-CN"/>
        </w:rPr>
        <w:t>22</w:t>
      </w:r>
      <w:r>
        <w:rPr>
          <w:rFonts w:hint="eastAsia" w:ascii="宋体" w:hAnsi="宋体" w:cs="宋体"/>
          <w:b/>
          <w:sz w:val="24"/>
          <w:lang w:val="zh-CN"/>
        </w:rPr>
        <w:t>.1</w:t>
      </w:r>
      <w:r>
        <w:rPr>
          <w:rFonts w:hint="eastAsia" w:ascii="宋体" w:hAnsi="宋体" w:cs="宋体"/>
          <w:b/>
          <w:sz w:val="24"/>
        </w:rPr>
        <w:t xml:space="preserve"> </w:t>
      </w:r>
      <w:r>
        <w:rPr>
          <w:rFonts w:hint="eastAsia" w:ascii="宋体" w:hAnsi="宋体" w:cs="宋体"/>
          <w:b/>
          <w:sz w:val="24"/>
          <w:lang w:val="zh-CN"/>
        </w:rPr>
        <w:t>政策性扣减范围：</w:t>
      </w:r>
    </w:p>
    <w:p w14:paraId="621FCD16">
      <w:pPr>
        <w:autoSpaceDE w:val="0"/>
        <w:autoSpaceDN w:val="0"/>
        <w:adjustRightInd w:val="0"/>
        <w:snapToGrid w:val="0"/>
        <w:spacing w:line="440" w:lineRule="exact"/>
        <w:ind w:firstLine="480" w:firstLineChars="200"/>
        <w:rPr>
          <w:rFonts w:hint="eastAsia" w:ascii="宋体" w:hAnsi="宋体" w:cs="宋体"/>
          <w:sz w:val="24"/>
          <w:lang w:val="zh-CN"/>
        </w:rPr>
      </w:pPr>
      <w:r>
        <w:rPr>
          <w:rFonts w:hint="eastAsia" w:ascii="宋体" w:hAnsi="宋体" w:cs="宋体"/>
          <w:sz w:val="24"/>
        </w:rPr>
        <w:t>（1）中小企业落实政府采购政策</w:t>
      </w:r>
    </w:p>
    <w:p w14:paraId="589DD8B6">
      <w:pPr>
        <w:spacing w:line="440" w:lineRule="exact"/>
        <w:ind w:firstLine="480" w:firstLineChars="200"/>
        <w:rPr>
          <w:rFonts w:hint="eastAsia" w:ascii="宋体" w:hAnsi="宋体" w:cs="宋体"/>
          <w:kern w:val="0"/>
          <w:sz w:val="24"/>
        </w:rPr>
      </w:pPr>
      <w:r>
        <w:rPr>
          <w:rFonts w:hint="eastAsia" w:ascii="宋体" w:hAnsi="宋体" w:cs="宋体"/>
          <w:kern w:val="0"/>
          <w:sz w:val="24"/>
        </w:rPr>
        <w:t>1.1供应商符合小型、微型企业或监狱企业条件的，其谈判报价价格评审时将按相应比例进行扣减。</w:t>
      </w:r>
    </w:p>
    <w:p w14:paraId="4D1B3C37">
      <w:pPr>
        <w:spacing w:line="440" w:lineRule="exact"/>
        <w:ind w:firstLine="480" w:firstLineChars="200"/>
        <w:rPr>
          <w:rFonts w:hint="eastAsia" w:ascii="宋体" w:hAnsi="宋体" w:cs="宋体"/>
          <w:kern w:val="0"/>
          <w:sz w:val="24"/>
        </w:rPr>
      </w:pPr>
      <w:r>
        <w:rPr>
          <w:rFonts w:hint="eastAsia" w:ascii="宋体" w:hAnsi="宋体" w:cs="宋体"/>
          <w:kern w:val="0"/>
          <w:sz w:val="24"/>
        </w:rPr>
        <w:t>1.2依照政府采购促进中小企业发展管理办法》的通知-财库〔2020〕46 号的规定，小型、微型企业应当同时符合以下条件：</w:t>
      </w:r>
    </w:p>
    <w:p w14:paraId="30DC26B2">
      <w:pPr>
        <w:spacing w:line="440" w:lineRule="exact"/>
        <w:ind w:firstLine="480" w:firstLineChars="200"/>
        <w:rPr>
          <w:rFonts w:hint="eastAsia" w:ascii="宋体" w:hAnsi="宋体" w:cs="宋体"/>
          <w:kern w:val="0"/>
          <w:sz w:val="24"/>
        </w:rPr>
      </w:pPr>
      <w:r>
        <w:rPr>
          <w:rFonts w:hint="eastAsia" w:ascii="宋体" w:hAnsi="宋体" w:cs="宋体"/>
          <w:kern w:val="0"/>
          <w:sz w:val="24"/>
        </w:rPr>
        <w:t>1.2.1符合中小企业划分标准（中小企业划分标准是指国务院有关部门根据企业从业人员、营业收入、资产总额等指标制定的中小企业划型标准（工信部联企业〔2011〕300号））。</w:t>
      </w:r>
    </w:p>
    <w:p w14:paraId="2F605929">
      <w:pPr>
        <w:spacing w:line="440" w:lineRule="exact"/>
        <w:ind w:firstLine="480" w:firstLineChars="200"/>
        <w:rPr>
          <w:rFonts w:hint="eastAsia" w:ascii="宋体" w:hAnsi="宋体" w:cs="宋体"/>
          <w:kern w:val="0"/>
          <w:sz w:val="24"/>
        </w:rPr>
      </w:pPr>
      <w:r>
        <w:rPr>
          <w:rFonts w:hint="eastAsia" w:ascii="宋体" w:hAnsi="宋体" w:cs="宋体"/>
          <w:kern w:val="0"/>
          <w:sz w:val="24"/>
        </w:rPr>
        <w:t>1.2.2提供本企业制造的货物、承担的工程或者服务，或者提供其他中小企业制造的货物，不包括提供或使用大型企业注册商标的货物。</w:t>
      </w:r>
    </w:p>
    <w:p w14:paraId="6077F81E">
      <w:pPr>
        <w:spacing w:line="440" w:lineRule="exact"/>
        <w:ind w:firstLine="480" w:firstLineChars="200"/>
        <w:rPr>
          <w:rFonts w:hint="eastAsia" w:ascii="宋体" w:hAnsi="宋体" w:cs="宋体"/>
          <w:kern w:val="0"/>
          <w:sz w:val="24"/>
        </w:rPr>
      </w:pPr>
      <w:r>
        <w:rPr>
          <w:rFonts w:hint="eastAsia" w:ascii="宋体" w:hAnsi="宋体" w:cs="宋体"/>
          <w:kern w:val="0"/>
          <w:sz w:val="24"/>
        </w:rPr>
        <w:t>1.2.3小型、微型企业提供中型企业制造的货物的，视同为中型企业；小型、微型、中型企业提供大型企业制造的货物的，视同为大型企业。</w:t>
      </w:r>
    </w:p>
    <w:p w14:paraId="4C89ADDA">
      <w:pPr>
        <w:spacing w:line="440" w:lineRule="exact"/>
        <w:ind w:firstLine="480" w:firstLineChars="200"/>
        <w:rPr>
          <w:rFonts w:hint="eastAsia" w:ascii="宋体" w:hAnsi="宋体" w:cs="宋体"/>
          <w:kern w:val="0"/>
          <w:sz w:val="24"/>
        </w:rPr>
      </w:pPr>
      <w:r>
        <w:rPr>
          <w:rFonts w:hint="eastAsia" w:ascii="宋体" w:hAnsi="宋体" w:cs="宋体"/>
          <w:kern w:val="0"/>
          <w:sz w:val="24"/>
        </w:rPr>
        <w:t>1.3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0046B50B">
      <w:pPr>
        <w:autoSpaceDE w:val="0"/>
        <w:autoSpaceDN w:val="0"/>
        <w:adjustRightInd w:val="0"/>
        <w:snapToGrid w:val="0"/>
        <w:spacing w:line="440" w:lineRule="exact"/>
        <w:ind w:firstLine="472" w:firstLineChars="196"/>
        <w:rPr>
          <w:rFonts w:hint="eastAsia" w:ascii="宋体" w:hAnsi="宋体" w:cs="宋体"/>
          <w:b/>
          <w:sz w:val="24"/>
          <w:lang w:val="zh-CN"/>
        </w:rPr>
      </w:pPr>
      <w:r>
        <w:rPr>
          <w:rFonts w:hint="eastAsia" w:cs="宋体"/>
          <w:b/>
          <w:sz w:val="24"/>
          <w:lang w:val="en-US" w:eastAsia="zh-CN"/>
        </w:rPr>
        <w:t>22.2</w:t>
      </w:r>
      <w:r>
        <w:rPr>
          <w:rFonts w:hint="eastAsia" w:ascii="宋体" w:hAnsi="宋体" w:cs="宋体"/>
          <w:b/>
          <w:sz w:val="24"/>
          <w:lang w:val="zh-CN"/>
        </w:rPr>
        <w:t>政策性扣减方式：</w:t>
      </w:r>
    </w:p>
    <w:p w14:paraId="16427517">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22.2.1</w:t>
      </w:r>
      <w:r>
        <w:rPr>
          <w:rFonts w:hint="eastAsia" w:ascii="宋体" w:hAnsi="宋体" w:cs="宋体"/>
          <w:sz w:val="24"/>
          <w:lang w:val="zh-CN"/>
        </w:rPr>
        <w:t>、投标企业政府采购政策</w:t>
      </w:r>
    </w:p>
    <w:p w14:paraId="32AE8869">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中小企业落实政府采购政策</w:t>
      </w:r>
    </w:p>
    <w:p w14:paraId="200FC4B2">
      <w:pPr>
        <w:pStyle w:val="29"/>
        <w:tabs>
          <w:tab w:val="left" w:pos="1456"/>
        </w:tabs>
        <w:autoSpaceDE w:val="0"/>
        <w:autoSpaceDN w:val="0"/>
        <w:spacing w:line="423" w:lineRule="auto"/>
        <w:ind w:left="0" w:right="-44" w:rightChars="-20" w:firstLine="480" w:firstLineChars="200"/>
        <w:jc w:val="lef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rPr>
        <w:t>《政府采购促进中小企业发展管理办法》（财库﹝2020﹞46 号）</w:t>
      </w:r>
      <w:r>
        <w:rPr>
          <w:rFonts w:hint="eastAsia" w:ascii="宋体" w:hAnsi="宋体" w:eastAsia="宋体" w:cs="宋体"/>
          <w:sz w:val="24"/>
        </w:rPr>
        <w:t>小型、微型企业应当同时符合以下条件：</w:t>
      </w:r>
    </w:p>
    <w:p w14:paraId="271D5DB4">
      <w:pPr>
        <w:pStyle w:val="29"/>
        <w:tabs>
          <w:tab w:val="left" w:pos="169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1.1</w:t>
      </w:r>
      <w:r>
        <w:rPr>
          <w:rFonts w:hint="eastAsia" w:ascii="宋体" w:hAnsi="宋体" w:eastAsia="宋体" w:cs="宋体"/>
          <w:sz w:val="24"/>
        </w:rPr>
        <w:t>符合中小企业划分标准（中小企业划分标准是指国务院有关部门根据企业从业人员、营业收入、资产总额等指标制定的中小企业划型标准（工信部联企业〔2011</w:t>
      </w:r>
      <w:r>
        <w:rPr>
          <w:rFonts w:hint="eastAsia" w:ascii="宋体" w:hAnsi="宋体" w:eastAsia="宋体" w:cs="宋体"/>
          <w:spacing w:val="-18"/>
          <w:sz w:val="24"/>
        </w:rPr>
        <w:t>〕</w:t>
      </w:r>
      <w:r>
        <w:rPr>
          <w:rFonts w:hint="eastAsia" w:ascii="宋体" w:hAnsi="宋体" w:eastAsia="宋体" w:cs="宋体"/>
          <w:sz w:val="24"/>
        </w:rPr>
        <w:t>300</w:t>
      </w:r>
      <w:r>
        <w:rPr>
          <w:rFonts w:hint="eastAsia" w:ascii="宋体" w:hAnsi="宋体" w:eastAsia="宋体" w:cs="宋体"/>
          <w:spacing w:val="-30"/>
          <w:sz w:val="24"/>
        </w:rPr>
        <w:t xml:space="preserve"> 号</w:t>
      </w:r>
      <w:r>
        <w:rPr>
          <w:rFonts w:hint="eastAsia" w:ascii="宋体" w:hAnsi="宋体" w:eastAsia="宋体" w:cs="宋体"/>
          <w:sz w:val="24"/>
        </w:rPr>
        <w:t>））。</w:t>
      </w:r>
    </w:p>
    <w:p w14:paraId="1335532B">
      <w:pPr>
        <w:pStyle w:val="29"/>
        <w:tabs>
          <w:tab w:val="left" w:pos="1696"/>
        </w:tabs>
        <w:autoSpaceDE w:val="0"/>
        <w:autoSpaceDN w:val="0"/>
        <w:spacing w:line="423" w:lineRule="auto"/>
        <w:ind w:left="0" w:right="-44" w:rightChars="-20" w:firstLine="476" w:firstLineChars="200"/>
        <w:rPr>
          <w:rFonts w:hint="eastAsia" w:ascii="宋体" w:hAnsi="宋体" w:eastAsia="宋体" w:cs="宋体"/>
          <w:sz w:val="24"/>
        </w:rPr>
      </w:pPr>
      <w:r>
        <w:rPr>
          <w:rFonts w:hint="eastAsia" w:ascii="宋体" w:hAnsi="宋体" w:eastAsia="宋体" w:cs="宋体"/>
          <w:spacing w:val="-1"/>
          <w:sz w:val="24"/>
          <w:lang w:val="en-US"/>
        </w:rPr>
        <w:t>1.2</w:t>
      </w:r>
      <w:r>
        <w:rPr>
          <w:rFonts w:hint="eastAsia" w:ascii="宋体" w:hAnsi="宋体" w:eastAsia="宋体" w:cs="宋体"/>
          <w:spacing w:val="-1"/>
          <w:sz w:val="24"/>
        </w:rPr>
        <w:t>提供本企业制造的货物、承担的工程或者服务，或者提供其他中小企业制造</w:t>
      </w:r>
      <w:r>
        <w:rPr>
          <w:rFonts w:hint="eastAsia" w:ascii="宋体" w:hAnsi="宋体" w:eastAsia="宋体" w:cs="宋体"/>
          <w:sz w:val="24"/>
        </w:rPr>
        <w:t>的货物，不包括提供或使用大型企业注册商标的货物。</w:t>
      </w:r>
    </w:p>
    <w:p w14:paraId="54D83993">
      <w:pPr>
        <w:pStyle w:val="29"/>
        <w:tabs>
          <w:tab w:val="left" w:pos="1696"/>
        </w:tabs>
        <w:autoSpaceDE w:val="0"/>
        <w:autoSpaceDN w:val="0"/>
        <w:spacing w:line="423" w:lineRule="auto"/>
        <w:ind w:left="0" w:right="-44" w:rightChars="-20" w:firstLine="440" w:firstLineChars="200"/>
        <w:rPr>
          <w:rFonts w:hint="eastAsia" w:ascii="宋体" w:hAnsi="宋体" w:eastAsia="宋体" w:cs="宋体"/>
          <w:sz w:val="24"/>
        </w:rPr>
      </w:pPr>
      <w:r>
        <w:rPr>
          <w:rFonts w:hint="eastAsia" w:ascii="宋体" w:hAnsi="宋体" w:eastAsia="宋体" w:cs="宋体"/>
          <w:spacing w:val="-10"/>
          <w:sz w:val="24"/>
          <w:lang w:val="en-US"/>
        </w:rPr>
        <w:t>1.4</w:t>
      </w:r>
      <w:r>
        <w:rPr>
          <w:rFonts w:hint="eastAsia" w:ascii="宋体" w:hAnsi="宋体" w:eastAsia="宋体" w:cs="宋体"/>
          <w:spacing w:val="-10"/>
          <w:sz w:val="24"/>
        </w:rPr>
        <w:t>小型、微型企业提供中型企业制造的货物的，视同为中型企业；小型、微型、</w:t>
      </w:r>
      <w:r>
        <w:rPr>
          <w:rFonts w:hint="eastAsia" w:ascii="宋体" w:hAnsi="宋体" w:eastAsia="宋体" w:cs="宋体"/>
          <w:sz w:val="24"/>
        </w:rPr>
        <w:t>中型企业提供大型企业制造的货物的，视同为大型企业。</w:t>
      </w:r>
    </w:p>
    <w:p w14:paraId="740AA1CE">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2、《财政部司法部关于政府采购支持监狱企业发展有关问题的通知》（财库〔2014〕68号）。</w:t>
      </w:r>
    </w:p>
    <w:p w14:paraId="6C57A14A">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3、《国务院办公厅关于建立政府强制采购节能产品制度的通知》（国办发〔2007〕51号）。</w:t>
      </w:r>
    </w:p>
    <w:p w14:paraId="259B68EB">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4、《环境标志产品政府采购实施的意见》（财库[2006]90号）。</w:t>
      </w:r>
    </w:p>
    <w:p w14:paraId="7C5C215B">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采购人拟采购产品属于优先采购节能环保产品范围的，应当优先采购节能环保</w:t>
      </w:r>
      <w:r>
        <w:rPr>
          <w:rFonts w:hint="eastAsia" w:ascii="宋体" w:hAnsi="宋体" w:eastAsia="宋体" w:cs="宋体"/>
          <w:spacing w:val="-8"/>
          <w:sz w:val="24"/>
        </w:rPr>
        <w:t>产品，节能产品以财政部国家发展改革委关于调整公布最新一期节能产品政府采购清单所列产品为准。环保产品以财政部环境保护部关于调整公布最新一期环境标志产品政府</w:t>
      </w:r>
      <w:r>
        <w:rPr>
          <w:rFonts w:hint="eastAsia" w:ascii="宋体" w:hAnsi="宋体" w:eastAsia="宋体" w:cs="宋体"/>
          <w:sz w:val="24"/>
        </w:rPr>
        <w:t>采购清单所列产品为准。</w:t>
      </w:r>
    </w:p>
    <w:p w14:paraId="7EC9A998">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lang w:val="en-US"/>
        </w:rPr>
      </w:pPr>
      <w:r>
        <w:rPr>
          <w:rFonts w:hint="eastAsia" w:ascii="宋体" w:hAnsi="宋体" w:eastAsia="宋体" w:cs="宋体"/>
          <w:sz w:val="24"/>
          <w:lang w:val="en-US"/>
        </w:rPr>
        <w:t>2、监狱企业的价格评分标准</w:t>
      </w:r>
    </w:p>
    <w:p w14:paraId="204CA547">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1）在政府采购活动中，监狱企业视同小型、微型企业，享受预留份额、评审中价格扣除等政府采购促进中小企业发展的政府采购政策。</w:t>
      </w:r>
    </w:p>
    <w:p w14:paraId="173AD104">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2）监狱企业参加政府采购活动时，应当提供由省级以上监狱管理局、戒毒管理局（含新疆生产建设兵团）出具的属于监狱企业的证明文件。</w:t>
      </w:r>
    </w:p>
    <w:p w14:paraId="1A775C0D">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3）监狱企业按《财政部、司法部关于政府采购支持监狱企业发展有关问题的通知》（财库〔2014〕68号）文件规定标准执行。</w:t>
      </w:r>
    </w:p>
    <w:p w14:paraId="239EE68F">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4）</w:t>
      </w:r>
      <w:r>
        <w:rPr>
          <w:rFonts w:hint="eastAsia" w:ascii="宋体" w:hAnsi="宋体" w:eastAsia="宋体" w:cs="宋体"/>
          <w:sz w:val="24"/>
        </w:rPr>
        <w:t>监狱企业视同小型、微型企业，享受评审中价格扣除等政府促进中小企业发展的政府采购政策</w:t>
      </w:r>
    </w:p>
    <w:p w14:paraId="56EE2259">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）监狱企业属于小型、微型企业的，不重复享受政策。</w:t>
      </w:r>
    </w:p>
    <w:p w14:paraId="4B421D2E">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残疾人福利性单位的价格评分标准</w:t>
      </w:r>
    </w:p>
    <w:p w14:paraId="6B2E6FA9">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1）在政府采购活动中，残疾人福利性单位视同小型、微型企业，享受预留份额、评审中价格扣除等政府采购促进中小企业发展的政府采购政策。</w:t>
      </w:r>
    </w:p>
    <w:p w14:paraId="3D1C03E2">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2</w:t>
      </w:r>
      <w:r>
        <w:rPr>
          <w:rFonts w:hint="eastAsia" w:ascii="宋体" w:hAnsi="宋体" w:eastAsia="宋体" w:cs="宋体"/>
          <w:sz w:val="24"/>
        </w:rPr>
        <w:t>）残疾人福利性单位属于小型、微型企业的，不重复享受政策。</w:t>
      </w:r>
    </w:p>
    <w:p w14:paraId="4AA4C8B9">
      <w:pPr>
        <w:pStyle w:val="29"/>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）符合条件的残疾人福利性单位在参加政府采购活动时，应当提供本通知规定的《残疾人福利性单位声明函》（式样见投标文件格式），并对声明的真实性负责，未提供的不视为残疾人福利性单位。</w:t>
      </w:r>
    </w:p>
    <w:p w14:paraId="18EAC49E">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22.2.2</w:t>
      </w:r>
      <w:r>
        <w:rPr>
          <w:rFonts w:hint="eastAsia" w:ascii="宋体" w:hAnsi="宋体" w:cs="宋体"/>
          <w:sz w:val="24"/>
        </w:rPr>
        <w:t>、</w:t>
      </w:r>
      <w:r>
        <w:rPr>
          <w:rFonts w:hint="eastAsia" w:ascii="宋体" w:hAnsi="宋体" w:cs="宋体"/>
          <w:sz w:val="24"/>
          <w:lang w:val="zh-CN"/>
        </w:rPr>
        <w:t>监狱和戒毒企业应符合《财政部</w:t>
      </w:r>
      <w:r>
        <w:rPr>
          <w:rFonts w:hint="eastAsia" w:ascii="宋体" w:hAnsi="宋体" w:cs="宋体"/>
          <w:sz w:val="24"/>
        </w:rPr>
        <w:t xml:space="preserve"> 司法部关于政府采购支持监狱企业发展有关问题的通知》--财库[2014]68号文件规定</w:t>
      </w:r>
      <w:r>
        <w:rPr>
          <w:rFonts w:hint="eastAsia" w:ascii="宋体" w:hAnsi="宋体" w:cs="宋体"/>
          <w:sz w:val="24"/>
          <w:lang w:val="zh-CN"/>
        </w:rPr>
        <w:t>，并提供由省级以上监狱管理局、戒毒管理局(含新疆生产建设兵团)出具的属于监狱企业的证明。</w:t>
      </w:r>
    </w:p>
    <w:p w14:paraId="19BA0B3A">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22.2.3</w:t>
      </w:r>
      <w:r>
        <w:rPr>
          <w:rFonts w:hint="eastAsia" w:ascii="宋体" w:hAnsi="宋体" w:cs="宋体"/>
          <w:sz w:val="24"/>
          <w:lang w:val="zh-CN"/>
        </w:rPr>
        <w:t>、残疾人福利性单位应符合《财政部、民政部、中国残疾人联合会关于促进残疾人就业政府采购政策的通知》（财库[2017]141号）文件规定，并提供《残疾人福利性单位声明函》。</w:t>
      </w:r>
    </w:p>
    <w:p w14:paraId="1B6371C6">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22.2.4</w:t>
      </w:r>
      <w:r>
        <w:rPr>
          <w:rFonts w:hint="eastAsia" w:ascii="宋体" w:hAnsi="宋体" w:cs="宋体"/>
          <w:sz w:val="24"/>
          <w:lang w:val="zh-CN"/>
        </w:rPr>
        <w:t>、残疾人福利性、监狱企业单位属于小型、微型企业的，不重复享受政策。</w:t>
      </w:r>
    </w:p>
    <w:p w14:paraId="6DCB8B29">
      <w:pPr>
        <w:autoSpaceDE w:val="0"/>
        <w:autoSpaceDN w:val="0"/>
        <w:adjustRightInd w:val="0"/>
        <w:spacing w:line="420" w:lineRule="exact"/>
        <w:ind w:firstLine="482" w:firstLineChars="200"/>
        <w:jc w:val="left"/>
        <w:rPr>
          <w:rFonts w:hint="eastAsia" w:ascii="宋体" w:hAnsi="宋体" w:cs="宋体"/>
          <w:b/>
          <w:bCs/>
          <w:sz w:val="24"/>
          <w:lang w:val="zh-CN"/>
        </w:rPr>
      </w:pPr>
      <w:r>
        <w:rPr>
          <w:rFonts w:hint="eastAsia" w:ascii="宋体" w:hAnsi="宋体" w:cs="宋体"/>
          <w:b/>
          <w:bCs/>
          <w:sz w:val="24"/>
        </w:rPr>
        <w:t>22.</w:t>
      </w:r>
      <w:r>
        <w:rPr>
          <w:rFonts w:hint="eastAsia" w:cs="宋体"/>
          <w:b/>
          <w:bCs/>
          <w:sz w:val="24"/>
          <w:lang w:val="en-US" w:eastAsia="zh-CN"/>
        </w:rPr>
        <w:t>3</w:t>
      </w:r>
      <w:r>
        <w:rPr>
          <w:rFonts w:hint="eastAsia" w:ascii="宋体" w:hAnsi="宋体" w:cs="宋体"/>
          <w:b/>
          <w:bCs/>
          <w:sz w:val="24"/>
          <w:lang w:val="zh-CN"/>
        </w:rPr>
        <w:t>、投标产品政府采购政策</w:t>
      </w:r>
    </w:p>
    <w:p w14:paraId="666E988B">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3.1</w:t>
      </w:r>
      <w:r>
        <w:rPr>
          <w:rFonts w:hint="eastAsia" w:ascii="宋体" w:hAnsi="宋体" w:cs="宋体"/>
          <w:sz w:val="24"/>
        </w:rPr>
        <w:t>、节能产品</w:t>
      </w:r>
      <w:r>
        <w:rPr>
          <w:rFonts w:hint="eastAsia" w:ascii="宋体" w:hAnsi="宋体" w:cs="宋体"/>
          <w:sz w:val="24"/>
          <w:lang w:val="zh-CN"/>
        </w:rPr>
        <w:t>根据《国务院办公厅关于建立政府强制采购节能产品制度的通知》</w:t>
      </w:r>
      <w:r>
        <w:rPr>
          <w:rFonts w:hint="eastAsia" w:ascii="宋体" w:hAnsi="宋体" w:cs="宋体"/>
          <w:sz w:val="24"/>
        </w:rPr>
        <w:t>（</w:t>
      </w:r>
      <w:r>
        <w:rPr>
          <w:rFonts w:hint="eastAsia" w:ascii="宋体" w:hAnsi="宋体" w:cs="宋体"/>
          <w:sz w:val="24"/>
          <w:lang w:val="zh-CN"/>
        </w:rPr>
        <w:t>国办发[</w:t>
      </w:r>
      <w:r>
        <w:rPr>
          <w:rFonts w:hint="eastAsia" w:ascii="宋体" w:hAnsi="宋体" w:cs="宋体"/>
          <w:sz w:val="24"/>
        </w:rPr>
        <w:t>2007]51</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公布的最新一期节能产品政府采购清单为准。</w:t>
      </w:r>
    </w:p>
    <w:p w14:paraId="4FC12B40">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3.2</w:t>
      </w:r>
      <w:r>
        <w:rPr>
          <w:rFonts w:hint="eastAsia" w:ascii="宋体" w:hAnsi="宋体" w:cs="宋体"/>
          <w:sz w:val="24"/>
        </w:rPr>
        <w:t>、环境标志产品</w:t>
      </w:r>
      <w:r>
        <w:rPr>
          <w:rFonts w:hint="eastAsia" w:ascii="宋体" w:hAnsi="宋体" w:cs="宋体"/>
          <w:sz w:val="24"/>
          <w:lang w:val="zh-CN"/>
        </w:rPr>
        <w:t>根据《环境标志产品政府采购实施的意见》</w:t>
      </w:r>
      <w:r>
        <w:rPr>
          <w:rFonts w:hint="eastAsia" w:ascii="宋体" w:hAnsi="宋体" w:cs="宋体"/>
          <w:sz w:val="24"/>
        </w:rPr>
        <w:t>（</w:t>
      </w:r>
      <w:r>
        <w:rPr>
          <w:rFonts w:hint="eastAsia" w:ascii="宋体" w:hAnsi="宋体" w:cs="宋体"/>
          <w:sz w:val="24"/>
          <w:lang w:val="zh-CN"/>
        </w:rPr>
        <w:t>财库</w:t>
      </w:r>
      <w:r>
        <w:rPr>
          <w:rFonts w:hint="eastAsia" w:ascii="宋体" w:hAnsi="宋体" w:cs="宋体"/>
          <w:sz w:val="24"/>
        </w:rPr>
        <w:t>[2006]90</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公布的最新一期环境标志产品政府采购清单为准。</w:t>
      </w:r>
    </w:p>
    <w:p w14:paraId="6D9E60BD">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3.3</w:t>
      </w:r>
      <w:r>
        <w:rPr>
          <w:rFonts w:hint="eastAsia" w:ascii="宋体" w:hAnsi="宋体" w:cs="宋体"/>
          <w:sz w:val="24"/>
          <w:lang w:val="zh-CN"/>
        </w:rPr>
        <w:t>、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E7D8B84">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3.4</w:t>
      </w:r>
      <w:r>
        <w:rPr>
          <w:rFonts w:hint="eastAsia" w:ascii="宋体" w:hAnsi="宋体" w:cs="宋体"/>
          <w:sz w:val="24"/>
          <w:lang w:val="zh-CN"/>
        </w:rPr>
        <w:t>、若节能、环保、环境标志清单内的产品仅是构成投标产品的部件、组件或零件的，则该投标产品不享受鼓励优惠政策。</w:t>
      </w:r>
    </w:p>
    <w:p w14:paraId="1D6C7F92">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5、同一项目的节能、环保、环境标志产品部分计分只对属于清单内的非强制类产品进行计分，强制类产品不给予计分。 </w:t>
      </w:r>
    </w:p>
    <w:p w14:paraId="2ECEA85F">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6、节能、环保、环境标志产品不重复计分；同时列入国家级清单和省级清单的产品不重复计分。 </w:t>
      </w:r>
    </w:p>
    <w:p w14:paraId="16D3B3F6">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rPr>
        <w:t>.</w:t>
      </w:r>
      <w:r>
        <w:rPr>
          <w:rFonts w:hint="eastAsia" w:ascii="宋体" w:hAnsi="宋体" w:cs="宋体"/>
          <w:sz w:val="24"/>
          <w:lang w:val="zh-CN"/>
        </w:rPr>
        <w:t>7、获得上述认证的产品在投标时应提供有效证明材料。以上所有证明文件复印件须加盖投标人公章并注明“与原件一致”，否则不予计分。</w:t>
      </w:r>
    </w:p>
    <w:p w14:paraId="772C8E3F">
      <w:pPr>
        <w:autoSpaceDE w:val="0"/>
        <w:autoSpaceDN w:val="0"/>
        <w:adjustRightInd w:val="0"/>
        <w:spacing w:line="420" w:lineRule="exact"/>
        <w:ind w:firstLine="482" w:firstLineChars="200"/>
        <w:jc w:val="left"/>
        <w:rPr>
          <w:rFonts w:hint="eastAsia" w:ascii="宋体" w:hAnsi="宋体" w:cs="宋体"/>
          <w:b/>
          <w:bCs/>
          <w:sz w:val="24"/>
        </w:rPr>
      </w:pPr>
      <w:r>
        <w:rPr>
          <w:rFonts w:hint="eastAsia" w:ascii="宋体" w:hAnsi="宋体" w:cs="宋体"/>
          <w:b/>
          <w:bCs/>
          <w:sz w:val="24"/>
        </w:rPr>
        <w:t>22.</w:t>
      </w:r>
      <w:r>
        <w:rPr>
          <w:rFonts w:hint="eastAsia" w:cs="宋体"/>
          <w:b/>
          <w:bCs/>
          <w:sz w:val="24"/>
          <w:lang w:val="en-US" w:eastAsia="zh-CN"/>
        </w:rPr>
        <w:t>4</w:t>
      </w:r>
      <w:r>
        <w:rPr>
          <w:rFonts w:hint="eastAsia" w:ascii="宋体" w:hAnsi="宋体" w:cs="宋体"/>
          <w:b/>
          <w:bCs/>
          <w:sz w:val="24"/>
        </w:rPr>
        <w:t>、投标人应如实提供以上证明文件，如存在虚假应标，将取消其投标资格。</w:t>
      </w:r>
    </w:p>
    <w:p w14:paraId="08453A41">
      <w:pPr>
        <w:autoSpaceDE w:val="0"/>
        <w:autoSpaceDN w:val="0"/>
        <w:adjustRightInd w:val="0"/>
        <w:spacing w:line="420" w:lineRule="exact"/>
        <w:ind w:firstLine="480" w:firstLineChars="200"/>
        <w:jc w:val="left"/>
        <w:rPr>
          <w:rFonts w:hint="eastAsia" w:ascii="宋体" w:hAnsi="宋体" w:cs="宋体"/>
          <w:sz w:val="24"/>
        </w:rPr>
      </w:pPr>
      <w:r>
        <w:rPr>
          <w:rFonts w:hint="eastAsia" w:ascii="宋体" w:hAnsi="宋体" w:cs="宋体"/>
          <w:sz w:val="24"/>
        </w:rPr>
        <w:t>注：按照政府采购促进中小企业发展管理办法》（财库﹝2020﹞46 号）的通知，本项目小型和微型企业产品的价格给予</w:t>
      </w:r>
      <w:r>
        <w:rPr>
          <w:rFonts w:hint="eastAsia" w:ascii="宋体" w:hAnsi="宋体" w:cs="宋体"/>
          <w:sz w:val="24"/>
          <w:lang w:val="en-US" w:eastAsia="zh-CN"/>
        </w:rPr>
        <w:t>10</w:t>
      </w:r>
      <w:r>
        <w:rPr>
          <w:rFonts w:hint="eastAsia" w:ascii="宋体" w:hAnsi="宋体" w:cs="宋体"/>
          <w:sz w:val="24"/>
        </w:rPr>
        <w:t>%的扣除，</w:t>
      </w:r>
      <w:r>
        <w:rPr>
          <w:rFonts w:hint="eastAsia" w:ascii="宋体" w:hAnsi="宋体" w:cs="宋体"/>
          <w:b/>
          <w:bCs/>
          <w:sz w:val="24"/>
          <w:lang w:eastAsia="zh-CN"/>
        </w:rPr>
        <w:t>因本项目是专门面对小微企业，故不做价格优惠</w:t>
      </w:r>
      <w:r>
        <w:rPr>
          <w:rFonts w:hint="eastAsia" w:ascii="宋体" w:hAnsi="宋体" w:cs="宋体"/>
          <w:b/>
          <w:bCs/>
          <w:sz w:val="24"/>
        </w:rPr>
        <w:t>。</w:t>
      </w:r>
    </w:p>
    <w:p w14:paraId="4E39CE8F">
      <w:pPr>
        <w:spacing w:line="440" w:lineRule="exact"/>
        <w:rPr>
          <w:rFonts w:hint="eastAsia" w:ascii="宋体" w:hAnsi="宋体" w:cs="宋体"/>
          <w:b/>
          <w:sz w:val="24"/>
        </w:rPr>
      </w:pPr>
      <w:r>
        <w:rPr>
          <w:rFonts w:hint="eastAsia" w:ascii="宋体" w:hAnsi="宋体" w:cs="宋体"/>
          <w:b/>
          <w:sz w:val="24"/>
        </w:rPr>
        <w:t xml:space="preserve">    23. 确定成交单位</w:t>
      </w:r>
    </w:p>
    <w:p w14:paraId="4C0757F4">
      <w:pPr>
        <w:spacing w:line="440" w:lineRule="exact"/>
        <w:ind w:firstLine="480" w:firstLineChars="200"/>
        <w:rPr>
          <w:rFonts w:hint="eastAsia" w:ascii="宋体" w:hAnsi="宋体" w:cs="宋体"/>
          <w:b/>
          <w:sz w:val="30"/>
          <w:szCs w:val="30"/>
        </w:rPr>
      </w:pPr>
      <w:r>
        <w:rPr>
          <w:rFonts w:hint="eastAsia" w:ascii="宋体" w:hAnsi="宋体" w:cs="宋体"/>
          <w:sz w:val="24"/>
        </w:rPr>
        <w:t>采购人按照评标小组推荐的成交候选人排名顺序确定成交单位。采购代理机构将成交结果</w:t>
      </w:r>
      <w:r>
        <w:rPr>
          <w:rStyle w:val="33"/>
          <w:rFonts w:hint="eastAsia" w:ascii="宋体" w:hAnsi="宋体" w:cs="宋体"/>
          <w:color w:val="auto"/>
          <w:sz w:val="24"/>
        </w:rPr>
        <w:t>通知所有未成交的投标人</w:t>
      </w:r>
      <w:r>
        <w:rPr>
          <w:rFonts w:hint="eastAsia" w:ascii="宋体" w:hAnsi="宋体" w:cs="宋体"/>
          <w:sz w:val="24"/>
          <w:shd w:val="clear" w:color="auto" w:fill="FFFFFF"/>
        </w:rPr>
        <w:t>。</w:t>
      </w:r>
    </w:p>
    <w:p w14:paraId="0A7FEE99">
      <w:pPr>
        <w:numPr>
          <w:ilvl w:val="0"/>
          <w:numId w:val="0"/>
        </w:numPr>
        <w:spacing w:line="560" w:lineRule="exact"/>
        <w:ind w:leftChars="200" w:right="0" w:rightChars="0"/>
        <w:rPr>
          <w:rFonts w:hint="eastAsia" w:ascii="宋体" w:hAnsi="宋体" w:cs="宋体"/>
          <w:b/>
          <w:spacing w:val="4"/>
          <w:sz w:val="24"/>
        </w:rPr>
      </w:pPr>
      <w:r>
        <w:rPr>
          <w:rFonts w:hint="eastAsia" w:cs="宋体"/>
          <w:b/>
          <w:spacing w:val="4"/>
          <w:sz w:val="24"/>
          <w:lang w:val="en-US" w:eastAsia="zh-CN"/>
        </w:rPr>
        <w:t>24.</w:t>
      </w:r>
      <w:r>
        <w:rPr>
          <w:rFonts w:hint="eastAsia" w:ascii="宋体" w:hAnsi="宋体" w:cs="宋体"/>
          <w:b/>
          <w:spacing w:val="4"/>
          <w:sz w:val="24"/>
        </w:rPr>
        <w:t>成交价格=成交供应商的有效谈判报价。</w:t>
      </w:r>
    </w:p>
    <w:p w14:paraId="10C43AB4">
      <w:pPr>
        <w:pStyle w:val="9"/>
        <w:rPr>
          <w:rFonts w:hint="eastAsia" w:ascii="宋体" w:hAnsi="宋体" w:cs="宋体"/>
          <w:b/>
          <w:szCs w:val="24"/>
        </w:rPr>
      </w:pPr>
      <w:r>
        <w:rPr>
          <w:rFonts w:hint="eastAsia" w:ascii="宋体" w:hAnsi="宋体" w:cs="宋体"/>
          <w:b/>
          <w:spacing w:val="4"/>
          <w:szCs w:val="24"/>
        </w:rPr>
        <w:t xml:space="preserve"> </w:t>
      </w:r>
      <w:r>
        <w:rPr>
          <w:rFonts w:hint="eastAsia" w:ascii="宋体" w:hAnsi="宋体" w:cs="宋体"/>
          <w:b/>
          <w:szCs w:val="24"/>
        </w:rPr>
        <w:t xml:space="preserve"> 20.6.3 </w:t>
      </w:r>
      <w:r>
        <w:rPr>
          <w:rFonts w:hint="eastAsia" w:ascii="宋体" w:hAnsi="宋体" w:cs="宋体"/>
          <w:b/>
          <w:szCs w:val="24"/>
          <w:lang w:val="zh-CN"/>
        </w:rPr>
        <w:t>陕西省中小企业政府采购信用融资办法</w:t>
      </w:r>
    </w:p>
    <w:p w14:paraId="117E3986">
      <w:pPr>
        <w:spacing w:line="440" w:lineRule="exact"/>
        <w:ind w:firstLine="480" w:firstLineChars="200"/>
        <w:rPr>
          <w:rFonts w:hint="eastAsia" w:ascii="宋体" w:hAnsi="宋体" w:cs="宋体"/>
          <w:sz w:val="20"/>
          <w:szCs w:val="22"/>
        </w:rPr>
      </w:pPr>
      <w:r>
        <w:rPr>
          <w:rFonts w:hint="eastAsia" w:ascii="宋体" w:hAnsi="宋体" w:cs="宋体"/>
          <w:kern w:val="0"/>
          <w:sz w:val="24"/>
          <w:lang w:val="zh-CN"/>
        </w:rPr>
        <w:t>为支持和促进中小企业发展，进一步发挥政府采购政策功能作用，有效缓解中小企业融资难等问题，根据财政部财库〔2011〕124号文件的精神，陕西省财政厅制订了《陕西省政府采购信用担保试点工作实施方案（试行）》和《陕西省中小企业政府采购信用融资办法》陕财办采〔2018〕23号文件，为参与陕西省政府采购项目的供应商提供政府采购信用担保，并按照程序确定了合作的担保机构。中标（成交）供应商如果需要融资贷款服务的，可凭中标（成交）通知书、政府采购合同等相关资料，按照文件规定的程序申请办理，具体规定可登陆陕西省政府采购网(www.ccgp-shaanxi.gov.cn/)重要通知专栏中查询了解。</w:t>
      </w:r>
    </w:p>
    <w:p w14:paraId="51FA0E36">
      <w:pPr>
        <w:spacing w:line="440" w:lineRule="exact"/>
        <w:ind w:firstLine="482" w:firstLineChars="200"/>
        <w:rPr>
          <w:rFonts w:hint="eastAsia" w:ascii="宋体" w:hAnsi="宋体" w:cs="宋体"/>
          <w:b/>
          <w:sz w:val="24"/>
        </w:rPr>
      </w:pPr>
      <w:r>
        <w:rPr>
          <w:rFonts w:hint="eastAsia" w:ascii="宋体" w:hAnsi="宋体" w:cs="宋体"/>
          <w:b/>
          <w:sz w:val="24"/>
        </w:rPr>
        <w:t>2</w:t>
      </w:r>
      <w:r>
        <w:rPr>
          <w:rFonts w:hint="eastAsia" w:cs="宋体"/>
          <w:b/>
          <w:sz w:val="24"/>
          <w:lang w:val="en-US" w:eastAsia="zh-CN"/>
        </w:rPr>
        <w:t>5</w:t>
      </w:r>
      <w:r>
        <w:rPr>
          <w:rFonts w:hint="eastAsia" w:ascii="宋体" w:hAnsi="宋体" w:cs="宋体"/>
          <w:b/>
          <w:sz w:val="24"/>
        </w:rPr>
        <w:t>. 确定成交单位</w:t>
      </w:r>
    </w:p>
    <w:p w14:paraId="5B0FAD9B">
      <w:pPr>
        <w:spacing w:line="440" w:lineRule="exact"/>
        <w:ind w:firstLine="480" w:firstLineChars="200"/>
        <w:rPr>
          <w:rFonts w:hint="eastAsia" w:ascii="宋体" w:hAnsi="宋体" w:cs="宋体"/>
          <w:sz w:val="20"/>
          <w:szCs w:val="22"/>
        </w:rPr>
      </w:pPr>
      <w:r>
        <w:rPr>
          <w:rFonts w:hint="eastAsia" w:ascii="宋体" w:hAnsi="宋体" w:cs="宋体"/>
          <w:kern w:val="0"/>
          <w:sz w:val="24"/>
        </w:rPr>
        <w:t>采购人应当自成交通知书发出之日起三十日内，按照谈判文件和成交供应商谈判响应文件（包括评审中形成的澄清文件）的约定，与成交供应商签订书面合同。所签订的合同不得对谈判文件和成交供应商的谈判响应文件（包括评审中形成的澄清文件）作实质性修改。</w:t>
      </w:r>
    </w:p>
    <w:p w14:paraId="2FD9C2E0">
      <w:pPr>
        <w:pStyle w:val="5"/>
        <w:keepNext w:val="0"/>
        <w:keepLines w:val="0"/>
        <w:pageBreakBefore w:val="0"/>
        <w:widowControl w:val="0"/>
        <w:kinsoku/>
        <w:wordWrap/>
        <w:overflowPunct/>
        <w:topLinePunct w:val="0"/>
        <w:autoSpaceDE w:val="0"/>
        <w:autoSpaceDN w:val="0"/>
        <w:bidi w:val="0"/>
        <w:adjustRightInd/>
        <w:snapToGrid/>
        <w:spacing w:before="151" w:line="540" w:lineRule="exact"/>
        <w:ind w:left="4049"/>
        <w:textAlignment w:val="auto"/>
      </w:pPr>
      <w:r>
        <w:t>六、授予合同</w:t>
      </w:r>
    </w:p>
    <w:p w14:paraId="2594B5D8">
      <w:pPr>
        <w:pStyle w:val="29"/>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b/>
          <w:sz w:val="24"/>
        </w:rPr>
      </w:pPr>
      <w:r>
        <w:rPr>
          <w:rFonts w:hint="eastAsia"/>
          <w:b/>
          <w:sz w:val="24"/>
          <w:lang w:val="en-US" w:eastAsia="zh-CN"/>
        </w:rPr>
        <w:t xml:space="preserve">22. </w:t>
      </w:r>
      <w:r>
        <w:rPr>
          <w:b/>
          <w:sz w:val="24"/>
        </w:rPr>
        <w:t>成交通知书</w:t>
      </w:r>
    </w:p>
    <w:p w14:paraId="52F6E840">
      <w:pPr>
        <w:pStyle w:val="29"/>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4" w:after="0" w:line="540" w:lineRule="exact"/>
        <w:ind w:right="-48" w:rightChars="-22" w:firstLine="452" w:firstLineChars="200"/>
        <w:jc w:val="left"/>
        <w:textAlignment w:val="auto"/>
        <w:rPr>
          <w:spacing w:val="-2"/>
          <w:sz w:val="24"/>
        </w:rPr>
      </w:pPr>
      <w:r>
        <w:rPr>
          <w:rFonts w:hint="eastAsia"/>
          <w:spacing w:val="-7"/>
          <w:sz w:val="24"/>
          <w:lang w:val="en-US" w:eastAsia="zh-CN"/>
        </w:rPr>
        <w:t xml:space="preserve">22.1 </w:t>
      </w:r>
      <w:r>
        <w:rPr>
          <w:spacing w:val="-7"/>
          <w:sz w:val="24"/>
        </w:rPr>
        <w:t>采购代理机构在收到采购人的成交复函后，按规定时间向成交人发出成交通</w:t>
      </w:r>
      <w:r>
        <w:rPr>
          <w:sz w:val="24"/>
        </w:rPr>
        <w:t>知书。</w:t>
      </w:r>
      <w:r>
        <w:rPr>
          <w:spacing w:val="-2"/>
          <w:sz w:val="24"/>
        </w:rPr>
        <w:t>成交通知书是合同的组成部分。</w:t>
      </w:r>
    </w:p>
    <w:p w14:paraId="0E8F8E0D">
      <w:pPr>
        <w:spacing w:line="440" w:lineRule="exact"/>
        <w:ind w:firstLine="482" w:firstLineChars="200"/>
        <w:rPr>
          <w:rFonts w:hint="eastAsia" w:ascii="宋体" w:hAnsi="宋体" w:cs="宋体"/>
          <w:b/>
          <w:sz w:val="24"/>
        </w:rPr>
      </w:pPr>
      <w:r>
        <w:rPr>
          <w:rFonts w:hint="eastAsia" w:ascii="宋体" w:hAnsi="宋体" w:cs="宋体"/>
          <w:b/>
          <w:sz w:val="24"/>
        </w:rPr>
        <w:t>23．中标服务费</w:t>
      </w:r>
    </w:p>
    <w:p w14:paraId="6E85AF88">
      <w:pPr>
        <w:spacing w:line="440" w:lineRule="exact"/>
        <w:ind w:firstLine="480" w:firstLineChars="200"/>
        <w:rPr>
          <w:rFonts w:hint="eastAsia" w:ascii="宋体" w:hAnsi="宋体" w:eastAsia="宋体" w:cs="宋体"/>
          <w:sz w:val="24"/>
          <w:lang w:eastAsia="zh-CN"/>
        </w:rPr>
      </w:pPr>
      <w:r>
        <w:rPr>
          <w:rFonts w:hint="eastAsia" w:ascii="宋体" w:hAnsi="宋体" w:cs="宋体"/>
          <w:sz w:val="24"/>
        </w:rPr>
        <w:t>23.1 招标代理服务费：依据国家发展计划委员会计价格[2002]1980号文件规定的收取标准及相应的计算办法</w:t>
      </w:r>
      <w:r>
        <w:rPr>
          <w:rFonts w:hint="eastAsia" w:ascii="宋体" w:hAnsi="宋体" w:cs="宋体"/>
          <w:sz w:val="24"/>
          <w:shd w:val="clear" w:color="auto" w:fill="auto"/>
        </w:rPr>
        <w:t>,由</w:t>
      </w:r>
      <w:r>
        <w:rPr>
          <w:rFonts w:hint="eastAsia" w:cs="宋体"/>
          <w:sz w:val="24"/>
          <w:shd w:val="clear" w:color="auto" w:fill="auto"/>
          <w:lang w:eastAsia="zh-CN"/>
        </w:rPr>
        <w:t>中标人</w:t>
      </w:r>
      <w:r>
        <w:rPr>
          <w:rFonts w:hint="eastAsia" w:ascii="宋体" w:hAnsi="宋体" w:cs="宋体"/>
          <w:sz w:val="24"/>
          <w:shd w:val="clear" w:color="auto" w:fill="auto"/>
        </w:rPr>
        <w:t>向</w:t>
      </w:r>
      <w:r>
        <w:rPr>
          <w:rFonts w:hint="eastAsia" w:cs="宋体"/>
          <w:sz w:val="24"/>
          <w:shd w:val="clear" w:color="auto" w:fill="auto"/>
          <w:lang w:eastAsia="zh-CN"/>
        </w:rPr>
        <w:t>亿诚建设项目管理有限公司</w:t>
      </w:r>
      <w:r>
        <w:rPr>
          <w:rFonts w:hint="eastAsia" w:ascii="宋体" w:hAnsi="宋体" w:cs="宋体"/>
          <w:sz w:val="24"/>
          <w:shd w:val="clear" w:color="auto" w:fill="auto"/>
        </w:rPr>
        <w:t>缴纳招标代理服务费</w:t>
      </w:r>
      <w:r>
        <w:rPr>
          <w:rFonts w:hint="eastAsia" w:ascii="宋体" w:hAnsi="宋体" w:cs="宋体"/>
          <w:sz w:val="24"/>
          <w:shd w:val="clear" w:color="auto" w:fill="auto"/>
          <w:lang w:eastAsia="zh-CN"/>
        </w:rPr>
        <w:t>。</w:t>
      </w:r>
    </w:p>
    <w:p w14:paraId="2A32EDDF">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24. </w:t>
      </w:r>
      <w:r>
        <w:t>签订合同</w:t>
      </w:r>
    </w:p>
    <w:p w14:paraId="3B97CE90">
      <w:pPr>
        <w:pStyle w:val="29"/>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29" w:after="0" w:line="540" w:lineRule="exact"/>
        <w:ind w:right="-48" w:rightChars="-22" w:firstLine="480" w:firstLineChars="200"/>
        <w:jc w:val="both"/>
        <w:textAlignment w:val="auto"/>
        <w:rPr>
          <w:sz w:val="24"/>
        </w:rPr>
      </w:pPr>
      <w:r>
        <w:rPr>
          <w:rFonts w:hint="eastAsia"/>
          <w:sz w:val="24"/>
          <w:lang w:val="en-US" w:eastAsia="zh-CN"/>
        </w:rPr>
        <w:t xml:space="preserve">24.1 </w:t>
      </w:r>
      <w:r>
        <w:rPr>
          <w:sz w:val="24"/>
        </w:rPr>
        <w:t>成交供应商应按《成交通知书》指定的时间、地点与采购人签订合同。</w:t>
      </w:r>
    </w:p>
    <w:p w14:paraId="08DFB02F">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64" w:firstLineChars="200"/>
        <w:jc w:val="both"/>
        <w:textAlignment w:val="auto"/>
        <w:rPr>
          <w:rFonts w:hint="eastAsia" w:eastAsia="宋体"/>
          <w:sz w:val="24"/>
          <w:lang w:eastAsia="zh-CN"/>
        </w:rPr>
      </w:pPr>
      <w:r>
        <w:rPr>
          <w:rFonts w:hint="eastAsia"/>
          <w:spacing w:val="-4"/>
          <w:sz w:val="24"/>
          <w:lang w:val="en-US" w:eastAsia="zh-CN"/>
        </w:rPr>
        <w:t xml:space="preserve">24.2 </w:t>
      </w:r>
      <w:r>
        <w:rPr>
          <w:spacing w:val="-4"/>
          <w:sz w:val="24"/>
        </w:rPr>
        <w:t xml:space="preserve">如果成交供应商没有按照上述第 </w:t>
      </w:r>
      <w:r>
        <w:rPr>
          <w:sz w:val="24"/>
        </w:rPr>
        <w:t>23</w:t>
      </w:r>
      <w:r>
        <w:rPr>
          <w:spacing w:val="-19"/>
          <w:sz w:val="24"/>
        </w:rPr>
        <w:t xml:space="preserve"> </w:t>
      </w:r>
      <w:r>
        <w:rPr>
          <w:spacing w:val="-6"/>
          <w:sz w:val="24"/>
        </w:rPr>
        <w:t>条规定执行，采购单位将</w:t>
      </w:r>
      <w:r>
        <w:rPr>
          <w:spacing w:val="-10"/>
          <w:sz w:val="24"/>
        </w:rPr>
        <w:t>有充分理由取消该成交决定。在此情况下，采购单位可将合同授予综合得分排序名列</w:t>
      </w:r>
      <w:r>
        <w:rPr>
          <w:sz w:val="24"/>
        </w:rPr>
        <w:t>下一个的</w:t>
      </w:r>
      <w:r>
        <w:rPr>
          <w:rFonts w:hint="eastAsia"/>
          <w:sz w:val="24"/>
          <w:lang w:eastAsia="zh-CN"/>
        </w:rPr>
        <w:t>供应商</w:t>
      </w:r>
      <w:r>
        <w:rPr>
          <w:sz w:val="24"/>
        </w:rPr>
        <w:t>，或重新组织采购</w:t>
      </w:r>
      <w:r>
        <w:rPr>
          <w:rFonts w:hint="eastAsia"/>
          <w:sz w:val="24"/>
          <w:lang w:eastAsia="zh-CN"/>
        </w:rPr>
        <w:t>。</w:t>
      </w:r>
    </w:p>
    <w:p w14:paraId="08385B13">
      <w:pPr>
        <w:spacing w:line="440" w:lineRule="exact"/>
        <w:ind w:firstLine="482" w:firstLineChars="200"/>
        <w:rPr>
          <w:rFonts w:hint="eastAsia" w:ascii="宋体" w:hAnsi="宋体" w:cs="宋体"/>
          <w:b/>
          <w:bCs/>
          <w:sz w:val="24"/>
        </w:rPr>
      </w:pPr>
      <w:r>
        <w:rPr>
          <w:rFonts w:hint="eastAsia" w:ascii="宋体" w:hAnsi="宋体" w:cs="宋体"/>
          <w:b/>
          <w:bCs/>
          <w:sz w:val="24"/>
        </w:rPr>
        <w:t>25.质疑</w:t>
      </w:r>
    </w:p>
    <w:p w14:paraId="05AD35F6">
      <w:pPr>
        <w:spacing w:line="440" w:lineRule="exact"/>
        <w:ind w:firstLine="480" w:firstLineChars="200"/>
        <w:rPr>
          <w:rFonts w:hint="eastAsia" w:ascii="宋体" w:hAnsi="宋体" w:cs="宋体"/>
          <w:sz w:val="24"/>
        </w:rPr>
      </w:pPr>
    </w:p>
    <w:p w14:paraId="374AEE3A">
      <w:pPr>
        <w:spacing w:line="440" w:lineRule="exact"/>
        <w:ind w:firstLine="480" w:firstLineChars="200"/>
        <w:rPr>
          <w:rFonts w:hint="eastAsia" w:ascii="宋体" w:hAnsi="宋体" w:cs="宋体"/>
          <w:sz w:val="24"/>
        </w:rPr>
      </w:pPr>
      <w:r>
        <w:rPr>
          <w:rFonts w:hint="eastAsia" w:ascii="宋体" w:hAnsi="宋体" w:cs="宋体"/>
          <w:sz w:val="24"/>
        </w:rPr>
        <w:t>25.1供应商认为谈判文件、谈判过程、成交结果使自己的合法权益受到损害的，可以在法律规定的时间内以书面形式向采购人、招标代理机构提出质疑。</w:t>
      </w:r>
    </w:p>
    <w:p w14:paraId="32310BD3">
      <w:pPr>
        <w:spacing w:line="440" w:lineRule="exact"/>
        <w:ind w:firstLine="480" w:firstLineChars="200"/>
        <w:rPr>
          <w:rFonts w:hint="eastAsia" w:ascii="宋体" w:hAnsi="宋体" w:cs="宋体"/>
          <w:sz w:val="24"/>
        </w:rPr>
      </w:pPr>
      <w:r>
        <w:rPr>
          <w:rFonts w:hint="eastAsia" w:ascii="宋体" w:hAnsi="宋体" w:cs="宋体"/>
          <w:sz w:val="24"/>
        </w:rPr>
        <w:t>25.2提交质疑书需携带以下资料：</w:t>
      </w:r>
    </w:p>
    <w:p w14:paraId="31B09248">
      <w:pPr>
        <w:spacing w:line="440" w:lineRule="exact"/>
        <w:ind w:firstLine="480" w:firstLineChars="200"/>
        <w:rPr>
          <w:rFonts w:hint="eastAsia" w:ascii="宋体" w:hAnsi="宋体" w:cs="宋体"/>
          <w:sz w:val="24"/>
        </w:rPr>
      </w:pPr>
      <w:r>
        <w:rPr>
          <w:rFonts w:hint="eastAsia" w:ascii="宋体" w:hAnsi="宋体" w:cs="宋体"/>
          <w:sz w:val="24"/>
        </w:rPr>
        <w:t>1）加盖公章的营业执照副本复印件；</w:t>
      </w:r>
    </w:p>
    <w:p w14:paraId="69153FEE">
      <w:pPr>
        <w:spacing w:line="440" w:lineRule="exact"/>
        <w:ind w:firstLine="480" w:firstLineChars="200"/>
        <w:rPr>
          <w:rFonts w:hint="eastAsia" w:ascii="宋体" w:hAnsi="宋体" w:cs="宋体"/>
          <w:sz w:val="24"/>
        </w:rPr>
      </w:pPr>
      <w:r>
        <w:rPr>
          <w:rFonts w:hint="eastAsia" w:ascii="宋体" w:hAnsi="宋体" w:cs="宋体"/>
          <w:sz w:val="24"/>
        </w:rPr>
        <w:t>2）法定代表人针对本项目的专项授权书（须经法定代表人签字并加盖法人章和单位公章）及被授权人身份证复印件（查看原件）；法定代表人提交质疑书须提交其身份证复印件（查看原件）。</w:t>
      </w:r>
    </w:p>
    <w:p w14:paraId="60F58D19">
      <w:pPr>
        <w:spacing w:line="440" w:lineRule="exact"/>
        <w:ind w:firstLine="480" w:firstLineChars="200"/>
        <w:rPr>
          <w:rFonts w:hint="eastAsia" w:ascii="宋体" w:hAnsi="宋体" w:cs="宋体"/>
          <w:sz w:val="24"/>
        </w:rPr>
      </w:pPr>
      <w:r>
        <w:rPr>
          <w:rFonts w:hint="eastAsia" w:ascii="宋体" w:hAnsi="宋体" w:cs="宋体"/>
          <w:sz w:val="24"/>
        </w:rPr>
        <w:t>3）质疑书应该包含以下主要内容：</w:t>
      </w:r>
    </w:p>
    <w:p w14:paraId="6121A7CF">
      <w:pPr>
        <w:spacing w:line="440" w:lineRule="exact"/>
        <w:ind w:firstLine="480" w:firstLineChars="200"/>
        <w:rPr>
          <w:rFonts w:hint="eastAsia" w:ascii="宋体" w:hAnsi="宋体" w:cs="宋体"/>
          <w:sz w:val="24"/>
        </w:rPr>
      </w:pPr>
      <w:r>
        <w:rPr>
          <w:rFonts w:hint="eastAsia" w:ascii="宋体" w:hAnsi="宋体" w:cs="宋体"/>
          <w:sz w:val="24"/>
        </w:rPr>
        <w:t>4）质疑供应商的基本情况信息：名称、地址、法定代表人、委托代理人、电话、邮编。</w:t>
      </w:r>
    </w:p>
    <w:p w14:paraId="501CE08B">
      <w:pPr>
        <w:spacing w:line="440" w:lineRule="exact"/>
        <w:ind w:firstLine="480" w:firstLineChars="200"/>
        <w:rPr>
          <w:rFonts w:hint="eastAsia" w:ascii="宋体" w:hAnsi="宋体" w:cs="宋体"/>
          <w:sz w:val="24"/>
        </w:rPr>
      </w:pPr>
      <w:r>
        <w:rPr>
          <w:rFonts w:hint="eastAsia" w:ascii="宋体" w:hAnsi="宋体" w:cs="宋体"/>
          <w:sz w:val="24"/>
        </w:rPr>
        <w:t>5）所质疑的政府采购项目的信息：包含采购人或者招标代理机构名称、项目名称、项目编号。</w:t>
      </w:r>
    </w:p>
    <w:p w14:paraId="328F2F4D">
      <w:pPr>
        <w:spacing w:line="440" w:lineRule="exact"/>
        <w:ind w:firstLine="480" w:firstLineChars="200"/>
        <w:rPr>
          <w:rFonts w:hint="eastAsia" w:ascii="宋体" w:hAnsi="宋体" w:cs="宋体"/>
          <w:sz w:val="24"/>
        </w:rPr>
      </w:pPr>
      <w:r>
        <w:rPr>
          <w:rFonts w:hint="eastAsia" w:ascii="宋体" w:hAnsi="宋体" w:cs="宋体"/>
          <w:sz w:val="24"/>
        </w:rPr>
        <w:t>6）具体的质疑事项。质疑事项不得超出法定范围并且与质疑供应商有利害关系。</w:t>
      </w:r>
    </w:p>
    <w:p w14:paraId="29F959FA">
      <w:pPr>
        <w:spacing w:line="440" w:lineRule="exact"/>
        <w:ind w:firstLine="480" w:firstLineChars="200"/>
        <w:rPr>
          <w:rFonts w:hint="eastAsia" w:ascii="宋体" w:hAnsi="宋体" w:cs="宋体"/>
          <w:sz w:val="24"/>
        </w:rPr>
      </w:pPr>
      <w:r>
        <w:rPr>
          <w:rFonts w:hint="eastAsia" w:ascii="宋体" w:hAnsi="宋体" w:cs="宋体"/>
          <w:sz w:val="24"/>
        </w:rPr>
        <w:t>7）明确、具体的质疑请求。</w:t>
      </w:r>
    </w:p>
    <w:p w14:paraId="4DF14E8F">
      <w:pPr>
        <w:spacing w:line="440" w:lineRule="exact"/>
        <w:ind w:firstLine="480" w:firstLineChars="200"/>
        <w:rPr>
          <w:rFonts w:hint="eastAsia" w:ascii="宋体" w:hAnsi="宋体" w:cs="宋体"/>
          <w:sz w:val="24"/>
        </w:rPr>
      </w:pPr>
      <w:r>
        <w:rPr>
          <w:rFonts w:hint="eastAsia" w:ascii="宋体" w:hAnsi="宋体" w:cs="宋体"/>
          <w:sz w:val="24"/>
        </w:rPr>
        <w:t>8）质疑所依据的事实、理由和法律依据及证明材料。</w:t>
      </w:r>
    </w:p>
    <w:p w14:paraId="62A001E9">
      <w:pPr>
        <w:spacing w:line="440" w:lineRule="exact"/>
        <w:ind w:firstLine="480" w:firstLineChars="200"/>
        <w:rPr>
          <w:rFonts w:hint="eastAsia" w:ascii="宋体" w:hAnsi="宋体" w:cs="宋体"/>
          <w:sz w:val="24"/>
        </w:rPr>
      </w:pPr>
      <w:r>
        <w:rPr>
          <w:rFonts w:hint="eastAsia" w:ascii="宋体" w:hAnsi="宋体" w:cs="宋体"/>
          <w:sz w:val="24"/>
        </w:rPr>
        <w:t>9）质疑书需要加盖质疑供应商公章并经法定代表人签字和盖章。</w:t>
      </w:r>
    </w:p>
    <w:p w14:paraId="30CD0373">
      <w:pPr>
        <w:spacing w:line="440" w:lineRule="exact"/>
        <w:ind w:firstLine="480" w:firstLineChars="200"/>
        <w:rPr>
          <w:rFonts w:hint="eastAsia" w:ascii="宋体" w:hAnsi="宋体" w:cs="宋体"/>
          <w:sz w:val="24"/>
        </w:rPr>
      </w:pPr>
      <w:r>
        <w:rPr>
          <w:rFonts w:hint="eastAsia" w:ascii="宋体" w:hAnsi="宋体" w:cs="宋体"/>
          <w:sz w:val="24"/>
        </w:rPr>
        <w:t>25.3质疑答复</w:t>
      </w:r>
    </w:p>
    <w:p w14:paraId="1F909F96">
      <w:pPr>
        <w:spacing w:line="440" w:lineRule="exact"/>
        <w:ind w:firstLine="480" w:firstLineChars="200"/>
        <w:rPr>
          <w:rFonts w:hint="eastAsia" w:ascii="宋体" w:hAnsi="宋体" w:eastAsia="宋体" w:cs="宋体"/>
          <w:sz w:val="24"/>
        </w:rPr>
      </w:pPr>
      <w:r>
        <w:rPr>
          <w:rFonts w:hint="eastAsia" w:ascii="宋体" w:hAnsi="宋体" w:eastAsia="宋体" w:cs="宋体"/>
          <w:sz w:val="24"/>
        </w:rPr>
        <w:t>采购人或招标代理机构在收到供应商的书面质疑后将按规定的时间进行回复。</w:t>
      </w:r>
    </w:p>
    <w:p w14:paraId="3086652A">
      <w:pPr>
        <w:spacing w:line="440" w:lineRule="exact"/>
        <w:ind w:firstLine="480" w:firstLineChars="200"/>
        <w:rPr>
          <w:rFonts w:hint="eastAsia" w:cs="宋体"/>
          <w:sz w:val="24"/>
          <w:lang w:val="en-US" w:eastAsia="zh-CN"/>
        </w:rPr>
      </w:pPr>
      <w:r>
        <w:rPr>
          <w:rFonts w:hint="eastAsia" w:ascii="宋体" w:hAnsi="宋体" w:eastAsia="宋体" w:cs="宋体"/>
          <w:sz w:val="24"/>
        </w:rPr>
        <w:t>质疑函递交地址：</w:t>
      </w:r>
      <w:r>
        <w:rPr>
          <w:rFonts w:hint="eastAsia" w:cs="宋体"/>
          <w:sz w:val="24"/>
          <w:lang w:eastAsia="zh-CN"/>
        </w:rPr>
        <w:t>亿诚建设项目管理有限公司</w:t>
      </w:r>
      <w:r>
        <w:rPr>
          <w:rFonts w:hint="eastAsia" w:cs="宋体"/>
          <w:sz w:val="24"/>
          <w:lang w:val="en-US" w:eastAsia="zh-CN"/>
        </w:rPr>
        <w:t xml:space="preserve">  </w:t>
      </w:r>
      <w:r>
        <w:rPr>
          <w:rFonts w:hint="eastAsia" w:ascii="宋体" w:hAnsi="宋体" w:eastAsia="宋体" w:cs="宋体"/>
          <w:sz w:val="24"/>
        </w:rPr>
        <w:t xml:space="preserve"> 联系人：</w:t>
      </w:r>
      <w:r>
        <w:rPr>
          <w:rFonts w:hint="eastAsia" w:cs="宋体"/>
          <w:sz w:val="24"/>
          <w:lang w:eastAsia="zh-CN"/>
        </w:rPr>
        <w:t>肖航</w:t>
      </w:r>
      <w:r>
        <w:rPr>
          <w:rFonts w:hint="eastAsia" w:ascii="宋体" w:hAnsi="宋体" w:eastAsia="宋体" w:cs="宋体"/>
          <w:sz w:val="24"/>
        </w:rPr>
        <w:t xml:space="preserve">      </w:t>
      </w:r>
      <w:r>
        <w:rPr>
          <w:rFonts w:hint="eastAsia" w:cs="宋体"/>
          <w:sz w:val="24"/>
          <w:lang w:val="en-US" w:eastAsia="zh-CN"/>
        </w:rPr>
        <w:t xml:space="preserve">      </w:t>
      </w:r>
    </w:p>
    <w:p w14:paraId="63AA430E">
      <w:pPr>
        <w:spacing w:line="440" w:lineRule="exact"/>
        <w:ind w:firstLine="480" w:firstLineChars="200"/>
        <w:rPr>
          <w:rFonts w:hint="eastAsia" w:ascii="宋体" w:hAnsi="宋体" w:eastAsia="宋体" w:cs="宋体"/>
          <w:sz w:val="24"/>
        </w:rPr>
      </w:pPr>
      <w:r>
        <w:rPr>
          <w:rFonts w:hint="eastAsia" w:ascii="宋体" w:hAnsi="宋体" w:eastAsia="宋体" w:cs="宋体"/>
          <w:sz w:val="24"/>
        </w:rPr>
        <w:t>联系电话：</w:t>
      </w:r>
      <w:r>
        <w:rPr>
          <w:rFonts w:hint="eastAsia" w:cs="宋体"/>
          <w:sz w:val="24"/>
          <w:lang w:val="en-US" w:eastAsia="zh-CN"/>
        </w:rPr>
        <w:t>17391332881</w:t>
      </w:r>
      <w:r>
        <w:rPr>
          <w:rFonts w:hint="eastAsia" w:ascii="宋体" w:hAnsi="宋体" w:eastAsia="宋体" w:cs="宋体"/>
          <w:sz w:val="24"/>
        </w:rPr>
        <w:t xml:space="preserve">    邮编：710000</w:t>
      </w:r>
    </w:p>
    <w:p w14:paraId="21206FEE">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26. </w:t>
      </w:r>
      <w:r>
        <w:t>其他</w:t>
      </w:r>
    </w:p>
    <w:p w14:paraId="62816265">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sz w:val="24"/>
        </w:rPr>
      </w:pPr>
      <w:r>
        <w:rPr>
          <w:rFonts w:hint="eastAsia"/>
          <w:sz w:val="24"/>
          <w:lang w:val="en-US" w:eastAsia="zh-CN"/>
        </w:rPr>
        <w:t xml:space="preserve">26.1 </w:t>
      </w:r>
      <w:r>
        <w:rPr>
          <w:sz w:val="24"/>
        </w:rPr>
        <w:t>谈判时，当全部报价均超出预算限额或均低于公认的制作成本时，谈判小</w:t>
      </w:r>
      <w:r>
        <w:rPr>
          <w:spacing w:val="-3"/>
          <w:sz w:val="24"/>
        </w:rPr>
        <w:t>组有权决定是否进行第三次报价或本次竞争性谈判失败。若第三次报价仍超预算，采</w:t>
      </w:r>
      <w:r>
        <w:rPr>
          <w:sz w:val="24"/>
        </w:rPr>
        <w:t>购单位又无力追加，谈判小组可宣布本次竞争性谈判失败。</w:t>
      </w:r>
    </w:p>
    <w:p w14:paraId="03F8D346">
      <w:pPr>
        <w:pStyle w:val="29"/>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26.2 </w:t>
      </w:r>
      <w:r>
        <w:rPr>
          <w:spacing w:val="-5"/>
          <w:sz w:val="24"/>
        </w:rPr>
        <w:t>谈判响应文件递交截止时间结束后参加谈判的供应商不足三家的，除采购任</w:t>
      </w:r>
      <w:r>
        <w:rPr>
          <w:sz w:val="24"/>
        </w:rPr>
        <w:t>务取消情形外，采购代理机构应取得采购单位同意后，按照以下原则处理：</w:t>
      </w:r>
    </w:p>
    <w:p w14:paraId="02B64EED">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68" w:firstLineChars="200"/>
        <w:jc w:val="left"/>
        <w:textAlignment w:val="auto"/>
        <w:rPr>
          <w:sz w:val="24"/>
        </w:rPr>
      </w:pPr>
      <w:r>
        <w:rPr>
          <w:rFonts w:hint="eastAsia"/>
          <w:spacing w:val="-3"/>
          <w:sz w:val="24"/>
          <w:lang w:eastAsia="zh-CN"/>
        </w:rPr>
        <w:t>（</w:t>
      </w:r>
      <w:r>
        <w:rPr>
          <w:rFonts w:hint="eastAsia"/>
          <w:spacing w:val="-3"/>
          <w:sz w:val="24"/>
          <w:lang w:val="en-US" w:eastAsia="zh-CN"/>
        </w:rPr>
        <w:t>1</w:t>
      </w:r>
      <w:r>
        <w:rPr>
          <w:rFonts w:hint="eastAsia"/>
          <w:spacing w:val="-3"/>
          <w:sz w:val="24"/>
          <w:lang w:eastAsia="zh-CN"/>
        </w:rPr>
        <w:t>）</w:t>
      </w:r>
      <w:r>
        <w:rPr>
          <w:spacing w:val="-3"/>
          <w:sz w:val="24"/>
        </w:rPr>
        <w:t xml:space="preserve">竞争性谈判文件没有不合理条款、竞争性谈判公告时间及程序符合规定的， </w:t>
      </w:r>
      <w:r>
        <w:rPr>
          <w:sz w:val="24"/>
        </w:rPr>
        <w:t>同意继续进行竞争性谈判或改用其它方式采购。</w:t>
      </w:r>
    </w:p>
    <w:p w14:paraId="0BF283A7">
      <w:pPr>
        <w:pStyle w:val="29"/>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竞争性谈判文件存在不合理条款的，谈判程序不符合规定的，应按无效处理，并责成采购代理机构依法重新组织谈判工作。</w:t>
      </w:r>
    </w:p>
    <w:p w14:paraId="7F300D6F">
      <w:pPr>
        <w:pStyle w:val="29"/>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sz w:val="24"/>
        </w:rPr>
      </w:pPr>
      <w:r>
        <w:rPr>
          <w:rFonts w:hint="eastAsia"/>
          <w:sz w:val="24"/>
          <w:lang w:val="en-US" w:eastAsia="zh-CN"/>
        </w:rPr>
        <w:t xml:space="preserve">26.3 </w:t>
      </w:r>
      <w:r>
        <w:rPr>
          <w:sz w:val="24"/>
        </w:rPr>
        <w:t>拒绝商业贿赂</w:t>
      </w:r>
    </w:p>
    <w:p w14:paraId="7DFFFF9C">
      <w:pPr>
        <w:pStyle w:val="11"/>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pPr>
      <w:r>
        <w:t>供应商必须填写一份《拒绝政府采购领域商业贿赂承诺书》（格式见第五章）编制在谈判响应文件中。</w:t>
      </w:r>
    </w:p>
    <w:p w14:paraId="742E2610">
      <w:pPr>
        <w:pStyle w:val="16"/>
      </w:pPr>
    </w:p>
    <w:p w14:paraId="589CEF76">
      <w:pPr>
        <w:pStyle w:val="16"/>
      </w:pPr>
    </w:p>
    <w:p w14:paraId="20210A9F">
      <w:pPr>
        <w:pStyle w:val="16"/>
      </w:pPr>
    </w:p>
    <w:p w14:paraId="3FEA63F7">
      <w:pPr>
        <w:pStyle w:val="16"/>
      </w:pPr>
    </w:p>
    <w:p w14:paraId="1350753C">
      <w:pPr>
        <w:pStyle w:val="16"/>
      </w:pPr>
    </w:p>
    <w:p w14:paraId="4A23DD53">
      <w:pPr>
        <w:pStyle w:val="16"/>
      </w:pPr>
    </w:p>
    <w:p w14:paraId="18B43E0B">
      <w:pPr>
        <w:pStyle w:val="16"/>
      </w:pPr>
    </w:p>
    <w:p w14:paraId="747F0049">
      <w:pPr>
        <w:pStyle w:val="16"/>
      </w:pPr>
    </w:p>
    <w:p w14:paraId="7B2291D8">
      <w:pPr>
        <w:pStyle w:val="16"/>
      </w:pPr>
    </w:p>
    <w:p w14:paraId="4BA07B31">
      <w:pPr>
        <w:pStyle w:val="16"/>
      </w:pPr>
    </w:p>
    <w:p w14:paraId="0E0A6E26">
      <w:pPr>
        <w:pStyle w:val="16"/>
      </w:pPr>
    </w:p>
    <w:p w14:paraId="5F60C726">
      <w:pPr>
        <w:pStyle w:val="16"/>
      </w:pPr>
    </w:p>
    <w:p w14:paraId="4A6F1718">
      <w:pPr>
        <w:pStyle w:val="16"/>
      </w:pPr>
    </w:p>
    <w:p w14:paraId="73DA9647">
      <w:pPr>
        <w:pStyle w:val="16"/>
      </w:pPr>
    </w:p>
    <w:p w14:paraId="37F339DD">
      <w:pPr>
        <w:pStyle w:val="16"/>
      </w:pPr>
    </w:p>
    <w:p w14:paraId="002E2119">
      <w:pPr>
        <w:pStyle w:val="16"/>
      </w:pPr>
    </w:p>
    <w:p w14:paraId="67C0A71D">
      <w:pPr>
        <w:pStyle w:val="16"/>
      </w:pPr>
    </w:p>
    <w:p w14:paraId="7F5AAD18">
      <w:pPr>
        <w:pStyle w:val="16"/>
      </w:pPr>
    </w:p>
    <w:p w14:paraId="63CA988C">
      <w:pPr>
        <w:pStyle w:val="16"/>
      </w:pPr>
    </w:p>
    <w:p w14:paraId="5456803C">
      <w:pPr>
        <w:pStyle w:val="16"/>
      </w:pPr>
    </w:p>
    <w:p w14:paraId="03F0A987">
      <w:pPr>
        <w:pStyle w:val="16"/>
      </w:pPr>
    </w:p>
    <w:p w14:paraId="591F9CB2">
      <w:pPr>
        <w:pStyle w:val="16"/>
      </w:pPr>
    </w:p>
    <w:p w14:paraId="75AA545F">
      <w:pPr>
        <w:pStyle w:val="16"/>
      </w:pPr>
    </w:p>
    <w:p w14:paraId="75296D1B">
      <w:pPr>
        <w:pStyle w:val="16"/>
      </w:pPr>
    </w:p>
    <w:p w14:paraId="4E2782DE">
      <w:pPr>
        <w:pStyle w:val="16"/>
      </w:pPr>
    </w:p>
    <w:p w14:paraId="6E11E7D8">
      <w:pPr>
        <w:pStyle w:val="16"/>
      </w:pPr>
    </w:p>
    <w:p w14:paraId="4B0CCF46">
      <w:pPr>
        <w:pStyle w:val="16"/>
      </w:pPr>
    </w:p>
    <w:p w14:paraId="6F5C248D">
      <w:pPr>
        <w:pStyle w:val="16"/>
      </w:pPr>
    </w:p>
    <w:p w14:paraId="213EF414">
      <w:pPr>
        <w:pStyle w:val="16"/>
      </w:pPr>
    </w:p>
    <w:p w14:paraId="01312273">
      <w:pPr>
        <w:pStyle w:val="16"/>
      </w:pPr>
    </w:p>
    <w:p w14:paraId="1CD318E8">
      <w:pPr>
        <w:pStyle w:val="16"/>
      </w:pPr>
    </w:p>
    <w:p w14:paraId="3433F363">
      <w:pPr>
        <w:pStyle w:val="16"/>
      </w:pPr>
    </w:p>
    <w:p w14:paraId="2C2B4BD7">
      <w:pPr>
        <w:pStyle w:val="16"/>
      </w:pPr>
    </w:p>
    <w:p w14:paraId="77BB528F">
      <w:pPr>
        <w:pStyle w:val="16"/>
      </w:pPr>
    </w:p>
    <w:p w14:paraId="6D2776AA">
      <w:pPr>
        <w:pStyle w:val="16"/>
      </w:pPr>
    </w:p>
    <w:p w14:paraId="70157607">
      <w:pPr>
        <w:pStyle w:val="16"/>
      </w:pPr>
    </w:p>
    <w:p w14:paraId="7A53474E">
      <w:pPr>
        <w:pStyle w:val="16"/>
      </w:pPr>
    </w:p>
    <w:p w14:paraId="2E58E7EB">
      <w:pPr>
        <w:pStyle w:val="16"/>
      </w:pPr>
    </w:p>
    <w:p w14:paraId="1EE11CBD">
      <w:pPr>
        <w:pStyle w:val="16"/>
        <w:shd w:val="clear"/>
      </w:pPr>
    </w:p>
    <w:p w14:paraId="25B7EFB0">
      <w:pPr>
        <w:pStyle w:val="3"/>
        <w:shd w:val="clear"/>
        <w:tabs>
          <w:tab w:val="left" w:pos="1283"/>
        </w:tabs>
        <w:spacing w:before="33"/>
        <w:ind w:left="0" w:right="82"/>
        <w:jc w:val="center"/>
      </w:pPr>
      <w:r>
        <w:t>第三章</w:t>
      </w:r>
      <w:r>
        <w:tab/>
      </w:r>
      <w:r>
        <w:t>采购内容及</w:t>
      </w:r>
      <w:r>
        <w:rPr>
          <w:rFonts w:hint="eastAsia"/>
          <w:lang w:eastAsia="zh-CN"/>
        </w:rPr>
        <w:t>技术</w:t>
      </w:r>
      <w:r>
        <w:t>要求</w:t>
      </w:r>
    </w:p>
    <w:p w14:paraId="615A78F6">
      <w:pPr>
        <w:pStyle w:val="3"/>
        <w:shd w:val="clear"/>
        <w:tabs>
          <w:tab w:val="left" w:pos="1283"/>
        </w:tabs>
        <w:spacing w:before="33"/>
        <w:ind w:left="0" w:right="82"/>
        <w:jc w:val="both"/>
        <w:rPr>
          <w:rFonts w:hint="eastAsia" w:ascii="宋体" w:hAnsi="宋体" w:eastAsia="宋体" w:cs="宋体"/>
          <w:lang w:val="zh-CN" w:eastAsia="zh-CN"/>
        </w:rPr>
      </w:pPr>
    </w:p>
    <w:p w14:paraId="0335B414">
      <w:pPr>
        <w:jc w:val="center"/>
        <w:rPr>
          <w:rFonts w:hint="eastAsia" w:ascii="方正小标宋简体" w:hAnsi="方正小标宋简体" w:eastAsia="方正小标宋简体" w:cs="方正小标宋简体"/>
          <w:b/>
          <w:bCs/>
          <w:kern w:val="0"/>
          <w:sz w:val="40"/>
          <w:szCs w:val="40"/>
          <w:lang w:eastAsia="zh-CN"/>
        </w:rPr>
      </w:pPr>
      <w:r>
        <w:rPr>
          <w:rFonts w:hint="eastAsia" w:ascii="方正小标宋简体" w:hAnsi="方正小标宋简体" w:eastAsia="方正小标宋简体" w:cs="方正小标宋简体"/>
          <w:b/>
          <w:bCs/>
          <w:kern w:val="0"/>
          <w:sz w:val="40"/>
          <w:szCs w:val="40"/>
          <w:lang w:eastAsia="zh-CN"/>
        </w:rPr>
        <w:t>石泉县职业技术教育中心消防三年攻坚整改项目</w:t>
      </w:r>
    </w:p>
    <w:p w14:paraId="66FACFFF">
      <w:pPr>
        <w:jc w:val="center"/>
        <w:rPr>
          <w:rFonts w:hint="eastAsia" w:ascii="方正小标宋简体" w:hAnsi="方正小标宋简体" w:eastAsia="方正小标宋简体" w:cs="方正小标宋简体"/>
          <w:b/>
          <w:bCs/>
          <w:kern w:val="0"/>
          <w:sz w:val="40"/>
          <w:szCs w:val="40"/>
        </w:rPr>
      </w:pPr>
      <w:r>
        <w:rPr>
          <w:rFonts w:hint="eastAsia" w:ascii="方正小标宋简体" w:hAnsi="方正小标宋简体" w:eastAsia="方正小标宋简体" w:cs="方正小标宋简体"/>
          <w:b/>
          <w:bCs/>
          <w:kern w:val="0"/>
          <w:sz w:val="40"/>
          <w:szCs w:val="40"/>
        </w:rPr>
        <w:t>编制说明</w:t>
      </w:r>
    </w:p>
    <w:p w14:paraId="64BE5186">
      <w:pPr>
        <w:keepNext w:val="0"/>
        <w:keepLines w:val="0"/>
        <w:pageBreakBefore w:val="0"/>
        <w:numPr>
          <w:ilvl w:val="0"/>
          <w:numId w:val="0"/>
        </w:numPr>
        <w:kinsoku/>
        <w:wordWrap/>
        <w:overflowPunct/>
        <w:topLinePunct w:val="0"/>
        <w:autoSpaceDE/>
        <w:autoSpaceDN/>
        <w:bidi w:val="0"/>
        <w:spacing w:line="576" w:lineRule="exact"/>
        <w:ind w:left="0" w:leftChars="0" w:right="0" w:rightChars="0" w:firstLine="643" w:firstLineChars="200"/>
        <w:textAlignment w:val="auto"/>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一、工程概况</w:t>
      </w:r>
    </w:p>
    <w:p w14:paraId="2C5DC2C2">
      <w:pPr>
        <w:autoSpaceDE/>
        <w:autoSpaceDN/>
        <w:spacing w:before="0" w:after="0" w:line="204" w:lineRule="auto"/>
        <w:ind w:left="0" w:right="0" w:firstLine="640"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石泉县职业技术教育中心消防三年攻坚整改项目，位于石泉县职业技术教育中心。项目主要工程内容为：石泉县职业技术教育中心消防改造等内容。具体内容详见设计图纸及工程量清单。</w:t>
      </w:r>
    </w:p>
    <w:p w14:paraId="4F27B436">
      <w:pPr>
        <w:keepNext w:val="0"/>
        <w:keepLines w:val="0"/>
        <w:pageBreakBefore w:val="0"/>
        <w:numPr>
          <w:ilvl w:val="0"/>
          <w:numId w:val="0"/>
        </w:numPr>
        <w:kinsoku/>
        <w:wordWrap/>
        <w:overflowPunct/>
        <w:topLinePunct w:val="0"/>
        <w:autoSpaceDE/>
        <w:autoSpaceDN/>
        <w:bidi w:val="0"/>
        <w:spacing w:line="576" w:lineRule="exact"/>
        <w:ind w:left="0" w:leftChars="0" w:right="0" w:rightChars="0" w:firstLine="643" w:firstLineChars="200"/>
        <w:textAlignment w:val="auto"/>
        <w:rPr>
          <w:rFonts w:hint="eastAsia" w:eastAsia="仿宋_GB2312" w:cs="Times New Roman"/>
          <w:b/>
          <w:kern w:val="0"/>
          <w:sz w:val="32"/>
          <w:szCs w:val="32"/>
          <w:lang w:val="en-US" w:eastAsia="zh-CN"/>
        </w:rPr>
      </w:pPr>
      <w:r>
        <w:rPr>
          <w:rFonts w:hint="eastAsia" w:eastAsia="仿宋_GB2312" w:cs="Times New Roman"/>
          <w:b/>
          <w:kern w:val="0"/>
          <w:sz w:val="32"/>
          <w:szCs w:val="32"/>
          <w:lang w:val="en-US" w:eastAsia="zh-CN" w:bidi="zh-CN"/>
        </w:rPr>
        <w:t>二</w:t>
      </w:r>
      <w:r>
        <w:rPr>
          <w:rFonts w:hint="eastAsia" w:ascii="宋体" w:hAnsi="宋体" w:eastAsia="仿宋_GB2312" w:cs="Times New Roman"/>
          <w:b/>
          <w:kern w:val="0"/>
          <w:sz w:val="32"/>
          <w:szCs w:val="32"/>
          <w:lang w:val="en-US" w:eastAsia="zh-CN" w:bidi="zh-CN"/>
        </w:rPr>
        <w:t>、</w:t>
      </w:r>
      <w:r>
        <w:rPr>
          <w:rFonts w:hint="default" w:ascii="Times New Roman" w:hAnsi="Times New Roman" w:eastAsia="仿宋_GB2312" w:cs="Times New Roman"/>
          <w:b/>
          <w:kern w:val="0"/>
          <w:sz w:val="32"/>
          <w:szCs w:val="32"/>
        </w:rPr>
        <w:t>编制依据</w:t>
      </w:r>
      <w:r>
        <w:rPr>
          <w:rFonts w:hint="eastAsia" w:eastAsia="仿宋_GB2312" w:cs="Times New Roman"/>
          <w:b/>
          <w:kern w:val="0"/>
          <w:sz w:val="32"/>
          <w:szCs w:val="32"/>
          <w:lang w:val="en-US" w:eastAsia="zh-CN"/>
        </w:rPr>
        <w:t xml:space="preserve"> </w:t>
      </w:r>
    </w:p>
    <w:p w14:paraId="648AF2F3">
      <w:pPr>
        <w:keepNext w:val="0"/>
        <w:keepLines w:val="0"/>
        <w:pageBreakBefore w:val="0"/>
        <w:kinsoku/>
        <w:wordWrap/>
        <w:overflowPunct/>
        <w:topLinePunct w:val="0"/>
        <w:autoSpaceDE/>
        <w:autoSpaceDN/>
        <w:bidi w:val="0"/>
        <w:spacing w:line="576" w:lineRule="exact"/>
        <w:ind w:firstLine="643" w:firstLineChars="200"/>
        <w:textAlignment w:val="auto"/>
        <w:rPr>
          <w:rFonts w:hint="eastAsia" w:ascii="Times New Roman" w:hAnsi="Times New Roman" w:eastAsia="仿宋_GB2312" w:cs="Times New Roman"/>
          <w:bCs/>
          <w:kern w:val="0"/>
          <w:sz w:val="32"/>
          <w:szCs w:val="32"/>
          <w:lang w:val="en-US" w:eastAsia="zh-CN"/>
        </w:rPr>
      </w:pPr>
      <w:r>
        <w:rPr>
          <w:rFonts w:hint="eastAsia" w:eastAsia="仿宋_GB2312" w:cs="Times New Roman"/>
          <w:b/>
          <w:kern w:val="0"/>
          <w:sz w:val="32"/>
          <w:szCs w:val="32"/>
          <w:lang w:val="en-US" w:eastAsia="zh-CN"/>
        </w:rPr>
        <w:t>1</w:t>
      </w:r>
      <w:r>
        <w:rPr>
          <w:rFonts w:hint="eastAsia" w:ascii="Times New Roman" w:hAnsi="Times New Roman" w:eastAsia="仿宋_GB2312" w:cs="Times New Roman"/>
          <w:bCs/>
          <w:kern w:val="0"/>
          <w:sz w:val="32"/>
          <w:szCs w:val="32"/>
          <w:lang w:val="en-US" w:eastAsia="zh-CN"/>
        </w:rPr>
        <w:t>、 本项目设计图纸及业主方确认的计算范围；</w:t>
      </w:r>
    </w:p>
    <w:p w14:paraId="2830C062">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lang w:val="en-US" w:eastAsia="zh-CN"/>
        </w:rPr>
      </w:pPr>
      <w:r>
        <w:rPr>
          <w:rFonts w:hint="eastAsia" w:ascii="Times New Roman" w:hAnsi="Times New Roman" w:eastAsia="仿宋_GB2312" w:cs="Times New Roman"/>
          <w:bCs/>
          <w:kern w:val="0"/>
          <w:sz w:val="32"/>
          <w:szCs w:val="32"/>
          <w:lang w:val="en-US" w:eastAsia="zh-CN"/>
        </w:rPr>
        <w:t>2、《陕西省建设工程工程量清单计价计算标准》（2025）；</w:t>
      </w:r>
    </w:p>
    <w:p w14:paraId="4F4D1D18">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val="en-US" w:eastAsia="zh-CN"/>
        </w:rPr>
        <w:t>3</w:t>
      </w:r>
      <w:r>
        <w:rPr>
          <w:rFonts w:hint="default" w:ascii="Times New Roman" w:hAnsi="Times New Roman" w:eastAsia="仿宋_GB2312" w:cs="Times New Roman"/>
          <w:bCs/>
          <w:kern w:val="0"/>
          <w:sz w:val="32"/>
          <w:szCs w:val="32"/>
        </w:rPr>
        <w:t>、《陕西省建设工程</w:t>
      </w:r>
      <w:r>
        <w:rPr>
          <w:rFonts w:hint="eastAsia" w:eastAsia="仿宋_GB2312" w:cs="Times New Roman"/>
          <w:bCs/>
          <w:kern w:val="0"/>
          <w:sz w:val="32"/>
          <w:szCs w:val="32"/>
          <w:lang w:eastAsia="zh-CN"/>
        </w:rPr>
        <w:t>费用</w:t>
      </w:r>
      <w:r>
        <w:rPr>
          <w:rFonts w:hint="default" w:ascii="Times New Roman" w:hAnsi="Times New Roman" w:eastAsia="仿宋_GB2312" w:cs="Times New Roman"/>
          <w:bCs/>
          <w:kern w:val="0"/>
          <w:sz w:val="32"/>
          <w:szCs w:val="32"/>
        </w:rPr>
        <w:t>规则》</w:t>
      </w:r>
      <w:r>
        <w:rPr>
          <w:rFonts w:hint="eastAsia" w:eastAsia="仿宋_GB2312" w:cs="Times New Roman"/>
          <w:bCs/>
          <w:kern w:val="0"/>
          <w:sz w:val="32"/>
          <w:szCs w:val="32"/>
          <w:lang w:eastAsia="zh-CN"/>
        </w:rPr>
        <w:t>（</w:t>
      </w:r>
      <w:r>
        <w:rPr>
          <w:rFonts w:hint="eastAsia" w:eastAsia="仿宋_GB2312" w:cs="Times New Roman"/>
          <w:bCs/>
          <w:kern w:val="0"/>
          <w:sz w:val="32"/>
          <w:szCs w:val="32"/>
          <w:lang w:val="en-US" w:eastAsia="zh-CN"/>
        </w:rPr>
        <w:t>2025</w:t>
      </w:r>
      <w:r>
        <w:rPr>
          <w:rFonts w:hint="eastAsia" w:eastAsia="仿宋_GB2312" w:cs="Times New Roman"/>
          <w:bCs/>
          <w:kern w:val="0"/>
          <w:sz w:val="32"/>
          <w:szCs w:val="32"/>
          <w:lang w:eastAsia="zh-CN"/>
        </w:rPr>
        <w:t>）</w:t>
      </w:r>
      <w:r>
        <w:rPr>
          <w:rFonts w:hint="default" w:ascii="Times New Roman" w:hAnsi="Times New Roman" w:eastAsia="仿宋_GB2312" w:cs="Times New Roman"/>
          <w:bCs/>
          <w:kern w:val="0"/>
          <w:sz w:val="32"/>
          <w:szCs w:val="32"/>
        </w:rPr>
        <w:t>；</w:t>
      </w:r>
    </w:p>
    <w:p w14:paraId="0F091B99">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4</w:t>
      </w:r>
      <w:r>
        <w:rPr>
          <w:rFonts w:hint="default" w:ascii="Times New Roman" w:hAnsi="Times New Roman" w:eastAsia="仿宋_GB2312" w:cs="Times New Roman"/>
          <w:bCs/>
          <w:kern w:val="0"/>
          <w:sz w:val="32"/>
          <w:szCs w:val="32"/>
        </w:rPr>
        <w:t>、《陕西省</w:t>
      </w:r>
      <w:r>
        <w:rPr>
          <w:rFonts w:hint="eastAsia" w:eastAsia="仿宋_GB2312" w:cs="Times New Roman"/>
          <w:bCs/>
          <w:kern w:val="0"/>
          <w:sz w:val="32"/>
          <w:szCs w:val="32"/>
          <w:lang w:eastAsia="zh-CN"/>
        </w:rPr>
        <w:t>房屋建筑与</w:t>
      </w:r>
      <w:r>
        <w:rPr>
          <w:rFonts w:hint="default" w:ascii="Times New Roman" w:hAnsi="Times New Roman" w:eastAsia="仿宋_GB2312" w:cs="Times New Roman"/>
          <w:bCs/>
          <w:kern w:val="0"/>
          <w:sz w:val="32"/>
          <w:szCs w:val="32"/>
        </w:rPr>
        <w:t>装饰工程消耗量定额》（20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3BB9F717">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5</w:t>
      </w:r>
      <w:r>
        <w:rPr>
          <w:rFonts w:hint="default" w:ascii="Times New Roman" w:hAnsi="Times New Roman" w:eastAsia="仿宋_GB2312" w:cs="Times New Roman"/>
          <w:bCs/>
          <w:kern w:val="0"/>
          <w:sz w:val="32"/>
          <w:szCs w:val="32"/>
        </w:rPr>
        <w:t>、《陕西省</w:t>
      </w:r>
      <w:r>
        <w:rPr>
          <w:rFonts w:hint="eastAsia" w:eastAsia="仿宋_GB2312" w:cs="Times New Roman"/>
          <w:bCs/>
          <w:kern w:val="0"/>
          <w:sz w:val="32"/>
          <w:szCs w:val="32"/>
          <w:lang w:eastAsia="zh-CN"/>
        </w:rPr>
        <w:t>房屋建筑与</w:t>
      </w:r>
      <w:r>
        <w:rPr>
          <w:rFonts w:hint="default" w:ascii="Times New Roman" w:hAnsi="Times New Roman" w:eastAsia="仿宋_GB2312" w:cs="Times New Roman"/>
          <w:bCs/>
          <w:kern w:val="0"/>
          <w:sz w:val="32"/>
          <w:szCs w:val="32"/>
        </w:rPr>
        <w:t>装饰工程</w:t>
      </w:r>
      <w:r>
        <w:rPr>
          <w:rFonts w:hint="eastAsia" w:eastAsia="仿宋_GB2312" w:cs="Times New Roman"/>
          <w:bCs/>
          <w:kern w:val="0"/>
          <w:sz w:val="32"/>
          <w:szCs w:val="32"/>
          <w:lang w:eastAsia="zh-CN"/>
        </w:rPr>
        <w:t>基价</w:t>
      </w:r>
      <w:r>
        <w:rPr>
          <w:rFonts w:hint="default" w:ascii="Times New Roman" w:hAnsi="Times New Roman" w:eastAsia="仿宋_GB2312" w:cs="Times New Roman"/>
          <w:bCs/>
          <w:kern w:val="0"/>
          <w:sz w:val="32"/>
          <w:szCs w:val="32"/>
        </w:rPr>
        <w:t>表》（20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00B1E1D0">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6</w:t>
      </w:r>
      <w:r>
        <w:rPr>
          <w:rFonts w:hint="default" w:ascii="Times New Roman" w:hAnsi="Times New Roman" w:eastAsia="仿宋_GB2312" w:cs="Times New Roman"/>
          <w:bCs/>
          <w:kern w:val="0"/>
          <w:sz w:val="32"/>
          <w:szCs w:val="32"/>
          <w:lang w:val="en-US" w:eastAsia="zh-CN"/>
        </w:rPr>
        <w:t>、</w:t>
      </w:r>
      <w:r>
        <w:rPr>
          <w:rFonts w:hint="default" w:ascii="Times New Roman" w:hAnsi="Times New Roman" w:eastAsia="仿宋_GB2312" w:cs="Times New Roman"/>
          <w:bCs/>
          <w:kern w:val="0"/>
          <w:sz w:val="32"/>
          <w:szCs w:val="32"/>
        </w:rPr>
        <w:t>《陕西省</w:t>
      </w:r>
      <w:r>
        <w:rPr>
          <w:rFonts w:hint="default" w:ascii="Times New Roman" w:hAnsi="Times New Roman" w:eastAsia="仿宋_GB2312" w:cs="Times New Roman"/>
          <w:bCs/>
          <w:kern w:val="0"/>
          <w:sz w:val="32"/>
          <w:szCs w:val="32"/>
          <w:lang w:eastAsia="zh-CN"/>
        </w:rPr>
        <w:t>市政</w:t>
      </w:r>
      <w:r>
        <w:rPr>
          <w:rFonts w:hint="default" w:ascii="Times New Roman" w:hAnsi="Times New Roman" w:eastAsia="仿宋_GB2312" w:cs="Times New Roman"/>
          <w:bCs/>
          <w:kern w:val="0"/>
          <w:sz w:val="32"/>
          <w:szCs w:val="32"/>
        </w:rPr>
        <w:t>工程消耗量定额》（20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03AF5D66">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7</w:t>
      </w:r>
      <w:r>
        <w:rPr>
          <w:rFonts w:hint="default" w:ascii="Times New Roman" w:hAnsi="Times New Roman" w:eastAsia="仿宋_GB2312" w:cs="Times New Roman"/>
          <w:bCs/>
          <w:kern w:val="0"/>
          <w:sz w:val="32"/>
          <w:szCs w:val="32"/>
        </w:rPr>
        <w:t>、《陕西省</w:t>
      </w:r>
      <w:r>
        <w:rPr>
          <w:rFonts w:hint="default" w:ascii="Times New Roman" w:hAnsi="Times New Roman" w:eastAsia="仿宋_GB2312" w:cs="Times New Roman"/>
          <w:bCs/>
          <w:kern w:val="0"/>
          <w:sz w:val="32"/>
          <w:szCs w:val="32"/>
          <w:lang w:eastAsia="zh-CN"/>
        </w:rPr>
        <w:t>市政</w:t>
      </w:r>
      <w:r>
        <w:rPr>
          <w:rFonts w:hint="default" w:ascii="Times New Roman" w:hAnsi="Times New Roman" w:eastAsia="仿宋_GB2312" w:cs="Times New Roman"/>
          <w:bCs/>
          <w:kern w:val="0"/>
          <w:sz w:val="32"/>
          <w:szCs w:val="32"/>
        </w:rPr>
        <w:t>工程</w:t>
      </w:r>
      <w:r>
        <w:rPr>
          <w:rFonts w:hint="eastAsia" w:eastAsia="仿宋_GB2312" w:cs="Times New Roman"/>
          <w:bCs/>
          <w:kern w:val="0"/>
          <w:sz w:val="32"/>
          <w:szCs w:val="32"/>
          <w:lang w:eastAsia="zh-CN"/>
        </w:rPr>
        <w:t>基价</w:t>
      </w:r>
      <w:r>
        <w:rPr>
          <w:rFonts w:hint="default" w:ascii="Times New Roman" w:hAnsi="Times New Roman" w:eastAsia="仿宋_GB2312" w:cs="Times New Roman"/>
          <w:bCs/>
          <w:kern w:val="0"/>
          <w:sz w:val="32"/>
          <w:szCs w:val="32"/>
        </w:rPr>
        <w:t>表》（</w:t>
      </w:r>
      <w:r>
        <w:rPr>
          <w:rFonts w:hint="eastAsia" w:eastAsia="仿宋_GB2312" w:cs="Times New Roman"/>
          <w:bCs/>
          <w:kern w:val="0"/>
          <w:sz w:val="32"/>
          <w:szCs w:val="32"/>
          <w:lang w:val="en-US" w:eastAsia="zh-CN"/>
        </w:rPr>
        <w:t xml:space="preserve"> </w:t>
      </w:r>
      <w:r>
        <w:rPr>
          <w:rFonts w:hint="default" w:ascii="Times New Roman" w:hAnsi="Times New Roman" w:eastAsia="仿宋_GB2312" w:cs="Times New Roman"/>
          <w:bCs/>
          <w:kern w:val="0"/>
          <w:sz w:val="32"/>
          <w:szCs w:val="32"/>
        </w:rPr>
        <w:t>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198FBE57">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8</w:t>
      </w:r>
      <w:r>
        <w:rPr>
          <w:rFonts w:hint="default" w:ascii="Times New Roman" w:hAnsi="Times New Roman" w:eastAsia="仿宋_GB2312" w:cs="Times New Roman"/>
          <w:bCs/>
          <w:kern w:val="0"/>
          <w:sz w:val="32"/>
          <w:szCs w:val="32"/>
          <w:lang w:val="en-US" w:eastAsia="zh-CN"/>
        </w:rPr>
        <w:t>、</w:t>
      </w:r>
      <w:r>
        <w:rPr>
          <w:rFonts w:hint="default" w:ascii="Times New Roman" w:hAnsi="Times New Roman" w:eastAsia="仿宋_GB2312" w:cs="Times New Roman"/>
          <w:bCs/>
          <w:kern w:val="0"/>
          <w:sz w:val="32"/>
          <w:szCs w:val="32"/>
        </w:rPr>
        <w:t>《陕西省</w:t>
      </w:r>
      <w:r>
        <w:rPr>
          <w:rFonts w:hint="default" w:ascii="Times New Roman" w:hAnsi="Times New Roman" w:eastAsia="仿宋_GB2312" w:cs="Times New Roman"/>
          <w:bCs/>
          <w:kern w:val="0"/>
          <w:sz w:val="32"/>
          <w:szCs w:val="32"/>
          <w:lang w:eastAsia="zh-CN"/>
        </w:rPr>
        <w:t>园林绿化</w:t>
      </w:r>
      <w:r>
        <w:rPr>
          <w:rFonts w:hint="default" w:ascii="Times New Roman" w:hAnsi="Times New Roman" w:eastAsia="仿宋_GB2312" w:cs="Times New Roman"/>
          <w:bCs/>
          <w:kern w:val="0"/>
          <w:sz w:val="32"/>
          <w:szCs w:val="32"/>
        </w:rPr>
        <w:t>工程消耗量定额》（20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2A8C42E4">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9</w:t>
      </w:r>
      <w:r>
        <w:rPr>
          <w:rFonts w:hint="default" w:ascii="Times New Roman" w:hAnsi="Times New Roman" w:eastAsia="仿宋_GB2312" w:cs="Times New Roman"/>
          <w:bCs/>
          <w:kern w:val="0"/>
          <w:sz w:val="32"/>
          <w:szCs w:val="32"/>
        </w:rPr>
        <w:t>、《陕西省</w:t>
      </w:r>
      <w:r>
        <w:rPr>
          <w:rFonts w:hint="default" w:ascii="Times New Roman" w:hAnsi="Times New Roman" w:eastAsia="仿宋_GB2312" w:cs="Times New Roman"/>
          <w:bCs/>
          <w:kern w:val="0"/>
          <w:sz w:val="32"/>
          <w:szCs w:val="32"/>
          <w:lang w:eastAsia="zh-CN"/>
        </w:rPr>
        <w:t>园林绿化</w:t>
      </w:r>
      <w:r>
        <w:rPr>
          <w:rFonts w:hint="default" w:ascii="Times New Roman" w:hAnsi="Times New Roman" w:eastAsia="仿宋_GB2312" w:cs="Times New Roman"/>
          <w:bCs/>
          <w:kern w:val="0"/>
          <w:sz w:val="32"/>
          <w:szCs w:val="32"/>
        </w:rPr>
        <w:t>工程</w:t>
      </w:r>
      <w:r>
        <w:rPr>
          <w:rFonts w:hint="eastAsia" w:eastAsia="仿宋_GB2312" w:cs="Times New Roman"/>
          <w:bCs/>
          <w:kern w:val="0"/>
          <w:sz w:val="32"/>
          <w:szCs w:val="32"/>
          <w:lang w:eastAsia="zh-CN"/>
        </w:rPr>
        <w:t>基价</w:t>
      </w:r>
      <w:r>
        <w:rPr>
          <w:rFonts w:hint="default" w:ascii="Times New Roman" w:hAnsi="Times New Roman" w:eastAsia="仿宋_GB2312" w:cs="Times New Roman"/>
          <w:bCs/>
          <w:kern w:val="0"/>
          <w:sz w:val="32"/>
          <w:szCs w:val="32"/>
        </w:rPr>
        <w:t>表》（</w:t>
      </w:r>
      <w:r>
        <w:rPr>
          <w:rFonts w:hint="eastAsia" w:eastAsia="仿宋_GB2312" w:cs="Times New Roman"/>
          <w:bCs/>
          <w:kern w:val="0"/>
          <w:sz w:val="32"/>
          <w:szCs w:val="32"/>
          <w:lang w:val="en-US" w:eastAsia="zh-CN"/>
        </w:rPr>
        <w:t xml:space="preserve"> </w:t>
      </w:r>
      <w:r>
        <w:rPr>
          <w:rFonts w:hint="default" w:ascii="Times New Roman" w:hAnsi="Times New Roman" w:eastAsia="仿宋_GB2312" w:cs="Times New Roman"/>
          <w:bCs/>
          <w:kern w:val="0"/>
          <w:sz w:val="32"/>
          <w:szCs w:val="32"/>
        </w:rPr>
        <w:t>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7B615824">
      <w:pPr>
        <w:keepNext w:val="0"/>
        <w:keepLines w:val="0"/>
        <w:pageBreakBefore w:val="0"/>
        <w:kinsoku/>
        <w:wordWrap/>
        <w:overflowPunct/>
        <w:topLinePunct w:val="0"/>
        <w:autoSpaceDE/>
        <w:autoSpaceDN/>
        <w:bidi w:val="0"/>
        <w:spacing w:line="576" w:lineRule="exact"/>
        <w:ind w:firstLine="640" w:firstLineChars="200"/>
        <w:textAlignment w:val="auto"/>
        <w:rPr>
          <w:rFonts w:hint="eastAsia" w:eastAsia="仿宋_GB2312" w:cs="Times New Roman"/>
          <w:bCs/>
          <w:kern w:val="0"/>
          <w:sz w:val="32"/>
          <w:szCs w:val="32"/>
          <w:lang w:val="en-US" w:eastAsia="zh-CN"/>
        </w:rPr>
      </w:pPr>
      <w:r>
        <w:rPr>
          <w:rFonts w:hint="eastAsia" w:eastAsia="仿宋_GB2312" w:cs="Times New Roman"/>
          <w:bCs/>
          <w:kern w:val="0"/>
          <w:sz w:val="32"/>
          <w:szCs w:val="32"/>
          <w:lang w:val="en-US" w:eastAsia="zh-CN"/>
        </w:rPr>
        <w:t>10、《陕西省通用安装工程消耗量定额》（2025）</w:t>
      </w:r>
    </w:p>
    <w:p w14:paraId="55CF1B49">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11、</w:t>
      </w:r>
      <w:r>
        <w:rPr>
          <w:rFonts w:hint="default" w:ascii="Times New Roman" w:hAnsi="Times New Roman" w:eastAsia="仿宋_GB2312" w:cs="Times New Roman"/>
          <w:bCs/>
          <w:kern w:val="0"/>
          <w:sz w:val="32"/>
          <w:szCs w:val="32"/>
        </w:rPr>
        <w:t>《陕西省</w:t>
      </w:r>
      <w:r>
        <w:rPr>
          <w:rFonts w:hint="eastAsia" w:eastAsia="仿宋_GB2312" w:cs="Times New Roman"/>
          <w:bCs/>
          <w:kern w:val="0"/>
          <w:sz w:val="32"/>
          <w:szCs w:val="32"/>
          <w:lang w:eastAsia="zh-CN"/>
        </w:rPr>
        <w:t>通用安装</w:t>
      </w:r>
      <w:r>
        <w:rPr>
          <w:rFonts w:hint="default" w:ascii="Times New Roman" w:hAnsi="Times New Roman" w:eastAsia="仿宋_GB2312" w:cs="Times New Roman"/>
          <w:bCs/>
          <w:kern w:val="0"/>
          <w:sz w:val="32"/>
          <w:szCs w:val="32"/>
        </w:rPr>
        <w:t>工程</w:t>
      </w:r>
      <w:r>
        <w:rPr>
          <w:rFonts w:hint="eastAsia" w:eastAsia="仿宋_GB2312" w:cs="Times New Roman"/>
          <w:bCs/>
          <w:kern w:val="0"/>
          <w:sz w:val="32"/>
          <w:szCs w:val="32"/>
          <w:lang w:eastAsia="zh-CN"/>
        </w:rPr>
        <w:t>基价</w:t>
      </w:r>
      <w:r>
        <w:rPr>
          <w:rFonts w:hint="default" w:ascii="Times New Roman" w:hAnsi="Times New Roman" w:eastAsia="仿宋_GB2312" w:cs="Times New Roman"/>
          <w:bCs/>
          <w:kern w:val="0"/>
          <w:sz w:val="32"/>
          <w:szCs w:val="32"/>
        </w:rPr>
        <w:t>表》（</w:t>
      </w:r>
      <w:r>
        <w:rPr>
          <w:rFonts w:hint="eastAsia" w:eastAsia="仿宋_GB2312" w:cs="Times New Roman"/>
          <w:bCs/>
          <w:kern w:val="0"/>
          <w:sz w:val="32"/>
          <w:szCs w:val="32"/>
          <w:lang w:val="en-US" w:eastAsia="zh-CN"/>
        </w:rPr>
        <w:t xml:space="preserve"> </w:t>
      </w:r>
      <w:r>
        <w:rPr>
          <w:rFonts w:hint="default" w:ascii="Times New Roman" w:hAnsi="Times New Roman" w:eastAsia="仿宋_GB2312" w:cs="Times New Roman"/>
          <w:bCs/>
          <w:kern w:val="0"/>
          <w:sz w:val="32"/>
          <w:szCs w:val="32"/>
        </w:rPr>
        <w:t>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0EFFA47D">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val="en-US" w:eastAsia="zh-CN"/>
        </w:rPr>
      </w:pPr>
      <w:r>
        <w:rPr>
          <w:rFonts w:hint="eastAsia" w:eastAsia="仿宋_GB2312" w:cs="Times New Roman"/>
          <w:bCs/>
          <w:kern w:val="0"/>
          <w:sz w:val="32"/>
          <w:szCs w:val="32"/>
          <w:lang w:val="en-US" w:eastAsia="zh-CN"/>
        </w:rPr>
        <w:t>12、《陕西省建设工程施工机械台班费用定额》（2025）；</w:t>
      </w:r>
    </w:p>
    <w:p w14:paraId="4C44D2E2">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r>
        <w:rPr>
          <w:rFonts w:hint="eastAsia" w:eastAsia="仿宋_GB2312" w:cs="Times New Roman"/>
          <w:bCs/>
          <w:kern w:val="0"/>
          <w:sz w:val="32"/>
          <w:szCs w:val="32"/>
          <w:lang w:val="en-US" w:eastAsia="zh-CN"/>
        </w:rPr>
        <w:t>13</w:t>
      </w:r>
      <w:r>
        <w:rPr>
          <w:rFonts w:hint="default" w:ascii="Times New Roman" w:hAnsi="Times New Roman" w:eastAsia="仿宋_GB2312" w:cs="Times New Roman"/>
          <w:bCs/>
          <w:kern w:val="0"/>
          <w:sz w:val="32"/>
          <w:szCs w:val="32"/>
        </w:rPr>
        <w:t>、</w:t>
      </w:r>
      <w:r>
        <w:rPr>
          <w:rFonts w:hint="eastAsia" w:eastAsia="仿宋_GB2312" w:cs="Times New Roman"/>
          <w:bCs/>
          <w:kern w:val="0"/>
          <w:sz w:val="32"/>
          <w:szCs w:val="32"/>
          <w:lang w:eastAsia="zh-CN"/>
        </w:rPr>
        <w:t>专业工程综合工种基期人工工日单价按下表执行</w:t>
      </w:r>
    </w:p>
    <w:p w14:paraId="5B4F3015">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r>
        <w:drawing>
          <wp:anchor distT="0" distB="0" distL="114300" distR="114300" simplePos="0" relativeHeight="251665408" behindDoc="0" locked="0" layoutInCell="1" allowOverlap="1">
            <wp:simplePos x="0" y="0"/>
            <wp:positionH relativeFrom="column">
              <wp:posOffset>774065</wp:posOffset>
            </wp:positionH>
            <wp:positionV relativeFrom="paragraph">
              <wp:posOffset>83820</wp:posOffset>
            </wp:positionV>
            <wp:extent cx="4562475" cy="1115060"/>
            <wp:effectExtent l="0" t="0" r="9525" b="12700"/>
            <wp:wrapNone/>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20"/>
                    <a:stretch>
                      <a:fillRect/>
                    </a:stretch>
                  </pic:blipFill>
                  <pic:spPr>
                    <a:xfrm>
                      <a:off x="0" y="0"/>
                      <a:ext cx="4562475" cy="1115060"/>
                    </a:xfrm>
                    <a:prstGeom prst="rect">
                      <a:avLst/>
                    </a:prstGeom>
                    <a:noFill/>
                    <a:ln>
                      <a:noFill/>
                    </a:ln>
                  </pic:spPr>
                </pic:pic>
              </a:graphicData>
            </a:graphic>
          </wp:anchor>
        </w:drawing>
      </w:r>
    </w:p>
    <w:p w14:paraId="643EF476">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p>
    <w:p w14:paraId="29A2C6C2">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p>
    <w:p w14:paraId="4CA045D2">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14</w:t>
      </w:r>
      <w:r>
        <w:rPr>
          <w:rFonts w:hint="default" w:ascii="Times New Roman" w:hAnsi="Times New Roman" w:eastAsia="仿宋_GB2312" w:cs="Times New Roman"/>
          <w:bCs/>
          <w:kern w:val="0"/>
          <w:sz w:val="32"/>
          <w:szCs w:val="32"/>
        </w:rPr>
        <w:t>、</w:t>
      </w:r>
      <w:r>
        <w:rPr>
          <w:rFonts w:hint="default" w:ascii="Times New Roman" w:hAnsi="Times New Roman" w:eastAsia="仿宋_GB2312" w:cs="Times New Roman"/>
          <w:kern w:val="0"/>
          <w:sz w:val="32"/>
          <w:szCs w:val="32"/>
        </w:rPr>
        <w:t>相关规范及图集；</w:t>
      </w:r>
    </w:p>
    <w:p w14:paraId="1E2FFEC1">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lang w:val="en-US" w:eastAsia="zh-CN"/>
        </w:rPr>
        <w:t>1</w:t>
      </w:r>
      <w:r>
        <w:rPr>
          <w:rFonts w:hint="eastAsia" w:eastAsia="仿宋_GB2312" w:cs="Times New Roman"/>
          <w:bCs/>
          <w:kern w:val="0"/>
          <w:sz w:val="32"/>
          <w:szCs w:val="32"/>
          <w:lang w:val="en-US" w:eastAsia="zh-CN"/>
        </w:rPr>
        <w:t>5</w:t>
      </w:r>
      <w:r>
        <w:rPr>
          <w:rFonts w:hint="default" w:ascii="Times New Roman" w:hAnsi="Times New Roman" w:eastAsia="仿宋_GB2312" w:cs="Times New Roman"/>
          <w:bCs/>
          <w:kern w:val="0"/>
          <w:sz w:val="32"/>
          <w:szCs w:val="32"/>
        </w:rPr>
        <w:t>、</w:t>
      </w:r>
      <w:r>
        <w:rPr>
          <w:rFonts w:hint="default" w:ascii="Times New Roman" w:hAnsi="Times New Roman" w:eastAsia="仿宋_GB2312" w:cs="Times New Roman"/>
          <w:kern w:val="0"/>
          <w:sz w:val="32"/>
          <w:szCs w:val="32"/>
          <w:lang w:eastAsia="zh-CN"/>
        </w:rPr>
        <w:t>安康市</w:t>
      </w:r>
      <w:r>
        <w:rPr>
          <w:rFonts w:hint="default" w:ascii="Times New Roman" w:hAnsi="Times New Roman" w:eastAsia="仿宋_GB2312" w:cs="Times New Roman"/>
          <w:kern w:val="0"/>
          <w:sz w:val="32"/>
          <w:szCs w:val="32"/>
        </w:rPr>
        <w:t>工程造价管理信息工程材料价格表20</w:t>
      </w:r>
      <w:r>
        <w:rPr>
          <w:rFonts w:hint="eastAsia" w:eastAsia="仿宋_GB2312" w:cs="Times New Roman"/>
          <w:kern w:val="0"/>
          <w:sz w:val="32"/>
          <w:szCs w:val="32"/>
          <w:lang w:val="en-US" w:eastAsia="zh-CN"/>
        </w:rPr>
        <w:t>25</w:t>
      </w:r>
      <w:r>
        <w:rPr>
          <w:rFonts w:hint="default" w:ascii="Times New Roman" w:hAnsi="Times New Roman" w:eastAsia="仿宋_GB2312" w:cs="Times New Roman"/>
          <w:kern w:val="0"/>
          <w:sz w:val="32"/>
          <w:szCs w:val="32"/>
        </w:rPr>
        <w:t>年第</w:t>
      </w:r>
      <w:r>
        <w:rPr>
          <w:rFonts w:hint="eastAsia" w:eastAsia="仿宋_GB2312" w:cs="Times New Roman"/>
          <w:kern w:val="0"/>
          <w:sz w:val="32"/>
          <w:szCs w:val="32"/>
          <w:lang w:val="en-US" w:eastAsia="zh-CN"/>
        </w:rPr>
        <w:t>6</w:t>
      </w:r>
      <w:r>
        <w:rPr>
          <w:rFonts w:hint="default" w:ascii="Times New Roman" w:hAnsi="Times New Roman" w:eastAsia="仿宋_GB2312" w:cs="Times New Roman"/>
          <w:kern w:val="0"/>
          <w:sz w:val="32"/>
          <w:szCs w:val="32"/>
        </w:rPr>
        <w:t>期及市场调查价</w:t>
      </w:r>
      <w:r>
        <w:rPr>
          <w:rFonts w:hint="default" w:ascii="Times New Roman" w:hAnsi="Times New Roman" w:eastAsia="仿宋_GB2312" w:cs="Times New Roman"/>
          <w:bCs/>
          <w:kern w:val="0"/>
          <w:sz w:val="32"/>
          <w:szCs w:val="32"/>
        </w:rPr>
        <w:t>；</w:t>
      </w:r>
    </w:p>
    <w:p w14:paraId="54E04153">
      <w:pPr>
        <w:keepNext w:val="0"/>
        <w:keepLines w:val="0"/>
        <w:pageBreakBefore w:val="0"/>
        <w:kinsoku/>
        <w:wordWrap/>
        <w:overflowPunct/>
        <w:topLinePunct w:val="0"/>
        <w:autoSpaceDE/>
        <w:autoSpaceDN/>
        <w:bidi w:val="0"/>
        <w:adjustRightInd w:val="0"/>
        <w:snapToGrid w:val="0"/>
        <w:spacing w:line="576" w:lineRule="exact"/>
        <w:ind w:right="-64" w:rightChars="-29"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rPr>
        <w:t>1</w:t>
      </w:r>
      <w:r>
        <w:rPr>
          <w:rFonts w:hint="eastAsia"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、正常施工组织设计及施工方法</w:t>
      </w:r>
      <w:r>
        <w:rPr>
          <w:rFonts w:hint="default" w:ascii="Times New Roman" w:hAnsi="Times New Roman" w:eastAsia="仿宋_GB2312" w:cs="Times New Roman"/>
          <w:kern w:val="0"/>
          <w:sz w:val="32"/>
          <w:szCs w:val="32"/>
          <w:lang w:eastAsia="zh-CN"/>
        </w:rPr>
        <w:t>。</w:t>
      </w:r>
    </w:p>
    <w:p w14:paraId="365403DB">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
          <w:kern w:val="0"/>
          <w:sz w:val="32"/>
          <w:szCs w:val="32"/>
        </w:rPr>
      </w:pPr>
      <w:r>
        <w:rPr>
          <w:rFonts w:hint="default" w:ascii="Times New Roman" w:hAnsi="Times New Roman" w:eastAsia="仿宋_GB2312" w:cs="Times New Roman"/>
          <w:kern w:val="0"/>
          <w:sz w:val="32"/>
          <w:szCs w:val="32"/>
        </w:rPr>
        <w:t>三、</w:t>
      </w:r>
      <w:r>
        <w:rPr>
          <w:rFonts w:hint="default" w:ascii="Times New Roman" w:hAnsi="Times New Roman" w:eastAsia="仿宋_GB2312" w:cs="Times New Roman"/>
          <w:b/>
          <w:kern w:val="0"/>
          <w:sz w:val="32"/>
          <w:szCs w:val="32"/>
        </w:rPr>
        <w:t>详细说明</w:t>
      </w:r>
    </w:p>
    <w:p w14:paraId="3E4FBC14">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清单描述为主要施工做法，清单与图纸不一致时，以清单描述为准，具体做法详见图纸及相关规范、图集；</w:t>
      </w:r>
    </w:p>
    <w:p w14:paraId="53452BF5">
      <w:pPr>
        <w:keepNext w:val="0"/>
        <w:keepLines w:val="0"/>
        <w:pageBreakBefore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四、其他说明</w:t>
      </w:r>
    </w:p>
    <w:p w14:paraId="1CA0796C">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kern w:val="0"/>
          <w:sz w:val="32"/>
          <w:szCs w:val="32"/>
          <w:lang w:eastAsia="zh-CN"/>
        </w:rPr>
        <w:t>、</w:t>
      </w:r>
      <w:r>
        <w:rPr>
          <w:rFonts w:hint="eastAsia" w:eastAsia="仿宋_GB2312" w:cs="Times New Roman"/>
          <w:kern w:val="0"/>
          <w:sz w:val="32"/>
          <w:szCs w:val="32"/>
          <w:lang w:eastAsia="zh-CN"/>
        </w:rPr>
        <w:t>质量等级：合格；</w:t>
      </w:r>
    </w:p>
    <w:p w14:paraId="4A1E992E">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kern w:val="0"/>
          <w:sz w:val="32"/>
          <w:szCs w:val="32"/>
        </w:rPr>
      </w:pPr>
      <w:r>
        <w:rPr>
          <w:rFonts w:hint="eastAsia" w:eastAsia="仿宋_GB2312" w:cs="Times New Roman"/>
          <w:kern w:val="0"/>
          <w:sz w:val="32"/>
          <w:szCs w:val="32"/>
          <w:lang w:val="en-US" w:eastAsia="zh-CN"/>
        </w:rPr>
        <w:t>2、</w:t>
      </w:r>
      <w:r>
        <w:rPr>
          <w:rFonts w:hint="default" w:ascii="Times New Roman" w:hAnsi="Times New Roman" w:eastAsia="仿宋_GB2312" w:cs="Times New Roman"/>
          <w:kern w:val="0"/>
          <w:sz w:val="32"/>
          <w:szCs w:val="32"/>
        </w:rPr>
        <w:t>本项目</w:t>
      </w:r>
      <w:r>
        <w:rPr>
          <w:rFonts w:hint="eastAsia" w:eastAsia="仿宋_GB2312" w:cs="Times New Roman"/>
          <w:kern w:val="0"/>
          <w:sz w:val="32"/>
          <w:szCs w:val="32"/>
          <w:lang w:eastAsia="zh-CN"/>
        </w:rPr>
        <w:t>预算</w:t>
      </w:r>
      <w:r>
        <w:rPr>
          <w:rFonts w:hint="default" w:ascii="Times New Roman" w:hAnsi="Times New Roman" w:eastAsia="仿宋_GB2312" w:cs="Times New Roman"/>
          <w:kern w:val="0"/>
          <w:sz w:val="32"/>
          <w:szCs w:val="32"/>
        </w:rPr>
        <w:t>采用</w:t>
      </w:r>
      <w:r>
        <w:rPr>
          <w:rFonts w:hint="eastAsia" w:eastAsia="仿宋_GB2312" w:cs="Times New Roman"/>
          <w:kern w:val="0"/>
          <w:sz w:val="32"/>
          <w:szCs w:val="32"/>
          <w:lang w:eastAsia="zh-CN"/>
        </w:rPr>
        <w:t>广联达软件</w:t>
      </w:r>
      <w:r>
        <w:rPr>
          <w:rFonts w:hint="eastAsia" w:eastAsia="仿宋_GB2312" w:cs="Times New Roman"/>
          <w:kern w:val="0"/>
          <w:sz w:val="32"/>
          <w:szCs w:val="32"/>
          <w:lang w:val="en-US" w:eastAsia="zh-CN"/>
        </w:rPr>
        <w:t>GBQ7.0</w:t>
      </w:r>
      <w:r>
        <w:rPr>
          <w:rFonts w:hint="default" w:ascii="Times New Roman" w:hAnsi="Times New Roman" w:eastAsia="仿宋_GB2312" w:cs="Times New Roman"/>
          <w:kern w:val="0"/>
          <w:sz w:val="32"/>
          <w:szCs w:val="32"/>
        </w:rPr>
        <w:t>编制。</w:t>
      </w:r>
    </w:p>
    <w:p w14:paraId="70DF2785">
      <w:pPr>
        <w:rPr>
          <w:rFonts w:hint="eastAsia" w:ascii="宋体" w:hAnsi="宋体" w:eastAsia="宋体" w:cs="宋体"/>
          <w:lang w:val="zh-CN" w:eastAsia="zh-CN"/>
        </w:rPr>
      </w:pPr>
    </w:p>
    <w:p w14:paraId="0E717BD2">
      <w:pPr>
        <w:rPr>
          <w:rFonts w:hint="eastAsia" w:ascii="宋体" w:hAnsi="宋体" w:eastAsia="宋体" w:cs="宋体"/>
          <w:lang w:val="zh-CN" w:eastAsia="zh-CN"/>
        </w:rPr>
      </w:pPr>
    </w:p>
    <w:p w14:paraId="6E78D2ED">
      <w:pPr>
        <w:rPr>
          <w:rFonts w:hint="eastAsia" w:ascii="宋体" w:hAnsi="宋体" w:eastAsia="宋体" w:cs="宋体"/>
          <w:lang w:val="zh-CN" w:eastAsia="zh-CN"/>
        </w:rPr>
      </w:pPr>
    </w:p>
    <w:p w14:paraId="51865DF2">
      <w:pPr>
        <w:rPr>
          <w:rFonts w:hint="eastAsia" w:ascii="宋体" w:hAnsi="宋体" w:eastAsia="宋体" w:cs="宋体"/>
          <w:lang w:val="zh-CN" w:eastAsia="zh-CN"/>
        </w:rPr>
      </w:pPr>
    </w:p>
    <w:p w14:paraId="72153818">
      <w:pPr>
        <w:rPr>
          <w:rFonts w:hint="eastAsia" w:ascii="宋体" w:hAnsi="宋体" w:eastAsia="宋体" w:cs="宋体"/>
          <w:lang w:val="zh-CN" w:eastAsia="zh-CN"/>
        </w:rPr>
      </w:pPr>
    </w:p>
    <w:p w14:paraId="58A33561">
      <w:pPr>
        <w:rPr>
          <w:rFonts w:hint="eastAsia" w:ascii="宋体" w:hAnsi="宋体" w:eastAsia="宋体" w:cs="宋体"/>
          <w:lang w:val="zh-CN" w:eastAsia="zh-CN"/>
        </w:rPr>
      </w:pPr>
    </w:p>
    <w:p w14:paraId="18111001">
      <w:pPr>
        <w:rPr>
          <w:rFonts w:hint="eastAsia" w:ascii="宋体" w:hAnsi="宋体" w:eastAsia="宋体" w:cs="宋体"/>
          <w:lang w:val="zh-CN" w:eastAsia="zh-CN"/>
        </w:rPr>
      </w:pPr>
    </w:p>
    <w:p w14:paraId="7BDA15D6">
      <w:pPr>
        <w:rPr>
          <w:rFonts w:hint="eastAsia" w:ascii="宋体" w:hAnsi="宋体" w:eastAsia="宋体" w:cs="宋体"/>
          <w:lang w:val="zh-CN" w:eastAsia="zh-CN"/>
        </w:rPr>
      </w:pPr>
    </w:p>
    <w:p w14:paraId="1BF5E0C7">
      <w:pPr>
        <w:rPr>
          <w:rFonts w:hint="eastAsia" w:ascii="宋体" w:hAnsi="宋体" w:eastAsia="宋体" w:cs="宋体"/>
          <w:lang w:val="zh-CN" w:eastAsia="zh-CN"/>
        </w:rPr>
      </w:pPr>
    </w:p>
    <w:p w14:paraId="31D2F804">
      <w:pPr>
        <w:rPr>
          <w:rFonts w:hint="eastAsia" w:ascii="宋体" w:hAnsi="宋体" w:eastAsia="宋体" w:cs="宋体"/>
          <w:lang w:val="zh-CN" w:eastAsia="zh-CN"/>
        </w:rPr>
      </w:pPr>
    </w:p>
    <w:p w14:paraId="0968D74E">
      <w:pPr>
        <w:rPr>
          <w:rFonts w:hint="eastAsia" w:ascii="宋体" w:hAnsi="宋体" w:eastAsia="宋体" w:cs="宋体"/>
          <w:lang w:val="zh-CN" w:eastAsia="zh-CN"/>
        </w:rPr>
      </w:pPr>
    </w:p>
    <w:p w14:paraId="4F626940">
      <w:pPr>
        <w:rPr>
          <w:rFonts w:hint="eastAsia" w:ascii="宋体" w:hAnsi="宋体" w:eastAsia="宋体" w:cs="宋体"/>
          <w:lang w:val="zh-CN" w:eastAsia="zh-CN"/>
        </w:rPr>
      </w:pPr>
    </w:p>
    <w:p w14:paraId="37421C8A">
      <w:pPr>
        <w:rPr>
          <w:rFonts w:hint="eastAsia" w:ascii="宋体" w:hAnsi="宋体" w:eastAsia="宋体" w:cs="宋体"/>
          <w:lang w:val="zh-CN" w:eastAsia="zh-CN"/>
        </w:rPr>
      </w:pPr>
    </w:p>
    <w:p w14:paraId="5BD15D16">
      <w:pPr>
        <w:rPr>
          <w:rFonts w:hint="eastAsia" w:ascii="宋体" w:hAnsi="宋体" w:eastAsia="宋体" w:cs="宋体"/>
          <w:lang w:val="zh-CN" w:eastAsia="zh-CN"/>
        </w:rPr>
      </w:pPr>
    </w:p>
    <w:p w14:paraId="4B2E2992">
      <w:pPr>
        <w:rPr>
          <w:rFonts w:hint="eastAsia" w:ascii="宋体" w:hAnsi="宋体" w:eastAsia="宋体" w:cs="宋体"/>
          <w:lang w:val="zh-CN" w:eastAsia="zh-CN"/>
        </w:rPr>
      </w:pPr>
    </w:p>
    <w:p w14:paraId="266A17DD">
      <w:pPr>
        <w:rPr>
          <w:rFonts w:hint="eastAsia" w:ascii="宋体" w:hAnsi="宋体" w:eastAsia="宋体" w:cs="宋体"/>
          <w:lang w:val="zh-CN" w:eastAsia="zh-CN"/>
        </w:rPr>
      </w:pPr>
    </w:p>
    <w:p w14:paraId="21F88D8F">
      <w:pPr>
        <w:rPr>
          <w:rFonts w:hint="eastAsia" w:ascii="宋体" w:hAnsi="宋体" w:eastAsia="宋体" w:cs="宋体"/>
          <w:lang w:val="zh-CN" w:eastAsia="zh-CN"/>
        </w:rPr>
      </w:pPr>
    </w:p>
    <w:p w14:paraId="3F06B373">
      <w:pPr>
        <w:rPr>
          <w:rFonts w:hint="eastAsia" w:ascii="宋体" w:hAnsi="宋体" w:eastAsia="宋体" w:cs="宋体"/>
          <w:lang w:val="zh-CN" w:eastAsia="zh-CN"/>
        </w:rPr>
      </w:pPr>
    </w:p>
    <w:p w14:paraId="2A135081">
      <w:pPr>
        <w:rPr>
          <w:rFonts w:hint="eastAsia" w:ascii="宋体" w:hAnsi="宋体" w:eastAsia="宋体" w:cs="宋体"/>
          <w:lang w:val="zh-CN" w:eastAsia="zh-CN"/>
        </w:rPr>
      </w:pPr>
    </w:p>
    <w:p w14:paraId="4ACDFDED">
      <w:pPr>
        <w:rPr>
          <w:rFonts w:hint="eastAsia" w:ascii="宋体" w:hAnsi="宋体" w:eastAsia="宋体" w:cs="宋体"/>
          <w:lang w:val="zh-CN" w:eastAsia="zh-CN"/>
        </w:rPr>
      </w:pPr>
    </w:p>
    <w:p w14:paraId="208C65CA">
      <w:pPr>
        <w:rPr>
          <w:rFonts w:hint="eastAsia" w:ascii="宋体" w:hAnsi="宋体" w:eastAsia="宋体" w:cs="宋体"/>
          <w:lang w:val="zh-CN" w:eastAsia="zh-CN"/>
        </w:rPr>
      </w:pPr>
    </w:p>
    <w:p w14:paraId="66CAE177">
      <w:pPr>
        <w:rPr>
          <w:rFonts w:hint="eastAsia" w:ascii="宋体" w:hAnsi="宋体" w:eastAsia="宋体" w:cs="宋体"/>
          <w:lang w:val="zh-CN" w:eastAsia="zh-CN"/>
        </w:rPr>
      </w:pPr>
    </w:p>
    <w:p w14:paraId="4E974DE5">
      <w:pPr>
        <w:rPr>
          <w:rFonts w:hint="eastAsia" w:ascii="宋体" w:hAnsi="宋体" w:eastAsia="宋体" w:cs="宋体"/>
          <w:lang w:val="zh-CN" w:eastAsia="zh-CN"/>
        </w:rPr>
      </w:pPr>
    </w:p>
    <w:p w14:paraId="0D6916B9">
      <w:pPr>
        <w:rPr>
          <w:rFonts w:hint="eastAsia" w:ascii="宋体" w:hAnsi="宋体" w:eastAsia="宋体" w:cs="宋体"/>
          <w:lang w:val="zh-CN" w:eastAsia="zh-CN"/>
        </w:rPr>
      </w:pPr>
    </w:p>
    <w:p w14:paraId="32431878">
      <w:pPr>
        <w:pStyle w:val="3"/>
        <w:tabs>
          <w:tab w:val="left" w:pos="1283"/>
        </w:tabs>
        <w:spacing w:before="33"/>
        <w:ind w:left="0" w:right="82"/>
        <w:jc w:val="center"/>
        <w:rPr>
          <w:rFonts w:hint="eastAsia" w:ascii="宋体" w:hAnsi="宋体" w:eastAsia="宋体" w:cs="宋体"/>
          <w:lang w:val="zh-CN" w:eastAsia="zh-CN"/>
        </w:rPr>
      </w:pPr>
    </w:p>
    <w:p w14:paraId="644B2573">
      <w:pPr>
        <w:pStyle w:val="3"/>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drawing>
          <wp:inline distT="0" distB="0" distL="114300" distR="114300">
            <wp:extent cx="6187440" cy="8757285"/>
            <wp:effectExtent l="0" t="0" r="0" b="5715"/>
            <wp:docPr id="51" name="图片 51" descr="（工程量清单）石泉县职业技术教育中心消防三年攻坚整改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工程量清单）石泉县职业技术教育中心消防三年攻坚整改项目_01"/>
                    <pic:cNvPicPr>
                      <a:picLocks noChangeAspect="1"/>
                    </pic:cNvPicPr>
                  </pic:nvPicPr>
                  <pic:blipFill>
                    <a:blip r:embed="rId21"/>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50" name="图片 50" descr="（工程量清单）石泉县职业技术教育中心消防三年攻坚整改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工程量清单）石泉县职业技术教育中心消防三年攻坚整改项目_02"/>
                    <pic:cNvPicPr>
                      <a:picLocks noChangeAspect="1"/>
                    </pic:cNvPicPr>
                  </pic:nvPicPr>
                  <pic:blipFill>
                    <a:blip r:embed="rId22"/>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9" name="图片 49" descr="（工程量清单）石泉县职业技术教育中心消防三年攻坚整改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工程量清单）石泉县职业技术教育中心消防三年攻坚整改项目_03"/>
                    <pic:cNvPicPr>
                      <a:picLocks noChangeAspect="1"/>
                    </pic:cNvPicPr>
                  </pic:nvPicPr>
                  <pic:blipFill>
                    <a:blip r:embed="rId23"/>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8" name="图片 48" descr="（工程量清单）石泉县职业技术教育中心消防三年攻坚整改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工程量清单）石泉县职业技术教育中心消防三年攻坚整改项目_04"/>
                    <pic:cNvPicPr>
                      <a:picLocks noChangeAspect="1"/>
                    </pic:cNvPicPr>
                  </pic:nvPicPr>
                  <pic:blipFill>
                    <a:blip r:embed="rId24"/>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7" name="图片 47" descr="（工程量清单）石泉县职业技术教育中心消防三年攻坚整改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工程量清单）石泉县职业技术教育中心消防三年攻坚整改项目_05"/>
                    <pic:cNvPicPr>
                      <a:picLocks noChangeAspect="1"/>
                    </pic:cNvPicPr>
                  </pic:nvPicPr>
                  <pic:blipFill>
                    <a:blip r:embed="rId25"/>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6" name="图片 46" descr="（工程量清单）石泉县职业技术教育中心消防三年攻坚整改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工程量清单）石泉县职业技术教育中心消防三年攻坚整改项目_06"/>
                    <pic:cNvPicPr>
                      <a:picLocks noChangeAspect="1"/>
                    </pic:cNvPicPr>
                  </pic:nvPicPr>
                  <pic:blipFill>
                    <a:blip r:embed="rId26"/>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5" name="图片 45" descr="（工程量清单）石泉县职业技术教育中心消防三年攻坚整改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工程量清单）石泉县职业技术教育中心消防三年攻坚整改项目_07"/>
                    <pic:cNvPicPr>
                      <a:picLocks noChangeAspect="1"/>
                    </pic:cNvPicPr>
                  </pic:nvPicPr>
                  <pic:blipFill>
                    <a:blip r:embed="rId27"/>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4" name="图片 44" descr="（工程量清单）石泉县职业技术教育中心消防三年攻坚整改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工程量清单）石泉县职业技术教育中心消防三年攻坚整改项目_08"/>
                    <pic:cNvPicPr>
                      <a:picLocks noChangeAspect="1"/>
                    </pic:cNvPicPr>
                  </pic:nvPicPr>
                  <pic:blipFill>
                    <a:blip r:embed="rId28"/>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3" name="图片 43" descr="（工程量清单）石泉县职业技术教育中心消防三年攻坚整改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工程量清单）石泉县职业技术教育中心消防三年攻坚整改项目_09"/>
                    <pic:cNvPicPr>
                      <a:picLocks noChangeAspect="1"/>
                    </pic:cNvPicPr>
                  </pic:nvPicPr>
                  <pic:blipFill>
                    <a:blip r:embed="rId29"/>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2" name="图片 42" descr="（工程量清单）石泉县职业技术教育中心消防三年攻坚整改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工程量清单）石泉县职业技术教育中心消防三年攻坚整改项目_10"/>
                    <pic:cNvPicPr>
                      <a:picLocks noChangeAspect="1"/>
                    </pic:cNvPicPr>
                  </pic:nvPicPr>
                  <pic:blipFill>
                    <a:blip r:embed="rId30"/>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1" name="图片 41" descr="（工程量清单）石泉县职业技术教育中心消防三年攻坚整改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工程量清单）石泉县职业技术教育中心消防三年攻坚整改项目_11"/>
                    <pic:cNvPicPr>
                      <a:picLocks noChangeAspect="1"/>
                    </pic:cNvPicPr>
                  </pic:nvPicPr>
                  <pic:blipFill>
                    <a:blip r:embed="rId31"/>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40" name="图片 40" descr="（工程量清单）石泉县职业技术教育中心消防三年攻坚整改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工程量清单）石泉县职业技术教育中心消防三年攻坚整改项目_12"/>
                    <pic:cNvPicPr>
                      <a:picLocks noChangeAspect="1"/>
                    </pic:cNvPicPr>
                  </pic:nvPicPr>
                  <pic:blipFill>
                    <a:blip r:embed="rId32"/>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39" name="图片 39" descr="（工程量清单）石泉县职业技术教育中心消防三年攻坚整改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工程量清单）石泉县职业技术教育中心消防三年攻坚整改项目_13"/>
                    <pic:cNvPicPr>
                      <a:picLocks noChangeAspect="1"/>
                    </pic:cNvPicPr>
                  </pic:nvPicPr>
                  <pic:blipFill>
                    <a:blip r:embed="rId33"/>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38" name="图片 38" descr="（工程量清单）石泉县职业技术教育中心消防三年攻坚整改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工程量清单）石泉县职业技术教育中心消防三年攻坚整改项目_14"/>
                    <pic:cNvPicPr>
                      <a:picLocks noChangeAspect="1"/>
                    </pic:cNvPicPr>
                  </pic:nvPicPr>
                  <pic:blipFill>
                    <a:blip r:embed="rId34"/>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37" name="图片 37" descr="（工程量清单）石泉县职业技术教育中心消防三年攻坚整改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工程量清单）石泉县职业技术教育中心消防三年攻坚整改项目_15"/>
                    <pic:cNvPicPr>
                      <a:picLocks noChangeAspect="1"/>
                    </pic:cNvPicPr>
                  </pic:nvPicPr>
                  <pic:blipFill>
                    <a:blip r:embed="rId35"/>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36" name="图片 36" descr="（工程量清单）石泉县职业技术教育中心消防三年攻坚整改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工程量清单）石泉县职业技术教育中心消防三年攻坚整改项目_16"/>
                    <pic:cNvPicPr>
                      <a:picLocks noChangeAspect="1"/>
                    </pic:cNvPicPr>
                  </pic:nvPicPr>
                  <pic:blipFill>
                    <a:blip r:embed="rId36"/>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9" name="图片 29" descr="（工程量清单）石泉县职业技术教育中心消防三年攻坚整改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工程量清单）石泉县职业技术教育中心消防三年攻坚整改项目_17"/>
                    <pic:cNvPicPr>
                      <a:picLocks noChangeAspect="1"/>
                    </pic:cNvPicPr>
                  </pic:nvPicPr>
                  <pic:blipFill>
                    <a:blip r:embed="rId37"/>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8" name="图片 28" descr="（工程量清单）石泉县职业技术教育中心消防三年攻坚整改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程量清单）石泉县职业技术教育中心消防三年攻坚整改项目_18"/>
                    <pic:cNvPicPr>
                      <a:picLocks noChangeAspect="1"/>
                    </pic:cNvPicPr>
                  </pic:nvPicPr>
                  <pic:blipFill>
                    <a:blip r:embed="rId38"/>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7" name="图片 27" descr="（工程量清单）石泉县职业技术教育中心消防三年攻坚整改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程量清单）石泉县职业技术教育中心消防三年攻坚整改项目_19"/>
                    <pic:cNvPicPr>
                      <a:picLocks noChangeAspect="1"/>
                    </pic:cNvPicPr>
                  </pic:nvPicPr>
                  <pic:blipFill>
                    <a:blip r:embed="rId39"/>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6" name="图片 26" descr="（工程量清单）石泉县职业技术教育中心消防三年攻坚整改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程量清单）石泉县职业技术教育中心消防三年攻坚整改项目_20"/>
                    <pic:cNvPicPr>
                      <a:picLocks noChangeAspect="1"/>
                    </pic:cNvPicPr>
                  </pic:nvPicPr>
                  <pic:blipFill>
                    <a:blip r:embed="rId40"/>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5" name="图片 25" descr="（工程量清单）石泉县职业技术教育中心消防三年攻坚整改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工程量清单）石泉县职业技术教育中心消防三年攻坚整改项目_21"/>
                    <pic:cNvPicPr>
                      <a:picLocks noChangeAspect="1"/>
                    </pic:cNvPicPr>
                  </pic:nvPicPr>
                  <pic:blipFill>
                    <a:blip r:embed="rId41"/>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4" name="图片 24" descr="（工程量清单）石泉县职业技术教育中心消防三年攻坚整改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工程量清单）石泉县职业技术教育中心消防三年攻坚整改项目_22"/>
                    <pic:cNvPicPr>
                      <a:picLocks noChangeAspect="1"/>
                    </pic:cNvPicPr>
                  </pic:nvPicPr>
                  <pic:blipFill>
                    <a:blip r:embed="rId42"/>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3" name="图片 23" descr="（工程量清单）石泉县职业技术教育中心消防三年攻坚整改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工程量清单）石泉县职业技术教育中心消防三年攻坚整改项目_23"/>
                    <pic:cNvPicPr>
                      <a:picLocks noChangeAspect="1"/>
                    </pic:cNvPicPr>
                  </pic:nvPicPr>
                  <pic:blipFill>
                    <a:blip r:embed="rId43"/>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2" name="图片 22" descr="（工程量清单）石泉县职业技术教育中心消防三年攻坚整改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工程量清单）石泉县职业技术教育中心消防三年攻坚整改项目_24"/>
                    <pic:cNvPicPr>
                      <a:picLocks noChangeAspect="1"/>
                    </pic:cNvPicPr>
                  </pic:nvPicPr>
                  <pic:blipFill>
                    <a:blip r:embed="rId44"/>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1" name="图片 21" descr="（工程量清单）石泉县职业技术教育中心消防三年攻坚整改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石泉县职业技术教育中心消防三年攻坚整改项目_25"/>
                    <pic:cNvPicPr>
                      <a:picLocks noChangeAspect="1"/>
                    </pic:cNvPicPr>
                  </pic:nvPicPr>
                  <pic:blipFill>
                    <a:blip r:embed="rId45"/>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20" name="图片 20" descr="（工程量清单）石泉县职业技术教育中心消防三年攻坚整改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程量清单）石泉县职业技术教育中心消防三年攻坚整改项目_26"/>
                    <pic:cNvPicPr>
                      <a:picLocks noChangeAspect="1"/>
                    </pic:cNvPicPr>
                  </pic:nvPicPr>
                  <pic:blipFill>
                    <a:blip r:embed="rId46"/>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19" name="图片 19" descr="（工程量清单）石泉县职业技术教育中心消防三年攻坚整改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程量清单）石泉县职业技术教育中心消防三年攻坚整改项目_27"/>
                    <pic:cNvPicPr>
                      <a:picLocks noChangeAspect="1"/>
                    </pic:cNvPicPr>
                  </pic:nvPicPr>
                  <pic:blipFill>
                    <a:blip r:embed="rId47"/>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18" name="图片 18" descr="（工程量清单）石泉县职业技术教育中心消防三年攻坚整改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程量清单）石泉县职业技术教育中心消防三年攻坚整改项目_28"/>
                    <pic:cNvPicPr>
                      <a:picLocks noChangeAspect="1"/>
                    </pic:cNvPicPr>
                  </pic:nvPicPr>
                  <pic:blipFill>
                    <a:blip r:embed="rId48"/>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17" name="图片 17" descr="（工程量清单）石泉县职业技术教育中心消防三年攻坚整改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清单）石泉县职业技术教育中心消防三年攻坚整改项目_29"/>
                    <pic:cNvPicPr>
                      <a:picLocks noChangeAspect="1"/>
                    </pic:cNvPicPr>
                  </pic:nvPicPr>
                  <pic:blipFill>
                    <a:blip r:embed="rId49"/>
                    <a:stretch>
                      <a:fillRect/>
                    </a:stretch>
                  </pic:blipFill>
                  <pic:spPr>
                    <a:xfrm>
                      <a:off x="0" y="0"/>
                      <a:ext cx="6187440" cy="875728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7285"/>
            <wp:effectExtent l="0" t="0" r="0" b="5715"/>
            <wp:docPr id="16" name="图片 16" descr="（工程量清单）石泉县职业技术教育中心消防三年攻坚整改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清单）石泉县职业技术教育中心消防三年攻坚整改项目_30"/>
                    <pic:cNvPicPr>
                      <a:picLocks noChangeAspect="1"/>
                    </pic:cNvPicPr>
                  </pic:nvPicPr>
                  <pic:blipFill>
                    <a:blip r:embed="rId50"/>
                    <a:stretch>
                      <a:fillRect/>
                    </a:stretch>
                  </pic:blipFill>
                  <pic:spPr>
                    <a:xfrm>
                      <a:off x="0" y="0"/>
                      <a:ext cx="6187440" cy="8757285"/>
                    </a:xfrm>
                    <a:prstGeom prst="rect">
                      <a:avLst/>
                    </a:prstGeom>
                  </pic:spPr>
                </pic:pic>
              </a:graphicData>
            </a:graphic>
          </wp:inline>
        </w:drawing>
      </w:r>
    </w:p>
    <w:p w14:paraId="14B9B9DD">
      <w:pPr>
        <w:pStyle w:val="3"/>
        <w:tabs>
          <w:tab w:val="left" w:pos="1283"/>
        </w:tabs>
        <w:spacing w:before="33"/>
        <w:ind w:left="0" w:right="82"/>
        <w:jc w:val="center"/>
        <w:rPr>
          <w:rFonts w:hint="eastAsia" w:ascii="宋体" w:hAnsi="宋体" w:eastAsia="宋体" w:cs="宋体"/>
          <w:lang w:val="zh-CN" w:eastAsia="zh-CN"/>
        </w:rPr>
      </w:pPr>
    </w:p>
    <w:p w14:paraId="58B63225">
      <w:pPr>
        <w:pStyle w:val="3"/>
        <w:tabs>
          <w:tab w:val="left" w:pos="1283"/>
        </w:tabs>
        <w:spacing w:before="33"/>
        <w:ind w:left="0" w:right="82"/>
        <w:jc w:val="center"/>
        <w:rPr>
          <w:rFonts w:hint="eastAsia" w:ascii="宋体" w:hAnsi="宋体" w:eastAsia="宋体" w:cs="宋体"/>
          <w:lang w:val="zh-CN" w:eastAsia="zh-CN"/>
        </w:rPr>
      </w:pPr>
    </w:p>
    <w:p w14:paraId="21038619">
      <w:pPr>
        <w:pStyle w:val="3"/>
        <w:tabs>
          <w:tab w:val="left" w:pos="1283"/>
        </w:tabs>
        <w:spacing w:before="33"/>
        <w:ind w:left="0" w:right="82"/>
        <w:jc w:val="center"/>
        <w:rPr>
          <w:rFonts w:hint="eastAsia" w:ascii="宋体" w:hAnsi="宋体" w:eastAsia="宋体" w:cs="宋体"/>
          <w:lang w:val="en-US" w:eastAsia="zh-CN"/>
        </w:rPr>
      </w:pPr>
      <w:r>
        <w:rPr>
          <w:rFonts w:hint="eastAsia" w:ascii="宋体" w:hAnsi="宋体" w:eastAsia="宋体" w:cs="宋体"/>
          <w:lang w:val="zh-CN" w:eastAsia="zh-CN"/>
        </w:rPr>
        <w:t>第四章</w:t>
      </w:r>
      <w:r>
        <w:rPr>
          <w:rFonts w:hint="eastAsia" w:ascii="宋体" w:hAnsi="宋体" w:eastAsia="宋体" w:cs="宋体"/>
          <w:lang w:val="zh-CN" w:eastAsia="zh-CN"/>
        </w:rPr>
        <w:tab/>
      </w:r>
      <w:r>
        <w:rPr>
          <w:rFonts w:hint="eastAsia" w:ascii="宋体" w:hAnsi="宋体" w:eastAsia="宋体" w:cs="宋体"/>
          <w:lang w:val="zh-CN" w:eastAsia="zh-CN"/>
        </w:rPr>
        <w:t>合同主要条款</w:t>
      </w:r>
    </w:p>
    <w:p w14:paraId="59A52FF6">
      <w:pPr>
        <w:pStyle w:val="3"/>
        <w:spacing w:before="42"/>
        <w:ind w:left="793" w:right="875"/>
        <w:jc w:val="center"/>
        <w:rPr>
          <w:rFonts w:hint="eastAsia" w:ascii="宋体" w:hAnsi="宋体" w:eastAsia="宋体" w:cs="宋体"/>
          <w:b/>
          <w:bCs w:val="0"/>
          <w:w w:val="95"/>
          <w:sz w:val="44"/>
          <w:szCs w:val="22"/>
          <w:lang w:val="zh-CN" w:eastAsia="zh-CN" w:bidi="zh-CN"/>
        </w:rPr>
      </w:pPr>
    </w:p>
    <w:p w14:paraId="528C7F9C">
      <w:pPr>
        <w:pStyle w:val="3"/>
        <w:spacing w:before="42"/>
        <w:ind w:left="793" w:right="875"/>
        <w:jc w:val="center"/>
        <w:rPr>
          <w:rFonts w:hint="eastAsia" w:ascii="宋体" w:hAnsi="宋体" w:eastAsia="宋体" w:cs="宋体"/>
          <w:b/>
          <w:bCs w:val="0"/>
          <w:w w:val="95"/>
          <w:sz w:val="44"/>
          <w:szCs w:val="22"/>
          <w:lang w:val="zh-CN" w:eastAsia="zh-CN" w:bidi="zh-CN"/>
        </w:rPr>
      </w:pPr>
    </w:p>
    <w:p w14:paraId="2137AC99">
      <w:pPr>
        <w:jc w:val="center"/>
        <w:rPr>
          <w:rFonts w:hint="eastAsia" w:ascii="宋体" w:hAnsi="宋体" w:eastAsia="宋体" w:cs="宋体"/>
          <w:sz w:val="24"/>
          <w:szCs w:val="24"/>
        </w:rPr>
      </w:pPr>
    </w:p>
    <w:p w14:paraId="065025D8">
      <w:pPr>
        <w:jc w:val="center"/>
        <w:rPr>
          <w:rFonts w:hint="eastAsia" w:ascii="宋体" w:hAnsi="宋体" w:eastAsia="宋体" w:cs="宋体"/>
          <w:sz w:val="24"/>
          <w:szCs w:val="24"/>
        </w:rPr>
      </w:pPr>
    </w:p>
    <w:p w14:paraId="6D8B3046">
      <w:pPr>
        <w:jc w:val="center"/>
        <w:rPr>
          <w:rFonts w:hint="eastAsia" w:ascii="宋体" w:hAnsi="宋体" w:eastAsia="宋体" w:cs="宋体"/>
          <w:sz w:val="24"/>
          <w:szCs w:val="24"/>
        </w:rPr>
      </w:pPr>
    </w:p>
    <w:p w14:paraId="0D323F6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（示范文本）</w:t>
      </w:r>
    </w:p>
    <w:p w14:paraId="01A1B404">
      <w:pPr>
        <w:keepNext w:val="0"/>
        <w:keepLines w:val="0"/>
        <w:pageBreakBefore w:val="0"/>
        <w:widowControl w:val="0"/>
        <w:wordWrap/>
        <w:overflowPunct/>
        <w:topLinePunct w:val="0"/>
        <w:bidi w:val="0"/>
        <w:spacing w:line="540" w:lineRule="exact"/>
        <w:textAlignment w:val="auto"/>
        <w:rPr>
          <w:rFonts w:hint="eastAsia" w:ascii="宋体" w:hAnsi="宋体" w:eastAsia="宋体" w:cs="宋体"/>
          <w:b/>
          <w:bCs w:val="0"/>
          <w:w w:val="95"/>
          <w:sz w:val="44"/>
          <w:szCs w:val="22"/>
          <w:lang w:val="zh-CN" w:eastAsia="zh-CN" w:bidi="zh-CN"/>
        </w:rPr>
      </w:pPr>
      <w:r>
        <w:rPr>
          <w:rFonts w:hint="eastAsia" w:ascii="宋体" w:hAnsi="宋体" w:eastAsia="宋体" w:cs="宋体"/>
          <w:bCs/>
          <w:sz w:val="24"/>
          <w:szCs w:val="24"/>
        </w:rPr>
        <w:br w:type="page"/>
      </w:r>
    </w:p>
    <w:p w14:paraId="5FF9876D">
      <w:pPr>
        <w:pStyle w:val="11"/>
        <w:spacing w:before="69" w:line="226" w:lineRule="auto"/>
        <w:ind w:left="231"/>
        <w:jc w:val="center"/>
        <w:rPr>
          <w:rFonts w:hint="eastAsia" w:ascii="仿宋" w:hAnsi="仿宋" w:eastAsia="仿宋" w:cs="仿宋"/>
          <w:sz w:val="24"/>
          <w:szCs w:val="24"/>
        </w:rPr>
      </w:pPr>
      <w:r>
        <w:rPr>
          <w:rFonts w:hint="eastAsia" w:ascii="仿宋" w:hAnsi="仿宋" w:eastAsia="仿宋" w:cs="仿宋"/>
          <w:b/>
          <w:bCs/>
          <w:spacing w:val="9"/>
          <w:sz w:val="28"/>
          <w:szCs w:val="28"/>
        </w:rPr>
        <w:t>关于</w:t>
      </w:r>
      <w:r>
        <w:rPr>
          <w:rFonts w:hint="eastAsia" w:ascii="仿宋" w:hAnsi="仿宋" w:eastAsia="仿宋" w:cs="仿宋"/>
          <w:b/>
          <w:bCs/>
          <w:spacing w:val="9"/>
          <w:sz w:val="28"/>
          <w:szCs w:val="28"/>
          <w:lang w:val="en-US" w:eastAsia="zh-CN"/>
        </w:rPr>
        <w:t>石泉县职业技术教育中心消防三年攻坚整改项目</w:t>
      </w:r>
      <w:r>
        <w:rPr>
          <w:rFonts w:hint="eastAsia" w:ascii="仿宋" w:hAnsi="仿宋" w:eastAsia="仿宋" w:cs="仿宋"/>
          <w:b/>
          <w:bCs/>
          <w:spacing w:val="8"/>
          <w:sz w:val="28"/>
          <w:szCs w:val="28"/>
        </w:rPr>
        <w:t>合同</w:t>
      </w:r>
    </w:p>
    <w:p w14:paraId="6F87AAA8">
      <w:pPr>
        <w:spacing w:line="283" w:lineRule="auto"/>
        <w:rPr>
          <w:rFonts w:hint="eastAsia" w:ascii="仿宋" w:hAnsi="仿宋" w:eastAsia="仿宋" w:cs="仿宋"/>
          <w:sz w:val="24"/>
          <w:szCs w:val="24"/>
        </w:rPr>
      </w:pPr>
    </w:p>
    <w:p w14:paraId="180A62B4">
      <w:pPr>
        <w:pStyle w:val="11"/>
        <w:spacing w:before="72" w:line="229" w:lineRule="auto"/>
        <w:ind w:left="8"/>
        <w:rPr>
          <w:rFonts w:hint="eastAsia" w:ascii="仿宋" w:hAnsi="仿宋" w:eastAsia="仿宋" w:cs="仿宋"/>
          <w:sz w:val="24"/>
          <w:szCs w:val="24"/>
        </w:rPr>
      </w:pPr>
      <w:r>
        <w:rPr>
          <w:rFonts w:hint="eastAsia" w:ascii="仿宋" w:hAnsi="仿宋" w:eastAsia="仿宋" w:cs="仿宋"/>
          <w:spacing w:val="6"/>
          <w:sz w:val="24"/>
          <w:szCs w:val="24"/>
        </w:rPr>
        <w:t>发包方：</w:t>
      </w:r>
      <w:r>
        <w:rPr>
          <w:rFonts w:hint="eastAsia" w:ascii="仿宋" w:hAnsi="仿宋" w:eastAsia="仿宋" w:cs="仿宋"/>
          <w:spacing w:val="6"/>
          <w:sz w:val="24"/>
          <w:szCs w:val="24"/>
          <w:u w:val="single" w:color="auto"/>
          <w:lang w:eastAsia="zh-CN"/>
        </w:rPr>
        <w:t>石泉县职业技术教育中心</w:t>
      </w:r>
      <w:r>
        <w:rPr>
          <w:rFonts w:hint="eastAsia" w:ascii="仿宋" w:hAnsi="仿宋" w:eastAsia="仿宋" w:cs="仿宋"/>
          <w:spacing w:val="6"/>
          <w:sz w:val="24"/>
          <w:szCs w:val="24"/>
          <w:u w:val="single" w:color="auto"/>
        </w:rPr>
        <w:t xml:space="preserve">    </w:t>
      </w:r>
      <w:r>
        <w:rPr>
          <w:rFonts w:hint="eastAsia" w:ascii="仿宋" w:hAnsi="仿宋" w:eastAsia="仿宋" w:cs="仿宋"/>
          <w:spacing w:val="-51"/>
          <w:sz w:val="24"/>
          <w:szCs w:val="24"/>
        </w:rPr>
        <w:t xml:space="preserve"> </w:t>
      </w:r>
      <w:r>
        <w:rPr>
          <w:rFonts w:hint="eastAsia" w:ascii="仿宋" w:hAnsi="仿宋" w:eastAsia="仿宋" w:cs="仿宋"/>
          <w:spacing w:val="6"/>
          <w:sz w:val="24"/>
          <w:szCs w:val="24"/>
        </w:rPr>
        <w:t>(以下简称甲方)</w:t>
      </w:r>
    </w:p>
    <w:p w14:paraId="13C87EB1">
      <w:pPr>
        <w:pStyle w:val="11"/>
        <w:spacing w:before="228" w:line="229" w:lineRule="auto"/>
        <w:ind w:left="5"/>
        <w:rPr>
          <w:rFonts w:hint="eastAsia" w:ascii="仿宋" w:hAnsi="仿宋" w:eastAsia="仿宋" w:cs="仿宋"/>
          <w:sz w:val="24"/>
          <w:szCs w:val="24"/>
        </w:rPr>
      </w:pPr>
      <w:r>
        <w:rPr>
          <w:rFonts w:hint="eastAsia" w:ascii="仿宋" w:hAnsi="仿宋" w:eastAsia="仿宋" w:cs="仿宋"/>
          <w:spacing w:val="4"/>
          <w:sz w:val="24"/>
          <w:szCs w:val="24"/>
        </w:rPr>
        <w:t>承包方：</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57"/>
          <w:sz w:val="24"/>
          <w:szCs w:val="24"/>
        </w:rPr>
        <w:t xml:space="preserve"> </w:t>
      </w:r>
      <w:r>
        <w:rPr>
          <w:rFonts w:hint="eastAsia" w:ascii="仿宋" w:hAnsi="仿宋" w:eastAsia="仿宋" w:cs="仿宋"/>
          <w:spacing w:val="4"/>
          <w:sz w:val="24"/>
          <w:szCs w:val="24"/>
        </w:rPr>
        <w:t>(以下简称乙方)</w:t>
      </w:r>
    </w:p>
    <w:p w14:paraId="75FAB1AA">
      <w:pPr>
        <w:pStyle w:val="11"/>
        <w:spacing w:before="208" w:line="265" w:lineRule="auto"/>
        <w:ind w:left="8" w:right="78" w:firstLine="435"/>
        <w:jc w:val="both"/>
        <w:rPr>
          <w:rFonts w:hint="eastAsia" w:ascii="仿宋" w:hAnsi="仿宋" w:eastAsia="仿宋" w:cs="仿宋"/>
          <w:sz w:val="24"/>
          <w:szCs w:val="24"/>
        </w:rPr>
      </w:pPr>
      <w:r>
        <w:rPr>
          <w:rFonts w:hint="eastAsia" w:ascii="仿宋" w:hAnsi="仿宋" w:eastAsia="仿宋" w:cs="仿宋"/>
          <w:spacing w:val="12"/>
          <w:sz w:val="24"/>
          <w:szCs w:val="24"/>
        </w:rPr>
        <w:t>根据《中华人民共和国合同法》及其他有关法律、法规规定，结合工程实际情</w:t>
      </w:r>
      <w:r>
        <w:rPr>
          <w:rFonts w:hint="eastAsia" w:ascii="仿宋" w:hAnsi="仿宋" w:eastAsia="仿宋" w:cs="仿宋"/>
          <w:spacing w:val="11"/>
          <w:sz w:val="24"/>
          <w:szCs w:val="24"/>
        </w:rPr>
        <w:t>况，就</w:t>
      </w:r>
      <w:r>
        <w:rPr>
          <w:rFonts w:hint="eastAsia" w:ascii="仿宋" w:hAnsi="仿宋" w:eastAsia="仿宋" w:cs="仿宋"/>
          <w:spacing w:val="11"/>
          <w:sz w:val="24"/>
          <w:szCs w:val="24"/>
          <w:u w:val="single" w:color="auto"/>
          <w:lang w:val="en-US" w:eastAsia="zh-CN"/>
        </w:rPr>
        <w:t>石泉县职业技术教育中心消防三年攻坚整改项目</w:t>
      </w:r>
      <w:r>
        <w:rPr>
          <w:rFonts w:hint="eastAsia" w:ascii="仿宋" w:hAnsi="仿宋" w:eastAsia="仿宋" w:cs="仿宋"/>
          <w:spacing w:val="11"/>
          <w:sz w:val="24"/>
          <w:szCs w:val="24"/>
        </w:rPr>
        <w:t>承包给乙方的有关事宜，经协</w:t>
      </w:r>
      <w:r>
        <w:rPr>
          <w:rFonts w:hint="eastAsia" w:ascii="仿宋" w:hAnsi="仿宋" w:eastAsia="仿宋" w:cs="仿宋"/>
          <w:spacing w:val="8"/>
          <w:sz w:val="24"/>
          <w:szCs w:val="24"/>
        </w:rPr>
        <w:t>商一致，签订本合同，以资共同遵守。</w:t>
      </w:r>
    </w:p>
    <w:p w14:paraId="37735217">
      <w:pPr>
        <w:pStyle w:val="11"/>
        <w:spacing w:before="191" w:line="229" w:lineRule="auto"/>
        <w:ind w:left="6"/>
        <w:rPr>
          <w:rFonts w:hint="eastAsia" w:ascii="仿宋" w:hAnsi="仿宋" w:eastAsia="仿宋" w:cs="仿宋"/>
          <w:sz w:val="24"/>
          <w:szCs w:val="24"/>
        </w:rPr>
      </w:pPr>
      <w:r>
        <w:rPr>
          <w:rFonts w:hint="eastAsia" w:ascii="仿宋" w:hAnsi="仿宋" w:eastAsia="仿宋" w:cs="仿宋"/>
          <w:b/>
          <w:bCs/>
          <w:spacing w:val="6"/>
          <w:sz w:val="24"/>
          <w:szCs w:val="24"/>
        </w:rPr>
        <w:t>第一条</w:t>
      </w:r>
      <w:r>
        <w:rPr>
          <w:rFonts w:hint="eastAsia" w:ascii="仿宋" w:hAnsi="仿宋" w:eastAsia="仿宋" w:cs="仿宋"/>
          <w:spacing w:val="6"/>
          <w:sz w:val="24"/>
          <w:szCs w:val="24"/>
        </w:rPr>
        <w:t xml:space="preserve"> </w:t>
      </w:r>
      <w:r>
        <w:rPr>
          <w:rFonts w:hint="eastAsia" w:ascii="仿宋" w:hAnsi="仿宋" w:eastAsia="仿宋" w:cs="仿宋"/>
          <w:b/>
          <w:bCs/>
          <w:spacing w:val="6"/>
          <w:sz w:val="24"/>
          <w:szCs w:val="24"/>
        </w:rPr>
        <w:t>工程概况</w:t>
      </w:r>
    </w:p>
    <w:p w14:paraId="001D046A">
      <w:pPr>
        <w:pStyle w:val="11"/>
        <w:keepNext w:val="0"/>
        <w:keepLines w:val="0"/>
        <w:pageBreakBefore w:val="0"/>
        <w:widowControl w:val="0"/>
        <w:kinsoku/>
        <w:wordWrap/>
        <w:overflowPunct/>
        <w:topLinePunct w:val="0"/>
        <w:autoSpaceDE/>
        <w:autoSpaceDN/>
        <w:bidi w:val="0"/>
        <w:adjustRightInd/>
        <w:snapToGrid/>
        <w:spacing w:before="226" w:line="229" w:lineRule="auto"/>
        <w:ind w:left="440" w:leftChars="200"/>
        <w:textAlignment w:val="auto"/>
        <w:rPr>
          <w:rFonts w:hint="eastAsia" w:ascii="仿宋" w:hAnsi="仿宋" w:eastAsia="仿宋" w:cs="仿宋"/>
          <w:spacing w:val="9"/>
          <w:sz w:val="24"/>
          <w:szCs w:val="24"/>
          <w:u w:val="single" w:color="auto"/>
          <w:lang w:val="en-US" w:eastAsia="zh-CN"/>
        </w:rPr>
      </w:pPr>
      <w:r>
        <w:rPr>
          <w:rFonts w:hint="eastAsia" w:ascii="仿宋" w:hAnsi="仿宋" w:eastAsia="仿宋" w:cs="仿宋"/>
          <w:spacing w:val="9"/>
          <w:sz w:val="24"/>
          <w:szCs w:val="24"/>
        </w:rPr>
        <w:t>1.工程名称</w:t>
      </w:r>
      <w:r>
        <w:rPr>
          <w:rFonts w:hint="eastAsia" w:ascii="仿宋" w:hAnsi="仿宋" w:eastAsia="仿宋" w:cs="仿宋"/>
          <w:spacing w:val="9"/>
          <w:sz w:val="24"/>
          <w:szCs w:val="24"/>
          <w:u w:val="single" w:color="auto"/>
        </w:rPr>
        <w:t>：</w:t>
      </w:r>
      <w:r>
        <w:rPr>
          <w:rFonts w:hint="eastAsia" w:ascii="仿宋" w:hAnsi="仿宋" w:eastAsia="仿宋" w:cs="仿宋"/>
          <w:spacing w:val="9"/>
          <w:sz w:val="24"/>
          <w:szCs w:val="24"/>
          <w:u w:val="single" w:color="auto"/>
          <w:lang w:val="en-US" w:eastAsia="zh-CN"/>
        </w:rPr>
        <w:t>石泉县职业技术教育中心消防三年攻坚整改项目</w:t>
      </w:r>
    </w:p>
    <w:p w14:paraId="26DFC49E">
      <w:pPr>
        <w:pStyle w:val="11"/>
        <w:keepNext w:val="0"/>
        <w:keepLines w:val="0"/>
        <w:pageBreakBefore w:val="0"/>
        <w:widowControl w:val="0"/>
        <w:kinsoku/>
        <w:wordWrap/>
        <w:overflowPunct/>
        <w:topLinePunct w:val="0"/>
        <w:autoSpaceDE/>
        <w:autoSpaceDN/>
        <w:bidi w:val="0"/>
        <w:adjustRightInd/>
        <w:snapToGrid/>
        <w:spacing w:before="226" w:line="229" w:lineRule="auto"/>
        <w:ind w:left="440" w:leftChars="200"/>
        <w:textAlignment w:val="auto"/>
        <w:rPr>
          <w:rFonts w:hint="eastAsia" w:ascii="仿宋" w:hAnsi="仿宋" w:eastAsia="仿宋" w:cs="仿宋"/>
          <w:sz w:val="24"/>
          <w:szCs w:val="24"/>
        </w:rPr>
      </w:pPr>
      <w:r>
        <w:rPr>
          <w:rFonts w:hint="eastAsia" w:ascii="仿宋" w:hAnsi="仿宋" w:eastAsia="仿宋" w:cs="仿宋"/>
          <w:spacing w:val="9"/>
          <w:sz w:val="24"/>
          <w:szCs w:val="24"/>
        </w:rPr>
        <w:t>2.工程地点：</w:t>
      </w:r>
      <w:r>
        <w:rPr>
          <w:rFonts w:hint="eastAsia" w:ascii="仿宋" w:hAnsi="仿宋" w:eastAsia="仿宋" w:cs="仿宋"/>
          <w:spacing w:val="9"/>
          <w:sz w:val="24"/>
          <w:szCs w:val="24"/>
          <w:u w:val="single" w:color="auto"/>
          <w:lang w:eastAsia="zh-CN"/>
        </w:rPr>
        <w:t>石泉县职业技术教育中心校园内</w:t>
      </w:r>
      <w:r>
        <w:rPr>
          <w:rFonts w:hint="eastAsia" w:ascii="仿宋" w:hAnsi="仿宋" w:eastAsia="仿宋" w:cs="仿宋"/>
          <w:sz w:val="24"/>
          <w:szCs w:val="24"/>
          <w:u w:val="single" w:color="auto"/>
        </w:rPr>
        <w:t xml:space="preserve">      </w:t>
      </w:r>
    </w:p>
    <w:p w14:paraId="0D0A9037">
      <w:pPr>
        <w:pStyle w:val="11"/>
        <w:keepNext w:val="0"/>
        <w:keepLines w:val="0"/>
        <w:pageBreakBefore w:val="0"/>
        <w:widowControl w:val="0"/>
        <w:kinsoku/>
        <w:wordWrap/>
        <w:overflowPunct/>
        <w:topLinePunct w:val="0"/>
        <w:autoSpaceDE/>
        <w:autoSpaceDN/>
        <w:bidi w:val="0"/>
        <w:adjustRightInd/>
        <w:snapToGrid/>
        <w:spacing w:before="228" w:line="229" w:lineRule="auto"/>
        <w:ind w:left="440" w:leftChars="200"/>
        <w:textAlignment w:val="auto"/>
        <w:rPr>
          <w:rFonts w:hint="eastAsia" w:ascii="仿宋" w:hAnsi="仿宋" w:eastAsia="仿宋" w:cs="仿宋"/>
          <w:sz w:val="24"/>
          <w:szCs w:val="24"/>
        </w:rPr>
      </w:pPr>
      <w:r>
        <w:rPr>
          <w:rFonts w:hint="eastAsia" w:ascii="仿宋" w:hAnsi="仿宋" w:eastAsia="仿宋" w:cs="仿宋"/>
          <w:spacing w:val="7"/>
          <w:sz w:val="24"/>
          <w:szCs w:val="24"/>
        </w:rPr>
        <w:t>3.工程承包方式：</w:t>
      </w:r>
      <w:r>
        <w:rPr>
          <w:rFonts w:hint="eastAsia" w:ascii="仿宋" w:hAnsi="仿宋" w:eastAsia="仿宋" w:cs="仿宋"/>
          <w:sz w:val="24"/>
          <w:szCs w:val="24"/>
          <w:u w:val="single" w:color="auto"/>
        </w:rPr>
        <w:t xml:space="preserve">                  </w:t>
      </w:r>
    </w:p>
    <w:p w14:paraId="4193A7AE">
      <w:pPr>
        <w:pStyle w:val="11"/>
        <w:keepNext w:val="0"/>
        <w:keepLines w:val="0"/>
        <w:pageBreakBefore w:val="0"/>
        <w:widowControl w:val="0"/>
        <w:kinsoku/>
        <w:wordWrap/>
        <w:overflowPunct/>
        <w:topLinePunct w:val="0"/>
        <w:autoSpaceDE/>
        <w:autoSpaceDN/>
        <w:bidi w:val="0"/>
        <w:adjustRightInd/>
        <w:snapToGrid/>
        <w:spacing w:before="226" w:line="230" w:lineRule="auto"/>
        <w:ind w:left="440" w:leftChars="200"/>
        <w:textAlignment w:val="auto"/>
        <w:rPr>
          <w:rFonts w:hint="eastAsia" w:ascii="仿宋" w:hAnsi="仿宋" w:eastAsia="仿宋" w:cs="仿宋"/>
          <w:sz w:val="24"/>
          <w:szCs w:val="24"/>
        </w:rPr>
      </w:pPr>
      <w:r>
        <w:rPr>
          <w:rFonts w:hint="eastAsia" w:ascii="仿宋" w:hAnsi="仿宋" w:eastAsia="仿宋" w:cs="仿宋"/>
          <w:spacing w:val="6"/>
          <w:sz w:val="24"/>
          <w:szCs w:val="24"/>
        </w:rPr>
        <w:t>4.工程范围和内容：</w:t>
      </w:r>
      <w:r>
        <w:rPr>
          <w:rFonts w:hint="eastAsia" w:ascii="仿宋" w:hAnsi="仿宋" w:eastAsia="仿宋" w:cs="仿宋"/>
          <w:spacing w:val="6"/>
          <w:sz w:val="24"/>
          <w:szCs w:val="24"/>
          <w:u w:val="single" w:color="auto"/>
        </w:rPr>
        <w:t xml:space="preserve">                 </w:t>
      </w:r>
      <w:r>
        <w:rPr>
          <w:rFonts w:hint="eastAsia" w:ascii="仿宋" w:hAnsi="仿宋" w:eastAsia="仿宋" w:cs="仿宋"/>
          <w:spacing w:val="6"/>
          <w:sz w:val="24"/>
          <w:szCs w:val="24"/>
        </w:rPr>
        <w:t>。</w:t>
      </w:r>
    </w:p>
    <w:p w14:paraId="28F085A8">
      <w:pPr>
        <w:pStyle w:val="11"/>
        <w:spacing w:before="206" w:line="230" w:lineRule="auto"/>
        <w:ind w:left="6"/>
        <w:rPr>
          <w:rFonts w:hint="eastAsia" w:ascii="仿宋" w:hAnsi="仿宋" w:eastAsia="仿宋" w:cs="仿宋"/>
          <w:sz w:val="24"/>
          <w:szCs w:val="24"/>
        </w:rPr>
      </w:pPr>
      <w:r>
        <w:rPr>
          <w:rFonts w:hint="eastAsia" w:ascii="仿宋" w:hAnsi="仿宋" w:eastAsia="仿宋" w:cs="仿宋"/>
          <w:b/>
          <w:bCs/>
          <w:spacing w:val="6"/>
          <w:sz w:val="24"/>
          <w:szCs w:val="24"/>
        </w:rPr>
        <w:t>第二条</w:t>
      </w:r>
      <w:r>
        <w:rPr>
          <w:rFonts w:hint="eastAsia" w:ascii="仿宋" w:hAnsi="仿宋" w:eastAsia="仿宋" w:cs="仿宋"/>
          <w:spacing w:val="6"/>
          <w:sz w:val="24"/>
          <w:szCs w:val="24"/>
        </w:rPr>
        <w:t xml:space="preserve"> </w:t>
      </w:r>
      <w:r>
        <w:rPr>
          <w:rFonts w:hint="eastAsia" w:ascii="仿宋" w:hAnsi="仿宋" w:eastAsia="仿宋" w:cs="仿宋"/>
          <w:b/>
          <w:bCs/>
          <w:spacing w:val="6"/>
          <w:sz w:val="24"/>
          <w:szCs w:val="24"/>
        </w:rPr>
        <w:t>工程期限</w:t>
      </w:r>
    </w:p>
    <w:p w14:paraId="39435970">
      <w:pPr>
        <w:pStyle w:val="11"/>
        <w:keepNext w:val="0"/>
        <w:keepLines w:val="0"/>
        <w:pageBreakBefore w:val="0"/>
        <w:widowControl w:val="0"/>
        <w:kinsoku/>
        <w:wordWrap/>
        <w:overflowPunct/>
        <w:topLinePunct w:val="0"/>
        <w:autoSpaceDE/>
        <w:autoSpaceDN/>
        <w:bidi w:val="0"/>
        <w:adjustRightInd/>
        <w:snapToGrid/>
        <w:spacing w:before="225" w:line="230" w:lineRule="auto"/>
        <w:ind w:left="440" w:leftChars="200"/>
        <w:textAlignment w:val="auto"/>
        <w:rPr>
          <w:rFonts w:hint="eastAsia" w:ascii="仿宋" w:hAnsi="仿宋" w:eastAsia="仿宋" w:cs="仿宋"/>
          <w:sz w:val="24"/>
          <w:szCs w:val="24"/>
        </w:rPr>
      </w:pPr>
      <w:r>
        <w:rPr>
          <w:rFonts w:hint="eastAsia" w:ascii="仿宋" w:hAnsi="仿宋" w:eastAsia="仿宋" w:cs="仿宋"/>
          <w:spacing w:val="7"/>
          <w:sz w:val="24"/>
          <w:szCs w:val="24"/>
        </w:rPr>
        <w:t>1.本工程合同总工期为</w:t>
      </w:r>
      <w:r>
        <w:rPr>
          <w:rFonts w:hint="eastAsia" w:ascii="仿宋" w:hAnsi="仿宋" w:eastAsia="仿宋" w:cs="仿宋"/>
          <w:spacing w:val="-106"/>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spacing w:val="7"/>
          <w:sz w:val="24"/>
          <w:szCs w:val="24"/>
        </w:rPr>
        <w:t>天(从开工之日算起)。</w:t>
      </w:r>
    </w:p>
    <w:p w14:paraId="757DA334">
      <w:pPr>
        <w:pStyle w:val="11"/>
        <w:keepNext w:val="0"/>
        <w:keepLines w:val="0"/>
        <w:pageBreakBefore w:val="0"/>
        <w:widowControl w:val="0"/>
        <w:kinsoku/>
        <w:wordWrap/>
        <w:overflowPunct/>
        <w:topLinePunct w:val="0"/>
        <w:autoSpaceDE/>
        <w:autoSpaceDN/>
        <w:bidi w:val="0"/>
        <w:adjustRightInd/>
        <w:snapToGrid/>
        <w:spacing w:before="188" w:line="221" w:lineRule="auto"/>
        <w:ind w:left="440" w:leftChars="200"/>
        <w:textAlignment w:val="auto"/>
        <w:rPr>
          <w:rFonts w:hint="eastAsia" w:ascii="仿宋" w:hAnsi="仿宋" w:eastAsia="仿宋" w:cs="仿宋"/>
          <w:sz w:val="24"/>
          <w:szCs w:val="24"/>
        </w:rPr>
      </w:pPr>
      <w:r>
        <w:rPr>
          <w:rFonts w:hint="eastAsia" w:ascii="仿宋" w:hAnsi="仿宋" w:eastAsia="仿宋" w:cs="仿宋"/>
          <w:spacing w:val="3"/>
          <w:sz w:val="24"/>
          <w:szCs w:val="24"/>
        </w:rPr>
        <w:t>2.本工程开工日期</w:t>
      </w:r>
      <w:r>
        <w:rPr>
          <w:rFonts w:hint="eastAsia" w:ascii="仿宋" w:hAnsi="仿宋" w:eastAsia="仿宋" w:cs="仿宋"/>
          <w:spacing w:val="-110"/>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98"/>
          <w:sz w:val="24"/>
          <w:szCs w:val="24"/>
        </w:rPr>
        <w:t xml:space="preserve"> </w:t>
      </w:r>
      <w:r>
        <w:rPr>
          <w:rFonts w:hint="eastAsia" w:ascii="仿宋" w:hAnsi="仿宋" w:eastAsia="仿宋" w:cs="仿宋"/>
          <w:spacing w:val="3"/>
          <w:sz w:val="24"/>
          <w:szCs w:val="24"/>
        </w:rPr>
        <w:t>年</w:t>
      </w:r>
      <w:r>
        <w:rPr>
          <w:rFonts w:hint="eastAsia" w:ascii="仿宋" w:hAnsi="仿宋" w:eastAsia="仿宋" w:cs="仿宋"/>
          <w:spacing w:val="3"/>
          <w:sz w:val="24"/>
          <w:szCs w:val="24"/>
          <w:u w:val="single" w:color="auto"/>
        </w:rPr>
        <w:t xml:space="preserve">   </w:t>
      </w:r>
      <w:r>
        <w:rPr>
          <w:rFonts w:hint="eastAsia" w:ascii="仿宋" w:hAnsi="仿宋" w:eastAsia="仿宋" w:cs="仿宋"/>
          <w:spacing w:val="-96"/>
          <w:sz w:val="24"/>
          <w:szCs w:val="24"/>
        </w:rPr>
        <w:t xml:space="preserve"> </w:t>
      </w:r>
      <w:r>
        <w:rPr>
          <w:rFonts w:hint="eastAsia" w:ascii="仿宋" w:hAnsi="仿宋" w:eastAsia="仿宋" w:cs="仿宋"/>
          <w:spacing w:val="3"/>
          <w:sz w:val="24"/>
          <w:szCs w:val="24"/>
        </w:rPr>
        <w:t>月</w:t>
      </w:r>
      <w:r>
        <w:rPr>
          <w:rFonts w:hint="eastAsia" w:ascii="仿宋" w:hAnsi="仿宋" w:eastAsia="仿宋" w:cs="仿宋"/>
          <w:spacing w:val="3"/>
          <w:sz w:val="24"/>
          <w:szCs w:val="24"/>
          <w:u w:val="single" w:color="auto"/>
        </w:rPr>
        <w:t xml:space="preserve">   </w:t>
      </w:r>
      <w:r>
        <w:rPr>
          <w:rFonts w:hint="eastAsia" w:ascii="仿宋" w:hAnsi="仿宋" w:eastAsia="仿宋" w:cs="仿宋"/>
          <w:spacing w:val="-65"/>
          <w:sz w:val="24"/>
          <w:szCs w:val="24"/>
        </w:rPr>
        <w:t xml:space="preserve"> </w:t>
      </w:r>
      <w:r>
        <w:rPr>
          <w:rFonts w:hint="eastAsia" w:ascii="仿宋" w:hAnsi="仿宋" w:eastAsia="仿宋" w:cs="仿宋"/>
          <w:spacing w:val="3"/>
          <w:sz w:val="24"/>
          <w:szCs w:val="24"/>
        </w:rPr>
        <w:t>日，竣工日期</w:t>
      </w:r>
      <w:r>
        <w:rPr>
          <w:rFonts w:hint="eastAsia" w:ascii="仿宋" w:hAnsi="仿宋" w:eastAsia="仿宋" w:cs="仿宋"/>
          <w:spacing w:val="-110"/>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99"/>
          <w:sz w:val="24"/>
          <w:szCs w:val="24"/>
        </w:rPr>
        <w:t xml:space="preserve"> </w:t>
      </w:r>
      <w:r>
        <w:rPr>
          <w:rFonts w:hint="eastAsia" w:ascii="仿宋" w:hAnsi="仿宋" w:eastAsia="仿宋" w:cs="仿宋"/>
          <w:spacing w:val="3"/>
          <w:sz w:val="24"/>
          <w:szCs w:val="24"/>
        </w:rPr>
        <w:t>年</w:t>
      </w:r>
      <w:r>
        <w:rPr>
          <w:rFonts w:hint="eastAsia" w:ascii="仿宋" w:hAnsi="仿宋" w:eastAsia="仿宋" w:cs="仿宋"/>
          <w:spacing w:val="3"/>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94"/>
          <w:sz w:val="24"/>
          <w:szCs w:val="24"/>
        </w:rPr>
        <w:t xml:space="preserve"> </w:t>
      </w:r>
      <w:r>
        <w:rPr>
          <w:rFonts w:hint="eastAsia" w:ascii="仿宋" w:hAnsi="仿宋" w:eastAsia="仿宋" w:cs="仿宋"/>
          <w:spacing w:val="2"/>
          <w:sz w:val="24"/>
          <w:szCs w:val="24"/>
        </w:rPr>
        <w:t>月</w:t>
      </w:r>
      <w:r>
        <w:rPr>
          <w:rFonts w:hint="eastAsia" w:ascii="仿宋" w:hAnsi="仿宋" w:eastAsia="仿宋" w:cs="仿宋"/>
          <w:spacing w:val="-110"/>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65"/>
          <w:sz w:val="24"/>
          <w:szCs w:val="24"/>
        </w:rPr>
        <w:t xml:space="preserve"> </w:t>
      </w:r>
      <w:r>
        <w:rPr>
          <w:rFonts w:hint="eastAsia" w:ascii="仿宋" w:hAnsi="仿宋" w:eastAsia="仿宋" w:cs="仿宋"/>
          <w:spacing w:val="2"/>
          <w:sz w:val="24"/>
          <w:szCs w:val="24"/>
        </w:rPr>
        <w:t>日。</w:t>
      </w:r>
    </w:p>
    <w:p w14:paraId="5D2D8B36">
      <w:pPr>
        <w:pStyle w:val="11"/>
        <w:spacing w:before="216" w:line="230" w:lineRule="auto"/>
        <w:ind w:left="6"/>
        <w:rPr>
          <w:rFonts w:hint="eastAsia" w:ascii="仿宋" w:hAnsi="仿宋" w:eastAsia="仿宋" w:cs="仿宋"/>
          <w:sz w:val="24"/>
          <w:szCs w:val="24"/>
        </w:rPr>
      </w:pPr>
      <w:r>
        <w:rPr>
          <w:rFonts w:hint="eastAsia" w:ascii="仿宋" w:hAnsi="仿宋" w:eastAsia="仿宋" w:cs="仿宋"/>
          <w:b/>
          <w:bCs/>
          <w:spacing w:val="7"/>
          <w:sz w:val="24"/>
          <w:szCs w:val="24"/>
        </w:rPr>
        <w:t>第三条</w:t>
      </w:r>
      <w:r>
        <w:rPr>
          <w:rFonts w:hint="eastAsia" w:ascii="仿宋" w:hAnsi="仿宋" w:eastAsia="仿宋" w:cs="仿宋"/>
          <w:spacing w:val="7"/>
          <w:sz w:val="24"/>
          <w:szCs w:val="24"/>
        </w:rPr>
        <w:t xml:space="preserve"> </w:t>
      </w:r>
      <w:r>
        <w:rPr>
          <w:rFonts w:hint="eastAsia" w:ascii="仿宋" w:hAnsi="仿宋" w:eastAsia="仿宋" w:cs="仿宋"/>
          <w:b/>
          <w:bCs/>
          <w:spacing w:val="7"/>
          <w:sz w:val="24"/>
          <w:szCs w:val="24"/>
        </w:rPr>
        <w:t>工程合同总价</w:t>
      </w:r>
    </w:p>
    <w:p w14:paraId="306294E5">
      <w:pPr>
        <w:pStyle w:val="11"/>
        <w:spacing w:before="206" w:line="269" w:lineRule="auto"/>
        <w:ind w:left="8" w:firstLine="437"/>
        <w:jc w:val="both"/>
        <w:rPr>
          <w:rFonts w:hint="eastAsia" w:ascii="仿宋" w:hAnsi="仿宋" w:eastAsia="仿宋" w:cs="仿宋"/>
          <w:sz w:val="24"/>
          <w:szCs w:val="24"/>
        </w:rPr>
      </w:pPr>
      <w:r>
        <w:rPr>
          <w:rFonts w:hint="eastAsia" w:ascii="仿宋" w:hAnsi="仿宋" w:eastAsia="仿宋" w:cs="仿宋"/>
          <w:spacing w:val="3"/>
          <w:sz w:val="24"/>
          <w:szCs w:val="24"/>
        </w:rPr>
        <w:t>本合同总价为人民币</w:t>
      </w:r>
      <w:r>
        <w:rPr>
          <w:rFonts w:hint="eastAsia" w:ascii="仿宋" w:hAnsi="仿宋" w:eastAsia="仿宋" w:cs="仿宋"/>
          <w:spacing w:val="3"/>
          <w:sz w:val="24"/>
          <w:szCs w:val="24"/>
          <w:u w:val="single" w:color="auto"/>
        </w:rPr>
        <w:t xml:space="preserve">         </w:t>
      </w:r>
      <w:r>
        <w:rPr>
          <w:rFonts w:hint="eastAsia" w:ascii="仿宋" w:hAnsi="仿宋" w:eastAsia="仿宋" w:cs="仿宋"/>
          <w:spacing w:val="-95"/>
          <w:sz w:val="24"/>
          <w:szCs w:val="24"/>
        </w:rPr>
        <w:t xml:space="preserve"> </w:t>
      </w:r>
      <w:r>
        <w:rPr>
          <w:rFonts w:hint="eastAsia" w:ascii="仿宋" w:hAnsi="仿宋" w:eastAsia="仿宋" w:cs="仿宋"/>
          <w:spacing w:val="3"/>
          <w:sz w:val="24"/>
          <w:szCs w:val="24"/>
        </w:rPr>
        <w:t>元整</w:t>
      </w:r>
      <w:r>
        <w:rPr>
          <w:rFonts w:hint="eastAsia" w:ascii="仿宋" w:hAnsi="仿宋" w:eastAsia="仿宋" w:cs="仿宋"/>
          <w:spacing w:val="55"/>
          <w:sz w:val="24"/>
          <w:szCs w:val="24"/>
        </w:rPr>
        <w:t xml:space="preserve"> </w:t>
      </w:r>
      <w:r>
        <w:rPr>
          <w:rFonts w:hint="eastAsia" w:ascii="仿宋" w:hAnsi="仿宋" w:eastAsia="仿宋" w:cs="仿宋"/>
          <w:spacing w:val="3"/>
          <w:sz w:val="24"/>
          <w:szCs w:val="24"/>
        </w:rPr>
        <w:t>(¥</w:t>
      </w:r>
      <w:r>
        <w:rPr>
          <w:rFonts w:hint="eastAsia" w:ascii="仿宋" w:hAnsi="仿宋" w:eastAsia="仿宋" w:cs="仿宋"/>
          <w:spacing w:val="3"/>
          <w:sz w:val="24"/>
          <w:szCs w:val="24"/>
          <w:u w:val="single" w:color="auto"/>
        </w:rPr>
        <w:t xml:space="preserve">             </w:t>
      </w:r>
      <w:r>
        <w:rPr>
          <w:rFonts w:hint="eastAsia" w:ascii="仿宋" w:hAnsi="仿宋" w:eastAsia="仿宋" w:cs="仿宋"/>
          <w:spacing w:val="-46"/>
          <w:sz w:val="24"/>
          <w:szCs w:val="24"/>
        </w:rPr>
        <w:t xml:space="preserve"> </w:t>
      </w:r>
      <w:r>
        <w:rPr>
          <w:rFonts w:hint="eastAsia" w:ascii="仿宋" w:hAnsi="仿宋" w:eastAsia="仿宋" w:cs="仿宋"/>
          <w:spacing w:val="3"/>
          <w:sz w:val="24"/>
          <w:szCs w:val="24"/>
        </w:rPr>
        <w:t>元)，工程总价包含乙供</w:t>
      </w:r>
      <w:r>
        <w:rPr>
          <w:rFonts w:hint="eastAsia" w:ascii="仿宋" w:hAnsi="仿宋" w:eastAsia="仿宋" w:cs="仿宋"/>
          <w:spacing w:val="2"/>
          <w:sz w:val="24"/>
          <w:szCs w:val="24"/>
        </w:rPr>
        <w:t>材料费、</w:t>
      </w:r>
      <w:r>
        <w:rPr>
          <w:rFonts w:hint="eastAsia" w:ascii="仿宋" w:hAnsi="仿宋" w:eastAsia="仿宋" w:cs="仿宋"/>
          <w:sz w:val="24"/>
          <w:szCs w:val="24"/>
        </w:rPr>
        <w:t xml:space="preserve"> </w:t>
      </w:r>
      <w:r>
        <w:rPr>
          <w:rFonts w:hint="eastAsia" w:ascii="仿宋" w:hAnsi="仿宋" w:eastAsia="仿宋" w:cs="仿宋"/>
          <w:spacing w:val="11"/>
          <w:sz w:val="24"/>
          <w:szCs w:val="24"/>
        </w:rPr>
        <w:t>安装费用、材料保管费用、搬运费用、安全保障设施费用、工伤保险费用等，乙方</w:t>
      </w:r>
      <w:r>
        <w:rPr>
          <w:rFonts w:hint="eastAsia" w:ascii="仿宋" w:hAnsi="仿宋" w:eastAsia="仿宋" w:cs="仿宋"/>
          <w:spacing w:val="10"/>
          <w:sz w:val="24"/>
          <w:szCs w:val="24"/>
        </w:rPr>
        <w:t xml:space="preserve"> </w:t>
      </w:r>
      <w:r>
        <w:rPr>
          <w:rFonts w:hint="eastAsia" w:ascii="仿宋" w:hAnsi="仿宋" w:eastAsia="仿宋" w:cs="仿宋"/>
          <w:spacing w:val="8"/>
          <w:sz w:val="24"/>
          <w:szCs w:val="24"/>
        </w:rPr>
        <w:t>不得要求甲方支付非经甲方认可的其他费用。</w:t>
      </w:r>
    </w:p>
    <w:p w14:paraId="04B18E67">
      <w:pPr>
        <w:pStyle w:val="11"/>
        <w:spacing w:before="178" w:line="230" w:lineRule="auto"/>
        <w:ind w:left="6"/>
        <w:rPr>
          <w:rFonts w:hint="eastAsia" w:ascii="仿宋" w:hAnsi="仿宋" w:eastAsia="仿宋" w:cs="仿宋"/>
          <w:sz w:val="24"/>
          <w:szCs w:val="24"/>
        </w:rPr>
      </w:pPr>
      <w:r>
        <w:rPr>
          <w:rFonts w:hint="eastAsia" w:ascii="仿宋" w:hAnsi="仿宋" w:eastAsia="仿宋" w:cs="仿宋"/>
          <w:b/>
          <w:bCs/>
          <w:spacing w:val="7"/>
          <w:sz w:val="24"/>
          <w:szCs w:val="24"/>
        </w:rPr>
        <w:t>第四条</w:t>
      </w:r>
      <w:r>
        <w:rPr>
          <w:rFonts w:hint="eastAsia" w:ascii="仿宋" w:hAnsi="仿宋" w:eastAsia="仿宋" w:cs="仿宋"/>
          <w:spacing w:val="7"/>
          <w:sz w:val="24"/>
          <w:szCs w:val="24"/>
        </w:rPr>
        <w:t xml:space="preserve"> </w:t>
      </w:r>
      <w:r>
        <w:rPr>
          <w:rFonts w:hint="eastAsia" w:ascii="仿宋" w:hAnsi="仿宋" w:eastAsia="仿宋" w:cs="仿宋"/>
          <w:b/>
          <w:bCs/>
          <w:spacing w:val="7"/>
          <w:sz w:val="24"/>
          <w:szCs w:val="24"/>
        </w:rPr>
        <w:t>设备、材料供应</w:t>
      </w:r>
    </w:p>
    <w:p w14:paraId="35B02001">
      <w:pPr>
        <w:pStyle w:val="11"/>
        <w:keepNext w:val="0"/>
        <w:keepLines w:val="0"/>
        <w:pageBreakBefore w:val="0"/>
        <w:widowControl w:val="0"/>
        <w:kinsoku/>
        <w:wordWrap/>
        <w:overflowPunct/>
        <w:topLinePunct w:val="0"/>
        <w:autoSpaceDE/>
        <w:autoSpaceDN/>
        <w:bidi w:val="0"/>
        <w:adjustRightInd/>
        <w:snapToGrid/>
        <w:spacing w:before="226" w:line="221" w:lineRule="auto"/>
        <w:ind w:left="440" w:leftChars="200"/>
        <w:textAlignment w:val="auto"/>
        <w:rPr>
          <w:rFonts w:hint="eastAsia" w:ascii="仿宋" w:hAnsi="仿宋" w:eastAsia="仿宋" w:cs="仿宋"/>
          <w:sz w:val="24"/>
          <w:szCs w:val="24"/>
        </w:rPr>
      </w:pPr>
      <w:r>
        <w:rPr>
          <w:rFonts w:hint="eastAsia" w:ascii="仿宋" w:hAnsi="仿宋" w:eastAsia="仿宋" w:cs="仿宋"/>
          <w:spacing w:val="6"/>
          <w:sz w:val="24"/>
          <w:szCs w:val="24"/>
        </w:rPr>
        <w:t>1.本工程所需的设备、材料乙方供给；</w:t>
      </w:r>
      <w:r>
        <w:rPr>
          <w:rFonts w:hint="eastAsia" w:ascii="仿宋" w:hAnsi="仿宋" w:eastAsia="仿宋" w:cs="仿宋"/>
          <w:spacing w:val="-42"/>
          <w:sz w:val="24"/>
          <w:szCs w:val="24"/>
        </w:rPr>
        <w:t xml:space="preserve"> </w:t>
      </w:r>
      <w:r>
        <w:rPr>
          <w:rFonts w:hint="eastAsia" w:ascii="仿宋" w:hAnsi="仿宋" w:eastAsia="仿宋" w:cs="仿宋"/>
          <w:spacing w:val="6"/>
          <w:sz w:val="24"/>
          <w:szCs w:val="24"/>
        </w:rPr>
        <w:t>(详见预算清单附件)</w:t>
      </w:r>
    </w:p>
    <w:p w14:paraId="61AB3FD8">
      <w:pPr>
        <w:pStyle w:val="11"/>
        <w:keepNext w:val="0"/>
        <w:keepLines w:val="0"/>
        <w:pageBreakBefore w:val="0"/>
        <w:widowControl w:val="0"/>
        <w:kinsoku/>
        <w:wordWrap/>
        <w:overflowPunct/>
        <w:topLinePunct w:val="0"/>
        <w:autoSpaceDE/>
        <w:autoSpaceDN/>
        <w:bidi w:val="0"/>
        <w:adjustRightInd/>
        <w:snapToGrid/>
        <w:spacing w:before="238" w:line="255" w:lineRule="auto"/>
        <w:ind w:left="803" w:leftChars="200" w:right="78" w:hanging="363"/>
        <w:textAlignment w:val="auto"/>
        <w:rPr>
          <w:rFonts w:hint="eastAsia" w:ascii="仿宋" w:hAnsi="仿宋" w:eastAsia="仿宋" w:cs="仿宋"/>
          <w:spacing w:val="11"/>
          <w:sz w:val="24"/>
          <w:szCs w:val="24"/>
        </w:rPr>
      </w:pPr>
      <w:r>
        <w:rPr>
          <w:rFonts w:hint="eastAsia" w:ascii="仿宋" w:hAnsi="仿宋" w:eastAsia="仿宋" w:cs="仿宋"/>
          <w:spacing w:val="11"/>
          <w:sz w:val="24"/>
          <w:szCs w:val="24"/>
        </w:rPr>
        <w:t>2.乙方应妥善保管、合理使用甲方供应及乙方自行采购的工程材料、设备。因保</w:t>
      </w:r>
    </w:p>
    <w:p w14:paraId="188ECD29">
      <w:pPr>
        <w:pStyle w:val="11"/>
        <w:keepNext w:val="0"/>
        <w:keepLines w:val="0"/>
        <w:pageBreakBefore w:val="0"/>
        <w:widowControl w:val="0"/>
        <w:kinsoku/>
        <w:wordWrap/>
        <w:overflowPunct/>
        <w:topLinePunct w:val="0"/>
        <w:autoSpaceDE/>
        <w:autoSpaceDN/>
        <w:bidi w:val="0"/>
        <w:adjustRightInd/>
        <w:snapToGrid/>
        <w:spacing w:before="238" w:line="255" w:lineRule="auto"/>
        <w:ind w:right="78"/>
        <w:textAlignment w:val="auto"/>
        <w:rPr>
          <w:rFonts w:hint="eastAsia" w:ascii="仿宋" w:hAnsi="仿宋" w:eastAsia="仿宋" w:cs="仿宋"/>
          <w:sz w:val="24"/>
          <w:szCs w:val="24"/>
        </w:rPr>
      </w:pPr>
      <w:r>
        <w:rPr>
          <w:rFonts w:hint="eastAsia" w:ascii="仿宋" w:hAnsi="仿宋" w:eastAsia="仿宋" w:cs="仿宋"/>
          <w:spacing w:val="11"/>
          <w:sz w:val="24"/>
          <w:szCs w:val="24"/>
        </w:rPr>
        <w:t>管</w:t>
      </w:r>
      <w:r>
        <w:rPr>
          <w:rFonts w:hint="eastAsia" w:ascii="仿宋" w:hAnsi="仿宋" w:eastAsia="仿宋" w:cs="仿宋"/>
          <w:spacing w:val="8"/>
          <w:sz w:val="24"/>
          <w:szCs w:val="24"/>
        </w:rPr>
        <w:t>不善发生丢失、损坏，乙方应赔偿，并承担因此造</w:t>
      </w:r>
      <w:r>
        <w:rPr>
          <w:rFonts w:hint="eastAsia" w:ascii="仿宋" w:hAnsi="仿宋" w:eastAsia="仿宋" w:cs="仿宋"/>
          <w:spacing w:val="7"/>
          <w:sz w:val="24"/>
          <w:szCs w:val="24"/>
        </w:rPr>
        <w:t>成的工期延误等发生的一切</w:t>
      </w:r>
      <w:r>
        <w:rPr>
          <w:rFonts w:hint="eastAsia" w:ascii="仿宋" w:hAnsi="仿宋" w:eastAsia="仿宋" w:cs="仿宋"/>
          <w:spacing w:val="4"/>
          <w:sz w:val="24"/>
          <w:szCs w:val="24"/>
        </w:rPr>
        <w:t>损失。</w:t>
      </w:r>
    </w:p>
    <w:p w14:paraId="2FC4A784">
      <w:pPr>
        <w:pStyle w:val="11"/>
        <w:keepNext w:val="0"/>
        <w:keepLines w:val="0"/>
        <w:pageBreakBefore w:val="0"/>
        <w:widowControl w:val="0"/>
        <w:kinsoku/>
        <w:wordWrap/>
        <w:overflowPunct/>
        <w:topLinePunct w:val="0"/>
        <w:autoSpaceDE/>
        <w:autoSpaceDN/>
        <w:bidi w:val="0"/>
        <w:adjustRightInd/>
        <w:snapToGrid/>
        <w:spacing w:before="228" w:line="221" w:lineRule="auto"/>
        <w:ind w:left="440" w:leftChars="200"/>
        <w:textAlignment w:val="auto"/>
        <w:rPr>
          <w:rFonts w:hint="eastAsia" w:ascii="仿宋" w:hAnsi="仿宋" w:eastAsia="仿宋" w:cs="仿宋"/>
          <w:sz w:val="24"/>
          <w:szCs w:val="24"/>
        </w:rPr>
      </w:pPr>
      <w:r>
        <w:rPr>
          <w:rFonts w:hint="eastAsia" w:ascii="仿宋" w:hAnsi="仿宋" w:eastAsia="仿宋" w:cs="仿宋"/>
          <w:spacing w:val="9"/>
          <w:sz w:val="24"/>
          <w:szCs w:val="24"/>
        </w:rPr>
        <w:t>3.乙方负责材料到场的卸车工作，费用已</w:t>
      </w:r>
      <w:r>
        <w:rPr>
          <w:rFonts w:hint="eastAsia" w:ascii="仿宋" w:hAnsi="仿宋" w:eastAsia="仿宋" w:cs="仿宋"/>
          <w:spacing w:val="8"/>
          <w:sz w:val="24"/>
          <w:szCs w:val="24"/>
        </w:rPr>
        <w:t>在合同总价中。</w:t>
      </w:r>
    </w:p>
    <w:p w14:paraId="691B4DDF">
      <w:pPr>
        <w:pStyle w:val="11"/>
        <w:spacing w:before="236" w:line="230" w:lineRule="auto"/>
        <w:ind w:left="6"/>
        <w:rPr>
          <w:rFonts w:hint="eastAsia" w:ascii="仿宋" w:hAnsi="仿宋" w:eastAsia="仿宋" w:cs="仿宋"/>
          <w:sz w:val="24"/>
          <w:szCs w:val="24"/>
        </w:rPr>
      </w:pPr>
      <w:r>
        <w:rPr>
          <w:rFonts w:hint="eastAsia" w:ascii="仿宋" w:hAnsi="仿宋" w:eastAsia="仿宋" w:cs="仿宋"/>
          <w:b/>
          <w:bCs/>
          <w:spacing w:val="7"/>
          <w:sz w:val="24"/>
          <w:szCs w:val="24"/>
        </w:rPr>
        <w:t>第五条</w:t>
      </w:r>
      <w:r>
        <w:rPr>
          <w:rFonts w:hint="eastAsia" w:ascii="仿宋" w:hAnsi="仿宋" w:eastAsia="仿宋" w:cs="仿宋"/>
          <w:spacing w:val="7"/>
          <w:sz w:val="24"/>
          <w:szCs w:val="24"/>
        </w:rPr>
        <w:t xml:space="preserve"> </w:t>
      </w:r>
      <w:r>
        <w:rPr>
          <w:rFonts w:hint="eastAsia" w:ascii="仿宋" w:hAnsi="仿宋" w:eastAsia="仿宋" w:cs="仿宋"/>
          <w:b/>
          <w:bCs/>
          <w:spacing w:val="7"/>
          <w:sz w:val="24"/>
          <w:szCs w:val="24"/>
        </w:rPr>
        <w:t>工程质量和检查验收</w:t>
      </w:r>
    </w:p>
    <w:p w14:paraId="1B696E90">
      <w:pPr>
        <w:pStyle w:val="11"/>
        <w:keepNext w:val="0"/>
        <w:keepLines w:val="0"/>
        <w:pageBreakBefore w:val="0"/>
        <w:widowControl w:val="0"/>
        <w:kinsoku/>
        <w:wordWrap/>
        <w:overflowPunct/>
        <w:topLinePunct w:val="0"/>
        <w:autoSpaceDE/>
        <w:autoSpaceDN/>
        <w:bidi w:val="0"/>
        <w:adjustRightInd/>
        <w:snapToGrid/>
        <w:spacing w:before="225" w:line="274" w:lineRule="auto"/>
        <w:ind w:left="790" w:leftChars="200" w:right="78" w:hanging="350"/>
        <w:textAlignment w:val="auto"/>
        <w:rPr>
          <w:rFonts w:hint="eastAsia" w:ascii="仿宋" w:hAnsi="仿宋" w:eastAsia="仿宋" w:cs="仿宋"/>
          <w:spacing w:val="10"/>
          <w:sz w:val="24"/>
          <w:szCs w:val="24"/>
        </w:rPr>
      </w:pPr>
      <w:r>
        <w:rPr>
          <w:rFonts w:hint="eastAsia" w:ascii="仿宋" w:hAnsi="仿宋" w:eastAsia="仿宋" w:cs="仿宋"/>
          <w:spacing w:val="11"/>
          <w:sz w:val="24"/>
          <w:szCs w:val="24"/>
        </w:rPr>
        <w:t>1.乙方必须严格按国家颁发的有关规范、规程进行施工，并</w:t>
      </w:r>
      <w:r>
        <w:rPr>
          <w:rFonts w:hint="eastAsia" w:ascii="仿宋" w:hAnsi="仿宋" w:eastAsia="仿宋" w:cs="仿宋"/>
          <w:spacing w:val="10"/>
          <w:sz w:val="24"/>
          <w:szCs w:val="24"/>
        </w:rPr>
        <w:t>接受甲方代表的监督</w:t>
      </w:r>
    </w:p>
    <w:p w14:paraId="7283B009">
      <w:pPr>
        <w:pStyle w:val="11"/>
        <w:keepNext w:val="0"/>
        <w:keepLines w:val="0"/>
        <w:pageBreakBefore w:val="0"/>
        <w:widowControl w:val="0"/>
        <w:kinsoku/>
        <w:wordWrap/>
        <w:overflowPunct/>
        <w:topLinePunct w:val="0"/>
        <w:autoSpaceDE/>
        <w:autoSpaceDN/>
        <w:bidi w:val="0"/>
        <w:adjustRightInd/>
        <w:snapToGrid/>
        <w:spacing w:before="225" w:line="274" w:lineRule="auto"/>
        <w:ind w:right="78"/>
        <w:textAlignment w:val="auto"/>
        <w:rPr>
          <w:rFonts w:hint="eastAsia" w:ascii="仿宋" w:hAnsi="仿宋" w:eastAsia="仿宋" w:cs="仿宋"/>
          <w:sz w:val="24"/>
          <w:szCs w:val="24"/>
        </w:rPr>
      </w:pPr>
      <w:r>
        <w:rPr>
          <w:rFonts w:hint="eastAsia" w:ascii="仿宋" w:hAnsi="仿宋" w:eastAsia="仿宋" w:cs="仿宋"/>
          <w:spacing w:val="10"/>
          <w:sz w:val="24"/>
          <w:szCs w:val="24"/>
        </w:rPr>
        <w:t>检</w:t>
      </w:r>
      <w:r>
        <w:rPr>
          <w:rFonts w:hint="eastAsia" w:ascii="仿宋" w:hAnsi="仿宋" w:eastAsia="仿宋" w:cs="仿宋"/>
          <w:spacing w:val="-1"/>
          <w:sz w:val="24"/>
          <w:szCs w:val="24"/>
        </w:rPr>
        <w:t>查。</w:t>
      </w:r>
    </w:p>
    <w:p w14:paraId="32E40432">
      <w:pPr>
        <w:pStyle w:val="11"/>
        <w:keepNext w:val="0"/>
        <w:keepLines w:val="0"/>
        <w:pageBreakBefore w:val="0"/>
        <w:widowControl w:val="0"/>
        <w:kinsoku/>
        <w:wordWrap/>
        <w:overflowPunct/>
        <w:topLinePunct w:val="0"/>
        <w:autoSpaceDE/>
        <w:autoSpaceDN/>
        <w:bidi w:val="0"/>
        <w:adjustRightInd/>
        <w:snapToGrid/>
        <w:spacing w:before="45" w:line="245" w:lineRule="auto"/>
        <w:ind w:left="840" w:leftChars="200" w:hanging="400"/>
        <w:textAlignment w:val="auto"/>
        <w:rPr>
          <w:rFonts w:hint="eastAsia" w:ascii="仿宋" w:hAnsi="仿宋" w:eastAsia="仿宋" w:cs="仿宋"/>
          <w:spacing w:val="8"/>
          <w:sz w:val="24"/>
          <w:szCs w:val="24"/>
        </w:rPr>
      </w:pPr>
      <w:r>
        <w:rPr>
          <w:rFonts w:hint="eastAsia" w:ascii="仿宋" w:hAnsi="仿宋" w:eastAsia="仿宋" w:cs="仿宋"/>
          <w:spacing w:val="9"/>
          <w:sz w:val="24"/>
          <w:szCs w:val="24"/>
        </w:rPr>
        <w:t>2.乙方应按工程进度，及时向甲方提供关于工程质量的技</w:t>
      </w:r>
      <w:r>
        <w:rPr>
          <w:rFonts w:hint="eastAsia" w:ascii="仿宋" w:hAnsi="仿宋" w:eastAsia="仿宋" w:cs="仿宋"/>
          <w:spacing w:val="8"/>
          <w:sz w:val="24"/>
          <w:szCs w:val="24"/>
        </w:rPr>
        <w:t>术资料，如试验、试压、</w:t>
      </w:r>
    </w:p>
    <w:p w14:paraId="65300A8E">
      <w:pPr>
        <w:pStyle w:val="11"/>
        <w:keepNext w:val="0"/>
        <w:keepLines w:val="0"/>
        <w:pageBreakBefore w:val="0"/>
        <w:widowControl w:val="0"/>
        <w:kinsoku/>
        <w:wordWrap/>
        <w:overflowPunct/>
        <w:topLinePunct w:val="0"/>
        <w:autoSpaceDE/>
        <w:autoSpaceDN/>
        <w:bidi w:val="0"/>
        <w:adjustRightInd/>
        <w:snapToGrid/>
        <w:spacing w:before="45" w:line="245" w:lineRule="auto"/>
        <w:textAlignment w:val="auto"/>
        <w:rPr>
          <w:rFonts w:hint="eastAsia" w:ascii="仿宋" w:hAnsi="仿宋" w:eastAsia="仿宋" w:cs="仿宋"/>
          <w:sz w:val="24"/>
          <w:szCs w:val="24"/>
        </w:rPr>
      </w:pPr>
      <w:r>
        <w:rPr>
          <w:rFonts w:hint="eastAsia" w:ascii="仿宋" w:hAnsi="仿宋" w:eastAsia="仿宋" w:cs="仿宋"/>
          <w:spacing w:val="8"/>
          <w:sz w:val="24"/>
          <w:szCs w:val="24"/>
        </w:rPr>
        <w:t>测试、</w:t>
      </w:r>
      <w:r>
        <w:rPr>
          <w:rFonts w:hint="eastAsia" w:ascii="仿宋" w:hAnsi="仿宋" w:eastAsia="仿宋" w:cs="仿宋"/>
          <w:spacing w:val="9"/>
          <w:sz w:val="24"/>
          <w:szCs w:val="24"/>
        </w:rPr>
        <w:t>报告等。隐蔽工程未经甲方专业人员检查不得隐蔽，否则将承担有关责任。</w:t>
      </w:r>
    </w:p>
    <w:p w14:paraId="70E65FED">
      <w:pPr>
        <w:pStyle w:val="11"/>
        <w:keepNext w:val="0"/>
        <w:keepLines w:val="0"/>
        <w:pageBreakBefore w:val="0"/>
        <w:widowControl w:val="0"/>
        <w:kinsoku/>
        <w:wordWrap/>
        <w:overflowPunct/>
        <w:topLinePunct w:val="0"/>
        <w:autoSpaceDE/>
        <w:autoSpaceDN/>
        <w:bidi w:val="0"/>
        <w:adjustRightInd/>
        <w:snapToGrid/>
        <w:spacing w:before="215" w:line="251" w:lineRule="auto"/>
        <w:ind w:left="844" w:leftChars="200" w:right="73" w:hanging="404"/>
        <w:textAlignment w:val="auto"/>
        <w:rPr>
          <w:rFonts w:hint="eastAsia" w:ascii="仿宋" w:hAnsi="仿宋" w:eastAsia="仿宋" w:cs="仿宋"/>
          <w:spacing w:val="6"/>
          <w:sz w:val="24"/>
          <w:szCs w:val="24"/>
        </w:rPr>
      </w:pPr>
      <w:r>
        <w:rPr>
          <w:rFonts w:hint="eastAsia" w:ascii="仿宋" w:hAnsi="仿宋" w:eastAsia="仿宋" w:cs="仿宋"/>
          <w:spacing w:val="7"/>
          <w:sz w:val="24"/>
          <w:szCs w:val="24"/>
        </w:rPr>
        <w:t>3.工程竣工验收合格后，乙方向甲方提交工程验收书，甲方自接到</w:t>
      </w:r>
      <w:r>
        <w:rPr>
          <w:rFonts w:hint="eastAsia" w:ascii="仿宋" w:hAnsi="仿宋" w:eastAsia="仿宋" w:cs="仿宋"/>
          <w:spacing w:val="6"/>
          <w:sz w:val="24"/>
          <w:szCs w:val="24"/>
        </w:rPr>
        <w:t>上述资料一月内</w:t>
      </w:r>
    </w:p>
    <w:p w14:paraId="2598F470">
      <w:pPr>
        <w:pStyle w:val="11"/>
        <w:keepNext w:val="0"/>
        <w:keepLines w:val="0"/>
        <w:pageBreakBefore w:val="0"/>
        <w:widowControl w:val="0"/>
        <w:kinsoku/>
        <w:wordWrap/>
        <w:overflowPunct/>
        <w:topLinePunct w:val="0"/>
        <w:autoSpaceDE/>
        <w:autoSpaceDN/>
        <w:bidi w:val="0"/>
        <w:adjustRightInd/>
        <w:snapToGrid/>
        <w:spacing w:before="215" w:line="251" w:lineRule="auto"/>
        <w:ind w:right="73"/>
        <w:textAlignment w:val="auto"/>
        <w:rPr>
          <w:rFonts w:hint="eastAsia" w:ascii="仿宋" w:hAnsi="仿宋" w:eastAsia="仿宋" w:cs="仿宋"/>
          <w:sz w:val="24"/>
          <w:szCs w:val="24"/>
        </w:rPr>
      </w:pPr>
      <w:r>
        <w:rPr>
          <w:rFonts w:hint="eastAsia" w:ascii="仿宋" w:hAnsi="仿宋" w:eastAsia="仿宋" w:cs="仿宋"/>
          <w:spacing w:val="6"/>
          <w:sz w:val="24"/>
          <w:szCs w:val="24"/>
        </w:rPr>
        <w:t>审查完</w:t>
      </w:r>
      <w:r>
        <w:rPr>
          <w:rFonts w:hint="eastAsia" w:ascii="仿宋" w:hAnsi="仿宋" w:eastAsia="仿宋" w:cs="仿宋"/>
          <w:spacing w:val="-2"/>
          <w:sz w:val="24"/>
          <w:szCs w:val="24"/>
        </w:rPr>
        <w:t>毕。</w:t>
      </w:r>
    </w:p>
    <w:p w14:paraId="76DBE9A6">
      <w:pPr>
        <w:pStyle w:val="11"/>
        <w:keepNext w:val="0"/>
        <w:keepLines w:val="0"/>
        <w:pageBreakBefore w:val="0"/>
        <w:widowControl w:val="0"/>
        <w:kinsoku/>
        <w:wordWrap/>
        <w:overflowPunct/>
        <w:topLinePunct w:val="0"/>
        <w:autoSpaceDE/>
        <w:autoSpaceDN/>
        <w:bidi w:val="0"/>
        <w:adjustRightInd/>
        <w:snapToGrid/>
        <w:spacing w:before="205" w:line="252" w:lineRule="auto"/>
        <w:ind w:left="845" w:leftChars="200" w:right="73" w:hanging="405"/>
        <w:textAlignment w:val="auto"/>
        <w:rPr>
          <w:rFonts w:hint="eastAsia" w:ascii="仿宋" w:hAnsi="仿宋" w:eastAsia="仿宋" w:cs="仿宋"/>
          <w:spacing w:val="6"/>
          <w:sz w:val="24"/>
          <w:szCs w:val="24"/>
        </w:rPr>
      </w:pPr>
      <w:r>
        <w:rPr>
          <w:rFonts w:hint="eastAsia" w:ascii="仿宋" w:hAnsi="仿宋" w:eastAsia="仿宋" w:cs="仿宋"/>
          <w:spacing w:val="7"/>
          <w:sz w:val="24"/>
          <w:szCs w:val="24"/>
        </w:rPr>
        <w:t>4.验收中如发现有不符合质量要求，需要返工的工程，由乙方负责修好再进行检</w:t>
      </w:r>
      <w:r>
        <w:rPr>
          <w:rFonts w:hint="eastAsia" w:ascii="仿宋" w:hAnsi="仿宋" w:eastAsia="仿宋" w:cs="仿宋"/>
          <w:spacing w:val="6"/>
          <w:sz w:val="24"/>
          <w:szCs w:val="24"/>
        </w:rPr>
        <w:t>验。</w:t>
      </w:r>
    </w:p>
    <w:p w14:paraId="1A615321">
      <w:pPr>
        <w:pStyle w:val="11"/>
        <w:keepNext w:val="0"/>
        <w:keepLines w:val="0"/>
        <w:pageBreakBefore w:val="0"/>
        <w:widowControl w:val="0"/>
        <w:kinsoku/>
        <w:wordWrap/>
        <w:overflowPunct/>
        <w:topLinePunct w:val="0"/>
        <w:autoSpaceDE/>
        <w:autoSpaceDN/>
        <w:bidi w:val="0"/>
        <w:adjustRightInd/>
        <w:snapToGrid/>
        <w:spacing w:before="205" w:line="252" w:lineRule="auto"/>
        <w:ind w:right="73"/>
        <w:textAlignment w:val="auto"/>
        <w:rPr>
          <w:rFonts w:hint="eastAsia" w:ascii="仿宋" w:hAnsi="仿宋" w:eastAsia="仿宋" w:cs="仿宋"/>
          <w:sz w:val="24"/>
          <w:szCs w:val="24"/>
        </w:rPr>
      </w:pPr>
      <w:r>
        <w:rPr>
          <w:rFonts w:hint="eastAsia" w:ascii="仿宋" w:hAnsi="仿宋" w:eastAsia="仿宋" w:cs="仿宋"/>
          <w:spacing w:val="6"/>
          <w:sz w:val="24"/>
          <w:szCs w:val="24"/>
        </w:rPr>
        <w:t>乙方</w:t>
      </w:r>
      <w:r>
        <w:rPr>
          <w:rFonts w:hint="eastAsia" w:ascii="仿宋" w:hAnsi="仿宋" w:eastAsia="仿宋" w:cs="仿宋"/>
          <w:spacing w:val="8"/>
          <w:sz w:val="24"/>
          <w:szCs w:val="24"/>
        </w:rPr>
        <w:t>如不能在安排的期限内整改完成且达到竣工要求时，甲方有权按计划合法使用而不被</w:t>
      </w:r>
      <w:r>
        <w:rPr>
          <w:rFonts w:hint="eastAsia" w:ascii="仿宋" w:hAnsi="仿宋" w:eastAsia="仿宋" w:cs="仿宋"/>
          <w:spacing w:val="9"/>
          <w:sz w:val="24"/>
          <w:szCs w:val="24"/>
        </w:rPr>
        <w:t>视为验收通过，乙方须在有限的时间内处理完毕，直至验收合格。</w:t>
      </w:r>
    </w:p>
    <w:p w14:paraId="780659A9">
      <w:pPr>
        <w:pStyle w:val="11"/>
        <w:keepNext w:val="0"/>
        <w:keepLines w:val="0"/>
        <w:pageBreakBefore w:val="0"/>
        <w:widowControl w:val="0"/>
        <w:kinsoku/>
        <w:wordWrap/>
        <w:overflowPunct/>
        <w:topLinePunct w:val="0"/>
        <w:autoSpaceDE/>
        <w:autoSpaceDN/>
        <w:bidi w:val="0"/>
        <w:adjustRightInd/>
        <w:snapToGrid/>
        <w:spacing w:before="238" w:line="229" w:lineRule="auto"/>
        <w:ind w:left="440" w:leftChars="200"/>
        <w:textAlignment w:val="auto"/>
        <w:rPr>
          <w:rFonts w:hint="eastAsia" w:ascii="仿宋" w:hAnsi="仿宋" w:eastAsia="仿宋" w:cs="仿宋"/>
          <w:sz w:val="24"/>
          <w:szCs w:val="24"/>
        </w:rPr>
      </w:pPr>
      <w:r>
        <w:rPr>
          <w:rFonts w:hint="eastAsia" w:ascii="仿宋" w:hAnsi="仿宋" w:eastAsia="仿宋" w:cs="仿宋"/>
          <w:spacing w:val="8"/>
          <w:sz w:val="24"/>
          <w:szCs w:val="24"/>
        </w:rPr>
        <w:t>5.竣工日期以最后验收合格的日期为准。</w:t>
      </w:r>
    </w:p>
    <w:p w14:paraId="4F9064D8">
      <w:pPr>
        <w:pStyle w:val="11"/>
        <w:spacing w:before="214" w:line="222" w:lineRule="auto"/>
        <w:ind w:left="6"/>
        <w:rPr>
          <w:rFonts w:hint="eastAsia" w:ascii="仿宋" w:hAnsi="仿宋" w:eastAsia="仿宋" w:cs="仿宋"/>
          <w:sz w:val="24"/>
          <w:szCs w:val="24"/>
        </w:rPr>
      </w:pPr>
      <w:r>
        <w:rPr>
          <w:rFonts w:hint="eastAsia" w:ascii="仿宋" w:hAnsi="仿宋" w:eastAsia="仿宋" w:cs="仿宋"/>
          <w:b/>
          <w:bCs/>
          <w:spacing w:val="-3"/>
          <w:sz w:val="24"/>
          <w:szCs w:val="24"/>
        </w:rPr>
        <w:t>第六条</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施工变更</w:t>
      </w:r>
    </w:p>
    <w:p w14:paraId="37A06E04">
      <w:pPr>
        <w:pStyle w:val="11"/>
        <w:spacing w:before="203" w:line="264" w:lineRule="auto"/>
        <w:ind w:left="7" w:right="74" w:firstLine="518"/>
        <w:rPr>
          <w:rFonts w:hint="eastAsia" w:ascii="仿宋" w:hAnsi="仿宋" w:eastAsia="仿宋" w:cs="仿宋"/>
          <w:sz w:val="24"/>
          <w:szCs w:val="24"/>
        </w:rPr>
      </w:pPr>
      <w:r>
        <w:rPr>
          <w:rFonts w:hint="eastAsia" w:ascii="仿宋" w:hAnsi="仿宋" w:eastAsia="仿宋" w:cs="仿宋"/>
          <w:spacing w:val="11"/>
          <w:sz w:val="24"/>
          <w:szCs w:val="24"/>
        </w:rPr>
        <w:t>甲方根据工程实际情况需要，可以对施工进行部分变更，乙方必须遵照执行，因施</w:t>
      </w:r>
      <w:r>
        <w:rPr>
          <w:rFonts w:hint="eastAsia" w:ascii="仿宋" w:hAnsi="仿宋" w:eastAsia="仿宋" w:cs="仿宋"/>
          <w:spacing w:val="9"/>
          <w:sz w:val="24"/>
          <w:szCs w:val="24"/>
        </w:rPr>
        <w:t>工变更造成的工程量增减，根据实际工程量结算。</w:t>
      </w:r>
    </w:p>
    <w:p w14:paraId="262C2BD1">
      <w:pPr>
        <w:pStyle w:val="11"/>
        <w:spacing w:before="178" w:line="221" w:lineRule="auto"/>
        <w:ind w:left="6"/>
        <w:rPr>
          <w:rFonts w:hint="eastAsia" w:ascii="仿宋" w:hAnsi="仿宋" w:eastAsia="仿宋" w:cs="仿宋"/>
          <w:sz w:val="24"/>
          <w:szCs w:val="24"/>
        </w:rPr>
      </w:pPr>
      <w:r>
        <w:rPr>
          <w:rFonts w:hint="eastAsia" w:ascii="仿宋" w:hAnsi="仿宋" w:eastAsia="仿宋" w:cs="仿宋"/>
          <w:b/>
          <w:bCs/>
          <w:spacing w:val="-3"/>
          <w:sz w:val="24"/>
          <w:szCs w:val="24"/>
        </w:rPr>
        <w:t>第七条</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双方负责事项</w:t>
      </w:r>
    </w:p>
    <w:p w14:paraId="72FF7BC0">
      <w:pPr>
        <w:pStyle w:val="11"/>
        <w:keepNext w:val="0"/>
        <w:keepLines w:val="0"/>
        <w:pageBreakBefore w:val="0"/>
        <w:widowControl w:val="0"/>
        <w:kinsoku/>
        <w:wordWrap/>
        <w:overflowPunct/>
        <w:topLinePunct w:val="0"/>
        <w:autoSpaceDE/>
        <w:autoSpaceDN/>
        <w:bidi w:val="0"/>
        <w:adjustRightInd/>
        <w:snapToGrid/>
        <w:spacing w:before="226" w:line="229" w:lineRule="auto"/>
        <w:ind w:left="440" w:leftChars="200"/>
        <w:textAlignment w:val="auto"/>
        <w:rPr>
          <w:rFonts w:hint="eastAsia" w:ascii="仿宋" w:hAnsi="仿宋" w:eastAsia="仿宋" w:cs="仿宋"/>
          <w:sz w:val="24"/>
          <w:szCs w:val="24"/>
        </w:rPr>
      </w:pPr>
      <w:r>
        <w:rPr>
          <w:rFonts w:hint="eastAsia" w:ascii="仿宋" w:hAnsi="仿宋" w:eastAsia="仿宋" w:cs="仿宋"/>
          <w:spacing w:val="2"/>
          <w:sz w:val="24"/>
          <w:szCs w:val="24"/>
        </w:rPr>
        <w:t>1.甲方</w:t>
      </w:r>
    </w:p>
    <w:p w14:paraId="3A82E9E1">
      <w:pPr>
        <w:pStyle w:val="11"/>
        <w:keepNext w:val="0"/>
        <w:keepLines w:val="0"/>
        <w:pageBreakBefore w:val="0"/>
        <w:widowControl w:val="0"/>
        <w:kinsoku/>
        <w:wordWrap/>
        <w:overflowPunct/>
        <w:topLinePunct w:val="0"/>
        <w:autoSpaceDE/>
        <w:autoSpaceDN/>
        <w:bidi w:val="0"/>
        <w:adjustRightInd/>
        <w:snapToGrid/>
        <w:spacing w:before="226" w:line="221" w:lineRule="auto"/>
        <w:ind w:left="440" w:leftChars="200"/>
        <w:textAlignment w:val="auto"/>
        <w:rPr>
          <w:rFonts w:hint="eastAsia" w:ascii="仿宋" w:hAnsi="仿宋" w:eastAsia="仿宋" w:cs="仿宋"/>
          <w:sz w:val="24"/>
          <w:szCs w:val="24"/>
        </w:rPr>
      </w:pPr>
      <w:r>
        <w:rPr>
          <w:rFonts w:hint="eastAsia" w:ascii="仿宋" w:hAnsi="仿宋" w:eastAsia="仿宋" w:cs="仿宋"/>
          <w:spacing w:val="7"/>
          <w:sz w:val="24"/>
          <w:szCs w:val="24"/>
        </w:rPr>
        <w:t>1)合同签订后，向乙方提供有关技术要求；</w:t>
      </w:r>
    </w:p>
    <w:p w14:paraId="6F1532DE">
      <w:pPr>
        <w:pStyle w:val="11"/>
        <w:keepNext w:val="0"/>
        <w:keepLines w:val="0"/>
        <w:pageBreakBefore w:val="0"/>
        <w:widowControl w:val="0"/>
        <w:kinsoku/>
        <w:wordWrap/>
        <w:overflowPunct/>
        <w:topLinePunct w:val="0"/>
        <w:autoSpaceDE/>
        <w:autoSpaceDN/>
        <w:bidi w:val="0"/>
        <w:adjustRightInd/>
        <w:snapToGrid/>
        <w:spacing w:before="238" w:line="221" w:lineRule="auto"/>
        <w:ind w:left="440" w:leftChars="200"/>
        <w:textAlignment w:val="auto"/>
        <w:rPr>
          <w:rFonts w:hint="eastAsia" w:ascii="仿宋" w:hAnsi="仿宋" w:eastAsia="仿宋" w:cs="仿宋"/>
          <w:sz w:val="24"/>
          <w:szCs w:val="24"/>
        </w:rPr>
      </w:pPr>
      <w:r>
        <w:rPr>
          <w:rFonts w:hint="eastAsia" w:ascii="仿宋" w:hAnsi="仿宋" w:eastAsia="仿宋" w:cs="仿宋"/>
          <w:spacing w:val="9"/>
          <w:sz w:val="24"/>
          <w:szCs w:val="24"/>
        </w:rPr>
        <w:t>2)组织乙方和设计单位参加施工交底，并做好各方共同签署的交底纪要；</w:t>
      </w:r>
    </w:p>
    <w:p w14:paraId="57ECE291">
      <w:pPr>
        <w:pStyle w:val="11"/>
        <w:keepNext w:val="0"/>
        <w:keepLines w:val="0"/>
        <w:pageBreakBefore w:val="0"/>
        <w:widowControl w:val="0"/>
        <w:kinsoku/>
        <w:wordWrap/>
        <w:overflowPunct/>
        <w:topLinePunct w:val="0"/>
        <w:autoSpaceDE/>
        <w:autoSpaceDN/>
        <w:bidi w:val="0"/>
        <w:adjustRightInd/>
        <w:snapToGrid/>
        <w:spacing w:before="217" w:line="229" w:lineRule="auto"/>
        <w:ind w:left="440" w:leftChars="200"/>
        <w:textAlignment w:val="auto"/>
        <w:rPr>
          <w:rFonts w:hint="eastAsia" w:ascii="仿宋" w:hAnsi="仿宋" w:eastAsia="仿宋" w:cs="仿宋"/>
          <w:sz w:val="24"/>
          <w:szCs w:val="24"/>
        </w:rPr>
      </w:pPr>
      <w:r>
        <w:rPr>
          <w:rFonts w:hint="eastAsia" w:ascii="仿宋" w:hAnsi="仿宋" w:eastAsia="仿宋" w:cs="仿宋"/>
          <w:spacing w:val="7"/>
          <w:sz w:val="24"/>
          <w:szCs w:val="24"/>
        </w:rPr>
        <w:t>3)审核乙方工程进度。</w:t>
      </w:r>
    </w:p>
    <w:p w14:paraId="260CC1F5">
      <w:pPr>
        <w:pStyle w:val="11"/>
        <w:keepNext w:val="0"/>
        <w:keepLines w:val="0"/>
        <w:pageBreakBefore w:val="0"/>
        <w:widowControl w:val="0"/>
        <w:kinsoku/>
        <w:wordWrap/>
        <w:overflowPunct/>
        <w:topLinePunct w:val="0"/>
        <w:autoSpaceDE/>
        <w:autoSpaceDN/>
        <w:bidi w:val="0"/>
        <w:adjustRightInd/>
        <w:snapToGrid/>
        <w:spacing w:before="226" w:line="229" w:lineRule="auto"/>
        <w:ind w:left="440" w:leftChars="200"/>
        <w:textAlignment w:val="auto"/>
        <w:rPr>
          <w:rFonts w:hint="eastAsia" w:ascii="仿宋" w:hAnsi="仿宋" w:eastAsia="仿宋" w:cs="仿宋"/>
          <w:sz w:val="24"/>
          <w:szCs w:val="24"/>
        </w:rPr>
      </w:pPr>
      <w:r>
        <w:rPr>
          <w:rFonts w:hint="eastAsia" w:ascii="仿宋" w:hAnsi="仿宋" w:eastAsia="仿宋" w:cs="仿宋"/>
          <w:spacing w:val="5"/>
          <w:sz w:val="24"/>
          <w:szCs w:val="24"/>
        </w:rPr>
        <w:t>2.乙方</w:t>
      </w:r>
    </w:p>
    <w:p w14:paraId="6605E04B">
      <w:pPr>
        <w:pStyle w:val="11"/>
        <w:keepNext w:val="0"/>
        <w:keepLines w:val="0"/>
        <w:pageBreakBefore w:val="0"/>
        <w:widowControl w:val="0"/>
        <w:kinsoku/>
        <w:wordWrap/>
        <w:overflowPunct/>
        <w:topLinePunct w:val="0"/>
        <w:autoSpaceDE/>
        <w:autoSpaceDN/>
        <w:bidi w:val="0"/>
        <w:adjustRightInd/>
        <w:snapToGrid/>
        <w:spacing w:before="226" w:line="221" w:lineRule="auto"/>
        <w:ind w:left="440" w:leftChars="200"/>
        <w:textAlignment w:val="auto"/>
        <w:rPr>
          <w:rFonts w:hint="eastAsia" w:ascii="仿宋" w:hAnsi="仿宋" w:eastAsia="仿宋" w:cs="仿宋"/>
          <w:sz w:val="24"/>
          <w:szCs w:val="24"/>
        </w:rPr>
      </w:pPr>
      <w:r>
        <w:rPr>
          <w:rFonts w:hint="eastAsia" w:ascii="仿宋" w:hAnsi="仿宋" w:eastAsia="仿宋" w:cs="仿宋"/>
          <w:spacing w:val="7"/>
          <w:sz w:val="24"/>
          <w:szCs w:val="24"/>
        </w:rPr>
        <w:t>1)自备工程所需要的加工器械和施工工具；</w:t>
      </w:r>
    </w:p>
    <w:p w14:paraId="160E7427">
      <w:pPr>
        <w:pStyle w:val="11"/>
        <w:keepNext w:val="0"/>
        <w:keepLines w:val="0"/>
        <w:pageBreakBefore w:val="0"/>
        <w:widowControl w:val="0"/>
        <w:kinsoku/>
        <w:wordWrap/>
        <w:overflowPunct/>
        <w:topLinePunct w:val="0"/>
        <w:autoSpaceDE/>
        <w:autoSpaceDN/>
        <w:bidi w:val="0"/>
        <w:adjustRightInd/>
        <w:snapToGrid/>
        <w:spacing w:before="217" w:line="221" w:lineRule="auto"/>
        <w:ind w:left="440" w:leftChars="200"/>
        <w:textAlignment w:val="auto"/>
        <w:rPr>
          <w:rFonts w:hint="eastAsia" w:ascii="仿宋" w:hAnsi="仿宋" w:eastAsia="仿宋" w:cs="仿宋"/>
          <w:sz w:val="24"/>
          <w:szCs w:val="24"/>
        </w:rPr>
      </w:pPr>
      <w:r>
        <w:rPr>
          <w:rFonts w:hint="eastAsia" w:ascii="仿宋" w:hAnsi="仿宋" w:eastAsia="仿宋" w:cs="仿宋"/>
          <w:spacing w:val="8"/>
          <w:sz w:val="24"/>
          <w:szCs w:val="24"/>
        </w:rPr>
        <w:t>2)做好材料和设备的检验、管理；</w:t>
      </w:r>
    </w:p>
    <w:p w14:paraId="04775736">
      <w:pPr>
        <w:pStyle w:val="11"/>
        <w:keepNext w:val="0"/>
        <w:keepLines w:val="0"/>
        <w:pageBreakBefore w:val="0"/>
        <w:widowControl w:val="0"/>
        <w:kinsoku/>
        <w:wordWrap/>
        <w:overflowPunct/>
        <w:topLinePunct w:val="0"/>
        <w:autoSpaceDE/>
        <w:autoSpaceDN/>
        <w:bidi w:val="0"/>
        <w:adjustRightInd/>
        <w:snapToGrid/>
        <w:spacing w:before="215" w:line="250" w:lineRule="auto"/>
        <w:ind w:left="848" w:leftChars="200" w:right="73" w:hanging="408"/>
        <w:textAlignment w:val="auto"/>
        <w:rPr>
          <w:rFonts w:hint="eastAsia" w:ascii="仿宋" w:hAnsi="仿宋" w:eastAsia="仿宋" w:cs="仿宋"/>
          <w:spacing w:val="6"/>
          <w:sz w:val="24"/>
          <w:szCs w:val="24"/>
        </w:rPr>
      </w:pPr>
      <w:r>
        <w:rPr>
          <w:rFonts w:hint="eastAsia" w:ascii="仿宋" w:hAnsi="仿宋" w:eastAsia="仿宋" w:cs="仿宋"/>
          <w:spacing w:val="7"/>
          <w:sz w:val="24"/>
          <w:szCs w:val="24"/>
        </w:rPr>
        <w:t>3)严格按照施工图与说明书进行施工，确保工程质量，提供工程进</w:t>
      </w:r>
      <w:r>
        <w:rPr>
          <w:rFonts w:hint="eastAsia" w:ascii="仿宋" w:hAnsi="仿宋" w:eastAsia="仿宋" w:cs="仿宋"/>
          <w:spacing w:val="6"/>
          <w:sz w:val="24"/>
          <w:szCs w:val="24"/>
        </w:rPr>
        <w:t>度报表，按合同</w:t>
      </w:r>
    </w:p>
    <w:p w14:paraId="0EC89F0C">
      <w:pPr>
        <w:pStyle w:val="11"/>
        <w:keepNext w:val="0"/>
        <w:keepLines w:val="0"/>
        <w:pageBreakBefore w:val="0"/>
        <w:widowControl w:val="0"/>
        <w:kinsoku/>
        <w:wordWrap/>
        <w:overflowPunct/>
        <w:topLinePunct w:val="0"/>
        <w:autoSpaceDE/>
        <w:autoSpaceDN/>
        <w:bidi w:val="0"/>
        <w:adjustRightInd/>
        <w:snapToGrid/>
        <w:spacing w:before="215" w:line="250" w:lineRule="auto"/>
        <w:ind w:right="73"/>
        <w:textAlignment w:val="auto"/>
        <w:rPr>
          <w:rFonts w:hint="eastAsia" w:ascii="仿宋" w:hAnsi="仿宋" w:eastAsia="仿宋" w:cs="仿宋"/>
          <w:sz w:val="24"/>
          <w:szCs w:val="24"/>
        </w:rPr>
      </w:pPr>
      <w:r>
        <w:rPr>
          <w:rFonts w:hint="eastAsia" w:ascii="仿宋" w:hAnsi="仿宋" w:eastAsia="仿宋" w:cs="仿宋"/>
          <w:spacing w:val="6"/>
          <w:sz w:val="24"/>
          <w:szCs w:val="24"/>
        </w:rPr>
        <w:t>规定的</w:t>
      </w:r>
      <w:r>
        <w:rPr>
          <w:rFonts w:hint="eastAsia" w:ascii="仿宋" w:hAnsi="仿宋" w:eastAsia="仿宋" w:cs="仿宋"/>
          <w:spacing w:val="7"/>
          <w:sz w:val="24"/>
          <w:szCs w:val="24"/>
        </w:rPr>
        <w:t>时间如期完工和交付 。</w:t>
      </w:r>
    </w:p>
    <w:p w14:paraId="63B34D86">
      <w:pPr>
        <w:pStyle w:val="11"/>
        <w:keepNext w:val="0"/>
        <w:keepLines w:val="0"/>
        <w:pageBreakBefore w:val="0"/>
        <w:widowControl w:val="0"/>
        <w:kinsoku/>
        <w:wordWrap/>
        <w:overflowPunct/>
        <w:topLinePunct w:val="0"/>
        <w:autoSpaceDE/>
        <w:autoSpaceDN/>
        <w:bidi w:val="0"/>
        <w:adjustRightInd/>
        <w:snapToGrid/>
        <w:spacing w:before="208" w:line="221" w:lineRule="auto"/>
        <w:ind w:left="440" w:leftChars="200"/>
        <w:textAlignment w:val="auto"/>
        <w:rPr>
          <w:rFonts w:hint="eastAsia" w:ascii="仿宋" w:hAnsi="仿宋" w:eastAsia="仿宋" w:cs="仿宋"/>
          <w:sz w:val="24"/>
          <w:szCs w:val="24"/>
        </w:rPr>
      </w:pPr>
      <w:r>
        <w:rPr>
          <w:rFonts w:hint="eastAsia" w:ascii="仿宋" w:hAnsi="仿宋" w:eastAsia="仿宋" w:cs="仿宋"/>
          <w:spacing w:val="9"/>
          <w:sz w:val="24"/>
          <w:szCs w:val="24"/>
        </w:rPr>
        <w:t>4)提供竣工验收技术资料，办理工程竣工结算，参加竣工验收；</w:t>
      </w:r>
    </w:p>
    <w:p w14:paraId="26A8F507">
      <w:pPr>
        <w:pStyle w:val="11"/>
        <w:keepNext w:val="0"/>
        <w:keepLines w:val="0"/>
        <w:pageBreakBefore w:val="0"/>
        <w:widowControl w:val="0"/>
        <w:kinsoku/>
        <w:wordWrap/>
        <w:overflowPunct/>
        <w:topLinePunct w:val="0"/>
        <w:autoSpaceDE/>
        <w:autoSpaceDN/>
        <w:bidi w:val="0"/>
        <w:adjustRightInd/>
        <w:snapToGrid/>
        <w:spacing w:before="216" w:line="221" w:lineRule="auto"/>
        <w:ind w:left="440" w:leftChars="200"/>
        <w:textAlignment w:val="auto"/>
        <w:rPr>
          <w:rFonts w:hint="eastAsia" w:ascii="仿宋" w:hAnsi="仿宋" w:eastAsia="仿宋" w:cs="仿宋"/>
          <w:sz w:val="24"/>
          <w:szCs w:val="24"/>
        </w:rPr>
      </w:pPr>
      <w:r>
        <w:rPr>
          <w:rFonts w:hint="eastAsia" w:ascii="仿宋" w:hAnsi="仿宋" w:eastAsia="仿宋" w:cs="仿宋"/>
          <w:spacing w:val="9"/>
          <w:sz w:val="24"/>
          <w:szCs w:val="24"/>
        </w:rPr>
        <w:t>5)在合同规定的保修期内，对属于乙方负责的工程质量问题，负责无偿修理。</w:t>
      </w:r>
    </w:p>
    <w:p w14:paraId="375F187F">
      <w:pPr>
        <w:pStyle w:val="11"/>
        <w:keepNext w:val="0"/>
        <w:keepLines w:val="0"/>
        <w:pageBreakBefore w:val="0"/>
        <w:widowControl w:val="0"/>
        <w:kinsoku/>
        <w:wordWrap/>
        <w:overflowPunct/>
        <w:topLinePunct w:val="0"/>
        <w:autoSpaceDE/>
        <w:autoSpaceDN/>
        <w:bidi w:val="0"/>
        <w:adjustRightInd/>
        <w:snapToGrid/>
        <w:spacing w:before="216" w:line="250" w:lineRule="auto"/>
        <w:ind w:left="839" w:leftChars="200" w:right="76" w:hanging="399"/>
        <w:textAlignment w:val="auto"/>
        <w:rPr>
          <w:rFonts w:hint="eastAsia" w:ascii="仿宋" w:hAnsi="仿宋" w:eastAsia="仿宋" w:cs="仿宋"/>
          <w:spacing w:val="6"/>
          <w:sz w:val="24"/>
          <w:szCs w:val="24"/>
        </w:rPr>
      </w:pPr>
      <w:r>
        <w:rPr>
          <w:rFonts w:hint="eastAsia" w:ascii="仿宋" w:hAnsi="仿宋" w:eastAsia="仿宋" w:cs="仿宋"/>
          <w:spacing w:val="7"/>
          <w:sz w:val="24"/>
          <w:szCs w:val="24"/>
        </w:rPr>
        <w:t>6)负责及时收集、清运现场施工垃圾，并对所属施工区域安排</w:t>
      </w:r>
      <w:r>
        <w:rPr>
          <w:rFonts w:hint="eastAsia" w:ascii="仿宋" w:hAnsi="仿宋" w:eastAsia="仿宋" w:cs="仿宋"/>
          <w:spacing w:val="6"/>
          <w:sz w:val="24"/>
          <w:szCs w:val="24"/>
        </w:rPr>
        <w:t>专人进行清扫，确保</w:t>
      </w:r>
    </w:p>
    <w:p w14:paraId="007DD8C5">
      <w:pPr>
        <w:pStyle w:val="11"/>
        <w:keepNext w:val="0"/>
        <w:keepLines w:val="0"/>
        <w:pageBreakBefore w:val="0"/>
        <w:widowControl w:val="0"/>
        <w:kinsoku/>
        <w:wordWrap/>
        <w:overflowPunct/>
        <w:topLinePunct w:val="0"/>
        <w:autoSpaceDE/>
        <w:autoSpaceDN/>
        <w:bidi w:val="0"/>
        <w:adjustRightInd/>
        <w:snapToGrid/>
        <w:spacing w:before="216" w:line="250" w:lineRule="auto"/>
        <w:ind w:right="76"/>
        <w:textAlignment w:val="auto"/>
        <w:rPr>
          <w:rFonts w:hint="eastAsia" w:ascii="仿宋" w:hAnsi="仿宋" w:eastAsia="仿宋" w:cs="仿宋"/>
          <w:sz w:val="24"/>
          <w:szCs w:val="24"/>
        </w:rPr>
      </w:pPr>
      <w:r>
        <w:rPr>
          <w:rFonts w:hint="eastAsia" w:ascii="仿宋" w:hAnsi="仿宋" w:eastAsia="仿宋" w:cs="仿宋"/>
          <w:spacing w:val="6"/>
          <w:sz w:val="24"/>
          <w:szCs w:val="24"/>
        </w:rPr>
        <w:t>现</w:t>
      </w:r>
      <w:r>
        <w:rPr>
          <w:rFonts w:hint="eastAsia" w:ascii="仿宋" w:hAnsi="仿宋" w:eastAsia="仿宋" w:cs="仿宋"/>
          <w:spacing w:val="5"/>
          <w:sz w:val="24"/>
          <w:szCs w:val="24"/>
        </w:rPr>
        <w:t>场整洁。</w:t>
      </w:r>
    </w:p>
    <w:p w14:paraId="79AF2EF0">
      <w:pPr>
        <w:pStyle w:val="11"/>
        <w:keepNext w:val="0"/>
        <w:keepLines w:val="0"/>
        <w:pageBreakBefore w:val="0"/>
        <w:widowControl w:val="0"/>
        <w:kinsoku/>
        <w:wordWrap/>
        <w:overflowPunct/>
        <w:topLinePunct w:val="0"/>
        <w:autoSpaceDE/>
        <w:autoSpaceDN/>
        <w:bidi w:val="0"/>
        <w:adjustRightInd/>
        <w:snapToGrid/>
        <w:spacing w:before="223" w:line="229" w:lineRule="auto"/>
        <w:ind w:left="440" w:leftChars="200"/>
        <w:textAlignment w:val="auto"/>
        <w:rPr>
          <w:rFonts w:hint="eastAsia" w:ascii="仿宋" w:hAnsi="仿宋" w:eastAsia="仿宋" w:cs="仿宋"/>
          <w:sz w:val="24"/>
          <w:szCs w:val="24"/>
        </w:rPr>
      </w:pPr>
      <w:r>
        <w:rPr>
          <w:rFonts w:hint="eastAsia" w:ascii="仿宋" w:hAnsi="仿宋" w:eastAsia="仿宋" w:cs="仿宋"/>
          <w:spacing w:val="9"/>
          <w:sz w:val="24"/>
          <w:szCs w:val="24"/>
        </w:rPr>
        <w:t>7)负责竣工验收完成交付甲方之前半成品及成品的保护</w:t>
      </w:r>
      <w:r>
        <w:rPr>
          <w:rFonts w:hint="eastAsia" w:ascii="仿宋" w:hAnsi="仿宋" w:eastAsia="仿宋" w:cs="仿宋"/>
          <w:spacing w:val="8"/>
          <w:sz w:val="24"/>
          <w:szCs w:val="24"/>
        </w:rPr>
        <w:t>工作。</w:t>
      </w:r>
    </w:p>
    <w:p w14:paraId="0C03B1B3">
      <w:pPr>
        <w:pStyle w:val="11"/>
        <w:spacing w:before="236" w:line="222" w:lineRule="auto"/>
        <w:ind w:left="6"/>
        <w:rPr>
          <w:rFonts w:hint="eastAsia" w:ascii="仿宋" w:hAnsi="仿宋" w:eastAsia="仿宋" w:cs="仿宋"/>
          <w:sz w:val="24"/>
          <w:szCs w:val="24"/>
        </w:rPr>
      </w:pPr>
      <w:r>
        <w:rPr>
          <w:rFonts w:hint="eastAsia" w:ascii="仿宋" w:hAnsi="仿宋" w:eastAsia="仿宋" w:cs="仿宋"/>
          <w:b/>
          <w:bCs/>
          <w:spacing w:val="-6"/>
          <w:sz w:val="24"/>
          <w:szCs w:val="24"/>
        </w:rPr>
        <w:t>第八条</w:t>
      </w:r>
      <w:r>
        <w:rPr>
          <w:rFonts w:hint="eastAsia" w:ascii="仿宋" w:hAnsi="仿宋" w:eastAsia="仿宋" w:cs="仿宋"/>
          <w:spacing w:val="21"/>
          <w:sz w:val="24"/>
          <w:szCs w:val="24"/>
        </w:rPr>
        <w:t xml:space="preserve"> </w:t>
      </w:r>
      <w:r>
        <w:rPr>
          <w:rFonts w:hint="eastAsia" w:ascii="仿宋" w:hAnsi="仿宋" w:eastAsia="仿宋" w:cs="仿宋"/>
          <w:b/>
          <w:bCs/>
          <w:spacing w:val="-6"/>
          <w:sz w:val="24"/>
          <w:szCs w:val="24"/>
        </w:rPr>
        <w:t>安全生产</w:t>
      </w:r>
    </w:p>
    <w:p w14:paraId="0065ABF8">
      <w:pPr>
        <w:pStyle w:val="11"/>
        <w:spacing w:before="202" w:line="256" w:lineRule="auto"/>
        <w:ind w:left="466" w:leftChars="212" w:right="14" w:firstLine="33" w:firstLineChars="13"/>
        <w:rPr>
          <w:rFonts w:hint="eastAsia" w:ascii="仿宋" w:hAnsi="仿宋" w:eastAsia="仿宋" w:cs="仿宋"/>
          <w:spacing w:val="8"/>
          <w:sz w:val="24"/>
          <w:szCs w:val="24"/>
        </w:rPr>
      </w:pPr>
      <w:r>
        <w:rPr>
          <w:rFonts w:hint="eastAsia" w:ascii="仿宋" w:hAnsi="仿宋" w:eastAsia="仿宋" w:cs="仿宋"/>
          <w:spacing w:val="8"/>
          <w:sz w:val="24"/>
          <w:szCs w:val="24"/>
        </w:rPr>
        <w:t>1.乙方必须认真贯彻有关安全施工的规章制度，进行安全技术培训，设置安全保障</w:t>
      </w:r>
    </w:p>
    <w:p w14:paraId="4EF935A7">
      <w:pPr>
        <w:pStyle w:val="11"/>
        <w:spacing w:before="202" w:line="256" w:lineRule="auto"/>
        <w:ind w:right="14"/>
        <w:rPr>
          <w:rFonts w:hint="eastAsia" w:ascii="仿宋" w:hAnsi="仿宋" w:eastAsia="仿宋" w:cs="仿宋"/>
          <w:sz w:val="24"/>
          <w:szCs w:val="24"/>
        </w:rPr>
      </w:pPr>
      <w:r>
        <w:rPr>
          <w:rFonts w:hint="eastAsia" w:ascii="仿宋" w:hAnsi="仿宋" w:eastAsia="仿宋" w:cs="仿宋"/>
          <w:spacing w:val="7"/>
          <w:sz w:val="24"/>
          <w:szCs w:val="24"/>
        </w:rPr>
        <w:t>设施，</w:t>
      </w:r>
      <w:r>
        <w:rPr>
          <w:rFonts w:hint="eastAsia" w:ascii="仿宋" w:hAnsi="仿宋" w:eastAsia="仿宋" w:cs="仿宋"/>
          <w:spacing w:val="4"/>
          <w:sz w:val="24"/>
          <w:szCs w:val="24"/>
        </w:rPr>
        <w:t>自费办理工伤保险，严格遵守安全操作规程，施工中如非因甲方原因而</w:t>
      </w:r>
      <w:r>
        <w:rPr>
          <w:rFonts w:hint="eastAsia" w:ascii="仿宋" w:hAnsi="仿宋" w:eastAsia="仿宋" w:cs="仿宋"/>
          <w:spacing w:val="3"/>
          <w:sz w:val="24"/>
          <w:szCs w:val="24"/>
        </w:rPr>
        <w:t>发生伤亡事故，</w:t>
      </w:r>
      <w:r>
        <w:rPr>
          <w:rFonts w:hint="eastAsia" w:ascii="仿宋" w:hAnsi="仿宋" w:eastAsia="仿宋" w:cs="仿宋"/>
          <w:spacing w:val="7"/>
          <w:sz w:val="24"/>
          <w:szCs w:val="24"/>
        </w:rPr>
        <w:t>其损失由乙方负责。</w:t>
      </w:r>
    </w:p>
    <w:p w14:paraId="43AE37FA">
      <w:pPr>
        <w:pStyle w:val="11"/>
        <w:spacing w:before="226" w:line="221" w:lineRule="auto"/>
        <w:ind w:left="4" w:firstLine="512" w:firstLineChars="200"/>
        <w:rPr>
          <w:rFonts w:hint="eastAsia" w:ascii="仿宋" w:hAnsi="仿宋" w:eastAsia="仿宋" w:cs="仿宋"/>
          <w:sz w:val="24"/>
          <w:szCs w:val="24"/>
        </w:rPr>
      </w:pPr>
      <w:r>
        <w:rPr>
          <w:rFonts w:hint="eastAsia" w:ascii="仿宋" w:hAnsi="仿宋" w:eastAsia="仿宋" w:cs="仿宋"/>
          <w:spacing w:val="8"/>
          <w:sz w:val="24"/>
          <w:szCs w:val="24"/>
        </w:rPr>
        <w:t>2.在施工过程中，造成的火灾事故，由乙方负责。</w:t>
      </w:r>
    </w:p>
    <w:p w14:paraId="15DC01BC">
      <w:pPr>
        <w:pStyle w:val="11"/>
        <w:spacing w:before="72" w:line="230" w:lineRule="auto"/>
        <w:ind w:left="23"/>
        <w:rPr>
          <w:rFonts w:hint="eastAsia" w:ascii="仿宋" w:hAnsi="仿宋" w:eastAsia="仿宋" w:cs="仿宋"/>
          <w:sz w:val="24"/>
          <w:szCs w:val="24"/>
        </w:rPr>
      </w:pPr>
      <w:r>
        <w:rPr>
          <w:rFonts w:hint="eastAsia" w:ascii="仿宋" w:hAnsi="仿宋" w:eastAsia="仿宋" w:cs="仿宋"/>
          <w:b/>
          <w:bCs/>
          <w:spacing w:val="7"/>
          <w:sz w:val="24"/>
          <w:szCs w:val="24"/>
        </w:rPr>
        <w:t>第九条</w:t>
      </w:r>
      <w:r>
        <w:rPr>
          <w:rFonts w:hint="eastAsia" w:ascii="仿宋" w:hAnsi="仿宋" w:eastAsia="仿宋" w:cs="仿宋"/>
          <w:spacing w:val="7"/>
          <w:sz w:val="24"/>
          <w:szCs w:val="24"/>
        </w:rPr>
        <w:t xml:space="preserve"> </w:t>
      </w:r>
      <w:r>
        <w:rPr>
          <w:rFonts w:hint="eastAsia" w:ascii="仿宋" w:hAnsi="仿宋" w:eastAsia="仿宋" w:cs="仿宋"/>
          <w:b/>
          <w:bCs/>
          <w:spacing w:val="7"/>
          <w:sz w:val="24"/>
          <w:szCs w:val="24"/>
        </w:rPr>
        <w:t>工程价款的支付与结算</w:t>
      </w:r>
    </w:p>
    <w:p w14:paraId="40C097B5">
      <w:pPr>
        <w:pStyle w:val="11"/>
        <w:spacing w:before="71" w:line="214" w:lineRule="auto"/>
        <w:ind w:left="470"/>
        <w:rPr>
          <w:rFonts w:hint="eastAsia" w:ascii="仿宋" w:hAnsi="仿宋" w:eastAsia="仿宋" w:cs="仿宋"/>
          <w:sz w:val="24"/>
          <w:szCs w:val="24"/>
        </w:rPr>
      </w:pPr>
      <w:r>
        <w:rPr>
          <w:rFonts w:hint="eastAsia" w:ascii="仿宋" w:hAnsi="仿宋" w:eastAsia="仿宋" w:cs="仿宋"/>
          <w:spacing w:val="-1"/>
          <w:sz w:val="24"/>
          <w:szCs w:val="24"/>
        </w:rPr>
        <w:t>安装完成后，甲方验收合格后再一次性付清。</w:t>
      </w:r>
    </w:p>
    <w:p w14:paraId="47ADF7FD">
      <w:pPr>
        <w:pStyle w:val="11"/>
        <w:spacing w:before="275" w:line="229" w:lineRule="auto"/>
        <w:ind w:left="23"/>
        <w:rPr>
          <w:rFonts w:hint="eastAsia" w:ascii="仿宋" w:hAnsi="仿宋" w:eastAsia="仿宋" w:cs="仿宋"/>
          <w:sz w:val="24"/>
          <w:szCs w:val="24"/>
        </w:rPr>
      </w:pPr>
      <w:r>
        <w:rPr>
          <w:rFonts w:hint="eastAsia" w:ascii="仿宋" w:hAnsi="仿宋" w:eastAsia="仿宋" w:cs="仿宋"/>
          <w:b/>
          <w:bCs/>
          <w:spacing w:val="7"/>
          <w:sz w:val="24"/>
          <w:szCs w:val="24"/>
        </w:rPr>
        <w:t>第十条</w:t>
      </w:r>
      <w:r>
        <w:rPr>
          <w:rFonts w:hint="eastAsia" w:ascii="仿宋" w:hAnsi="仿宋" w:eastAsia="仿宋" w:cs="仿宋"/>
          <w:spacing w:val="7"/>
          <w:sz w:val="24"/>
          <w:szCs w:val="24"/>
        </w:rPr>
        <w:t xml:space="preserve"> </w:t>
      </w:r>
      <w:r>
        <w:rPr>
          <w:rFonts w:hint="eastAsia" w:ascii="仿宋" w:hAnsi="仿宋" w:eastAsia="仿宋" w:cs="仿宋"/>
          <w:b/>
          <w:bCs/>
          <w:spacing w:val="7"/>
          <w:sz w:val="24"/>
          <w:szCs w:val="24"/>
        </w:rPr>
        <w:t>争议的解决方式</w:t>
      </w:r>
    </w:p>
    <w:p w14:paraId="49C1B34A">
      <w:pPr>
        <w:pStyle w:val="11"/>
        <w:spacing w:before="71" w:line="303" w:lineRule="auto"/>
        <w:ind w:left="26" w:right="13" w:firstLine="436"/>
        <w:rPr>
          <w:rFonts w:hint="eastAsia" w:ascii="仿宋" w:hAnsi="仿宋" w:eastAsia="仿宋" w:cs="仿宋"/>
          <w:sz w:val="24"/>
          <w:szCs w:val="24"/>
        </w:rPr>
      </w:pPr>
      <w:r>
        <w:rPr>
          <w:rFonts w:hint="eastAsia" w:ascii="仿宋" w:hAnsi="仿宋" w:eastAsia="仿宋" w:cs="仿宋"/>
          <w:spacing w:val="-2"/>
          <w:sz w:val="24"/>
          <w:szCs w:val="24"/>
        </w:rPr>
        <w:t>合同执行过程中如发生争议，双方应及时协商解决。协商不成可直接向甲方住所地</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人民法院起诉。</w:t>
      </w:r>
    </w:p>
    <w:p w14:paraId="090616E6">
      <w:pPr>
        <w:pStyle w:val="11"/>
        <w:spacing w:before="168" w:line="230" w:lineRule="auto"/>
        <w:ind w:left="23"/>
        <w:rPr>
          <w:rFonts w:hint="eastAsia" w:ascii="仿宋" w:hAnsi="仿宋" w:eastAsia="仿宋" w:cs="仿宋"/>
          <w:sz w:val="24"/>
          <w:szCs w:val="24"/>
        </w:rPr>
      </w:pPr>
      <w:r>
        <w:rPr>
          <w:rFonts w:hint="eastAsia" w:ascii="仿宋" w:hAnsi="仿宋" w:eastAsia="仿宋" w:cs="仿宋"/>
          <w:b/>
          <w:bCs/>
          <w:spacing w:val="3"/>
          <w:sz w:val="24"/>
          <w:szCs w:val="24"/>
        </w:rPr>
        <w:t>第十一条</w:t>
      </w:r>
      <w:r>
        <w:rPr>
          <w:rFonts w:hint="eastAsia" w:ascii="仿宋" w:hAnsi="仿宋" w:eastAsia="仿宋" w:cs="仿宋"/>
          <w:spacing w:val="27"/>
          <w:sz w:val="24"/>
          <w:szCs w:val="24"/>
        </w:rPr>
        <w:t xml:space="preserve"> </w:t>
      </w:r>
      <w:r>
        <w:rPr>
          <w:rFonts w:hint="eastAsia" w:ascii="仿宋" w:hAnsi="仿宋" w:eastAsia="仿宋" w:cs="仿宋"/>
          <w:b/>
          <w:bCs/>
          <w:spacing w:val="3"/>
          <w:sz w:val="24"/>
          <w:szCs w:val="24"/>
        </w:rPr>
        <w:t>附则</w:t>
      </w:r>
    </w:p>
    <w:p w14:paraId="3E98BABC">
      <w:pPr>
        <w:spacing w:line="420" w:lineRule="exact"/>
        <w:ind w:firstLine="480" w:firstLineChars="200"/>
        <w:rPr>
          <w:rFonts w:hint="eastAsia" w:ascii="仿宋" w:hAnsi="仿宋" w:eastAsia="仿宋" w:cs="仿宋"/>
          <w:sz w:val="24"/>
        </w:rPr>
      </w:pPr>
      <w:r>
        <w:rPr>
          <w:rFonts w:hint="eastAsia" w:ascii="仿宋" w:hAnsi="仿宋" w:eastAsia="仿宋" w:cs="仿宋"/>
          <w:sz w:val="24"/>
        </w:rPr>
        <w:t>其它本合同未言明事项，一律按《中华人民共和国合同法》和其他相关法律、法规 规定执行。</w:t>
      </w:r>
    </w:p>
    <w:p w14:paraId="11653CC0">
      <w:pPr>
        <w:spacing w:line="420" w:lineRule="exact"/>
        <w:ind w:firstLine="480" w:firstLineChars="200"/>
        <w:rPr>
          <w:rFonts w:hint="eastAsia" w:ascii="仿宋" w:hAnsi="仿宋" w:eastAsia="仿宋" w:cs="仿宋"/>
          <w:sz w:val="24"/>
        </w:rPr>
      </w:pPr>
      <w:r>
        <w:rPr>
          <w:rFonts w:hint="eastAsia" w:ascii="仿宋" w:hAnsi="仿宋" w:eastAsia="仿宋" w:cs="仿宋"/>
          <w:sz w:val="24"/>
        </w:rPr>
        <w:t>本合同经双方签字或盖章后生效，至合同工程竣工交验，结清工程尾款，保修期满 后自然失效。</w:t>
      </w:r>
    </w:p>
    <w:p w14:paraId="5DB64DAD">
      <w:pPr>
        <w:spacing w:line="420" w:lineRule="exact"/>
        <w:ind w:firstLine="480" w:firstLineChars="200"/>
        <w:rPr>
          <w:rFonts w:hint="eastAsia" w:ascii="仿宋" w:hAnsi="仿宋" w:eastAsia="仿宋" w:cs="仿宋"/>
          <w:sz w:val="24"/>
        </w:rPr>
      </w:pPr>
      <w:r>
        <w:rPr>
          <w:rFonts w:hint="eastAsia" w:ascii="仿宋" w:hAnsi="仿宋" w:eastAsia="仿宋" w:cs="仿宋"/>
          <w:sz w:val="24"/>
        </w:rPr>
        <w:t>本合同一式两份，其中甲方、乙方各执一份。</w:t>
      </w:r>
    </w:p>
    <w:p w14:paraId="32E39085">
      <w:pPr>
        <w:spacing w:line="249" w:lineRule="auto"/>
        <w:rPr>
          <w:rFonts w:hint="eastAsia" w:ascii="仿宋" w:hAnsi="仿宋" w:eastAsia="仿宋" w:cs="仿宋"/>
          <w:sz w:val="24"/>
          <w:szCs w:val="24"/>
        </w:rPr>
      </w:pPr>
    </w:p>
    <w:p w14:paraId="3B77002F">
      <w:pPr>
        <w:spacing w:line="249" w:lineRule="auto"/>
        <w:rPr>
          <w:rFonts w:hint="eastAsia" w:ascii="仿宋" w:hAnsi="仿宋" w:eastAsia="仿宋" w:cs="仿宋"/>
          <w:sz w:val="24"/>
          <w:szCs w:val="24"/>
        </w:rPr>
      </w:pPr>
    </w:p>
    <w:p w14:paraId="3D73F4C1">
      <w:pPr>
        <w:spacing w:line="250" w:lineRule="auto"/>
        <w:rPr>
          <w:rFonts w:hint="eastAsia" w:ascii="仿宋" w:hAnsi="仿宋" w:eastAsia="仿宋" w:cs="仿宋"/>
          <w:sz w:val="24"/>
          <w:szCs w:val="24"/>
        </w:rPr>
      </w:pPr>
    </w:p>
    <w:p w14:paraId="5A7F3EEA">
      <w:pPr>
        <w:pStyle w:val="11"/>
        <w:spacing w:before="73" w:line="222" w:lineRule="auto"/>
        <w:ind w:left="59"/>
        <w:rPr>
          <w:rFonts w:hint="eastAsia" w:ascii="仿宋" w:hAnsi="仿宋" w:eastAsia="仿宋" w:cs="仿宋"/>
          <w:sz w:val="24"/>
          <w:szCs w:val="24"/>
        </w:rPr>
      </w:pPr>
      <w:r>
        <w:rPr>
          <w:rFonts w:hint="eastAsia" w:ascii="仿宋" w:hAnsi="仿宋" w:eastAsia="仿宋" w:cs="仿宋"/>
          <w:spacing w:val="-13"/>
          <w:sz w:val="24"/>
          <w:szCs w:val="24"/>
        </w:rPr>
        <w:t>甲</w:t>
      </w:r>
      <w:r>
        <w:rPr>
          <w:rFonts w:hint="eastAsia" w:ascii="仿宋" w:hAnsi="仿宋" w:eastAsia="仿宋" w:cs="仿宋"/>
          <w:spacing w:val="16"/>
          <w:sz w:val="24"/>
          <w:szCs w:val="24"/>
        </w:rPr>
        <w:t xml:space="preserve"> </w:t>
      </w:r>
      <w:r>
        <w:rPr>
          <w:rFonts w:hint="eastAsia" w:ascii="仿宋" w:hAnsi="仿宋" w:eastAsia="仿宋" w:cs="仿宋"/>
          <w:spacing w:val="-13"/>
          <w:sz w:val="24"/>
          <w:szCs w:val="24"/>
        </w:rPr>
        <w:t>方：</w:t>
      </w:r>
      <w:r>
        <w:rPr>
          <w:rFonts w:hint="eastAsia" w:ascii="仿宋" w:hAnsi="仿宋" w:eastAsia="仿宋" w:cs="仿宋"/>
          <w:spacing w:val="1"/>
          <w:sz w:val="24"/>
          <w:szCs w:val="24"/>
        </w:rPr>
        <w:t xml:space="preserve">                                       </w:t>
      </w:r>
      <w:r>
        <w:rPr>
          <w:rFonts w:hint="eastAsia" w:ascii="仿宋" w:hAnsi="仿宋" w:eastAsia="仿宋" w:cs="仿宋"/>
          <w:spacing w:val="-13"/>
          <w:sz w:val="24"/>
          <w:szCs w:val="24"/>
        </w:rPr>
        <w:t>乙</w:t>
      </w:r>
      <w:r>
        <w:rPr>
          <w:rFonts w:hint="eastAsia" w:ascii="仿宋" w:hAnsi="仿宋" w:eastAsia="仿宋" w:cs="仿宋"/>
          <w:spacing w:val="16"/>
          <w:sz w:val="24"/>
          <w:szCs w:val="24"/>
        </w:rPr>
        <w:t xml:space="preserve"> </w:t>
      </w:r>
      <w:r>
        <w:rPr>
          <w:rFonts w:hint="eastAsia" w:ascii="仿宋" w:hAnsi="仿宋" w:eastAsia="仿宋" w:cs="仿宋"/>
          <w:spacing w:val="-13"/>
          <w:sz w:val="24"/>
          <w:szCs w:val="24"/>
        </w:rPr>
        <w:t>方：</w:t>
      </w:r>
    </w:p>
    <w:p w14:paraId="4D9766DD">
      <w:pPr>
        <w:spacing w:line="246" w:lineRule="auto"/>
        <w:rPr>
          <w:rFonts w:hint="eastAsia" w:ascii="仿宋" w:hAnsi="仿宋" w:eastAsia="仿宋" w:cs="仿宋"/>
          <w:sz w:val="24"/>
          <w:szCs w:val="24"/>
        </w:rPr>
      </w:pPr>
    </w:p>
    <w:p w14:paraId="61C57B2A">
      <w:pPr>
        <w:spacing w:line="246" w:lineRule="auto"/>
        <w:rPr>
          <w:rFonts w:hint="eastAsia" w:ascii="仿宋" w:hAnsi="仿宋" w:eastAsia="仿宋" w:cs="仿宋"/>
          <w:sz w:val="24"/>
          <w:szCs w:val="24"/>
        </w:rPr>
      </w:pPr>
    </w:p>
    <w:p w14:paraId="06A0B533">
      <w:pPr>
        <w:spacing w:line="247" w:lineRule="auto"/>
        <w:rPr>
          <w:rFonts w:hint="eastAsia" w:ascii="仿宋" w:hAnsi="仿宋" w:eastAsia="仿宋" w:cs="仿宋"/>
          <w:sz w:val="24"/>
          <w:szCs w:val="24"/>
        </w:rPr>
      </w:pPr>
    </w:p>
    <w:p w14:paraId="42B350F5">
      <w:pPr>
        <w:pStyle w:val="11"/>
        <w:spacing w:before="72" w:line="223" w:lineRule="auto"/>
        <w:ind w:left="24"/>
        <w:rPr>
          <w:rFonts w:hint="eastAsia" w:ascii="仿宋" w:hAnsi="仿宋" w:eastAsia="仿宋" w:cs="仿宋"/>
          <w:sz w:val="24"/>
          <w:szCs w:val="24"/>
        </w:rPr>
      </w:pPr>
      <w:r>
        <w:rPr>
          <w:rFonts w:hint="eastAsia" w:ascii="仿宋" w:hAnsi="仿宋" w:eastAsia="仿宋" w:cs="仿宋"/>
          <w:spacing w:val="-2"/>
          <w:sz w:val="24"/>
          <w:szCs w:val="24"/>
        </w:rPr>
        <w:t>法定代表人</w:t>
      </w:r>
      <w:r>
        <w:rPr>
          <w:rFonts w:hint="eastAsia" w:ascii="仿宋" w:hAnsi="仿宋" w:eastAsia="仿宋" w:cs="仿宋"/>
          <w:spacing w:val="1"/>
          <w:sz w:val="24"/>
          <w:szCs w:val="24"/>
        </w:rPr>
        <w:t xml:space="preserve">                                </w:t>
      </w:r>
      <w:r>
        <w:rPr>
          <w:rFonts w:hint="eastAsia" w:ascii="仿宋" w:hAnsi="仿宋" w:eastAsia="仿宋" w:cs="仿宋"/>
          <w:sz w:val="24"/>
          <w:szCs w:val="24"/>
        </w:rPr>
        <w:t xml:space="preserve">    </w:t>
      </w:r>
      <w:r>
        <w:rPr>
          <w:rFonts w:hint="eastAsia" w:ascii="仿宋" w:hAnsi="仿宋" w:eastAsia="仿宋" w:cs="仿宋"/>
          <w:spacing w:val="-2"/>
          <w:sz w:val="24"/>
          <w:szCs w:val="24"/>
        </w:rPr>
        <w:t>法定代表人：</w:t>
      </w:r>
    </w:p>
    <w:p w14:paraId="42E18A31">
      <w:pPr>
        <w:spacing w:line="246" w:lineRule="auto"/>
        <w:rPr>
          <w:rFonts w:hint="eastAsia" w:ascii="仿宋" w:hAnsi="仿宋" w:eastAsia="仿宋" w:cs="仿宋"/>
          <w:sz w:val="24"/>
          <w:szCs w:val="24"/>
        </w:rPr>
      </w:pPr>
    </w:p>
    <w:p w14:paraId="4B0A2430">
      <w:pPr>
        <w:spacing w:line="246" w:lineRule="auto"/>
        <w:rPr>
          <w:rFonts w:hint="eastAsia" w:ascii="仿宋" w:hAnsi="仿宋" w:eastAsia="仿宋" w:cs="仿宋"/>
          <w:sz w:val="24"/>
          <w:szCs w:val="24"/>
        </w:rPr>
      </w:pPr>
    </w:p>
    <w:p w14:paraId="093EAD3B">
      <w:pPr>
        <w:spacing w:line="246" w:lineRule="auto"/>
        <w:rPr>
          <w:rFonts w:hint="eastAsia" w:ascii="仿宋" w:hAnsi="仿宋" w:eastAsia="仿宋" w:cs="仿宋"/>
          <w:sz w:val="24"/>
          <w:szCs w:val="24"/>
        </w:rPr>
      </w:pPr>
    </w:p>
    <w:p w14:paraId="59491944">
      <w:pPr>
        <w:pStyle w:val="11"/>
        <w:spacing w:before="72" w:line="223" w:lineRule="auto"/>
        <w:ind w:left="24"/>
        <w:rPr>
          <w:rFonts w:hint="eastAsia" w:ascii="仿宋" w:hAnsi="仿宋" w:eastAsia="仿宋" w:cs="仿宋"/>
          <w:sz w:val="24"/>
          <w:szCs w:val="24"/>
        </w:rPr>
      </w:pPr>
      <w:r>
        <w:rPr>
          <w:rFonts w:hint="eastAsia" w:ascii="仿宋" w:hAnsi="仿宋" w:eastAsia="仿宋" w:cs="仿宋"/>
          <w:spacing w:val="-2"/>
          <w:sz w:val="24"/>
          <w:szCs w:val="24"/>
        </w:rPr>
        <w:t>委托代码：</w:t>
      </w:r>
      <w:r>
        <w:rPr>
          <w:rFonts w:hint="eastAsia" w:ascii="仿宋" w:hAnsi="仿宋" w:eastAsia="仿宋" w:cs="仿宋"/>
          <w:spacing w:val="1"/>
          <w:sz w:val="24"/>
          <w:szCs w:val="24"/>
        </w:rPr>
        <w:t xml:space="preserve">                                    </w:t>
      </w:r>
      <w:r>
        <w:rPr>
          <w:rFonts w:hint="eastAsia" w:ascii="仿宋" w:hAnsi="仿宋" w:eastAsia="仿宋" w:cs="仿宋"/>
          <w:spacing w:val="-2"/>
          <w:sz w:val="24"/>
          <w:szCs w:val="24"/>
        </w:rPr>
        <w:t>委托代理人：</w:t>
      </w:r>
    </w:p>
    <w:p w14:paraId="1F22C597">
      <w:pPr>
        <w:pStyle w:val="16"/>
        <w:rPr>
          <w:rFonts w:hint="eastAsia" w:ascii="宋体" w:hAnsi="宋体" w:eastAsia="宋体" w:cs="宋体"/>
          <w:b/>
          <w:bCs w:val="0"/>
          <w:w w:val="95"/>
          <w:sz w:val="44"/>
          <w:szCs w:val="22"/>
          <w:lang w:val="zh-CN" w:eastAsia="zh-CN" w:bidi="zh-CN"/>
        </w:rPr>
      </w:pPr>
    </w:p>
    <w:p w14:paraId="27CC0B40">
      <w:pPr>
        <w:pStyle w:val="16"/>
        <w:rPr>
          <w:rFonts w:hint="eastAsia" w:ascii="宋体" w:hAnsi="宋体" w:eastAsia="宋体" w:cs="宋体"/>
          <w:b/>
          <w:bCs w:val="0"/>
          <w:w w:val="95"/>
          <w:sz w:val="44"/>
          <w:szCs w:val="22"/>
          <w:lang w:val="zh-CN" w:eastAsia="zh-CN" w:bidi="zh-CN"/>
        </w:rPr>
      </w:pPr>
    </w:p>
    <w:p w14:paraId="72CFED98">
      <w:pPr>
        <w:pStyle w:val="16"/>
        <w:rPr>
          <w:rFonts w:hint="eastAsia" w:ascii="宋体" w:hAnsi="宋体" w:eastAsia="宋体" w:cs="宋体"/>
          <w:b/>
          <w:bCs w:val="0"/>
          <w:w w:val="95"/>
          <w:sz w:val="44"/>
          <w:szCs w:val="22"/>
          <w:lang w:val="zh-CN" w:eastAsia="zh-CN" w:bidi="zh-CN"/>
        </w:rPr>
      </w:pPr>
    </w:p>
    <w:p w14:paraId="77E1CDAA">
      <w:pPr>
        <w:pStyle w:val="16"/>
        <w:rPr>
          <w:rFonts w:hint="eastAsia" w:ascii="宋体" w:hAnsi="宋体" w:eastAsia="宋体" w:cs="宋体"/>
          <w:b/>
          <w:bCs w:val="0"/>
          <w:w w:val="95"/>
          <w:sz w:val="44"/>
          <w:szCs w:val="22"/>
          <w:lang w:val="zh-CN" w:eastAsia="zh-CN" w:bidi="zh-CN"/>
        </w:rPr>
      </w:pPr>
    </w:p>
    <w:p w14:paraId="559E6375">
      <w:pPr>
        <w:pStyle w:val="16"/>
        <w:rPr>
          <w:rFonts w:hint="eastAsia" w:ascii="宋体" w:hAnsi="宋体" w:eastAsia="宋体" w:cs="宋体"/>
          <w:b/>
          <w:bCs w:val="0"/>
          <w:w w:val="95"/>
          <w:sz w:val="44"/>
          <w:szCs w:val="22"/>
          <w:lang w:val="zh-CN" w:eastAsia="zh-CN" w:bidi="zh-CN"/>
        </w:rPr>
      </w:pPr>
    </w:p>
    <w:p w14:paraId="52250B30">
      <w:pPr>
        <w:pStyle w:val="16"/>
        <w:rPr>
          <w:rFonts w:hint="eastAsia" w:ascii="宋体" w:hAnsi="宋体" w:eastAsia="宋体" w:cs="宋体"/>
          <w:b/>
          <w:bCs w:val="0"/>
          <w:w w:val="95"/>
          <w:sz w:val="44"/>
          <w:szCs w:val="22"/>
          <w:lang w:val="zh-CN" w:eastAsia="zh-CN" w:bidi="zh-CN"/>
        </w:rPr>
      </w:pPr>
    </w:p>
    <w:p w14:paraId="4DB70596">
      <w:pPr>
        <w:pStyle w:val="16"/>
        <w:rPr>
          <w:rFonts w:hint="eastAsia" w:ascii="宋体" w:hAnsi="宋体" w:eastAsia="宋体" w:cs="宋体"/>
          <w:b/>
          <w:bCs w:val="0"/>
          <w:w w:val="95"/>
          <w:sz w:val="44"/>
          <w:szCs w:val="22"/>
          <w:lang w:val="zh-CN" w:eastAsia="zh-CN" w:bidi="zh-CN"/>
        </w:rPr>
      </w:pPr>
    </w:p>
    <w:p w14:paraId="789952B8">
      <w:pPr>
        <w:pStyle w:val="16"/>
        <w:rPr>
          <w:rFonts w:hint="eastAsia" w:ascii="宋体" w:hAnsi="宋体" w:eastAsia="宋体" w:cs="宋体"/>
          <w:b/>
          <w:bCs w:val="0"/>
          <w:w w:val="95"/>
          <w:sz w:val="44"/>
          <w:szCs w:val="22"/>
          <w:lang w:val="zh-CN" w:eastAsia="zh-CN" w:bidi="zh-CN"/>
        </w:rPr>
      </w:pPr>
    </w:p>
    <w:p w14:paraId="7BA79ABE">
      <w:pPr>
        <w:pStyle w:val="3"/>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t>第五章 谈判响应文件基本格式</w:t>
      </w:r>
    </w:p>
    <w:p w14:paraId="39CA0E76">
      <w:pPr>
        <w:pStyle w:val="4"/>
        <w:spacing w:before="0"/>
        <w:ind w:left="348" w:right="0"/>
        <w:jc w:val="left"/>
        <w:rPr>
          <w:sz w:val="28"/>
          <w:szCs w:val="28"/>
        </w:rPr>
      </w:pPr>
    </w:p>
    <w:p w14:paraId="255BA625">
      <w:pPr>
        <w:pStyle w:val="11"/>
        <w:rPr>
          <w:rFonts w:hint="eastAsia"/>
          <w:sz w:val="28"/>
          <w:szCs w:val="28"/>
          <w:lang w:val="en-US"/>
        </w:rPr>
      </w:pPr>
      <w:r>
        <w:rPr>
          <w:sz w:val="28"/>
          <w:szCs w:val="28"/>
        </w:rPr>
        <w:t>项目编号：</w:t>
      </w:r>
      <w:r>
        <w:rPr>
          <w:rFonts w:hint="eastAsia"/>
          <w:sz w:val="28"/>
          <w:szCs w:val="28"/>
          <w:lang w:val="zh-CN"/>
        </w:rPr>
        <w:t>YC254400</w:t>
      </w:r>
      <w:r>
        <w:rPr>
          <w:rFonts w:hint="eastAsia"/>
          <w:sz w:val="28"/>
          <w:szCs w:val="28"/>
          <w:lang w:val="en-US" w:eastAsia="zh-CN"/>
        </w:rPr>
        <w:t>20</w:t>
      </w:r>
      <w:r>
        <w:rPr>
          <w:rFonts w:hint="eastAsia"/>
          <w:sz w:val="28"/>
          <w:szCs w:val="28"/>
          <w:lang w:val="zh-CN"/>
        </w:rPr>
        <w:t>(CG</w:t>
      </w:r>
      <w:r>
        <w:rPr>
          <w:rFonts w:hint="eastAsia"/>
          <w:sz w:val="28"/>
          <w:szCs w:val="28"/>
          <w:lang w:val="en-US" w:eastAsia="zh-CN"/>
        </w:rPr>
        <w:t>P</w:t>
      </w:r>
      <w:r>
        <w:rPr>
          <w:rFonts w:hint="eastAsia"/>
          <w:sz w:val="28"/>
          <w:szCs w:val="28"/>
          <w:lang w:val="zh-CN"/>
        </w:rPr>
        <w:t>)</w:t>
      </w:r>
    </w:p>
    <w:p w14:paraId="6B6CEEC8">
      <w:pPr>
        <w:pStyle w:val="11"/>
        <w:rPr>
          <w:rFonts w:hint="eastAsia"/>
          <w:sz w:val="28"/>
          <w:szCs w:val="28"/>
          <w:lang w:eastAsia="zh-CN"/>
        </w:rPr>
      </w:pPr>
    </w:p>
    <w:p w14:paraId="52CA1DCF">
      <w:pPr>
        <w:pStyle w:val="11"/>
        <w:rPr>
          <w:b/>
          <w:sz w:val="30"/>
        </w:rPr>
      </w:pPr>
    </w:p>
    <w:p w14:paraId="2E8192A8">
      <w:pPr>
        <w:pStyle w:val="11"/>
        <w:rPr>
          <w:b/>
          <w:sz w:val="30"/>
        </w:rPr>
      </w:pPr>
    </w:p>
    <w:p w14:paraId="4322E8A7">
      <w:pPr>
        <w:pStyle w:val="11"/>
        <w:rPr>
          <w:b/>
          <w:sz w:val="30"/>
        </w:rPr>
      </w:pPr>
    </w:p>
    <w:p w14:paraId="26C50264">
      <w:pPr>
        <w:pStyle w:val="11"/>
        <w:spacing w:before="7"/>
        <w:rPr>
          <w:b/>
          <w:sz w:val="21"/>
        </w:rPr>
      </w:pPr>
    </w:p>
    <w:p w14:paraId="57D41B38">
      <w:pPr>
        <w:spacing w:before="0"/>
        <w:ind w:left="790" w:right="875" w:firstLine="0"/>
        <w:jc w:val="center"/>
        <w:rPr>
          <w:rFonts w:hint="eastAsia" w:cs="宋体"/>
          <w:b/>
          <w:bCs/>
          <w:sz w:val="36"/>
          <w:szCs w:val="36"/>
          <w:lang w:val="en-US" w:eastAsia="zh-CN"/>
        </w:rPr>
      </w:pPr>
      <w:r>
        <w:rPr>
          <w:rFonts w:hint="eastAsia" w:cs="宋体"/>
          <w:b/>
          <w:bCs/>
          <w:sz w:val="36"/>
          <w:szCs w:val="36"/>
          <w:lang w:val="en-US" w:eastAsia="zh-CN"/>
        </w:rPr>
        <w:t>石泉县职业技术教育中心消防三年攻坚整改项目</w:t>
      </w:r>
    </w:p>
    <w:p w14:paraId="6F824102">
      <w:pPr>
        <w:spacing w:before="0"/>
        <w:ind w:left="790" w:right="875" w:firstLine="0"/>
        <w:jc w:val="center"/>
        <w:rPr>
          <w:b/>
          <w:sz w:val="56"/>
        </w:rPr>
      </w:pPr>
    </w:p>
    <w:p w14:paraId="6842BEDA">
      <w:pPr>
        <w:spacing w:before="0"/>
        <w:ind w:left="790" w:right="875" w:firstLine="0"/>
        <w:jc w:val="center"/>
        <w:rPr>
          <w:b/>
          <w:sz w:val="72"/>
          <w:szCs w:val="24"/>
        </w:rPr>
      </w:pPr>
    </w:p>
    <w:p w14:paraId="17C760B0">
      <w:pPr>
        <w:spacing w:before="0"/>
        <w:ind w:left="790" w:right="875" w:firstLine="0"/>
        <w:jc w:val="center"/>
        <w:rPr>
          <w:b/>
          <w:sz w:val="72"/>
          <w:szCs w:val="24"/>
        </w:rPr>
      </w:pPr>
      <w:r>
        <w:rPr>
          <w:b/>
          <w:sz w:val="72"/>
          <w:szCs w:val="24"/>
        </w:rPr>
        <w:t>谈判响应文件</w:t>
      </w:r>
    </w:p>
    <w:p w14:paraId="3D899791">
      <w:pPr>
        <w:pStyle w:val="11"/>
        <w:rPr>
          <w:b/>
          <w:sz w:val="56"/>
        </w:rPr>
      </w:pPr>
    </w:p>
    <w:p w14:paraId="5A5D92DE">
      <w:pPr>
        <w:pStyle w:val="11"/>
        <w:rPr>
          <w:b/>
          <w:sz w:val="56"/>
        </w:rPr>
      </w:pPr>
    </w:p>
    <w:p w14:paraId="017DE7A9">
      <w:pPr>
        <w:pStyle w:val="11"/>
        <w:spacing w:before="5"/>
        <w:rPr>
          <w:b/>
          <w:sz w:val="48"/>
        </w:rPr>
      </w:pPr>
    </w:p>
    <w:p w14:paraId="1D65C274">
      <w:pPr>
        <w:pStyle w:val="17"/>
        <w:rPr>
          <w:b/>
          <w:sz w:val="48"/>
        </w:rPr>
      </w:pPr>
    </w:p>
    <w:p w14:paraId="5DECB3FC">
      <w:pPr>
        <w:pStyle w:val="17"/>
        <w:rPr>
          <w:b/>
          <w:sz w:val="48"/>
        </w:rPr>
      </w:pPr>
    </w:p>
    <w:p w14:paraId="0356FE84">
      <w:pPr>
        <w:pStyle w:val="17"/>
        <w:rPr>
          <w:b/>
          <w:sz w:val="48"/>
        </w:rPr>
      </w:pPr>
    </w:p>
    <w:p w14:paraId="118A6DCE">
      <w:pPr>
        <w:pStyle w:val="3"/>
        <w:tabs>
          <w:tab w:val="left" w:pos="8201"/>
        </w:tabs>
        <w:spacing w:line="364" w:lineRule="auto"/>
        <w:ind w:left="1397" w:right="1410"/>
        <w:jc w:val="both"/>
        <w:rPr>
          <w:rFonts w:ascii="Times New Roman" w:eastAsia="Times New Roman"/>
          <w:w w:val="12"/>
          <w:u w:val="single"/>
        </w:rPr>
      </w:pPr>
      <w:r>
        <w:t>供</w:t>
      </w:r>
      <w:r>
        <w:rPr>
          <w:spacing w:val="-4"/>
        </w:rPr>
        <w:t xml:space="preserve"> </w:t>
      </w:r>
      <w:r>
        <w:t>应</w:t>
      </w:r>
      <w:r>
        <w:rPr>
          <w:spacing w:val="-6"/>
        </w:rPr>
        <w:t xml:space="preserve"> </w:t>
      </w:r>
      <w:r>
        <w:t>商（盖章</w:t>
      </w:r>
      <w:r>
        <w:rPr>
          <w:spacing w:val="3"/>
        </w:rPr>
        <w:t>）：</w:t>
      </w:r>
      <w:r>
        <w:rPr>
          <w:rFonts w:ascii="Times New Roman" w:eastAsia="Times New Roman"/>
          <w:w w:val="99"/>
          <w:u w:val="single"/>
        </w:rPr>
        <w:t xml:space="preserve"> </w:t>
      </w:r>
      <w:r>
        <w:rPr>
          <w:rFonts w:ascii="Times New Roman" w:eastAsia="Times New Roman"/>
          <w:u w:val="single"/>
        </w:rPr>
        <w:tab/>
      </w:r>
      <w:r>
        <w:rPr>
          <w:rFonts w:ascii="Times New Roman" w:eastAsia="Times New Roman"/>
          <w:w w:val="12"/>
          <w:u w:val="single"/>
        </w:rPr>
        <w:t xml:space="preserve">                         </w:t>
      </w:r>
    </w:p>
    <w:p w14:paraId="73E24DF7">
      <w:pPr>
        <w:pStyle w:val="3"/>
        <w:tabs>
          <w:tab w:val="left" w:pos="8201"/>
        </w:tabs>
        <w:spacing w:line="364" w:lineRule="auto"/>
        <w:ind w:left="1397" w:right="1410"/>
        <w:jc w:val="both"/>
        <w:rPr>
          <w:rFonts w:ascii="Times New Roman" w:eastAsia="Times New Roman"/>
          <w:w w:val="12"/>
          <w:u w:val="single"/>
        </w:rPr>
      </w:pPr>
    </w:p>
    <w:p w14:paraId="34D86349">
      <w:pPr>
        <w:pStyle w:val="3"/>
        <w:tabs>
          <w:tab w:val="left" w:pos="8201"/>
        </w:tabs>
        <w:spacing w:line="364" w:lineRule="auto"/>
        <w:ind w:left="1397" w:right="1410"/>
        <w:jc w:val="both"/>
        <w:rPr>
          <w:w w:val="95"/>
          <w:u w:val="single"/>
        </w:rPr>
      </w:pPr>
      <w:r>
        <w:rPr>
          <w:w w:val="95"/>
        </w:rPr>
        <w:t>法</w:t>
      </w:r>
      <w:r>
        <w:rPr>
          <w:rFonts w:hint="eastAsia"/>
          <w:w w:val="95"/>
          <w:lang w:eastAsia="zh-CN"/>
        </w:rPr>
        <w:t>定代表人</w:t>
      </w:r>
      <w:r>
        <w:rPr>
          <w:w w:val="95"/>
        </w:rPr>
        <w:t>或</w:t>
      </w:r>
      <w:r>
        <w:rPr>
          <w:rFonts w:hint="eastAsia"/>
          <w:w w:val="95"/>
          <w:lang w:eastAsia="zh-CN"/>
        </w:rPr>
        <w:t>授权</w:t>
      </w:r>
      <w:r>
        <w:rPr>
          <w:w w:val="95"/>
        </w:rPr>
        <w:t>委托人（签字或盖章）：</w:t>
      </w:r>
      <w:r>
        <w:rPr>
          <w:w w:val="95"/>
          <w:u w:val="single"/>
        </w:rPr>
        <w:tab/>
      </w:r>
      <w:r>
        <w:rPr>
          <w:w w:val="95"/>
          <w:u w:val="single"/>
        </w:rPr>
        <w:t xml:space="preserve"> </w:t>
      </w:r>
    </w:p>
    <w:p w14:paraId="13A084B4">
      <w:pPr>
        <w:pStyle w:val="3"/>
        <w:tabs>
          <w:tab w:val="left" w:pos="8201"/>
        </w:tabs>
        <w:spacing w:line="364" w:lineRule="auto"/>
        <w:ind w:left="1397" w:right="1410"/>
        <w:jc w:val="both"/>
        <w:rPr>
          <w:w w:val="95"/>
          <w:u w:val="single"/>
        </w:rPr>
      </w:pPr>
    </w:p>
    <w:p w14:paraId="71692F2F">
      <w:pPr>
        <w:pStyle w:val="3"/>
        <w:tabs>
          <w:tab w:val="left" w:pos="8201"/>
        </w:tabs>
        <w:spacing w:line="364" w:lineRule="auto"/>
        <w:ind w:left="1397" w:right="1410"/>
        <w:jc w:val="both"/>
        <w:rPr>
          <w:rFonts w:ascii="Times New Roman" w:eastAsia="Times New Roman"/>
          <w:b w:val="0"/>
        </w:rPr>
      </w:pPr>
      <w:r>
        <w:t xml:space="preserve">时 </w:t>
      </w:r>
      <w:r>
        <w:rPr>
          <w:spacing w:val="148"/>
        </w:rPr>
        <w:t xml:space="preserve"> </w:t>
      </w:r>
      <w:r>
        <w:rPr>
          <w:spacing w:val="5"/>
        </w:rPr>
        <w:t xml:space="preserve">间 </w:t>
      </w:r>
      <w:r>
        <w:rPr>
          <w:b w:val="0"/>
        </w:rPr>
        <w:t>：</w:t>
      </w:r>
      <w:r>
        <w:rPr>
          <w:rFonts w:ascii="Times New Roman" w:eastAsia="Times New Roman"/>
          <w:b w:val="0"/>
          <w:u w:val="single"/>
        </w:rPr>
        <w:t xml:space="preserve"> </w:t>
      </w:r>
      <w:r>
        <w:rPr>
          <w:rFonts w:ascii="Times New Roman" w:eastAsia="Times New Roman"/>
          <w:b w:val="0"/>
          <w:u w:val="single"/>
        </w:rPr>
        <w:tab/>
      </w:r>
    </w:p>
    <w:p w14:paraId="3E9B48C3">
      <w:pPr>
        <w:spacing w:after="0" w:line="364" w:lineRule="auto"/>
        <w:jc w:val="both"/>
        <w:rPr>
          <w:rFonts w:ascii="Times New Roman" w:eastAsia="Times New Roman"/>
        </w:rPr>
        <w:sectPr>
          <w:footerReference r:id="rId11" w:type="default"/>
          <w:pgSz w:w="11910" w:h="16840"/>
          <w:pgMar w:top="1440" w:right="1080" w:bottom="1440" w:left="1080" w:header="0" w:footer="680" w:gutter="0"/>
          <w:pgNumType w:fmt="decimal"/>
          <w:cols w:space="720" w:num="1"/>
        </w:sectPr>
      </w:pPr>
    </w:p>
    <w:p w14:paraId="3F45272E">
      <w:pPr>
        <w:pStyle w:val="11"/>
        <w:rPr>
          <w:rFonts w:ascii="Times New Roman"/>
          <w:sz w:val="20"/>
        </w:rPr>
      </w:pPr>
    </w:p>
    <w:p w14:paraId="585068F4">
      <w:pPr>
        <w:tabs>
          <w:tab w:val="left" w:pos="1679"/>
        </w:tabs>
        <w:spacing w:before="158"/>
        <w:ind w:left="0" w:right="84" w:firstLine="0"/>
        <w:jc w:val="center"/>
        <w:rPr>
          <w:b/>
          <w:sz w:val="48"/>
        </w:rPr>
      </w:pPr>
      <w:r>
        <w:rPr>
          <w:b/>
          <w:sz w:val="48"/>
        </w:rPr>
        <w:t>目</w:t>
      </w:r>
      <w:r>
        <w:rPr>
          <w:b/>
          <w:sz w:val="48"/>
        </w:rPr>
        <w:tab/>
      </w:r>
      <w:r>
        <w:rPr>
          <w:b/>
          <w:sz w:val="48"/>
        </w:rPr>
        <w:t>录</w:t>
      </w:r>
    </w:p>
    <w:p w14:paraId="5A690630">
      <w:pPr>
        <w:pStyle w:val="11"/>
        <w:spacing w:before="10"/>
        <w:rPr>
          <w:b/>
          <w:sz w:val="64"/>
        </w:rPr>
      </w:pPr>
    </w:p>
    <w:p w14:paraId="09391977">
      <w:pPr>
        <w:numPr>
          <w:ilvl w:val="0"/>
          <w:numId w:val="0"/>
        </w:numPr>
        <w:spacing w:before="1" w:line="400" w:lineRule="auto"/>
        <w:ind w:right="4350" w:rightChars="0" w:firstLine="843" w:firstLineChars="300"/>
        <w:jc w:val="left"/>
        <w:rPr>
          <w:b/>
          <w:sz w:val="28"/>
        </w:rPr>
      </w:pPr>
      <w:r>
        <w:rPr>
          <w:rFonts w:hint="eastAsia"/>
          <w:b/>
          <w:sz w:val="28"/>
          <w:lang w:eastAsia="zh-CN"/>
        </w:rPr>
        <w:t>一、</w:t>
      </w:r>
      <w:r>
        <w:rPr>
          <w:b/>
          <w:sz w:val="28"/>
        </w:rPr>
        <w:t>谈判响应函</w:t>
      </w:r>
    </w:p>
    <w:p w14:paraId="08C212A2">
      <w:pPr>
        <w:numPr>
          <w:ilvl w:val="0"/>
          <w:numId w:val="0"/>
        </w:numPr>
        <w:spacing w:before="1" w:line="400" w:lineRule="auto"/>
        <w:ind w:right="4350" w:rightChars="0" w:firstLine="843" w:firstLineChars="300"/>
        <w:jc w:val="left"/>
        <w:rPr>
          <w:b/>
          <w:sz w:val="28"/>
        </w:rPr>
      </w:pPr>
      <w:r>
        <w:rPr>
          <w:rFonts w:hint="eastAsia"/>
          <w:b/>
          <w:sz w:val="28"/>
          <w:lang w:eastAsia="zh-CN"/>
        </w:rPr>
        <w:t>二</w:t>
      </w:r>
      <w:r>
        <w:rPr>
          <w:b/>
          <w:sz w:val="28"/>
        </w:rPr>
        <w:t>、谈判报价表</w:t>
      </w:r>
    </w:p>
    <w:p w14:paraId="461075D1">
      <w:pPr>
        <w:numPr>
          <w:ilvl w:val="0"/>
          <w:numId w:val="0"/>
        </w:numPr>
        <w:spacing w:before="1" w:line="400" w:lineRule="auto"/>
        <w:ind w:right="4350" w:rightChars="0" w:firstLine="843" w:firstLineChars="300"/>
        <w:jc w:val="left"/>
        <w:rPr>
          <w:b/>
          <w:sz w:val="28"/>
        </w:rPr>
      </w:pPr>
      <w:r>
        <w:rPr>
          <w:rFonts w:hint="eastAsia"/>
          <w:b/>
          <w:sz w:val="28"/>
          <w:lang w:eastAsia="zh-CN"/>
        </w:rPr>
        <w:t>三</w:t>
      </w:r>
      <w:r>
        <w:rPr>
          <w:b/>
          <w:sz w:val="28"/>
        </w:rPr>
        <w:t>、</w:t>
      </w:r>
      <w:r>
        <w:rPr>
          <w:rFonts w:hint="eastAsia"/>
          <w:b/>
          <w:sz w:val="28"/>
          <w:lang w:eastAsia="zh-CN"/>
        </w:rPr>
        <w:t>供应商</w:t>
      </w:r>
      <w:r>
        <w:rPr>
          <w:b/>
          <w:sz w:val="28"/>
        </w:rPr>
        <w:t>资格证明文件</w:t>
      </w:r>
    </w:p>
    <w:p w14:paraId="709042B4">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四、业绩证明</w:t>
      </w:r>
    </w:p>
    <w:p w14:paraId="71BB78EC">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五、谈判方案说明书</w:t>
      </w:r>
    </w:p>
    <w:p w14:paraId="4D8185A4">
      <w:pPr>
        <w:numPr>
          <w:ilvl w:val="0"/>
          <w:numId w:val="0"/>
        </w:numPr>
        <w:spacing w:before="1" w:line="400" w:lineRule="auto"/>
        <w:ind w:right="3030" w:rightChars="0" w:firstLine="843" w:firstLineChars="300"/>
        <w:jc w:val="left"/>
        <w:rPr>
          <w:rFonts w:hint="eastAsia"/>
          <w:b/>
          <w:sz w:val="28"/>
          <w:lang w:val="en-US" w:eastAsia="zh-CN"/>
        </w:rPr>
      </w:pPr>
      <w:r>
        <w:rPr>
          <w:rFonts w:hint="eastAsia"/>
          <w:b/>
          <w:sz w:val="28"/>
          <w:lang w:val="en-US" w:eastAsia="zh-CN"/>
        </w:rPr>
        <w:t>六、供应商拒绝政府采购领域商业贿赂承诺书</w:t>
      </w:r>
    </w:p>
    <w:p w14:paraId="33F0FB32">
      <w:pPr>
        <w:numPr>
          <w:ilvl w:val="0"/>
          <w:numId w:val="0"/>
        </w:numPr>
        <w:spacing w:before="1" w:line="400" w:lineRule="auto"/>
        <w:ind w:right="4350" w:rightChars="0" w:firstLine="843" w:firstLineChars="300"/>
        <w:jc w:val="left"/>
        <w:rPr>
          <w:rFonts w:hint="eastAsia" w:eastAsia="宋体"/>
          <w:b/>
          <w:sz w:val="28"/>
          <w:lang w:val="en-US" w:eastAsia="zh-CN"/>
        </w:rPr>
      </w:pPr>
      <w:r>
        <w:rPr>
          <w:rFonts w:hint="eastAsia"/>
          <w:b/>
          <w:sz w:val="28"/>
          <w:lang w:val="en-US" w:eastAsia="zh-CN"/>
        </w:rPr>
        <w:t>七、其他材料</w:t>
      </w:r>
    </w:p>
    <w:p w14:paraId="29D02F3C">
      <w:pPr>
        <w:pStyle w:val="16"/>
        <w:rPr>
          <w:rFonts w:hint="eastAsia"/>
          <w:b/>
          <w:sz w:val="28"/>
          <w:lang w:val="en-US" w:eastAsia="zh-CN"/>
        </w:rPr>
      </w:pPr>
    </w:p>
    <w:p w14:paraId="73120A62">
      <w:pPr>
        <w:pStyle w:val="16"/>
        <w:rPr>
          <w:rFonts w:hint="default"/>
          <w:b/>
          <w:sz w:val="28"/>
          <w:lang w:val="en-US" w:eastAsia="zh-CN"/>
        </w:rPr>
      </w:pPr>
    </w:p>
    <w:p w14:paraId="57E18F47">
      <w:pPr>
        <w:spacing w:before="109"/>
        <w:ind w:left="791" w:right="875" w:firstLine="0"/>
        <w:jc w:val="center"/>
        <w:rPr>
          <w:b/>
          <w:sz w:val="30"/>
        </w:rPr>
      </w:pPr>
    </w:p>
    <w:p w14:paraId="38BF8704">
      <w:pPr>
        <w:spacing w:before="109"/>
        <w:ind w:left="791" w:right="875" w:firstLine="0"/>
        <w:jc w:val="center"/>
        <w:rPr>
          <w:b/>
          <w:sz w:val="30"/>
        </w:rPr>
      </w:pPr>
    </w:p>
    <w:p w14:paraId="6793F391">
      <w:pPr>
        <w:spacing w:before="109"/>
        <w:ind w:left="791" w:right="875" w:firstLine="0"/>
        <w:jc w:val="center"/>
        <w:rPr>
          <w:b/>
          <w:sz w:val="30"/>
        </w:rPr>
      </w:pPr>
    </w:p>
    <w:p w14:paraId="3B081A57">
      <w:pPr>
        <w:spacing w:before="109"/>
        <w:ind w:left="791" w:right="875" w:firstLine="0"/>
        <w:jc w:val="center"/>
        <w:rPr>
          <w:b/>
          <w:sz w:val="30"/>
        </w:rPr>
      </w:pPr>
    </w:p>
    <w:p w14:paraId="17B52F54">
      <w:pPr>
        <w:spacing w:before="109"/>
        <w:ind w:left="791" w:right="875" w:firstLine="0"/>
        <w:jc w:val="center"/>
        <w:rPr>
          <w:b/>
          <w:sz w:val="30"/>
        </w:rPr>
      </w:pPr>
    </w:p>
    <w:p w14:paraId="05C9C309">
      <w:pPr>
        <w:spacing w:before="109"/>
        <w:ind w:left="791" w:right="875" w:firstLine="0"/>
        <w:jc w:val="center"/>
        <w:rPr>
          <w:b/>
          <w:sz w:val="30"/>
        </w:rPr>
      </w:pPr>
    </w:p>
    <w:p w14:paraId="3BA2A22B">
      <w:pPr>
        <w:spacing w:before="109"/>
        <w:ind w:left="791" w:right="875" w:firstLine="0"/>
        <w:jc w:val="center"/>
        <w:rPr>
          <w:b/>
          <w:sz w:val="30"/>
        </w:rPr>
      </w:pPr>
    </w:p>
    <w:p w14:paraId="7873C258">
      <w:pPr>
        <w:spacing w:before="109"/>
        <w:ind w:left="791" w:right="875" w:firstLine="0"/>
        <w:jc w:val="center"/>
        <w:rPr>
          <w:b/>
          <w:sz w:val="30"/>
        </w:rPr>
      </w:pPr>
    </w:p>
    <w:p w14:paraId="162D82BA">
      <w:pPr>
        <w:spacing w:before="109"/>
        <w:ind w:left="791" w:right="875" w:firstLine="0"/>
        <w:jc w:val="center"/>
        <w:rPr>
          <w:b/>
          <w:sz w:val="30"/>
        </w:rPr>
      </w:pPr>
    </w:p>
    <w:p w14:paraId="16E68E66">
      <w:pPr>
        <w:spacing w:before="109"/>
        <w:ind w:left="791" w:right="875" w:firstLine="0"/>
        <w:jc w:val="center"/>
        <w:rPr>
          <w:b/>
          <w:sz w:val="30"/>
        </w:rPr>
      </w:pPr>
    </w:p>
    <w:p w14:paraId="5ECA7A2E">
      <w:pPr>
        <w:spacing w:before="109"/>
        <w:ind w:left="791" w:right="875" w:firstLine="0"/>
        <w:jc w:val="center"/>
        <w:rPr>
          <w:b/>
          <w:sz w:val="30"/>
        </w:rPr>
      </w:pPr>
    </w:p>
    <w:p w14:paraId="14649BF9">
      <w:pPr>
        <w:spacing w:before="109"/>
        <w:ind w:left="791" w:right="875" w:firstLine="0"/>
        <w:jc w:val="center"/>
        <w:rPr>
          <w:b/>
          <w:sz w:val="30"/>
        </w:rPr>
      </w:pPr>
    </w:p>
    <w:p w14:paraId="60580648">
      <w:pPr>
        <w:pStyle w:val="16"/>
        <w:rPr>
          <w:b/>
          <w:sz w:val="30"/>
        </w:rPr>
      </w:pPr>
    </w:p>
    <w:p w14:paraId="0EAA5C34">
      <w:pPr>
        <w:pStyle w:val="16"/>
        <w:rPr>
          <w:b/>
          <w:sz w:val="30"/>
        </w:rPr>
      </w:pPr>
    </w:p>
    <w:p w14:paraId="363CBD11">
      <w:pPr>
        <w:spacing w:before="109"/>
        <w:ind w:left="791" w:right="875" w:firstLine="0"/>
        <w:jc w:val="center"/>
        <w:rPr>
          <w:b/>
          <w:sz w:val="30"/>
        </w:rPr>
      </w:pPr>
      <w:r>
        <w:rPr>
          <w:b/>
          <w:sz w:val="30"/>
        </w:rPr>
        <w:t>一、谈判响应函</w:t>
      </w:r>
    </w:p>
    <w:p w14:paraId="523CE554">
      <w:pPr>
        <w:pStyle w:val="7"/>
        <w:rPr>
          <w:sz w:val="24"/>
          <w:szCs w:val="24"/>
        </w:rPr>
      </w:pPr>
    </w:p>
    <w:p w14:paraId="617A4A40">
      <w:pPr>
        <w:spacing w:line="360" w:lineRule="auto"/>
        <w:jc w:val="left"/>
        <w:rPr>
          <w:rFonts w:hint="eastAsia" w:ascii="宋体" w:hAnsi="宋体" w:eastAsia="宋体" w:cs="宋体"/>
          <w:b/>
          <w:spacing w:val="4"/>
          <w:sz w:val="24"/>
          <w:szCs w:val="24"/>
          <w:lang w:eastAsia="zh-CN"/>
        </w:rPr>
      </w:pPr>
      <w:r>
        <w:rPr>
          <w:rFonts w:hint="eastAsia" w:ascii="宋体" w:hAnsi="宋体" w:eastAsia="宋体" w:cs="宋体"/>
          <w:b/>
          <w:spacing w:val="4"/>
          <w:sz w:val="24"/>
          <w:szCs w:val="24"/>
        </w:rPr>
        <w:t>致：</w:t>
      </w:r>
      <w:r>
        <w:rPr>
          <w:rFonts w:hint="eastAsia" w:cs="宋体"/>
          <w:b/>
          <w:spacing w:val="4"/>
          <w:sz w:val="24"/>
          <w:szCs w:val="24"/>
          <w:lang w:eastAsia="zh-CN"/>
        </w:rPr>
        <w:t>亿诚建设项目管理有限公司</w:t>
      </w:r>
    </w:p>
    <w:p w14:paraId="6016D49B">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根据贵方</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 xml:space="preserve"> (项目编号：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的谈判文件，签字代表</w:t>
      </w:r>
      <w:r>
        <w:rPr>
          <w:rFonts w:hint="eastAsia" w:ascii="宋体" w:hAnsi="宋体" w:eastAsia="宋体" w:cs="宋体"/>
          <w:spacing w:val="4"/>
          <w:sz w:val="24"/>
          <w:szCs w:val="24"/>
          <w:u w:val="single"/>
        </w:rPr>
        <w:t xml:space="preserve">  （全名、职务）  </w:t>
      </w:r>
      <w:r>
        <w:rPr>
          <w:rFonts w:hint="eastAsia" w:ascii="宋体" w:hAnsi="宋体" w:eastAsia="宋体" w:cs="宋体"/>
          <w:spacing w:val="4"/>
          <w:sz w:val="24"/>
          <w:szCs w:val="24"/>
        </w:rPr>
        <w:t>经正式授权并代表供应商</w:t>
      </w: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提交谈判响应文件。</w:t>
      </w:r>
    </w:p>
    <w:p w14:paraId="5E44EC87">
      <w:pPr>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我方承诺如下：</w:t>
      </w:r>
    </w:p>
    <w:p w14:paraId="38D7EDF0">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1.谈判总价为：</w:t>
      </w:r>
      <w:r>
        <w:rPr>
          <w:rFonts w:hint="eastAsia" w:ascii="宋体" w:hAnsi="宋体" w:eastAsia="宋体" w:cs="宋体"/>
          <w:sz w:val="24"/>
          <w:szCs w:val="24"/>
        </w:rPr>
        <w:t>（大写）</w:t>
      </w:r>
      <w:r>
        <w:rPr>
          <w:rFonts w:hint="eastAsia" w:ascii="宋体" w:hAnsi="宋体" w:eastAsia="宋体" w:cs="宋体"/>
          <w:spacing w:val="4"/>
          <w:sz w:val="24"/>
          <w:szCs w:val="24"/>
        </w:rPr>
        <w:t xml:space="preserve">人民币 </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元）。</w:t>
      </w:r>
    </w:p>
    <w:p w14:paraId="23069FCC">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2.如果成交，我们根据谈判文件的规定，履行合同的责任和义务。</w:t>
      </w:r>
    </w:p>
    <w:p w14:paraId="6851C43E">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3.我们已详细阅读和审核全部谈判文件（含修改部分，如有的话），及有关附件，我们知道必须放弃提出含糊不清或误解的问题的权利。</w:t>
      </w:r>
    </w:p>
    <w:p w14:paraId="6BACD8B4">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4.我们同意在谈判有效期内（</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），本谈判响应函对我方具有约束力。</w:t>
      </w:r>
    </w:p>
    <w:p w14:paraId="043E7C3D">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5.同意提供贵方可能另外要求的与本谈判有关的任何证据和资料。 </w:t>
      </w:r>
    </w:p>
    <w:p w14:paraId="74BB27C7">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.与本谈判有关的一切正式往来通讯为：</w:t>
      </w:r>
    </w:p>
    <w:p w14:paraId="282BE911">
      <w:pPr>
        <w:tabs>
          <w:tab w:val="left" w:pos="2160"/>
        </w:tabs>
        <w:spacing w:line="440" w:lineRule="exact"/>
        <w:jc w:val="left"/>
        <w:rPr>
          <w:rFonts w:hint="eastAsia" w:ascii="宋体" w:hAnsi="宋体" w:eastAsia="宋体" w:cs="宋体"/>
          <w:spacing w:val="4"/>
          <w:sz w:val="24"/>
          <w:szCs w:val="24"/>
        </w:rPr>
      </w:pPr>
    </w:p>
    <w:p w14:paraId="1F98BB45">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联系地址：</w:t>
      </w:r>
      <w:r>
        <w:rPr>
          <w:rFonts w:hint="eastAsia" w:ascii="宋体" w:hAnsi="宋体" w:eastAsia="宋体" w:cs="宋体"/>
          <w:spacing w:val="4"/>
          <w:sz w:val="24"/>
          <w:szCs w:val="24"/>
          <w:u w:val="single"/>
        </w:rPr>
        <w:t xml:space="preserve">                           </w:t>
      </w:r>
    </w:p>
    <w:p w14:paraId="604411E6">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邮政编码：</w:t>
      </w:r>
      <w:r>
        <w:rPr>
          <w:rFonts w:hint="eastAsia" w:ascii="宋体" w:hAnsi="宋体" w:eastAsia="宋体" w:cs="宋体"/>
          <w:spacing w:val="4"/>
          <w:sz w:val="24"/>
          <w:szCs w:val="24"/>
          <w:u w:val="single"/>
        </w:rPr>
        <w:t xml:space="preserve">                           </w:t>
      </w:r>
    </w:p>
    <w:p w14:paraId="24CD941A">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电    话：</w:t>
      </w:r>
      <w:r>
        <w:rPr>
          <w:rFonts w:hint="eastAsia" w:ascii="宋体" w:hAnsi="宋体" w:eastAsia="宋体" w:cs="宋体"/>
          <w:spacing w:val="4"/>
          <w:sz w:val="24"/>
          <w:szCs w:val="24"/>
          <w:u w:val="single"/>
        </w:rPr>
        <w:t xml:space="preserve">                          </w:t>
      </w:r>
    </w:p>
    <w:p w14:paraId="21B174C2">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供应商名称（公章）：</w:t>
      </w:r>
      <w:r>
        <w:rPr>
          <w:rFonts w:hint="eastAsia" w:ascii="宋体" w:hAnsi="宋体" w:eastAsia="宋体" w:cs="宋体"/>
          <w:spacing w:val="4"/>
          <w:sz w:val="24"/>
          <w:szCs w:val="24"/>
          <w:u w:val="single"/>
        </w:rPr>
        <w:t xml:space="preserve">                         </w:t>
      </w:r>
    </w:p>
    <w:p w14:paraId="24A8CC22">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p w14:paraId="4113FCBB">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日    期：</w:t>
      </w:r>
      <w:r>
        <w:rPr>
          <w:rFonts w:hint="eastAsia" w:ascii="宋体" w:hAnsi="宋体" w:eastAsia="宋体" w:cs="宋体"/>
          <w:spacing w:val="4"/>
          <w:sz w:val="24"/>
          <w:szCs w:val="24"/>
          <w:u w:val="single"/>
        </w:rPr>
        <w:t xml:space="preserve">                                </w:t>
      </w:r>
    </w:p>
    <w:p w14:paraId="4F5B0565">
      <w:pPr>
        <w:pStyle w:val="11"/>
        <w:spacing w:before="1"/>
        <w:rPr>
          <w:b/>
          <w:sz w:val="24"/>
          <w:szCs w:val="24"/>
        </w:rPr>
      </w:pPr>
    </w:p>
    <w:p w14:paraId="0F3A0107">
      <w:pPr>
        <w:spacing w:before="32"/>
        <w:ind w:left="791" w:right="875" w:firstLine="0"/>
        <w:jc w:val="center"/>
        <w:rPr>
          <w:b/>
          <w:sz w:val="30"/>
        </w:rPr>
      </w:pPr>
    </w:p>
    <w:p w14:paraId="47C75BA4">
      <w:pPr>
        <w:spacing w:before="32"/>
        <w:ind w:left="791" w:right="875" w:firstLine="0"/>
        <w:jc w:val="center"/>
        <w:rPr>
          <w:b/>
          <w:sz w:val="30"/>
        </w:rPr>
      </w:pPr>
    </w:p>
    <w:p w14:paraId="48A40F7A">
      <w:pPr>
        <w:spacing w:before="32"/>
        <w:ind w:left="791" w:right="875" w:firstLine="0"/>
        <w:jc w:val="center"/>
        <w:rPr>
          <w:b/>
          <w:sz w:val="30"/>
        </w:rPr>
      </w:pPr>
    </w:p>
    <w:p w14:paraId="45E43C3C">
      <w:pPr>
        <w:spacing w:before="32"/>
        <w:ind w:left="791" w:right="875" w:firstLine="0"/>
        <w:jc w:val="center"/>
        <w:rPr>
          <w:b/>
          <w:sz w:val="30"/>
        </w:rPr>
      </w:pPr>
    </w:p>
    <w:p w14:paraId="65E1DF16">
      <w:pPr>
        <w:pStyle w:val="7"/>
        <w:rPr>
          <w:b/>
          <w:sz w:val="30"/>
        </w:rPr>
      </w:pPr>
    </w:p>
    <w:p w14:paraId="2C2BBD50">
      <w:pPr>
        <w:pStyle w:val="8"/>
        <w:rPr>
          <w:b/>
          <w:sz w:val="30"/>
        </w:rPr>
      </w:pPr>
    </w:p>
    <w:p w14:paraId="1F10688B"/>
    <w:p w14:paraId="6A809394">
      <w:pPr>
        <w:pStyle w:val="27"/>
      </w:pPr>
    </w:p>
    <w:p w14:paraId="76D31BD1">
      <w:pPr>
        <w:pStyle w:val="27"/>
      </w:pPr>
    </w:p>
    <w:p w14:paraId="110BB2F3">
      <w:pPr>
        <w:pStyle w:val="9"/>
      </w:pPr>
    </w:p>
    <w:p w14:paraId="532369FC">
      <w:pPr>
        <w:pStyle w:val="16"/>
      </w:pPr>
    </w:p>
    <w:p w14:paraId="0802B280">
      <w:pPr>
        <w:spacing w:before="32"/>
        <w:ind w:left="791" w:right="875" w:firstLine="0"/>
        <w:jc w:val="center"/>
        <w:rPr>
          <w:b/>
          <w:sz w:val="30"/>
        </w:rPr>
      </w:pPr>
    </w:p>
    <w:p w14:paraId="6B064FFF">
      <w:pPr>
        <w:spacing w:before="32"/>
        <w:ind w:left="791" w:right="875" w:firstLine="0"/>
        <w:jc w:val="center"/>
        <w:rPr>
          <w:b/>
          <w:sz w:val="30"/>
        </w:rPr>
      </w:pPr>
      <w:r>
        <w:rPr>
          <w:rFonts w:hint="eastAsia"/>
          <w:b/>
          <w:sz w:val="30"/>
          <w:lang w:eastAsia="zh-CN"/>
        </w:rPr>
        <w:t>二、</w:t>
      </w:r>
      <w:r>
        <w:rPr>
          <w:b/>
          <w:sz w:val="30"/>
        </w:rPr>
        <w:t>谈判报价表</w:t>
      </w:r>
    </w:p>
    <w:p w14:paraId="75A13ABB">
      <w:pPr>
        <w:pStyle w:val="11"/>
        <w:spacing w:before="4"/>
        <w:rPr>
          <w:b/>
          <w:sz w:val="10"/>
        </w:rPr>
      </w:pPr>
    </w:p>
    <w:p w14:paraId="7920E786">
      <w:pPr>
        <w:pStyle w:val="11"/>
        <w:spacing w:before="4"/>
        <w:rPr>
          <w:sz w:val="12"/>
        </w:rPr>
      </w:pPr>
    </w:p>
    <w:p w14:paraId="7A6F02E7">
      <w:pPr>
        <w:pStyle w:val="11"/>
      </w:pPr>
    </w:p>
    <w:tbl>
      <w:tblPr>
        <w:tblStyle w:val="21"/>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14:paraId="02F9E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14:paraId="173C5DBD">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采购项目名称</w:t>
            </w:r>
          </w:p>
        </w:tc>
        <w:tc>
          <w:tcPr>
            <w:tcW w:w="6300" w:type="dxa"/>
            <w:noWrap w:val="0"/>
            <w:vAlign w:val="center"/>
          </w:tcPr>
          <w:p w14:paraId="2C038444">
            <w:pPr>
              <w:ind w:firstLine="240" w:firstLineChars="100"/>
              <w:rPr>
                <w:rFonts w:hint="eastAsia" w:asciiTheme="majorEastAsia" w:hAnsiTheme="majorEastAsia" w:eastAsiaTheme="majorEastAsia" w:cstheme="majorEastAsia"/>
                <w:sz w:val="24"/>
                <w:shd w:val="clear" w:color="auto" w:fill="auto"/>
              </w:rPr>
            </w:pPr>
          </w:p>
        </w:tc>
      </w:tr>
      <w:tr w14:paraId="3987F5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14:paraId="45A33EA8">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采购项目编号</w:t>
            </w:r>
          </w:p>
        </w:tc>
        <w:tc>
          <w:tcPr>
            <w:tcW w:w="6300" w:type="dxa"/>
            <w:tcBorders>
              <w:bottom w:val="single" w:color="auto" w:sz="4" w:space="0"/>
            </w:tcBorders>
            <w:noWrap w:val="0"/>
            <w:vAlign w:val="center"/>
          </w:tcPr>
          <w:p w14:paraId="1BF2C47B">
            <w:pPr>
              <w:ind w:firstLine="240" w:firstLineChars="100"/>
              <w:rPr>
                <w:rFonts w:hint="eastAsia" w:asciiTheme="majorEastAsia" w:hAnsiTheme="majorEastAsia" w:eastAsiaTheme="majorEastAsia" w:cstheme="majorEastAsia"/>
                <w:sz w:val="24"/>
                <w:shd w:val="clear" w:color="auto" w:fill="auto"/>
              </w:rPr>
            </w:pPr>
          </w:p>
        </w:tc>
      </w:tr>
      <w:tr w14:paraId="162FC05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14:paraId="3D2E3FA5">
            <w:pPr>
              <w:ind w:firstLine="240" w:firstLineChars="100"/>
              <w:jc w:val="center"/>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eastAsia="zh-CN"/>
              </w:rPr>
              <w:t>投标总</w:t>
            </w:r>
            <w:r>
              <w:rPr>
                <w:rFonts w:hint="eastAsia" w:asciiTheme="majorEastAsia" w:hAnsiTheme="majorEastAsia" w:eastAsiaTheme="majorEastAsia" w:cstheme="majorEastAsia"/>
                <w:sz w:val="24"/>
                <w:shd w:val="clear" w:color="auto" w:fill="auto"/>
              </w:rPr>
              <w:t>报价</w:t>
            </w:r>
            <w:r>
              <w:rPr>
                <w:rFonts w:hint="eastAsia" w:asciiTheme="majorEastAsia" w:hAnsiTheme="majorEastAsia" w:eastAsiaTheme="majorEastAsia" w:cstheme="majorEastAsia"/>
                <w:sz w:val="24"/>
                <w:shd w:val="clear" w:color="auto" w:fill="auto"/>
                <w:lang w:eastAsia="zh-CN"/>
              </w:rPr>
              <w:t>（元）</w:t>
            </w:r>
          </w:p>
        </w:tc>
        <w:tc>
          <w:tcPr>
            <w:tcW w:w="6300" w:type="dxa"/>
            <w:noWrap w:val="0"/>
            <w:vAlign w:val="top"/>
          </w:tcPr>
          <w:p w14:paraId="1DFBB653">
            <w:pPr>
              <w:ind w:firstLine="240" w:firstLineChars="100"/>
              <w:rPr>
                <w:rFonts w:hint="eastAsia" w:asciiTheme="majorEastAsia" w:hAnsiTheme="majorEastAsia" w:eastAsiaTheme="majorEastAsia" w:cstheme="majorEastAsia"/>
                <w:sz w:val="24"/>
                <w:shd w:val="clear" w:color="auto" w:fill="auto"/>
              </w:rPr>
            </w:pPr>
          </w:p>
          <w:p w14:paraId="23B409EE">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大写：                              </w:t>
            </w:r>
          </w:p>
          <w:p w14:paraId="1C99CE01">
            <w:pPr>
              <w:ind w:firstLine="240" w:firstLineChars="100"/>
              <w:rPr>
                <w:rFonts w:hint="eastAsia" w:asciiTheme="majorEastAsia" w:hAnsiTheme="majorEastAsia" w:eastAsiaTheme="majorEastAsia" w:cstheme="majorEastAsia"/>
                <w:sz w:val="24"/>
                <w:shd w:val="clear" w:color="auto" w:fill="auto"/>
              </w:rPr>
            </w:pPr>
          </w:p>
          <w:p w14:paraId="4EDD0C5B">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小写：                              </w:t>
            </w:r>
          </w:p>
          <w:p w14:paraId="7CC088CF">
            <w:pPr>
              <w:ind w:firstLine="240" w:firstLineChars="100"/>
              <w:rPr>
                <w:rFonts w:hint="eastAsia" w:asciiTheme="majorEastAsia" w:hAnsiTheme="majorEastAsia" w:eastAsiaTheme="majorEastAsia" w:cstheme="majorEastAsia"/>
                <w:sz w:val="24"/>
                <w:shd w:val="clear" w:color="auto" w:fill="auto"/>
              </w:rPr>
            </w:pPr>
          </w:p>
        </w:tc>
      </w:tr>
      <w:tr w14:paraId="727E80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14:paraId="49470425">
            <w:pPr>
              <w:ind w:firstLine="720" w:firstLineChars="300"/>
              <w:jc w:val="both"/>
              <w:rPr>
                <w:rFonts w:hint="eastAsia" w:asciiTheme="majorEastAsia" w:hAnsiTheme="majorEastAsia" w:eastAsiaTheme="majorEastAsia" w:cstheme="majorEastAsia"/>
                <w:sz w:val="24"/>
                <w:shd w:val="clear" w:color="auto" w:fill="auto"/>
                <w:lang w:val="en-US"/>
              </w:rPr>
            </w:pPr>
            <w:r>
              <w:rPr>
                <w:rFonts w:hint="eastAsia" w:asciiTheme="majorEastAsia" w:hAnsiTheme="majorEastAsia" w:eastAsiaTheme="majorEastAsia" w:cstheme="majorEastAsia"/>
                <w:sz w:val="24"/>
                <w:shd w:val="clear" w:color="auto" w:fill="auto"/>
                <w:lang w:val="en-US" w:eastAsia="zh-CN"/>
              </w:rPr>
              <w:t>工期</w:t>
            </w:r>
          </w:p>
        </w:tc>
        <w:tc>
          <w:tcPr>
            <w:tcW w:w="6300" w:type="dxa"/>
            <w:tcBorders>
              <w:left w:val="single" w:color="auto" w:sz="4" w:space="0"/>
            </w:tcBorders>
            <w:noWrap w:val="0"/>
            <w:vAlign w:val="center"/>
          </w:tcPr>
          <w:p w14:paraId="3C144524">
            <w:pPr>
              <w:ind w:firstLine="240" w:firstLineChars="100"/>
              <w:rPr>
                <w:rFonts w:hint="eastAsia" w:asciiTheme="majorEastAsia" w:hAnsiTheme="majorEastAsia" w:eastAsiaTheme="majorEastAsia" w:cstheme="majorEastAsia"/>
                <w:sz w:val="24"/>
                <w:shd w:val="clear" w:color="auto" w:fill="auto"/>
                <w:lang w:val="en-US" w:eastAsia="zh-CN"/>
              </w:rPr>
            </w:pPr>
          </w:p>
        </w:tc>
      </w:tr>
      <w:tr w14:paraId="1C0C3E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14:paraId="3DC2B969">
            <w:pPr>
              <w:ind w:firstLine="720" w:firstLineChars="300"/>
              <w:jc w:val="both"/>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eastAsia="zh-CN"/>
              </w:rPr>
              <w:t>质量</w:t>
            </w:r>
          </w:p>
        </w:tc>
        <w:tc>
          <w:tcPr>
            <w:tcW w:w="6300" w:type="dxa"/>
            <w:tcBorders>
              <w:left w:val="single" w:color="auto" w:sz="4" w:space="0"/>
            </w:tcBorders>
            <w:noWrap w:val="0"/>
            <w:vAlign w:val="center"/>
          </w:tcPr>
          <w:p w14:paraId="6CF2B287">
            <w:pPr>
              <w:rPr>
                <w:rFonts w:hint="eastAsia" w:asciiTheme="majorEastAsia" w:hAnsiTheme="majorEastAsia" w:eastAsiaTheme="majorEastAsia" w:cstheme="majorEastAsia"/>
                <w:sz w:val="24"/>
                <w:shd w:val="clear" w:color="auto" w:fill="auto"/>
                <w:lang w:eastAsia="zh-CN"/>
              </w:rPr>
            </w:pPr>
          </w:p>
        </w:tc>
      </w:tr>
    </w:tbl>
    <w:p w14:paraId="1DC9D4E4">
      <w:pPr>
        <w:pStyle w:val="11"/>
      </w:pPr>
    </w:p>
    <w:p w14:paraId="2E21C94B">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备注：1、</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报价系指供应商完成</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文件规定的各项工作所产生的费用合价；</w:t>
      </w:r>
    </w:p>
    <w:p w14:paraId="4F31865B">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      2、</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报价不得高于</w:t>
      </w:r>
      <w:r>
        <w:rPr>
          <w:rFonts w:hint="eastAsia" w:asciiTheme="majorEastAsia" w:hAnsiTheme="majorEastAsia" w:eastAsiaTheme="majorEastAsia" w:cstheme="majorEastAsia"/>
          <w:sz w:val="24"/>
          <w:shd w:val="clear" w:color="auto" w:fill="auto"/>
          <w:lang w:eastAsia="zh-CN"/>
        </w:rPr>
        <w:t>本项目的最高限价</w:t>
      </w:r>
      <w:r>
        <w:rPr>
          <w:rFonts w:hint="eastAsia" w:asciiTheme="majorEastAsia" w:hAnsiTheme="majorEastAsia" w:eastAsiaTheme="majorEastAsia" w:cstheme="majorEastAsia"/>
          <w:sz w:val="24"/>
          <w:shd w:val="clear" w:color="auto" w:fill="auto"/>
        </w:rPr>
        <w:t>。</w:t>
      </w:r>
    </w:p>
    <w:p w14:paraId="53BCD795">
      <w:pPr>
        <w:pStyle w:val="11"/>
      </w:pPr>
    </w:p>
    <w:p w14:paraId="3F22862F">
      <w:pPr>
        <w:pStyle w:val="11"/>
        <w:spacing w:before="8"/>
        <w:rPr>
          <w:sz w:val="25"/>
        </w:rPr>
      </w:pPr>
    </w:p>
    <w:p w14:paraId="7BA575BF">
      <w:pPr>
        <w:pStyle w:val="11"/>
        <w:tabs>
          <w:tab w:val="left" w:pos="5868"/>
        </w:tabs>
        <w:spacing w:before="1"/>
        <w:ind w:left="588"/>
      </w:pPr>
      <w:r>
        <w:t>供应商：</w:t>
      </w:r>
      <w:r>
        <w:rPr>
          <w:u w:val="single"/>
        </w:rPr>
        <w:t xml:space="preserve"> </w:t>
      </w:r>
      <w:r>
        <w:rPr>
          <w:u w:val="single"/>
        </w:rPr>
        <w:tab/>
      </w:r>
      <w:r>
        <w:t>（盖章）</w:t>
      </w:r>
    </w:p>
    <w:p w14:paraId="208C0D6B">
      <w:pPr>
        <w:pStyle w:val="11"/>
        <w:rPr>
          <w:sz w:val="26"/>
        </w:rPr>
      </w:pPr>
    </w:p>
    <w:p w14:paraId="1C20D404">
      <w:pPr>
        <w:pStyle w:val="11"/>
        <w:rPr>
          <w:sz w:val="23"/>
        </w:rPr>
      </w:pPr>
    </w:p>
    <w:p w14:paraId="3322436F">
      <w:pPr>
        <w:pStyle w:val="11"/>
        <w:tabs>
          <w:tab w:val="left" w:pos="6047"/>
        </w:tabs>
        <w:ind w:firstLine="476" w:firstLineChars="200"/>
        <w:rPr>
          <w:rFonts w:ascii="Times New Roman" w:eastAsia="Times New Roman"/>
        </w:rPr>
      </w:pPr>
      <w:r>
        <w:rPr>
          <w:spacing w:val="-1"/>
        </w:rPr>
        <w:t>法</w:t>
      </w:r>
      <w:r>
        <w:t>定代表人或授权代理人签字：</w:t>
      </w:r>
      <w:r>
        <w:rPr>
          <w:rFonts w:ascii="Times New Roman" w:eastAsia="Times New Roman"/>
          <w:u w:val="single"/>
        </w:rPr>
        <w:t xml:space="preserve"> </w:t>
      </w:r>
      <w:r>
        <w:rPr>
          <w:rFonts w:ascii="Times New Roman" w:eastAsia="Times New Roman"/>
          <w:u w:val="single"/>
        </w:rPr>
        <w:tab/>
      </w:r>
    </w:p>
    <w:p w14:paraId="3DB66D1D">
      <w:pPr>
        <w:pStyle w:val="11"/>
        <w:rPr>
          <w:rFonts w:ascii="Times New Roman"/>
          <w:sz w:val="20"/>
        </w:rPr>
      </w:pPr>
    </w:p>
    <w:p w14:paraId="07BE2FC3">
      <w:pPr>
        <w:pStyle w:val="11"/>
        <w:tabs>
          <w:tab w:val="left" w:pos="7032"/>
          <w:tab w:val="left" w:pos="7992"/>
          <w:tab w:val="left" w:pos="8952"/>
        </w:tabs>
        <w:spacing w:before="67"/>
        <w:ind w:left="5472"/>
      </w:pPr>
    </w:p>
    <w:p w14:paraId="3CFB51D1">
      <w:pPr>
        <w:pStyle w:val="11"/>
        <w:tabs>
          <w:tab w:val="left" w:pos="7032"/>
          <w:tab w:val="left" w:pos="7992"/>
          <w:tab w:val="left" w:pos="8952"/>
        </w:tabs>
        <w:spacing w:before="67"/>
        <w:ind w:left="5472"/>
      </w:pPr>
    </w:p>
    <w:p w14:paraId="39F095A9">
      <w:pPr>
        <w:pStyle w:val="11"/>
        <w:tabs>
          <w:tab w:val="left" w:pos="7032"/>
          <w:tab w:val="left" w:pos="7992"/>
          <w:tab w:val="left" w:pos="8952"/>
        </w:tabs>
        <w:spacing w:before="67"/>
        <w:ind w:left="5472"/>
      </w:pPr>
    </w:p>
    <w:p w14:paraId="227C215B">
      <w:pPr>
        <w:pStyle w:val="11"/>
        <w:tabs>
          <w:tab w:val="left" w:pos="7032"/>
          <w:tab w:val="left" w:pos="7992"/>
          <w:tab w:val="left" w:pos="8952"/>
        </w:tabs>
        <w:spacing w:before="67"/>
        <w:ind w:left="5472"/>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41883789">
      <w:pPr>
        <w:spacing w:after="0"/>
      </w:pPr>
    </w:p>
    <w:p w14:paraId="017717CE">
      <w:pPr>
        <w:pStyle w:val="16"/>
      </w:pPr>
    </w:p>
    <w:p w14:paraId="5D759398">
      <w:pPr>
        <w:pStyle w:val="16"/>
      </w:pPr>
    </w:p>
    <w:p w14:paraId="30F8FE1F">
      <w:pPr>
        <w:pStyle w:val="16"/>
      </w:pPr>
    </w:p>
    <w:p w14:paraId="67F92D54">
      <w:pPr>
        <w:pStyle w:val="16"/>
      </w:pPr>
    </w:p>
    <w:p w14:paraId="48243650">
      <w:pPr>
        <w:pStyle w:val="16"/>
      </w:pPr>
    </w:p>
    <w:p w14:paraId="68915FF5">
      <w:pPr>
        <w:pStyle w:val="16"/>
      </w:pPr>
    </w:p>
    <w:p w14:paraId="69951234">
      <w:pPr>
        <w:pStyle w:val="16"/>
      </w:pPr>
    </w:p>
    <w:p w14:paraId="300BBC7B">
      <w:pPr>
        <w:pStyle w:val="16"/>
      </w:pPr>
    </w:p>
    <w:p w14:paraId="7DB23CB3">
      <w:pPr>
        <w:pStyle w:val="16"/>
      </w:pPr>
    </w:p>
    <w:p w14:paraId="3EF02761">
      <w:pPr>
        <w:spacing w:before="32"/>
        <w:ind w:left="791" w:right="875" w:firstLine="0"/>
        <w:jc w:val="center"/>
        <w:rPr>
          <w:rFonts w:hint="eastAsia"/>
          <w:b/>
          <w:sz w:val="30"/>
          <w:lang w:eastAsia="zh-CN"/>
        </w:rPr>
      </w:pPr>
      <w:r>
        <w:rPr>
          <w:rFonts w:hint="eastAsia"/>
          <w:b/>
          <w:sz w:val="30"/>
          <w:lang w:eastAsia="zh-CN"/>
        </w:rPr>
        <w:t>已标价工程量清单</w:t>
      </w:r>
    </w:p>
    <w:p w14:paraId="5BD6610D">
      <w:pPr>
        <w:pStyle w:val="16"/>
        <w:rPr>
          <w:rFonts w:hint="eastAsia"/>
          <w:lang w:eastAsia="zh-CN"/>
        </w:rPr>
      </w:pPr>
    </w:p>
    <w:p w14:paraId="6505C0B6">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val="en-US" w:eastAsia="zh-CN"/>
        </w:rPr>
        <w:t>注：</w:t>
      </w:r>
      <w:r>
        <w:rPr>
          <w:rFonts w:hint="default" w:ascii="Calibri" w:hAnsi="Calibri" w:cs="Calibri" w:eastAsiaTheme="majorEastAsia"/>
          <w:sz w:val="21"/>
          <w:szCs w:val="20"/>
          <w:shd w:val="clear" w:color="auto" w:fill="auto"/>
          <w:lang w:val="en-US" w:eastAsia="zh-CN"/>
        </w:rPr>
        <w:t>①</w:t>
      </w:r>
      <w:r>
        <w:rPr>
          <w:rFonts w:hint="eastAsia" w:asciiTheme="majorEastAsia" w:hAnsiTheme="majorEastAsia" w:eastAsiaTheme="majorEastAsia" w:cstheme="majorEastAsia"/>
          <w:sz w:val="24"/>
          <w:shd w:val="clear" w:color="auto" w:fill="auto"/>
          <w:lang w:val="en-US" w:eastAsia="zh-CN"/>
        </w:rPr>
        <w:t>报价时必须按工程量清单表格所列内容进行报价，不得更改，凡与清单不符的一律视为无效投标。</w:t>
      </w:r>
    </w:p>
    <w:p w14:paraId="5895B02D">
      <w:pPr>
        <w:ind w:firstLine="630" w:firstLineChars="300"/>
        <w:rPr>
          <w:rFonts w:hint="eastAsia" w:asciiTheme="majorEastAsia" w:hAnsiTheme="majorEastAsia" w:eastAsiaTheme="majorEastAsia" w:cstheme="majorEastAsia"/>
          <w:sz w:val="24"/>
          <w:shd w:val="clear" w:color="auto" w:fill="auto"/>
        </w:rPr>
        <w:sectPr>
          <w:pgSz w:w="11910" w:h="16840"/>
          <w:pgMar w:top="1540" w:right="1040" w:bottom="1420" w:left="1240" w:header="0" w:footer="680" w:gutter="0"/>
          <w:pgNumType w:fmt="decimal"/>
          <w:cols w:space="720" w:num="1"/>
        </w:sectPr>
      </w:pPr>
      <w:r>
        <w:rPr>
          <w:rFonts w:hint="default" w:ascii="Calibri" w:hAnsi="Calibri" w:eastAsia="仿宋_GB2312" w:cs="Calibri"/>
          <w:kern w:val="0"/>
          <w:sz w:val="21"/>
          <w:szCs w:val="21"/>
          <w:lang w:val="en-US" w:eastAsia="zh-CN"/>
        </w:rPr>
        <w:t>②</w:t>
      </w:r>
      <w:r>
        <w:rPr>
          <w:rFonts w:hint="default" w:asciiTheme="majorEastAsia" w:hAnsiTheme="majorEastAsia" w:eastAsiaTheme="majorEastAsia" w:cstheme="majorEastAsia"/>
          <w:sz w:val="24"/>
          <w:shd w:val="clear" w:color="auto" w:fill="auto"/>
          <w:lang w:val="en-US" w:eastAsia="zh-CN"/>
        </w:rPr>
        <w:t>本项目</w:t>
      </w:r>
      <w:r>
        <w:rPr>
          <w:rFonts w:hint="eastAsia" w:asciiTheme="majorEastAsia" w:hAnsiTheme="majorEastAsia" w:eastAsiaTheme="majorEastAsia" w:cstheme="majorEastAsia"/>
          <w:sz w:val="24"/>
          <w:shd w:val="clear" w:color="auto" w:fill="auto"/>
          <w:lang w:val="en-US" w:eastAsia="zh-CN"/>
        </w:rPr>
        <w:t>预算</w:t>
      </w:r>
      <w:r>
        <w:rPr>
          <w:rFonts w:hint="default" w:asciiTheme="majorEastAsia" w:hAnsiTheme="majorEastAsia" w:eastAsiaTheme="majorEastAsia" w:cstheme="majorEastAsia"/>
          <w:sz w:val="24"/>
          <w:shd w:val="clear" w:color="auto" w:fill="auto"/>
          <w:lang w:val="en-US" w:eastAsia="zh-CN"/>
        </w:rPr>
        <w:t>采用</w:t>
      </w:r>
      <w:r>
        <w:rPr>
          <w:rFonts w:hint="eastAsia" w:asciiTheme="majorEastAsia" w:hAnsiTheme="majorEastAsia" w:eastAsiaTheme="majorEastAsia" w:cstheme="majorEastAsia"/>
          <w:sz w:val="24"/>
          <w:shd w:val="clear" w:color="auto" w:fill="auto"/>
          <w:lang w:val="en-US" w:eastAsia="zh-CN"/>
        </w:rPr>
        <w:t>广联达软件GBQ7.0</w:t>
      </w:r>
      <w:r>
        <w:rPr>
          <w:rFonts w:hint="default" w:asciiTheme="majorEastAsia" w:hAnsiTheme="majorEastAsia" w:eastAsiaTheme="majorEastAsia" w:cstheme="majorEastAsia"/>
          <w:sz w:val="24"/>
          <w:shd w:val="clear" w:color="auto" w:fill="auto"/>
          <w:lang w:val="en-US" w:eastAsia="zh-CN"/>
        </w:rPr>
        <w:t>编制。</w:t>
      </w:r>
    </w:p>
    <w:p w14:paraId="005C4009">
      <w:pPr>
        <w:numPr>
          <w:ilvl w:val="0"/>
          <w:numId w:val="0"/>
        </w:numPr>
        <w:spacing w:before="32"/>
        <w:ind w:left="791" w:leftChars="0" w:right="875" w:rightChars="0"/>
        <w:jc w:val="center"/>
        <w:rPr>
          <w:rFonts w:hint="eastAsia" w:ascii="宋体" w:hAnsi="宋体" w:eastAsia="宋体" w:cs="宋体"/>
          <w:b/>
          <w:sz w:val="30"/>
          <w:szCs w:val="22"/>
          <w:lang w:val="zh-CN" w:eastAsia="zh-CN" w:bidi="zh-CN"/>
        </w:rPr>
      </w:pPr>
      <w:r>
        <w:rPr>
          <w:rFonts w:hint="eastAsia" w:ascii="宋体" w:hAnsi="宋体" w:eastAsia="宋体" w:cs="宋体"/>
          <w:b/>
          <w:sz w:val="30"/>
          <w:szCs w:val="22"/>
          <w:lang w:val="zh-CN" w:eastAsia="zh-CN" w:bidi="zh-CN"/>
        </w:rPr>
        <w:t>三、供应商资格证明文件</w:t>
      </w:r>
    </w:p>
    <w:p w14:paraId="19E3AAC9">
      <w:pPr>
        <w:pStyle w:val="16"/>
        <w:jc w:val="both"/>
        <w:rPr>
          <w:rFonts w:hint="eastAsia"/>
          <w:lang w:val="zh-CN" w:eastAsia="zh-CN"/>
        </w:rPr>
      </w:pPr>
    </w:p>
    <w:p w14:paraId="193E2FEC">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 xml:space="preserve">（1）具有独立承担民事责任的能力：提供营业执照、税务登记证、组织机构代码证或三证合一的营业执照副本（或《事业单位法人证书》或其他合法组织登记证书、自然人只须提交身份证)； </w:t>
      </w:r>
    </w:p>
    <w:p w14:paraId="4BD6683B">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（2）法定代表人直接参加投标的，须出具法定代表人身份证；法定代表人授权代表参加投标的，须出具法定代表人授权委托书、法定代表人身份证复印件以及被授权代表身份证复印件；</w:t>
      </w:r>
    </w:p>
    <w:p w14:paraId="1D38D043">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（3）供应商具有建设行政主管部门颁发的消防设施工程专业承包二级（含二级）以上资质，并具备合格有效的安全生产许可证；</w:t>
      </w:r>
    </w:p>
    <w:p w14:paraId="25750FAD">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（4）拟派项目经理须具有机电工程专业二级（含二级）以上的注册建造师资格，提供注册证、安全生产考核合格证、无在建工程承诺书；</w:t>
      </w:r>
    </w:p>
    <w:p w14:paraId="00D0DB7E">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21619EF8">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6）社会保障资金缴纳证明：自2025年1月1日以来已缴存的至少1个月的社会保障资金缴存单据或社保机构开具的社会保险参保缴费情况证明，单据或证明上应有社保机构或代收机构的印章。依法不需要缴纳社会保障资金的供应商应提供相关文件证明；</w:t>
      </w:r>
    </w:p>
    <w:p w14:paraId="51C80E73">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（7）税收缴纳证明：自2025年1月1日以来至少1个月的纳税证明或完税证明，纳税证明或完税证明上应有代收机构或税务机关的公章或业务专用章。依法免税的供应商应提供相关文件证明；</w:t>
      </w:r>
    </w:p>
    <w:p w14:paraId="364C311C">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8）供应商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14:paraId="0216EAC0">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（9）参加本次政府采购活动前三年内，在经营活动中没有重大违法记录声明；</w:t>
      </w:r>
    </w:p>
    <w:p w14:paraId="73988988">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（10）供应商应提供</w:t>
      </w:r>
      <w:r>
        <w:rPr>
          <w:rFonts w:hint="eastAsia" w:cs="宋体"/>
          <w:spacing w:val="4"/>
          <w:sz w:val="22"/>
          <w:szCs w:val="22"/>
          <w:lang w:val="en-US" w:eastAsia="zh-CN"/>
        </w:rPr>
        <w:t>小微</w:t>
      </w:r>
      <w:r>
        <w:rPr>
          <w:rFonts w:hint="eastAsia" w:ascii="宋体" w:hAnsi="宋体" w:eastAsia="宋体" w:cs="宋体"/>
          <w:spacing w:val="4"/>
          <w:sz w:val="22"/>
          <w:szCs w:val="22"/>
          <w:lang w:val="en-US" w:eastAsia="zh-CN"/>
        </w:rPr>
        <w:t>企业声明函或残疾人福利性单位声明函或监狱企业证明文件；</w:t>
      </w:r>
    </w:p>
    <w:p w14:paraId="2BEDB4F0">
      <w:pPr>
        <w:tabs>
          <w:tab w:val="left" w:pos="2160"/>
        </w:tabs>
        <w:spacing w:line="360" w:lineRule="auto"/>
        <w:ind w:firstLine="456" w:firstLineChars="200"/>
        <w:jc w:val="left"/>
        <w:rPr>
          <w:rFonts w:hint="eastAsia" w:ascii="宋体" w:hAnsi="宋体" w:eastAsia="宋体" w:cs="宋体"/>
          <w:spacing w:val="4"/>
          <w:sz w:val="22"/>
          <w:szCs w:val="22"/>
          <w:lang w:val="en-US" w:eastAsia="zh-CN"/>
        </w:rPr>
      </w:pPr>
      <w:r>
        <w:rPr>
          <w:rFonts w:hint="eastAsia" w:ascii="宋体" w:hAnsi="宋体" w:eastAsia="宋体" w:cs="宋体"/>
          <w:spacing w:val="4"/>
          <w:sz w:val="22"/>
          <w:szCs w:val="22"/>
          <w:lang w:val="en-US" w:eastAsia="zh-CN"/>
        </w:rPr>
        <w:t>（11）本项目不接受联合体投标。</w:t>
      </w:r>
    </w:p>
    <w:p w14:paraId="4BB2F0EA">
      <w:pPr>
        <w:pStyle w:val="8"/>
        <w:rPr>
          <w:rFonts w:hint="eastAsia"/>
          <w:lang w:eastAsia="zh-CN"/>
        </w:rPr>
      </w:pPr>
    </w:p>
    <w:p w14:paraId="4A4647E5">
      <w:pPr>
        <w:pStyle w:val="4"/>
        <w:jc w:val="both"/>
        <w:rPr>
          <w:rFonts w:hint="eastAsia" w:cs="宋体"/>
          <w:color w:val="auto"/>
          <w:sz w:val="28"/>
          <w:szCs w:val="28"/>
          <w:lang w:val="en-US" w:eastAsia="zh-CN"/>
        </w:rPr>
      </w:pPr>
    </w:p>
    <w:p w14:paraId="251133FE">
      <w:pPr>
        <w:rPr>
          <w:rFonts w:hint="eastAsia" w:cs="宋体"/>
          <w:color w:val="auto"/>
          <w:sz w:val="28"/>
          <w:szCs w:val="28"/>
          <w:lang w:val="en-US" w:eastAsia="zh-CN"/>
        </w:rPr>
      </w:pPr>
    </w:p>
    <w:p w14:paraId="0F8FFADC">
      <w:pPr>
        <w:rPr>
          <w:rFonts w:hint="eastAsia" w:cs="宋体"/>
          <w:color w:val="auto"/>
          <w:sz w:val="28"/>
          <w:szCs w:val="28"/>
          <w:lang w:val="en-US" w:eastAsia="zh-CN"/>
        </w:rPr>
      </w:pPr>
    </w:p>
    <w:p w14:paraId="3D1DE3B7">
      <w:pPr>
        <w:rPr>
          <w:rFonts w:hint="eastAsia" w:cs="宋体"/>
          <w:color w:val="auto"/>
          <w:sz w:val="28"/>
          <w:szCs w:val="28"/>
          <w:lang w:val="en-US" w:eastAsia="zh-CN"/>
        </w:rPr>
      </w:pPr>
    </w:p>
    <w:p w14:paraId="264D3739">
      <w:pPr>
        <w:rPr>
          <w:rFonts w:hint="eastAsia" w:cs="宋体"/>
          <w:color w:val="auto"/>
          <w:sz w:val="28"/>
          <w:szCs w:val="28"/>
          <w:lang w:val="en-US" w:eastAsia="zh-CN"/>
        </w:rPr>
      </w:pPr>
    </w:p>
    <w:p w14:paraId="527FF111">
      <w:pPr>
        <w:pStyle w:val="4"/>
        <w:jc w:val="center"/>
        <w:rPr>
          <w:rFonts w:hint="eastAsia" w:ascii="宋体" w:hAnsi="宋体" w:eastAsia="宋体" w:cs="宋体"/>
          <w:color w:val="auto"/>
          <w:sz w:val="28"/>
          <w:szCs w:val="28"/>
        </w:rPr>
      </w:pPr>
      <w:r>
        <w:rPr>
          <w:rFonts w:hint="eastAsia"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法定代表人身份证明书</w:t>
      </w:r>
    </w:p>
    <w:p w14:paraId="7B44A148">
      <w:pPr>
        <w:rPr>
          <w:rFonts w:hint="eastAsia"/>
        </w:rPr>
      </w:pPr>
    </w:p>
    <w:p w14:paraId="70411D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6B2540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C9E2B2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C74238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3C7B7D7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8E4C13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14:paraId="2D00447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名称）的法定代表人。</w:t>
      </w:r>
    </w:p>
    <w:p w14:paraId="6B97D5B7">
      <w:pPr>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1BEC56E6">
      <w:pPr>
        <w:spacing w:line="360" w:lineRule="auto"/>
        <w:ind w:firstLine="480" w:firstLineChars="200"/>
        <w:rPr>
          <w:rFonts w:hint="eastAsia" w:ascii="宋体" w:hAnsi="宋体" w:eastAsia="宋体" w:cs="宋体"/>
          <w:color w:val="auto"/>
          <w:sz w:val="24"/>
          <w:szCs w:val="24"/>
        </w:rPr>
      </w:pPr>
    </w:p>
    <w:p w14:paraId="15A17DD5">
      <w:pPr>
        <w:spacing w:line="360" w:lineRule="auto"/>
        <w:ind w:firstLine="480" w:firstLineChars="200"/>
        <w:rPr>
          <w:rFonts w:hint="eastAsia" w:ascii="宋体" w:hAnsi="宋体" w:eastAsia="宋体" w:cs="宋体"/>
          <w:color w:val="auto"/>
          <w:sz w:val="24"/>
          <w:szCs w:val="24"/>
        </w:rPr>
      </w:pPr>
    </w:p>
    <w:p w14:paraId="03BE27BD">
      <w:pPr>
        <w:spacing w:line="360" w:lineRule="auto"/>
        <w:ind w:firstLine="480" w:firstLineChars="200"/>
        <w:rPr>
          <w:rFonts w:hint="eastAsia" w:ascii="宋体" w:hAnsi="宋体" w:eastAsia="宋体" w:cs="宋体"/>
          <w:color w:val="auto"/>
          <w:sz w:val="24"/>
          <w:szCs w:val="24"/>
        </w:rPr>
      </w:pPr>
    </w:p>
    <w:p w14:paraId="1D15AC6B">
      <w:pPr>
        <w:spacing w:line="360" w:lineRule="auto"/>
        <w:ind w:firstLine="3960" w:firstLineChars="165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（盖单位章）</w:t>
      </w:r>
    </w:p>
    <w:p w14:paraId="44FEE90D">
      <w:pPr>
        <w:spacing w:line="360" w:lineRule="auto"/>
        <w:ind w:firstLine="5160" w:firstLineChars="2150"/>
        <w:rPr>
          <w:rFonts w:hint="eastAsia" w:ascii="宋体" w:hAnsi="宋体" w:eastAsia="宋体" w:cs="宋体"/>
          <w:color w:val="auto"/>
          <w:sz w:val="24"/>
          <w:szCs w:val="24"/>
          <w:u w:val="single"/>
        </w:rPr>
      </w:pPr>
    </w:p>
    <w:p w14:paraId="285539E2">
      <w:pPr>
        <w:spacing w:line="360" w:lineRule="auto"/>
        <w:ind w:firstLine="5160" w:firstLineChars="215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C82CA4D">
      <w:pPr>
        <w:spacing w:line="360" w:lineRule="auto"/>
        <w:ind w:firstLine="5160" w:firstLineChars="2150"/>
        <w:rPr>
          <w:rFonts w:hint="eastAsia" w:ascii="宋体" w:hAnsi="宋体" w:eastAsia="宋体" w:cs="宋体"/>
          <w:color w:val="auto"/>
          <w:sz w:val="24"/>
          <w:szCs w:val="24"/>
        </w:rPr>
      </w:pPr>
    </w:p>
    <w:p w14:paraId="2A8677F1">
      <w:pPr>
        <w:rPr>
          <w:rFonts w:hint="eastAsia" w:ascii="宋体" w:hAnsi="宋体" w:eastAsia="宋体" w:cs="宋体"/>
        </w:rPr>
      </w:pPr>
    </w:p>
    <w:p w14:paraId="4B87006A">
      <w:pPr>
        <w:pStyle w:val="9"/>
        <w:rPr>
          <w:rFonts w:hint="eastAsia" w:ascii="宋体" w:hAnsi="宋体" w:eastAsia="宋体" w:cs="宋体"/>
        </w:rPr>
      </w:pPr>
    </w:p>
    <w:p w14:paraId="0CD7D755">
      <w:pPr>
        <w:rPr>
          <w:rFonts w:hint="eastAsia" w:ascii="宋体" w:hAnsi="宋体" w:eastAsia="宋体" w:cs="宋体"/>
        </w:rPr>
      </w:pPr>
    </w:p>
    <w:p w14:paraId="765D9220">
      <w:pPr>
        <w:pStyle w:val="9"/>
        <w:rPr>
          <w:rFonts w:hint="eastAsia" w:ascii="宋体" w:hAnsi="宋体" w:eastAsia="宋体" w:cs="宋体"/>
        </w:rPr>
      </w:pPr>
    </w:p>
    <w:p w14:paraId="4B251FB5">
      <w:pPr>
        <w:rPr>
          <w:rFonts w:hint="eastAsia" w:ascii="宋体" w:hAnsi="宋体" w:eastAsia="宋体" w:cs="宋体"/>
        </w:rPr>
      </w:pPr>
    </w:p>
    <w:p w14:paraId="160A4469">
      <w:pPr>
        <w:pStyle w:val="9"/>
        <w:rPr>
          <w:rFonts w:hint="eastAsia" w:ascii="宋体" w:hAnsi="宋体" w:eastAsia="宋体" w:cs="宋体"/>
        </w:rPr>
      </w:pPr>
    </w:p>
    <w:p w14:paraId="7B52E3F2">
      <w:pPr>
        <w:rPr>
          <w:rFonts w:hint="eastAsia" w:ascii="宋体" w:hAnsi="宋体" w:eastAsia="宋体" w:cs="宋体"/>
        </w:rPr>
      </w:pPr>
    </w:p>
    <w:p w14:paraId="369D5B2E">
      <w:pPr>
        <w:pStyle w:val="27"/>
        <w:rPr>
          <w:rFonts w:hint="eastAsia" w:ascii="宋体" w:hAnsi="宋体" w:eastAsia="宋体" w:cs="宋体"/>
        </w:rPr>
      </w:pPr>
    </w:p>
    <w:p w14:paraId="3D94C2B7">
      <w:pPr>
        <w:pStyle w:val="27"/>
        <w:rPr>
          <w:rFonts w:hint="eastAsia" w:ascii="宋体" w:hAnsi="宋体" w:eastAsia="宋体" w:cs="宋体"/>
        </w:rPr>
      </w:pPr>
    </w:p>
    <w:p w14:paraId="23870A60">
      <w:pPr>
        <w:pStyle w:val="27"/>
        <w:rPr>
          <w:rFonts w:hint="eastAsia" w:ascii="宋体" w:hAnsi="宋体" w:eastAsia="宋体" w:cs="宋体"/>
        </w:rPr>
      </w:pPr>
    </w:p>
    <w:p w14:paraId="23A8C1C0">
      <w:pPr>
        <w:pStyle w:val="27"/>
        <w:rPr>
          <w:rFonts w:hint="eastAsia" w:ascii="宋体" w:hAnsi="宋体" w:eastAsia="宋体" w:cs="宋体"/>
        </w:rPr>
      </w:pPr>
    </w:p>
    <w:p w14:paraId="050196E7">
      <w:pPr>
        <w:pStyle w:val="27"/>
        <w:rPr>
          <w:rFonts w:hint="eastAsia" w:ascii="宋体" w:hAnsi="宋体" w:eastAsia="宋体" w:cs="宋体"/>
        </w:rPr>
      </w:pPr>
    </w:p>
    <w:p w14:paraId="39CB634B">
      <w:pPr>
        <w:pStyle w:val="27"/>
        <w:rPr>
          <w:rFonts w:hint="eastAsia" w:ascii="宋体" w:hAnsi="宋体" w:eastAsia="宋体" w:cs="宋体"/>
        </w:rPr>
      </w:pPr>
    </w:p>
    <w:p w14:paraId="43B1694C">
      <w:pPr>
        <w:pStyle w:val="27"/>
        <w:rPr>
          <w:rFonts w:hint="eastAsia" w:ascii="宋体" w:hAnsi="宋体" w:eastAsia="宋体" w:cs="宋体"/>
        </w:rPr>
      </w:pPr>
    </w:p>
    <w:p w14:paraId="15692385">
      <w:pPr>
        <w:pStyle w:val="27"/>
        <w:rPr>
          <w:rFonts w:hint="eastAsia" w:ascii="宋体" w:hAnsi="宋体" w:eastAsia="宋体" w:cs="宋体"/>
        </w:rPr>
      </w:pPr>
    </w:p>
    <w:p w14:paraId="0719D779">
      <w:pPr>
        <w:rPr>
          <w:rFonts w:hint="eastAsia" w:ascii="宋体" w:hAnsi="宋体" w:eastAsia="宋体" w:cs="宋体"/>
        </w:rPr>
      </w:pPr>
    </w:p>
    <w:p w14:paraId="784A5606">
      <w:pPr>
        <w:pStyle w:val="9"/>
        <w:rPr>
          <w:rFonts w:hint="eastAsia" w:ascii="宋体" w:hAnsi="宋体" w:eastAsia="宋体" w:cs="宋体"/>
        </w:rPr>
      </w:pPr>
    </w:p>
    <w:p w14:paraId="0D2B5CC9">
      <w:pPr>
        <w:rPr>
          <w:rFonts w:hint="eastAsia" w:ascii="宋体" w:hAnsi="宋体" w:eastAsia="宋体" w:cs="宋体"/>
        </w:rPr>
      </w:pPr>
    </w:p>
    <w:p w14:paraId="357807DC">
      <w:pPr>
        <w:rPr>
          <w:rFonts w:hint="eastAsia"/>
        </w:rPr>
      </w:pPr>
    </w:p>
    <w:p w14:paraId="7944D978">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cs="宋体"/>
          <w:b/>
          <w:bCs/>
          <w:color w:val="auto"/>
          <w:sz w:val="28"/>
          <w:szCs w:val="28"/>
          <w:lang w:val="en-US" w:eastAsia="zh-CN" w:bidi="zh-CN"/>
        </w:rPr>
        <w:t>3</w:t>
      </w:r>
      <w:r>
        <w:rPr>
          <w:rFonts w:hint="eastAsia" w:ascii="宋体" w:hAnsi="宋体" w:eastAsia="宋体" w:cs="宋体"/>
          <w:b/>
          <w:bCs/>
          <w:color w:val="auto"/>
          <w:sz w:val="28"/>
          <w:szCs w:val="28"/>
          <w:lang w:val="en-US" w:eastAsia="zh-CN" w:bidi="zh-CN"/>
        </w:rPr>
        <w:t xml:space="preserve">.2 </w:t>
      </w:r>
      <w:r>
        <w:rPr>
          <w:rFonts w:hint="eastAsia" w:ascii="宋体" w:hAnsi="宋体" w:eastAsia="宋体" w:cs="宋体"/>
          <w:b/>
          <w:bCs/>
          <w:color w:val="auto"/>
          <w:sz w:val="28"/>
          <w:szCs w:val="28"/>
          <w:lang w:val="zh-CN" w:eastAsia="zh-CN" w:bidi="zh-CN"/>
        </w:rPr>
        <w:t>法定代表人授权委托书</w:t>
      </w:r>
    </w:p>
    <w:p w14:paraId="04440781">
      <w:pPr>
        <w:pStyle w:val="11"/>
        <w:rPr>
          <w:rFonts w:hint="eastAsia" w:ascii="宋体" w:hAnsi="宋体" w:eastAsia="宋体" w:cs="宋体"/>
        </w:rPr>
      </w:pPr>
    </w:p>
    <w:p w14:paraId="24F018B7">
      <w:pPr>
        <w:spacing w:line="360" w:lineRule="auto"/>
        <w:jc w:val="left"/>
        <w:rPr>
          <w:rFonts w:hint="eastAsia" w:ascii="宋体" w:hAnsi="宋体" w:eastAsia="宋体" w:cs="宋体"/>
          <w:b/>
          <w:sz w:val="24"/>
          <w:szCs w:val="24"/>
          <w:u w:val="single"/>
          <w:lang w:eastAsia="zh-CN"/>
        </w:rPr>
      </w:pPr>
      <w:r>
        <w:rPr>
          <w:rFonts w:hint="eastAsia" w:ascii="宋体" w:hAnsi="宋体" w:eastAsia="宋体" w:cs="宋体"/>
          <w:b/>
          <w:spacing w:val="4"/>
          <w:sz w:val="24"/>
          <w:szCs w:val="24"/>
        </w:rPr>
        <w:t>致：</w:t>
      </w:r>
      <w:r>
        <w:rPr>
          <w:rFonts w:hint="eastAsia" w:cs="宋体"/>
          <w:b/>
          <w:sz w:val="24"/>
          <w:szCs w:val="24"/>
          <w:u w:val="single"/>
          <w:lang w:eastAsia="zh-CN"/>
        </w:rPr>
        <w:t>亿诚建设项目管理有限公司</w:t>
      </w:r>
    </w:p>
    <w:p w14:paraId="414DB6D4">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按中华人民共和国法律于</w:t>
      </w:r>
      <w:r>
        <w:rPr>
          <w:rFonts w:hint="eastAsia" w:ascii="宋体" w:hAnsi="宋体" w:eastAsia="宋体" w:cs="宋体"/>
          <w:spacing w:val="4"/>
          <w:sz w:val="24"/>
          <w:szCs w:val="24"/>
          <w:u w:val="single"/>
        </w:rPr>
        <w:t>（  年  月  日 ）</w:t>
      </w:r>
      <w:r>
        <w:rPr>
          <w:rFonts w:hint="eastAsia" w:ascii="宋体" w:hAnsi="宋体" w:eastAsia="宋体" w:cs="宋体"/>
          <w:spacing w:val="4"/>
          <w:sz w:val="24"/>
          <w:szCs w:val="24"/>
        </w:rPr>
        <w:t xml:space="preserve">成立。 </w:t>
      </w:r>
      <w:r>
        <w:rPr>
          <w:rFonts w:hint="eastAsia" w:ascii="宋体" w:hAnsi="宋体" w:eastAsia="宋体" w:cs="宋体"/>
          <w:spacing w:val="4"/>
          <w:sz w:val="24"/>
          <w:szCs w:val="24"/>
          <w:u w:val="single"/>
        </w:rPr>
        <w:t xml:space="preserve">(法定代表人姓名)  </w:t>
      </w:r>
      <w:r>
        <w:rPr>
          <w:rFonts w:hint="eastAsia" w:ascii="宋体" w:hAnsi="宋体" w:eastAsia="宋体" w:cs="宋体"/>
          <w:spacing w:val="4"/>
          <w:sz w:val="24"/>
          <w:szCs w:val="24"/>
        </w:rPr>
        <w:t>特授权</w:t>
      </w:r>
      <w:r>
        <w:rPr>
          <w:rFonts w:hint="eastAsia" w:ascii="宋体" w:hAnsi="宋体" w:eastAsia="宋体" w:cs="宋体"/>
          <w:spacing w:val="4"/>
          <w:sz w:val="24"/>
          <w:szCs w:val="24"/>
          <w:u w:val="single"/>
        </w:rPr>
        <w:t xml:space="preserve"> （被授权人姓名）  </w:t>
      </w:r>
      <w:r>
        <w:rPr>
          <w:rFonts w:hint="eastAsia" w:ascii="宋体" w:hAnsi="宋体" w:eastAsia="宋体" w:cs="宋体"/>
          <w:spacing w:val="4"/>
          <w:sz w:val="24"/>
          <w:szCs w:val="24"/>
        </w:rPr>
        <w:t>代表我公司全权办理针对本次</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w:t>
      </w:r>
      <w:r>
        <w:rPr>
          <w:rFonts w:hint="eastAsia" w:ascii="宋体" w:hAnsi="宋体" w:eastAsia="宋体" w:cs="宋体"/>
          <w:spacing w:val="4"/>
          <w:sz w:val="24"/>
          <w:szCs w:val="24"/>
          <w:lang w:eastAsia="zh-CN"/>
        </w:rPr>
        <w:t>谈判</w:t>
      </w:r>
      <w:r>
        <w:rPr>
          <w:rFonts w:hint="eastAsia" w:ascii="宋体" w:hAnsi="宋体" w:eastAsia="宋体" w:cs="宋体"/>
          <w:spacing w:val="4"/>
          <w:sz w:val="24"/>
          <w:szCs w:val="24"/>
        </w:rPr>
        <w:t>、签约等具体工作，并签署全部有关的文件、协议及合同。</w:t>
      </w:r>
    </w:p>
    <w:p w14:paraId="6EDCA47F">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我公司对被授权人的签名负全部责任。</w:t>
      </w:r>
    </w:p>
    <w:p w14:paraId="3CD0628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79627837">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本授权书于</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年</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月</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日签</w:t>
      </w:r>
      <w:r>
        <w:rPr>
          <w:rFonts w:hint="eastAsia" w:ascii="宋体" w:hAnsi="宋体" w:eastAsia="宋体" w:cs="宋体"/>
          <w:spacing w:val="4"/>
          <w:sz w:val="24"/>
          <w:szCs w:val="24"/>
        </w:rPr>
        <w:t>字生效，特此证明。</w:t>
      </w:r>
    </w:p>
    <w:p w14:paraId="6A533BFF">
      <w:pPr>
        <w:spacing w:line="360" w:lineRule="auto"/>
        <w:ind w:firstLine="496" w:firstLineChars="200"/>
        <w:jc w:val="left"/>
        <w:rPr>
          <w:rFonts w:hint="eastAsia" w:ascii="宋体" w:hAnsi="宋体" w:eastAsia="宋体" w:cs="宋体"/>
          <w:spacing w:val="4"/>
          <w:sz w:val="24"/>
          <w:szCs w:val="24"/>
        </w:rPr>
      </w:pPr>
    </w:p>
    <w:tbl>
      <w:tblPr>
        <w:tblStyle w:val="21"/>
        <w:tblW w:w="9039" w:type="dxa"/>
        <w:tblInd w:w="0" w:type="dxa"/>
        <w:tblLayout w:type="fixed"/>
        <w:tblCellMar>
          <w:top w:w="0" w:type="dxa"/>
          <w:left w:w="108" w:type="dxa"/>
          <w:bottom w:w="0" w:type="dxa"/>
          <w:right w:w="108" w:type="dxa"/>
        </w:tblCellMar>
      </w:tblPr>
      <w:tblGrid>
        <w:gridCol w:w="4604"/>
        <w:gridCol w:w="4435"/>
      </w:tblGrid>
      <w:tr w14:paraId="28DBDF67">
        <w:tblPrEx>
          <w:tblCellMar>
            <w:top w:w="0" w:type="dxa"/>
            <w:left w:w="108" w:type="dxa"/>
            <w:bottom w:w="0" w:type="dxa"/>
            <w:right w:w="108" w:type="dxa"/>
          </w:tblCellMar>
        </w:tblPrEx>
        <w:trPr>
          <w:trHeight w:val="600" w:hRule="atLeast"/>
        </w:trPr>
        <w:tc>
          <w:tcPr>
            <w:tcW w:w="4604" w:type="dxa"/>
            <w:noWrap w:val="0"/>
            <w:vAlign w:val="top"/>
          </w:tcPr>
          <w:p w14:paraId="6EAD41EB">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tc>
        <w:tc>
          <w:tcPr>
            <w:tcW w:w="4435" w:type="dxa"/>
            <w:noWrap w:val="0"/>
            <w:vAlign w:val="top"/>
          </w:tcPr>
          <w:p w14:paraId="6ED7224E">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被授权人（签字）：</w:t>
            </w:r>
            <w:r>
              <w:rPr>
                <w:rFonts w:hint="eastAsia" w:ascii="宋体" w:hAnsi="宋体" w:eastAsia="宋体" w:cs="宋体"/>
                <w:spacing w:val="4"/>
                <w:sz w:val="24"/>
                <w:szCs w:val="24"/>
                <w:u w:val="single"/>
              </w:rPr>
              <w:t xml:space="preserve">              </w:t>
            </w:r>
          </w:p>
        </w:tc>
      </w:tr>
      <w:tr w14:paraId="4D8F95C6">
        <w:tblPrEx>
          <w:tblCellMar>
            <w:top w:w="0" w:type="dxa"/>
            <w:left w:w="108" w:type="dxa"/>
            <w:bottom w:w="0" w:type="dxa"/>
            <w:right w:w="108" w:type="dxa"/>
          </w:tblCellMar>
        </w:tblPrEx>
        <w:trPr>
          <w:trHeight w:val="600" w:hRule="atLeast"/>
        </w:trPr>
        <w:tc>
          <w:tcPr>
            <w:tcW w:w="4604" w:type="dxa"/>
            <w:noWrap w:val="0"/>
            <w:vAlign w:val="top"/>
          </w:tcPr>
          <w:p w14:paraId="16EDE176">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c>
          <w:tcPr>
            <w:tcW w:w="4435" w:type="dxa"/>
            <w:noWrap w:val="0"/>
            <w:vAlign w:val="top"/>
          </w:tcPr>
          <w:p w14:paraId="6EBEEB15">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r>
      <w:tr w14:paraId="034A0921">
        <w:tblPrEx>
          <w:tblCellMar>
            <w:top w:w="0" w:type="dxa"/>
            <w:left w:w="108" w:type="dxa"/>
            <w:bottom w:w="0" w:type="dxa"/>
            <w:right w:w="108" w:type="dxa"/>
          </w:tblCellMar>
        </w:tblPrEx>
        <w:trPr>
          <w:trHeight w:val="600" w:hRule="atLeast"/>
        </w:trPr>
        <w:tc>
          <w:tcPr>
            <w:tcW w:w="4604" w:type="dxa"/>
            <w:noWrap w:val="0"/>
            <w:vAlign w:val="top"/>
          </w:tcPr>
          <w:p w14:paraId="4A9C2DA3">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c>
          <w:tcPr>
            <w:tcW w:w="4435" w:type="dxa"/>
            <w:noWrap w:val="0"/>
            <w:vAlign w:val="top"/>
          </w:tcPr>
          <w:p w14:paraId="721CE864">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r>
      <w:tr w14:paraId="08D9975A">
        <w:tblPrEx>
          <w:tblCellMar>
            <w:top w:w="0" w:type="dxa"/>
            <w:left w:w="108" w:type="dxa"/>
            <w:bottom w:w="0" w:type="dxa"/>
            <w:right w:w="108" w:type="dxa"/>
          </w:tblCellMar>
        </w:tblPrEx>
        <w:trPr>
          <w:trHeight w:val="600" w:hRule="atLeast"/>
        </w:trPr>
        <w:tc>
          <w:tcPr>
            <w:tcW w:w="4604" w:type="dxa"/>
            <w:noWrap w:val="0"/>
            <w:vAlign w:val="top"/>
          </w:tcPr>
          <w:p w14:paraId="3453D741">
            <w:pPr>
              <w:spacing w:line="360" w:lineRule="auto"/>
              <w:jc w:val="left"/>
              <w:rPr>
                <w:rFonts w:hint="eastAsia" w:ascii="宋体" w:hAnsi="宋体" w:eastAsia="宋体" w:cs="宋体"/>
                <w:sz w:val="24"/>
                <w:szCs w:val="24"/>
              </w:rPr>
            </w:pPr>
          </w:p>
        </w:tc>
        <w:tc>
          <w:tcPr>
            <w:tcW w:w="4435" w:type="dxa"/>
            <w:noWrap w:val="0"/>
            <w:vAlign w:val="top"/>
          </w:tcPr>
          <w:p w14:paraId="35F76DCB">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所在部门：</w:t>
            </w:r>
            <w:r>
              <w:rPr>
                <w:rFonts w:hint="eastAsia" w:ascii="宋体" w:hAnsi="宋体" w:eastAsia="宋体" w:cs="宋体"/>
                <w:spacing w:val="4"/>
                <w:sz w:val="24"/>
                <w:szCs w:val="24"/>
                <w:u w:val="single"/>
              </w:rPr>
              <w:t xml:space="preserve">                  </w:t>
            </w:r>
          </w:p>
        </w:tc>
      </w:tr>
      <w:tr w14:paraId="23408A0A">
        <w:tblPrEx>
          <w:tblCellMar>
            <w:top w:w="0" w:type="dxa"/>
            <w:left w:w="108" w:type="dxa"/>
            <w:bottom w:w="0" w:type="dxa"/>
            <w:right w:w="108" w:type="dxa"/>
          </w:tblCellMar>
        </w:tblPrEx>
        <w:trPr>
          <w:trHeight w:val="600" w:hRule="atLeast"/>
        </w:trPr>
        <w:tc>
          <w:tcPr>
            <w:tcW w:w="4604" w:type="dxa"/>
            <w:noWrap w:val="0"/>
            <w:vAlign w:val="top"/>
          </w:tcPr>
          <w:p w14:paraId="7F16571A">
            <w:pPr>
              <w:spacing w:line="360" w:lineRule="auto"/>
              <w:jc w:val="left"/>
              <w:rPr>
                <w:rFonts w:hint="eastAsia" w:ascii="宋体" w:hAnsi="宋体" w:eastAsia="宋体" w:cs="宋体"/>
                <w:sz w:val="24"/>
                <w:szCs w:val="24"/>
              </w:rPr>
            </w:pPr>
          </w:p>
        </w:tc>
        <w:tc>
          <w:tcPr>
            <w:tcW w:w="4435" w:type="dxa"/>
            <w:noWrap w:val="0"/>
            <w:vAlign w:val="top"/>
          </w:tcPr>
          <w:p w14:paraId="5CD74388">
            <w:pPr>
              <w:spacing w:line="360" w:lineRule="auto"/>
              <w:jc w:val="left"/>
              <w:rPr>
                <w:rFonts w:hint="eastAsia" w:ascii="宋体" w:hAnsi="宋体" w:eastAsia="宋体" w:cs="宋体"/>
                <w:spacing w:val="4"/>
                <w:sz w:val="24"/>
                <w:szCs w:val="24"/>
              </w:rPr>
            </w:pPr>
          </w:p>
        </w:tc>
      </w:tr>
    </w:tbl>
    <w:p w14:paraId="384B351B">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附：法定代表人、被授权人二代身份证正反面复印件</w:t>
      </w:r>
    </w:p>
    <w:p w14:paraId="0AE38F7D">
      <w:pPr>
        <w:spacing w:line="360" w:lineRule="auto"/>
        <w:rPr>
          <w:rFonts w:hint="eastAsia" w:ascii="宋体" w:hAnsi="宋体" w:eastAsia="宋体" w:cs="宋体"/>
          <w:spacing w:val="4"/>
          <w:sz w:val="24"/>
          <w:szCs w:val="24"/>
        </w:rPr>
      </w:pPr>
    </w:p>
    <w:p w14:paraId="0EA3895D">
      <w:pPr>
        <w:spacing w:line="360" w:lineRule="auto"/>
        <w:rPr>
          <w:rFonts w:hint="eastAsia" w:ascii="宋体" w:hAnsi="宋体" w:eastAsia="宋体" w:cs="宋体"/>
          <w:spacing w:val="4"/>
          <w:sz w:val="24"/>
          <w:szCs w:val="24"/>
          <w:u w:val="single"/>
        </w:rPr>
      </w:pPr>
      <w:r>
        <w:rPr>
          <w:rFonts w:hint="eastAsia" w:ascii="宋体" w:hAnsi="宋体" w:eastAsia="宋体" w:cs="宋体"/>
          <w:spacing w:val="4"/>
          <w:sz w:val="24"/>
          <w:szCs w:val="24"/>
        </w:rPr>
        <w:t xml:space="preserve">供应商名称（公章）:             </w:t>
      </w:r>
    </w:p>
    <w:p w14:paraId="2717EC74">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法定代表人/被授权人（签字或盖章）：</w:t>
      </w:r>
    </w:p>
    <w:p w14:paraId="475C67CB">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日期：                         </w:t>
      </w:r>
    </w:p>
    <w:p w14:paraId="6529FCBE">
      <w:pPr>
        <w:spacing w:line="360" w:lineRule="auto"/>
        <w:jc w:val="center"/>
        <w:rPr>
          <w:rFonts w:hint="eastAsia" w:ascii="宋体" w:hAnsi="宋体" w:eastAsia="宋体" w:cs="宋体"/>
          <w:b/>
          <w:spacing w:val="4"/>
          <w:sz w:val="28"/>
          <w:szCs w:val="28"/>
        </w:rPr>
      </w:pPr>
    </w:p>
    <w:p w14:paraId="53BFBF99">
      <w:pPr>
        <w:pStyle w:val="27"/>
        <w:rPr>
          <w:rFonts w:hint="eastAsia" w:ascii="宋体" w:hAnsi="宋体" w:eastAsia="宋体" w:cs="宋体"/>
          <w:b/>
          <w:spacing w:val="4"/>
          <w:sz w:val="28"/>
          <w:szCs w:val="28"/>
        </w:rPr>
      </w:pPr>
    </w:p>
    <w:p w14:paraId="698FCFDD">
      <w:pPr>
        <w:pStyle w:val="27"/>
        <w:rPr>
          <w:rFonts w:hint="eastAsia" w:ascii="宋体" w:hAnsi="宋体" w:eastAsia="宋体" w:cs="宋体"/>
          <w:b/>
          <w:spacing w:val="4"/>
          <w:sz w:val="28"/>
          <w:szCs w:val="28"/>
        </w:rPr>
      </w:pPr>
    </w:p>
    <w:p w14:paraId="408C4BAC">
      <w:pPr>
        <w:pStyle w:val="27"/>
        <w:rPr>
          <w:rFonts w:hint="eastAsia" w:ascii="宋体" w:hAnsi="宋体" w:eastAsia="宋体" w:cs="宋体"/>
          <w:b/>
          <w:spacing w:val="4"/>
          <w:sz w:val="28"/>
          <w:szCs w:val="28"/>
        </w:rPr>
      </w:pPr>
    </w:p>
    <w:p w14:paraId="0B45A4AF">
      <w:pPr>
        <w:pStyle w:val="27"/>
        <w:rPr>
          <w:rFonts w:hint="eastAsia" w:ascii="宋体" w:hAnsi="宋体" w:eastAsia="宋体" w:cs="宋体"/>
          <w:b/>
          <w:spacing w:val="4"/>
          <w:sz w:val="28"/>
          <w:szCs w:val="28"/>
        </w:rPr>
      </w:pPr>
    </w:p>
    <w:p w14:paraId="6259D372">
      <w:pPr>
        <w:pStyle w:val="27"/>
        <w:rPr>
          <w:rFonts w:hint="eastAsia" w:ascii="宋体" w:hAnsi="宋体" w:eastAsia="宋体" w:cs="宋体"/>
          <w:b/>
          <w:spacing w:val="4"/>
          <w:sz w:val="28"/>
          <w:szCs w:val="28"/>
        </w:rPr>
      </w:pPr>
    </w:p>
    <w:p w14:paraId="2D8B32C0">
      <w:pPr>
        <w:spacing w:before="32"/>
        <w:ind w:left="791" w:right="875" w:firstLine="0"/>
        <w:jc w:val="center"/>
        <w:rPr>
          <w:b/>
          <w:sz w:val="30"/>
        </w:rPr>
      </w:pPr>
    </w:p>
    <w:p w14:paraId="0B7EEEAD">
      <w:pPr>
        <w:spacing w:before="32"/>
        <w:ind w:left="791" w:right="875" w:firstLine="0"/>
        <w:jc w:val="center"/>
        <w:rPr>
          <w:b/>
          <w:sz w:val="30"/>
        </w:rPr>
      </w:pPr>
    </w:p>
    <w:p w14:paraId="70744D29">
      <w:pPr>
        <w:spacing w:before="47" w:line="227" w:lineRule="auto"/>
        <w:ind w:left="2301"/>
        <w:rPr>
          <w:rFonts w:ascii="宋体" w:hAnsi="宋体" w:eastAsia="宋体" w:cs="宋体"/>
          <w:spacing w:val="12"/>
          <w:sz w:val="23"/>
          <w:szCs w:val="23"/>
          <w14:textOutline w14:w="4358" w14:cap="sq" w14:cmpd="sng">
            <w14:solidFill>
              <w14:srgbClr w14:val="000000"/>
            </w14:solidFill>
            <w14:prstDash w14:val="solid"/>
            <w14:bevel/>
          </w14:textOutline>
        </w:rPr>
      </w:pPr>
    </w:p>
    <w:p w14:paraId="0B30304E">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zh-CN" w:eastAsia="zh-CN" w:bidi="zh-CN"/>
        </w:rPr>
        <w:t>3.3 供应商无重大违法记录的书面声明格式</w:t>
      </w:r>
    </w:p>
    <w:p w14:paraId="7928678C">
      <w:pPr>
        <w:spacing w:line="343" w:lineRule="auto"/>
        <w:rPr>
          <w:rFonts w:ascii="Arial"/>
          <w:sz w:val="21"/>
        </w:rPr>
      </w:pPr>
    </w:p>
    <w:p w14:paraId="3BD3F494">
      <w:pPr>
        <w:spacing w:before="75" w:line="227" w:lineRule="auto"/>
        <w:ind w:left="9"/>
        <w:rPr>
          <w:rFonts w:ascii="宋体" w:hAnsi="宋体" w:eastAsia="宋体" w:cs="宋体"/>
          <w:sz w:val="24"/>
          <w:szCs w:val="24"/>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192405</wp:posOffset>
                </wp:positionV>
                <wp:extent cx="2306955" cy="7620"/>
                <wp:effectExtent l="0" t="0" r="0" b="0"/>
                <wp:wrapNone/>
                <wp:docPr id="2" name="矩形 2"/>
                <wp:cNvGraphicFramePr/>
                <a:graphic xmlns:a="http://schemas.openxmlformats.org/drawingml/2006/main">
                  <a:graphicData uri="http://schemas.microsoft.com/office/word/2010/wordprocessingShape">
                    <wps:wsp>
                      <wps:cNvSpPr/>
                      <wps:spPr>
                        <a:xfrm>
                          <a:off x="0" y="0"/>
                          <a:ext cx="230695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pt;margin-top:15.15pt;height:0.6pt;width:181.65pt;z-index:251664384;mso-width-relative:page;mso-height-relative:page;" fillcolor="#000000" filled="t" stroked="f" coordsize="21600,21600" o:gfxdata="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Nd03W&#10;AAAABgEAAA8AAAAAAAAAAQAgAAAAIgAAAGRycy9kb3ducmV2LnhtbFBLAQIUABQAAAAIAIdO4kD3&#10;TYMisAEAAF0DAAAOAAAAAAAAAAEAIAAAACUBAABkcnMvZTJvRG9jLnhtbFBLBQYAAAAABgAGAFkB&#10;AABHBQAAAAA=&#10;">
                <v:fill on="t" focussize="0,0"/>
                <v:stroke on="f"/>
                <v:imagedata o:title=""/>
                <o:lock v:ext="edit" aspectratio="f"/>
              </v:rect>
            </w:pict>
          </mc:Fallback>
        </mc:AlternateContent>
      </w:r>
      <w:r>
        <w:rPr>
          <w:rFonts w:ascii="宋体" w:hAnsi="宋体" w:eastAsia="宋体" w:cs="宋体"/>
          <w:spacing w:val="2"/>
          <w:sz w:val="24"/>
          <w:szCs w:val="24"/>
        </w:rPr>
        <w:t>致：        (采购人名称)</w:t>
      </w:r>
      <w:r>
        <w:rPr>
          <w:rFonts w:ascii="宋体" w:hAnsi="宋体" w:eastAsia="宋体" w:cs="宋体"/>
          <w:spacing w:val="1"/>
          <w:sz w:val="24"/>
          <w:szCs w:val="24"/>
        </w:rPr>
        <w:t xml:space="preserve"> ：</w:t>
      </w:r>
    </w:p>
    <w:p w14:paraId="2FDB4399">
      <w:pPr>
        <w:spacing w:line="349" w:lineRule="auto"/>
        <w:rPr>
          <w:rFonts w:ascii="Arial"/>
          <w:sz w:val="24"/>
          <w:szCs w:val="24"/>
        </w:rPr>
      </w:pPr>
    </w:p>
    <w:p w14:paraId="57BD1AF1">
      <w:pPr>
        <w:spacing w:before="75" w:line="381" w:lineRule="auto"/>
        <w:ind w:left="11" w:firstLine="309"/>
        <w:rPr>
          <w:rFonts w:ascii="宋体" w:hAnsi="宋体" w:eastAsia="宋体" w:cs="宋体"/>
          <w:sz w:val="24"/>
          <w:szCs w:val="24"/>
        </w:rPr>
      </w:pPr>
      <w:r>
        <w:rPr>
          <w:rFonts w:ascii="宋体" w:hAnsi="宋体" w:eastAsia="宋体" w:cs="宋体"/>
          <w:spacing w:val="10"/>
          <w:sz w:val="24"/>
          <w:szCs w:val="24"/>
        </w:rPr>
        <w:t>( -------公司) 为在中华人民共和国境内合法注册并经营的机构。在此郑重声明</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4"/>
          <w:sz w:val="24"/>
          <w:szCs w:val="24"/>
        </w:rPr>
        <w:t>我</w:t>
      </w:r>
      <w:r>
        <w:rPr>
          <w:rFonts w:ascii="宋体" w:hAnsi="宋体" w:eastAsia="宋体" w:cs="宋体"/>
          <w:spacing w:val="23"/>
          <w:sz w:val="24"/>
          <w:szCs w:val="24"/>
        </w:rPr>
        <w:t>公</w:t>
      </w:r>
      <w:r>
        <w:rPr>
          <w:rFonts w:ascii="宋体" w:hAnsi="宋体" w:eastAsia="宋体" w:cs="宋体"/>
          <w:spacing w:val="12"/>
          <w:sz w:val="24"/>
          <w:szCs w:val="24"/>
        </w:rPr>
        <w:t>司在参与本次政府采购活动前 3 年内在经营活动中没有重大违法记录。</w:t>
      </w:r>
    </w:p>
    <w:p w14:paraId="06AF3343">
      <w:pPr>
        <w:spacing w:line="250" w:lineRule="auto"/>
        <w:rPr>
          <w:rFonts w:ascii="Arial"/>
          <w:sz w:val="24"/>
          <w:szCs w:val="24"/>
        </w:rPr>
      </w:pPr>
    </w:p>
    <w:p w14:paraId="087265EE">
      <w:pPr>
        <w:spacing w:line="250" w:lineRule="auto"/>
        <w:rPr>
          <w:rFonts w:ascii="Arial"/>
          <w:sz w:val="24"/>
          <w:szCs w:val="24"/>
        </w:rPr>
      </w:pPr>
    </w:p>
    <w:p w14:paraId="63BF36D0">
      <w:pPr>
        <w:spacing w:line="250" w:lineRule="auto"/>
        <w:rPr>
          <w:rFonts w:ascii="Arial"/>
          <w:sz w:val="24"/>
          <w:szCs w:val="24"/>
        </w:rPr>
      </w:pPr>
    </w:p>
    <w:p w14:paraId="6DA77195">
      <w:pPr>
        <w:spacing w:line="250" w:lineRule="auto"/>
        <w:rPr>
          <w:rFonts w:ascii="Arial"/>
          <w:sz w:val="24"/>
          <w:szCs w:val="24"/>
        </w:rPr>
      </w:pPr>
    </w:p>
    <w:p w14:paraId="1CE662F4">
      <w:pPr>
        <w:spacing w:line="251" w:lineRule="auto"/>
        <w:rPr>
          <w:rFonts w:ascii="Arial"/>
          <w:sz w:val="24"/>
          <w:szCs w:val="24"/>
        </w:rPr>
      </w:pPr>
    </w:p>
    <w:p w14:paraId="573CA98A">
      <w:pPr>
        <w:spacing w:line="251" w:lineRule="auto"/>
        <w:rPr>
          <w:rFonts w:ascii="Arial"/>
          <w:sz w:val="24"/>
          <w:szCs w:val="24"/>
        </w:rPr>
      </w:pPr>
    </w:p>
    <w:p w14:paraId="3990992A">
      <w:pPr>
        <w:spacing w:before="75" w:line="227" w:lineRule="auto"/>
        <w:ind w:left="2490"/>
        <w:rPr>
          <w:rFonts w:ascii="宋体" w:hAnsi="宋体" w:eastAsia="宋体" w:cs="宋体"/>
          <w:sz w:val="24"/>
          <w:szCs w:val="24"/>
        </w:rPr>
      </w:pPr>
      <w:r>
        <w:rPr>
          <w:rFonts w:ascii="宋体" w:hAnsi="宋体" w:eastAsia="宋体" w:cs="宋体"/>
          <w:spacing w:val="16"/>
          <w:sz w:val="24"/>
          <w:szCs w:val="24"/>
        </w:rPr>
        <w:t>供</w:t>
      </w:r>
      <w:r>
        <w:rPr>
          <w:rFonts w:ascii="宋体" w:hAnsi="宋体" w:eastAsia="宋体" w:cs="宋体"/>
          <w:spacing w:val="14"/>
          <w:sz w:val="24"/>
          <w:szCs w:val="24"/>
        </w:rPr>
        <w:t>应</w:t>
      </w:r>
      <w:r>
        <w:rPr>
          <w:rFonts w:ascii="宋体" w:hAnsi="宋体" w:eastAsia="宋体" w:cs="宋体"/>
          <w:spacing w:val="8"/>
          <w:sz w:val="24"/>
          <w:szCs w:val="24"/>
        </w:rPr>
        <w:t xml:space="preserve">商名称 (盖章)： </w:t>
      </w:r>
      <w:r>
        <w:rPr>
          <w:rFonts w:ascii="宋体" w:hAnsi="宋体" w:eastAsia="宋体" w:cs="宋体"/>
          <w:spacing w:val="8"/>
          <w:sz w:val="24"/>
          <w:szCs w:val="24"/>
          <w:u w:val="single" w:color="auto"/>
        </w:rPr>
        <w:t xml:space="preserve">               (单位全称</w:t>
      </w:r>
      <w:r>
        <w:rPr>
          <w:rFonts w:ascii="宋体" w:hAnsi="宋体" w:eastAsia="宋体" w:cs="宋体"/>
          <w:spacing w:val="8"/>
          <w:sz w:val="24"/>
          <w:szCs w:val="24"/>
        </w:rPr>
        <w:t>)</w:t>
      </w:r>
    </w:p>
    <w:p w14:paraId="0CAA29ED">
      <w:pPr>
        <w:spacing w:before="75" w:line="226" w:lineRule="auto"/>
        <w:ind w:left="2614"/>
        <w:rPr>
          <w:rFonts w:ascii="宋体" w:hAnsi="宋体" w:eastAsia="宋体" w:cs="宋体"/>
          <w:spacing w:val="14"/>
          <w:sz w:val="24"/>
          <w:szCs w:val="24"/>
        </w:rPr>
      </w:pPr>
    </w:p>
    <w:p w14:paraId="02AC3B97">
      <w:pPr>
        <w:spacing w:before="75" w:line="226" w:lineRule="auto"/>
        <w:ind w:firstLine="2412" w:firstLineChars="900"/>
        <w:rPr>
          <w:rFonts w:ascii="宋体" w:hAnsi="宋体" w:eastAsia="宋体" w:cs="宋体"/>
          <w:sz w:val="24"/>
          <w:szCs w:val="24"/>
        </w:rPr>
      </w:pPr>
      <w:r>
        <w:rPr>
          <w:rFonts w:ascii="宋体" w:hAnsi="宋体" w:eastAsia="宋体" w:cs="宋体"/>
          <w:spacing w:val="14"/>
          <w:sz w:val="24"/>
          <w:szCs w:val="24"/>
        </w:rPr>
        <w:t xml:space="preserve">法定代表人 (签字或盖章)  </w:t>
      </w:r>
      <w:r>
        <w:rPr>
          <w:rFonts w:ascii="宋体" w:hAnsi="宋体" w:eastAsia="宋体" w:cs="宋体"/>
          <w:spacing w:val="13"/>
          <w:sz w:val="24"/>
          <w:szCs w:val="24"/>
        </w:rPr>
        <w:t>：</w:t>
      </w:r>
      <w:r>
        <w:rPr>
          <w:rFonts w:ascii="宋体" w:hAnsi="宋体" w:eastAsia="宋体" w:cs="宋体"/>
          <w:sz w:val="24"/>
          <w:szCs w:val="24"/>
          <w:u w:val="single" w:color="auto"/>
        </w:rPr>
        <w:t xml:space="preserve">                   </w:t>
      </w:r>
    </w:p>
    <w:p w14:paraId="3177D239">
      <w:pPr>
        <w:pStyle w:val="9"/>
      </w:pPr>
    </w:p>
    <w:p w14:paraId="6FC8282D">
      <w:pPr>
        <w:spacing w:before="75" w:line="227" w:lineRule="auto"/>
        <w:ind w:left="5251"/>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14:paraId="6705FF67">
      <w:pPr>
        <w:rPr>
          <w:sz w:val="24"/>
          <w:szCs w:val="24"/>
        </w:rPr>
        <w:sectPr>
          <w:footerReference r:id="rId12" w:type="default"/>
          <w:pgSz w:w="11906" w:h="16839"/>
          <w:pgMar w:top="1405" w:right="1358" w:bottom="1178" w:left="1416" w:header="0" w:footer="680" w:gutter="0"/>
          <w:pgNumType w:fmt="decimal"/>
          <w:cols w:space="720" w:num="1"/>
        </w:sectPr>
      </w:pPr>
    </w:p>
    <w:p w14:paraId="0E882F53">
      <w:pPr>
        <w:numPr>
          <w:ilvl w:val="0"/>
          <w:numId w:val="0"/>
        </w:numPr>
        <w:spacing w:line="360" w:lineRule="auto"/>
        <w:ind w:leftChars="200"/>
        <w:jc w:val="center"/>
        <w:rPr>
          <w:rFonts w:hint="eastAsia" w:ascii="宋体" w:hAnsi="宋体" w:eastAsia="宋体" w:cs="宋体"/>
          <w:color w:val="333333"/>
          <w:kern w:val="0"/>
          <w:sz w:val="24"/>
          <w:szCs w:val="24"/>
          <w:lang w:eastAsia="zh-CN" w:bidi="ar"/>
        </w:rPr>
      </w:pPr>
      <w:r>
        <w:rPr>
          <w:rFonts w:hint="eastAsia" w:ascii="宋体" w:hAnsi="宋体" w:eastAsia="宋体" w:cs="宋体"/>
          <w:b/>
          <w:bCs/>
          <w:color w:val="auto"/>
          <w:sz w:val="28"/>
          <w:szCs w:val="28"/>
          <w:lang w:val="en-US" w:eastAsia="zh-CN" w:bidi="zh-CN"/>
        </w:rPr>
        <w:t xml:space="preserve">3.4 </w:t>
      </w:r>
      <w:r>
        <w:rPr>
          <w:rFonts w:hint="eastAsia" w:ascii="宋体" w:hAnsi="宋体" w:eastAsia="宋体" w:cs="宋体"/>
          <w:b/>
          <w:bCs/>
          <w:color w:val="auto"/>
          <w:sz w:val="28"/>
          <w:szCs w:val="28"/>
          <w:lang w:val="zh-CN" w:eastAsia="zh-CN" w:bidi="zh-CN"/>
        </w:rPr>
        <w:t>非联合体投标声明</w:t>
      </w:r>
    </w:p>
    <w:p w14:paraId="25E85B18">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本招标项目招标人及招标监管机构：</w:t>
      </w:r>
    </w:p>
    <w:p w14:paraId="11EBEF92">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本公司就参加投标工作，作出郑重声明：</w:t>
      </w:r>
    </w:p>
    <w:p w14:paraId="0E177D69">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一、本公司保证投标报名材料及其后提供的一切材料都是真实的。</w:t>
      </w:r>
    </w:p>
    <w:p w14:paraId="3945B2D8">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二、本公司保证在本项目投标中不与其他单位围标、串标，不出让投标资格，不向招标人或评标委员会成员行贿。</w:t>
      </w:r>
    </w:p>
    <w:p w14:paraId="6949A12D">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三、本公司没有处于被责令停业的状态；没有处于被行政主管部门取消投标资格的处罚期内；没有处于财产被接管、冻结、破产的状态；在投标报名截止日期前两年内没有行政主管部门以书面认定的重大</w:t>
      </w:r>
      <w:r>
        <w:rPr>
          <w:rFonts w:hint="eastAsia" w:cs="宋体"/>
          <w:color w:val="333333"/>
          <w:kern w:val="0"/>
          <w:sz w:val="24"/>
          <w:szCs w:val="24"/>
          <w:lang w:eastAsia="zh-CN" w:bidi="ar"/>
        </w:rPr>
        <w:t>项目</w:t>
      </w:r>
      <w:r>
        <w:rPr>
          <w:rFonts w:hint="eastAsia" w:ascii="宋体" w:hAnsi="宋体" w:eastAsia="宋体" w:cs="宋体"/>
          <w:color w:val="333333"/>
          <w:kern w:val="0"/>
          <w:sz w:val="24"/>
          <w:szCs w:val="24"/>
          <w:lang w:bidi="ar"/>
        </w:rPr>
        <w:t>质量问题；在陕西政府采购无失信记录查询结果中，本公司在投标报名截止时间前两年没有违法犯罪记录。</w:t>
      </w:r>
    </w:p>
    <w:p w14:paraId="1AE3E983">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四、本公司保证本项目并非联合体投标，本项目由本公司独立承担。本公司违反上述保证，或本声明陈述与事实不符，经查实，本公司愿意接受公开通报，承担由此带来的法律后果，并自愿停止参加招标投标活动三个月。</w:t>
      </w:r>
    </w:p>
    <w:p w14:paraId="5FC05C3D">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   </w:t>
      </w:r>
    </w:p>
    <w:p w14:paraId="39EB5BBF">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特此声明</w:t>
      </w:r>
    </w:p>
    <w:p w14:paraId="4CB25F23">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声明企业：(企业公章)</w:t>
      </w:r>
    </w:p>
    <w:p w14:paraId="36C44702">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p>
    <w:p w14:paraId="2C8ACF79">
      <w:pPr>
        <w:widowControl/>
        <w:wordWrap w:val="0"/>
        <w:spacing w:beforeLines="0" w:afterLines="0" w:line="480" w:lineRule="auto"/>
        <w:ind w:left="5654" w:leftChars="170" w:hanging="5280" w:hangingChars="22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法定代表人/被授权人（签字或盖章）：                                                   </w:t>
      </w:r>
    </w:p>
    <w:p w14:paraId="7024DB2E">
      <w:pPr>
        <w:widowControl/>
        <w:wordWrap w:val="0"/>
        <w:spacing w:beforeLines="0" w:afterLines="0" w:line="480" w:lineRule="auto"/>
        <w:ind w:left="5650" w:leftChars="2568" w:firstLine="480" w:firstLineChars="2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年  月  日</w:t>
      </w:r>
    </w:p>
    <w:p w14:paraId="21BFC650">
      <w:pPr>
        <w:pStyle w:val="11"/>
        <w:rPr>
          <w:rFonts w:hint="eastAsia"/>
          <w:lang w:eastAsia="zh-CN"/>
        </w:rPr>
      </w:pPr>
    </w:p>
    <w:p w14:paraId="707A771D">
      <w:pPr>
        <w:spacing w:before="156" w:beforeLines="50" w:after="156" w:afterLines="50" w:line="700" w:lineRule="exact"/>
        <w:jc w:val="center"/>
        <w:rPr>
          <w:rFonts w:hint="eastAsia" w:ascii="宋体" w:hAnsi="宋体" w:eastAsia="宋体" w:cs="宋体"/>
          <w:b/>
          <w:kern w:val="0"/>
          <w:sz w:val="32"/>
          <w:szCs w:val="32"/>
        </w:rPr>
      </w:pPr>
    </w:p>
    <w:p w14:paraId="3EC84961">
      <w:pPr>
        <w:spacing w:before="32"/>
        <w:ind w:left="791" w:right="875" w:firstLine="0"/>
        <w:jc w:val="center"/>
        <w:rPr>
          <w:rFonts w:hint="eastAsia"/>
          <w:b/>
          <w:sz w:val="30"/>
          <w:lang w:eastAsia="zh-CN"/>
        </w:rPr>
      </w:pPr>
    </w:p>
    <w:p w14:paraId="61475651">
      <w:pPr>
        <w:spacing w:before="32"/>
        <w:ind w:left="791" w:right="875" w:firstLine="0"/>
        <w:jc w:val="center"/>
        <w:rPr>
          <w:rFonts w:hint="eastAsia"/>
          <w:b/>
          <w:sz w:val="30"/>
          <w:lang w:eastAsia="zh-CN"/>
        </w:rPr>
      </w:pPr>
    </w:p>
    <w:p w14:paraId="3D91C02D">
      <w:pPr>
        <w:spacing w:before="32"/>
        <w:ind w:left="791" w:right="875" w:firstLine="0"/>
        <w:jc w:val="center"/>
        <w:rPr>
          <w:rFonts w:hint="eastAsia"/>
          <w:b/>
          <w:sz w:val="30"/>
          <w:lang w:eastAsia="zh-CN"/>
        </w:rPr>
      </w:pPr>
    </w:p>
    <w:p w14:paraId="2E0B9CA5">
      <w:pPr>
        <w:spacing w:before="32"/>
        <w:ind w:left="791" w:right="875" w:firstLine="0"/>
        <w:jc w:val="center"/>
        <w:rPr>
          <w:rFonts w:hint="eastAsia"/>
          <w:b/>
          <w:sz w:val="30"/>
          <w:lang w:eastAsia="zh-CN"/>
        </w:rPr>
      </w:pPr>
    </w:p>
    <w:p w14:paraId="288CB6E0">
      <w:pPr>
        <w:spacing w:before="32"/>
        <w:ind w:left="791" w:right="875" w:firstLine="0"/>
        <w:jc w:val="center"/>
        <w:rPr>
          <w:rFonts w:hint="eastAsia"/>
          <w:b/>
          <w:sz w:val="30"/>
          <w:lang w:eastAsia="zh-CN"/>
        </w:rPr>
      </w:pPr>
    </w:p>
    <w:p w14:paraId="4AEE2A8E">
      <w:pPr>
        <w:spacing w:before="32"/>
        <w:ind w:left="791" w:right="875" w:firstLine="0"/>
        <w:jc w:val="center"/>
        <w:rPr>
          <w:rFonts w:hint="eastAsia"/>
          <w:b/>
          <w:sz w:val="30"/>
          <w:lang w:eastAsia="zh-CN"/>
        </w:rPr>
      </w:pPr>
    </w:p>
    <w:p w14:paraId="52EEC1E2">
      <w:pPr>
        <w:spacing w:before="32"/>
        <w:ind w:left="791" w:right="875" w:firstLine="0"/>
        <w:jc w:val="center"/>
        <w:rPr>
          <w:rFonts w:hint="eastAsia"/>
          <w:b/>
          <w:sz w:val="30"/>
        </w:rPr>
      </w:pPr>
      <w:r>
        <w:rPr>
          <w:rFonts w:hint="eastAsia"/>
          <w:b/>
          <w:sz w:val="30"/>
          <w:lang w:eastAsia="zh-CN"/>
        </w:rPr>
        <w:t>四</w:t>
      </w:r>
      <w:r>
        <w:rPr>
          <w:rFonts w:hint="eastAsia"/>
          <w:b/>
          <w:sz w:val="30"/>
        </w:rPr>
        <w:t>、业绩证明</w:t>
      </w:r>
    </w:p>
    <w:p w14:paraId="1ABD8300">
      <w:pPr>
        <w:pStyle w:val="7"/>
        <w:rPr>
          <w:rFonts w:hint="eastAsia"/>
        </w:rPr>
      </w:pPr>
    </w:p>
    <w:tbl>
      <w:tblPr>
        <w:tblStyle w:val="28"/>
        <w:tblW w:w="9697" w:type="dxa"/>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116"/>
        <w:gridCol w:w="1634"/>
        <w:gridCol w:w="1626"/>
        <w:gridCol w:w="1416"/>
        <w:gridCol w:w="2081"/>
        <w:gridCol w:w="980"/>
      </w:tblGrid>
      <w:tr w14:paraId="36E5E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844" w:type="dxa"/>
            <w:tcBorders>
              <w:top w:val="single" w:color="000000" w:sz="2" w:space="0"/>
              <w:bottom w:val="single" w:color="000000" w:sz="2" w:space="0"/>
            </w:tcBorders>
            <w:vAlign w:val="center"/>
          </w:tcPr>
          <w:p w14:paraId="2683B953">
            <w:pPr>
              <w:spacing w:line="279" w:lineRule="auto"/>
              <w:jc w:val="center"/>
              <w:rPr>
                <w:rFonts w:ascii="Arial"/>
                <w:sz w:val="21"/>
              </w:rPr>
            </w:pPr>
          </w:p>
          <w:p w14:paraId="6F2AACD9">
            <w:pPr>
              <w:spacing w:before="75" w:line="229" w:lineRule="auto"/>
              <w:ind w:left="68"/>
              <w:jc w:val="center"/>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1116" w:type="dxa"/>
            <w:tcBorders>
              <w:top w:val="single" w:color="000000" w:sz="2" w:space="0"/>
              <w:bottom w:val="single" w:color="000000" w:sz="2" w:space="0"/>
            </w:tcBorders>
            <w:vAlign w:val="center"/>
          </w:tcPr>
          <w:p w14:paraId="0CBC4067">
            <w:pPr>
              <w:spacing w:line="280" w:lineRule="auto"/>
              <w:jc w:val="center"/>
              <w:rPr>
                <w:rFonts w:ascii="Arial"/>
                <w:sz w:val="21"/>
              </w:rPr>
            </w:pPr>
          </w:p>
          <w:p w14:paraId="4113306A">
            <w:pPr>
              <w:spacing w:before="75" w:line="227" w:lineRule="auto"/>
              <w:ind w:left="54"/>
              <w:jc w:val="center"/>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1634" w:type="dxa"/>
            <w:tcBorders>
              <w:top w:val="single" w:color="000000" w:sz="2" w:space="0"/>
              <w:bottom w:val="single" w:color="000000" w:sz="2" w:space="0"/>
            </w:tcBorders>
            <w:vAlign w:val="center"/>
          </w:tcPr>
          <w:p w14:paraId="2F1505B7">
            <w:pPr>
              <w:spacing w:line="280" w:lineRule="auto"/>
              <w:jc w:val="center"/>
              <w:rPr>
                <w:rFonts w:ascii="Arial"/>
                <w:sz w:val="21"/>
              </w:rPr>
            </w:pPr>
          </w:p>
          <w:p w14:paraId="118A2E44">
            <w:pPr>
              <w:spacing w:before="75" w:line="227" w:lineRule="auto"/>
              <w:ind w:left="231"/>
              <w:jc w:val="center"/>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目内容</w:t>
            </w:r>
          </w:p>
        </w:tc>
        <w:tc>
          <w:tcPr>
            <w:tcW w:w="1626" w:type="dxa"/>
            <w:tcBorders>
              <w:top w:val="single" w:color="000000" w:sz="2" w:space="0"/>
              <w:bottom w:val="single" w:color="000000" w:sz="2" w:space="0"/>
            </w:tcBorders>
            <w:vAlign w:val="center"/>
          </w:tcPr>
          <w:p w14:paraId="1A003297">
            <w:pPr>
              <w:spacing w:before="200" w:line="312" w:lineRule="exact"/>
              <w:ind w:left="333"/>
              <w:jc w:val="center"/>
              <w:rPr>
                <w:rFonts w:ascii="宋体" w:hAnsi="宋体" w:eastAsia="宋体" w:cs="宋体"/>
                <w:sz w:val="23"/>
                <w:szCs w:val="23"/>
              </w:rPr>
            </w:pPr>
            <w:r>
              <w:rPr>
                <w:rFonts w:ascii="宋体" w:hAnsi="宋体" w:eastAsia="宋体" w:cs="宋体"/>
                <w:spacing w:val="8"/>
                <w:position w:val="5"/>
                <w:sz w:val="23"/>
                <w:szCs w:val="23"/>
              </w:rPr>
              <w:t>合</w:t>
            </w:r>
            <w:r>
              <w:rPr>
                <w:rFonts w:ascii="宋体" w:hAnsi="宋体" w:eastAsia="宋体" w:cs="宋体"/>
                <w:spacing w:val="7"/>
                <w:position w:val="5"/>
                <w:sz w:val="23"/>
                <w:szCs w:val="23"/>
              </w:rPr>
              <w:t>同金额</w:t>
            </w:r>
          </w:p>
          <w:p w14:paraId="7F50C55B">
            <w:pPr>
              <w:spacing w:line="228" w:lineRule="auto"/>
              <w:ind w:left="344"/>
              <w:jc w:val="center"/>
              <w:rPr>
                <w:rFonts w:ascii="宋体" w:hAnsi="宋体" w:eastAsia="宋体" w:cs="宋体"/>
                <w:sz w:val="23"/>
                <w:szCs w:val="23"/>
              </w:rPr>
            </w:pPr>
            <w:r>
              <w:rPr>
                <w:rFonts w:hint="eastAsia" w:cs="宋体"/>
                <w:spacing w:val="31"/>
                <w:sz w:val="23"/>
                <w:szCs w:val="23"/>
                <w:lang w:eastAsia="zh-CN"/>
              </w:rPr>
              <w:t>（</w:t>
            </w:r>
            <w:r>
              <w:rPr>
                <w:rFonts w:ascii="宋体" w:hAnsi="宋体" w:eastAsia="宋体" w:cs="宋体"/>
                <w:spacing w:val="31"/>
                <w:sz w:val="23"/>
                <w:szCs w:val="23"/>
              </w:rPr>
              <w:t>万元</w:t>
            </w:r>
            <w:r>
              <w:rPr>
                <w:rFonts w:hint="eastAsia" w:cs="宋体"/>
                <w:spacing w:val="31"/>
                <w:sz w:val="23"/>
                <w:szCs w:val="23"/>
                <w:lang w:eastAsia="zh-CN"/>
              </w:rPr>
              <w:t>）</w:t>
            </w:r>
          </w:p>
        </w:tc>
        <w:tc>
          <w:tcPr>
            <w:tcW w:w="1416" w:type="dxa"/>
            <w:tcBorders>
              <w:top w:val="single" w:color="000000" w:sz="2" w:space="0"/>
              <w:bottom w:val="single" w:color="000000" w:sz="2" w:space="0"/>
            </w:tcBorders>
            <w:vAlign w:val="center"/>
          </w:tcPr>
          <w:p w14:paraId="72082F16">
            <w:pPr>
              <w:spacing w:line="280" w:lineRule="auto"/>
              <w:jc w:val="center"/>
              <w:rPr>
                <w:rFonts w:ascii="Arial"/>
                <w:sz w:val="21"/>
              </w:rPr>
            </w:pPr>
          </w:p>
          <w:p w14:paraId="4E4818BE">
            <w:pPr>
              <w:spacing w:before="75" w:line="227" w:lineRule="auto"/>
              <w:ind w:left="111"/>
              <w:jc w:val="center"/>
              <w:rPr>
                <w:rFonts w:ascii="宋体" w:hAnsi="宋体" w:eastAsia="宋体" w:cs="宋体"/>
                <w:sz w:val="23"/>
                <w:szCs w:val="23"/>
              </w:rPr>
            </w:pPr>
            <w:r>
              <w:rPr>
                <w:rFonts w:ascii="宋体" w:hAnsi="宋体" w:eastAsia="宋体" w:cs="宋体"/>
                <w:spacing w:val="7"/>
                <w:sz w:val="23"/>
                <w:szCs w:val="23"/>
              </w:rPr>
              <w:t>完成日期</w:t>
            </w:r>
          </w:p>
        </w:tc>
        <w:tc>
          <w:tcPr>
            <w:tcW w:w="2081" w:type="dxa"/>
            <w:tcBorders>
              <w:top w:val="single" w:color="000000" w:sz="2" w:space="0"/>
              <w:bottom w:val="single" w:color="000000" w:sz="2" w:space="0"/>
            </w:tcBorders>
            <w:vAlign w:val="center"/>
          </w:tcPr>
          <w:p w14:paraId="6AB1A00A">
            <w:pPr>
              <w:spacing w:before="44" w:line="230" w:lineRule="auto"/>
              <w:ind w:left="125"/>
              <w:jc w:val="center"/>
              <w:rPr>
                <w:rFonts w:ascii="宋体" w:hAnsi="宋体" w:eastAsia="宋体" w:cs="宋体"/>
                <w:spacing w:val="7"/>
                <w:sz w:val="23"/>
                <w:szCs w:val="23"/>
              </w:rPr>
            </w:pPr>
          </w:p>
          <w:p w14:paraId="0287E730">
            <w:pPr>
              <w:spacing w:before="44" w:line="230" w:lineRule="auto"/>
              <w:ind w:left="125"/>
              <w:jc w:val="center"/>
              <w:rPr>
                <w:rFonts w:ascii="宋体" w:hAnsi="宋体" w:eastAsia="宋体" w:cs="宋体"/>
                <w:sz w:val="23"/>
                <w:szCs w:val="23"/>
              </w:rPr>
            </w:pPr>
            <w:r>
              <w:rPr>
                <w:rFonts w:ascii="宋体" w:hAnsi="宋体" w:eastAsia="宋体" w:cs="宋体"/>
                <w:spacing w:val="7"/>
                <w:sz w:val="23"/>
                <w:szCs w:val="23"/>
              </w:rPr>
              <w:t>业</w:t>
            </w:r>
            <w:r>
              <w:rPr>
                <w:rFonts w:ascii="宋体" w:hAnsi="宋体" w:eastAsia="宋体" w:cs="宋体"/>
                <w:spacing w:val="6"/>
                <w:sz w:val="23"/>
                <w:szCs w:val="23"/>
              </w:rPr>
              <w:t>主</w:t>
            </w:r>
            <w:r>
              <w:rPr>
                <w:rFonts w:ascii="宋体" w:hAnsi="宋体" w:eastAsia="宋体" w:cs="宋体"/>
                <w:spacing w:val="8"/>
                <w:sz w:val="23"/>
                <w:szCs w:val="23"/>
              </w:rPr>
              <w:t>联系人及</w:t>
            </w:r>
            <w:r>
              <w:rPr>
                <w:rFonts w:ascii="宋体" w:hAnsi="宋体" w:eastAsia="宋体" w:cs="宋体"/>
                <w:spacing w:val="7"/>
                <w:sz w:val="23"/>
                <w:szCs w:val="23"/>
              </w:rPr>
              <w:t>电</w:t>
            </w:r>
            <w:r>
              <w:rPr>
                <w:rFonts w:ascii="宋体" w:hAnsi="宋体" w:eastAsia="宋体" w:cs="宋体"/>
                <w:sz w:val="23"/>
                <w:szCs w:val="23"/>
              </w:rPr>
              <w:t>话</w:t>
            </w:r>
          </w:p>
        </w:tc>
        <w:tc>
          <w:tcPr>
            <w:tcW w:w="980" w:type="dxa"/>
            <w:tcBorders>
              <w:top w:val="single" w:color="000000" w:sz="2" w:space="0"/>
              <w:bottom w:val="single" w:color="000000" w:sz="2" w:space="0"/>
            </w:tcBorders>
            <w:vAlign w:val="center"/>
          </w:tcPr>
          <w:p w14:paraId="0F2C0742">
            <w:pPr>
              <w:spacing w:line="279" w:lineRule="auto"/>
              <w:jc w:val="center"/>
              <w:rPr>
                <w:rFonts w:ascii="Arial"/>
                <w:sz w:val="21"/>
              </w:rPr>
            </w:pPr>
          </w:p>
          <w:p w14:paraId="0E3F9112">
            <w:pPr>
              <w:spacing w:before="75" w:line="229" w:lineRule="auto"/>
              <w:jc w:val="center"/>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14:paraId="04026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66F0EB5D">
            <w:pPr>
              <w:spacing w:before="290" w:line="192" w:lineRule="auto"/>
              <w:ind w:left="327"/>
              <w:rPr>
                <w:rFonts w:ascii="宋体" w:hAnsi="宋体" w:eastAsia="宋体" w:cs="宋体"/>
                <w:sz w:val="23"/>
                <w:szCs w:val="23"/>
              </w:rPr>
            </w:pPr>
            <w:r>
              <w:rPr>
                <w:rFonts w:ascii="宋体" w:hAnsi="宋体" w:eastAsia="宋体" w:cs="宋体"/>
                <w:sz w:val="23"/>
                <w:szCs w:val="23"/>
              </w:rPr>
              <w:t>1</w:t>
            </w:r>
          </w:p>
        </w:tc>
        <w:tc>
          <w:tcPr>
            <w:tcW w:w="1116" w:type="dxa"/>
            <w:tcBorders>
              <w:top w:val="single" w:color="000000" w:sz="2" w:space="0"/>
              <w:bottom w:val="single" w:color="000000" w:sz="2" w:space="0"/>
            </w:tcBorders>
            <w:vAlign w:val="top"/>
          </w:tcPr>
          <w:p w14:paraId="314BCB0F">
            <w:pPr>
              <w:rPr>
                <w:rFonts w:ascii="Arial"/>
                <w:sz w:val="21"/>
              </w:rPr>
            </w:pPr>
          </w:p>
        </w:tc>
        <w:tc>
          <w:tcPr>
            <w:tcW w:w="1634" w:type="dxa"/>
            <w:tcBorders>
              <w:top w:val="single" w:color="000000" w:sz="2" w:space="0"/>
              <w:bottom w:val="single" w:color="000000" w:sz="2" w:space="0"/>
            </w:tcBorders>
            <w:vAlign w:val="top"/>
          </w:tcPr>
          <w:p w14:paraId="23F5EA8D">
            <w:pPr>
              <w:rPr>
                <w:rFonts w:ascii="Arial"/>
                <w:sz w:val="21"/>
              </w:rPr>
            </w:pPr>
          </w:p>
        </w:tc>
        <w:tc>
          <w:tcPr>
            <w:tcW w:w="1626" w:type="dxa"/>
            <w:tcBorders>
              <w:top w:val="single" w:color="000000" w:sz="2" w:space="0"/>
              <w:bottom w:val="single" w:color="000000" w:sz="2" w:space="0"/>
            </w:tcBorders>
            <w:vAlign w:val="top"/>
          </w:tcPr>
          <w:p w14:paraId="0FB5C150">
            <w:pPr>
              <w:rPr>
                <w:rFonts w:ascii="Arial"/>
                <w:sz w:val="21"/>
              </w:rPr>
            </w:pPr>
          </w:p>
        </w:tc>
        <w:tc>
          <w:tcPr>
            <w:tcW w:w="1416" w:type="dxa"/>
            <w:tcBorders>
              <w:top w:val="single" w:color="000000" w:sz="2" w:space="0"/>
              <w:bottom w:val="single" w:color="000000" w:sz="2" w:space="0"/>
            </w:tcBorders>
            <w:vAlign w:val="top"/>
          </w:tcPr>
          <w:p w14:paraId="7815B643">
            <w:pPr>
              <w:rPr>
                <w:rFonts w:ascii="Arial"/>
                <w:sz w:val="21"/>
              </w:rPr>
            </w:pPr>
          </w:p>
        </w:tc>
        <w:tc>
          <w:tcPr>
            <w:tcW w:w="2081" w:type="dxa"/>
            <w:tcBorders>
              <w:top w:val="single" w:color="000000" w:sz="2" w:space="0"/>
              <w:bottom w:val="single" w:color="000000" w:sz="2" w:space="0"/>
            </w:tcBorders>
            <w:vAlign w:val="top"/>
          </w:tcPr>
          <w:p w14:paraId="5BB1C5A3">
            <w:pPr>
              <w:rPr>
                <w:rFonts w:ascii="Arial"/>
                <w:sz w:val="21"/>
              </w:rPr>
            </w:pPr>
          </w:p>
        </w:tc>
        <w:tc>
          <w:tcPr>
            <w:tcW w:w="980" w:type="dxa"/>
            <w:tcBorders>
              <w:top w:val="single" w:color="000000" w:sz="2" w:space="0"/>
              <w:bottom w:val="single" w:color="000000" w:sz="2" w:space="0"/>
            </w:tcBorders>
            <w:vAlign w:val="top"/>
          </w:tcPr>
          <w:p w14:paraId="006E8C47">
            <w:pPr>
              <w:rPr>
                <w:rFonts w:ascii="Arial"/>
                <w:sz w:val="21"/>
              </w:rPr>
            </w:pPr>
          </w:p>
        </w:tc>
      </w:tr>
      <w:tr w14:paraId="77A89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545D3604">
            <w:pPr>
              <w:spacing w:before="289" w:line="192" w:lineRule="auto"/>
              <w:ind w:left="312"/>
              <w:rPr>
                <w:rFonts w:ascii="宋体" w:hAnsi="宋体" w:eastAsia="宋体" w:cs="宋体"/>
                <w:sz w:val="23"/>
                <w:szCs w:val="23"/>
              </w:rPr>
            </w:pPr>
            <w:r>
              <w:rPr>
                <w:rFonts w:ascii="宋体" w:hAnsi="宋体" w:eastAsia="宋体" w:cs="宋体"/>
                <w:sz w:val="23"/>
                <w:szCs w:val="23"/>
              </w:rPr>
              <w:t>2</w:t>
            </w:r>
          </w:p>
        </w:tc>
        <w:tc>
          <w:tcPr>
            <w:tcW w:w="1116" w:type="dxa"/>
            <w:tcBorders>
              <w:top w:val="single" w:color="000000" w:sz="2" w:space="0"/>
              <w:bottom w:val="single" w:color="000000" w:sz="2" w:space="0"/>
            </w:tcBorders>
            <w:vAlign w:val="top"/>
          </w:tcPr>
          <w:p w14:paraId="12845852">
            <w:pPr>
              <w:rPr>
                <w:rFonts w:ascii="Arial"/>
                <w:sz w:val="21"/>
              </w:rPr>
            </w:pPr>
          </w:p>
        </w:tc>
        <w:tc>
          <w:tcPr>
            <w:tcW w:w="1634" w:type="dxa"/>
            <w:tcBorders>
              <w:top w:val="single" w:color="000000" w:sz="2" w:space="0"/>
              <w:bottom w:val="single" w:color="000000" w:sz="2" w:space="0"/>
            </w:tcBorders>
            <w:vAlign w:val="top"/>
          </w:tcPr>
          <w:p w14:paraId="21870DE8">
            <w:pPr>
              <w:rPr>
                <w:rFonts w:ascii="Arial"/>
                <w:sz w:val="21"/>
              </w:rPr>
            </w:pPr>
          </w:p>
        </w:tc>
        <w:tc>
          <w:tcPr>
            <w:tcW w:w="1626" w:type="dxa"/>
            <w:tcBorders>
              <w:top w:val="single" w:color="000000" w:sz="2" w:space="0"/>
              <w:bottom w:val="single" w:color="000000" w:sz="2" w:space="0"/>
            </w:tcBorders>
            <w:vAlign w:val="top"/>
          </w:tcPr>
          <w:p w14:paraId="14A791AF">
            <w:pPr>
              <w:rPr>
                <w:rFonts w:ascii="Arial"/>
                <w:sz w:val="21"/>
              </w:rPr>
            </w:pPr>
          </w:p>
        </w:tc>
        <w:tc>
          <w:tcPr>
            <w:tcW w:w="1416" w:type="dxa"/>
            <w:tcBorders>
              <w:top w:val="single" w:color="000000" w:sz="2" w:space="0"/>
              <w:bottom w:val="single" w:color="000000" w:sz="2" w:space="0"/>
            </w:tcBorders>
            <w:vAlign w:val="top"/>
          </w:tcPr>
          <w:p w14:paraId="01EBC9FA">
            <w:pPr>
              <w:rPr>
                <w:rFonts w:ascii="Arial"/>
                <w:sz w:val="21"/>
              </w:rPr>
            </w:pPr>
          </w:p>
        </w:tc>
        <w:tc>
          <w:tcPr>
            <w:tcW w:w="2081" w:type="dxa"/>
            <w:tcBorders>
              <w:top w:val="single" w:color="000000" w:sz="2" w:space="0"/>
              <w:bottom w:val="single" w:color="000000" w:sz="2" w:space="0"/>
            </w:tcBorders>
            <w:vAlign w:val="top"/>
          </w:tcPr>
          <w:p w14:paraId="769BCC05">
            <w:pPr>
              <w:rPr>
                <w:rFonts w:ascii="Arial"/>
                <w:sz w:val="21"/>
              </w:rPr>
            </w:pPr>
          </w:p>
        </w:tc>
        <w:tc>
          <w:tcPr>
            <w:tcW w:w="980" w:type="dxa"/>
            <w:tcBorders>
              <w:top w:val="single" w:color="000000" w:sz="2" w:space="0"/>
              <w:bottom w:val="single" w:color="000000" w:sz="2" w:space="0"/>
            </w:tcBorders>
            <w:vAlign w:val="top"/>
          </w:tcPr>
          <w:p w14:paraId="7251E059">
            <w:pPr>
              <w:rPr>
                <w:rFonts w:ascii="Arial"/>
                <w:sz w:val="21"/>
              </w:rPr>
            </w:pPr>
          </w:p>
        </w:tc>
      </w:tr>
      <w:tr w14:paraId="03ADB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7D757064">
            <w:pPr>
              <w:spacing w:before="292" w:line="190" w:lineRule="auto"/>
              <w:ind w:left="314"/>
              <w:rPr>
                <w:rFonts w:ascii="宋体" w:hAnsi="宋体" w:eastAsia="宋体" w:cs="宋体"/>
                <w:sz w:val="23"/>
                <w:szCs w:val="23"/>
              </w:rPr>
            </w:pPr>
            <w:r>
              <w:rPr>
                <w:rFonts w:ascii="宋体" w:hAnsi="宋体" w:eastAsia="宋体" w:cs="宋体"/>
                <w:sz w:val="23"/>
                <w:szCs w:val="23"/>
              </w:rPr>
              <w:t>3</w:t>
            </w:r>
          </w:p>
        </w:tc>
        <w:tc>
          <w:tcPr>
            <w:tcW w:w="1116" w:type="dxa"/>
            <w:tcBorders>
              <w:top w:val="single" w:color="000000" w:sz="2" w:space="0"/>
              <w:bottom w:val="single" w:color="000000" w:sz="2" w:space="0"/>
            </w:tcBorders>
            <w:vAlign w:val="top"/>
          </w:tcPr>
          <w:p w14:paraId="04DF8EDF">
            <w:pPr>
              <w:rPr>
                <w:rFonts w:ascii="Arial"/>
                <w:sz w:val="21"/>
              </w:rPr>
            </w:pPr>
          </w:p>
        </w:tc>
        <w:tc>
          <w:tcPr>
            <w:tcW w:w="1634" w:type="dxa"/>
            <w:tcBorders>
              <w:top w:val="single" w:color="000000" w:sz="2" w:space="0"/>
              <w:bottom w:val="single" w:color="000000" w:sz="2" w:space="0"/>
            </w:tcBorders>
            <w:vAlign w:val="top"/>
          </w:tcPr>
          <w:p w14:paraId="2497550F">
            <w:pPr>
              <w:rPr>
                <w:rFonts w:ascii="Arial"/>
                <w:sz w:val="21"/>
              </w:rPr>
            </w:pPr>
          </w:p>
        </w:tc>
        <w:tc>
          <w:tcPr>
            <w:tcW w:w="1626" w:type="dxa"/>
            <w:tcBorders>
              <w:top w:val="single" w:color="000000" w:sz="2" w:space="0"/>
              <w:bottom w:val="single" w:color="000000" w:sz="2" w:space="0"/>
            </w:tcBorders>
            <w:vAlign w:val="top"/>
          </w:tcPr>
          <w:p w14:paraId="430D3465">
            <w:pPr>
              <w:rPr>
                <w:rFonts w:ascii="Arial"/>
                <w:sz w:val="21"/>
              </w:rPr>
            </w:pPr>
          </w:p>
        </w:tc>
        <w:tc>
          <w:tcPr>
            <w:tcW w:w="1416" w:type="dxa"/>
            <w:tcBorders>
              <w:top w:val="single" w:color="000000" w:sz="2" w:space="0"/>
              <w:bottom w:val="single" w:color="000000" w:sz="2" w:space="0"/>
            </w:tcBorders>
            <w:vAlign w:val="top"/>
          </w:tcPr>
          <w:p w14:paraId="76BC209E">
            <w:pPr>
              <w:rPr>
                <w:rFonts w:ascii="Arial"/>
                <w:sz w:val="21"/>
              </w:rPr>
            </w:pPr>
          </w:p>
        </w:tc>
        <w:tc>
          <w:tcPr>
            <w:tcW w:w="2081" w:type="dxa"/>
            <w:tcBorders>
              <w:top w:val="single" w:color="000000" w:sz="2" w:space="0"/>
              <w:bottom w:val="single" w:color="000000" w:sz="2" w:space="0"/>
            </w:tcBorders>
            <w:vAlign w:val="top"/>
          </w:tcPr>
          <w:p w14:paraId="1304E31C">
            <w:pPr>
              <w:rPr>
                <w:rFonts w:ascii="Arial"/>
                <w:sz w:val="21"/>
              </w:rPr>
            </w:pPr>
          </w:p>
        </w:tc>
        <w:tc>
          <w:tcPr>
            <w:tcW w:w="980" w:type="dxa"/>
            <w:tcBorders>
              <w:top w:val="single" w:color="000000" w:sz="2" w:space="0"/>
              <w:bottom w:val="single" w:color="000000" w:sz="2" w:space="0"/>
            </w:tcBorders>
            <w:vAlign w:val="top"/>
          </w:tcPr>
          <w:p w14:paraId="4D4E56EB">
            <w:pPr>
              <w:rPr>
                <w:rFonts w:ascii="Arial"/>
                <w:sz w:val="21"/>
              </w:rPr>
            </w:pPr>
          </w:p>
        </w:tc>
      </w:tr>
      <w:tr w14:paraId="1B773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00E74BB4">
            <w:pPr>
              <w:spacing w:before="291" w:line="192" w:lineRule="auto"/>
              <w:ind w:left="308"/>
              <w:rPr>
                <w:rFonts w:ascii="宋体" w:hAnsi="宋体" w:eastAsia="宋体" w:cs="宋体"/>
                <w:sz w:val="23"/>
                <w:szCs w:val="23"/>
              </w:rPr>
            </w:pPr>
            <w:r>
              <w:rPr>
                <w:rFonts w:ascii="宋体" w:hAnsi="宋体" w:eastAsia="宋体" w:cs="宋体"/>
                <w:sz w:val="23"/>
                <w:szCs w:val="23"/>
              </w:rPr>
              <w:t>4</w:t>
            </w:r>
          </w:p>
        </w:tc>
        <w:tc>
          <w:tcPr>
            <w:tcW w:w="1116" w:type="dxa"/>
            <w:tcBorders>
              <w:top w:val="single" w:color="000000" w:sz="2" w:space="0"/>
              <w:bottom w:val="single" w:color="000000" w:sz="2" w:space="0"/>
            </w:tcBorders>
            <w:vAlign w:val="top"/>
          </w:tcPr>
          <w:p w14:paraId="5E91BB61">
            <w:pPr>
              <w:rPr>
                <w:rFonts w:ascii="Arial"/>
                <w:sz w:val="21"/>
              </w:rPr>
            </w:pPr>
          </w:p>
        </w:tc>
        <w:tc>
          <w:tcPr>
            <w:tcW w:w="1634" w:type="dxa"/>
            <w:tcBorders>
              <w:top w:val="single" w:color="000000" w:sz="2" w:space="0"/>
              <w:bottom w:val="single" w:color="000000" w:sz="2" w:space="0"/>
            </w:tcBorders>
            <w:vAlign w:val="top"/>
          </w:tcPr>
          <w:p w14:paraId="71BC3C16">
            <w:pPr>
              <w:rPr>
                <w:rFonts w:ascii="Arial"/>
                <w:sz w:val="21"/>
              </w:rPr>
            </w:pPr>
          </w:p>
        </w:tc>
        <w:tc>
          <w:tcPr>
            <w:tcW w:w="1626" w:type="dxa"/>
            <w:tcBorders>
              <w:top w:val="single" w:color="000000" w:sz="2" w:space="0"/>
              <w:bottom w:val="single" w:color="000000" w:sz="2" w:space="0"/>
            </w:tcBorders>
            <w:vAlign w:val="top"/>
          </w:tcPr>
          <w:p w14:paraId="00551C93">
            <w:pPr>
              <w:rPr>
                <w:rFonts w:ascii="Arial"/>
                <w:sz w:val="21"/>
              </w:rPr>
            </w:pPr>
          </w:p>
        </w:tc>
        <w:tc>
          <w:tcPr>
            <w:tcW w:w="1416" w:type="dxa"/>
            <w:tcBorders>
              <w:top w:val="single" w:color="000000" w:sz="2" w:space="0"/>
              <w:bottom w:val="single" w:color="000000" w:sz="2" w:space="0"/>
            </w:tcBorders>
            <w:vAlign w:val="top"/>
          </w:tcPr>
          <w:p w14:paraId="2E250839">
            <w:pPr>
              <w:rPr>
                <w:rFonts w:ascii="Arial"/>
                <w:sz w:val="21"/>
              </w:rPr>
            </w:pPr>
          </w:p>
        </w:tc>
        <w:tc>
          <w:tcPr>
            <w:tcW w:w="2081" w:type="dxa"/>
            <w:tcBorders>
              <w:top w:val="single" w:color="000000" w:sz="2" w:space="0"/>
              <w:bottom w:val="single" w:color="000000" w:sz="2" w:space="0"/>
            </w:tcBorders>
            <w:vAlign w:val="top"/>
          </w:tcPr>
          <w:p w14:paraId="749BFB67">
            <w:pPr>
              <w:rPr>
                <w:rFonts w:ascii="Arial"/>
                <w:sz w:val="21"/>
              </w:rPr>
            </w:pPr>
          </w:p>
        </w:tc>
        <w:tc>
          <w:tcPr>
            <w:tcW w:w="980" w:type="dxa"/>
            <w:tcBorders>
              <w:top w:val="single" w:color="000000" w:sz="2" w:space="0"/>
              <w:bottom w:val="single" w:color="000000" w:sz="2" w:space="0"/>
            </w:tcBorders>
            <w:vAlign w:val="top"/>
          </w:tcPr>
          <w:p w14:paraId="1D2001FD">
            <w:pPr>
              <w:rPr>
                <w:rFonts w:ascii="Arial"/>
                <w:sz w:val="21"/>
              </w:rPr>
            </w:pPr>
          </w:p>
        </w:tc>
      </w:tr>
      <w:tr w14:paraId="71F9D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37A2BB59">
            <w:pPr>
              <w:spacing w:before="295" w:line="189" w:lineRule="auto"/>
              <w:ind w:left="314"/>
              <w:rPr>
                <w:rFonts w:ascii="宋体" w:hAnsi="宋体" w:eastAsia="宋体" w:cs="宋体"/>
                <w:sz w:val="23"/>
                <w:szCs w:val="23"/>
              </w:rPr>
            </w:pPr>
            <w:r>
              <w:rPr>
                <w:rFonts w:ascii="宋体" w:hAnsi="宋体" w:eastAsia="宋体" w:cs="宋体"/>
                <w:sz w:val="23"/>
                <w:szCs w:val="23"/>
              </w:rPr>
              <w:t>5</w:t>
            </w:r>
          </w:p>
        </w:tc>
        <w:tc>
          <w:tcPr>
            <w:tcW w:w="1116" w:type="dxa"/>
            <w:tcBorders>
              <w:top w:val="single" w:color="000000" w:sz="2" w:space="0"/>
              <w:bottom w:val="single" w:color="000000" w:sz="2" w:space="0"/>
            </w:tcBorders>
            <w:vAlign w:val="top"/>
          </w:tcPr>
          <w:p w14:paraId="09B1E076">
            <w:pPr>
              <w:rPr>
                <w:rFonts w:ascii="Arial"/>
                <w:sz w:val="21"/>
              </w:rPr>
            </w:pPr>
          </w:p>
        </w:tc>
        <w:tc>
          <w:tcPr>
            <w:tcW w:w="1634" w:type="dxa"/>
            <w:tcBorders>
              <w:top w:val="single" w:color="000000" w:sz="2" w:space="0"/>
              <w:bottom w:val="single" w:color="000000" w:sz="2" w:space="0"/>
            </w:tcBorders>
            <w:vAlign w:val="top"/>
          </w:tcPr>
          <w:p w14:paraId="27D3AE60">
            <w:pPr>
              <w:rPr>
                <w:rFonts w:ascii="Arial"/>
                <w:sz w:val="21"/>
              </w:rPr>
            </w:pPr>
          </w:p>
        </w:tc>
        <w:tc>
          <w:tcPr>
            <w:tcW w:w="1626" w:type="dxa"/>
            <w:tcBorders>
              <w:top w:val="single" w:color="000000" w:sz="2" w:space="0"/>
              <w:bottom w:val="single" w:color="000000" w:sz="2" w:space="0"/>
            </w:tcBorders>
            <w:vAlign w:val="top"/>
          </w:tcPr>
          <w:p w14:paraId="7EEE73E1">
            <w:pPr>
              <w:rPr>
                <w:rFonts w:ascii="Arial"/>
                <w:sz w:val="21"/>
              </w:rPr>
            </w:pPr>
          </w:p>
        </w:tc>
        <w:tc>
          <w:tcPr>
            <w:tcW w:w="1416" w:type="dxa"/>
            <w:tcBorders>
              <w:top w:val="single" w:color="000000" w:sz="2" w:space="0"/>
              <w:bottom w:val="single" w:color="000000" w:sz="2" w:space="0"/>
            </w:tcBorders>
            <w:vAlign w:val="top"/>
          </w:tcPr>
          <w:p w14:paraId="14CBE83F">
            <w:pPr>
              <w:rPr>
                <w:rFonts w:ascii="Arial"/>
                <w:sz w:val="21"/>
              </w:rPr>
            </w:pPr>
          </w:p>
        </w:tc>
        <w:tc>
          <w:tcPr>
            <w:tcW w:w="2081" w:type="dxa"/>
            <w:tcBorders>
              <w:top w:val="single" w:color="000000" w:sz="2" w:space="0"/>
              <w:bottom w:val="single" w:color="000000" w:sz="2" w:space="0"/>
            </w:tcBorders>
            <w:vAlign w:val="top"/>
          </w:tcPr>
          <w:p w14:paraId="2B42D33E">
            <w:pPr>
              <w:rPr>
                <w:rFonts w:ascii="Arial"/>
                <w:sz w:val="21"/>
              </w:rPr>
            </w:pPr>
          </w:p>
        </w:tc>
        <w:tc>
          <w:tcPr>
            <w:tcW w:w="980" w:type="dxa"/>
            <w:tcBorders>
              <w:top w:val="single" w:color="000000" w:sz="2" w:space="0"/>
              <w:bottom w:val="single" w:color="000000" w:sz="2" w:space="0"/>
            </w:tcBorders>
            <w:vAlign w:val="top"/>
          </w:tcPr>
          <w:p w14:paraId="7ADB701F">
            <w:pPr>
              <w:rPr>
                <w:rFonts w:ascii="Arial"/>
                <w:sz w:val="21"/>
              </w:rPr>
            </w:pPr>
          </w:p>
        </w:tc>
      </w:tr>
      <w:tr w14:paraId="74C83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5548E8A4">
            <w:pPr>
              <w:spacing w:line="371" w:lineRule="auto"/>
              <w:rPr>
                <w:rFonts w:ascii="Arial"/>
                <w:sz w:val="21"/>
              </w:rPr>
            </w:pPr>
          </w:p>
          <w:p w14:paraId="605D66C8">
            <w:pPr>
              <w:spacing w:before="66" w:line="73" w:lineRule="exact"/>
              <w:ind w:left="208"/>
              <w:rPr>
                <w:rFonts w:ascii="Arial" w:hAnsi="Arial" w:eastAsia="Arial" w:cs="Arial"/>
                <w:sz w:val="23"/>
                <w:szCs w:val="23"/>
              </w:rPr>
            </w:pPr>
            <w:r>
              <w:rPr>
                <w:rFonts w:ascii="Arial" w:hAnsi="Arial" w:eastAsia="Arial" w:cs="Arial"/>
                <w:position w:val="1"/>
                <w:sz w:val="23"/>
                <w:szCs w:val="23"/>
              </w:rPr>
              <w:t>…</w:t>
            </w:r>
          </w:p>
        </w:tc>
        <w:tc>
          <w:tcPr>
            <w:tcW w:w="1116" w:type="dxa"/>
            <w:tcBorders>
              <w:top w:val="single" w:color="000000" w:sz="2" w:space="0"/>
              <w:bottom w:val="single" w:color="000000" w:sz="2" w:space="0"/>
            </w:tcBorders>
            <w:vAlign w:val="top"/>
          </w:tcPr>
          <w:p w14:paraId="5EDD7D43">
            <w:pPr>
              <w:rPr>
                <w:rFonts w:ascii="Arial"/>
                <w:sz w:val="21"/>
              </w:rPr>
            </w:pPr>
          </w:p>
        </w:tc>
        <w:tc>
          <w:tcPr>
            <w:tcW w:w="1634" w:type="dxa"/>
            <w:tcBorders>
              <w:top w:val="single" w:color="000000" w:sz="2" w:space="0"/>
              <w:bottom w:val="single" w:color="000000" w:sz="2" w:space="0"/>
            </w:tcBorders>
            <w:vAlign w:val="top"/>
          </w:tcPr>
          <w:p w14:paraId="7BD947DB">
            <w:pPr>
              <w:rPr>
                <w:rFonts w:ascii="Arial"/>
                <w:sz w:val="21"/>
              </w:rPr>
            </w:pPr>
          </w:p>
        </w:tc>
        <w:tc>
          <w:tcPr>
            <w:tcW w:w="1626" w:type="dxa"/>
            <w:tcBorders>
              <w:top w:val="single" w:color="000000" w:sz="2" w:space="0"/>
              <w:bottom w:val="single" w:color="000000" w:sz="2" w:space="0"/>
            </w:tcBorders>
            <w:vAlign w:val="top"/>
          </w:tcPr>
          <w:p w14:paraId="4B29615A">
            <w:pPr>
              <w:rPr>
                <w:rFonts w:ascii="Arial"/>
                <w:sz w:val="21"/>
              </w:rPr>
            </w:pPr>
          </w:p>
        </w:tc>
        <w:tc>
          <w:tcPr>
            <w:tcW w:w="1416" w:type="dxa"/>
            <w:tcBorders>
              <w:top w:val="single" w:color="000000" w:sz="2" w:space="0"/>
              <w:bottom w:val="single" w:color="000000" w:sz="2" w:space="0"/>
            </w:tcBorders>
            <w:vAlign w:val="top"/>
          </w:tcPr>
          <w:p w14:paraId="376C408B">
            <w:pPr>
              <w:rPr>
                <w:rFonts w:ascii="Arial"/>
                <w:sz w:val="21"/>
              </w:rPr>
            </w:pPr>
          </w:p>
        </w:tc>
        <w:tc>
          <w:tcPr>
            <w:tcW w:w="2081" w:type="dxa"/>
            <w:tcBorders>
              <w:top w:val="single" w:color="000000" w:sz="2" w:space="0"/>
              <w:bottom w:val="single" w:color="000000" w:sz="2" w:space="0"/>
            </w:tcBorders>
            <w:vAlign w:val="top"/>
          </w:tcPr>
          <w:p w14:paraId="65A74FB2">
            <w:pPr>
              <w:rPr>
                <w:rFonts w:ascii="Arial"/>
                <w:sz w:val="21"/>
              </w:rPr>
            </w:pPr>
          </w:p>
        </w:tc>
        <w:tc>
          <w:tcPr>
            <w:tcW w:w="980" w:type="dxa"/>
            <w:tcBorders>
              <w:top w:val="single" w:color="000000" w:sz="2" w:space="0"/>
              <w:bottom w:val="single" w:color="000000" w:sz="2" w:space="0"/>
            </w:tcBorders>
            <w:vAlign w:val="top"/>
          </w:tcPr>
          <w:p w14:paraId="022FD0C3">
            <w:pPr>
              <w:rPr>
                <w:rFonts w:ascii="Arial"/>
                <w:sz w:val="21"/>
              </w:rPr>
            </w:pPr>
          </w:p>
        </w:tc>
      </w:tr>
      <w:tr w14:paraId="6D02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0986A840">
            <w:pPr>
              <w:rPr>
                <w:rFonts w:ascii="Arial"/>
                <w:sz w:val="21"/>
              </w:rPr>
            </w:pPr>
          </w:p>
        </w:tc>
        <w:tc>
          <w:tcPr>
            <w:tcW w:w="1116" w:type="dxa"/>
            <w:tcBorders>
              <w:top w:val="single" w:color="000000" w:sz="2" w:space="0"/>
              <w:bottom w:val="single" w:color="000000" w:sz="2" w:space="0"/>
            </w:tcBorders>
            <w:vAlign w:val="top"/>
          </w:tcPr>
          <w:p w14:paraId="2756DB69">
            <w:pPr>
              <w:rPr>
                <w:rFonts w:ascii="Arial"/>
                <w:sz w:val="21"/>
              </w:rPr>
            </w:pPr>
          </w:p>
        </w:tc>
        <w:tc>
          <w:tcPr>
            <w:tcW w:w="1634" w:type="dxa"/>
            <w:tcBorders>
              <w:top w:val="single" w:color="000000" w:sz="2" w:space="0"/>
              <w:bottom w:val="single" w:color="000000" w:sz="2" w:space="0"/>
            </w:tcBorders>
            <w:vAlign w:val="top"/>
          </w:tcPr>
          <w:p w14:paraId="0F6D71A6">
            <w:pPr>
              <w:rPr>
                <w:rFonts w:ascii="Arial"/>
                <w:sz w:val="21"/>
              </w:rPr>
            </w:pPr>
          </w:p>
        </w:tc>
        <w:tc>
          <w:tcPr>
            <w:tcW w:w="1626" w:type="dxa"/>
            <w:tcBorders>
              <w:top w:val="single" w:color="000000" w:sz="2" w:space="0"/>
              <w:bottom w:val="single" w:color="000000" w:sz="2" w:space="0"/>
            </w:tcBorders>
            <w:vAlign w:val="top"/>
          </w:tcPr>
          <w:p w14:paraId="5E5419DB">
            <w:pPr>
              <w:rPr>
                <w:rFonts w:ascii="Arial"/>
                <w:sz w:val="21"/>
              </w:rPr>
            </w:pPr>
          </w:p>
        </w:tc>
        <w:tc>
          <w:tcPr>
            <w:tcW w:w="1416" w:type="dxa"/>
            <w:tcBorders>
              <w:top w:val="single" w:color="000000" w:sz="2" w:space="0"/>
              <w:bottom w:val="single" w:color="000000" w:sz="2" w:space="0"/>
            </w:tcBorders>
            <w:vAlign w:val="top"/>
          </w:tcPr>
          <w:p w14:paraId="6E33A811">
            <w:pPr>
              <w:rPr>
                <w:rFonts w:ascii="Arial"/>
                <w:sz w:val="21"/>
              </w:rPr>
            </w:pPr>
          </w:p>
        </w:tc>
        <w:tc>
          <w:tcPr>
            <w:tcW w:w="2081" w:type="dxa"/>
            <w:tcBorders>
              <w:top w:val="single" w:color="000000" w:sz="2" w:space="0"/>
              <w:bottom w:val="single" w:color="000000" w:sz="2" w:space="0"/>
            </w:tcBorders>
            <w:vAlign w:val="top"/>
          </w:tcPr>
          <w:p w14:paraId="7C795CD5">
            <w:pPr>
              <w:rPr>
                <w:rFonts w:ascii="Arial"/>
                <w:sz w:val="21"/>
              </w:rPr>
            </w:pPr>
          </w:p>
        </w:tc>
        <w:tc>
          <w:tcPr>
            <w:tcW w:w="980" w:type="dxa"/>
            <w:tcBorders>
              <w:top w:val="single" w:color="000000" w:sz="2" w:space="0"/>
              <w:bottom w:val="single" w:color="000000" w:sz="2" w:space="0"/>
            </w:tcBorders>
            <w:vAlign w:val="top"/>
          </w:tcPr>
          <w:p w14:paraId="5062D5A8">
            <w:pPr>
              <w:rPr>
                <w:rFonts w:ascii="Arial"/>
                <w:sz w:val="21"/>
              </w:rPr>
            </w:pPr>
          </w:p>
        </w:tc>
      </w:tr>
      <w:tr w14:paraId="0DC11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2138142F">
            <w:pPr>
              <w:rPr>
                <w:rFonts w:ascii="Arial"/>
                <w:sz w:val="21"/>
              </w:rPr>
            </w:pPr>
          </w:p>
        </w:tc>
        <w:tc>
          <w:tcPr>
            <w:tcW w:w="1116" w:type="dxa"/>
            <w:tcBorders>
              <w:top w:val="single" w:color="000000" w:sz="2" w:space="0"/>
              <w:bottom w:val="single" w:color="000000" w:sz="2" w:space="0"/>
            </w:tcBorders>
            <w:vAlign w:val="top"/>
          </w:tcPr>
          <w:p w14:paraId="5622BD9B">
            <w:pPr>
              <w:rPr>
                <w:rFonts w:ascii="Arial"/>
                <w:sz w:val="21"/>
              </w:rPr>
            </w:pPr>
          </w:p>
        </w:tc>
        <w:tc>
          <w:tcPr>
            <w:tcW w:w="1634" w:type="dxa"/>
            <w:tcBorders>
              <w:top w:val="single" w:color="000000" w:sz="2" w:space="0"/>
              <w:bottom w:val="single" w:color="000000" w:sz="2" w:space="0"/>
            </w:tcBorders>
            <w:vAlign w:val="top"/>
          </w:tcPr>
          <w:p w14:paraId="29F7CE7E">
            <w:pPr>
              <w:rPr>
                <w:rFonts w:ascii="Arial"/>
                <w:sz w:val="21"/>
              </w:rPr>
            </w:pPr>
          </w:p>
        </w:tc>
        <w:tc>
          <w:tcPr>
            <w:tcW w:w="1626" w:type="dxa"/>
            <w:tcBorders>
              <w:top w:val="single" w:color="000000" w:sz="2" w:space="0"/>
              <w:bottom w:val="single" w:color="000000" w:sz="2" w:space="0"/>
            </w:tcBorders>
            <w:vAlign w:val="top"/>
          </w:tcPr>
          <w:p w14:paraId="0A294B28">
            <w:pPr>
              <w:rPr>
                <w:rFonts w:ascii="Arial"/>
                <w:sz w:val="21"/>
              </w:rPr>
            </w:pPr>
          </w:p>
        </w:tc>
        <w:tc>
          <w:tcPr>
            <w:tcW w:w="1416" w:type="dxa"/>
            <w:tcBorders>
              <w:top w:val="single" w:color="000000" w:sz="2" w:space="0"/>
              <w:bottom w:val="single" w:color="000000" w:sz="2" w:space="0"/>
            </w:tcBorders>
            <w:vAlign w:val="top"/>
          </w:tcPr>
          <w:p w14:paraId="209206BE">
            <w:pPr>
              <w:rPr>
                <w:rFonts w:ascii="Arial"/>
                <w:sz w:val="21"/>
              </w:rPr>
            </w:pPr>
          </w:p>
        </w:tc>
        <w:tc>
          <w:tcPr>
            <w:tcW w:w="2081" w:type="dxa"/>
            <w:tcBorders>
              <w:top w:val="single" w:color="000000" w:sz="2" w:space="0"/>
              <w:bottom w:val="single" w:color="000000" w:sz="2" w:space="0"/>
            </w:tcBorders>
            <w:vAlign w:val="top"/>
          </w:tcPr>
          <w:p w14:paraId="3FEBCD62">
            <w:pPr>
              <w:rPr>
                <w:rFonts w:ascii="Arial"/>
                <w:sz w:val="21"/>
              </w:rPr>
            </w:pPr>
          </w:p>
        </w:tc>
        <w:tc>
          <w:tcPr>
            <w:tcW w:w="980" w:type="dxa"/>
            <w:tcBorders>
              <w:top w:val="single" w:color="000000" w:sz="2" w:space="0"/>
              <w:bottom w:val="single" w:color="000000" w:sz="2" w:space="0"/>
            </w:tcBorders>
            <w:vAlign w:val="top"/>
          </w:tcPr>
          <w:p w14:paraId="35620227">
            <w:pPr>
              <w:rPr>
                <w:rFonts w:ascii="Arial"/>
                <w:sz w:val="21"/>
              </w:rPr>
            </w:pPr>
          </w:p>
        </w:tc>
      </w:tr>
      <w:tr w14:paraId="719F3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44" w:type="dxa"/>
            <w:tcBorders>
              <w:top w:val="single" w:color="000000" w:sz="2" w:space="0"/>
              <w:bottom w:val="single" w:color="000000" w:sz="2" w:space="0"/>
            </w:tcBorders>
            <w:vAlign w:val="top"/>
          </w:tcPr>
          <w:p w14:paraId="2102429A">
            <w:pPr>
              <w:rPr>
                <w:rFonts w:ascii="Arial"/>
                <w:sz w:val="21"/>
              </w:rPr>
            </w:pPr>
          </w:p>
        </w:tc>
        <w:tc>
          <w:tcPr>
            <w:tcW w:w="1116" w:type="dxa"/>
            <w:tcBorders>
              <w:top w:val="single" w:color="000000" w:sz="2" w:space="0"/>
              <w:bottom w:val="single" w:color="000000" w:sz="2" w:space="0"/>
            </w:tcBorders>
            <w:vAlign w:val="top"/>
          </w:tcPr>
          <w:p w14:paraId="61DEA4BA">
            <w:pPr>
              <w:rPr>
                <w:rFonts w:ascii="Arial"/>
                <w:sz w:val="21"/>
              </w:rPr>
            </w:pPr>
          </w:p>
        </w:tc>
        <w:tc>
          <w:tcPr>
            <w:tcW w:w="1634" w:type="dxa"/>
            <w:tcBorders>
              <w:top w:val="single" w:color="000000" w:sz="2" w:space="0"/>
              <w:bottom w:val="single" w:color="000000" w:sz="2" w:space="0"/>
            </w:tcBorders>
            <w:vAlign w:val="top"/>
          </w:tcPr>
          <w:p w14:paraId="07C0E740">
            <w:pPr>
              <w:rPr>
                <w:rFonts w:ascii="Arial"/>
                <w:sz w:val="21"/>
              </w:rPr>
            </w:pPr>
          </w:p>
        </w:tc>
        <w:tc>
          <w:tcPr>
            <w:tcW w:w="1626" w:type="dxa"/>
            <w:tcBorders>
              <w:top w:val="single" w:color="000000" w:sz="2" w:space="0"/>
              <w:bottom w:val="single" w:color="000000" w:sz="2" w:space="0"/>
            </w:tcBorders>
            <w:vAlign w:val="top"/>
          </w:tcPr>
          <w:p w14:paraId="4E4076FF">
            <w:pPr>
              <w:rPr>
                <w:rFonts w:ascii="Arial"/>
                <w:sz w:val="21"/>
              </w:rPr>
            </w:pPr>
          </w:p>
        </w:tc>
        <w:tc>
          <w:tcPr>
            <w:tcW w:w="1416" w:type="dxa"/>
            <w:tcBorders>
              <w:top w:val="single" w:color="000000" w:sz="2" w:space="0"/>
              <w:bottom w:val="single" w:color="000000" w:sz="2" w:space="0"/>
            </w:tcBorders>
            <w:vAlign w:val="top"/>
          </w:tcPr>
          <w:p w14:paraId="4C82E1D7">
            <w:pPr>
              <w:rPr>
                <w:rFonts w:ascii="Arial"/>
                <w:sz w:val="21"/>
              </w:rPr>
            </w:pPr>
          </w:p>
        </w:tc>
        <w:tc>
          <w:tcPr>
            <w:tcW w:w="2081" w:type="dxa"/>
            <w:tcBorders>
              <w:top w:val="single" w:color="000000" w:sz="2" w:space="0"/>
              <w:bottom w:val="single" w:color="000000" w:sz="2" w:space="0"/>
            </w:tcBorders>
            <w:vAlign w:val="top"/>
          </w:tcPr>
          <w:p w14:paraId="6E6A04B9">
            <w:pPr>
              <w:rPr>
                <w:rFonts w:ascii="Arial"/>
                <w:sz w:val="21"/>
              </w:rPr>
            </w:pPr>
          </w:p>
        </w:tc>
        <w:tc>
          <w:tcPr>
            <w:tcW w:w="980" w:type="dxa"/>
            <w:tcBorders>
              <w:top w:val="single" w:color="000000" w:sz="2" w:space="0"/>
              <w:bottom w:val="single" w:color="000000" w:sz="2" w:space="0"/>
            </w:tcBorders>
            <w:vAlign w:val="top"/>
          </w:tcPr>
          <w:p w14:paraId="6E08DBB9">
            <w:pPr>
              <w:rPr>
                <w:rFonts w:ascii="Arial"/>
                <w:sz w:val="21"/>
              </w:rPr>
            </w:pPr>
          </w:p>
        </w:tc>
      </w:tr>
    </w:tbl>
    <w:p w14:paraId="5AAE3741">
      <w:pPr>
        <w:spacing w:before="212" w:line="227" w:lineRule="auto"/>
        <w:ind w:left="455"/>
        <w:rPr>
          <w:rFonts w:ascii="宋体" w:hAnsi="宋体" w:eastAsia="宋体" w:cs="宋体"/>
          <w:spacing w:val="16"/>
          <w:sz w:val="24"/>
          <w:szCs w:val="24"/>
          <w14:textOutline w14:w="4358" w14:cap="sq" w14:cmpd="sng">
            <w14:solidFill>
              <w14:srgbClr w14:val="000000"/>
            </w14:solidFill>
            <w14:prstDash w14:val="solid"/>
            <w14:bevel/>
          </w14:textOutline>
        </w:rPr>
      </w:pPr>
    </w:p>
    <w:p w14:paraId="45129153">
      <w:pPr>
        <w:spacing w:before="237" w:line="417" w:lineRule="auto"/>
        <w:ind w:left="452" w:right="463" w:firstLine="722"/>
        <w:rPr>
          <w:rFonts w:ascii="宋体" w:hAnsi="宋体" w:eastAsia="宋体" w:cs="宋体"/>
          <w:spacing w:val="16"/>
          <w:sz w:val="24"/>
          <w:szCs w:val="24"/>
          <w14:textOutline w14:w="4358" w14:cap="sq" w14:cmpd="sng">
            <w14:solidFill>
              <w14:srgbClr w14:val="000000"/>
            </w14:solidFill>
            <w14:prstDash w14:val="solid"/>
            <w14:bevel/>
          </w14:textOutline>
        </w:rPr>
      </w:pPr>
      <w:r>
        <w:rPr>
          <w:rFonts w:ascii="宋体" w:hAnsi="宋体" w:eastAsia="宋体" w:cs="宋体"/>
          <w:spacing w:val="16"/>
          <w:sz w:val="24"/>
          <w:szCs w:val="24"/>
          <w14:textOutline w14:w="4358" w14:cap="sq" w14:cmpd="sng">
            <w14:solidFill>
              <w14:srgbClr w14:val="000000"/>
            </w14:solidFill>
            <w14:prstDash w14:val="solid"/>
            <w14:bevel/>
          </w14:textOutline>
        </w:rPr>
        <w:t>说明：1、供应商</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应提供</w:t>
      </w:r>
      <w:r>
        <w:rPr>
          <w:rFonts w:hint="eastAsia" w:ascii="宋体" w:hAnsi="宋体" w:eastAsia="宋体" w:cs="宋体"/>
          <w:spacing w:val="16"/>
          <w:sz w:val="24"/>
          <w:szCs w:val="24"/>
          <w:lang w:val="en-US" w:eastAsia="zh-CN"/>
          <w14:textOutline w14:w="4358" w14:cap="sq" w14:cmpd="sng">
            <w14:solidFill>
              <w14:srgbClr w14:val="000000"/>
            </w14:solidFill>
            <w14:prstDash w14:val="solid"/>
            <w14:bevel/>
          </w14:textOutline>
        </w:rPr>
        <w:t>2022年1月1日起至今</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类似</w:t>
      </w:r>
      <w:r>
        <w:rPr>
          <w:rFonts w:ascii="宋体" w:hAnsi="宋体" w:eastAsia="宋体" w:cs="宋体"/>
          <w:spacing w:val="16"/>
          <w:sz w:val="24"/>
          <w:szCs w:val="24"/>
          <w14:textOutline w14:w="4358" w14:cap="sq" w14:cmpd="sng">
            <w14:solidFill>
              <w14:srgbClr w14:val="000000"/>
            </w14:solidFill>
            <w14:prstDash w14:val="solid"/>
            <w14:bevel/>
          </w14:textOutline>
        </w:rPr>
        <w:t>项目业绩</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（需附</w:t>
      </w:r>
      <w:r>
        <w:rPr>
          <w:rFonts w:ascii="宋体" w:hAnsi="宋体" w:eastAsia="宋体" w:cs="宋体"/>
          <w:spacing w:val="16"/>
          <w:sz w:val="24"/>
          <w:szCs w:val="24"/>
          <w14:textOutline w14:w="4358" w14:cap="sq" w14:cmpd="sng">
            <w14:solidFill>
              <w14:srgbClr w14:val="000000"/>
            </w14:solidFill>
            <w14:prstDash w14:val="solid"/>
            <w14:bevel/>
          </w14:textOutline>
        </w:rPr>
        <w:t>中标通知书</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或</w:t>
      </w:r>
      <w:r>
        <w:rPr>
          <w:rFonts w:ascii="宋体" w:hAnsi="宋体" w:eastAsia="宋体" w:cs="宋体"/>
          <w:spacing w:val="16"/>
          <w:sz w:val="24"/>
          <w:szCs w:val="24"/>
          <w14:textOutline w14:w="4358" w14:cap="sq" w14:cmpd="sng">
            <w14:solidFill>
              <w14:srgbClr w14:val="000000"/>
            </w14:solidFill>
            <w14:prstDash w14:val="solid"/>
            <w14:bevel/>
          </w14:textOutline>
        </w:rPr>
        <w:t>合同</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）并</w:t>
      </w:r>
      <w:r>
        <w:rPr>
          <w:rFonts w:ascii="宋体" w:hAnsi="宋体" w:eastAsia="宋体" w:cs="宋体"/>
          <w:spacing w:val="16"/>
          <w:sz w:val="24"/>
          <w:szCs w:val="24"/>
          <w14:textOutline w14:w="4358" w14:cap="sq" w14:cmpd="sng">
            <w14:solidFill>
              <w14:srgbClr w14:val="000000"/>
            </w14:solidFill>
            <w14:prstDash w14:val="solid"/>
            <w14:bevel/>
          </w14:textOutline>
        </w:rPr>
        <w:t>加盖</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公司</w:t>
      </w:r>
      <w:r>
        <w:rPr>
          <w:rFonts w:ascii="宋体" w:hAnsi="宋体" w:eastAsia="宋体" w:cs="宋体"/>
          <w:spacing w:val="16"/>
          <w:sz w:val="24"/>
          <w:szCs w:val="24"/>
          <w14:textOutline w14:w="4358" w14:cap="sq" w14:cmpd="sng">
            <w14:solidFill>
              <w14:srgbClr w14:val="000000"/>
            </w14:solidFill>
            <w14:prstDash w14:val="solid"/>
            <w14:bevel/>
          </w14:textOutline>
        </w:rPr>
        <w:t>公章。</w:t>
      </w:r>
    </w:p>
    <w:p w14:paraId="5631F3B1">
      <w:pPr>
        <w:spacing w:before="237" w:line="417" w:lineRule="auto"/>
        <w:ind w:left="452" w:right="463" w:firstLine="722"/>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、供应商应如实列出以上情况，如有隐瞒，一经查实将导致其响应文件</w:t>
      </w:r>
      <w:r>
        <w:rPr>
          <w:rFonts w:ascii="宋体" w:hAnsi="宋体" w:eastAsia="宋体" w:cs="宋体"/>
          <w:spacing w:val="8"/>
          <w:sz w:val="24"/>
          <w:szCs w:val="24"/>
          <w14:textOutline w14:w="4358" w14:cap="sq" w14:cmpd="sng">
            <w14:solidFill>
              <w14:srgbClr w14:val="000000"/>
            </w14:solidFill>
            <w14:prstDash w14:val="solid"/>
            <w14:bevel/>
          </w14:textOutline>
        </w:rPr>
        <w:t>被</w:t>
      </w:r>
      <w:r>
        <w:rPr>
          <w:rFonts w:ascii="宋体" w:hAnsi="宋体" w:eastAsia="宋体" w:cs="宋体"/>
          <w:spacing w:val="5"/>
          <w:sz w:val="24"/>
          <w:szCs w:val="24"/>
          <w14:textOutline w14:w="4358" w14:cap="sq" w14:cmpd="sng">
            <w14:solidFill>
              <w14:srgbClr w14:val="000000"/>
            </w14:solidFill>
            <w14:prstDash w14:val="solid"/>
            <w14:bevel/>
          </w14:textOutline>
        </w:rPr>
        <w:t>拒绝。</w:t>
      </w:r>
    </w:p>
    <w:p w14:paraId="00BF5E6D">
      <w:pPr>
        <w:spacing w:line="253" w:lineRule="auto"/>
        <w:rPr>
          <w:rFonts w:ascii="Arial"/>
          <w:sz w:val="21"/>
        </w:rPr>
      </w:pPr>
    </w:p>
    <w:p w14:paraId="25911C26">
      <w:pPr>
        <w:spacing w:line="253" w:lineRule="auto"/>
        <w:rPr>
          <w:rFonts w:ascii="Arial"/>
          <w:sz w:val="21"/>
        </w:rPr>
      </w:pPr>
    </w:p>
    <w:p w14:paraId="149019F7">
      <w:pPr>
        <w:spacing w:before="75" w:line="227" w:lineRule="auto"/>
        <w:ind w:left="2684"/>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14:paraId="32BDEE1A">
      <w:pPr>
        <w:spacing w:line="287" w:lineRule="auto"/>
        <w:rPr>
          <w:rFonts w:ascii="Arial"/>
          <w:sz w:val="24"/>
          <w:szCs w:val="24"/>
        </w:rPr>
      </w:pPr>
    </w:p>
    <w:p w14:paraId="6311FFE5">
      <w:pPr>
        <w:spacing w:line="288" w:lineRule="auto"/>
        <w:rPr>
          <w:rFonts w:ascii="Arial"/>
          <w:sz w:val="24"/>
          <w:szCs w:val="24"/>
        </w:rPr>
      </w:pPr>
    </w:p>
    <w:p w14:paraId="4353D287">
      <w:pPr>
        <w:spacing w:before="75" w:line="224" w:lineRule="auto"/>
        <w:ind w:right="382"/>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(签字或盖章)</w:t>
      </w:r>
    </w:p>
    <w:p w14:paraId="4CF186E3">
      <w:pPr>
        <w:spacing w:line="345" w:lineRule="auto"/>
        <w:rPr>
          <w:rFonts w:ascii="Arial"/>
          <w:sz w:val="21"/>
        </w:rPr>
      </w:pPr>
    </w:p>
    <w:p w14:paraId="6B159DEF">
      <w:pPr>
        <w:spacing w:before="75" w:line="227" w:lineRule="auto"/>
        <w:ind w:firstLine="4284" w:firstLineChars="1800"/>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14:paraId="6C86D191">
      <w:pPr>
        <w:rPr>
          <w:sz w:val="24"/>
          <w:szCs w:val="24"/>
        </w:rPr>
        <w:sectPr>
          <w:footerReference r:id="rId13" w:type="default"/>
          <w:pgSz w:w="11906" w:h="16839"/>
          <w:pgMar w:top="1431" w:right="1307" w:bottom="1170" w:left="1356" w:header="0" w:footer="680" w:gutter="0"/>
          <w:pgNumType w:fmt="decimal"/>
          <w:cols w:space="720" w:num="1"/>
        </w:sectPr>
      </w:pPr>
    </w:p>
    <w:p w14:paraId="584E8D26">
      <w:pPr>
        <w:numPr>
          <w:ilvl w:val="0"/>
          <w:numId w:val="0"/>
        </w:numPr>
        <w:shd w:val="clear"/>
        <w:spacing w:before="32"/>
        <w:ind w:left="791" w:leftChars="0" w:right="875" w:rightChars="0"/>
        <w:jc w:val="center"/>
        <w:rPr>
          <w:rFonts w:hint="eastAsia"/>
          <w:b/>
          <w:sz w:val="30"/>
        </w:rPr>
      </w:pPr>
      <w:r>
        <w:rPr>
          <w:rFonts w:hint="eastAsia"/>
          <w:b/>
          <w:sz w:val="30"/>
          <w:lang w:eastAsia="zh-CN"/>
        </w:rPr>
        <w:t>五、</w:t>
      </w:r>
      <w:r>
        <w:rPr>
          <w:rFonts w:hint="eastAsia"/>
          <w:b/>
          <w:sz w:val="30"/>
        </w:rPr>
        <w:t>谈判方案说明书</w:t>
      </w:r>
    </w:p>
    <w:p w14:paraId="303C20D2">
      <w:pPr>
        <w:pStyle w:val="5"/>
        <w:numPr>
          <w:ilvl w:val="0"/>
          <w:numId w:val="0"/>
        </w:numPr>
        <w:spacing w:line="360" w:lineRule="auto"/>
        <w:ind w:right="0" w:rightChars="0" w:firstLine="241" w:firstLineChars="100"/>
        <w:outlineLvl w:val="1"/>
        <w:rPr>
          <w:rFonts w:hint="eastAsia" w:asciiTheme="majorEastAsia" w:hAnsiTheme="majorEastAsia" w:eastAsiaTheme="majorEastAsia" w:cstheme="majorEastAsia"/>
          <w:sz w:val="24"/>
          <w:szCs w:val="36"/>
          <w:lang w:val="en-US" w:eastAsia="zh-CN"/>
        </w:rPr>
      </w:pPr>
      <w:bookmarkStart w:id="9" w:name="_Toc19720"/>
      <w:r>
        <w:rPr>
          <w:rFonts w:hint="eastAsia" w:asciiTheme="majorEastAsia" w:hAnsiTheme="majorEastAsia" w:eastAsiaTheme="majorEastAsia" w:cstheme="majorEastAsia"/>
          <w:sz w:val="24"/>
          <w:szCs w:val="36"/>
          <w:lang w:val="en-US" w:eastAsia="zh-CN"/>
        </w:rPr>
        <w:t>（一）施工</w:t>
      </w:r>
      <w:bookmarkEnd w:id="9"/>
      <w:r>
        <w:rPr>
          <w:rFonts w:hint="eastAsia" w:asciiTheme="majorEastAsia" w:hAnsiTheme="majorEastAsia" w:eastAsiaTheme="majorEastAsia" w:cstheme="majorEastAsia"/>
          <w:sz w:val="24"/>
          <w:szCs w:val="36"/>
          <w:lang w:val="en-US" w:eastAsia="zh-CN"/>
        </w:rPr>
        <w:t>组织设计方案</w:t>
      </w:r>
    </w:p>
    <w:p w14:paraId="1D0ACDAD">
      <w:pPr>
        <w:spacing w:line="360" w:lineRule="auto"/>
        <w:ind w:firstLine="240" w:firstLineChars="100"/>
        <w:rPr>
          <w:rFonts w:hint="eastAsia" w:asciiTheme="majorEastAsia" w:hAnsiTheme="majorEastAsia" w:eastAsiaTheme="majorEastAsia" w:cstheme="majorEastAsia"/>
          <w:sz w:val="24"/>
          <w:szCs w:val="24"/>
        </w:rPr>
      </w:pPr>
      <w:bookmarkStart w:id="10" w:name="_Toc2738"/>
      <w:r>
        <w:rPr>
          <w:rFonts w:hint="eastAsia" w:asciiTheme="majorEastAsia" w:hAnsiTheme="majorEastAsia" w:eastAsiaTheme="majorEastAsia" w:cstheme="majorEastAsia"/>
          <w:sz w:val="24"/>
          <w:szCs w:val="24"/>
        </w:rPr>
        <w:t>1、编制具体要求（包括但不限于以下内容）：</w:t>
      </w:r>
    </w:p>
    <w:p w14:paraId="4962CE5F">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1-1.施工方案；</w:t>
      </w:r>
    </w:p>
    <w:p w14:paraId="7635F478">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1-2.工程质量技术组织措施；</w:t>
      </w:r>
    </w:p>
    <w:p w14:paraId="22619F57">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1-3.安全生产技术组织措施；</w:t>
      </w:r>
    </w:p>
    <w:p w14:paraId="5CE33FF5">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rPr>
        <w:t>1-4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2"/>
          <w:sz w:val="24"/>
          <w:szCs w:val="24"/>
        </w:rPr>
        <w:t>确保安全文明施工的技术组织措施及环境保护措施；</w:t>
      </w:r>
    </w:p>
    <w:p w14:paraId="7846E42B">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1-5.工期的技术组织措施；</w:t>
      </w:r>
    </w:p>
    <w:p w14:paraId="4E2E3BC2">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1-6.项目组织管理人员构成；</w:t>
      </w:r>
    </w:p>
    <w:p w14:paraId="7E6D931D">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1-7.施工机械配备投入计划；</w:t>
      </w:r>
    </w:p>
    <w:p w14:paraId="0BF28C32">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.施工部署及现场总平面布置图；</w:t>
      </w:r>
    </w:p>
    <w:p w14:paraId="1E88A77D">
      <w:pPr>
        <w:spacing w:line="360" w:lineRule="auto"/>
        <w:ind w:firstLine="240" w:firstLineChars="100"/>
        <w:jc w:val="left"/>
        <w:rPr>
          <w:rFonts w:hint="default" w:eastAsiaTheme="majorEastAsia"/>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9</w:t>
      </w:r>
      <w:r>
        <w:rPr>
          <w:rFonts w:hint="eastAsia" w:asciiTheme="majorEastAsia" w:hAnsiTheme="majorEastAsia" w:eastAsiaTheme="majorEastAsia" w:cstheme="majorEastAsia"/>
          <w:sz w:val="24"/>
          <w:szCs w:val="24"/>
        </w:rPr>
        <w:t>.新技术、新产品、新工艺、新材料应用。</w:t>
      </w:r>
    </w:p>
    <w:p w14:paraId="1F84D560">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 施工组织设计除采用文字表述外可附下列图表，图表及格式要求附后。</w:t>
      </w:r>
    </w:p>
    <w:p w14:paraId="27F56138">
      <w:pPr>
        <w:spacing w:line="360" w:lineRule="auto"/>
        <w:ind w:firstLine="241" w:firstLineChars="100"/>
        <w:jc w:val="both"/>
        <w:outlineLvl w:val="1"/>
        <w:rPr>
          <w:rFonts w:hint="eastAsia" w:asciiTheme="majorEastAsia" w:hAnsiTheme="majorEastAsia" w:eastAsiaTheme="majorEastAsia" w:cstheme="majorEastAsia"/>
          <w:b/>
          <w:sz w:val="28"/>
          <w:szCs w:val="28"/>
          <w:lang w:val="en-US" w:eastAsia="zh-CN"/>
        </w:rPr>
      </w:pPr>
      <w:r>
        <w:rPr>
          <w:rFonts w:hint="eastAsia" w:asciiTheme="majorEastAsia" w:hAnsiTheme="majorEastAsia" w:eastAsiaTheme="majorEastAsia" w:cstheme="majorEastAsia"/>
          <w:b/>
          <w:bCs/>
          <w:kern w:val="2"/>
          <w:sz w:val="24"/>
          <w:szCs w:val="36"/>
          <w:lang w:val="en-US" w:eastAsia="zh-CN" w:bidi="ar-SA"/>
        </w:rPr>
        <w:t>（二）投标人认为需要说明的其他事项</w:t>
      </w:r>
      <w:r>
        <w:rPr>
          <w:rFonts w:hint="eastAsia" w:asciiTheme="majorEastAsia" w:hAnsiTheme="majorEastAsia" w:eastAsiaTheme="majorEastAsia" w:cstheme="majorEastAsia"/>
          <w:sz w:val="28"/>
          <w:szCs w:val="24"/>
          <w:lang w:eastAsia="zh-CN"/>
        </w:rPr>
        <w:t>。</w:t>
      </w:r>
      <w:bookmarkEnd w:id="10"/>
    </w:p>
    <w:p w14:paraId="170A54D6">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49C40099">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71856C2F">
      <w:pPr>
        <w:numPr>
          <w:ilvl w:val="0"/>
          <w:numId w:val="0"/>
        </w:numPr>
        <w:spacing w:line="360" w:lineRule="auto"/>
        <w:jc w:val="both"/>
        <w:rPr>
          <w:rFonts w:hint="eastAsia" w:ascii="宋体" w:hAnsi="宋体" w:eastAsia="宋体" w:cs="宋体"/>
          <w:b/>
          <w:bCs/>
          <w:color w:val="auto"/>
          <w:sz w:val="28"/>
          <w:szCs w:val="28"/>
          <w:lang w:val="en-US" w:eastAsia="zh-CN" w:bidi="zh-CN"/>
        </w:rPr>
      </w:pPr>
    </w:p>
    <w:p w14:paraId="6CF4CDDA">
      <w:pPr>
        <w:pStyle w:val="4"/>
        <w:spacing w:before="58"/>
        <w:ind w:left="0" w:leftChars="0" w:firstLine="1205" w:firstLineChars="400"/>
        <w:jc w:val="both"/>
        <w:rPr>
          <w:rFonts w:hint="eastAsia"/>
          <w:lang w:eastAsia="zh-CN"/>
        </w:rPr>
      </w:pPr>
    </w:p>
    <w:p w14:paraId="4766FD71">
      <w:pPr>
        <w:pStyle w:val="4"/>
        <w:spacing w:before="58"/>
        <w:ind w:left="0" w:leftChars="0" w:firstLine="1205" w:firstLineChars="400"/>
        <w:jc w:val="both"/>
        <w:rPr>
          <w:rFonts w:hint="eastAsia"/>
          <w:lang w:eastAsia="zh-CN"/>
        </w:rPr>
      </w:pPr>
    </w:p>
    <w:p w14:paraId="12368A8A">
      <w:pPr>
        <w:pStyle w:val="4"/>
        <w:spacing w:before="58"/>
        <w:ind w:left="0" w:leftChars="0" w:firstLine="1205" w:firstLineChars="400"/>
        <w:jc w:val="both"/>
        <w:rPr>
          <w:rFonts w:hint="eastAsia"/>
          <w:lang w:eastAsia="zh-CN"/>
        </w:rPr>
      </w:pPr>
    </w:p>
    <w:p w14:paraId="0BE54D45">
      <w:pPr>
        <w:pStyle w:val="4"/>
        <w:spacing w:before="58"/>
        <w:ind w:left="0" w:leftChars="0" w:firstLine="1205" w:firstLineChars="400"/>
        <w:jc w:val="both"/>
        <w:rPr>
          <w:rFonts w:hint="eastAsia"/>
          <w:lang w:eastAsia="zh-CN"/>
        </w:rPr>
      </w:pPr>
    </w:p>
    <w:p w14:paraId="0B82E245">
      <w:pPr>
        <w:rPr>
          <w:rFonts w:hint="eastAsia"/>
          <w:lang w:eastAsia="zh-CN"/>
        </w:rPr>
      </w:pPr>
    </w:p>
    <w:p w14:paraId="0D7370B4">
      <w:pPr>
        <w:rPr>
          <w:rFonts w:hint="eastAsia"/>
          <w:lang w:eastAsia="zh-CN"/>
        </w:rPr>
      </w:pPr>
    </w:p>
    <w:p w14:paraId="3F6155FD">
      <w:pPr>
        <w:rPr>
          <w:rFonts w:hint="eastAsia"/>
          <w:lang w:eastAsia="zh-CN"/>
        </w:rPr>
      </w:pPr>
    </w:p>
    <w:p w14:paraId="6D997336">
      <w:pPr>
        <w:rPr>
          <w:rFonts w:hint="eastAsia"/>
          <w:lang w:eastAsia="zh-CN"/>
        </w:rPr>
      </w:pPr>
    </w:p>
    <w:p w14:paraId="7D2BAEEA">
      <w:pPr>
        <w:rPr>
          <w:rFonts w:hint="eastAsia"/>
          <w:lang w:eastAsia="zh-CN"/>
        </w:rPr>
      </w:pPr>
    </w:p>
    <w:p w14:paraId="481A3B7E">
      <w:pPr>
        <w:rPr>
          <w:rFonts w:hint="eastAsia"/>
          <w:lang w:eastAsia="zh-CN"/>
        </w:rPr>
      </w:pPr>
    </w:p>
    <w:p w14:paraId="2ECDDECA">
      <w:pPr>
        <w:rPr>
          <w:rFonts w:hint="eastAsia"/>
          <w:lang w:eastAsia="zh-CN"/>
        </w:rPr>
      </w:pPr>
    </w:p>
    <w:p w14:paraId="42DE8CD5">
      <w:pPr>
        <w:rPr>
          <w:rFonts w:hint="eastAsia"/>
          <w:lang w:eastAsia="zh-CN"/>
        </w:rPr>
      </w:pPr>
    </w:p>
    <w:p w14:paraId="67D5E737">
      <w:pPr>
        <w:rPr>
          <w:rFonts w:hint="eastAsia"/>
          <w:lang w:eastAsia="zh-CN"/>
        </w:rPr>
      </w:pPr>
    </w:p>
    <w:p w14:paraId="5BF06B2B">
      <w:pPr>
        <w:rPr>
          <w:rFonts w:hint="eastAsia"/>
          <w:lang w:eastAsia="zh-CN"/>
        </w:rPr>
      </w:pPr>
    </w:p>
    <w:p w14:paraId="601E111F">
      <w:pPr>
        <w:rPr>
          <w:rFonts w:hint="eastAsia"/>
          <w:lang w:eastAsia="zh-CN"/>
        </w:rPr>
      </w:pPr>
    </w:p>
    <w:p w14:paraId="6B0F54A2">
      <w:pPr>
        <w:pStyle w:val="4"/>
        <w:spacing w:before="58"/>
        <w:ind w:left="0" w:leftChars="0" w:firstLine="1205" w:firstLineChars="400"/>
        <w:jc w:val="both"/>
        <w:rPr>
          <w:rFonts w:hint="eastAsia"/>
          <w:lang w:eastAsia="zh-CN"/>
        </w:rPr>
      </w:pPr>
    </w:p>
    <w:p w14:paraId="1BE5946E">
      <w:pPr>
        <w:pStyle w:val="4"/>
        <w:spacing w:before="58"/>
        <w:ind w:left="0" w:leftChars="0" w:firstLine="1205" w:firstLineChars="400"/>
        <w:jc w:val="center"/>
        <w:rPr>
          <w:b/>
          <w:sz w:val="30"/>
        </w:rPr>
      </w:pPr>
      <w:r>
        <w:rPr>
          <w:rFonts w:hint="eastAsia"/>
          <w:lang w:eastAsia="zh-CN"/>
        </w:rPr>
        <w:t>六、</w:t>
      </w:r>
      <w:r>
        <w:t>供应商拒绝政府采购领域商业贿赂承诺书</w:t>
      </w:r>
    </w:p>
    <w:p w14:paraId="7B920912">
      <w:pPr>
        <w:pStyle w:val="11"/>
        <w:spacing w:before="11"/>
        <w:rPr>
          <w:b/>
          <w:sz w:val="23"/>
        </w:rPr>
      </w:pPr>
    </w:p>
    <w:p w14:paraId="2D029EAB">
      <w:pPr>
        <w:pStyle w:val="11"/>
        <w:spacing w:before="1" w:line="405" w:lineRule="auto"/>
        <w:ind w:left="348" w:right="376" w:firstLine="480"/>
      </w:pPr>
      <w:r>
        <w:t>为响应党中央、国务院关于治理政府采购领域商业贿赂行为的号召，我单位在此庄严承诺：</w:t>
      </w:r>
    </w:p>
    <w:p w14:paraId="1AA9945D">
      <w:pPr>
        <w:pStyle w:val="29"/>
        <w:numPr>
          <w:ilvl w:val="0"/>
          <w:numId w:val="3"/>
        </w:numPr>
        <w:tabs>
          <w:tab w:val="left" w:pos="1070"/>
        </w:tabs>
        <w:spacing w:before="2" w:after="0" w:line="240" w:lineRule="auto"/>
        <w:ind w:left="1069" w:right="0" w:hanging="242"/>
        <w:jc w:val="left"/>
        <w:rPr>
          <w:sz w:val="24"/>
        </w:rPr>
      </w:pPr>
      <w:r>
        <w:rPr>
          <w:sz w:val="24"/>
        </w:rPr>
        <w:t>在参与政府采购活动中遵纪守法、诚信经营、公平竞标。</w:t>
      </w:r>
    </w:p>
    <w:p w14:paraId="1449DEBC">
      <w:pPr>
        <w:pStyle w:val="29"/>
        <w:numPr>
          <w:ilvl w:val="0"/>
          <w:numId w:val="3"/>
        </w:numPr>
        <w:tabs>
          <w:tab w:val="left" w:pos="1070"/>
        </w:tabs>
        <w:spacing w:before="211" w:after="0" w:line="405" w:lineRule="auto"/>
        <w:ind w:left="348" w:right="431" w:firstLine="480"/>
        <w:jc w:val="left"/>
        <w:rPr>
          <w:sz w:val="24"/>
        </w:rPr>
      </w:pPr>
      <w:r>
        <w:rPr>
          <w:spacing w:val="-6"/>
          <w:sz w:val="24"/>
        </w:rPr>
        <w:t>不向政府采购人、采购代理机构和政府采购评审专家进行任何形式的商业贿赂</w:t>
      </w:r>
      <w:r>
        <w:rPr>
          <w:sz w:val="24"/>
        </w:rPr>
        <w:t>以谋取交易机会。</w:t>
      </w:r>
    </w:p>
    <w:p w14:paraId="7E91192B">
      <w:pPr>
        <w:pStyle w:val="29"/>
        <w:numPr>
          <w:ilvl w:val="0"/>
          <w:numId w:val="3"/>
        </w:numPr>
        <w:tabs>
          <w:tab w:val="left" w:pos="1070"/>
        </w:tabs>
        <w:spacing w:before="2" w:after="0" w:line="405" w:lineRule="auto"/>
        <w:ind w:left="348" w:right="635" w:firstLine="480"/>
        <w:jc w:val="left"/>
        <w:rPr>
          <w:sz w:val="24"/>
        </w:rPr>
      </w:pPr>
      <w:r>
        <w:rPr>
          <w:spacing w:val="-1"/>
          <w:sz w:val="24"/>
        </w:rPr>
        <w:t>不向政府采购代理机构和采购人提供虚假资质文件或采用虚假应标方式参与</w:t>
      </w:r>
      <w:r>
        <w:rPr>
          <w:sz w:val="24"/>
        </w:rPr>
        <w:t>政府采购市场竞争并谋取中标、成交。</w:t>
      </w:r>
    </w:p>
    <w:p w14:paraId="14AA2231">
      <w:pPr>
        <w:pStyle w:val="29"/>
        <w:numPr>
          <w:ilvl w:val="0"/>
          <w:numId w:val="3"/>
        </w:numPr>
        <w:tabs>
          <w:tab w:val="left" w:pos="1070"/>
        </w:tabs>
        <w:spacing w:before="0" w:after="0" w:line="240" w:lineRule="auto"/>
        <w:ind w:left="1069" w:right="0" w:hanging="242"/>
        <w:jc w:val="left"/>
        <w:rPr>
          <w:sz w:val="24"/>
        </w:rPr>
      </w:pPr>
      <w:r>
        <w:rPr>
          <w:sz w:val="24"/>
        </w:rPr>
        <w:t>不采取“围标、陪标”等商业欺诈手段获得政府采购定单。</w:t>
      </w:r>
    </w:p>
    <w:p w14:paraId="2E8C19A9">
      <w:pPr>
        <w:pStyle w:val="29"/>
        <w:numPr>
          <w:ilvl w:val="0"/>
          <w:numId w:val="3"/>
        </w:numPr>
        <w:tabs>
          <w:tab w:val="left" w:pos="1070"/>
        </w:tabs>
        <w:spacing w:before="213" w:after="0" w:line="240" w:lineRule="auto"/>
        <w:ind w:left="1069" w:right="0" w:hanging="242"/>
        <w:jc w:val="left"/>
        <w:rPr>
          <w:sz w:val="24"/>
        </w:rPr>
      </w:pPr>
      <w:r>
        <w:rPr>
          <w:sz w:val="24"/>
        </w:rPr>
        <w:t>不采取不正当手段诋毁、排挤其他供应商。</w:t>
      </w:r>
    </w:p>
    <w:p w14:paraId="47F98C2F">
      <w:pPr>
        <w:pStyle w:val="29"/>
        <w:numPr>
          <w:ilvl w:val="0"/>
          <w:numId w:val="3"/>
        </w:numPr>
        <w:tabs>
          <w:tab w:val="left" w:pos="1070"/>
        </w:tabs>
        <w:spacing w:before="211" w:after="0" w:line="240" w:lineRule="auto"/>
        <w:ind w:left="1069" w:right="0" w:hanging="242"/>
        <w:jc w:val="left"/>
        <w:rPr>
          <w:sz w:val="24"/>
        </w:rPr>
      </w:pPr>
      <w:r>
        <w:rPr>
          <w:sz w:val="24"/>
        </w:rPr>
        <w:t>不在提供商品和服务时“偷梁换柱、以次充好”损害采购人的合法权益。</w:t>
      </w:r>
    </w:p>
    <w:p w14:paraId="100C3351">
      <w:pPr>
        <w:pStyle w:val="29"/>
        <w:numPr>
          <w:ilvl w:val="0"/>
          <w:numId w:val="3"/>
        </w:numPr>
        <w:tabs>
          <w:tab w:val="left" w:pos="1070"/>
        </w:tabs>
        <w:spacing w:before="213" w:after="0" w:line="405" w:lineRule="auto"/>
        <w:ind w:left="348" w:right="431" w:firstLine="480"/>
        <w:jc w:val="left"/>
        <w:rPr>
          <w:sz w:val="24"/>
        </w:rPr>
      </w:pPr>
      <w:r>
        <w:rPr>
          <w:spacing w:val="-6"/>
          <w:sz w:val="24"/>
        </w:rPr>
        <w:t>不与采购人、采购代理机构政府采购评审专家或其它供应商恶意串通，进行质</w:t>
      </w:r>
      <w:r>
        <w:rPr>
          <w:sz w:val="24"/>
        </w:rPr>
        <w:t>疑和投诉，维护政府采购市场秩序。</w:t>
      </w:r>
    </w:p>
    <w:p w14:paraId="7087FC08">
      <w:pPr>
        <w:pStyle w:val="29"/>
        <w:numPr>
          <w:ilvl w:val="0"/>
          <w:numId w:val="3"/>
        </w:numPr>
        <w:tabs>
          <w:tab w:val="left" w:pos="1070"/>
        </w:tabs>
        <w:spacing w:before="0" w:after="0" w:line="405" w:lineRule="auto"/>
        <w:ind w:left="348" w:right="395" w:firstLine="480"/>
        <w:jc w:val="left"/>
        <w:rPr>
          <w:sz w:val="24"/>
        </w:rPr>
      </w:pPr>
      <w:r>
        <w:rPr>
          <w:spacing w:val="-1"/>
          <w:sz w:val="24"/>
        </w:rPr>
        <w:t xml:space="preserve">尊重和接受政府采购监督管理部门的监督和政府采购代理机构招标采购要求， </w:t>
      </w:r>
      <w:r>
        <w:rPr>
          <w:sz w:val="24"/>
        </w:rPr>
        <w:t>承担因违约行为给采购人造成的损失。</w:t>
      </w:r>
    </w:p>
    <w:p w14:paraId="45ABE18F">
      <w:pPr>
        <w:pStyle w:val="29"/>
        <w:numPr>
          <w:ilvl w:val="0"/>
          <w:numId w:val="3"/>
        </w:numPr>
        <w:tabs>
          <w:tab w:val="left" w:pos="1070"/>
          <w:tab w:val="left" w:pos="5868"/>
        </w:tabs>
        <w:spacing w:before="2" w:after="0" w:line="405" w:lineRule="auto"/>
        <w:ind w:left="1068" w:right="1595" w:hanging="240"/>
        <w:jc w:val="left"/>
        <w:rPr>
          <w:sz w:val="24"/>
        </w:rPr>
      </w:pPr>
      <w:r>
        <w:rPr>
          <w:sz w:val="24"/>
        </w:rPr>
        <w:t>不发生其他有悖于政府采购公开、公平、公正和诚信原则的行为</w:t>
      </w:r>
      <w:r>
        <w:rPr>
          <w:spacing w:val="-17"/>
          <w:sz w:val="24"/>
        </w:rPr>
        <w:t>。</w:t>
      </w:r>
      <w:r>
        <w:rPr>
          <w:sz w:val="24"/>
        </w:rPr>
        <w:t>承诺单位：</w:t>
      </w:r>
      <w:r>
        <w:rPr>
          <w:sz w:val="24"/>
          <w:u w:val="single"/>
        </w:rPr>
        <w:t xml:space="preserve"> </w:t>
      </w:r>
      <w:r>
        <w:rPr>
          <w:sz w:val="24"/>
          <w:u w:val="single"/>
        </w:rPr>
        <w:tab/>
      </w:r>
      <w:r>
        <w:rPr>
          <w:sz w:val="24"/>
        </w:rPr>
        <w:t>（盖章）</w:t>
      </w:r>
    </w:p>
    <w:p w14:paraId="712666BE">
      <w:pPr>
        <w:pStyle w:val="11"/>
        <w:tabs>
          <w:tab w:val="left" w:pos="1788"/>
          <w:tab w:val="left" w:pos="5868"/>
          <w:tab w:val="left" w:pos="5927"/>
        </w:tabs>
        <w:spacing w:line="405" w:lineRule="auto"/>
        <w:ind w:left="1068" w:right="2795"/>
        <w:rPr>
          <w:rFonts w:ascii="Times New Roman" w:eastAsia="Times New Roman"/>
        </w:rPr>
      </w:pPr>
      <w:r>
        <w:t>全权代表：</w:t>
      </w:r>
      <w:r>
        <w:rPr>
          <w:u w:val="single"/>
        </w:rPr>
        <w:t xml:space="preserve"> </w:t>
      </w:r>
      <w:r>
        <w:rPr>
          <w:u w:val="single"/>
        </w:rPr>
        <w:tab/>
      </w:r>
      <w:r>
        <w:t>（签字</w:t>
      </w:r>
      <w:r>
        <w:rPr>
          <w:spacing w:val="-17"/>
        </w:rPr>
        <w:t xml:space="preserve">） </w:t>
      </w:r>
      <w:r>
        <w:t>地</w:t>
      </w:r>
      <w:r>
        <w:tab/>
      </w:r>
      <w:r>
        <w:rPr>
          <w:spacing w:val="-1"/>
        </w:rPr>
        <w:t>址</w:t>
      </w:r>
      <w: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14:paraId="03BA0AB5">
      <w:pPr>
        <w:pStyle w:val="11"/>
        <w:tabs>
          <w:tab w:val="left" w:pos="1788"/>
          <w:tab w:val="left" w:pos="5927"/>
        </w:tabs>
        <w:ind w:left="1068"/>
        <w:rPr>
          <w:rFonts w:ascii="Times New Roman" w:eastAsia="Times New Roman"/>
        </w:rPr>
      </w:pPr>
      <w:r>
        <w:t>邮</w:t>
      </w:r>
      <w:r>
        <w:tab/>
      </w:r>
      <w:r>
        <w:rPr>
          <w:spacing w:val="-1"/>
        </w:rPr>
        <w:t>编</w:t>
      </w:r>
      <w:r>
        <w:t>：</w:t>
      </w:r>
      <w:r>
        <w:rPr>
          <w:rFonts w:ascii="Times New Roman" w:eastAsia="Times New Roman"/>
          <w:u w:val="single"/>
        </w:rPr>
        <w:t xml:space="preserve"> </w:t>
      </w:r>
      <w:r>
        <w:rPr>
          <w:rFonts w:ascii="Times New Roman" w:eastAsia="Times New Roman"/>
          <w:u w:val="single"/>
        </w:rPr>
        <w:tab/>
      </w:r>
    </w:p>
    <w:p w14:paraId="161C19EC">
      <w:pPr>
        <w:pStyle w:val="11"/>
        <w:spacing w:before="1"/>
        <w:rPr>
          <w:rFonts w:ascii="Times New Roman"/>
          <w:sz w:val="12"/>
        </w:rPr>
      </w:pPr>
    </w:p>
    <w:p w14:paraId="3A9584A7">
      <w:pPr>
        <w:pStyle w:val="11"/>
        <w:tabs>
          <w:tab w:val="left" w:pos="1788"/>
          <w:tab w:val="left" w:pos="5927"/>
        </w:tabs>
        <w:spacing w:before="74"/>
        <w:ind w:left="1068"/>
        <w:rPr>
          <w:rFonts w:ascii="Times New Roman" w:eastAsia="Times New Roman"/>
        </w:rPr>
      </w:pPr>
      <w:r>
        <w:t>电</w:t>
      </w:r>
      <w:r>
        <w:tab/>
      </w:r>
      <w:r>
        <w:rPr>
          <w:spacing w:val="-1"/>
        </w:rPr>
        <w:t>话</w:t>
      </w:r>
      <w:r>
        <w:t>：</w:t>
      </w:r>
      <w:r>
        <w:rPr>
          <w:rFonts w:ascii="Times New Roman" w:eastAsia="Times New Roman"/>
          <w:u w:val="single"/>
        </w:rPr>
        <w:t xml:space="preserve"> </w:t>
      </w:r>
      <w:r>
        <w:rPr>
          <w:rFonts w:ascii="Times New Roman" w:eastAsia="Times New Roman"/>
          <w:u w:val="single"/>
        </w:rPr>
        <w:tab/>
      </w:r>
    </w:p>
    <w:p w14:paraId="1E5B981F">
      <w:pPr>
        <w:pStyle w:val="11"/>
        <w:rPr>
          <w:rFonts w:ascii="Times New Roman"/>
          <w:sz w:val="20"/>
        </w:rPr>
      </w:pPr>
    </w:p>
    <w:p w14:paraId="6279D6B2">
      <w:pPr>
        <w:pStyle w:val="11"/>
        <w:rPr>
          <w:rFonts w:ascii="Times New Roman"/>
          <w:sz w:val="20"/>
        </w:rPr>
      </w:pPr>
    </w:p>
    <w:p w14:paraId="356299F7">
      <w:pPr>
        <w:pStyle w:val="11"/>
        <w:spacing w:before="10"/>
        <w:rPr>
          <w:rFonts w:ascii="Times New Roman"/>
          <w:sz w:val="17"/>
        </w:rPr>
      </w:pPr>
    </w:p>
    <w:p w14:paraId="5173928F">
      <w:pPr>
        <w:pStyle w:val="11"/>
        <w:tabs>
          <w:tab w:val="left" w:pos="6108"/>
          <w:tab w:val="left" w:pos="6828"/>
        </w:tabs>
        <w:spacing w:before="67"/>
        <w:ind w:left="5388" w:firstLine="480" w:firstLineChars="200"/>
      </w:pPr>
      <w:r>
        <w:t>年</w:t>
      </w:r>
      <w:r>
        <w:tab/>
      </w:r>
      <w:r>
        <w:t>月</w:t>
      </w:r>
      <w:r>
        <w:tab/>
      </w:r>
      <w:r>
        <w:rPr>
          <w:rFonts w:hint="eastAsia"/>
          <w:lang w:val="en-US" w:eastAsia="zh-CN"/>
        </w:rPr>
        <w:t xml:space="preserve">   </w:t>
      </w:r>
      <w:r>
        <w:t>日</w:t>
      </w:r>
    </w:p>
    <w:p w14:paraId="7278F2C9">
      <w:pPr>
        <w:spacing w:after="0"/>
        <w:sectPr>
          <w:footerReference r:id="rId14" w:type="default"/>
          <w:pgSz w:w="11910" w:h="16840"/>
          <w:pgMar w:top="1580" w:right="1040" w:bottom="1420" w:left="1240" w:header="0" w:footer="680" w:gutter="0"/>
          <w:pgNumType w:fmt="decimal"/>
          <w:cols w:space="720" w:num="1"/>
        </w:sectPr>
      </w:pPr>
    </w:p>
    <w:p w14:paraId="181C6939">
      <w:pPr>
        <w:spacing w:before="71"/>
        <w:ind w:right="0"/>
        <w:jc w:val="center"/>
        <w:rPr>
          <w:rFonts w:hint="eastAsia" w:ascii="宋体" w:hAnsi="宋体" w:eastAsia="宋体" w:cs="宋体"/>
          <w:b/>
          <w:bCs/>
          <w:sz w:val="30"/>
          <w:szCs w:val="30"/>
          <w:lang w:val="zh-CN" w:eastAsia="zh-CN" w:bidi="zh-CN"/>
        </w:rPr>
      </w:pPr>
      <w:r>
        <w:rPr>
          <w:rFonts w:hint="eastAsia" w:cs="宋体"/>
          <w:b/>
          <w:bCs/>
          <w:sz w:val="30"/>
          <w:szCs w:val="30"/>
          <w:lang w:val="zh-CN" w:eastAsia="zh-CN" w:bidi="zh-CN"/>
        </w:rPr>
        <w:t>七</w:t>
      </w:r>
      <w:r>
        <w:rPr>
          <w:rFonts w:hint="eastAsia" w:ascii="宋体" w:hAnsi="宋体" w:eastAsia="宋体" w:cs="宋体"/>
          <w:b/>
          <w:bCs/>
          <w:sz w:val="30"/>
          <w:szCs w:val="30"/>
          <w:lang w:val="zh-CN" w:eastAsia="zh-CN" w:bidi="zh-CN"/>
        </w:rPr>
        <w:t>、其他材料</w:t>
      </w:r>
    </w:p>
    <w:p w14:paraId="5F2A10FB">
      <w:pPr>
        <w:pStyle w:val="11"/>
        <w:rPr>
          <w:b/>
        </w:rPr>
      </w:pPr>
    </w:p>
    <w:p w14:paraId="10D66A1D">
      <w:pPr>
        <w:pStyle w:val="5"/>
        <w:spacing w:before="135"/>
        <w:ind w:left="800" w:right="872"/>
        <w:jc w:val="center"/>
      </w:pPr>
      <w:r>
        <w:rPr>
          <w:rFonts w:hint="eastAsia"/>
          <w:lang w:eastAsia="zh-CN"/>
        </w:rPr>
        <w:t>中小</w:t>
      </w:r>
      <w:r>
        <w:t>企业声明函（工程、服务）</w:t>
      </w:r>
    </w:p>
    <w:p w14:paraId="73B85823">
      <w:pPr>
        <w:pStyle w:val="11"/>
        <w:spacing w:before="8"/>
        <w:rPr>
          <w:rFonts w:hint="default" w:eastAsia="宋体"/>
          <w:b/>
          <w:sz w:val="25"/>
          <w:lang w:val="en-US" w:eastAsia="zh-CN"/>
        </w:rPr>
      </w:pPr>
      <w:r>
        <w:rPr>
          <w:rFonts w:hint="eastAsia"/>
          <w:b/>
          <w:sz w:val="25"/>
          <w:lang w:val="en-US" w:eastAsia="zh-CN"/>
        </w:rPr>
        <w:t xml:space="preserve">   </w:t>
      </w:r>
    </w:p>
    <w:p w14:paraId="0AEEE9BE">
      <w:pPr>
        <w:pStyle w:val="11"/>
        <w:spacing w:before="1" w:line="374" w:lineRule="auto"/>
        <w:ind w:left="348" w:right="431" w:firstLine="480"/>
        <w:jc w:val="both"/>
      </w:pPr>
      <w:r>
        <w:rPr>
          <w:spacing w:val="-3"/>
        </w:rPr>
        <w:t>本公司</w:t>
      </w:r>
      <w:r>
        <w:t>（联合体</w:t>
      </w:r>
      <w:r>
        <w:rPr>
          <w:spacing w:val="-5"/>
        </w:rPr>
        <w:t>）</w:t>
      </w:r>
      <w:r>
        <w:rPr>
          <w:spacing w:val="-4"/>
        </w:rPr>
        <w:t>郑重声明，根据《政府采购促进中小企业发展管理办法》</w:t>
      </w:r>
      <w:r>
        <w:t>（</w:t>
      </w:r>
      <w:r>
        <w:rPr>
          <w:spacing w:val="-15"/>
        </w:rPr>
        <w:t>财</w:t>
      </w:r>
      <w:r>
        <w:t>库﹝2020﹞46</w:t>
      </w:r>
      <w:r>
        <w:rPr>
          <w:spacing w:val="27"/>
        </w:rPr>
        <w:t xml:space="preserve"> 号</w:t>
      </w:r>
      <w:r>
        <w:t>）的规定，本公司（联合体）参加</w:t>
      </w:r>
      <w:r>
        <w:rPr>
          <w:u w:val="single"/>
        </w:rPr>
        <w:t>（单位名称）</w:t>
      </w:r>
      <w:r>
        <w:t>的</w:t>
      </w:r>
      <w:r>
        <w:rPr>
          <w:u w:val="single"/>
        </w:rPr>
        <w:t>（项目名称</w:t>
      </w:r>
      <w:r>
        <w:rPr>
          <w:spacing w:val="4"/>
          <w:u w:val="single"/>
        </w:rPr>
        <w:t>）</w:t>
      </w:r>
      <w:r>
        <w:t>采</w:t>
      </w:r>
      <w:r>
        <w:rPr>
          <w:spacing w:val="-4"/>
        </w:rPr>
        <w:t>购活动，工程的施工单位全部为符合政策要求的</w:t>
      </w:r>
      <w:r>
        <w:rPr>
          <w:rFonts w:hint="eastAsia"/>
          <w:spacing w:val="-4"/>
          <w:lang w:eastAsia="zh-CN"/>
        </w:rPr>
        <w:t>中小</w:t>
      </w:r>
      <w:r>
        <w:rPr>
          <w:spacing w:val="-4"/>
        </w:rPr>
        <w:t>企业</w:t>
      </w:r>
      <w:r>
        <w:t>（</w:t>
      </w:r>
      <w:r>
        <w:rPr>
          <w:spacing w:val="-5"/>
        </w:rPr>
        <w:t>或者：服务全部由符合政</w:t>
      </w:r>
      <w:r>
        <w:t>策要求的</w:t>
      </w:r>
      <w:r>
        <w:rPr>
          <w:rFonts w:hint="eastAsia"/>
          <w:lang w:eastAsia="zh-CN"/>
        </w:rPr>
        <w:t>中小</w:t>
      </w:r>
      <w:r>
        <w:t>企业承接</w:t>
      </w:r>
      <w:r>
        <w:rPr>
          <w:spacing w:val="-10"/>
        </w:rPr>
        <w:t>）</w:t>
      </w:r>
      <w:r>
        <w:rPr>
          <w:spacing w:val="-5"/>
        </w:rPr>
        <w:t>。相关企业</w:t>
      </w:r>
      <w:r>
        <w:t>（</w:t>
      </w:r>
      <w:r>
        <w:rPr>
          <w:spacing w:val="-2"/>
        </w:rPr>
        <w:t>含联合体中的</w:t>
      </w:r>
      <w:r>
        <w:rPr>
          <w:rFonts w:hint="eastAsia"/>
          <w:spacing w:val="-2"/>
          <w:lang w:eastAsia="zh-CN"/>
        </w:rPr>
        <w:t>中小</w:t>
      </w:r>
      <w:r>
        <w:rPr>
          <w:spacing w:val="-2"/>
        </w:rPr>
        <w:t>企业、签订分包意向协议的</w:t>
      </w:r>
      <w:r>
        <w:rPr>
          <w:rFonts w:hint="eastAsia"/>
          <w:lang w:eastAsia="zh-CN"/>
        </w:rPr>
        <w:t>中小</w:t>
      </w:r>
      <w:r>
        <w:t>企业）的具体情况如下：</w:t>
      </w:r>
    </w:p>
    <w:p w14:paraId="28E5552D">
      <w:pPr>
        <w:pStyle w:val="29"/>
        <w:numPr>
          <w:ilvl w:val="0"/>
          <w:numId w:val="4"/>
        </w:numPr>
        <w:tabs>
          <w:tab w:val="left" w:pos="1070"/>
          <w:tab w:val="left" w:pos="5287"/>
        </w:tabs>
        <w:spacing w:before="157" w:after="0" w:line="374" w:lineRule="auto"/>
        <w:ind w:left="348" w:right="428" w:firstLine="480"/>
        <w:jc w:val="both"/>
        <w:rPr>
          <w:sz w:val="24"/>
        </w:rPr>
      </w:pPr>
      <w:r>
        <w:rPr>
          <w:rFonts w:ascii="Times New Roman" w:hAnsi="Times New Roman" w:eastAsia="Times New Roman"/>
          <w:sz w:val="24"/>
          <w:u w:val="single"/>
        </w:rPr>
        <w:t xml:space="preserve">  </w:t>
      </w:r>
      <w:r>
        <w:rPr>
          <w:sz w:val="24"/>
          <w:u w:val="single"/>
        </w:rPr>
        <w:t>（标的名称）</w:t>
      </w:r>
      <w:r>
        <w:rPr>
          <w:spacing w:val="33"/>
          <w:sz w:val="24"/>
        </w:rPr>
        <w:t xml:space="preserve"> </w:t>
      </w:r>
      <w:r>
        <w:rPr>
          <w:sz w:val="24"/>
        </w:rPr>
        <w:t>，属于</w:t>
      </w:r>
      <w:r>
        <w:rPr>
          <w:sz w:val="24"/>
          <w:u w:val="single"/>
        </w:rPr>
        <w:t>（采购文件中明确的所属行业）</w:t>
      </w:r>
      <w:r>
        <w:rPr>
          <w:sz w:val="24"/>
        </w:rPr>
        <w:t>；</w:t>
      </w:r>
      <w:r>
        <w:rPr>
          <w:spacing w:val="30"/>
          <w:sz w:val="24"/>
        </w:rPr>
        <w:t xml:space="preserve"> </w:t>
      </w:r>
      <w:r>
        <w:rPr>
          <w:sz w:val="24"/>
        </w:rPr>
        <w:t>承建（承接）企业</w:t>
      </w:r>
      <w:r>
        <w:rPr>
          <w:spacing w:val="-56"/>
          <w:sz w:val="24"/>
        </w:rPr>
        <w:t>为</w:t>
      </w:r>
      <w:r>
        <w:rPr>
          <w:spacing w:val="-3"/>
          <w:sz w:val="24"/>
        </w:rPr>
        <w:t>（</w:t>
      </w:r>
      <w:r>
        <w:rPr>
          <w:sz w:val="24"/>
          <w:u w:val="single"/>
        </w:rPr>
        <w:t>企业名称</w:t>
      </w:r>
      <w:r>
        <w:rPr>
          <w:spacing w:val="-56"/>
          <w:sz w:val="24"/>
          <w:u w:val="single"/>
        </w:rPr>
        <w:t>）</w:t>
      </w:r>
      <w:r>
        <w:rPr>
          <w:spacing w:val="-56"/>
          <w:sz w:val="24"/>
        </w:rPr>
        <w:t>，</w:t>
      </w:r>
      <w:r>
        <w:rPr>
          <w:sz w:val="24"/>
        </w:rPr>
        <w:t>从业人员</w:t>
      </w:r>
      <w:r>
        <w:rPr>
          <w:sz w:val="24"/>
          <w:u w:val="single"/>
        </w:rPr>
        <w:t xml:space="preserve">    </w:t>
      </w:r>
      <w:r>
        <w:rPr>
          <w:spacing w:val="1"/>
          <w:sz w:val="24"/>
        </w:rPr>
        <w:t xml:space="preserve"> </w:t>
      </w:r>
      <w:r>
        <w:rPr>
          <w:sz w:val="24"/>
        </w:rPr>
        <w:t>人</w:t>
      </w:r>
      <w:r>
        <w:rPr>
          <w:spacing w:val="-56"/>
          <w:sz w:val="24"/>
        </w:rPr>
        <w:t>，</w:t>
      </w:r>
      <w:r>
        <w:rPr>
          <w:sz w:val="24"/>
        </w:rPr>
        <w:t>营业</w:t>
      </w:r>
      <w:r>
        <w:rPr>
          <w:sz w:val="24"/>
          <w:u w:val="single"/>
        </w:rPr>
        <w:t xml:space="preserve"> </w:t>
      </w:r>
      <w:r>
        <w:rPr>
          <w:sz w:val="24"/>
          <w:u w:val="single"/>
        </w:rPr>
        <w:tab/>
      </w:r>
      <w:r>
        <w:rPr>
          <w:sz w:val="24"/>
        </w:rPr>
        <w:t>收入为</w:t>
      </w:r>
      <w:r>
        <w:rPr>
          <w:sz w:val="24"/>
          <w:u w:val="single"/>
        </w:rPr>
        <w:t xml:space="preserve">  </w:t>
      </w:r>
      <w:r>
        <w:rPr>
          <w:spacing w:val="1"/>
          <w:sz w:val="24"/>
        </w:rPr>
        <w:t xml:space="preserve"> </w:t>
      </w:r>
      <w:r>
        <w:rPr>
          <w:sz w:val="24"/>
        </w:rPr>
        <w:t>万元</w:t>
      </w:r>
      <w:r>
        <w:rPr>
          <w:spacing w:val="-56"/>
          <w:sz w:val="24"/>
        </w:rPr>
        <w:t>，</w:t>
      </w:r>
      <w:r>
        <w:rPr>
          <w:sz w:val="24"/>
        </w:rPr>
        <w:t>资产总额为</w:t>
      </w:r>
      <w:r>
        <w:rPr>
          <w:sz w:val="24"/>
          <w:u w:val="single"/>
        </w:rPr>
        <w:t xml:space="preserve">    </w:t>
      </w:r>
      <w:r>
        <w:rPr>
          <w:sz w:val="24"/>
        </w:rPr>
        <w:t xml:space="preserve"> </w:t>
      </w:r>
      <w:r>
        <w:rPr>
          <w:spacing w:val="-14"/>
          <w:sz w:val="24"/>
        </w:rPr>
        <w:t>万</w:t>
      </w:r>
      <w:r>
        <w:rPr>
          <w:sz w:val="24"/>
        </w:rPr>
        <w:t>元¹，属于（</w:t>
      </w:r>
      <w:r>
        <w:rPr>
          <w:rFonts w:hint="eastAsia"/>
          <w:sz w:val="24"/>
          <w:lang w:eastAsia="zh-CN"/>
        </w:rPr>
        <w:t>中型企业、</w:t>
      </w:r>
      <w:r>
        <w:rPr>
          <w:sz w:val="24"/>
        </w:rPr>
        <w:t>小型企业、微型企业）；</w:t>
      </w:r>
    </w:p>
    <w:p w14:paraId="7BEA6265">
      <w:pPr>
        <w:pStyle w:val="29"/>
        <w:numPr>
          <w:ilvl w:val="0"/>
          <w:numId w:val="4"/>
        </w:numPr>
        <w:tabs>
          <w:tab w:val="left" w:pos="1184"/>
        </w:tabs>
        <w:spacing w:before="157" w:after="0" w:line="240" w:lineRule="auto"/>
        <w:ind w:left="1184" w:right="0" w:hanging="356"/>
        <w:jc w:val="both"/>
        <w:rPr>
          <w:sz w:val="24"/>
        </w:rPr>
      </w:pPr>
      <w:r>
        <w:rPr>
          <w:sz w:val="24"/>
          <w:u w:val="single"/>
        </w:rPr>
        <w:t>（标的名称）</w:t>
      </w:r>
      <w:r>
        <w:rPr>
          <w:spacing w:val="-4"/>
          <w:sz w:val="24"/>
        </w:rPr>
        <w:t xml:space="preserve"> ，属于</w:t>
      </w:r>
      <w:r>
        <w:rPr>
          <w:sz w:val="24"/>
          <w:u w:val="single"/>
        </w:rPr>
        <w:t>（</w:t>
      </w:r>
      <w:r>
        <w:rPr>
          <w:spacing w:val="-1"/>
          <w:sz w:val="24"/>
          <w:u w:val="single"/>
        </w:rPr>
        <w:t>采购文件中明确的所属行业</w:t>
      </w:r>
      <w:r>
        <w:rPr>
          <w:spacing w:val="-4"/>
          <w:sz w:val="24"/>
          <w:u w:val="single"/>
        </w:rPr>
        <w:t>）</w:t>
      </w:r>
      <w:r>
        <w:rPr>
          <w:spacing w:val="-3"/>
          <w:sz w:val="24"/>
        </w:rPr>
        <w:t>；承建</w:t>
      </w:r>
      <w:r>
        <w:rPr>
          <w:sz w:val="24"/>
        </w:rPr>
        <w:t>（承接</w:t>
      </w:r>
      <w:r>
        <w:rPr>
          <w:spacing w:val="-5"/>
          <w:sz w:val="24"/>
        </w:rPr>
        <w:t>）</w:t>
      </w:r>
      <w:r>
        <w:rPr>
          <w:sz w:val="24"/>
        </w:rPr>
        <w:t>企业为</w:t>
      </w:r>
    </w:p>
    <w:p w14:paraId="329A21AC">
      <w:pPr>
        <w:pStyle w:val="11"/>
        <w:tabs>
          <w:tab w:val="left" w:pos="2388"/>
          <w:tab w:val="left" w:pos="3629"/>
          <w:tab w:val="left" w:pos="5991"/>
          <w:tab w:val="left" w:pos="8592"/>
        </w:tabs>
        <w:spacing w:before="173" w:line="374" w:lineRule="auto"/>
        <w:ind w:left="348" w:right="311"/>
      </w:pPr>
      <w:r>
        <w:rPr>
          <w:u w:val="single"/>
        </w:rPr>
        <w:t>（企业名称</w:t>
      </w:r>
      <w:r>
        <w:rPr>
          <w:spacing w:val="-40"/>
          <w:u w:val="single"/>
        </w:rPr>
        <w:t>）</w:t>
      </w:r>
      <w:r>
        <w:rPr>
          <w:spacing w:val="-40"/>
        </w:rPr>
        <w:t>，</w:t>
      </w:r>
      <w:r>
        <w:t>从业人员</w:t>
      </w:r>
      <w:r>
        <w:rPr>
          <w:u w:val="single"/>
        </w:rPr>
        <w:t xml:space="preserve"> </w:t>
      </w:r>
      <w:r>
        <w:rPr>
          <w:u w:val="single"/>
        </w:rPr>
        <w:tab/>
      </w:r>
      <w:r>
        <w:t>人</w:t>
      </w:r>
      <w:r>
        <w:rPr>
          <w:spacing w:val="-39"/>
        </w:rPr>
        <w:t>，</w:t>
      </w:r>
      <w:r>
        <w:t>营业收入为</w:t>
      </w:r>
      <w:r>
        <w:rPr>
          <w:u w:val="single"/>
        </w:rPr>
        <w:t xml:space="preserve"> </w:t>
      </w:r>
      <w:r>
        <w:rPr>
          <w:u w:val="single"/>
        </w:rPr>
        <w:tab/>
      </w:r>
      <w:r>
        <w:t>万元</w:t>
      </w:r>
      <w:r>
        <w:rPr>
          <w:spacing w:val="-39"/>
        </w:rPr>
        <w:t>，</w:t>
      </w:r>
      <w:r>
        <w:t>资产总额为</w:t>
      </w:r>
      <w:r>
        <w:rPr>
          <w:u w:val="single"/>
        </w:rPr>
        <w:t xml:space="preserve"> </w:t>
      </w:r>
      <w:r>
        <w:rPr>
          <w:u w:val="single"/>
        </w:rPr>
        <w:tab/>
      </w:r>
      <w:r>
        <w:t>万元</w:t>
      </w:r>
      <w:r>
        <w:rPr>
          <w:spacing w:val="-17"/>
        </w:rPr>
        <w:t xml:space="preserve">， </w:t>
      </w:r>
      <w:r>
        <w:t>属于</w:t>
      </w:r>
      <w:r>
        <w:rPr>
          <w:u w:val="single"/>
        </w:rPr>
        <w:t xml:space="preserve"> </w:t>
      </w:r>
      <w:r>
        <w:rPr>
          <w:u w:val="single"/>
        </w:rPr>
        <w:tab/>
      </w:r>
      <w:r>
        <w:t>（小型企业、微型企业）；</w:t>
      </w:r>
    </w:p>
    <w:p w14:paraId="0DEB7B34">
      <w:pPr>
        <w:pStyle w:val="11"/>
        <w:spacing w:before="156"/>
        <w:ind w:left="828"/>
      </w:pPr>
      <w:r>
        <w:t>……</w:t>
      </w:r>
    </w:p>
    <w:p w14:paraId="10EAF05D">
      <w:pPr>
        <w:pStyle w:val="11"/>
        <w:spacing w:before="8"/>
        <w:rPr>
          <w:sz w:val="25"/>
        </w:rPr>
      </w:pPr>
    </w:p>
    <w:p w14:paraId="3C0DC17E">
      <w:pPr>
        <w:pStyle w:val="11"/>
        <w:spacing w:line="374" w:lineRule="auto"/>
        <w:ind w:left="348" w:right="387" w:firstLine="480"/>
      </w:pPr>
      <w:r>
        <w:t>以上企业，不属于大企业的分支机构，不存在控股股东为大企业的情形，也不存在与大企业的负责人为同一人的情形。</w:t>
      </w:r>
    </w:p>
    <w:p w14:paraId="7A565C04">
      <w:pPr>
        <w:pStyle w:val="11"/>
        <w:spacing w:before="157"/>
        <w:ind w:left="828"/>
      </w:pPr>
      <w:r>
        <w:t>本企业对上述声明内容的真实性负责。如有虚假，将依法承担相应责任。</w:t>
      </w:r>
    </w:p>
    <w:p w14:paraId="6FF62078">
      <w:pPr>
        <w:pStyle w:val="17"/>
      </w:pPr>
    </w:p>
    <w:p w14:paraId="2E8FB5DC">
      <w:pPr>
        <w:pStyle w:val="11"/>
        <w:spacing w:before="8"/>
        <w:rPr>
          <w:sz w:val="25"/>
        </w:rPr>
      </w:pPr>
    </w:p>
    <w:p w14:paraId="5C551487">
      <w:pPr>
        <w:pStyle w:val="11"/>
        <w:ind w:left="4188"/>
      </w:pPr>
      <w:r>
        <w:t>企业名称（公章）：</w:t>
      </w:r>
    </w:p>
    <w:p w14:paraId="65D34F94">
      <w:pPr>
        <w:pStyle w:val="11"/>
        <w:spacing w:before="8"/>
        <w:rPr>
          <w:sz w:val="25"/>
        </w:rPr>
      </w:pPr>
    </w:p>
    <w:p w14:paraId="1E6D8B38">
      <w:pPr>
        <w:pStyle w:val="11"/>
        <w:tabs>
          <w:tab w:val="left" w:pos="5388"/>
          <w:tab w:val="left" w:pos="5988"/>
          <w:tab w:val="left" w:pos="6588"/>
        </w:tabs>
        <w:ind w:left="4188"/>
      </w:pPr>
      <w:r>
        <w:t xml:space="preserve">日 </w:t>
      </w:r>
      <w:r>
        <w:rPr>
          <w:rFonts w:hint="eastAsia"/>
          <w:lang w:val="en-US" w:eastAsia="zh-CN"/>
        </w:rPr>
        <w:t xml:space="preserve">           </w:t>
      </w:r>
      <w:r>
        <w:t>期：</w:t>
      </w:r>
      <w:r>
        <w:tab/>
      </w:r>
      <w:r>
        <w:t>年</w:t>
      </w:r>
      <w:r>
        <w:tab/>
      </w:r>
      <w:r>
        <w:t>月</w:t>
      </w:r>
      <w:r>
        <w:tab/>
      </w:r>
      <w:r>
        <w:t>日</w:t>
      </w:r>
    </w:p>
    <w:p w14:paraId="3504E03A">
      <w:pPr>
        <w:pStyle w:val="11"/>
        <w:spacing w:before="185" w:line="242" w:lineRule="auto"/>
        <w:ind w:left="348" w:right="431" w:firstLine="240"/>
      </w:pPr>
      <w:r>
        <w:rPr>
          <w:spacing w:val="-7"/>
        </w:rPr>
        <w:t>注：从业人员、营业收入、资产总额填报上一年度数据，无上一年度数据的新成立</w:t>
      </w:r>
      <w:r>
        <w:t>企业可不填报。</w:t>
      </w:r>
    </w:p>
    <w:p w14:paraId="236CBBB5">
      <w:pPr>
        <w:spacing w:after="0" w:line="242" w:lineRule="auto"/>
        <w:sectPr>
          <w:footerReference r:id="rId15" w:type="default"/>
          <w:pgSz w:w="11910" w:h="16840"/>
          <w:pgMar w:top="1580" w:right="1040" w:bottom="1420" w:left="1240" w:header="0" w:footer="680" w:gutter="0"/>
          <w:pgNumType w:fmt="decimal"/>
          <w:cols w:space="720" w:num="1"/>
        </w:sectPr>
      </w:pPr>
    </w:p>
    <w:p w14:paraId="2B537024">
      <w:pPr>
        <w:pStyle w:val="5"/>
        <w:spacing w:before="135"/>
        <w:ind w:left="800" w:right="453"/>
        <w:jc w:val="center"/>
      </w:pPr>
      <w:r>
        <w:t>残疾人福利性单位声明函（格式）</w:t>
      </w:r>
    </w:p>
    <w:p w14:paraId="788BF356">
      <w:pPr>
        <w:pStyle w:val="11"/>
        <w:spacing w:before="8"/>
        <w:rPr>
          <w:b/>
          <w:sz w:val="25"/>
        </w:rPr>
      </w:pPr>
    </w:p>
    <w:p w14:paraId="70E4839E">
      <w:pPr>
        <w:pStyle w:val="11"/>
        <w:tabs>
          <w:tab w:val="left" w:pos="4951"/>
          <w:tab w:val="left" w:pos="7743"/>
        </w:tabs>
        <w:spacing w:before="1" w:line="374" w:lineRule="auto"/>
        <w:ind w:left="348" w:right="431" w:firstLine="480"/>
        <w:jc w:val="both"/>
      </w:pPr>
      <w:r>
        <w:t>本单位郑重声明</w:t>
      </w:r>
      <w:r>
        <w:rPr>
          <w:spacing w:val="-20"/>
        </w:rPr>
        <w:t>，</w:t>
      </w:r>
      <w:r>
        <w:t>根</w:t>
      </w:r>
      <w:r>
        <w:rPr>
          <w:spacing w:val="-17"/>
        </w:rPr>
        <w:t>据</w:t>
      </w:r>
      <w:r>
        <w:t>《财政部 民政部 中国残疾人联合会关于促进残疾人就</w:t>
      </w:r>
      <w:r>
        <w:rPr>
          <w:spacing w:val="-16"/>
        </w:rPr>
        <w:t>业</w:t>
      </w:r>
      <w:r>
        <w:t>政府采购政策的通知》（财库</w:t>
      </w:r>
      <w:r>
        <w:rPr>
          <w:spacing w:val="-3"/>
        </w:rPr>
        <w:t>〔</w:t>
      </w:r>
      <w:r>
        <w:t>2017〕141</w:t>
      </w:r>
      <w:r>
        <w:rPr>
          <w:spacing w:val="-44"/>
        </w:rPr>
        <w:t xml:space="preserve"> </w:t>
      </w:r>
      <w:r>
        <w:t>号）的规定，本单位为符合条件的残疾</w:t>
      </w:r>
      <w:r>
        <w:rPr>
          <w:spacing w:val="-12"/>
        </w:rPr>
        <w:t>人</w:t>
      </w:r>
      <w:r>
        <w:t>福利性单位，且本单位参加</w:t>
      </w:r>
      <w:r>
        <w:rPr>
          <w:u w:val="single"/>
        </w:rPr>
        <w:t xml:space="preserve"> </w:t>
      </w:r>
      <w:r>
        <w:rPr>
          <w:u w:val="single"/>
        </w:rPr>
        <w:tab/>
      </w:r>
      <w:r>
        <w:t>（项目编号：</w:t>
      </w:r>
      <w:r>
        <w:tab/>
      </w:r>
      <w:r>
        <w:t>）采购活动</w:t>
      </w:r>
      <w:r>
        <w:rPr>
          <w:spacing w:val="-16"/>
        </w:rPr>
        <w:t>提</w:t>
      </w:r>
      <w:r>
        <w:t>供本单位制造的货物（由本单位承担工程/提供服务），或者提供其他残疾人福利性单位制造的货物（不包括使用非残疾人福利性单位注册商标的货物）。</w:t>
      </w:r>
    </w:p>
    <w:p w14:paraId="68911FA1">
      <w:pPr>
        <w:pStyle w:val="11"/>
        <w:spacing w:before="157"/>
        <w:ind w:left="828"/>
      </w:pPr>
      <w:r>
        <w:t>本单位对上述声明的真实性负责。如有虚假，将依法承担相应责任。</w:t>
      </w:r>
    </w:p>
    <w:p w14:paraId="58A61C8C">
      <w:pPr>
        <w:pStyle w:val="11"/>
      </w:pPr>
    </w:p>
    <w:p w14:paraId="69BC69D3">
      <w:pPr>
        <w:pStyle w:val="11"/>
      </w:pPr>
    </w:p>
    <w:p w14:paraId="0BF616CF">
      <w:pPr>
        <w:pStyle w:val="11"/>
        <w:spacing w:before="4"/>
        <w:rPr>
          <w:sz w:val="27"/>
        </w:rPr>
      </w:pPr>
    </w:p>
    <w:p w14:paraId="1D7E0275">
      <w:pPr>
        <w:pStyle w:val="11"/>
        <w:ind w:left="2026" w:right="875"/>
        <w:jc w:val="center"/>
      </w:pPr>
      <w:r>
        <w:t>供应商：（公章）</w:t>
      </w:r>
    </w:p>
    <w:p w14:paraId="5BD7F2B7">
      <w:pPr>
        <w:pStyle w:val="11"/>
        <w:spacing w:before="8"/>
        <w:rPr>
          <w:sz w:val="25"/>
        </w:rPr>
      </w:pPr>
    </w:p>
    <w:p w14:paraId="5A8B3F53">
      <w:pPr>
        <w:pStyle w:val="11"/>
        <w:ind w:right="2555"/>
        <w:jc w:val="right"/>
      </w:pPr>
      <w:r>
        <w:t>法定代表人或被授权人：（签字或盖章）</w:t>
      </w:r>
    </w:p>
    <w:p w14:paraId="637A649C">
      <w:pPr>
        <w:pStyle w:val="11"/>
        <w:spacing w:before="8"/>
        <w:rPr>
          <w:sz w:val="25"/>
        </w:rPr>
      </w:pPr>
    </w:p>
    <w:p w14:paraId="6D94339D">
      <w:pPr>
        <w:pStyle w:val="11"/>
        <w:tabs>
          <w:tab w:val="left" w:pos="1199"/>
          <w:tab w:val="left" w:pos="1799"/>
          <w:tab w:val="left" w:pos="2399"/>
        </w:tabs>
        <w:ind w:right="2555"/>
        <w:jc w:val="right"/>
      </w:pPr>
      <w:r>
        <w:t>日 期：</w:t>
      </w:r>
      <w:r>
        <w:tab/>
      </w:r>
      <w:r>
        <w:t>年</w:t>
      </w:r>
      <w:r>
        <w:tab/>
      </w:r>
      <w:r>
        <w:t>月</w:t>
      </w:r>
      <w:r>
        <w:tab/>
      </w:r>
      <w:r>
        <w:t>日</w:t>
      </w:r>
    </w:p>
    <w:p w14:paraId="1BDA2C5D">
      <w:pPr>
        <w:spacing w:after="0"/>
        <w:jc w:val="right"/>
        <w:sectPr>
          <w:pgSz w:w="11910" w:h="16840"/>
          <w:pgMar w:top="1580" w:right="1040" w:bottom="1420" w:left="1240" w:header="0" w:footer="680" w:gutter="0"/>
          <w:pgNumType w:fmt="decimal"/>
          <w:cols w:space="720" w:num="1"/>
        </w:sectPr>
      </w:pPr>
    </w:p>
    <w:p w14:paraId="0C9D7958">
      <w:pPr>
        <w:pStyle w:val="5"/>
        <w:spacing w:before="135"/>
        <w:ind w:left="795" w:right="875"/>
        <w:jc w:val="center"/>
      </w:pPr>
      <w:r>
        <w:t>监狱企业证明函</w:t>
      </w:r>
    </w:p>
    <w:p w14:paraId="30EC6EB6">
      <w:pPr>
        <w:pStyle w:val="11"/>
        <w:spacing w:before="8"/>
        <w:rPr>
          <w:b/>
          <w:sz w:val="25"/>
        </w:rPr>
      </w:pPr>
    </w:p>
    <w:p w14:paraId="73A71C00">
      <w:pPr>
        <w:pStyle w:val="11"/>
        <w:spacing w:before="1"/>
        <w:ind w:left="828"/>
      </w:pPr>
      <w:r>
        <w:t>根据财政部、司法部《关于政府采购支持监狱企业发展有关问题的通知》（财库</w:t>
      </w:r>
    </w:p>
    <w:p w14:paraId="0FE7A491">
      <w:pPr>
        <w:pStyle w:val="11"/>
        <w:spacing w:before="172" w:line="374" w:lineRule="auto"/>
        <w:ind w:left="348" w:right="395"/>
        <w:jc w:val="both"/>
      </w:pPr>
      <w:r>
        <w:t>〔2014</w:t>
      </w:r>
      <w:r>
        <w:rPr>
          <w:spacing w:val="-24"/>
        </w:rPr>
        <w:t>〕</w:t>
      </w:r>
      <w:r>
        <w:t>68</w:t>
      </w:r>
      <w:r>
        <w:rPr>
          <w:spacing w:val="-30"/>
        </w:rPr>
        <w:t xml:space="preserve"> 号</w:t>
      </w:r>
      <w:r>
        <w:rPr>
          <w:spacing w:val="-24"/>
        </w:rPr>
        <w:t>）</w:t>
      </w:r>
      <w:r>
        <w:rPr>
          <w:spacing w:val="-6"/>
        </w:rPr>
        <w:t>的规定，监狱企业是指由司法部认定的为罪犯、戒毒人员提供生产项</w:t>
      </w:r>
      <w:r>
        <w:rPr>
          <w:spacing w:val="-7"/>
        </w:rPr>
        <w:t xml:space="preserve">目和劳动对象，且全部产权属于司法部监狱管理局、戒毒管理局、直属煤矿管理局， </w:t>
      </w:r>
      <w:r>
        <w:rPr>
          <w:spacing w:val="-6"/>
        </w:rPr>
        <w:t>各省、自治区、直辖市监狱管理局、戒毒管理局，各地</w:t>
      </w:r>
      <w:r>
        <w:t>（设区的市</w:t>
      </w:r>
      <w:r>
        <w:rPr>
          <w:spacing w:val="-5"/>
        </w:rPr>
        <w:t>）</w:t>
      </w:r>
      <w:r>
        <w:rPr>
          <w:spacing w:val="-2"/>
        </w:rPr>
        <w:t>监狱、强制隔离戒毒所、戒毒康复所，以及新疆生产建设兵团监狱管理局、戒毒管理局的企业。</w:t>
      </w:r>
    </w:p>
    <w:p w14:paraId="3EA58DD1">
      <w:pPr>
        <w:pStyle w:val="11"/>
        <w:spacing w:before="157" w:line="374" w:lineRule="auto"/>
        <w:ind w:left="348" w:right="431" w:firstLine="480"/>
      </w:pPr>
      <w:r>
        <w:rPr>
          <w:spacing w:val="-13"/>
        </w:rPr>
        <w:t>监狱企业参加政府采购活动时，应当提供由省级以上监狱管理局、戒毒管理局</w:t>
      </w:r>
      <w:r>
        <w:t>（</w:t>
      </w:r>
      <w:r>
        <w:rPr>
          <w:spacing w:val="-16"/>
        </w:rPr>
        <w:t>含</w:t>
      </w:r>
      <w:r>
        <w:t>新疆生产建设兵团）出具的属于监狱企业的证明文件。</w:t>
      </w:r>
    </w:p>
    <w:p w14:paraId="2BCDF2AC">
      <w:pPr>
        <w:pStyle w:val="11"/>
      </w:pPr>
    </w:p>
    <w:p w14:paraId="2654B5D2">
      <w:pPr>
        <w:pStyle w:val="11"/>
      </w:pPr>
    </w:p>
    <w:p w14:paraId="02AEB01D">
      <w:pPr>
        <w:pStyle w:val="11"/>
        <w:spacing w:before="178"/>
        <w:ind w:left="2026" w:right="875"/>
        <w:jc w:val="center"/>
      </w:pPr>
      <w:r>
        <w:t>供应商：（公章）</w:t>
      </w:r>
    </w:p>
    <w:p w14:paraId="5E1E6BDD">
      <w:pPr>
        <w:pStyle w:val="11"/>
        <w:spacing w:before="8"/>
        <w:rPr>
          <w:sz w:val="25"/>
        </w:rPr>
      </w:pPr>
    </w:p>
    <w:p w14:paraId="757BF2C3">
      <w:pPr>
        <w:pStyle w:val="11"/>
        <w:ind w:right="2555"/>
        <w:jc w:val="right"/>
      </w:pPr>
      <w:r>
        <w:t>法定代表人或被授权人：（签字或盖章）</w:t>
      </w:r>
    </w:p>
    <w:p w14:paraId="06570C93">
      <w:pPr>
        <w:pStyle w:val="11"/>
        <w:spacing w:before="8"/>
        <w:rPr>
          <w:rFonts w:hint="eastAsia" w:eastAsia="宋体"/>
          <w:sz w:val="25"/>
          <w:lang w:eastAsia="zh-CN"/>
        </w:rPr>
      </w:pPr>
    </w:p>
    <w:p w14:paraId="72C34889">
      <w:pPr>
        <w:pStyle w:val="11"/>
        <w:tabs>
          <w:tab w:val="left" w:pos="1199"/>
          <w:tab w:val="left" w:pos="1799"/>
          <w:tab w:val="left" w:pos="2399"/>
        </w:tabs>
        <w:ind w:right="2555"/>
        <w:jc w:val="right"/>
      </w:pPr>
      <w:r>
        <w:t>日 期：</w:t>
      </w:r>
      <w:r>
        <w:tab/>
      </w:r>
      <w:r>
        <w:t>年</w:t>
      </w:r>
      <w:r>
        <w:tab/>
      </w:r>
      <w:r>
        <w:t>月</w:t>
      </w:r>
      <w:r>
        <w:tab/>
      </w:r>
      <w:r>
        <w:t>日</w:t>
      </w:r>
    </w:p>
    <w:p w14:paraId="691E438C">
      <w:pPr>
        <w:pStyle w:val="8"/>
      </w:pPr>
    </w:p>
    <w:sectPr>
      <w:footerReference r:id="rId16" w:type="default"/>
      <w:pgSz w:w="11910" w:h="16840"/>
      <w:pgMar w:top="1580" w:right="1040" w:bottom="1420" w:left="1240" w:header="0" w:footer="68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4E5EBA1-1D84-45F0-A554-A242C18D89F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9A03CD4-6016-445C-BC2C-45983DB582FE}"/>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00000" w:usb2="00000000" w:usb3="00000000" w:csb0="00040000" w:csb1="00000000"/>
    <w:embedRegular r:id="rId3" w:fontKey="{5FE63471-E540-4BDE-8AA3-625897AF9823}"/>
  </w:font>
  <w:font w:name="仿宋">
    <w:panose1 w:val="02010609060101010101"/>
    <w:charset w:val="86"/>
    <w:family w:val="auto"/>
    <w:pitch w:val="default"/>
    <w:sig w:usb0="800002BF" w:usb1="38CF7CFA" w:usb2="00000016" w:usb3="00000000" w:csb0="00040001" w:csb1="00000000"/>
    <w:embedRegular r:id="rId4" w:fontKey="{91BAF35E-02D3-49D3-A19E-C49B66536AB8}"/>
  </w:font>
  <w:font w:name="仿宋_GB2312">
    <w:panose1 w:val="02010609030101010101"/>
    <w:charset w:val="86"/>
    <w:family w:val="auto"/>
    <w:pitch w:val="default"/>
    <w:sig w:usb0="00000001" w:usb1="080E0000" w:usb2="00000000" w:usb3="00000000" w:csb0="00040000" w:csb1="00000000"/>
    <w:embedRegular r:id="rId5" w:fontKey="{F25FAF04-251C-4FA0-B860-DE5254275702}"/>
  </w:font>
  <w:font w:name="Calibri">
    <w:panose1 w:val="020F0502020204030204"/>
    <w:charset w:val="86"/>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B3C9">
    <w:pPr>
      <w:pStyle w:val="1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EBC00">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F265">
    <w:pPr>
      <w:pStyle w:val="11"/>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98B4">
    <w:pPr>
      <w:pStyle w:val="11"/>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3006725</wp:posOffset>
              </wp:positionH>
              <wp:positionV relativeFrom="paragraph">
                <wp:posOffset>-142875</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A4FE5">
                          <w:pPr>
                            <w:pStyle w:val="1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75pt;margin-top:-11.25pt;height:144pt;width:144pt;mso-position-horizontal-relative:margin;mso-wrap-style:none;z-index:251659264;mso-width-relative:page;mso-height-relative:page;" filled="f" stroked="f" coordsize="21600,21600" o:gfxdata="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OhcUbYAAAACwEAAA8AAAAAAAAAAQAgAAAAIgAAAGRycy9kb3ducmV2Lnht&#10;bFBLAQIUABQAAAAIAIdO4kDAwKV+MgIAAGMEAAAOAAAAAAAAAAEAIAAAACcBAABkcnMvZTJvRG9j&#10;LnhtbFBLBQYAAAAABgAGAFkBAADLBQAAAAA=&#10;">
              <v:fill on="f" focussize="0,0"/>
              <v:stroke on="f" weight="0.5pt"/>
              <v:imagedata o:title=""/>
              <o:lock v:ext="edit" aspectratio="f"/>
              <v:textbox inset="0mm,0mm,0mm,0mm" style="mso-fit-shape-to-text:t;">
                <w:txbxContent>
                  <w:p w14:paraId="116A4FE5">
                    <w:pPr>
                      <w:pStyle w:val="1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619B">
    <w:pPr>
      <w:spacing w:line="196" w:lineRule="auto"/>
      <w:ind w:left="42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EDB69">
                          <w:pPr>
                            <w:pStyle w:val="1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40EDB69">
                    <w:pPr>
                      <w:pStyle w:val="1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86C4">
    <w:pPr>
      <w:spacing w:line="230" w:lineRule="auto"/>
      <w:ind w:left="3839"/>
      <w:rPr>
        <w:rFonts w:hint="default" w:ascii="宋体" w:hAnsi="宋体" w:eastAsia="宋体" w:cs="宋体"/>
        <w:sz w:val="17"/>
        <w:szCs w:val="17"/>
        <w:lang w:val="en-US"/>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DEAF0">
                          <w:pPr>
                            <w:pStyle w:val="1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B6DEAF0">
                    <w:pPr>
                      <w:pStyle w:val="14"/>
                    </w:pPr>
                    <w:r>
                      <w:fldChar w:fldCharType="begin"/>
                    </w:r>
                    <w:r>
                      <w:instrText xml:space="preserve"> PAGE  \* MERGEFORMAT </w:instrText>
                    </w:r>
                    <w:r>
                      <w:fldChar w:fldCharType="separate"/>
                    </w:r>
                    <w:r>
                      <w:t>60</w:t>
                    </w:r>
                    <w:r>
                      <w:fldChar w:fldCharType="end"/>
                    </w:r>
                  </w:p>
                </w:txbxContent>
              </v:textbox>
            </v:shape>
          </w:pict>
        </mc:Fallback>
      </mc:AlternateContent>
    </w:r>
    <w:r>
      <w:rPr>
        <w:rFonts w:hint="eastAsia" w:cs="宋体"/>
        <w:sz w:val="17"/>
        <w:szCs w:val="17"/>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AEED">
    <w:pPr>
      <w:spacing w:line="196" w:lineRule="auto"/>
      <w:ind w:left="430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E975E">
                          <w:pPr>
                            <w:pStyle w:val="1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2BE975E">
                    <w:pPr>
                      <w:pStyle w:val="1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E1493">
    <w:pPr>
      <w:pStyle w:val="11"/>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posOffset>2997200</wp:posOffset>
              </wp:positionH>
              <wp:positionV relativeFrom="paragraph">
                <wp:posOffset>-142875</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93F82">
                          <w:pPr>
                            <w:pStyle w:val="1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pt;margin-top:-11.25pt;height:144pt;width:144pt;mso-position-horizontal-relative:margin;mso-wrap-style:none;z-index:251666432;mso-width-relative:page;mso-height-relative:page;" filled="f" stroked="f" coordsize="21600,21600" o:gfxdata="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ifMQ2AAAAAsBAAAPAAAAAAAAAAEAIAAAACIAAABkcnMvZG93bnJldi54&#10;bWxQSwECFAAUAAAACACHTuJASm0ZdjMCAABjBAAADgAAAAAAAAABACAAAAAnAQAAZHJzL2Uyb0Rv&#10;Yy54bWxQSwUGAAAAAAYABgBZAQAAzAUAAAAA&#10;">
              <v:fill on="f" focussize="0,0"/>
              <v:stroke on="f" weight="0.5pt"/>
              <v:imagedata o:title=""/>
              <o:lock v:ext="edit" aspectratio="f"/>
              <v:textbox inset="0mm,0mm,0mm,0mm" style="mso-fit-shape-to-text:t;">
                <w:txbxContent>
                  <w:p w14:paraId="46B93F82">
                    <w:pPr>
                      <w:pStyle w:val="1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E46CB">
    <w:pPr>
      <w:pStyle w:val="11"/>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posOffset>2997200</wp:posOffset>
              </wp:positionH>
              <wp:positionV relativeFrom="paragraph">
                <wp:posOffset>-123825</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42DF2">
                          <w:pPr>
                            <w:pStyle w:val="1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pt;margin-top:-9.75pt;height:144pt;width:144pt;mso-position-horizontal-relative:margin;mso-wrap-style:none;z-index:251663360;mso-width-relative:page;mso-height-relative:page;" filled="f" stroked="f" coordsize="21600,21600" o:gfxdata="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mmwj9kAAAALAQAADwAAAAAAAAABACAAAAAiAAAAZHJzL2Rvd25yZXYu&#10;eG1sUEsBAhQAFAAAAAgAh07iQAjFjpkzAgAAYwQAAA4AAAAAAAAAAQAgAAAAKAEAAGRycy9lMm9E&#10;b2MueG1sUEsFBgAAAAAGAAYAWQEAAM0FAAAAAA==&#10;">
              <v:fill on="f" focussize="0,0"/>
              <v:stroke on="f" weight="0.5pt"/>
              <v:imagedata o:title=""/>
              <o:lock v:ext="edit" aspectratio="f"/>
              <v:textbox inset="0mm,0mm,0mm,0mm" style="mso-fit-shape-to-text:t;">
                <w:txbxContent>
                  <w:p w14:paraId="58142DF2">
                    <w:pPr>
                      <w:pStyle w:val="14"/>
                    </w:pPr>
                    <w:r>
                      <w:fldChar w:fldCharType="begin"/>
                    </w:r>
                    <w:r>
                      <w:instrText xml:space="preserve"> PAGE  \* MERGEFORMAT </w:instrText>
                    </w:r>
                    <w:r>
                      <w:fldChar w:fldCharType="separate"/>
                    </w:r>
                    <w:r>
                      <w:t>66</w:t>
                    </w:r>
                    <w:r>
                      <w:fldChar w:fldCharType="end"/>
                    </w:r>
                  </w:p>
                </w:txbxContent>
              </v:textbox>
            </v:shape>
          </w:pict>
        </mc:Fallback>
      </mc:AlternateContent>
    </w:r>
    <w:r>
      <w:rPr>
        <w:rFonts w:hint="eastAsia"/>
        <w:sz w:val="20"/>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57E7">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74327">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1C3C">
    <w:pPr>
      <w:widowControl/>
      <w:spacing w:line="480" w:lineRule="exact"/>
      <w:outlineLvl w:val="0"/>
      <w:rPr>
        <w:rFonts w:hint="eastAsia" w:ascii="宋体" w:hAnsi="宋体" w:cs="宋体"/>
        <w:b/>
        <w:color w:val="0000FF"/>
        <w:w w:val="99"/>
        <w:kern w:val="0"/>
        <w:szCs w:val="21"/>
        <w:u w:val="single"/>
      </w:rPr>
    </w:pPr>
  </w:p>
  <w:p w14:paraId="769F0FE6">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B5372"/>
    <w:multiLevelType w:val="multilevel"/>
    <w:tmpl w:val="845B5372"/>
    <w:lvl w:ilvl="0" w:tentative="0">
      <w:start w:val="1"/>
      <w:numFmt w:val="decimal"/>
      <w:lvlText w:val="%1."/>
      <w:lvlJc w:val="left"/>
      <w:pPr>
        <w:ind w:left="106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16" w:hanging="241"/>
      </w:pPr>
      <w:rPr>
        <w:rFonts w:hint="default"/>
        <w:lang w:val="zh-CN" w:eastAsia="zh-CN" w:bidi="zh-CN"/>
      </w:rPr>
    </w:lvl>
    <w:lvl w:ilvl="2" w:tentative="0">
      <w:start w:val="0"/>
      <w:numFmt w:val="bullet"/>
      <w:lvlText w:val="•"/>
      <w:lvlJc w:val="left"/>
      <w:pPr>
        <w:ind w:left="27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486" w:hanging="241"/>
      </w:pPr>
      <w:rPr>
        <w:rFonts w:hint="default"/>
        <w:lang w:val="zh-CN" w:eastAsia="zh-CN" w:bidi="zh-CN"/>
      </w:rPr>
    </w:lvl>
    <w:lvl w:ilvl="5" w:tentative="0">
      <w:start w:val="0"/>
      <w:numFmt w:val="bullet"/>
      <w:lvlText w:val="•"/>
      <w:lvlJc w:val="left"/>
      <w:pPr>
        <w:ind w:left="5343" w:hanging="241"/>
      </w:pPr>
      <w:rPr>
        <w:rFonts w:hint="default"/>
        <w:lang w:val="zh-CN" w:eastAsia="zh-CN" w:bidi="zh-CN"/>
      </w:rPr>
    </w:lvl>
    <w:lvl w:ilvl="6" w:tentative="0">
      <w:start w:val="0"/>
      <w:numFmt w:val="bullet"/>
      <w:lvlText w:val="•"/>
      <w:lvlJc w:val="left"/>
      <w:pPr>
        <w:ind w:left="6199" w:hanging="241"/>
      </w:pPr>
      <w:rPr>
        <w:rFonts w:hint="default"/>
        <w:lang w:val="zh-CN" w:eastAsia="zh-CN" w:bidi="zh-CN"/>
      </w:rPr>
    </w:lvl>
    <w:lvl w:ilvl="7" w:tentative="0">
      <w:start w:val="0"/>
      <w:numFmt w:val="bullet"/>
      <w:lvlText w:val="•"/>
      <w:lvlJc w:val="left"/>
      <w:pPr>
        <w:ind w:left="7056" w:hanging="241"/>
      </w:pPr>
      <w:rPr>
        <w:rFonts w:hint="default"/>
        <w:lang w:val="zh-CN" w:eastAsia="zh-CN" w:bidi="zh-CN"/>
      </w:rPr>
    </w:lvl>
    <w:lvl w:ilvl="8" w:tentative="0">
      <w:start w:val="0"/>
      <w:numFmt w:val="bullet"/>
      <w:lvlText w:val="•"/>
      <w:lvlJc w:val="left"/>
      <w:pPr>
        <w:ind w:left="7912" w:hanging="241"/>
      </w:pPr>
      <w:rPr>
        <w:rFonts w:hint="default"/>
        <w:lang w:val="zh-CN" w:eastAsia="zh-CN" w:bidi="zh-CN"/>
      </w:rPr>
    </w:lvl>
  </w:abstractNum>
  <w:abstractNum w:abstractNumId="1">
    <w:nsid w:val="95607C87"/>
    <w:multiLevelType w:val="singleLevel"/>
    <w:tmpl w:val="95607C87"/>
    <w:lvl w:ilvl="0" w:tentative="0">
      <w:start w:val="1"/>
      <w:numFmt w:val="chineseCounting"/>
      <w:lvlText w:val="第%1章"/>
      <w:lvlJc w:val="left"/>
      <w:rPr>
        <w:rFonts w:hint="eastAsia"/>
      </w:rPr>
    </w:lvl>
  </w:abstractNum>
  <w:abstractNum w:abstractNumId="2">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abstractNum w:abstractNumId="3">
    <w:nsid w:val="6897F57C"/>
    <w:multiLevelType w:val="singleLevel"/>
    <w:tmpl w:val="6897F57C"/>
    <w:lvl w:ilvl="0" w:tentative="0">
      <w:start w:val="4"/>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GQwNGI1M2U4ZjQ1OTk5ZjMyZGQ2MDlmM2RhNTYifQ=="/>
  </w:docVars>
  <w:rsids>
    <w:rsidRoot w:val="00000000"/>
    <w:rsid w:val="00020A29"/>
    <w:rsid w:val="0066795B"/>
    <w:rsid w:val="00794CDA"/>
    <w:rsid w:val="00BF2383"/>
    <w:rsid w:val="00CE72AE"/>
    <w:rsid w:val="0121527D"/>
    <w:rsid w:val="0168325F"/>
    <w:rsid w:val="02DE7C7D"/>
    <w:rsid w:val="036A049A"/>
    <w:rsid w:val="039F3373"/>
    <w:rsid w:val="047222FB"/>
    <w:rsid w:val="04C7181B"/>
    <w:rsid w:val="04D008A8"/>
    <w:rsid w:val="04E35A1E"/>
    <w:rsid w:val="04E85170"/>
    <w:rsid w:val="04E86B91"/>
    <w:rsid w:val="052D2A0C"/>
    <w:rsid w:val="05720B50"/>
    <w:rsid w:val="05812B41"/>
    <w:rsid w:val="05A420D6"/>
    <w:rsid w:val="07863D04"/>
    <w:rsid w:val="087921F6"/>
    <w:rsid w:val="08FC0E5C"/>
    <w:rsid w:val="09212671"/>
    <w:rsid w:val="093F343F"/>
    <w:rsid w:val="0A124F9F"/>
    <w:rsid w:val="0A1E291D"/>
    <w:rsid w:val="0ACE6829"/>
    <w:rsid w:val="0B15101D"/>
    <w:rsid w:val="0B380591"/>
    <w:rsid w:val="0B457E94"/>
    <w:rsid w:val="0B4F05C1"/>
    <w:rsid w:val="0C57515F"/>
    <w:rsid w:val="0CB006DC"/>
    <w:rsid w:val="0D28739F"/>
    <w:rsid w:val="0D9F654D"/>
    <w:rsid w:val="0DF0237B"/>
    <w:rsid w:val="0EFD5ADD"/>
    <w:rsid w:val="0F210CBB"/>
    <w:rsid w:val="0F5F0B27"/>
    <w:rsid w:val="0FCA0035"/>
    <w:rsid w:val="10403FC4"/>
    <w:rsid w:val="10555439"/>
    <w:rsid w:val="10D0355B"/>
    <w:rsid w:val="114710E3"/>
    <w:rsid w:val="114A472F"/>
    <w:rsid w:val="11B00A36"/>
    <w:rsid w:val="11B5604C"/>
    <w:rsid w:val="12614426"/>
    <w:rsid w:val="12E47077"/>
    <w:rsid w:val="141352AC"/>
    <w:rsid w:val="14653637"/>
    <w:rsid w:val="156F29B6"/>
    <w:rsid w:val="158C2ACE"/>
    <w:rsid w:val="168C5DC8"/>
    <w:rsid w:val="16F1484A"/>
    <w:rsid w:val="17891FCA"/>
    <w:rsid w:val="187128A2"/>
    <w:rsid w:val="18743927"/>
    <w:rsid w:val="18A171DC"/>
    <w:rsid w:val="18C330B3"/>
    <w:rsid w:val="19073E0E"/>
    <w:rsid w:val="191C4C03"/>
    <w:rsid w:val="19213995"/>
    <w:rsid w:val="1A491A28"/>
    <w:rsid w:val="1A831F84"/>
    <w:rsid w:val="1DBC0763"/>
    <w:rsid w:val="1DE81558"/>
    <w:rsid w:val="1EA638ED"/>
    <w:rsid w:val="1FCF39ED"/>
    <w:rsid w:val="1FD8093F"/>
    <w:rsid w:val="1FE70C5E"/>
    <w:rsid w:val="1FFC1F87"/>
    <w:rsid w:val="20B83463"/>
    <w:rsid w:val="216D6944"/>
    <w:rsid w:val="21E93AB5"/>
    <w:rsid w:val="22250283"/>
    <w:rsid w:val="23A50D24"/>
    <w:rsid w:val="23B173E8"/>
    <w:rsid w:val="246A1E10"/>
    <w:rsid w:val="267E292B"/>
    <w:rsid w:val="26FF4F77"/>
    <w:rsid w:val="280D3EE5"/>
    <w:rsid w:val="295403E9"/>
    <w:rsid w:val="295B5073"/>
    <w:rsid w:val="2A6E3EA2"/>
    <w:rsid w:val="2AE80DE9"/>
    <w:rsid w:val="2AFD7109"/>
    <w:rsid w:val="2C9B7ADD"/>
    <w:rsid w:val="2CE36C8B"/>
    <w:rsid w:val="2DC10CDD"/>
    <w:rsid w:val="2DF45CF7"/>
    <w:rsid w:val="2E0A7A7E"/>
    <w:rsid w:val="2E505623"/>
    <w:rsid w:val="2E593C15"/>
    <w:rsid w:val="2F324D29"/>
    <w:rsid w:val="2F847C5A"/>
    <w:rsid w:val="307B30B4"/>
    <w:rsid w:val="31452C41"/>
    <w:rsid w:val="323F1C36"/>
    <w:rsid w:val="3274113F"/>
    <w:rsid w:val="328A7AA2"/>
    <w:rsid w:val="3329772C"/>
    <w:rsid w:val="33336170"/>
    <w:rsid w:val="33437504"/>
    <w:rsid w:val="33693FB2"/>
    <w:rsid w:val="33796EF5"/>
    <w:rsid w:val="34210E80"/>
    <w:rsid w:val="34B44115"/>
    <w:rsid w:val="34F565DC"/>
    <w:rsid w:val="355C5D48"/>
    <w:rsid w:val="360452E9"/>
    <w:rsid w:val="360F36CE"/>
    <w:rsid w:val="361C4DDB"/>
    <w:rsid w:val="36440654"/>
    <w:rsid w:val="36590DED"/>
    <w:rsid w:val="367C62C7"/>
    <w:rsid w:val="36AF2E41"/>
    <w:rsid w:val="36BF7EE1"/>
    <w:rsid w:val="36F65B9F"/>
    <w:rsid w:val="37245AF1"/>
    <w:rsid w:val="38BE762D"/>
    <w:rsid w:val="38F1321A"/>
    <w:rsid w:val="39221266"/>
    <w:rsid w:val="396226AE"/>
    <w:rsid w:val="3A80119F"/>
    <w:rsid w:val="3B196D9D"/>
    <w:rsid w:val="3B467CD8"/>
    <w:rsid w:val="3B6700D2"/>
    <w:rsid w:val="3B714E2B"/>
    <w:rsid w:val="3CC3558C"/>
    <w:rsid w:val="3DBF789F"/>
    <w:rsid w:val="3E1432BC"/>
    <w:rsid w:val="3E22059D"/>
    <w:rsid w:val="3F2E2499"/>
    <w:rsid w:val="3F8E1B07"/>
    <w:rsid w:val="3FEE6372"/>
    <w:rsid w:val="3FF76E4E"/>
    <w:rsid w:val="4070490E"/>
    <w:rsid w:val="40DA2DE1"/>
    <w:rsid w:val="40F3421E"/>
    <w:rsid w:val="41DD0E37"/>
    <w:rsid w:val="41DF3952"/>
    <w:rsid w:val="4224168D"/>
    <w:rsid w:val="423544BC"/>
    <w:rsid w:val="42981DDC"/>
    <w:rsid w:val="42ED5C28"/>
    <w:rsid w:val="43B53EFD"/>
    <w:rsid w:val="449E63C5"/>
    <w:rsid w:val="44BA339E"/>
    <w:rsid w:val="45C862C9"/>
    <w:rsid w:val="4754482B"/>
    <w:rsid w:val="47680E90"/>
    <w:rsid w:val="48335FCC"/>
    <w:rsid w:val="489B7043"/>
    <w:rsid w:val="48C85624"/>
    <w:rsid w:val="48D52555"/>
    <w:rsid w:val="49160438"/>
    <w:rsid w:val="49543251"/>
    <w:rsid w:val="497A3E09"/>
    <w:rsid w:val="49FE4D0F"/>
    <w:rsid w:val="4A19194F"/>
    <w:rsid w:val="4AA5137E"/>
    <w:rsid w:val="4ADD577B"/>
    <w:rsid w:val="4B8B339F"/>
    <w:rsid w:val="4BA32DDE"/>
    <w:rsid w:val="4C641FE1"/>
    <w:rsid w:val="4CA25171"/>
    <w:rsid w:val="4D961293"/>
    <w:rsid w:val="4DBB7A1A"/>
    <w:rsid w:val="4E127DA7"/>
    <w:rsid w:val="4E1D4888"/>
    <w:rsid w:val="4E4750F4"/>
    <w:rsid w:val="4E760AB0"/>
    <w:rsid w:val="4EC529A2"/>
    <w:rsid w:val="4F365D17"/>
    <w:rsid w:val="4F644F6F"/>
    <w:rsid w:val="509437EC"/>
    <w:rsid w:val="511D4F0A"/>
    <w:rsid w:val="513B7615"/>
    <w:rsid w:val="51737FD2"/>
    <w:rsid w:val="51A139DE"/>
    <w:rsid w:val="51C02109"/>
    <w:rsid w:val="52B14033"/>
    <w:rsid w:val="52D03CD4"/>
    <w:rsid w:val="53066F10"/>
    <w:rsid w:val="540A6FD7"/>
    <w:rsid w:val="54A0435F"/>
    <w:rsid w:val="54C70126"/>
    <w:rsid w:val="550D12C8"/>
    <w:rsid w:val="552C3B2A"/>
    <w:rsid w:val="558858FC"/>
    <w:rsid w:val="55BB7659"/>
    <w:rsid w:val="577F43E0"/>
    <w:rsid w:val="58831FCD"/>
    <w:rsid w:val="58C049C6"/>
    <w:rsid w:val="59B30690"/>
    <w:rsid w:val="5A026F22"/>
    <w:rsid w:val="5A8761E7"/>
    <w:rsid w:val="5AB04BD0"/>
    <w:rsid w:val="5B6A6DBE"/>
    <w:rsid w:val="5BC66606"/>
    <w:rsid w:val="5C5664C0"/>
    <w:rsid w:val="5CEB54D3"/>
    <w:rsid w:val="5D301FF8"/>
    <w:rsid w:val="5D760B0B"/>
    <w:rsid w:val="5D782B8F"/>
    <w:rsid w:val="5D9805B2"/>
    <w:rsid w:val="5DA30AC3"/>
    <w:rsid w:val="5E9F6884"/>
    <w:rsid w:val="5EA057F2"/>
    <w:rsid w:val="5EA74EE6"/>
    <w:rsid w:val="5F495AA5"/>
    <w:rsid w:val="5F8D75CD"/>
    <w:rsid w:val="5FAA3468"/>
    <w:rsid w:val="6017749F"/>
    <w:rsid w:val="60820DBC"/>
    <w:rsid w:val="60B64A83"/>
    <w:rsid w:val="60E31BDE"/>
    <w:rsid w:val="60F62458"/>
    <w:rsid w:val="6123020A"/>
    <w:rsid w:val="616902B2"/>
    <w:rsid w:val="628741D9"/>
    <w:rsid w:val="62BB47A1"/>
    <w:rsid w:val="62FB30A8"/>
    <w:rsid w:val="63AE755C"/>
    <w:rsid w:val="64656A2B"/>
    <w:rsid w:val="64A75115"/>
    <w:rsid w:val="64F4173A"/>
    <w:rsid w:val="651971EC"/>
    <w:rsid w:val="6535464F"/>
    <w:rsid w:val="65A4210E"/>
    <w:rsid w:val="65DC4D93"/>
    <w:rsid w:val="66BE2D49"/>
    <w:rsid w:val="66D26108"/>
    <w:rsid w:val="674548F2"/>
    <w:rsid w:val="67FB2F3F"/>
    <w:rsid w:val="68FB795E"/>
    <w:rsid w:val="6A7A6FA8"/>
    <w:rsid w:val="6AC83870"/>
    <w:rsid w:val="6B4929D6"/>
    <w:rsid w:val="6B731224"/>
    <w:rsid w:val="6BC06C3D"/>
    <w:rsid w:val="6C0D0BA9"/>
    <w:rsid w:val="6C180827"/>
    <w:rsid w:val="6C474C68"/>
    <w:rsid w:val="6D114E3F"/>
    <w:rsid w:val="6EE74B2A"/>
    <w:rsid w:val="700A3F9C"/>
    <w:rsid w:val="70657DB3"/>
    <w:rsid w:val="709E5E80"/>
    <w:rsid w:val="727F4921"/>
    <w:rsid w:val="72EB43D7"/>
    <w:rsid w:val="741E2752"/>
    <w:rsid w:val="748702F8"/>
    <w:rsid w:val="75952365"/>
    <w:rsid w:val="75CA1374"/>
    <w:rsid w:val="77346BA2"/>
    <w:rsid w:val="787D0B88"/>
    <w:rsid w:val="788864BF"/>
    <w:rsid w:val="78C24C04"/>
    <w:rsid w:val="78E535ED"/>
    <w:rsid w:val="79917960"/>
    <w:rsid w:val="79AD01BA"/>
    <w:rsid w:val="79F93A46"/>
    <w:rsid w:val="7A104032"/>
    <w:rsid w:val="7ADD5115"/>
    <w:rsid w:val="7B370572"/>
    <w:rsid w:val="7B716839"/>
    <w:rsid w:val="7BEF73F9"/>
    <w:rsid w:val="7C75137E"/>
    <w:rsid w:val="7C8E695D"/>
    <w:rsid w:val="7CAA1027"/>
    <w:rsid w:val="7CFE7672"/>
    <w:rsid w:val="7D747887"/>
    <w:rsid w:val="7D931252"/>
    <w:rsid w:val="7DEE7639"/>
    <w:rsid w:val="7DFD4A6A"/>
    <w:rsid w:val="7E4157BF"/>
    <w:rsid w:val="7E7C4C45"/>
    <w:rsid w:val="7E8B6289"/>
    <w:rsid w:val="7F736048"/>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3">
    <w:name w:val="heading 2"/>
    <w:basedOn w:val="1"/>
    <w:next w:val="1"/>
    <w:autoRedefine/>
    <w:qFormat/>
    <w:uiPriority w:val="1"/>
    <w:pPr>
      <w:ind w:left="2676"/>
      <w:outlineLvl w:val="2"/>
    </w:pPr>
    <w:rPr>
      <w:rFonts w:ascii="宋体" w:hAnsi="宋体" w:eastAsia="宋体" w:cs="宋体"/>
      <w:b/>
      <w:bCs/>
      <w:sz w:val="32"/>
      <w:szCs w:val="32"/>
      <w:lang w:val="zh-CN" w:eastAsia="zh-CN" w:bidi="zh-CN"/>
    </w:rPr>
  </w:style>
  <w:style w:type="paragraph" w:styleId="4">
    <w:name w:val="heading 3"/>
    <w:basedOn w:val="1"/>
    <w:next w:val="1"/>
    <w:autoRedefine/>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5">
    <w:name w:val="heading 4"/>
    <w:basedOn w:val="1"/>
    <w:next w:val="1"/>
    <w:autoRedefine/>
    <w:qFormat/>
    <w:uiPriority w:val="1"/>
    <w:pPr>
      <w:ind w:left="1309"/>
      <w:outlineLvl w:val="4"/>
    </w:pPr>
    <w:rPr>
      <w:rFonts w:ascii="宋体" w:hAnsi="宋体" w:eastAsia="宋体" w:cs="宋体"/>
      <w:b/>
      <w:bCs/>
      <w:sz w:val="24"/>
      <w:szCs w:val="24"/>
      <w:lang w:val="zh-CN" w:eastAsia="zh-CN" w:bidi="zh-CN"/>
    </w:rPr>
  </w:style>
  <w:style w:type="paragraph" w:styleId="6">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character" w:default="1" w:styleId="23">
    <w:name w:val="Default Paragraph Font"/>
    <w:autoRedefine/>
    <w:semiHidden/>
    <w:unhideWhenUsed/>
    <w:qFormat/>
    <w:uiPriority w:val="1"/>
  </w:style>
  <w:style w:type="table" w:default="1" w:styleId="21">
    <w:name w:val="Normal Table"/>
    <w:autoRedefine/>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0"/>
    <w:pPr>
      <w:ind w:firstLine="420" w:firstLineChars="200"/>
    </w:pPr>
    <w:rPr>
      <w:rFonts w:ascii="Calibri" w:hAnsi="Calibri"/>
      <w:kern w:val="0"/>
      <w:sz w:val="20"/>
      <w:szCs w:val="20"/>
    </w:rPr>
  </w:style>
  <w:style w:type="paragraph" w:styleId="8">
    <w:name w:val="toc 4"/>
    <w:basedOn w:val="1"/>
    <w:next w:val="1"/>
    <w:autoRedefine/>
    <w:unhideWhenUsed/>
    <w:qFormat/>
    <w:uiPriority w:val="39"/>
    <w:pPr>
      <w:ind w:left="1260" w:leftChars="600"/>
    </w:pPr>
  </w:style>
  <w:style w:type="paragraph" w:styleId="9">
    <w:name w:val="toa heading"/>
    <w:basedOn w:val="1"/>
    <w:next w:val="1"/>
    <w:autoRedefine/>
    <w:qFormat/>
    <w:uiPriority w:val="0"/>
    <w:pPr>
      <w:spacing w:before="120" w:beforeLines="0" w:beforeAutospacing="0"/>
    </w:pPr>
    <w:rPr>
      <w:rFonts w:ascii="Arial" w:hAnsi="Arial"/>
      <w:sz w:val="24"/>
    </w:rPr>
  </w:style>
  <w:style w:type="paragraph" w:styleId="10">
    <w:name w:val="Salutation"/>
    <w:basedOn w:val="1"/>
    <w:next w:val="1"/>
    <w:qFormat/>
    <w:uiPriority w:val="0"/>
    <w:rPr>
      <w:rFonts w:ascii="楷体_GB2312" w:eastAsia="楷体_GB2312"/>
      <w:sz w:val="32"/>
    </w:rPr>
  </w:style>
  <w:style w:type="paragraph" w:styleId="11">
    <w:name w:val="Body Text"/>
    <w:basedOn w:val="1"/>
    <w:autoRedefine/>
    <w:qFormat/>
    <w:uiPriority w:val="1"/>
    <w:rPr>
      <w:rFonts w:ascii="宋体" w:hAnsi="宋体" w:eastAsia="宋体" w:cs="宋体"/>
      <w:sz w:val="24"/>
      <w:szCs w:val="24"/>
      <w:lang w:val="zh-CN" w:eastAsia="zh-CN" w:bidi="zh-CN"/>
    </w:rPr>
  </w:style>
  <w:style w:type="paragraph" w:styleId="12">
    <w:name w:val="Body Text Indent"/>
    <w:basedOn w:val="1"/>
    <w:autoRedefine/>
    <w:qFormat/>
    <w:uiPriority w:val="0"/>
    <w:pPr>
      <w:spacing w:after="120"/>
      <w:ind w:left="420" w:leftChars="200"/>
    </w:pPr>
  </w:style>
  <w:style w:type="paragraph" w:styleId="13">
    <w:name w:val="Plain Text"/>
    <w:basedOn w:val="1"/>
    <w:autoRedefine/>
    <w:qFormat/>
    <w:uiPriority w:val="0"/>
    <w:rPr>
      <w:rFonts w:ascii="宋体" w:hAnsi="Courier New"/>
      <w:szCs w:val="21"/>
    </w:rPr>
  </w:style>
  <w:style w:type="paragraph" w:styleId="14">
    <w:name w:val="footer"/>
    <w:basedOn w:val="1"/>
    <w:autoRedefine/>
    <w:unhideWhenUsed/>
    <w:qFormat/>
    <w:uiPriority w:val="99"/>
    <w:pPr>
      <w:tabs>
        <w:tab w:val="center" w:pos="4153"/>
        <w:tab w:val="right" w:pos="8306"/>
      </w:tabs>
      <w:snapToGrid w:val="0"/>
      <w:jc w:val="left"/>
    </w:pPr>
    <w:rPr>
      <w:sz w:val="18"/>
      <w:szCs w:val="18"/>
    </w:rPr>
  </w:style>
  <w:style w:type="paragraph" w:styleId="15">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footnote text"/>
    <w:basedOn w:val="1"/>
    <w:autoRedefine/>
    <w:qFormat/>
    <w:uiPriority w:val="0"/>
    <w:pPr>
      <w:snapToGrid w:val="0"/>
      <w:jc w:val="left"/>
    </w:pPr>
    <w:rPr>
      <w:kern w:val="0"/>
      <w:sz w:val="18"/>
      <w:szCs w:val="20"/>
    </w:rPr>
  </w:style>
  <w:style w:type="paragraph" w:styleId="17">
    <w:name w:val="Body Text 2"/>
    <w:basedOn w:val="1"/>
    <w:autoRedefine/>
    <w:qFormat/>
    <w:uiPriority w:val="0"/>
    <w:rPr>
      <w:rFonts w:ascii="楷体_GB2312" w:hAnsi="Copperplate Gothic Bold" w:eastAsia="楷体_GB2312"/>
      <w:kern w:val="2"/>
      <w:sz w:val="28"/>
    </w:rPr>
  </w:style>
  <w:style w:type="paragraph" w:styleId="18">
    <w:name w:val="Normal (Web)"/>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9">
    <w:name w:val="Body Text First Indent"/>
    <w:basedOn w:val="11"/>
    <w:qFormat/>
    <w:uiPriority w:val="0"/>
    <w:pPr>
      <w:ind w:firstLine="420" w:firstLineChars="100"/>
    </w:pPr>
    <w:rPr>
      <w:rFonts w:ascii="Times New Roman" w:hAnsi="Times New Roman" w:cs="Times New Roman"/>
      <w:sz w:val="21"/>
      <w:szCs w:val="21"/>
      <w:lang w:val="ja-JP" w:eastAsia="ja-JP" w:bidi="ja-JP"/>
    </w:rPr>
  </w:style>
  <w:style w:type="paragraph" w:styleId="20">
    <w:name w:val="Body Text First Indent 2"/>
    <w:basedOn w:val="12"/>
    <w:autoRedefine/>
    <w:unhideWhenUsed/>
    <w:qFormat/>
    <w:uiPriority w:val="0"/>
    <w:pPr>
      <w:widowControl/>
      <w:spacing w:after="0"/>
      <w:ind w:left="0" w:leftChars="0" w:firstLine="233" w:firstLineChars="233"/>
    </w:pPr>
    <w:rPr>
      <w:rFonts w:ascii="Calibri"/>
      <w:sz w:val="28"/>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page number"/>
    <w:autoRedefine/>
    <w:qFormat/>
    <w:uiPriority w:val="0"/>
  </w:style>
  <w:style w:type="character" w:styleId="26">
    <w:name w:val="Hyperlink"/>
    <w:qFormat/>
    <w:uiPriority w:val="99"/>
    <w:rPr>
      <w:color w:val="0000FF"/>
      <w:u w:val="none"/>
    </w:rPr>
  </w:style>
  <w:style w:type="paragraph" w:customStyle="1" w:styleId="27">
    <w:name w:val="正文缩进1"/>
    <w:basedOn w:val="1"/>
    <w:autoRedefine/>
    <w:qFormat/>
    <w:uiPriority w:val="0"/>
    <w:pPr>
      <w:ind w:firstLine="420" w:firstLineChars="200"/>
    </w:pPr>
  </w:style>
  <w:style w:type="table" w:customStyle="1" w:styleId="28">
    <w:name w:val="Table Normal"/>
    <w:autoRedefine/>
    <w:semiHidden/>
    <w:unhideWhenUsed/>
    <w:qFormat/>
    <w:uiPriority w:val="2"/>
    <w:tblPr>
      <w:tblCellMar>
        <w:top w:w="0" w:type="dxa"/>
        <w:left w:w="0" w:type="dxa"/>
        <w:bottom w:w="0" w:type="dxa"/>
        <w:right w:w="0" w:type="dxa"/>
      </w:tblCellMar>
    </w:tblPr>
  </w:style>
  <w:style w:type="paragraph" w:styleId="29">
    <w:name w:val="List Paragraph"/>
    <w:basedOn w:val="1"/>
    <w:autoRedefine/>
    <w:qFormat/>
    <w:uiPriority w:val="1"/>
    <w:pPr>
      <w:ind w:left="348" w:firstLine="480"/>
    </w:pPr>
    <w:rPr>
      <w:rFonts w:ascii="宋体" w:hAnsi="宋体" w:eastAsia="宋体" w:cs="宋体"/>
      <w:lang w:val="zh-CN" w:eastAsia="zh-CN" w:bidi="zh-CN"/>
    </w:rPr>
  </w:style>
  <w:style w:type="paragraph" w:customStyle="1" w:styleId="30">
    <w:name w:val="Table Paragraph"/>
    <w:basedOn w:val="1"/>
    <w:autoRedefine/>
    <w:qFormat/>
    <w:uiPriority w:val="1"/>
    <w:rPr>
      <w:rFonts w:ascii="宋体" w:hAnsi="宋体" w:eastAsia="宋体" w:cs="宋体"/>
      <w:lang w:val="zh-CN" w:eastAsia="zh-CN" w:bidi="zh-CN"/>
    </w:rPr>
  </w:style>
  <w:style w:type="paragraph" w:customStyle="1" w:styleId="31">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32">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character" w:customStyle="1" w:styleId="33">
    <w:name w:val="articleitemtext1"/>
    <w:basedOn w:val="23"/>
    <w:qFormat/>
    <w:uiPriority w:val="0"/>
    <w:rPr>
      <w:color w:val="000000"/>
      <w:sz w:val="18"/>
      <w:szCs w:val="18"/>
    </w:rPr>
  </w:style>
  <w:style w:type="paragraph" w:customStyle="1" w:styleId="34">
    <w:name w:val="正文 样式"/>
    <w:basedOn w:val="1"/>
    <w:qFormat/>
    <w:uiPriority w:val="0"/>
    <w:pPr>
      <w:spacing w:line="360" w:lineRule="auto"/>
      <w:ind w:firstLine="200" w:firstLineChars="200"/>
      <w:jc w:val="left"/>
    </w:pPr>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3.jpeg"/><Relationship Id="rId5" Type="http://schemas.openxmlformats.org/officeDocument/2006/relationships/header" Target="header1.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18317</Words>
  <Characters>19599</Characters>
  <TotalTime>15</TotalTime>
  <ScaleCrop>false</ScaleCrop>
  <LinksUpToDate>false</LinksUpToDate>
  <CharactersWithSpaces>20134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蒋零壹</cp:lastModifiedBy>
  <cp:lastPrinted>2025-09-17T02:10:04Z</cp:lastPrinted>
  <dcterms:modified xsi:type="dcterms:W3CDTF">2025-09-17T02:24:48Z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2052-12.1.0.22529</vt:lpwstr>
  </property>
  <property fmtid="{D5CDD505-2E9C-101B-9397-08002B2CF9AE}" pid="6" name="ICV">
    <vt:lpwstr>95CBFB1363DC4F54A1E094D361226979_13</vt:lpwstr>
  </property>
  <property fmtid="{D5CDD505-2E9C-101B-9397-08002B2CF9AE}" pid="7" name="KSOTemplateDocerSaveRecord">
    <vt:lpwstr>eyJoZGlkIjoiM2FiYjY5NjliZjg1MDVlN2RmNGZmODFjYjU5M2ViNmQiLCJ1c2VySWQiOiIxNDQ1NjI5MzAyIn0=</vt:lpwstr>
  </property>
</Properties>
</file>