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ind w:left="0" w:leftChars="0" w:right="210" w:firstLine="0" w:firstLineChars="0"/>
        <w:jc w:val="left"/>
        <w:outlineLvl w:val="9"/>
        <w:rPr>
          <w:rFonts w:hint="eastAsia" w:ascii="仿宋" w:hAnsi="仿宋" w:eastAsia="仿宋" w:cs="仿宋"/>
          <w:b/>
          <w:bCs/>
          <w:color w:val="auto"/>
          <w:sz w:val="30"/>
          <w:szCs w:val="30"/>
          <w:highlight w:val="none"/>
          <w:lang w:val="zh-CN"/>
        </w:rPr>
      </w:pPr>
      <w:bookmarkStart w:id="0" w:name="_Toc26446"/>
      <w:bookmarkStart w:id="1" w:name="_Toc25932"/>
      <w:r>
        <w:rPr>
          <w:rFonts w:hint="eastAsia" w:ascii="仿宋" w:hAnsi="仿宋" w:eastAsia="仿宋" w:cs="仿宋"/>
          <w:b/>
          <w:bCs/>
          <w:color w:val="auto"/>
          <w:sz w:val="30"/>
          <w:szCs w:val="30"/>
          <w:highlight w:val="none"/>
          <w:lang w:val="zh-CN"/>
        </w:rPr>
        <w:t>项目编号：</w:t>
      </w:r>
      <w:bookmarkEnd w:id="0"/>
      <w:bookmarkEnd w:id="1"/>
      <w:r>
        <w:rPr>
          <w:rFonts w:hint="eastAsia" w:ascii="仿宋" w:hAnsi="仿宋" w:eastAsia="仿宋" w:cs="仿宋"/>
          <w:b/>
          <w:bCs/>
          <w:color w:val="auto"/>
          <w:sz w:val="30"/>
          <w:szCs w:val="30"/>
          <w:highlight w:val="none"/>
          <w:lang w:val="zh-CN"/>
        </w:rPr>
        <w:t>QZMS2025-ZFCGY017</w:t>
      </w:r>
    </w:p>
    <w:p>
      <w:pPr>
        <w:autoSpaceDE w:val="0"/>
        <w:autoSpaceDN w:val="0"/>
        <w:adjustRightInd w:val="0"/>
        <w:snapToGrid w:val="0"/>
        <w:spacing w:line="360" w:lineRule="auto"/>
        <w:ind w:left="210" w:right="210" w:firstLine="602" w:firstLineChars="200"/>
        <w:jc w:val="left"/>
        <w:outlineLvl w:val="9"/>
        <w:rPr>
          <w:rFonts w:hint="eastAsia" w:ascii="仿宋" w:hAnsi="仿宋" w:eastAsia="仿宋" w:cs="仿宋"/>
          <w:b/>
          <w:bCs/>
          <w:color w:val="auto"/>
          <w:sz w:val="30"/>
          <w:szCs w:val="30"/>
          <w:highlight w:val="none"/>
          <w:lang w:val="zh-CN"/>
        </w:rPr>
      </w:pPr>
    </w:p>
    <w:p>
      <w:pPr>
        <w:tabs>
          <w:tab w:val="left" w:pos="5670"/>
        </w:tabs>
        <w:autoSpaceDE w:val="0"/>
        <w:autoSpaceDN w:val="0"/>
        <w:adjustRightInd w:val="0"/>
        <w:snapToGrid w:val="0"/>
        <w:spacing w:line="360" w:lineRule="auto"/>
        <w:ind w:left="0" w:leftChars="0" w:right="-22" w:rightChars="0" w:firstLine="0" w:firstLineChars="0"/>
        <w:jc w:val="center"/>
        <w:outlineLvl w:val="9"/>
        <w:rPr>
          <w:rFonts w:hint="eastAsia" w:ascii="仿宋" w:hAnsi="仿宋" w:eastAsia="仿宋" w:cs="仿宋"/>
          <w:b/>
          <w:bCs/>
          <w:color w:val="auto"/>
          <w:sz w:val="72"/>
          <w:szCs w:val="72"/>
          <w:highlight w:val="none"/>
          <w:lang w:val="zh-CN"/>
        </w:rPr>
      </w:pPr>
      <w:r>
        <w:rPr>
          <w:rFonts w:hint="eastAsia" w:ascii="仿宋" w:hAnsi="仿宋" w:eastAsia="仿宋" w:cs="仿宋"/>
          <w:b/>
          <w:bCs/>
          <w:color w:val="auto"/>
          <w:sz w:val="72"/>
          <w:szCs w:val="72"/>
          <w:highlight w:val="none"/>
          <w:lang w:val="zh-CN"/>
        </w:rPr>
        <w:t>子洲县2024年度非农建设补充耕地指标核定项目（二次）</w:t>
      </w:r>
    </w:p>
    <w:p>
      <w:pPr>
        <w:adjustRightInd w:val="0"/>
        <w:snapToGrid w:val="0"/>
        <w:spacing w:line="240" w:lineRule="atLeast"/>
        <w:ind w:left="540" w:leftChars="257" w:right="210" w:firstLine="643" w:firstLineChars="200"/>
        <w:jc w:val="center"/>
        <w:outlineLvl w:val="9"/>
        <w:rPr>
          <w:rFonts w:hint="eastAsia" w:ascii="仿宋" w:hAnsi="仿宋" w:eastAsia="仿宋" w:cs="仿宋"/>
          <w:b/>
          <w:color w:val="auto"/>
          <w:sz w:val="32"/>
          <w:szCs w:val="32"/>
          <w:highlight w:val="none"/>
          <w:lang w:val="zh-CN" w:eastAsia="zh-CN"/>
        </w:rPr>
      </w:pPr>
    </w:p>
    <w:p>
      <w:pPr>
        <w:adjustRightInd w:val="0"/>
        <w:snapToGrid w:val="0"/>
        <w:spacing w:line="240" w:lineRule="atLeast"/>
        <w:ind w:right="210"/>
        <w:jc w:val="both"/>
        <w:outlineLvl w:val="9"/>
        <w:rPr>
          <w:rFonts w:hint="eastAsia" w:ascii="仿宋" w:hAnsi="仿宋" w:eastAsia="仿宋" w:cs="仿宋"/>
          <w:b/>
          <w:color w:val="auto"/>
          <w:sz w:val="32"/>
          <w:szCs w:val="32"/>
          <w:highlight w:val="none"/>
          <w:lang w:val="zh-CN" w:eastAsia="zh-CN"/>
        </w:rPr>
      </w:pPr>
    </w:p>
    <w:p>
      <w:pPr>
        <w:adjustRightInd w:val="0"/>
        <w:snapToGrid w:val="0"/>
        <w:spacing w:line="360" w:lineRule="auto"/>
        <w:ind w:firstLine="480" w:firstLineChars="200"/>
        <w:jc w:val="left"/>
        <w:outlineLvl w:val="9"/>
        <w:rPr>
          <w:rFonts w:hint="eastAsia" w:ascii="仿宋" w:hAnsi="仿宋" w:eastAsia="仿宋" w:cs="仿宋"/>
          <w:color w:val="auto"/>
          <w:sz w:val="24"/>
          <w:szCs w:val="20"/>
          <w:highlight w:val="none"/>
          <w:lang w:val="zh-CN"/>
        </w:rPr>
      </w:pPr>
    </w:p>
    <w:p>
      <w:pPr>
        <w:adjustRightInd w:val="0"/>
        <w:snapToGrid w:val="0"/>
        <w:spacing w:line="360" w:lineRule="auto"/>
        <w:ind w:left="0" w:leftChars="0" w:firstLine="0" w:firstLineChars="0"/>
        <w:jc w:val="center"/>
        <w:outlineLvl w:val="9"/>
        <w:rPr>
          <w:rFonts w:hint="eastAsia" w:ascii="仿宋" w:hAnsi="仿宋" w:eastAsia="仿宋" w:cs="仿宋"/>
          <w:color w:val="auto"/>
          <w:sz w:val="24"/>
          <w:szCs w:val="20"/>
          <w:highlight w:val="none"/>
          <w:lang w:val="zh-CN"/>
        </w:rPr>
      </w:pPr>
    </w:p>
    <w:p>
      <w:pPr>
        <w:tabs>
          <w:tab w:val="left" w:pos="5670"/>
          <w:tab w:val="left" w:pos="7980"/>
        </w:tabs>
        <w:autoSpaceDE w:val="0"/>
        <w:autoSpaceDN w:val="0"/>
        <w:adjustRightInd w:val="0"/>
        <w:snapToGrid w:val="0"/>
        <w:spacing w:line="240" w:lineRule="auto"/>
        <w:ind w:left="0" w:leftChars="0" w:right="-94" w:rightChars="0" w:firstLine="0" w:firstLineChars="0"/>
        <w:jc w:val="center"/>
        <w:outlineLvl w:val="9"/>
        <w:rPr>
          <w:rFonts w:hint="eastAsia" w:ascii="仿宋" w:hAnsi="仿宋" w:eastAsia="仿宋" w:cs="仿宋"/>
          <w:b/>
          <w:color w:val="auto"/>
          <w:sz w:val="32"/>
          <w:szCs w:val="32"/>
          <w:highlight w:val="none"/>
          <w:lang w:val="zh-CN" w:eastAsia="zh-CN"/>
        </w:rPr>
      </w:pPr>
      <w:bookmarkStart w:id="2" w:name="_Toc22054"/>
      <w:bookmarkStart w:id="3" w:name="_Toc6462"/>
      <w:r>
        <w:rPr>
          <w:rFonts w:hint="eastAsia" w:ascii="仿宋" w:hAnsi="仿宋" w:eastAsia="仿宋" w:cs="仿宋"/>
          <w:b/>
          <w:bCs/>
          <w:color w:val="auto"/>
          <w:sz w:val="72"/>
          <w:szCs w:val="72"/>
          <w:highlight w:val="none"/>
          <w:lang w:val="en-US" w:eastAsia="zh-CN"/>
        </w:rPr>
        <w:t>竞争性磋商</w:t>
      </w:r>
      <w:r>
        <w:rPr>
          <w:rFonts w:hint="eastAsia" w:ascii="仿宋" w:hAnsi="仿宋" w:eastAsia="仿宋" w:cs="仿宋"/>
          <w:b/>
          <w:bCs/>
          <w:color w:val="auto"/>
          <w:sz w:val="72"/>
          <w:szCs w:val="72"/>
          <w:highlight w:val="none"/>
          <w:lang w:val="zh-CN"/>
        </w:rPr>
        <w:t>文件</w:t>
      </w:r>
      <w:bookmarkEnd w:id="2"/>
      <w:bookmarkEnd w:id="3"/>
    </w:p>
    <w:p>
      <w:pPr>
        <w:adjustRightInd w:val="0"/>
        <w:snapToGrid w:val="0"/>
        <w:spacing w:line="240" w:lineRule="atLeast"/>
        <w:ind w:left="540" w:leftChars="257" w:right="210" w:firstLine="643" w:firstLineChars="200"/>
        <w:jc w:val="center"/>
        <w:outlineLvl w:val="9"/>
        <w:rPr>
          <w:rFonts w:hint="eastAsia" w:ascii="仿宋" w:hAnsi="仿宋" w:eastAsia="仿宋" w:cs="仿宋"/>
          <w:b/>
          <w:color w:val="auto"/>
          <w:sz w:val="32"/>
          <w:szCs w:val="32"/>
          <w:highlight w:val="none"/>
          <w:lang w:val="zh-CN" w:eastAsia="zh-CN"/>
        </w:rPr>
      </w:pPr>
    </w:p>
    <w:p>
      <w:pPr>
        <w:adjustRightInd w:val="0"/>
        <w:snapToGrid w:val="0"/>
        <w:spacing w:line="240" w:lineRule="atLeast"/>
        <w:ind w:left="540" w:leftChars="257" w:right="210" w:firstLine="643" w:firstLineChars="200"/>
        <w:jc w:val="center"/>
        <w:outlineLvl w:val="9"/>
        <w:rPr>
          <w:rFonts w:hint="eastAsia" w:ascii="仿宋" w:hAnsi="仿宋" w:eastAsia="仿宋" w:cs="仿宋"/>
          <w:b/>
          <w:color w:val="auto"/>
          <w:sz w:val="32"/>
          <w:szCs w:val="32"/>
          <w:highlight w:val="none"/>
          <w:lang w:val="zh-CN" w:eastAsia="zh-CN"/>
        </w:rPr>
      </w:pPr>
    </w:p>
    <w:p>
      <w:pPr>
        <w:adjustRightInd w:val="0"/>
        <w:snapToGrid w:val="0"/>
        <w:spacing w:line="240" w:lineRule="atLeast"/>
        <w:ind w:left="540" w:leftChars="257" w:right="210" w:firstLine="643" w:firstLineChars="200"/>
        <w:jc w:val="center"/>
        <w:outlineLvl w:val="9"/>
        <w:rPr>
          <w:rFonts w:hint="eastAsia" w:ascii="仿宋" w:hAnsi="仿宋" w:eastAsia="仿宋" w:cs="仿宋"/>
          <w:b/>
          <w:color w:val="auto"/>
          <w:sz w:val="32"/>
          <w:szCs w:val="32"/>
          <w:highlight w:val="none"/>
          <w:lang w:val="en-US" w:eastAsia="zh-CN"/>
        </w:rPr>
      </w:pPr>
    </w:p>
    <w:p>
      <w:pPr>
        <w:pStyle w:val="20"/>
        <w:rPr>
          <w:rFonts w:hint="eastAsia"/>
          <w:lang w:val="en-US" w:eastAsia="zh-CN"/>
        </w:rPr>
      </w:pPr>
    </w:p>
    <w:p>
      <w:pPr>
        <w:adjustRightInd w:val="0"/>
        <w:snapToGrid w:val="0"/>
        <w:spacing w:line="240" w:lineRule="atLeast"/>
        <w:ind w:left="540" w:leftChars="257" w:right="210" w:firstLine="643" w:firstLineChars="200"/>
        <w:jc w:val="center"/>
        <w:outlineLvl w:val="9"/>
        <w:rPr>
          <w:rFonts w:hint="eastAsia" w:ascii="仿宋" w:hAnsi="仿宋" w:eastAsia="仿宋" w:cs="仿宋"/>
          <w:b/>
          <w:color w:val="auto"/>
          <w:sz w:val="32"/>
          <w:szCs w:val="32"/>
          <w:highlight w:val="none"/>
          <w:lang w:val="en-US" w:eastAsia="zh-CN"/>
        </w:rPr>
      </w:pPr>
    </w:p>
    <w:p>
      <w:pPr>
        <w:adjustRightInd w:val="0"/>
        <w:snapToGrid w:val="0"/>
        <w:spacing w:line="240" w:lineRule="atLeast"/>
        <w:ind w:left="540" w:leftChars="257" w:right="210" w:firstLine="643" w:firstLineChars="200"/>
        <w:jc w:val="center"/>
        <w:outlineLvl w:val="9"/>
        <w:rPr>
          <w:rFonts w:hint="eastAsia" w:ascii="仿宋" w:hAnsi="仿宋" w:eastAsia="仿宋" w:cs="仿宋"/>
          <w:b/>
          <w:color w:val="auto"/>
          <w:sz w:val="32"/>
          <w:szCs w:val="32"/>
          <w:highlight w:val="none"/>
          <w:lang w:val="zh-CN" w:eastAsia="zh-CN"/>
        </w:rPr>
      </w:pPr>
    </w:p>
    <w:p>
      <w:pPr>
        <w:keepNext w:val="0"/>
        <w:keepLines w:val="0"/>
        <w:pageBreakBefore w:val="0"/>
        <w:widowControl w:val="0"/>
        <w:kinsoku/>
        <w:wordWrap/>
        <w:overflowPunct/>
        <w:topLinePunct w:val="0"/>
        <w:autoSpaceDE/>
        <w:autoSpaceDN/>
        <w:bidi w:val="0"/>
        <w:adjustRightInd/>
        <w:snapToGrid/>
        <w:spacing w:line="600" w:lineRule="auto"/>
        <w:ind w:left="0" w:leftChars="0" w:right="210" w:firstLine="842" w:firstLineChars="233"/>
        <w:jc w:val="left"/>
        <w:textAlignment w:val="auto"/>
        <w:outlineLvl w:val="9"/>
        <w:rPr>
          <w:rFonts w:hint="eastAsia" w:ascii="仿宋" w:hAnsi="仿宋" w:eastAsia="仿宋" w:cs="仿宋"/>
          <w:b/>
          <w:color w:val="auto"/>
          <w:sz w:val="36"/>
          <w:szCs w:val="36"/>
          <w:highlight w:val="none"/>
          <w:lang w:eastAsia="zh-CN"/>
        </w:rPr>
      </w:pPr>
      <w:bookmarkStart w:id="4" w:name="_Toc26297"/>
      <w:bookmarkStart w:id="5" w:name="_Toc21924"/>
      <w:r>
        <w:rPr>
          <w:rFonts w:hint="eastAsia" w:ascii="仿宋" w:hAnsi="仿宋" w:eastAsia="仿宋" w:cs="仿宋"/>
          <w:b/>
          <w:color w:val="auto"/>
          <w:sz w:val="36"/>
          <w:szCs w:val="36"/>
          <w:highlight w:val="none"/>
        </w:rPr>
        <w:t>采 购 人：</w:t>
      </w:r>
      <w:bookmarkEnd w:id="4"/>
      <w:bookmarkEnd w:id="5"/>
      <w:bookmarkStart w:id="6" w:name="_Toc10910"/>
      <w:bookmarkStart w:id="7" w:name="_Toc12719"/>
      <w:r>
        <w:rPr>
          <w:rFonts w:hint="eastAsia" w:ascii="仿宋" w:hAnsi="仿宋" w:eastAsia="仿宋" w:cs="仿宋"/>
          <w:b/>
          <w:color w:val="auto"/>
          <w:sz w:val="36"/>
          <w:szCs w:val="36"/>
          <w:highlight w:val="none"/>
          <w:lang w:eastAsia="zh-CN"/>
        </w:rPr>
        <w:t>子洲县自然资源和规划局</w:t>
      </w:r>
    </w:p>
    <w:p>
      <w:pPr>
        <w:tabs>
          <w:tab w:val="left" w:pos="5670"/>
        </w:tabs>
        <w:autoSpaceDE w:val="0"/>
        <w:autoSpaceDN w:val="0"/>
        <w:adjustRightInd w:val="0"/>
        <w:snapToGrid w:val="0"/>
        <w:spacing w:line="360" w:lineRule="auto"/>
        <w:ind w:left="0" w:leftChars="0" w:firstLine="842" w:firstLineChars="233"/>
        <w:jc w:val="left"/>
        <w:outlineLvl w:val="9"/>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szCs w:val="36"/>
          <w:highlight w:val="none"/>
        </w:rPr>
        <w:t>代理机构：</w:t>
      </w:r>
      <w:bookmarkEnd w:id="6"/>
      <w:bookmarkEnd w:id="7"/>
      <w:bookmarkStart w:id="8" w:name="_Toc13640"/>
      <w:bookmarkStart w:id="9" w:name="_Toc31558"/>
      <w:r>
        <w:rPr>
          <w:rFonts w:hint="eastAsia" w:ascii="仿宋" w:hAnsi="仿宋" w:eastAsia="仿宋" w:cs="仿宋"/>
          <w:b/>
          <w:color w:val="auto"/>
          <w:sz w:val="36"/>
          <w:szCs w:val="36"/>
          <w:highlight w:val="none"/>
          <w:lang w:eastAsia="zh-CN"/>
        </w:rPr>
        <w:t>陕西秦州明盛工程咨询有限公司</w:t>
      </w:r>
    </w:p>
    <w:p>
      <w:pPr>
        <w:tabs>
          <w:tab w:val="left" w:pos="5670"/>
        </w:tabs>
        <w:autoSpaceDE w:val="0"/>
        <w:autoSpaceDN w:val="0"/>
        <w:adjustRightInd w:val="0"/>
        <w:snapToGrid w:val="0"/>
        <w:spacing w:line="360" w:lineRule="auto"/>
        <w:ind w:left="0" w:leftChars="0" w:firstLine="842" w:firstLineChars="233"/>
        <w:jc w:val="left"/>
        <w:outlineLvl w:val="9"/>
        <w:rPr>
          <w:rFonts w:hint="eastAsia" w:ascii="仿宋" w:hAnsi="仿宋" w:eastAsia="仿宋" w:cs="仿宋"/>
          <w:b/>
          <w:color w:val="auto"/>
          <w:sz w:val="36"/>
          <w:szCs w:val="36"/>
          <w:highlight w:val="none"/>
        </w:rPr>
      </w:pPr>
    </w:p>
    <w:p>
      <w:pPr>
        <w:tabs>
          <w:tab w:val="left" w:pos="5670"/>
        </w:tabs>
        <w:autoSpaceDE w:val="0"/>
        <w:autoSpaceDN w:val="0"/>
        <w:adjustRightInd w:val="0"/>
        <w:snapToGrid w:val="0"/>
        <w:spacing w:line="360" w:lineRule="auto"/>
        <w:ind w:left="0" w:leftChars="0" w:firstLine="842" w:firstLineChars="233"/>
        <w:jc w:val="left"/>
        <w:outlineLvl w:val="9"/>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日    期：二零二</w:t>
      </w:r>
      <w:r>
        <w:rPr>
          <w:rFonts w:hint="eastAsia" w:ascii="仿宋" w:hAnsi="仿宋" w:eastAsia="仿宋" w:cs="仿宋"/>
          <w:b/>
          <w:color w:val="auto"/>
          <w:sz w:val="36"/>
          <w:szCs w:val="36"/>
          <w:highlight w:val="none"/>
          <w:lang w:val="en-US" w:eastAsia="zh-CN"/>
        </w:rPr>
        <w:t>五</w:t>
      </w:r>
      <w:r>
        <w:rPr>
          <w:rFonts w:hint="eastAsia" w:ascii="仿宋" w:hAnsi="仿宋" w:eastAsia="仿宋" w:cs="仿宋"/>
          <w:b/>
          <w:color w:val="auto"/>
          <w:sz w:val="36"/>
          <w:szCs w:val="36"/>
          <w:highlight w:val="none"/>
        </w:rPr>
        <w:t>年</w:t>
      </w:r>
      <w:r>
        <w:rPr>
          <w:rFonts w:hint="eastAsia" w:ascii="仿宋" w:hAnsi="仿宋" w:eastAsia="仿宋" w:cs="仿宋"/>
          <w:b/>
          <w:color w:val="auto"/>
          <w:sz w:val="36"/>
          <w:szCs w:val="36"/>
          <w:highlight w:val="none"/>
          <w:lang w:val="en-US" w:eastAsia="zh-CN"/>
        </w:rPr>
        <w:t>九</w:t>
      </w:r>
      <w:r>
        <w:rPr>
          <w:rFonts w:hint="eastAsia" w:ascii="仿宋" w:hAnsi="仿宋" w:eastAsia="仿宋" w:cs="仿宋"/>
          <w:b/>
          <w:color w:val="auto"/>
          <w:sz w:val="36"/>
          <w:szCs w:val="36"/>
          <w:highlight w:val="none"/>
        </w:rPr>
        <w:t>月</w:t>
      </w:r>
      <w:bookmarkEnd w:id="8"/>
      <w:bookmarkEnd w:id="9"/>
    </w:p>
    <w:p>
      <w:pPr>
        <w:tabs>
          <w:tab w:val="left" w:pos="5670"/>
        </w:tabs>
        <w:autoSpaceDE w:val="0"/>
        <w:autoSpaceDN w:val="0"/>
        <w:adjustRightInd w:val="0"/>
        <w:snapToGrid w:val="0"/>
        <w:spacing w:line="600" w:lineRule="auto"/>
        <w:ind w:left="0" w:leftChars="0" w:firstLine="0" w:firstLineChars="0"/>
        <w:jc w:val="center"/>
        <w:outlineLvl w:val="9"/>
        <w:rPr>
          <w:rFonts w:hint="eastAsia" w:ascii="仿宋" w:hAnsi="仿宋" w:eastAsia="仿宋" w:cs="仿宋"/>
          <w:b/>
          <w:color w:val="auto"/>
          <w:sz w:val="32"/>
          <w:szCs w:val="32"/>
          <w:highlight w:val="none"/>
        </w:rPr>
      </w:pPr>
      <w:r>
        <w:rPr>
          <w:rFonts w:hint="eastAsia" w:ascii="仿宋" w:hAnsi="仿宋" w:eastAsia="仿宋" w:cs="仿宋"/>
          <w:b/>
          <w:color w:val="auto"/>
          <w:sz w:val="36"/>
          <w:szCs w:val="36"/>
          <w:highlight w:val="none"/>
        </w:rPr>
        <w:br w:type="page"/>
      </w:r>
      <w:r>
        <w:rPr>
          <w:rFonts w:hint="eastAsia" w:ascii="仿宋" w:hAnsi="仿宋" w:eastAsia="仿宋" w:cs="仿宋"/>
          <w:b/>
          <w:color w:val="auto"/>
          <w:sz w:val="36"/>
          <w:szCs w:val="36"/>
          <w:highlight w:val="none"/>
        </w:rPr>
        <w:t>目  录</w:t>
      </w:r>
    </w:p>
    <w:p>
      <w:pPr>
        <w:tabs>
          <w:tab w:val="center" w:pos="4677"/>
          <w:tab w:val="left" w:pos="5040"/>
        </w:tabs>
        <w:adjustRightInd w:val="0"/>
        <w:snapToGrid w:val="0"/>
        <w:spacing w:line="360" w:lineRule="auto"/>
        <w:jc w:val="left"/>
        <w:outlineLvl w:val="9"/>
        <w:rPr>
          <w:rFonts w:hint="eastAsia" w:ascii="仿宋" w:hAnsi="仿宋" w:eastAsia="仿宋" w:cs="仿宋"/>
          <w:color w:val="auto"/>
          <w:highlight w:val="none"/>
        </w:rPr>
      </w:pPr>
    </w:p>
    <w:p>
      <w:pPr>
        <w:pStyle w:val="16"/>
        <w:tabs>
          <w:tab w:val="right" w:leader="dot" w:pos="9070"/>
          <w:tab w:val="clear" w:pos="9344"/>
        </w:tabs>
      </w:pPr>
      <w:r>
        <w:rPr>
          <w:rFonts w:hint="eastAsia" w:ascii="仿宋" w:hAnsi="仿宋" w:eastAsia="仿宋" w:cs="仿宋"/>
          <w:b/>
          <w:bCs/>
          <w:color w:val="auto"/>
          <w:highlight w:val="none"/>
        </w:rPr>
        <w:fldChar w:fldCharType="begin"/>
      </w:r>
      <w:r>
        <w:rPr>
          <w:rFonts w:hint="eastAsia" w:ascii="仿宋" w:hAnsi="仿宋" w:eastAsia="仿宋" w:cs="仿宋"/>
          <w:b/>
          <w:bCs/>
          <w:color w:val="auto"/>
          <w:highlight w:val="none"/>
        </w:rPr>
        <w:instrText xml:space="preserve">TOC \o "1-1" \h \u </w:instrText>
      </w:r>
      <w:r>
        <w:rPr>
          <w:rFonts w:hint="eastAsia" w:ascii="仿宋" w:hAnsi="仿宋" w:eastAsia="仿宋" w:cs="仿宋"/>
          <w:b/>
          <w:bCs/>
          <w:color w:val="auto"/>
          <w:highlight w:val="none"/>
        </w:rPr>
        <w:fldChar w:fldCharType="separate"/>
      </w:r>
      <w:r>
        <w:rPr>
          <w:rFonts w:hint="eastAsia" w:ascii="仿宋" w:hAnsi="仿宋" w:eastAsia="仿宋" w:cs="仿宋"/>
          <w:bCs/>
          <w:color w:val="auto"/>
          <w:highlight w:val="none"/>
        </w:rPr>
        <w:fldChar w:fldCharType="begin"/>
      </w:r>
      <w:r>
        <w:rPr>
          <w:rFonts w:hint="eastAsia" w:ascii="仿宋" w:hAnsi="仿宋" w:eastAsia="仿宋" w:cs="仿宋"/>
          <w:bCs/>
          <w:highlight w:val="none"/>
        </w:rPr>
        <w:instrText xml:space="preserve"> HYPERLINK \l _Toc28333 </w:instrText>
      </w:r>
      <w:r>
        <w:rPr>
          <w:rFonts w:hint="eastAsia" w:ascii="仿宋" w:hAnsi="仿宋" w:eastAsia="仿宋" w:cs="仿宋"/>
          <w:bCs/>
          <w:highlight w:val="none"/>
        </w:rPr>
        <w:fldChar w:fldCharType="separate"/>
      </w:r>
      <w:r>
        <w:rPr>
          <w:rFonts w:hint="eastAsia" w:ascii="仿宋" w:hAnsi="仿宋" w:eastAsia="仿宋" w:cs="仿宋"/>
          <w:bCs/>
          <w:szCs w:val="36"/>
          <w:highlight w:val="none"/>
        </w:rPr>
        <w:t>第一章  磋商公告</w:t>
      </w:r>
      <w:r>
        <w:tab/>
      </w:r>
      <w:r>
        <w:fldChar w:fldCharType="begin"/>
      </w:r>
      <w:r>
        <w:instrText xml:space="preserve"> PAGEREF _Toc28333 \h </w:instrText>
      </w:r>
      <w:r>
        <w:fldChar w:fldCharType="separate"/>
      </w:r>
      <w:r>
        <w:t>1</w:t>
      </w:r>
      <w:r>
        <w:fldChar w:fldCharType="end"/>
      </w:r>
      <w:r>
        <w:rPr>
          <w:rFonts w:hint="eastAsia" w:ascii="仿宋" w:hAnsi="仿宋" w:eastAsia="仿宋" w:cs="仿宋"/>
          <w:bCs/>
          <w:color w:val="auto"/>
          <w:highlight w:val="none"/>
        </w:rPr>
        <w:fldChar w:fldCharType="end"/>
      </w:r>
    </w:p>
    <w:p>
      <w:pPr>
        <w:pStyle w:val="16"/>
        <w:tabs>
          <w:tab w:val="right" w:leader="dot" w:pos="9070"/>
          <w:tab w:val="clear" w:pos="9344"/>
        </w:tabs>
      </w:pPr>
      <w:r>
        <w:rPr>
          <w:rFonts w:hint="eastAsia" w:ascii="仿宋" w:hAnsi="仿宋" w:eastAsia="仿宋" w:cs="仿宋"/>
          <w:bCs/>
          <w:color w:val="auto"/>
          <w:highlight w:val="none"/>
        </w:rPr>
        <w:fldChar w:fldCharType="begin"/>
      </w:r>
      <w:r>
        <w:rPr>
          <w:rFonts w:hint="eastAsia" w:ascii="仿宋" w:hAnsi="仿宋" w:eastAsia="仿宋" w:cs="仿宋"/>
          <w:bCs/>
          <w:highlight w:val="none"/>
        </w:rPr>
        <w:instrText xml:space="preserve"> HYPERLINK \l _Toc21057 </w:instrText>
      </w:r>
      <w:r>
        <w:rPr>
          <w:rFonts w:hint="eastAsia" w:ascii="仿宋" w:hAnsi="仿宋" w:eastAsia="仿宋" w:cs="仿宋"/>
          <w:bCs/>
          <w:highlight w:val="none"/>
        </w:rPr>
        <w:fldChar w:fldCharType="separate"/>
      </w:r>
      <w:r>
        <w:rPr>
          <w:rFonts w:hint="eastAsia" w:ascii="仿宋" w:hAnsi="仿宋" w:eastAsia="仿宋" w:cs="仿宋"/>
          <w:bCs/>
          <w:kern w:val="2"/>
          <w:szCs w:val="36"/>
          <w:highlight w:val="none"/>
          <w:lang w:val="en-US" w:eastAsia="zh-CN"/>
        </w:rPr>
        <w:t>第二章  供应商须</w:t>
      </w:r>
      <w:r>
        <w:rPr>
          <w:rFonts w:hint="eastAsia" w:ascii="仿宋" w:hAnsi="仿宋" w:eastAsia="仿宋" w:cs="仿宋"/>
          <w:bCs/>
          <w:kern w:val="2"/>
          <w:szCs w:val="40"/>
          <w:highlight w:val="none"/>
          <w:lang w:val="en-US" w:eastAsia="zh-CN"/>
        </w:rPr>
        <w:t>知</w:t>
      </w:r>
      <w:r>
        <w:tab/>
      </w:r>
      <w:r>
        <w:fldChar w:fldCharType="begin"/>
      </w:r>
      <w:r>
        <w:instrText xml:space="preserve"> PAGEREF _Toc21057 \h </w:instrText>
      </w:r>
      <w:r>
        <w:fldChar w:fldCharType="separate"/>
      </w:r>
      <w:r>
        <w:t>5</w:t>
      </w:r>
      <w:r>
        <w:fldChar w:fldCharType="end"/>
      </w:r>
      <w:r>
        <w:rPr>
          <w:rFonts w:hint="eastAsia" w:ascii="仿宋" w:hAnsi="仿宋" w:eastAsia="仿宋" w:cs="仿宋"/>
          <w:bCs/>
          <w:color w:val="auto"/>
          <w:highlight w:val="none"/>
        </w:rPr>
        <w:fldChar w:fldCharType="end"/>
      </w:r>
    </w:p>
    <w:p>
      <w:pPr>
        <w:pStyle w:val="16"/>
        <w:tabs>
          <w:tab w:val="right" w:leader="dot" w:pos="9070"/>
          <w:tab w:val="clear" w:pos="9344"/>
        </w:tabs>
      </w:pPr>
      <w:r>
        <w:rPr>
          <w:rFonts w:hint="eastAsia" w:ascii="仿宋" w:hAnsi="仿宋" w:eastAsia="仿宋" w:cs="仿宋"/>
          <w:bCs/>
          <w:color w:val="auto"/>
          <w:highlight w:val="none"/>
        </w:rPr>
        <w:fldChar w:fldCharType="begin"/>
      </w:r>
      <w:r>
        <w:rPr>
          <w:rFonts w:hint="eastAsia" w:ascii="仿宋" w:hAnsi="仿宋" w:eastAsia="仿宋" w:cs="仿宋"/>
          <w:bCs/>
          <w:highlight w:val="none"/>
        </w:rPr>
        <w:instrText xml:space="preserve"> HYPERLINK \l _Toc8524 </w:instrText>
      </w:r>
      <w:r>
        <w:rPr>
          <w:rFonts w:hint="eastAsia" w:ascii="仿宋" w:hAnsi="仿宋" w:eastAsia="仿宋" w:cs="仿宋"/>
          <w:bCs/>
          <w:highlight w:val="none"/>
        </w:rPr>
        <w:fldChar w:fldCharType="separate"/>
      </w:r>
      <w:r>
        <w:rPr>
          <w:rFonts w:hint="eastAsia" w:ascii="仿宋" w:hAnsi="仿宋" w:eastAsia="仿宋" w:cs="仿宋"/>
          <w:bCs/>
          <w:kern w:val="2"/>
          <w:szCs w:val="36"/>
          <w:highlight w:val="none"/>
          <w:lang w:val="en-US" w:eastAsia="zh-CN"/>
        </w:rPr>
        <w:t>第三章  评审办法和标准</w:t>
      </w:r>
      <w:r>
        <w:tab/>
      </w:r>
      <w:r>
        <w:fldChar w:fldCharType="begin"/>
      </w:r>
      <w:r>
        <w:instrText xml:space="preserve"> PAGEREF _Toc8524 \h </w:instrText>
      </w:r>
      <w:r>
        <w:fldChar w:fldCharType="separate"/>
      </w:r>
      <w:r>
        <w:t>25</w:t>
      </w:r>
      <w:r>
        <w:fldChar w:fldCharType="end"/>
      </w:r>
      <w:r>
        <w:rPr>
          <w:rFonts w:hint="eastAsia" w:ascii="仿宋" w:hAnsi="仿宋" w:eastAsia="仿宋" w:cs="仿宋"/>
          <w:bCs/>
          <w:color w:val="auto"/>
          <w:highlight w:val="none"/>
        </w:rPr>
        <w:fldChar w:fldCharType="end"/>
      </w:r>
    </w:p>
    <w:p>
      <w:pPr>
        <w:pStyle w:val="16"/>
        <w:tabs>
          <w:tab w:val="right" w:leader="dot" w:pos="9070"/>
          <w:tab w:val="clear" w:pos="9344"/>
        </w:tabs>
      </w:pPr>
      <w:r>
        <w:rPr>
          <w:rFonts w:hint="eastAsia" w:ascii="仿宋" w:hAnsi="仿宋" w:eastAsia="仿宋" w:cs="仿宋"/>
          <w:bCs/>
          <w:color w:val="auto"/>
          <w:highlight w:val="none"/>
        </w:rPr>
        <w:fldChar w:fldCharType="begin"/>
      </w:r>
      <w:r>
        <w:rPr>
          <w:rFonts w:hint="eastAsia" w:ascii="仿宋" w:hAnsi="仿宋" w:eastAsia="仿宋" w:cs="仿宋"/>
          <w:bCs/>
          <w:highlight w:val="none"/>
        </w:rPr>
        <w:instrText xml:space="preserve"> HYPERLINK \l _Toc24967 </w:instrText>
      </w:r>
      <w:r>
        <w:rPr>
          <w:rFonts w:hint="eastAsia" w:ascii="仿宋" w:hAnsi="仿宋" w:eastAsia="仿宋" w:cs="仿宋"/>
          <w:bCs/>
          <w:highlight w:val="none"/>
        </w:rPr>
        <w:fldChar w:fldCharType="separate"/>
      </w:r>
      <w:r>
        <w:rPr>
          <w:rFonts w:hint="eastAsia" w:ascii="仿宋" w:hAnsi="仿宋" w:eastAsia="仿宋" w:cs="仿宋"/>
          <w:bCs/>
          <w:szCs w:val="36"/>
          <w:highlight w:val="none"/>
        </w:rPr>
        <w:t xml:space="preserve">第四章  </w:t>
      </w:r>
      <w:r>
        <w:rPr>
          <w:rFonts w:hint="eastAsia" w:ascii="仿宋" w:hAnsi="仿宋" w:eastAsia="仿宋" w:cs="仿宋"/>
          <w:bCs/>
          <w:highlight w:val="none"/>
        </w:rPr>
        <w:t>合同主要条款（</w:t>
      </w:r>
      <w:r>
        <w:rPr>
          <w:rFonts w:hint="eastAsia" w:ascii="仿宋" w:hAnsi="仿宋" w:eastAsia="仿宋" w:cs="仿宋"/>
          <w:bCs/>
          <w:highlight w:val="none"/>
          <w:lang w:val="en-US" w:eastAsia="zh-CN"/>
        </w:rPr>
        <w:t>仅供</w:t>
      </w:r>
      <w:r>
        <w:rPr>
          <w:rFonts w:hint="eastAsia" w:ascii="仿宋" w:hAnsi="仿宋" w:eastAsia="仿宋" w:cs="仿宋"/>
          <w:bCs/>
          <w:highlight w:val="none"/>
        </w:rPr>
        <w:t>参考）</w:t>
      </w:r>
      <w:r>
        <w:tab/>
      </w:r>
      <w:r>
        <w:fldChar w:fldCharType="begin"/>
      </w:r>
      <w:r>
        <w:instrText xml:space="preserve"> PAGEREF _Toc24967 \h </w:instrText>
      </w:r>
      <w:r>
        <w:fldChar w:fldCharType="separate"/>
      </w:r>
      <w:r>
        <w:t>35</w:t>
      </w:r>
      <w:r>
        <w:fldChar w:fldCharType="end"/>
      </w:r>
      <w:r>
        <w:rPr>
          <w:rFonts w:hint="eastAsia" w:ascii="仿宋" w:hAnsi="仿宋" w:eastAsia="仿宋" w:cs="仿宋"/>
          <w:bCs/>
          <w:color w:val="auto"/>
          <w:highlight w:val="none"/>
        </w:rPr>
        <w:fldChar w:fldCharType="end"/>
      </w:r>
    </w:p>
    <w:p>
      <w:pPr>
        <w:pStyle w:val="16"/>
        <w:tabs>
          <w:tab w:val="right" w:leader="dot" w:pos="9070"/>
          <w:tab w:val="clear" w:pos="9344"/>
        </w:tabs>
      </w:pPr>
      <w:r>
        <w:rPr>
          <w:rFonts w:hint="eastAsia" w:ascii="仿宋" w:hAnsi="仿宋" w:eastAsia="仿宋" w:cs="仿宋"/>
          <w:bCs/>
          <w:color w:val="auto"/>
          <w:highlight w:val="none"/>
        </w:rPr>
        <w:fldChar w:fldCharType="begin"/>
      </w:r>
      <w:r>
        <w:rPr>
          <w:rFonts w:hint="eastAsia" w:ascii="仿宋" w:hAnsi="仿宋" w:eastAsia="仿宋" w:cs="仿宋"/>
          <w:bCs/>
          <w:highlight w:val="none"/>
        </w:rPr>
        <w:instrText xml:space="preserve"> HYPERLINK \l _Toc2228 </w:instrText>
      </w:r>
      <w:r>
        <w:rPr>
          <w:rFonts w:hint="eastAsia" w:ascii="仿宋" w:hAnsi="仿宋" w:eastAsia="仿宋" w:cs="仿宋"/>
          <w:bCs/>
          <w:highlight w:val="none"/>
        </w:rPr>
        <w:fldChar w:fldCharType="separate"/>
      </w:r>
      <w:r>
        <w:rPr>
          <w:rFonts w:hint="eastAsia" w:ascii="仿宋" w:hAnsi="仿宋" w:eastAsia="仿宋" w:cs="仿宋"/>
          <w:bCs/>
          <w:kern w:val="2"/>
          <w:szCs w:val="36"/>
          <w:highlight w:val="none"/>
          <w:lang w:val="en-US" w:eastAsia="zh-CN"/>
        </w:rPr>
        <w:t>第五章  采购内容及要求</w:t>
      </w:r>
      <w:r>
        <w:tab/>
      </w:r>
      <w:r>
        <w:fldChar w:fldCharType="begin"/>
      </w:r>
      <w:r>
        <w:instrText xml:space="preserve"> PAGEREF _Toc2228 \h </w:instrText>
      </w:r>
      <w:r>
        <w:fldChar w:fldCharType="separate"/>
      </w:r>
      <w:r>
        <w:t>39</w:t>
      </w:r>
      <w:r>
        <w:fldChar w:fldCharType="end"/>
      </w:r>
      <w:r>
        <w:rPr>
          <w:rFonts w:hint="eastAsia" w:ascii="仿宋" w:hAnsi="仿宋" w:eastAsia="仿宋" w:cs="仿宋"/>
          <w:bCs/>
          <w:color w:val="auto"/>
          <w:highlight w:val="none"/>
        </w:rPr>
        <w:fldChar w:fldCharType="end"/>
      </w:r>
    </w:p>
    <w:p>
      <w:pPr>
        <w:pStyle w:val="16"/>
        <w:tabs>
          <w:tab w:val="right" w:leader="dot" w:pos="9070"/>
          <w:tab w:val="clear" w:pos="9344"/>
        </w:tabs>
      </w:pPr>
      <w:r>
        <w:rPr>
          <w:rFonts w:hint="eastAsia" w:ascii="仿宋" w:hAnsi="仿宋" w:eastAsia="仿宋" w:cs="仿宋"/>
          <w:bCs/>
          <w:color w:val="auto"/>
          <w:highlight w:val="none"/>
        </w:rPr>
        <w:fldChar w:fldCharType="begin"/>
      </w:r>
      <w:r>
        <w:rPr>
          <w:rFonts w:hint="eastAsia" w:ascii="仿宋" w:hAnsi="仿宋" w:eastAsia="仿宋" w:cs="仿宋"/>
          <w:bCs/>
          <w:highlight w:val="none"/>
        </w:rPr>
        <w:instrText xml:space="preserve"> HYPERLINK \l _Toc19393 </w:instrText>
      </w:r>
      <w:r>
        <w:rPr>
          <w:rFonts w:hint="eastAsia" w:ascii="仿宋" w:hAnsi="仿宋" w:eastAsia="仿宋" w:cs="仿宋"/>
          <w:bCs/>
          <w:highlight w:val="none"/>
        </w:rPr>
        <w:fldChar w:fldCharType="separate"/>
      </w:r>
      <w:r>
        <w:rPr>
          <w:rFonts w:hint="eastAsia" w:ascii="仿宋" w:hAnsi="仿宋" w:eastAsia="仿宋" w:cs="仿宋"/>
          <w:bCs/>
          <w:kern w:val="2"/>
          <w:szCs w:val="36"/>
          <w:highlight w:val="none"/>
          <w:lang w:val="en-US" w:eastAsia="zh-CN"/>
        </w:rPr>
        <w:t>第六章  商务条款</w:t>
      </w:r>
      <w:r>
        <w:tab/>
      </w:r>
      <w:r>
        <w:fldChar w:fldCharType="begin"/>
      </w:r>
      <w:r>
        <w:instrText xml:space="preserve"> PAGEREF _Toc19393 \h </w:instrText>
      </w:r>
      <w:r>
        <w:fldChar w:fldCharType="separate"/>
      </w:r>
      <w:r>
        <w:t>41</w:t>
      </w:r>
      <w:r>
        <w:fldChar w:fldCharType="end"/>
      </w:r>
      <w:r>
        <w:rPr>
          <w:rFonts w:hint="eastAsia" w:ascii="仿宋" w:hAnsi="仿宋" w:eastAsia="仿宋" w:cs="仿宋"/>
          <w:bCs/>
          <w:color w:val="auto"/>
          <w:highlight w:val="none"/>
        </w:rPr>
        <w:fldChar w:fldCharType="end"/>
      </w:r>
    </w:p>
    <w:p>
      <w:pPr>
        <w:pStyle w:val="16"/>
        <w:tabs>
          <w:tab w:val="right" w:leader="dot" w:pos="9070"/>
          <w:tab w:val="clear" w:pos="9344"/>
        </w:tabs>
      </w:pPr>
      <w:r>
        <w:rPr>
          <w:rFonts w:hint="eastAsia" w:ascii="仿宋" w:hAnsi="仿宋" w:eastAsia="仿宋" w:cs="仿宋"/>
          <w:bCs/>
          <w:color w:val="auto"/>
          <w:highlight w:val="none"/>
        </w:rPr>
        <w:fldChar w:fldCharType="begin"/>
      </w:r>
      <w:r>
        <w:rPr>
          <w:rFonts w:hint="eastAsia" w:ascii="仿宋" w:hAnsi="仿宋" w:eastAsia="仿宋" w:cs="仿宋"/>
          <w:bCs/>
          <w:highlight w:val="none"/>
        </w:rPr>
        <w:instrText xml:space="preserve"> HYPERLINK \l _Toc18508 </w:instrText>
      </w:r>
      <w:r>
        <w:rPr>
          <w:rFonts w:hint="eastAsia" w:ascii="仿宋" w:hAnsi="仿宋" w:eastAsia="仿宋" w:cs="仿宋"/>
          <w:bCs/>
          <w:highlight w:val="none"/>
        </w:rPr>
        <w:fldChar w:fldCharType="separate"/>
      </w:r>
      <w:r>
        <w:rPr>
          <w:rFonts w:hint="eastAsia" w:ascii="仿宋" w:hAnsi="仿宋" w:eastAsia="仿宋" w:cs="仿宋"/>
          <w:bCs/>
          <w:kern w:val="2"/>
          <w:szCs w:val="36"/>
          <w:highlight w:val="none"/>
          <w:lang w:val="en-US" w:eastAsia="zh-CN"/>
        </w:rPr>
        <w:t>第七章  磋商响应文件的构成及格式</w:t>
      </w:r>
      <w:r>
        <w:tab/>
      </w:r>
      <w:r>
        <w:fldChar w:fldCharType="begin"/>
      </w:r>
      <w:r>
        <w:instrText xml:space="preserve"> PAGEREF _Toc18508 \h </w:instrText>
      </w:r>
      <w:r>
        <w:fldChar w:fldCharType="separate"/>
      </w:r>
      <w:r>
        <w:t>43</w:t>
      </w:r>
      <w:r>
        <w:fldChar w:fldCharType="end"/>
      </w:r>
      <w:r>
        <w:rPr>
          <w:rFonts w:hint="eastAsia" w:ascii="仿宋" w:hAnsi="仿宋" w:eastAsia="仿宋" w:cs="仿宋"/>
          <w:bCs/>
          <w:color w:val="auto"/>
          <w:highlight w:val="none"/>
        </w:rPr>
        <w:fldChar w:fldCharType="end"/>
      </w:r>
    </w:p>
    <w:p>
      <w:pPr>
        <w:pStyle w:val="16"/>
        <w:tabs>
          <w:tab w:val="right" w:leader="dot" w:pos="9070"/>
          <w:tab w:val="clear" w:pos="9344"/>
        </w:tabs>
      </w:pPr>
      <w:r>
        <w:rPr>
          <w:rFonts w:hint="eastAsia" w:ascii="仿宋" w:hAnsi="仿宋" w:eastAsia="仿宋" w:cs="仿宋"/>
          <w:bCs/>
          <w:color w:val="auto"/>
          <w:highlight w:val="none"/>
        </w:rPr>
        <w:fldChar w:fldCharType="begin"/>
      </w:r>
      <w:r>
        <w:rPr>
          <w:rFonts w:hint="eastAsia" w:ascii="仿宋" w:hAnsi="仿宋" w:eastAsia="仿宋" w:cs="仿宋"/>
          <w:bCs/>
          <w:highlight w:val="none"/>
        </w:rPr>
        <w:instrText xml:space="preserve"> HYPERLINK \l _Toc29512 </w:instrText>
      </w:r>
      <w:r>
        <w:rPr>
          <w:rFonts w:hint="eastAsia" w:ascii="仿宋" w:hAnsi="仿宋" w:eastAsia="仿宋" w:cs="仿宋"/>
          <w:bCs/>
          <w:highlight w:val="none"/>
        </w:rPr>
        <w:fldChar w:fldCharType="separate"/>
      </w:r>
      <w:r>
        <w:rPr>
          <w:rFonts w:hint="eastAsia" w:ascii="仿宋" w:hAnsi="仿宋" w:eastAsia="仿宋" w:cs="仿宋"/>
          <w:bCs/>
          <w:szCs w:val="44"/>
          <w:highlight w:val="none"/>
          <w:lang w:val="en-US" w:eastAsia="zh-CN"/>
        </w:rPr>
        <w:t>最终</w:t>
      </w:r>
      <w:r>
        <w:rPr>
          <w:rFonts w:hint="eastAsia" w:ascii="仿宋" w:hAnsi="仿宋" w:eastAsia="仿宋" w:cs="仿宋"/>
          <w:bCs/>
          <w:szCs w:val="44"/>
          <w:highlight w:val="none"/>
          <w:lang w:val="zh-CN" w:eastAsia="zh-CN"/>
        </w:rPr>
        <w:t>报价</w:t>
      </w:r>
      <w:r>
        <w:rPr>
          <w:rFonts w:hint="eastAsia" w:ascii="仿宋" w:hAnsi="仿宋" w:eastAsia="仿宋" w:cs="仿宋"/>
          <w:bCs/>
          <w:szCs w:val="44"/>
          <w:highlight w:val="none"/>
        </w:rPr>
        <w:t>表</w:t>
      </w:r>
      <w:r>
        <w:tab/>
      </w:r>
      <w:r>
        <w:fldChar w:fldCharType="begin"/>
      </w:r>
      <w:r>
        <w:instrText xml:space="preserve"> PAGEREF _Toc29512 \h </w:instrText>
      </w:r>
      <w:r>
        <w:fldChar w:fldCharType="separate"/>
      </w:r>
      <w:r>
        <w:t>65</w:t>
      </w:r>
      <w:r>
        <w:fldChar w:fldCharType="end"/>
      </w:r>
      <w:r>
        <w:rPr>
          <w:rFonts w:hint="eastAsia" w:ascii="仿宋" w:hAnsi="仿宋" w:eastAsia="仿宋" w:cs="仿宋"/>
          <w:bCs/>
          <w:color w:val="auto"/>
          <w:highlight w:val="none"/>
        </w:rPr>
        <w:fldChar w:fldCharType="end"/>
      </w:r>
    </w:p>
    <w:p>
      <w:pPr>
        <w:pStyle w:val="16"/>
        <w:tabs>
          <w:tab w:val="right" w:leader="dot" w:pos="9070"/>
          <w:tab w:val="clear" w:pos="9344"/>
        </w:tabs>
      </w:pPr>
      <w:r>
        <w:rPr>
          <w:rFonts w:hint="eastAsia" w:ascii="仿宋" w:hAnsi="仿宋" w:eastAsia="仿宋" w:cs="仿宋"/>
          <w:bCs/>
          <w:color w:val="auto"/>
          <w:highlight w:val="none"/>
        </w:rPr>
        <w:fldChar w:fldCharType="begin"/>
      </w:r>
      <w:r>
        <w:rPr>
          <w:rFonts w:hint="eastAsia" w:ascii="仿宋" w:hAnsi="仿宋" w:eastAsia="仿宋" w:cs="仿宋"/>
          <w:bCs/>
          <w:highlight w:val="none"/>
        </w:rPr>
        <w:instrText xml:space="preserve"> HYPERLINK \l _Toc31593 </w:instrText>
      </w:r>
      <w:r>
        <w:rPr>
          <w:rFonts w:hint="eastAsia" w:ascii="仿宋" w:hAnsi="仿宋" w:eastAsia="仿宋" w:cs="仿宋"/>
          <w:bCs/>
          <w:highlight w:val="none"/>
        </w:rPr>
        <w:fldChar w:fldCharType="separate"/>
      </w:r>
      <w:r>
        <w:rPr>
          <w:rFonts w:hint="eastAsia" w:ascii="仿宋" w:hAnsi="仿宋" w:eastAsia="仿宋" w:cs="仿宋"/>
          <w:bCs/>
          <w:szCs w:val="28"/>
          <w:highlight w:val="none"/>
          <w:lang w:val="en-US" w:eastAsia="zh-CN"/>
        </w:rPr>
        <w:t>其他附件（此附件不作为投标响应文件格式）</w:t>
      </w:r>
      <w:r>
        <w:tab/>
      </w:r>
      <w:r>
        <w:fldChar w:fldCharType="begin"/>
      </w:r>
      <w:r>
        <w:instrText xml:space="preserve"> PAGEREF _Toc31593 \h </w:instrText>
      </w:r>
      <w:r>
        <w:fldChar w:fldCharType="separate"/>
      </w:r>
      <w:r>
        <w:t>66</w:t>
      </w:r>
      <w:r>
        <w:fldChar w:fldCharType="end"/>
      </w:r>
      <w:r>
        <w:rPr>
          <w:rFonts w:hint="eastAsia" w:ascii="仿宋" w:hAnsi="仿宋" w:eastAsia="仿宋" w:cs="仿宋"/>
          <w:bCs/>
          <w:color w:val="auto"/>
          <w:highlight w:val="none"/>
        </w:rPr>
        <w:fldChar w:fldCharType="end"/>
      </w:r>
    </w:p>
    <w:p>
      <w:pPr>
        <w:pStyle w:val="21"/>
        <w:spacing w:line="360" w:lineRule="auto"/>
        <w:rPr>
          <w:rFonts w:hint="eastAsia" w:ascii="仿宋" w:hAnsi="仿宋" w:eastAsia="仿宋" w:cs="仿宋"/>
          <w:bCs/>
          <w:color w:val="auto"/>
          <w:highlight w:val="none"/>
        </w:rPr>
      </w:pPr>
      <w:r>
        <w:rPr>
          <w:rFonts w:hint="eastAsia" w:ascii="仿宋" w:hAnsi="仿宋" w:eastAsia="仿宋" w:cs="仿宋"/>
          <w:bCs/>
          <w:color w:val="auto"/>
          <w:highlight w:val="none"/>
        </w:rPr>
        <w:fldChar w:fldCharType="end"/>
      </w:r>
      <w:bookmarkStart w:id="10" w:name="_Toc58504445"/>
      <w:bookmarkStart w:id="11" w:name="_Toc21755"/>
      <w:bookmarkStart w:id="12" w:name="_Toc16634"/>
      <w:bookmarkStart w:id="13" w:name="_Toc68590965"/>
      <w:bookmarkStart w:id="14" w:name="_Toc31928"/>
      <w:bookmarkStart w:id="15" w:name="_Toc415499894"/>
      <w:bookmarkStart w:id="16" w:name="_Toc53722839"/>
      <w:bookmarkStart w:id="17" w:name="_Toc503063420"/>
      <w:bookmarkStart w:id="18" w:name="_Toc492955413"/>
      <w:bookmarkStart w:id="19" w:name="_Toc500747060"/>
      <w:bookmarkStart w:id="20" w:name="_Toc499711041"/>
      <w:bookmarkStart w:id="21" w:name="_Toc499711882"/>
      <w:bookmarkStart w:id="22" w:name="_Toc496324577"/>
      <w:bookmarkStart w:id="23" w:name="_Toc500747187"/>
      <w:bookmarkStart w:id="24" w:name="_Toc177189234"/>
      <w:bookmarkStart w:id="25" w:name="_Toc177817333"/>
      <w:bookmarkStart w:id="26" w:name="_Toc176882541"/>
      <w:bookmarkStart w:id="27" w:name="_Toc70687138"/>
      <w:bookmarkStart w:id="28" w:name="_Toc177995472"/>
      <w:bookmarkStart w:id="29" w:name="_Toc500746964"/>
      <w:bookmarkStart w:id="30" w:name="_Toc385992325"/>
      <w:bookmarkStart w:id="31" w:name="_Toc385992324"/>
    </w:p>
    <w:p>
      <w:pPr>
        <w:pStyle w:val="21"/>
        <w:spacing w:line="360" w:lineRule="auto"/>
        <w:ind w:left="0" w:leftChars="0" w:firstLine="0" w:firstLineChars="0"/>
        <w:jc w:val="center"/>
        <w:outlineLvl w:val="0"/>
        <w:rPr>
          <w:rStyle w:val="37"/>
          <w:rFonts w:hint="eastAsia" w:ascii="仿宋" w:hAnsi="仿宋" w:eastAsia="仿宋" w:cs="仿宋"/>
          <w:b/>
          <w:bCs/>
          <w:color w:val="auto"/>
          <w:sz w:val="36"/>
          <w:szCs w:val="36"/>
          <w:highlight w:val="none"/>
        </w:rPr>
        <w:sectPr>
          <w:headerReference r:id="rId3"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linePitch="312" w:charSpace="0"/>
        </w:sectPr>
      </w:pPr>
    </w:p>
    <w:p>
      <w:pPr>
        <w:pStyle w:val="21"/>
        <w:spacing w:line="360" w:lineRule="auto"/>
        <w:ind w:left="0" w:leftChars="0" w:firstLine="640" w:firstLineChars="177"/>
        <w:jc w:val="center"/>
        <w:outlineLvl w:val="0"/>
        <w:rPr>
          <w:rStyle w:val="37"/>
          <w:rFonts w:hint="eastAsia" w:ascii="仿宋" w:hAnsi="仿宋" w:eastAsia="仿宋" w:cs="仿宋"/>
          <w:color w:val="auto"/>
          <w:sz w:val="36"/>
          <w:szCs w:val="36"/>
          <w:highlight w:val="none"/>
        </w:rPr>
      </w:pPr>
      <w:bookmarkStart w:id="32" w:name="_Toc28333"/>
      <w:r>
        <w:rPr>
          <w:rStyle w:val="37"/>
          <w:rFonts w:hint="eastAsia" w:ascii="仿宋" w:hAnsi="仿宋" w:eastAsia="仿宋" w:cs="仿宋"/>
          <w:b/>
          <w:bCs/>
          <w:color w:val="auto"/>
          <w:sz w:val="36"/>
          <w:szCs w:val="36"/>
          <w:highlight w:val="none"/>
        </w:rPr>
        <w:t>第一章  磋商公告</w:t>
      </w:r>
      <w:bookmarkEnd w:id="10"/>
      <w:bookmarkEnd w:id="11"/>
      <w:bookmarkEnd w:id="12"/>
      <w:bookmarkEnd w:id="13"/>
      <w:bookmarkEnd w:id="14"/>
      <w:bookmarkEnd w:id="15"/>
      <w:bookmarkEnd w:id="32"/>
    </w:p>
    <w:bookmarkEnd w:id="16"/>
    <w:bookmarkEnd w:id="17"/>
    <w:bookmarkEnd w:id="18"/>
    <w:bookmarkEnd w:id="19"/>
    <w:bookmarkEnd w:id="20"/>
    <w:bookmarkEnd w:id="21"/>
    <w:bookmarkEnd w:id="22"/>
    <w:bookmarkEnd w:id="23"/>
    <w:bookmarkEnd w:id="24"/>
    <w:bookmarkEnd w:id="25"/>
    <w:bookmarkEnd w:id="26"/>
    <w:bookmarkEnd w:id="27"/>
    <w:bookmarkEnd w:id="28"/>
    <w:bookmarkEnd w:id="29"/>
    <w:p>
      <w:pPr>
        <w:bidi w:val="0"/>
        <w:spacing w:line="360" w:lineRule="auto"/>
        <w:rPr>
          <w:rFonts w:hint="eastAsia" w:ascii="仿宋" w:hAnsi="仿宋" w:eastAsia="仿宋" w:cs="仿宋"/>
          <w:b/>
          <w:bCs/>
          <w:color w:val="auto"/>
          <w:sz w:val="24"/>
          <w:szCs w:val="24"/>
          <w:highlight w:val="none"/>
          <w:lang w:val="en-US" w:eastAsia="zh-CN"/>
        </w:rPr>
      </w:pPr>
      <w:bookmarkStart w:id="33" w:name="_Toc230013631"/>
      <w:bookmarkStart w:id="34" w:name="_Toc184043011"/>
      <w:bookmarkStart w:id="35" w:name="_Toc232395211"/>
      <w:bookmarkStart w:id="36" w:name="_Toc249515389"/>
      <w:bookmarkStart w:id="37" w:name="_Toc68590966"/>
      <w:bookmarkStart w:id="38" w:name="_Toc58504446"/>
      <w:bookmarkStart w:id="39" w:name="_Toc230583540"/>
      <w:bookmarkStart w:id="40" w:name="_Toc415499895"/>
      <w:bookmarkStart w:id="41" w:name="_Toc230099796"/>
      <w:bookmarkStart w:id="42" w:name="_Toc21126"/>
      <w:bookmarkStart w:id="43" w:name="_Toc249525158"/>
      <w:bookmarkStart w:id="44" w:name="_Toc256342142"/>
      <w:bookmarkStart w:id="45" w:name="_Toc232176271"/>
      <w:bookmarkStart w:id="46" w:name="_Toc249515277"/>
      <w:bookmarkStart w:id="47" w:name="_Toc1237"/>
      <w:bookmarkStart w:id="48" w:name="_Toc26343"/>
      <w:bookmarkStart w:id="49" w:name="_Toc500747188"/>
      <w:bookmarkStart w:id="50" w:name="_Toc176882542"/>
      <w:bookmarkStart w:id="51" w:name="_Toc492955414"/>
      <w:bookmarkStart w:id="52" w:name="_Toc499711883"/>
      <w:bookmarkStart w:id="53" w:name="_Toc70687139"/>
      <w:bookmarkStart w:id="54" w:name="_Toc53722840"/>
      <w:bookmarkStart w:id="55" w:name="_Toc184043012"/>
      <w:bookmarkStart w:id="56" w:name="_Toc230099797"/>
      <w:bookmarkStart w:id="57" w:name="_Toc249515390"/>
      <w:bookmarkStart w:id="58" w:name="_Toc232176272"/>
      <w:bookmarkStart w:id="59" w:name="_Toc249515278"/>
      <w:bookmarkStart w:id="60" w:name="_Toc177995473"/>
      <w:bookmarkStart w:id="61" w:name="_Toc256342143"/>
      <w:bookmarkStart w:id="62" w:name="_Toc249525159"/>
      <w:bookmarkStart w:id="63" w:name="_Toc500747061"/>
      <w:bookmarkStart w:id="64" w:name="_Toc499711042"/>
      <w:bookmarkStart w:id="65" w:name="_Toc503063421"/>
      <w:bookmarkStart w:id="66" w:name="_Toc500746965"/>
      <w:bookmarkStart w:id="67" w:name="_Toc496324578"/>
      <w:bookmarkStart w:id="68" w:name="_Toc177189235"/>
      <w:bookmarkStart w:id="69" w:name="_Toc230013632"/>
      <w:bookmarkStart w:id="70" w:name="_Toc232395212"/>
      <w:bookmarkStart w:id="71" w:name="_Toc177817334"/>
      <w:bookmarkStart w:id="72" w:name="_Toc230583541"/>
      <w:r>
        <w:rPr>
          <w:rFonts w:hint="eastAsia" w:ascii="仿宋" w:hAnsi="仿宋" w:eastAsia="仿宋" w:cs="仿宋"/>
          <w:b/>
          <w:bCs/>
          <w:color w:val="auto"/>
          <w:sz w:val="24"/>
          <w:szCs w:val="24"/>
          <w:highlight w:val="none"/>
          <w:lang w:val="en-US" w:eastAsia="zh-CN"/>
        </w:rPr>
        <w:t>项目概况</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子洲县2024年度非农建设补充耕地指标核定项目（二次）采购项目的潜在供应商应在登录全国公共资源交易中心平台（陕西省）使用CA锁报名后自行下载获取采购文件，并于2025年09月28日09时30分（北京时间）前提交响应文件。</w:t>
      </w:r>
    </w:p>
    <w:p>
      <w:pPr>
        <w:bidi w:val="0"/>
        <w:spacing w:line="360" w:lineRule="auto"/>
        <w:ind w:left="0" w:leftChars="0" w:firstLine="426" w:firstLineChars="177"/>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一、项目基本情况</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项目编号：QZMS2025-ZFCGY017</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项目名称：子洲县2024年度非农建设补充耕地指标核定项目（二次）</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采购方式：竞争性磋商</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预算金额：486,991.36元</w:t>
      </w:r>
    </w:p>
    <w:p>
      <w:pPr>
        <w:bidi w:val="0"/>
        <w:spacing w:line="360" w:lineRule="auto"/>
        <w:ind w:left="0" w:leftChars="0" w:firstLine="426" w:firstLineChars="177"/>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采购需求：</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合同包1(子洲县2024年度非农建设补充耕地指标核定项目（二次）):</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合同包预算金额：486,991.36元</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合同包最高限价：486,991.36元</w:t>
      </w:r>
    </w:p>
    <w:tbl>
      <w:tblPr>
        <w:tblStyle w:val="22"/>
        <w:tblW w:w="897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88"/>
        <w:gridCol w:w="1208"/>
        <w:gridCol w:w="2698"/>
        <w:gridCol w:w="1058"/>
        <w:gridCol w:w="1632"/>
        <w:gridCol w:w="13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77" w:hRule="atLeast"/>
          <w:tblHeader/>
        </w:trPr>
        <w:tc>
          <w:tcPr>
            <w:tcW w:w="988"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品目号</w:t>
            </w:r>
          </w:p>
        </w:tc>
        <w:tc>
          <w:tcPr>
            <w:tcW w:w="1208"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品目名称</w:t>
            </w:r>
          </w:p>
        </w:tc>
        <w:tc>
          <w:tcPr>
            <w:tcW w:w="2698"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采购标的</w:t>
            </w:r>
          </w:p>
        </w:tc>
        <w:tc>
          <w:tcPr>
            <w:tcW w:w="1058"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数量（单位）</w:t>
            </w:r>
          </w:p>
        </w:tc>
        <w:tc>
          <w:tcPr>
            <w:tcW w:w="163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技术规格、参数及要求</w:t>
            </w:r>
          </w:p>
        </w:tc>
        <w:tc>
          <w:tcPr>
            <w:tcW w:w="1393"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spacing w:line="240" w:lineRule="auto"/>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品目预算(元)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41" w:hRule="atLeast"/>
        </w:trPr>
        <w:tc>
          <w:tcPr>
            <w:tcW w:w="988"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208"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区域规划和设计服务</w:t>
            </w:r>
          </w:p>
        </w:tc>
        <w:tc>
          <w:tcPr>
            <w:tcW w:w="2698"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子洲县2024年度非农建设补充耕地指标核定项目（二次）</w:t>
            </w:r>
          </w:p>
        </w:tc>
        <w:tc>
          <w:tcPr>
            <w:tcW w:w="1058"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1(项)</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详见采购文件</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486,991.36</w:t>
            </w:r>
          </w:p>
        </w:tc>
      </w:tr>
    </w:tbl>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本合同包不接受联合体投标</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合同履行期限：详见采购文件</w:t>
      </w:r>
    </w:p>
    <w:p>
      <w:pPr>
        <w:bidi w:val="0"/>
        <w:spacing w:line="360" w:lineRule="auto"/>
        <w:ind w:left="0" w:leftChars="0" w:firstLine="426" w:firstLineChars="177"/>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二、申请人的资格要求：</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1.满足《中华人民共和国政府采购法》第二十二条规定;</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2.落实政府采购政策需满足的资格要求：</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合同包1(子洲县2024年度非农建设补充耕地指标核定项目（二次）)落实政府采购政策需满足的资格要求如下:</w:t>
      </w:r>
    </w:p>
    <w:p>
      <w:pPr>
        <w:bidi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(1)《政府采购促进中小企业发展管理办法》（财库〔2020〕46号）；</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(2）《财政部司法部关于政府采购支持监狱企业发展有关问题的通知》（财库〔2014〕68号）；</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(3）《国务院办公厅关于建立政府强制采购节能产品制度的通知》（国办发〔2007〕51号）；</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（4）《节能产品政府采购实施意见》（财库[2004]185号）；</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（5）《环境标志产品政府采购实施的意见》（财库[2006]90号）；</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（6）《财政部、民政部、中国残疾人联合会关于促进残疾人就业政府采购政策的通知》（财库[2017]141号）；</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（7）陕西省财政厅关于印发《陕西省中小企业政府采购信用融资办法》（陕财办采〔2018〕23号）；相关政策、业务流程、办理平台(http://www.ccgpshaanxi.gov.cn/zcdservice/zcd/shanxi/)；</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（8）《关于在政府采购活动中查询及使用信用记录有关问题的通知》（财库〔2016〕125号）；</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（9）《榆林市财政局关于进一步加大政府采购支持中小企业力度的通知》（榆政财采发〔2022〕10号)；</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（10）《陕西省财政厅关于进一步加大政府采购支持中小企业力度的通知》(陕财采发〔2022〕5号)；</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（11）《陕西省财政厅中国人民银行西安分行关于深人推进政府采购信用融资业务的通知》（陕财办采〔2023]5号）；</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（12）其他需要落实的政府采购政策（如有最新颁布的政府采购政策，按最新文件执行）。</w:t>
      </w:r>
    </w:p>
    <w:p>
      <w:pPr>
        <w:bidi w:val="0"/>
        <w:spacing w:line="360" w:lineRule="auto"/>
        <w:ind w:left="0" w:leftChars="0" w:firstLine="426" w:firstLineChars="177"/>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3.本项目的特定资格要求：</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合同包1(子洲县2024年度非农建设补充耕地指标核定项目（二次）)特定资格要求如下:</w:t>
      </w:r>
    </w:p>
    <w:p>
      <w:pPr>
        <w:numPr>
          <w:ilvl w:val="0"/>
          <w:numId w:val="1"/>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numPr>
          <w:ilvl w:val="0"/>
          <w:numId w:val="1"/>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资质要求：投标人须具备有效的国家行政主管部门颁发的乙级及以上测绘资质证书。</w:t>
      </w:r>
    </w:p>
    <w:p>
      <w:pPr>
        <w:numPr>
          <w:ilvl w:val="0"/>
          <w:numId w:val="1"/>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财务状况报告：提供企业赋码后2024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p>
    <w:p>
      <w:pPr>
        <w:numPr>
          <w:ilvl w:val="0"/>
          <w:numId w:val="1"/>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社会保障资金缴纳证明：提供2025年01月至今已缴纳的至少一个月的社会保障资金银行缴费单据或社保机构开具的社会保险参保缴费情况证明，依法不需要缴纳社会保障资金的单位应提供相关证明材料。</w:t>
      </w:r>
    </w:p>
    <w:p>
      <w:pPr>
        <w:numPr>
          <w:ilvl w:val="0"/>
          <w:numId w:val="1"/>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税收缴纳证明：提供2025年01月至今已缴纳的至少一个月的纳税证明（银行缴费凭证）或完税证明（时间以税款所属日期为准、税种须包含增值税或企业所得税），依法免税的单位应提供相关证明材料。</w:t>
      </w:r>
    </w:p>
    <w:p>
      <w:pPr>
        <w:numPr>
          <w:ilvl w:val="0"/>
          <w:numId w:val="1"/>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参加政府采购活动前三年内，在经营活动中没有重大违法记录的书面声明。</w:t>
      </w:r>
    </w:p>
    <w:p>
      <w:pPr>
        <w:numPr>
          <w:ilvl w:val="0"/>
          <w:numId w:val="1"/>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提供具有履行合同所必需的设备和专业技术能力的证明资料或承诺书。</w:t>
      </w:r>
    </w:p>
    <w:p>
      <w:pPr>
        <w:numPr>
          <w:ilvl w:val="0"/>
          <w:numId w:val="1"/>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列入“信用中国”网站(www.creditchina.gov.cn)“失信被执行人、税收违法黑名单、异常经营名录”记录名单；“中国政府采购网”(www.ccgp.gov.cn)“政府采购严重违法失信行为信息记录”的单位，应当拒绝参与政府采购活动（查询日期为从招标文件获取之日起至投标截止日前但最终以投标截止日当天查询结果为准）。</w:t>
      </w:r>
    </w:p>
    <w:p>
      <w:pPr>
        <w:numPr>
          <w:ilvl w:val="0"/>
          <w:numId w:val="1"/>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提供榆林市政府采购服务类项目供应商信用承诺书。</w:t>
      </w:r>
    </w:p>
    <w:p>
      <w:pPr>
        <w:numPr>
          <w:ilvl w:val="0"/>
          <w:numId w:val="1"/>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自主上报信用承诺书：投标人及其授权委托人应在“信用中国（陕西榆林）”网站(https://credit.yl.gov.cn/)进行注册、登录、自主上报信用承诺书，包括：《投标人信用承诺》、《投标人委托代理人员信用承诺书》、《投标信用承诺书》（具体操作格式及要求详见招标文件）。</w:t>
      </w:r>
    </w:p>
    <w:p>
      <w:pPr>
        <w:pStyle w:val="19"/>
        <w:numPr>
          <w:ilvl w:val="0"/>
          <w:numId w:val="0"/>
        </w:numPr>
        <w:wordWrap w:val="0"/>
        <w:spacing w:before="0" w:beforeAutospacing="0" w:after="0" w:afterAutospacing="0" w:line="360" w:lineRule="auto"/>
        <w:ind w:left="426" w:leftChars="202" w:hanging="2" w:hangingChars="1"/>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szCs w:val="24"/>
          <w:shd w:val="clear" w:color="auto" w:fill="FFFFFF"/>
          <w:lang w:val="en-US" w:eastAsia="zh-CN"/>
        </w:rPr>
        <w:t>（11）</w:t>
      </w:r>
      <w:r>
        <w:rPr>
          <w:rFonts w:hint="eastAsia" w:ascii="仿宋" w:hAnsi="仿宋" w:eastAsia="仿宋" w:cs="仿宋"/>
          <w:color w:val="auto"/>
          <w:szCs w:val="24"/>
        </w:rPr>
        <w:t>本项目专门面向中小企业采购，投标人应提供《中小企业声明函》。</w:t>
      </w:r>
    </w:p>
    <w:p>
      <w:pPr>
        <w:pStyle w:val="19"/>
        <w:numPr>
          <w:ilvl w:val="0"/>
          <w:numId w:val="0"/>
        </w:numPr>
        <w:wordWrap w:val="0"/>
        <w:spacing w:before="0" w:beforeAutospacing="0" w:after="0" w:afterAutospacing="0" w:line="360" w:lineRule="auto"/>
        <w:ind w:left="425" w:leftChars="0" w:hanging="425" w:firstLineChars="0"/>
        <w:jc w:val="both"/>
        <w:rPr>
          <w:rFonts w:hint="eastAsia" w:ascii="仿宋" w:hAnsi="仿宋" w:eastAsia="仿宋" w:cs="仿宋"/>
          <w:color w:val="auto"/>
          <w:szCs w:val="24"/>
          <w:shd w:val="clear" w:color="auto" w:fill="FFFFFF"/>
          <w:lang w:val="en-US" w:eastAsia="zh-CN"/>
        </w:rPr>
      </w:pPr>
      <w:r>
        <w:rPr>
          <w:rFonts w:hint="eastAsia" w:ascii="仿宋" w:hAnsi="仿宋" w:eastAsia="仿宋" w:cs="仿宋"/>
          <w:color w:val="auto"/>
          <w:szCs w:val="24"/>
          <w:shd w:val="clear" w:color="auto" w:fill="FFFFFF"/>
          <w:lang w:val="en-US" w:eastAsia="zh-CN"/>
        </w:rPr>
        <w:t>备注：本项目不接受联合体投标；不允许分包、转包，单位负责人为同一人或者存在直接控股、管理关系的不同投标人，不得参加同一合同项下的政府采购活动（提供非联合体书面声明材料）。</w:t>
      </w:r>
    </w:p>
    <w:p>
      <w:pPr>
        <w:bidi w:val="0"/>
        <w:spacing w:line="360" w:lineRule="auto"/>
        <w:ind w:left="0" w:leftChars="0" w:firstLine="426" w:firstLineChars="177"/>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三、获取采购文件</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时间：2025年09月18日至2025年09月24日，每天上午08:00:00至12:00:00，下午12:00:00至18:00:00（北京时间）</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途径：登录全国公共资源交易中心平台（陕西省）使用CA锁报名后自行下载</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方式：在线获取</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售价：0元</w:t>
      </w:r>
    </w:p>
    <w:p>
      <w:pPr>
        <w:bidi w:val="0"/>
        <w:spacing w:line="360" w:lineRule="auto"/>
        <w:ind w:left="0" w:leftChars="0" w:firstLine="426" w:firstLineChars="177"/>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四、响应文件提交</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截止时间：2025年09月28日09时30分00秒（北京时间）</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地点：陕西秦州明盛工程咨询有限公司（陕西省榆林市高新区榆溪大道阳光商务大厦东面电梯十楼）</w:t>
      </w:r>
    </w:p>
    <w:p>
      <w:pPr>
        <w:bidi w:val="0"/>
        <w:spacing w:line="360" w:lineRule="auto"/>
        <w:ind w:left="0" w:leftChars="0" w:firstLine="426" w:firstLineChars="177"/>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五、开启</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时间：2025年09月28日09时30分00秒（北京时间）</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地点：陕西秦州明盛工程咨询有限公司会议室</w:t>
      </w:r>
    </w:p>
    <w:p>
      <w:pPr>
        <w:bidi w:val="0"/>
        <w:spacing w:line="360" w:lineRule="auto"/>
        <w:ind w:left="0" w:leftChars="0" w:firstLine="426" w:firstLineChars="177"/>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六、公告期限</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自本公告发布之日起5个工作日。</w:t>
      </w:r>
    </w:p>
    <w:p>
      <w:pPr>
        <w:bidi w:val="0"/>
        <w:spacing w:line="360" w:lineRule="auto"/>
        <w:ind w:left="0" w:leftChars="0" w:firstLine="426" w:firstLineChars="177"/>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七、其他补充事宜</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1）投标单位初次使用交易平台，须先完成诚信入库登记、CA锁认证及企业信息绑定。相关操作流程详见全国公共资源交易平台（陕西省）网站首页“服务指南”下载专区中的《陕西省公共资源交易中心政府采购项目投标指南》。</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平台报名：投标以网上报名为准。供应商可登录全国公共资源交易中心平台（陕西省）选择“电子交易平台-陕西政府采购交易系统-陕西省公共资源交易平台-投标人”进行登录，登录后选择“交易乙方”身份进入投标人界面进行报名并免费下载招标文件。投标人未办理陕西省公共资源交易中心CA锁的投标人可到榆林市市民中心三楼交易中心窗口办理，咨询电话0912-3452148、029-88661298或4006-369-888（陕西CA联系电话）；</w:t>
      </w:r>
    </w:p>
    <w:p>
      <w:p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（3）请供应商按照陕西省财政厅关于政府采购投标人注册登记有关事项的通知中的要求，通过陕西省政府采购网（http://www.ccgp-shaanxi.gov.cn/）注册登记加入陕西省政府采购供应商库。</w:t>
      </w:r>
    </w:p>
    <w:p>
      <w:pPr>
        <w:bidi w:val="0"/>
        <w:spacing w:line="360" w:lineRule="auto"/>
        <w:ind w:left="0" w:leftChars="0" w:firstLine="426" w:firstLineChars="177"/>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八、对本次招标提出询问，请按以下方式联系。</w:t>
      </w:r>
    </w:p>
    <w:p>
      <w:pPr>
        <w:bidi w:val="0"/>
        <w:spacing w:line="360" w:lineRule="auto"/>
        <w:ind w:left="0" w:leftChars="0" w:firstLine="840" w:firstLineChars="3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1.采购人信息</w:t>
      </w:r>
    </w:p>
    <w:p>
      <w:pPr>
        <w:bidi w:val="0"/>
        <w:spacing w:line="360" w:lineRule="auto"/>
        <w:ind w:left="0" w:leftChars="0" w:firstLine="840" w:firstLineChars="3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名称：子洲县自然资源和规划局</w:t>
      </w:r>
    </w:p>
    <w:p>
      <w:pPr>
        <w:bidi w:val="0"/>
        <w:spacing w:line="360" w:lineRule="auto"/>
        <w:ind w:left="0" w:leftChars="0" w:firstLine="840" w:firstLineChars="35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地址：子洲县中心大街16号楼</w:t>
      </w:r>
    </w:p>
    <w:p>
      <w:pPr>
        <w:bidi w:val="0"/>
        <w:spacing w:line="360" w:lineRule="auto"/>
        <w:ind w:left="0" w:leftChars="0" w:firstLine="840" w:firstLineChars="35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联系方式：19829261268</w:t>
      </w:r>
    </w:p>
    <w:p>
      <w:pPr>
        <w:bidi w:val="0"/>
        <w:spacing w:line="360" w:lineRule="auto"/>
        <w:ind w:left="0" w:leftChars="0" w:firstLine="840" w:firstLineChars="3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2.采购代理机构信息</w:t>
      </w:r>
    </w:p>
    <w:p>
      <w:pPr>
        <w:bidi w:val="0"/>
        <w:spacing w:line="360" w:lineRule="auto"/>
        <w:ind w:left="0" w:leftChars="0" w:firstLine="840" w:firstLineChars="3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名称：陕西秦州明盛工程咨询有限公司</w:t>
      </w:r>
    </w:p>
    <w:p>
      <w:pPr>
        <w:bidi w:val="0"/>
        <w:spacing w:line="360" w:lineRule="auto"/>
        <w:ind w:left="0" w:leftChars="0" w:firstLine="840" w:firstLineChars="3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地址：陕西省榆林市高新区榆溪大道阳光商务大厦东面电梯10楼</w:t>
      </w:r>
    </w:p>
    <w:p>
      <w:pPr>
        <w:bidi w:val="0"/>
        <w:spacing w:line="360" w:lineRule="auto"/>
        <w:ind w:left="0" w:leftChars="0" w:firstLine="840" w:firstLineChars="3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联系方式：</w:t>
      </w:r>
      <w:r>
        <w:rPr>
          <w:rFonts w:hint="eastAsia" w:ascii="仿宋" w:hAnsi="仿宋" w:eastAsia="仿宋" w:cs="仿宋"/>
          <w:kern w:val="0"/>
          <w:sz w:val="24"/>
          <w:lang w:val="zh-CN"/>
        </w:rPr>
        <w:t>15389121603</w:t>
      </w:r>
    </w:p>
    <w:p>
      <w:pPr>
        <w:bidi w:val="0"/>
        <w:spacing w:line="360" w:lineRule="auto"/>
        <w:ind w:left="0" w:leftChars="0" w:firstLine="840" w:firstLineChars="3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3.项目联系方式</w:t>
      </w:r>
    </w:p>
    <w:p>
      <w:pPr>
        <w:bidi w:val="0"/>
        <w:spacing w:line="360" w:lineRule="auto"/>
        <w:ind w:left="0" w:leftChars="0" w:firstLine="840" w:firstLineChars="3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项目联系人：拓建伟</w:t>
      </w:r>
    </w:p>
    <w:p>
      <w:pPr>
        <w:bidi w:val="0"/>
        <w:spacing w:line="360" w:lineRule="auto"/>
        <w:ind w:left="0" w:leftChars="0" w:firstLine="840" w:firstLineChars="350"/>
        <w:jc w:val="center"/>
        <w:rPr>
          <w:rStyle w:val="37"/>
          <w:rFonts w:hint="eastAsia" w:ascii="仿宋" w:hAnsi="仿宋" w:eastAsia="仿宋" w:cs="仿宋"/>
          <w:color w:val="auto"/>
          <w:sz w:val="36"/>
          <w:szCs w:val="36"/>
          <w:highlight w:val="none"/>
        </w:rPr>
      </w:pPr>
      <w:r>
        <w:rPr>
          <w:rFonts w:hint="eastAsia" w:ascii="仿宋" w:hAnsi="仿宋" w:eastAsia="仿宋" w:cs="仿宋"/>
          <w:color w:val="auto"/>
          <w:sz w:val="24"/>
          <w:szCs w:val="24"/>
          <w:highlight w:val="none"/>
          <w:lang w:val="en-US" w:eastAsia="zh-CN"/>
        </w:rPr>
        <w:t>电话：</w:t>
      </w:r>
      <w:r>
        <w:rPr>
          <w:rFonts w:hint="eastAsia" w:ascii="仿宋" w:hAnsi="仿宋" w:eastAsia="仿宋" w:cs="仿宋"/>
          <w:kern w:val="0"/>
          <w:sz w:val="24"/>
          <w:lang w:val="zh-CN"/>
        </w:rPr>
        <w:t>15389121603</w:t>
      </w:r>
      <w:r>
        <w:rPr>
          <w:rStyle w:val="37"/>
          <w:rFonts w:hint="eastAsia" w:ascii="仿宋" w:hAnsi="仿宋" w:eastAsia="仿宋" w:cs="仿宋"/>
          <w:b/>
          <w:bCs/>
          <w:color w:val="auto"/>
          <w:kern w:val="2"/>
          <w:sz w:val="36"/>
          <w:szCs w:val="36"/>
          <w:highlight w:val="none"/>
          <w:lang w:val="en-US" w:eastAsia="zh-CN"/>
        </w:rPr>
        <w:br w:type="page"/>
      </w:r>
      <w:bookmarkStart w:id="73" w:name="_Toc21057"/>
      <w:r>
        <w:rPr>
          <w:rStyle w:val="37"/>
          <w:rFonts w:hint="eastAsia" w:ascii="仿宋" w:hAnsi="仿宋" w:eastAsia="仿宋" w:cs="仿宋"/>
          <w:b/>
          <w:bCs/>
          <w:color w:val="auto"/>
          <w:kern w:val="2"/>
          <w:sz w:val="36"/>
          <w:szCs w:val="36"/>
          <w:highlight w:val="none"/>
          <w:lang w:val="en-US" w:eastAsia="zh-CN"/>
        </w:rPr>
        <w:t>第二章  供应商须</w:t>
      </w:r>
      <w:r>
        <w:rPr>
          <w:rStyle w:val="37"/>
          <w:rFonts w:hint="eastAsia" w:ascii="仿宋" w:hAnsi="仿宋" w:eastAsia="仿宋" w:cs="仿宋"/>
          <w:b/>
          <w:bCs/>
          <w:color w:val="auto"/>
          <w:kern w:val="2"/>
          <w:sz w:val="40"/>
          <w:szCs w:val="40"/>
          <w:highlight w:val="none"/>
          <w:lang w:val="en-US" w:eastAsia="zh-CN"/>
        </w:rPr>
        <w:t>知</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73"/>
      <w:bookmarkStart w:id="603" w:name="_GoBack"/>
      <w:bookmarkEnd w:id="603"/>
    </w:p>
    <w:p>
      <w:pPr>
        <w:pStyle w:val="38"/>
        <w:spacing w:before="240" w:beforeLines="100" w:after="24" w:line="240" w:lineRule="auto"/>
        <w:jc w:val="center"/>
        <w:outlineLvl w:val="9"/>
        <w:rPr>
          <w:rFonts w:hint="eastAsia" w:ascii="仿宋" w:hAnsi="仿宋" w:eastAsia="仿宋" w:cs="仿宋"/>
          <w:color w:val="auto"/>
          <w:sz w:val="28"/>
          <w:szCs w:val="28"/>
          <w:highlight w:val="none"/>
        </w:rPr>
      </w:pPr>
      <w:bookmarkStart w:id="74" w:name="_Toc3970"/>
      <w:bookmarkStart w:id="75" w:name="_Toc68590967"/>
      <w:r>
        <w:rPr>
          <w:rFonts w:hint="eastAsia" w:ascii="仿宋" w:hAnsi="仿宋" w:eastAsia="仿宋" w:cs="仿宋"/>
          <w:color w:val="auto"/>
          <w:sz w:val="28"/>
          <w:szCs w:val="28"/>
          <w:highlight w:val="none"/>
        </w:rPr>
        <w:t>（一）供应商须知前附表</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4"/>
      <w:bookmarkEnd w:id="75"/>
    </w:p>
    <w:p>
      <w:pPr>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本表是对供应商须知的具体补充和修改，如有矛盾，均以本表为准。</w:t>
      </w:r>
    </w:p>
    <w:bookmarkEnd w:id="30"/>
    <w:tbl>
      <w:tblPr>
        <w:tblStyle w:val="22"/>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8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jc w:val="center"/>
        </w:trPr>
        <w:tc>
          <w:tcPr>
            <w:tcW w:w="892" w:type="dxa"/>
            <w:noWrap w:val="0"/>
            <w:vAlign w:val="center"/>
          </w:tcPr>
          <w:p>
            <w:pPr>
              <w:pStyle w:val="12"/>
              <w:adjustRightInd w:val="0"/>
              <w:snapToGrid w:val="0"/>
              <w:spacing w:line="240" w:lineRule="auto"/>
              <w:jc w:val="center"/>
              <w:outlineLvl w:val="9"/>
              <w:rPr>
                <w:rFonts w:hint="eastAsia" w:ascii="仿宋" w:hAnsi="仿宋" w:eastAsia="仿宋" w:cs="仿宋"/>
                <w:b/>
                <w:color w:val="auto"/>
                <w:sz w:val="24"/>
                <w:szCs w:val="24"/>
                <w:highlight w:val="none"/>
              </w:rPr>
            </w:pPr>
            <w:bookmarkStart w:id="76" w:name="_Hlt14560610"/>
            <w:bookmarkEnd w:id="76"/>
            <w:bookmarkStart w:id="77" w:name="_Toc500746967"/>
            <w:bookmarkStart w:id="78" w:name="_Toc385992326"/>
            <w:bookmarkStart w:id="79" w:name="_Toc499711885"/>
            <w:bookmarkStart w:id="80" w:name="_Toc496324580"/>
            <w:bookmarkStart w:id="81" w:name="_Toc500747063"/>
            <w:bookmarkStart w:id="82" w:name="_Toc389620165"/>
            <w:bookmarkStart w:id="83" w:name="_Toc499711044"/>
            <w:bookmarkStart w:id="84" w:name="_Toc500747190"/>
            <w:bookmarkStart w:id="85" w:name="_Toc503063423"/>
            <w:bookmarkStart w:id="86" w:name="_Toc492955416"/>
            <w:r>
              <w:rPr>
                <w:rFonts w:hint="eastAsia" w:ascii="仿宋" w:hAnsi="仿宋" w:eastAsia="仿宋" w:cs="仿宋"/>
                <w:b/>
                <w:color w:val="auto"/>
                <w:sz w:val="24"/>
                <w:szCs w:val="24"/>
                <w:highlight w:val="none"/>
              </w:rPr>
              <w:t>条款号</w:t>
            </w:r>
          </w:p>
        </w:tc>
        <w:tc>
          <w:tcPr>
            <w:tcW w:w="8147" w:type="dxa"/>
            <w:noWrap w:val="0"/>
            <w:vAlign w:val="center"/>
          </w:tcPr>
          <w:p>
            <w:pPr>
              <w:pStyle w:val="12"/>
              <w:adjustRightInd w:val="0"/>
              <w:snapToGrid w:val="0"/>
              <w:spacing w:line="240" w:lineRule="auto"/>
              <w:jc w:val="center"/>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892" w:type="dxa"/>
            <w:noWrap w:val="0"/>
            <w:vAlign w:val="center"/>
          </w:tcPr>
          <w:p>
            <w:pPr>
              <w:pStyle w:val="12"/>
              <w:adjustRightInd w:val="0"/>
              <w:snapToGrid w:val="0"/>
              <w:spacing w:line="240" w:lineRule="auto"/>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p>
        </w:tc>
        <w:tc>
          <w:tcPr>
            <w:tcW w:w="8147" w:type="dxa"/>
            <w:noWrap w:val="0"/>
            <w:vAlign w:val="center"/>
          </w:tcPr>
          <w:p>
            <w:pPr>
              <w:pStyle w:val="10"/>
              <w:bidi w:val="0"/>
              <w:outlineLvl w:val="9"/>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rPr>
              <w:t>项目名称：</w:t>
            </w:r>
            <w:r>
              <w:rPr>
                <w:rFonts w:hint="eastAsia" w:ascii="仿宋" w:hAnsi="仿宋" w:eastAsia="仿宋" w:cs="仿宋"/>
                <w:color w:val="auto"/>
                <w:sz w:val="24"/>
                <w:szCs w:val="32"/>
                <w:highlight w:val="none"/>
                <w:lang w:eastAsia="zh-CN"/>
              </w:rPr>
              <w:t>子洲县2024年度非农建设补充耕地指标核定项目（二次）</w:t>
            </w:r>
          </w:p>
          <w:p>
            <w:pPr>
              <w:pStyle w:val="10"/>
              <w:bidi w:val="0"/>
              <w:outlineLvl w:val="9"/>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rPr>
              <w:t>项目编号：</w:t>
            </w:r>
            <w:r>
              <w:rPr>
                <w:rFonts w:hint="eastAsia" w:ascii="仿宋" w:hAnsi="仿宋" w:eastAsia="仿宋" w:cs="仿宋"/>
                <w:color w:val="auto"/>
                <w:sz w:val="24"/>
                <w:szCs w:val="32"/>
                <w:highlight w:val="none"/>
                <w:lang w:eastAsia="zh-CN"/>
              </w:rPr>
              <w:t>QZMS2025-ZFCGY017</w:t>
            </w:r>
          </w:p>
          <w:p>
            <w:pPr>
              <w:pStyle w:val="10"/>
              <w:bidi w:val="0"/>
              <w:outlineLvl w:val="9"/>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资金来源：财政资金</w:t>
            </w:r>
          </w:p>
          <w:p>
            <w:pPr>
              <w:pStyle w:val="10"/>
              <w:bidi w:val="0"/>
              <w:outlineLvl w:val="9"/>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rPr>
              <w:t>预算金额：</w:t>
            </w:r>
            <w:r>
              <w:rPr>
                <w:rFonts w:hint="eastAsia" w:ascii="仿宋" w:hAnsi="仿宋" w:eastAsia="仿宋" w:cs="仿宋"/>
                <w:color w:val="auto"/>
                <w:sz w:val="24"/>
                <w:szCs w:val="32"/>
                <w:highlight w:val="none"/>
                <w:lang w:val="en-US" w:eastAsia="zh-CN"/>
              </w:rPr>
              <w:t>486991.36元</w:t>
            </w:r>
          </w:p>
          <w:p>
            <w:pPr>
              <w:pStyle w:val="10"/>
              <w:bidi w:val="0"/>
              <w:outlineLvl w:val="9"/>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采购方式：竞争性磋商</w:t>
            </w:r>
          </w:p>
          <w:p>
            <w:pPr>
              <w:pStyle w:val="10"/>
              <w:bidi w:val="0"/>
              <w:outlineLvl w:val="9"/>
              <w:rPr>
                <w:rFonts w:hint="eastAsia" w:ascii="仿宋" w:hAnsi="仿宋" w:eastAsia="仿宋" w:cs="仿宋"/>
                <w:color w:val="auto"/>
                <w:szCs w:val="24"/>
                <w:highlight w:val="none"/>
              </w:rPr>
            </w:pPr>
            <w:r>
              <w:rPr>
                <w:rFonts w:hint="eastAsia" w:ascii="仿宋" w:hAnsi="仿宋" w:eastAsia="仿宋" w:cs="仿宋"/>
                <w:color w:val="auto"/>
                <w:sz w:val="24"/>
                <w:szCs w:val="32"/>
                <w:highlight w:val="none"/>
              </w:rPr>
              <w:t>采购内容：详见本磋商文件第五章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92" w:type="dxa"/>
            <w:noWrap w:val="0"/>
            <w:vAlign w:val="center"/>
          </w:tcPr>
          <w:p>
            <w:pPr>
              <w:pStyle w:val="12"/>
              <w:adjustRightInd w:val="0"/>
              <w:snapToGrid w:val="0"/>
              <w:spacing w:line="240" w:lineRule="auto"/>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c>
          <w:tcPr>
            <w:tcW w:w="8147" w:type="dxa"/>
            <w:noWrap w:val="0"/>
            <w:vAlign w:val="center"/>
          </w:tcPr>
          <w:p>
            <w:pPr>
              <w:pStyle w:val="12"/>
              <w:adjustRightInd w:val="0"/>
              <w:snapToGrid w:val="0"/>
              <w:spacing w:line="240" w:lineRule="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采购人：</w:t>
            </w:r>
            <w:r>
              <w:rPr>
                <w:rFonts w:hint="eastAsia" w:ascii="仿宋" w:hAnsi="仿宋" w:eastAsia="仿宋" w:cs="仿宋"/>
                <w:color w:val="auto"/>
                <w:sz w:val="24"/>
                <w:szCs w:val="24"/>
                <w:highlight w:val="none"/>
                <w:lang w:eastAsia="zh-CN"/>
              </w:rPr>
              <w:t>子洲县自然资源和规划局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92" w:type="dxa"/>
            <w:noWrap w:val="0"/>
            <w:vAlign w:val="center"/>
          </w:tcPr>
          <w:p>
            <w:pPr>
              <w:pStyle w:val="12"/>
              <w:adjustRightInd w:val="0"/>
              <w:snapToGrid w:val="0"/>
              <w:spacing w:line="240" w:lineRule="auto"/>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147" w:type="dxa"/>
            <w:noWrap w:val="0"/>
            <w:vAlign w:val="center"/>
          </w:tcPr>
          <w:p>
            <w:pPr>
              <w:pStyle w:val="12"/>
              <w:adjustRightInd w:val="0"/>
              <w:snapToGrid w:val="0"/>
              <w:spacing w:line="240" w:lineRule="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陕西秦州明盛工程咨询有限公司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892" w:type="dxa"/>
            <w:noWrap w:val="0"/>
            <w:vAlign w:val="center"/>
          </w:tcPr>
          <w:p>
            <w:pPr>
              <w:pStyle w:val="12"/>
              <w:adjustRightInd w:val="0"/>
              <w:snapToGrid w:val="0"/>
              <w:spacing w:line="240" w:lineRule="auto"/>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8147" w:type="dxa"/>
            <w:noWrap w:val="0"/>
            <w:vAlign w:val="center"/>
          </w:tcPr>
          <w:p>
            <w:pPr>
              <w:pStyle w:val="12"/>
              <w:adjustRightInd w:val="0"/>
              <w:snapToGrid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邀请供应商的方式：</w:t>
            </w:r>
          </w:p>
          <w:p>
            <w:pPr>
              <w:pStyle w:val="12"/>
              <w:adjustRightInd w:val="0"/>
              <w:snapToGrid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■（1）发布磋商公告</w:t>
            </w:r>
          </w:p>
          <w:p>
            <w:pPr>
              <w:pStyle w:val="12"/>
              <w:adjustRightInd w:val="0"/>
              <w:snapToGrid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□（2）采购人和评审专家分别书面推荐的方式邀请不少于3家符合相应资格条件的供应商</w:t>
            </w:r>
          </w:p>
          <w:p>
            <w:pPr>
              <w:pStyle w:val="12"/>
              <w:adjustRightInd w:val="0"/>
              <w:snapToGrid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□（3）随机从省级财政部门建立的供应商库中抽取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92" w:type="dxa"/>
            <w:noWrap w:val="0"/>
            <w:vAlign w:val="center"/>
          </w:tcPr>
          <w:p>
            <w:pPr>
              <w:pStyle w:val="12"/>
              <w:adjustRightInd w:val="0"/>
              <w:snapToGrid w:val="0"/>
              <w:spacing w:line="240" w:lineRule="auto"/>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8147" w:type="dxa"/>
            <w:noWrap w:val="0"/>
            <w:vAlign w:val="center"/>
          </w:tcPr>
          <w:p>
            <w:pPr>
              <w:pStyle w:val="39"/>
              <w:spacing w:line="360" w:lineRule="auto"/>
              <w:outlineLvl w:val="9"/>
              <w:rPr>
                <w:rFonts w:hint="eastAsia" w:ascii="仿宋" w:hAnsi="仿宋" w:eastAsia="仿宋" w:cs="仿宋"/>
                <w:color w:val="auto"/>
                <w:highlight w:val="none"/>
              </w:rPr>
            </w:pPr>
            <w:r>
              <w:rPr>
                <w:rFonts w:hint="eastAsia" w:ascii="仿宋" w:hAnsi="仿宋" w:eastAsia="仿宋" w:cs="仿宋"/>
                <w:color w:val="auto"/>
                <w:kern w:val="2"/>
                <w:highlight w:val="none"/>
              </w:rPr>
              <w:t>对供应商的资格要求：见磋商公告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92" w:type="dxa"/>
            <w:noWrap w:val="0"/>
            <w:vAlign w:val="center"/>
          </w:tcPr>
          <w:p>
            <w:pPr>
              <w:pStyle w:val="12"/>
              <w:adjustRightInd w:val="0"/>
              <w:snapToGrid w:val="0"/>
              <w:spacing w:line="240" w:lineRule="auto"/>
              <w:jc w:val="center"/>
              <w:outlineLvl w:val="9"/>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6</w:t>
            </w:r>
          </w:p>
        </w:tc>
        <w:tc>
          <w:tcPr>
            <w:tcW w:w="8147" w:type="dxa"/>
            <w:noWrap w:val="0"/>
            <w:vAlign w:val="center"/>
          </w:tcPr>
          <w:p>
            <w:pPr>
              <w:pStyle w:val="39"/>
              <w:spacing w:line="360" w:lineRule="auto"/>
              <w:outlineLvl w:val="9"/>
              <w:rPr>
                <w:rFonts w:hint="eastAsia" w:ascii="仿宋" w:hAnsi="仿宋" w:eastAsia="仿宋" w:cs="仿宋"/>
                <w:i w:val="0"/>
                <w:iCs w:val="0"/>
                <w:color w:val="auto"/>
                <w:kern w:val="2"/>
                <w:highlight w:val="none"/>
              </w:rPr>
            </w:pPr>
            <w:r>
              <w:rPr>
                <w:rFonts w:hint="eastAsia" w:ascii="仿宋" w:hAnsi="仿宋" w:eastAsia="仿宋" w:cs="仿宋"/>
                <w:i w:val="0"/>
                <w:iCs w:val="0"/>
                <w:color w:val="auto"/>
                <w:kern w:val="2"/>
                <w:highlight w:val="none"/>
              </w:rPr>
              <w:t>是否允许采购进口产品：</w:t>
            </w:r>
            <w:r>
              <w:rPr>
                <w:rFonts w:hint="eastAsia" w:ascii="仿宋" w:hAnsi="仿宋" w:eastAsia="仿宋" w:cs="仿宋"/>
                <w:i w:val="0"/>
                <w:iCs w:val="0"/>
                <w:color w:val="auto"/>
                <w:kern w:val="2"/>
                <w:highlight w:val="none"/>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92" w:type="dxa"/>
            <w:noWrap w:val="0"/>
            <w:vAlign w:val="center"/>
          </w:tcPr>
          <w:p>
            <w:pPr>
              <w:pStyle w:val="12"/>
              <w:adjustRightInd w:val="0"/>
              <w:snapToGrid w:val="0"/>
              <w:spacing w:line="240" w:lineRule="auto"/>
              <w:jc w:val="center"/>
              <w:outlineLvl w:val="9"/>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7</w:t>
            </w:r>
          </w:p>
        </w:tc>
        <w:tc>
          <w:tcPr>
            <w:tcW w:w="8147" w:type="dxa"/>
            <w:noWrap w:val="0"/>
            <w:vAlign w:val="center"/>
          </w:tcPr>
          <w:p>
            <w:pPr>
              <w:pStyle w:val="39"/>
              <w:spacing w:line="360" w:lineRule="auto"/>
              <w:outlineLvl w:val="9"/>
              <w:rPr>
                <w:rFonts w:hint="eastAsia" w:ascii="仿宋" w:hAnsi="仿宋" w:eastAsia="仿宋" w:cs="仿宋"/>
                <w:i w:val="0"/>
                <w:iCs w:val="0"/>
                <w:color w:val="auto"/>
                <w:kern w:val="2"/>
                <w:highlight w:val="none"/>
              </w:rPr>
            </w:pPr>
            <w:r>
              <w:rPr>
                <w:rFonts w:hint="eastAsia" w:ascii="仿宋" w:hAnsi="仿宋" w:eastAsia="仿宋" w:cs="仿宋"/>
                <w:i w:val="0"/>
                <w:iCs w:val="0"/>
                <w:color w:val="auto"/>
                <w:kern w:val="2"/>
                <w:highlight w:val="none"/>
              </w:rPr>
              <w:t>是否允许联合体磋商：否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92" w:type="dxa"/>
            <w:noWrap w:val="0"/>
            <w:vAlign w:val="center"/>
          </w:tcPr>
          <w:p>
            <w:pPr>
              <w:pStyle w:val="12"/>
              <w:adjustRightInd w:val="0"/>
              <w:snapToGrid w:val="0"/>
              <w:spacing w:line="240" w:lineRule="auto"/>
              <w:jc w:val="center"/>
              <w:outlineLvl w:val="9"/>
              <w:rPr>
                <w:rFonts w:hint="default"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8</w:t>
            </w:r>
          </w:p>
        </w:tc>
        <w:tc>
          <w:tcPr>
            <w:tcW w:w="8147" w:type="dxa"/>
            <w:noWrap w:val="0"/>
            <w:vAlign w:val="center"/>
          </w:tcPr>
          <w:p>
            <w:pPr>
              <w:adjustRightInd w:val="0"/>
              <w:snapToGrid w:val="0"/>
              <w:spacing w:line="360" w:lineRule="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eq \o\ac(</w:instrText>
            </w:r>
            <w:r>
              <w:rPr>
                <w:rFonts w:hint="eastAsia" w:ascii="仿宋" w:hAnsi="仿宋" w:eastAsia="仿宋" w:cs="仿宋"/>
                <w:color w:val="auto"/>
                <w:position w:val="-4"/>
                <w:sz w:val="36"/>
                <w:szCs w:val="24"/>
                <w:highlight w:val="none"/>
              </w:rPr>
              <w:instrText xml:space="preserve">□</w:instrText>
            </w:r>
            <w:r>
              <w:rPr>
                <w:rFonts w:hint="eastAsia" w:ascii="仿宋" w:hAnsi="仿宋" w:eastAsia="仿宋" w:cs="仿宋"/>
                <w:color w:val="auto"/>
                <w:position w:val="-4"/>
                <w:sz w:val="36"/>
                <w:szCs w:val="24"/>
                <w:highlight w:val="none"/>
                <w:lang w:eastAsia="zh-CN"/>
              </w:rPr>
              <w:instrText xml:space="preserve">,</w:instrText>
            </w:r>
            <w:r>
              <w:rPr>
                <w:rFonts w:hint="eastAsia" w:ascii="仿宋" w:hAnsi="仿宋" w:eastAsia="仿宋" w:cs="仿宋"/>
                <w:color w:val="auto"/>
                <w:position w:val="0"/>
                <w:sz w:val="25"/>
                <w:szCs w:val="24"/>
                <w:highlight w:val="none"/>
                <w:lang w:eastAsia="zh-CN"/>
              </w:rPr>
              <w:instrText xml:space="preserve">√</w:instrText>
            </w:r>
            <w:r>
              <w:rPr>
                <w:rFonts w:hint="eastAsia" w:ascii="仿宋" w:hAnsi="仿宋" w:eastAsia="仿宋" w:cs="仿宋"/>
                <w:color w:val="auto"/>
                <w:sz w:val="24"/>
                <w:szCs w:val="24"/>
                <w:highlight w:val="none"/>
              </w:rPr>
              <w:instrText xml:space="preserve">)</w:instrTex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专门面向</w:t>
            </w:r>
            <w:r>
              <w:rPr>
                <w:rFonts w:hint="eastAsia" w:ascii="仿宋" w:hAnsi="仿宋" w:eastAsia="仿宋" w:cs="仿宋"/>
                <w:color w:val="auto"/>
                <w:sz w:val="24"/>
                <w:szCs w:val="24"/>
                <w:highlight w:val="none"/>
                <w:lang w:val="en-US" w:eastAsia="zh-CN"/>
              </w:rPr>
              <w:t>中</w:t>
            </w:r>
            <w:r>
              <w:rPr>
                <w:rFonts w:hint="eastAsia" w:ascii="仿宋" w:hAnsi="仿宋" w:eastAsia="仿宋" w:cs="仿宋"/>
                <w:color w:val="auto"/>
                <w:sz w:val="24"/>
                <w:szCs w:val="24"/>
                <w:highlight w:val="none"/>
              </w:rPr>
              <w:t>小企业</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整包预留</w:t>
            </w:r>
            <w:r>
              <w:rPr>
                <w:rFonts w:hint="eastAsia" w:ascii="仿宋" w:hAnsi="仿宋" w:eastAsia="仿宋" w:cs="仿宋"/>
                <w:color w:val="auto"/>
                <w:sz w:val="24"/>
                <w:szCs w:val="24"/>
                <w:highlight w:val="none"/>
                <w:lang w:eastAsia="zh-CN"/>
              </w:rPr>
              <w:t>）</w:t>
            </w:r>
          </w:p>
          <w:p>
            <w:pPr>
              <w:adjustRightInd w:val="0"/>
              <w:snapToGrid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eq \o\ac(</w:instrText>
            </w:r>
            <w:r>
              <w:rPr>
                <w:rFonts w:hint="eastAsia" w:ascii="仿宋" w:hAnsi="仿宋" w:eastAsia="仿宋" w:cs="仿宋"/>
                <w:color w:val="auto"/>
                <w:position w:val="-4"/>
                <w:sz w:val="36"/>
                <w:szCs w:val="24"/>
                <w:highlight w:val="none"/>
              </w:rPr>
              <w:instrText xml:space="preserve">□</w:instrText>
            </w:r>
            <w:r>
              <w:rPr>
                <w:rFonts w:hint="eastAsia" w:ascii="仿宋" w:hAnsi="仿宋" w:eastAsia="仿宋" w:cs="仿宋"/>
                <w:color w:val="auto"/>
                <w:sz w:val="24"/>
                <w:szCs w:val="24"/>
                <w:highlight w:val="none"/>
              </w:rPr>
              <w:instrText xml:space="preserve">)</w:instrTex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非专门面向中小企业</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项目（价格扣除）：</w:t>
            </w:r>
          </w:p>
          <w:p>
            <w:pPr>
              <w:adjustRightInd w:val="0"/>
              <w:snapToGrid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F081"/>
            </w:r>
            <w:r>
              <w:rPr>
                <w:rFonts w:hint="eastAsia" w:ascii="仿宋" w:hAnsi="仿宋" w:eastAsia="仿宋" w:cs="仿宋"/>
                <w:color w:val="auto"/>
                <w:sz w:val="24"/>
                <w:szCs w:val="24"/>
                <w:highlight w:val="none"/>
              </w:rPr>
              <w:t>对小型和微型企业产品的价格给与</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%的扣除，用扣除后的价格参与评审。</w:t>
            </w:r>
          </w:p>
          <w:p>
            <w:pPr>
              <w:adjustRightInd w:val="0"/>
              <w:snapToGrid w:val="0"/>
              <w:spacing w:line="360" w:lineRule="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sym w:font="Wingdings" w:char="F082"/>
            </w:r>
            <w:r>
              <w:rPr>
                <w:rFonts w:hint="eastAsia" w:ascii="仿宋" w:hAnsi="仿宋" w:eastAsia="仿宋" w:cs="仿宋"/>
                <w:color w:val="auto"/>
                <w:sz w:val="24"/>
                <w:szCs w:val="24"/>
                <w:highlight w:val="none"/>
              </w:rPr>
              <w:t>本项目接收联合体投标的，若小型和微型企业的协议合同金额占到联合体协议合同金额30%以上的，可给予联合体</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%的扣除，用扣除后的价格参与评审。</w:t>
            </w:r>
            <w:r>
              <w:rPr>
                <w:rFonts w:hint="eastAsia" w:ascii="仿宋" w:hAnsi="仿宋" w:eastAsia="仿宋" w:cs="仿宋"/>
                <w:color w:val="auto"/>
                <w:sz w:val="24"/>
                <w:szCs w:val="24"/>
                <w:highlight w:val="none"/>
                <w:lang w:val="en-US" w:eastAsia="zh-CN"/>
              </w:rPr>
              <w:t xml:space="preserve"> </w:t>
            </w:r>
          </w:p>
          <w:tbl>
            <w:tblPr>
              <w:tblStyle w:val="23"/>
              <w:tblW w:w="76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090"/>
              <w:gridCol w:w="5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54" w:type="dxa"/>
                  <w:noWrap w:val="0"/>
                  <w:vAlign w:val="top"/>
                </w:tcPr>
                <w:p>
                  <w:pPr>
                    <w:spacing w:line="24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090" w:type="dxa"/>
                  <w:noWrap w:val="0"/>
                  <w:vAlign w:val="top"/>
                </w:tcPr>
                <w:p>
                  <w:pPr>
                    <w:spacing w:line="24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价格要素</w:t>
                  </w:r>
                </w:p>
              </w:tc>
              <w:tc>
                <w:tcPr>
                  <w:tcW w:w="5726" w:type="dxa"/>
                  <w:noWrap w:val="0"/>
                  <w:vAlign w:val="top"/>
                </w:tcPr>
                <w:p>
                  <w:pPr>
                    <w:spacing w:line="24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价格折扣幅度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trPr>
              <w:tc>
                <w:tcPr>
                  <w:tcW w:w="854" w:type="dxa"/>
                  <w:noWrap w:val="0"/>
                  <w:vAlign w:val="center"/>
                </w:tcPr>
                <w:p>
                  <w:pPr>
                    <w:spacing w:line="5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8.1</w:t>
                  </w:r>
                </w:p>
              </w:tc>
              <w:tc>
                <w:tcPr>
                  <w:tcW w:w="1090" w:type="dxa"/>
                  <w:noWrap w:val="0"/>
                  <w:vAlign w:val="center"/>
                </w:tcPr>
                <w:p>
                  <w:pPr>
                    <w:spacing w:line="560" w:lineRule="exact"/>
                    <w:jc w:val="center"/>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lang w:val="en-US" w:eastAsia="zh-CN"/>
                    </w:rPr>
                    <w:t>服务</w:t>
                  </w:r>
                  <w:r>
                    <w:rPr>
                      <w:rFonts w:hint="eastAsia" w:ascii="仿宋" w:hAnsi="仿宋" w:eastAsia="仿宋" w:cs="仿宋"/>
                      <w:color w:val="auto"/>
                      <w:sz w:val="24"/>
                      <w:szCs w:val="22"/>
                      <w:highlight w:val="none"/>
                    </w:rPr>
                    <w:t>（产品）出自小型或微型企业</w:t>
                  </w:r>
                </w:p>
              </w:tc>
              <w:tc>
                <w:tcPr>
                  <w:tcW w:w="5726" w:type="dxa"/>
                  <w:noWrap w:val="0"/>
                  <w:vAlign w:val="top"/>
                </w:tcPr>
                <w:p>
                  <w:pPr>
                    <w:pStyle w:val="19"/>
                    <w:keepNext w:val="0"/>
                    <w:keepLines w:val="0"/>
                    <w:widowControl/>
                    <w:suppressLineNumbers w:val="0"/>
                    <w:spacing w:before="0" w:beforeAutospacing="0" w:after="0" w:afterAutospacing="0" w:line="360" w:lineRule="auto"/>
                    <w:ind w:right="0" w:firstLine="480" w:firstLineChars="200"/>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对参与投标且符合《财政部关于进一步加大政府采购支持中小企业力度的通知》（财库〔2022〕19号）《陕西省财政厅关于进一步加大政府采购支持中小企业力度的通知》（陕财办采〔2022〕5号）</w:t>
                  </w:r>
                </w:p>
                <w:p>
                  <w:pPr>
                    <w:pStyle w:val="19"/>
                    <w:keepNext w:val="0"/>
                    <w:keepLines w:val="0"/>
                    <w:widowControl/>
                    <w:suppressLineNumbers w:val="0"/>
                    <w:spacing w:before="0" w:beforeAutospacing="0" w:after="0" w:afterAutospacing="0" w:line="360" w:lineRule="auto"/>
                    <w:ind w:right="0" w:firstLine="480" w:firstLineChars="200"/>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《榆林市财政局关于进一步加大政府采购支持中小企业力度的通知》榆政财采发〔2022〕10号）的小型和微型企业的报价给予20%的扣除，用扣除后的价格评审。</w:t>
                  </w:r>
                </w:p>
                <w:p>
                  <w:pPr>
                    <w:pStyle w:val="19"/>
                    <w:keepNext w:val="0"/>
                    <w:keepLines w:val="0"/>
                    <w:widowControl/>
                    <w:suppressLineNumbers w:val="0"/>
                    <w:spacing w:before="0" w:beforeAutospacing="0" w:after="0" w:afterAutospacing="0" w:line="360" w:lineRule="auto"/>
                    <w:ind w:right="0" w:firstLine="482" w:firstLineChars="200"/>
                    <w:rPr>
                      <w:rFonts w:hint="eastAsia" w:ascii="仿宋" w:hAnsi="仿宋" w:eastAsia="仿宋" w:cs="仿宋"/>
                      <w:color w:val="auto"/>
                      <w:kern w:val="2"/>
                      <w:sz w:val="24"/>
                      <w:highlight w:val="none"/>
                      <w:lang w:val="en-US" w:eastAsia="zh-CN" w:bidi="ar-SA"/>
                    </w:rPr>
                  </w:pPr>
                  <w:r>
                    <w:rPr>
                      <w:rFonts w:hint="eastAsia" w:ascii="仿宋" w:hAnsi="仿宋" w:eastAsia="仿宋" w:cs="仿宋"/>
                      <w:b/>
                      <w:bCs/>
                      <w:sz w:val="24"/>
                      <w:szCs w:val="21"/>
                      <w:highlight w:val="none"/>
                      <w:lang w:val="en-US" w:eastAsia="zh-CN"/>
                    </w:rPr>
                    <w:t>本项目专门面向中小企业，均不予折扣。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7" w:hRule="atLeast"/>
              </w:trPr>
              <w:tc>
                <w:tcPr>
                  <w:tcW w:w="854" w:type="dxa"/>
                  <w:noWrap w:val="0"/>
                  <w:vAlign w:val="center"/>
                </w:tcPr>
                <w:p>
                  <w:pPr>
                    <w:spacing w:line="5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8.2</w:t>
                  </w:r>
                </w:p>
              </w:tc>
              <w:tc>
                <w:tcPr>
                  <w:tcW w:w="1090" w:type="dxa"/>
                  <w:noWrap w:val="0"/>
                  <w:vAlign w:val="center"/>
                </w:tcPr>
                <w:p>
                  <w:pPr>
                    <w:spacing w:line="5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产品按规定享受其他国家政策支持、扶持的</w:t>
                  </w:r>
                </w:p>
              </w:tc>
              <w:tc>
                <w:tcPr>
                  <w:tcW w:w="5726" w:type="dxa"/>
                  <w:noWrap w:val="0"/>
                  <w:vAlign w:val="top"/>
                </w:tcPr>
                <w:p>
                  <w:pPr>
                    <w:bidi w:val="0"/>
                    <w:spacing w:line="360" w:lineRule="auto"/>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残疾人福利性单位可视同小微企业在价格评审时给予20%的扣除，用扣除后的价格参与评审。</w:t>
                  </w:r>
                </w:p>
                <w:p>
                  <w:pPr>
                    <w:bidi w:val="0"/>
                    <w:spacing w:line="360" w:lineRule="auto"/>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1、残疾人福利性单位应符合《财政部、民政部、中国残疾人联合会关于促进残疾人就业政府采购政策的通知》（财库[2017]141号）文件规定，并提供《残疾人福利性单位声明函》。</w:t>
                  </w:r>
                </w:p>
                <w:p>
                  <w:pPr>
                    <w:bidi w:val="0"/>
                    <w:spacing w:line="360" w:lineRule="auto"/>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2、残疾人福利性单位属于小型、微型企业的，不重复享受政策。</w:t>
                  </w:r>
                </w:p>
                <w:p>
                  <w:pPr>
                    <w:bidi w:val="0"/>
                    <w:spacing w:line="360" w:lineRule="auto"/>
                    <w:rPr>
                      <w:rFonts w:hint="eastAsia" w:ascii="仿宋" w:hAnsi="仿宋" w:eastAsia="仿宋" w:cs="仿宋"/>
                      <w:color w:val="auto"/>
                      <w:highlight w:val="none"/>
                      <w:lang w:val="en-US"/>
                    </w:rPr>
                  </w:pPr>
                  <w:r>
                    <w:rPr>
                      <w:rFonts w:hint="eastAsia" w:ascii="仿宋" w:hAnsi="仿宋" w:eastAsia="仿宋" w:cs="仿宋"/>
                      <w:color w:val="auto"/>
                      <w:sz w:val="24"/>
                      <w:szCs w:val="32"/>
                      <w:highlight w:val="none"/>
                      <w:lang w:val="en-US" w:eastAsia="zh-CN"/>
                    </w:rPr>
                    <w:t>3.</w:t>
                  </w:r>
                  <w:r>
                    <w:rPr>
                      <w:rFonts w:hint="eastAsia" w:ascii="仿宋" w:hAnsi="仿宋" w:eastAsia="仿宋" w:cs="仿宋"/>
                      <w:color w:val="auto"/>
                      <w:sz w:val="24"/>
                      <w:szCs w:val="32"/>
                      <w:highlight w:val="none"/>
                    </w:rPr>
                    <w:t>若小型和微型企业的协议合同金额占到联合体协议合同金额30%以上的，可给予联合体</w:t>
                  </w:r>
                  <w:r>
                    <w:rPr>
                      <w:rFonts w:hint="eastAsia" w:ascii="仿宋" w:hAnsi="仿宋" w:eastAsia="仿宋" w:cs="仿宋"/>
                      <w:color w:val="auto"/>
                      <w:sz w:val="24"/>
                      <w:szCs w:val="32"/>
                      <w:highlight w:val="none"/>
                      <w:lang w:val="en-US" w:eastAsia="zh-CN"/>
                    </w:rPr>
                    <w:t>6</w:t>
                  </w:r>
                  <w:r>
                    <w:rPr>
                      <w:rFonts w:hint="eastAsia" w:ascii="仿宋" w:hAnsi="仿宋" w:eastAsia="仿宋" w:cs="仿宋"/>
                      <w:color w:val="auto"/>
                      <w:sz w:val="24"/>
                      <w:szCs w:val="32"/>
                      <w:highlight w:val="none"/>
                    </w:rPr>
                    <w:t>%的扣除，用扣除后的价格参与评审。</w:t>
                  </w:r>
                </w:p>
              </w:tc>
            </w:tr>
          </w:tbl>
          <w:p>
            <w:pPr>
              <w:spacing w:line="360" w:lineRule="auto"/>
              <w:ind w:left="210" w:right="210"/>
              <w:rPr>
                <w:rFonts w:hint="eastAsia" w:ascii="仿宋" w:hAnsi="仿宋" w:eastAsia="仿宋" w:cs="仿宋"/>
                <w:i w:val="0"/>
                <w:iCs w:val="0"/>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892" w:type="dxa"/>
            <w:noWrap w:val="0"/>
            <w:vAlign w:val="center"/>
          </w:tcPr>
          <w:p>
            <w:pPr>
              <w:pStyle w:val="12"/>
              <w:adjustRightInd w:val="0"/>
              <w:snapToGrid w:val="0"/>
              <w:spacing w:line="240" w:lineRule="auto"/>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p>
        </w:tc>
        <w:tc>
          <w:tcPr>
            <w:tcW w:w="8147" w:type="dxa"/>
            <w:noWrap w:val="0"/>
            <w:vAlign w:val="center"/>
          </w:tcPr>
          <w:p>
            <w:pPr>
              <w:spacing w:line="360" w:lineRule="auto"/>
              <w:ind w:firstLine="480" w:firstLineChars="200"/>
              <w:outlineLvl w:val="9"/>
              <w:rPr>
                <w:rFonts w:hint="eastAsia" w:ascii="仿宋" w:hAnsi="仿宋" w:eastAsia="仿宋" w:cs="仿宋"/>
                <w:i/>
                <w:color w:val="auto"/>
                <w:sz w:val="24"/>
                <w:highlight w:val="none"/>
              </w:rPr>
            </w:pPr>
            <w:r>
              <w:rPr>
                <w:rFonts w:hint="eastAsia" w:ascii="仿宋" w:hAnsi="仿宋" w:eastAsia="仿宋" w:cs="仿宋"/>
                <w:color w:val="auto"/>
                <w:sz w:val="24"/>
                <w:highlight w:val="none"/>
              </w:rPr>
              <w:t>成交响应报价为完成本项目并达到磋商文件</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要求所需要的</w:t>
            </w:r>
            <w:r>
              <w:rPr>
                <w:rFonts w:hint="eastAsia" w:ascii="仿宋" w:hAnsi="仿宋" w:eastAsia="仿宋" w:cs="仿宋"/>
                <w:color w:val="auto"/>
                <w:sz w:val="24"/>
                <w:highlight w:val="none"/>
                <w:lang w:val="en-US" w:eastAsia="zh-CN"/>
              </w:rPr>
              <w:t>所有</w:t>
            </w:r>
            <w:r>
              <w:rPr>
                <w:rFonts w:hint="eastAsia" w:ascii="仿宋" w:hAnsi="仿宋" w:eastAsia="仿宋" w:cs="仿宋"/>
                <w:color w:val="auto"/>
                <w:sz w:val="24"/>
                <w:highlight w:val="none"/>
              </w:rPr>
              <w:t>费用，</w:t>
            </w:r>
            <w:r>
              <w:rPr>
                <w:rFonts w:hint="eastAsia" w:ascii="仿宋" w:hAnsi="仿宋" w:eastAsia="仿宋" w:cs="仿宋"/>
                <w:i w:val="0"/>
                <w:iCs/>
                <w:color w:val="auto"/>
                <w:sz w:val="24"/>
                <w:highlight w:val="none"/>
              </w:rPr>
              <w:t>包括但不限于</w:t>
            </w:r>
            <w:r>
              <w:rPr>
                <w:rFonts w:hint="eastAsia" w:ascii="仿宋" w:hAnsi="仿宋" w:eastAsia="仿宋" w:cs="仿宋"/>
                <w:color w:val="auto"/>
                <w:sz w:val="24"/>
                <w:highlight w:val="none"/>
              </w:rPr>
              <w:t>：</w:t>
            </w:r>
            <w:r>
              <w:rPr>
                <w:rFonts w:hint="eastAsia" w:ascii="仿宋" w:hAnsi="仿宋" w:eastAsia="仿宋" w:cs="仿宋"/>
                <w:i w:val="0"/>
                <w:iCs/>
                <w:color w:val="auto"/>
                <w:sz w:val="24"/>
                <w:highlight w:val="none"/>
              </w:rPr>
              <w:t>项目实施费、自行测试费、培训费、人工费、材料费、管理费、供应商应缴纳的所有税费、规费、保险费（如果有）等全部费用。</w:t>
            </w:r>
          </w:p>
          <w:p>
            <w:pPr>
              <w:pStyle w:val="12"/>
              <w:adjustRightInd w:val="0"/>
              <w:snapToGrid w:val="0"/>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（1）报价货币：人民币；</w:t>
            </w:r>
          </w:p>
          <w:p>
            <w:pPr>
              <w:pStyle w:val="12"/>
              <w:adjustRightInd w:val="0"/>
              <w:snapToGrid w:val="0"/>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（2）严格按照分项报价表进行分项报价</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892" w:type="dxa"/>
            <w:noWrap w:val="0"/>
            <w:vAlign w:val="center"/>
          </w:tcPr>
          <w:p>
            <w:pPr>
              <w:pStyle w:val="12"/>
              <w:adjustRightInd w:val="0"/>
              <w:snapToGrid w:val="0"/>
              <w:spacing w:line="240" w:lineRule="auto"/>
              <w:ind w:firstLine="240" w:firstLineChars="100"/>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8147" w:type="dxa"/>
            <w:noWrap w:val="0"/>
            <w:vAlign w:val="center"/>
          </w:tcPr>
          <w:p>
            <w:pPr>
              <w:spacing w:line="360" w:lineRule="auto"/>
              <w:ind w:left="210" w:right="210"/>
              <w:outlineLvl w:val="9"/>
              <w:rPr>
                <w:rFonts w:hint="eastAsia" w:ascii="仿宋" w:hAnsi="仿宋" w:eastAsia="仿宋" w:cs="仿宋"/>
                <w:color w:val="auto"/>
                <w:highlight w:val="none"/>
              </w:rPr>
            </w:pPr>
            <w:r>
              <w:rPr>
                <w:rFonts w:hint="eastAsia" w:ascii="仿宋" w:hAnsi="仿宋" w:eastAsia="仿宋" w:cs="仿宋"/>
                <w:b/>
                <w:bCs/>
                <w:color w:val="auto"/>
                <w:sz w:val="24"/>
                <w:highlight w:val="none"/>
                <w:lang w:val="en-US" w:eastAsia="zh-CN"/>
              </w:rPr>
              <w:t>保证金：</w:t>
            </w:r>
            <w:r>
              <w:rPr>
                <w:rFonts w:hint="eastAsia" w:ascii="仿宋" w:hAnsi="仿宋" w:eastAsia="仿宋" w:cs="仿宋"/>
                <w:color w:val="auto"/>
                <w:sz w:val="24"/>
                <w:highlight w:val="none"/>
                <w:lang w:val="en-US" w:eastAsia="zh-CN"/>
              </w:rPr>
              <w:t>无需缴纳，通过企业主体在《信用中国-陕西榆林》网站登录、承诺的“投标信用承诺书”代替</w:t>
            </w:r>
            <w:r>
              <w:rPr>
                <w:rFonts w:hint="eastAsia" w:ascii="仿宋" w:hAnsi="仿宋" w:eastAsia="仿宋" w:cs="仿宋"/>
                <w:color w:val="auto"/>
                <w:sz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92" w:type="dxa"/>
            <w:noWrap w:val="0"/>
            <w:vAlign w:val="center"/>
          </w:tcPr>
          <w:p>
            <w:pPr>
              <w:pStyle w:val="12"/>
              <w:adjustRightInd w:val="0"/>
              <w:snapToGrid w:val="0"/>
              <w:spacing w:line="240" w:lineRule="auto"/>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8147" w:type="dxa"/>
            <w:noWrap w:val="0"/>
            <w:vAlign w:val="center"/>
          </w:tcPr>
          <w:p>
            <w:pPr>
              <w:pStyle w:val="12"/>
              <w:adjustRightInd w:val="0"/>
              <w:snapToGrid w:val="0"/>
              <w:spacing w:line="24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磋商有效期：自</w:t>
            </w:r>
            <w:r>
              <w:rPr>
                <w:rFonts w:hint="eastAsia" w:ascii="仿宋" w:hAnsi="仿宋" w:eastAsia="仿宋" w:cs="仿宋"/>
                <w:color w:val="auto"/>
                <w:sz w:val="24"/>
                <w:szCs w:val="24"/>
                <w:highlight w:val="none"/>
                <w:lang w:val="en-US" w:eastAsia="zh-CN"/>
              </w:rPr>
              <w:t>开标</w:t>
            </w:r>
            <w:r>
              <w:rPr>
                <w:rFonts w:hint="eastAsia" w:ascii="仿宋" w:hAnsi="仿宋" w:eastAsia="仿宋" w:cs="仿宋"/>
                <w:color w:val="auto"/>
                <w:sz w:val="24"/>
                <w:szCs w:val="24"/>
                <w:highlight w:val="none"/>
              </w:rPr>
              <w:t>之日起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9</w:t>
            </w:r>
            <w:r>
              <w:rPr>
                <w:rFonts w:hint="eastAsia" w:ascii="仿宋" w:hAnsi="仿宋" w:eastAsia="仿宋" w:cs="仿宋"/>
                <w:color w:val="auto"/>
                <w:sz w:val="24"/>
                <w:szCs w:val="24"/>
                <w:highlight w:val="none"/>
                <w:u w:val="single"/>
              </w:rPr>
              <w:t xml:space="preserve">0 </w:t>
            </w:r>
            <w:r>
              <w:rPr>
                <w:rFonts w:hint="eastAsia" w:ascii="仿宋" w:hAnsi="仿宋" w:eastAsia="仿宋" w:cs="仿宋"/>
                <w:color w:val="auto"/>
                <w:sz w:val="24"/>
                <w:szCs w:val="24"/>
                <w:highlight w:val="none"/>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92" w:type="dxa"/>
            <w:noWrap w:val="0"/>
            <w:vAlign w:val="center"/>
          </w:tcPr>
          <w:p>
            <w:pPr>
              <w:pStyle w:val="12"/>
              <w:adjustRightInd w:val="0"/>
              <w:snapToGrid w:val="0"/>
              <w:spacing w:line="240" w:lineRule="auto"/>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8147" w:type="dxa"/>
            <w:noWrap w:val="0"/>
            <w:vAlign w:val="center"/>
          </w:tcPr>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1.投标文件递交</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投标文件：正本：</w:t>
            </w:r>
            <w:r>
              <w:rPr>
                <w:rFonts w:hint="eastAsia" w:ascii="仿宋" w:hAnsi="仿宋" w:eastAsia="仿宋" w:cs="仿宋"/>
                <w:color w:val="auto"/>
                <w:sz w:val="24"/>
                <w:highlight w:val="none"/>
                <w:u w:val="single"/>
              </w:rPr>
              <w:t>1</w:t>
            </w:r>
            <w:r>
              <w:rPr>
                <w:rFonts w:hint="eastAsia" w:ascii="仿宋" w:hAnsi="仿宋" w:eastAsia="仿宋" w:cs="仿宋"/>
                <w:color w:val="auto"/>
                <w:sz w:val="24"/>
                <w:highlight w:val="none"/>
              </w:rPr>
              <w:t>份、副本：</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rPr>
              <w:t>份；</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2、递交</w:t>
            </w:r>
            <w:r>
              <w:rPr>
                <w:rFonts w:hint="eastAsia" w:ascii="仿宋" w:hAnsi="仿宋" w:eastAsia="仿宋" w:cs="仿宋"/>
                <w:i w:val="0"/>
                <w:iCs w:val="0"/>
                <w:caps w:val="0"/>
                <w:color w:val="auto"/>
                <w:spacing w:val="0"/>
                <w:sz w:val="24"/>
                <w:szCs w:val="24"/>
                <w:highlight w:val="none"/>
                <w:shd w:val="clear" w:color="auto" w:fill="FFFFFF"/>
                <w:lang w:val="en-US" w:eastAsia="zh-CN"/>
              </w:rPr>
              <w:t>截止时间：</w:t>
            </w:r>
            <w:r>
              <w:rPr>
                <w:rFonts w:hint="eastAsia" w:ascii="仿宋" w:hAnsi="仿宋" w:eastAsia="仿宋" w:cs="仿宋"/>
                <w:i w:val="0"/>
                <w:iCs w:val="0"/>
                <w:caps w:val="0"/>
                <w:color w:val="auto"/>
                <w:spacing w:val="0"/>
                <w:sz w:val="24"/>
                <w:szCs w:val="24"/>
                <w:highlight w:val="none"/>
                <w:u w:val="single"/>
                <w:shd w:val="clear" w:color="auto" w:fill="FFFFFF"/>
                <w:lang w:eastAsia="zh-CN"/>
              </w:rPr>
              <w:t>2025年0</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9</w:t>
            </w:r>
            <w:r>
              <w:rPr>
                <w:rFonts w:hint="eastAsia" w:ascii="仿宋" w:hAnsi="仿宋" w:eastAsia="仿宋" w:cs="仿宋"/>
                <w:i w:val="0"/>
                <w:iCs w:val="0"/>
                <w:caps w:val="0"/>
                <w:color w:val="auto"/>
                <w:spacing w:val="0"/>
                <w:sz w:val="24"/>
                <w:szCs w:val="24"/>
                <w:highlight w:val="none"/>
                <w:u w:val="single"/>
                <w:shd w:val="clear" w:color="auto" w:fill="FFFFFF"/>
                <w:lang w:eastAsia="zh-CN"/>
              </w:rPr>
              <w:t>月</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28</w:t>
            </w:r>
            <w:r>
              <w:rPr>
                <w:rFonts w:hint="eastAsia" w:ascii="仿宋" w:hAnsi="仿宋" w:eastAsia="仿宋" w:cs="仿宋"/>
                <w:i w:val="0"/>
                <w:iCs w:val="0"/>
                <w:caps w:val="0"/>
                <w:color w:val="auto"/>
                <w:spacing w:val="0"/>
                <w:sz w:val="24"/>
                <w:szCs w:val="24"/>
                <w:highlight w:val="none"/>
                <w:u w:val="single"/>
                <w:shd w:val="clear" w:color="auto" w:fill="FFFFFF"/>
                <w:lang w:eastAsia="zh-CN"/>
              </w:rPr>
              <w:t>日</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09时30分</w:t>
            </w:r>
            <w:r>
              <w:rPr>
                <w:rFonts w:hint="eastAsia" w:ascii="仿宋" w:hAnsi="仿宋" w:eastAsia="仿宋" w:cs="仿宋"/>
                <w:i w:val="0"/>
                <w:iCs w:val="0"/>
                <w:caps w:val="0"/>
                <w:color w:val="auto"/>
                <w:spacing w:val="0"/>
                <w:sz w:val="24"/>
                <w:szCs w:val="24"/>
                <w:highlight w:val="none"/>
                <w:shd w:val="clear" w:color="auto" w:fill="FFFFFF"/>
                <w:lang w:eastAsia="zh-CN"/>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892" w:type="dxa"/>
            <w:noWrap w:val="0"/>
            <w:vAlign w:val="center"/>
          </w:tcPr>
          <w:p>
            <w:pPr>
              <w:pStyle w:val="12"/>
              <w:adjustRightInd w:val="0"/>
              <w:snapToGrid w:val="0"/>
              <w:spacing w:line="240" w:lineRule="auto"/>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8147" w:type="dxa"/>
            <w:noWrap w:val="0"/>
            <w:vAlign w:val="center"/>
          </w:tcPr>
          <w:p>
            <w:pPr>
              <w:pStyle w:val="12"/>
              <w:adjustRightInd w:val="0"/>
              <w:snapToGrid w:val="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投标单位</w:t>
            </w:r>
            <w:r>
              <w:rPr>
                <w:rFonts w:hint="eastAsia" w:ascii="仿宋" w:hAnsi="仿宋" w:eastAsia="仿宋" w:cs="仿宋"/>
                <w:color w:val="auto"/>
                <w:sz w:val="24"/>
                <w:szCs w:val="24"/>
                <w:highlight w:val="none"/>
              </w:rPr>
              <w:t>密封袋上须标注：</w:t>
            </w:r>
          </w:p>
          <w:p>
            <w:pPr>
              <w:pStyle w:val="12"/>
              <w:adjustRightInd w:val="0"/>
              <w:snapToGrid w:val="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（l）项目编号：</w:t>
            </w:r>
          </w:p>
          <w:p>
            <w:pPr>
              <w:pStyle w:val="12"/>
              <w:adjustRightInd w:val="0"/>
              <w:snapToGrid w:val="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（2）项目名称：</w:t>
            </w:r>
          </w:p>
          <w:p>
            <w:pPr>
              <w:pStyle w:val="12"/>
              <w:adjustRightInd w:val="0"/>
              <w:snapToGrid w:val="0"/>
              <w:ind w:firstLine="240" w:firstLineChars="1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（3）供应商的名称、地址、联系人、电话。</w:t>
            </w:r>
          </w:p>
          <w:p>
            <w:pPr>
              <w:pStyle w:val="12"/>
              <w:adjustRightInd w:val="0"/>
              <w:snapToGrid w:val="0"/>
              <w:ind w:firstLine="240" w:firstLineChars="1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shd w:val="clear" w:color="auto" w:fill="FFFFFF"/>
                <w:lang w:eastAsia="zh-CN"/>
              </w:rPr>
              <w:t>年</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shd w:val="clear" w:color="auto" w:fill="FFFFFF"/>
                <w:lang w:eastAsia="zh-CN"/>
              </w:rPr>
              <w:t>月</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shd w:val="clear" w:color="auto" w:fill="FFFFFF"/>
                <w:lang w:eastAsia="zh-CN"/>
              </w:rPr>
              <w:t>日</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shd w:val="clear" w:color="auto" w:fill="FFFFFF"/>
                <w:lang w:val="en-US" w:eastAsia="zh-CN"/>
              </w:rPr>
              <w:t>点</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shd w:val="clear" w:color="auto" w:fill="FFFFFF"/>
                <w:lang w:val="en-US" w:eastAsia="zh-CN"/>
              </w:rPr>
              <w:t>分</w:t>
            </w:r>
            <w:r>
              <w:rPr>
                <w:rFonts w:hint="eastAsia" w:ascii="仿宋" w:hAnsi="仿宋" w:eastAsia="仿宋" w:cs="仿宋"/>
                <w:color w:val="auto"/>
                <w:sz w:val="24"/>
                <w:szCs w:val="24"/>
                <w:highlight w:val="none"/>
              </w:rPr>
              <w:t>（北京时间）之前不得启封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2" w:type="dxa"/>
            <w:noWrap w:val="0"/>
            <w:vAlign w:val="center"/>
          </w:tcPr>
          <w:p>
            <w:pPr>
              <w:pStyle w:val="12"/>
              <w:adjustRightInd w:val="0"/>
              <w:snapToGrid w:val="0"/>
              <w:spacing w:line="240" w:lineRule="auto"/>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8147" w:type="dxa"/>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竞争性</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响应文件：</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1、本项目采用纸质投标文件方式。</w:t>
            </w:r>
          </w:p>
          <w:p>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2、纸质</w:t>
            </w:r>
            <w:r>
              <w:rPr>
                <w:rFonts w:hint="eastAsia" w:ascii="仿宋" w:hAnsi="仿宋" w:eastAsia="仿宋" w:cs="仿宋"/>
                <w:b/>
                <w:bCs/>
                <w:color w:val="auto"/>
                <w:sz w:val="24"/>
                <w:szCs w:val="24"/>
                <w:highlight w:val="none"/>
                <w:lang w:eastAsia="zh-CN"/>
              </w:rPr>
              <w:t>磋商</w:t>
            </w:r>
            <w:r>
              <w:rPr>
                <w:rFonts w:hint="eastAsia" w:ascii="仿宋" w:hAnsi="仿宋" w:eastAsia="仿宋" w:cs="仿宋"/>
                <w:b/>
                <w:bCs/>
                <w:color w:val="auto"/>
                <w:sz w:val="24"/>
                <w:szCs w:val="24"/>
                <w:highlight w:val="none"/>
              </w:rPr>
              <w:t>响应文件：</w:t>
            </w:r>
            <w:r>
              <w:rPr>
                <w:rFonts w:hint="eastAsia" w:ascii="仿宋" w:hAnsi="仿宋" w:eastAsia="仿宋" w:cs="仿宋"/>
                <w:color w:val="auto"/>
                <w:sz w:val="24"/>
                <w:szCs w:val="24"/>
                <w:highlight w:val="none"/>
              </w:rPr>
              <w:t>正本壹份、副本</w:t>
            </w:r>
            <w:r>
              <w:rPr>
                <w:rFonts w:hint="eastAsia" w:ascii="仿宋" w:hAnsi="仿宋" w:eastAsia="仿宋" w:cs="仿宋"/>
                <w:color w:val="auto"/>
                <w:sz w:val="24"/>
                <w:szCs w:val="24"/>
                <w:highlight w:val="none"/>
                <w:lang w:val="en-US" w:eastAsia="zh-CN"/>
              </w:rPr>
              <w:t>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highlight w:val="none"/>
              </w:rPr>
              <w:t>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响应文件正、副本须各自装订成册，统一编码（要求胶装、不得出现活页）。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仿宋" w:hAnsi="仿宋" w:eastAsia="仿宋" w:cs="仿宋"/>
                <w:color w:val="auto"/>
                <w:highlight w:val="none"/>
                <w:lang w:val="en-US" w:eastAsia="zh-CN"/>
              </w:rPr>
            </w:pPr>
            <w:r>
              <w:rPr>
                <w:rFonts w:hint="eastAsia" w:ascii="仿宋" w:hAnsi="仿宋" w:eastAsia="仿宋" w:cs="仿宋"/>
                <w:b/>
                <w:bCs/>
                <w:color w:val="auto"/>
                <w:sz w:val="24"/>
                <w:szCs w:val="24"/>
                <w:highlight w:val="none"/>
                <w:lang w:val="en-US" w:eastAsia="zh-CN"/>
              </w:rPr>
              <w:t>3、身份核验现场手持件：①法人参与投标的需提供:法人身份证明（按照竞争性磋商响应文件格式），身份证原件；②授权委托人参与投标的需提供:法定代表人授权委托书（按照竞争性磋商响应文件格式），委托人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892" w:type="dxa"/>
            <w:noWrap w:val="0"/>
            <w:vAlign w:val="center"/>
          </w:tcPr>
          <w:p>
            <w:pPr>
              <w:pStyle w:val="12"/>
              <w:adjustRightInd w:val="0"/>
              <w:snapToGrid w:val="0"/>
              <w:spacing w:line="240" w:lineRule="auto"/>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8147" w:type="dxa"/>
            <w:noWrap w:val="0"/>
            <w:vAlign w:val="center"/>
          </w:tcPr>
          <w:p>
            <w:pPr>
              <w:spacing w:line="360" w:lineRule="exac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磋商小组由</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人组成，其中评审专家</w:t>
            </w:r>
            <w:r>
              <w:rPr>
                <w:rFonts w:hint="eastAsia" w:ascii="仿宋" w:hAnsi="仿宋" w:eastAsia="仿宋" w:cs="仿宋"/>
                <w:color w:val="auto"/>
                <w:sz w:val="24"/>
                <w:highlight w:val="none"/>
                <w:u w:val="single"/>
                <w:lang w:val="en-US" w:eastAsia="zh-CN"/>
              </w:rPr>
              <w:t xml:space="preserve"> 2</w:t>
            </w:r>
            <w:r>
              <w:rPr>
                <w:rFonts w:hint="eastAsia" w:ascii="仿宋" w:hAnsi="仿宋" w:eastAsia="仿宋" w:cs="仿宋"/>
                <w:color w:val="auto"/>
                <w:sz w:val="24"/>
                <w:highlight w:val="none"/>
              </w:rPr>
              <w:t>人，采购人代表</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892" w:type="dxa"/>
            <w:noWrap w:val="0"/>
            <w:vAlign w:val="center"/>
          </w:tcPr>
          <w:p>
            <w:pPr>
              <w:jc w:val="center"/>
              <w:outlineLvl w:val="9"/>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147" w:type="dxa"/>
            <w:noWrap w:val="0"/>
            <w:vAlign w:val="center"/>
          </w:tcPr>
          <w:p>
            <w:pPr>
              <w:jc w:val="left"/>
              <w:outlineLvl w:val="9"/>
              <w:rPr>
                <w:rFonts w:hint="eastAsia" w:ascii="仿宋" w:hAnsi="仿宋" w:eastAsia="仿宋" w:cs="仿宋"/>
                <w:color w:val="auto"/>
                <w:highlight w:val="none"/>
              </w:rPr>
            </w:pPr>
            <w:r>
              <w:rPr>
                <w:rFonts w:hint="eastAsia" w:ascii="仿宋" w:hAnsi="仿宋" w:eastAsia="仿宋" w:cs="仿宋"/>
                <w:color w:val="auto"/>
                <w:sz w:val="24"/>
                <w:highlight w:val="none"/>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92" w:type="dxa"/>
            <w:noWrap w:val="0"/>
            <w:vAlign w:val="center"/>
          </w:tcPr>
          <w:p>
            <w:pPr>
              <w:jc w:val="center"/>
              <w:outlineLvl w:val="9"/>
              <w:rPr>
                <w:rFonts w:hint="default" w:ascii="仿宋" w:hAnsi="仿宋" w:eastAsia="仿宋" w:cs="仿宋"/>
                <w:color w:val="auto"/>
                <w:kern w:val="2"/>
                <w:sz w:val="24"/>
                <w:szCs w:val="24"/>
                <w:highlight w:val="none"/>
                <w:lang w:val="en-US" w:eastAsia="zh-CN" w:bidi="ar-SA"/>
              </w:rPr>
            </w:pPr>
            <w:bookmarkStart w:id="87" w:name="_Toc256342144"/>
            <w:bookmarkStart w:id="88" w:name="_Toc177189236"/>
            <w:bookmarkStart w:id="89" w:name="_Toc232395213"/>
            <w:bookmarkStart w:id="90" w:name="_Toc230013633"/>
            <w:bookmarkStart w:id="91" w:name="_Toc176882543"/>
            <w:bookmarkStart w:id="92" w:name="_Toc177995474"/>
            <w:bookmarkStart w:id="93" w:name="_Toc230099798"/>
            <w:bookmarkStart w:id="94" w:name="_Toc184043013"/>
            <w:bookmarkStart w:id="95" w:name="_Toc249515391"/>
            <w:bookmarkStart w:id="96" w:name="_Toc232176273"/>
            <w:bookmarkStart w:id="97" w:name="_Toc249525160"/>
            <w:bookmarkStart w:id="98" w:name="_Toc177817335"/>
            <w:bookmarkStart w:id="99" w:name="_Toc53722841"/>
            <w:bookmarkStart w:id="100" w:name="_Toc249515279"/>
            <w:bookmarkStart w:id="101" w:name="_Toc230583542"/>
            <w:bookmarkStart w:id="102" w:name="_Toc70687140"/>
            <w:r>
              <w:rPr>
                <w:rFonts w:hint="eastAsia" w:ascii="仿宋" w:hAnsi="仿宋" w:eastAsia="仿宋" w:cs="仿宋"/>
                <w:color w:val="auto"/>
                <w:sz w:val="24"/>
                <w:highlight w:val="none"/>
                <w:lang w:val="en-US" w:eastAsia="zh-CN"/>
              </w:rPr>
              <w:t>17</w:t>
            </w:r>
          </w:p>
        </w:tc>
        <w:tc>
          <w:tcPr>
            <w:tcW w:w="8147" w:type="dxa"/>
            <w:noWrap w:val="0"/>
            <w:vAlign w:val="center"/>
          </w:tcPr>
          <w:p>
            <w:pPr>
              <w:spacing w:line="360" w:lineRule="auto"/>
              <w:rPr>
                <w:rFonts w:hint="eastAsia" w:ascii="仿宋" w:hAnsi="仿宋" w:eastAsia="仿宋" w:cs="仿宋"/>
                <w:color w:val="auto"/>
                <w:sz w:val="24"/>
                <w:szCs w:val="24"/>
              </w:rPr>
            </w:pPr>
            <w:r>
              <w:rPr>
                <w:rFonts w:hint="eastAsia" w:ascii="仿宋" w:hAnsi="仿宋" w:eastAsia="仿宋" w:cs="仿宋"/>
                <w:b/>
                <w:bCs/>
                <w:color w:val="auto"/>
                <w:sz w:val="24"/>
                <w:highlight w:val="none"/>
                <w:lang w:val="en-US" w:eastAsia="zh-CN"/>
              </w:rPr>
              <w:t>招标代理服务费：</w:t>
            </w:r>
            <w:r>
              <w:rPr>
                <w:rFonts w:hint="eastAsia" w:ascii="仿宋" w:hAnsi="仿宋" w:eastAsia="仿宋" w:cs="仿宋"/>
                <w:color w:val="auto"/>
                <w:sz w:val="24"/>
                <w:szCs w:val="24"/>
                <w:lang w:val="en-US" w:eastAsia="zh-CN"/>
              </w:rPr>
              <w:t xml:space="preserve">采购单位向采购代理机构一次性支付代理服务费。 </w:t>
            </w:r>
          </w:p>
          <w:p>
            <w:pPr>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lang w:val="en-US" w:eastAsia="zh-CN"/>
              </w:rPr>
              <w:t>成交服务费:参照国家计委计价格[2002]1980 号文规定收费标准服务类收取。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92" w:type="dxa"/>
            <w:noWrap w:val="0"/>
            <w:vAlign w:val="center"/>
          </w:tcPr>
          <w:p>
            <w:pPr>
              <w:jc w:val="center"/>
              <w:outlineLvl w:val="9"/>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18</w:t>
            </w:r>
          </w:p>
        </w:tc>
        <w:tc>
          <w:tcPr>
            <w:tcW w:w="8147" w:type="dxa"/>
            <w:noWrap w:val="0"/>
            <w:vAlign w:val="center"/>
          </w:tcPr>
          <w:p>
            <w:pPr>
              <w:keepNext w:val="0"/>
              <w:keepLines w:val="0"/>
              <w:pageBreakBefore w:val="0"/>
              <w:widowControl w:val="0"/>
              <w:shd w:val="clear" w:color="auto" w:fill="auto"/>
              <w:kinsoku/>
              <w:wordWrap/>
              <w:overflowPunct/>
              <w:topLinePunct w:val="0"/>
              <w:bidi w:val="0"/>
              <w:adjustRightInd w:val="0"/>
              <w:snapToGrid w:val="0"/>
              <w:spacing w:line="360" w:lineRule="auto"/>
              <w:ind w:left="0" w:leftChars="0" w:right="0" w:firstLine="0" w:firstLineChars="0"/>
              <w:jc w:val="both"/>
              <w:textAlignment w:val="auto"/>
              <w:rPr>
                <w:rFonts w:hint="eastAsia" w:ascii="仿宋" w:hAnsi="仿宋" w:eastAsia="仿宋" w:cs="仿宋"/>
                <w:color w:val="auto"/>
                <w:spacing w:val="0"/>
                <w:w w:val="100"/>
                <w:position w:val="0"/>
                <w:sz w:val="24"/>
                <w:szCs w:val="24"/>
                <w:highlight w:val="none"/>
              </w:rPr>
            </w:pPr>
            <w:r>
              <w:rPr>
                <w:rFonts w:hint="eastAsia" w:ascii="仿宋" w:hAnsi="仿宋" w:eastAsia="仿宋" w:cs="仿宋"/>
                <w:b/>
                <w:bCs/>
                <w:color w:val="auto"/>
                <w:sz w:val="24"/>
                <w:szCs w:val="24"/>
                <w:highlight w:val="none"/>
                <w:lang w:val="en-US" w:eastAsia="zh-CN" w:bidi="ar-SA"/>
              </w:rPr>
              <w:t>政采贷业务：</w:t>
            </w:r>
            <w:r>
              <w:rPr>
                <w:rFonts w:hint="eastAsia" w:ascii="仿宋" w:hAnsi="仿宋" w:eastAsia="仿宋" w:cs="仿宋"/>
                <w:color w:val="auto"/>
                <w:spacing w:val="0"/>
                <w:w w:val="100"/>
                <w:position w:val="0"/>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仿宋" w:hAnsi="仿宋" w:eastAsia="仿宋" w:cs="仿宋"/>
                <w:color w:val="auto"/>
                <w:spacing w:val="0"/>
                <w:w w:val="100"/>
                <w:position w:val="0"/>
                <w:sz w:val="24"/>
                <w:szCs w:val="24"/>
                <w:highlight w:val="none"/>
                <w:lang w:val="en-US" w:eastAsia="zh-CN"/>
              </w:rPr>
              <w:t xml:space="preserve"> </w:t>
            </w:r>
            <w:r>
              <w:rPr>
                <w:rFonts w:hint="eastAsia" w:ascii="仿宋" w:hAnsi="仿宋" w:eastAsia="仿宋" w:cs="仿宋"/>
                <w:color w:val="auto"/>
                <w:spacing w:val="0"/>
                <w:w w:val="100"/>
                <w:position w:val="0"/>
                <w:sz w:val="24"/>
                <w:szCs w:val="24"/>
                <w:highlight w:val="none"/>
              </w:rPr>
              <w:t>国办《关于促进中小企业健康发展的指导意见》、财政部</w:t>
            </w:r>
            <w:r>
              <w:rPr>
                <w:rFonts w:hint="eastAsia" w:ascii="仿宋" w:hAnsi="仿宋" w:eastAsia="仿宋" w:cs="仿宋"/>
                <w:color w:val="auto"/>
                <w:spacing w:val="0"/>
                <w:w w:val="100"/>
                <w:position w:val="0"/>
                <w:sz w:val="24"/>
                <w:szCs w:val="24"/>
                <w:highlight w:val="none"/>
                <w:lang w:val="en-US" w:eastAsia="zh-CN"/>
              </w:rPr>
              <w:t xml:space="preserve"> </w:t>
            </w:r>
            <w:r>
              <w:rPr>
                <w:rFonts w:hint="eastAsia" w:ascii="仿宋" w:hAnsi="仿宋" w:eastAsia="仿宋" w:cs="仿宋"/>
                <w:color w:val="auto"/>
                <w:spacing w:val="0"/>
                <w:w w:val="100"/>
                <w:position w:val="0"/>
                <w:sz w:val="24"/>
                <w:szCs w:val="24"/>
                <w:highlight w:val="none"/>
              </w:rPr>
              <w:t>工信部《政府采购促进中小企业发展</w:t>
            </w:r>
            <w:r>
              <w:rPr>
                <w:rFonts w:hint="eastAsia" w:ascii="仿宋" w:hAnsi="仿宋" w:eastAsia="仿宋" w:cs="仿宋"/>
                <w:color w:val="auto"/>
                <w:spacing w:val="0"/>
                <w:w w:val="100"/>
                <w:position w:val="0"/>
                <w:sz w:val="24"/>
                <w:szCs w:val="24"/>
                <w:highlight w:val="none"/>
                <w:lang w:val="en-US" w:eastAsia="zh-CN"/>
              </w:rPr>
              <w:t>管理</w:t>
            </w:r>
            <w:r>
              <w:rPr>
                <w:rFonts w:hint="eastAsia" w:ascii="仿宋" w:hAnsi="仿宋" w:eastAsia="仿宋" w:cs="仿宋"/>
                <w:color w:val="auto"/>
                <w:spacing w:val="0"/>
                <w:w w:val="100"/>
                <w:position w:val="0"/>
                <w:sz w:val="24"/>
                <w:szCs w:val="24"/>
                <w:highlight w:val="none"/>
              </w:rPr>
              <w:t>办法》（财库〔20</w:t>
            </w:r>
            <w:r>
              <w:rPr>
                <w:rFonts w:hint="eastAsia" w:ascii="仿宋" w:hAnsi="仿宋" w:eastAsia="仿宋" w:cs="仿宋"/>
                <w:color w:val="auto"/>
                <w:spacing w:val="0"/>
                <w:w w:val="100"/>
                <w:position w:val="0"/>
                <w:sz w:val="24"/>
                <w:szCs w:val="24"/>
                <w:highlight w:val="none"/>
                <w:lang w:val="en-US" w:eastAsia="zh-CN"/>
              </w:rPr>
              <w:t>20</w:t>
            </w:r>
            <w:r>
              <w:rPr>
                <w:rFonts w:hint="eastAsia" w:ascii="仿宋" w:hAnsi="仿宋" w:eastAsia="仿宋" w:cs="仿宋"/>
                <w:color w:val="auto"/>
                <w:spacing w:val="0"/>
                <w:w w:val="100"/>
                <w:position w:val="0"/>
                <w:sz w:val="24"/>
                <w:szCs w:val="24"/>
                <w:highlight w:val="none"/>
              </w:rPr>
              <w:t>〕</w:t>
            </w:r>
            <w:r>
              <w:rPr>
                <w:rFonts w:hint="eastAsia" w:ascii="仿宋" w:hAnsi="仿宋" w:eastAsia="仿宋" w:cs="仿宋"/>
                <w:color w:val="auto"/>
                <w:spacing w:val="0"/>
                <w:w w:val="100"/>
                <w:position w:val="0"/>
                <w:sz w:val="24"/>
                <w:szCs w:val="24"/>
                <w:highlight w:val="none"/>
                <w:lang w:val="en-US" w:eastAsia="zh-CN"/>
              </w:rPr>
              <w:t>46</w:t>
            </w:r>
            <w:r>
              <w:rPr>
                <w:rFonts w:hint="eastAsia" w:ascii="仿宋" w:hAnsi="仿宋" w:eastAsia="仿宋" w:cs="仿宋"/>
                <w:color w:val="auto"/>
                <w:spacing w:val="0"/>
                <w:w w:val="100"/>
                <w:position w:val="0"/>
                <w:sz w:val="24"/>
                <w:szCs w:val="24"/>
                <w:highlight w:val="none"/>
              </w:rPr>
              <w:t>号）、《陕西省中小企业政府采购信用融资办法》（陕财办采〔2018〕23号）、《陕西省财政厅关于加快推进我省中小企业政府采购信用融资工作的通知》（陕财办采〔2020〕15号）</w:t>
            </w:r>
            <w:r>
              <w:rPr>
                <w:rFonts w:hint="eastAsia" w:ascii="仿宋" w:hAnsi="仿宋" w:eastAsia="仿宋" w:cs="仿宋"/>
                <w:color w:val="auto"/>
                <w:spacing w:val="0"/>
                <w:w w:val="100"/>
                <w:position w:val="0"/>
                <w:sz w:val="24"/>
                <w:szCs w:val="24"/>
                <w:highlight w:val="none"/>
                <w:lang w:eastAsia="zh-CN"/>
              </w:rPr>
              <w:t>、</w:t>
            </w:r>
            <w:r>
              <w:rPr>
                <w:rFonts w:hint="eastAsia" w:ascii="仿宋" w:hAnsi="仿宋" w:eastAsia="仿宋" w:cs="仿宋"/>
                <w:color w:val="auto"/>
                <w:spacing w:val="0"/>
                <w:w w:val="100"/>
                <w:position w:val="0"/>
                <w:sz w:val="24"/>
                <w:szCs w:val="24"/>
                <w:highlight w:val="none"/>
                <w:lang w:val="en-US" w:eastAsia="zh-CN"/>
              </w:rPr>
              <w:t>《陕西省财政厅 中国人民银行西安分行关于深入推进政府采购信用融资业务的通知》</w:t>
            </w:r>
            <w:r>
              <w:rPr>
                <w:rFonts w:hint="eastAsia" w:ascii="仿宋" w:hAnsi="仿宋" w:eastAsia="仿宋" w:cs="仿宋"/>
                <w:color w:val="auto"/>
                <w:spacing w:val="0"/>
                <w:w w:val="100"/>
                <w:position w:val="0"/>
                <w:sz w:val="24"/>
                <w:szCs w:val="24"/>
                <w:highlight w:val="none"/>
              </w:rPr>
              <w:t>（陕财办采〔202</w:t>
            </w:r>
            <w:r>
              <w:rPr>
                <w:rFonts w:hint="eastAsia" w:ascii="仿宋" w:hAnsi="仿宋" w:eastAsia="仿宋" w:cs="仿宋"/>
                <w:color w:val="auto"/>
                <w:spacing w:val="0"/>
                <w:w w:val="100"/>
                <w:position w:val="0"/>
                <w:sz w:val="24"/>
                <w:szCs w:val="24"/>
                <w:highlight w:val="none"/>
                <w:lang w:val="en-US" w:eastAsia="zh-CN"/>
              </w:rPr>
              <w:t>3</w:t>
            </w:r>
            <w:r>
              <w:rPr>
                <w:rFonts w:hint="eastAsia" w:ascii="仿宋" w:hAnsi="仿宋" w:eastAsia="仿宋" w:cs="仿宋"/>
                <w:color w:val="auto"/>
                <w:spacing w:val="0"/>
                <w:w w:val="100"/>
                <w:position w:val="0"/>
                <w:sz w:val="24"/>
                <w:szCs w:val="24"/>
                <w:highlight w:val="none"/>
              </w:rPr>
              <w:t>〕5号）等有关规定，按照</w:t>
            </w:r>
            <w:r>
              <w:rPr>
                <w:rFonts w:hint="eastAsia" w:ascii="仿宋" w:hAnsi="仿宋" w:eastAsia="仿宋" w:cs="仿宋"/>
                <w:color w:val="auto"/>
                <w:spacing w:val="0"/>
                <w:w w:val="100"/>
                <w:position w:val="0"/>
                <w:sz w:val="24"/>
                <w:szCs w:val="24"/>
                <w:highlight w:val="none"/>
                <w:lang w:val="en-US" w:eastAsia="zh-CN"/>
              </w:rPr>
              <w:t>政府</w:t>
            </w:r>
            <w:r>
              <w:rPr>
                <w:rFonts w:hint="eastAsia" w:ascii="仿宋" w:hAnsi="仿宋" w:eastAsia="仿宋" w:cs="仿宋"/>
                <w:color w:val="auto"/>
                <w:spacing w:val="0"/>
                <w:w w:val="100"/>
                <w:position w:val="0"/>
                <w:sz w:val="24"/>
                <w:szCs w:val="24"/>
                <w:highlight w:val="none"/>
              </w:rPr>
              <w:t>引导、</w:t>
            </w:r>
            <w:r>
              <w:rPr>
                <w:rFonts w:hint="eastAsia" w:ascii="仿宋" w:hAnsi="仿宋" w:eastAsia="仿宋" w:cs="仿宋"/>
                <w:color w:val="auto"/>
                <w:spacing w:val="0"/>
                <w:w w:val="100"/>
                <w:position w:val="0"/>
                <w:sz w:val="24"/>
                <w:szCs w:val="24"/>
                <w:highlight w:val="none"/>
                <w:lang w:val="en-US" w:eastAsia="zh-CN"/>
              </w:rPr>
              <w:t>市场运作、银企</w:t>
            </w:r>
            <w:r>
              <w:rPr>
                <w:rFonts w:hint="eastAsia" w:ascii="仿宋" w:hAnsi="仿宋" w:eastAsia="仿宋" w:cs="仿宋"/>
                <w:color w:val="auto"/>
                <w:spacing w:val="0"/>
                <w:w w:val="100"/>
                <w:position w:val="0"/>
                <w:sz w:val="24"/>
                <w:szCs w:val="24"/>
                <w:highlight w:val="none"/>
              </w:rPr>
              <w:t>自愿、风险自担的原则，中标（成交）供应商可根据自身资金需求，登录陕西省政府采购信用融资平台（http://www.ccgp-shaanxi.gov.cn/zcdservice/zcd/shanxi/）</w:t>
            </w:r>
            <w:r>
              <w:rPr>
                <w:rFonts w:hint="eastAsia" w:ascii="仿宋" w:hAnsi="仿宋" w:eastAsia="仿宋" w:cs="仿宋"/>
                <w:color w:val="auto"/>
                <w:spacing w:val="0"/>
                <w:w w:val="100"/>
                <w:position w:val="0"/>
                <w:sz w:val="24"/>
                <w:szCs w:val="24"/>
                <w:highlight w:val="none"/>
                <w:lang w:val="en-US" w:eastAsia="zh-CN"/>
              </w:rPr>
              <w:t>或中征平台（https://www.crcrfsp.com）</w:t>
            </w:r>
            <w:r>
              <w:rPr>
                <w:rFonts w:hint="eastAsia" w:ascii="仿宋" w:hAnsi="仿宋" w:eastAsia="仿宋" w:cs="仿宋"/>
                <w:color w:val="auto"/>
                <w:spacing w:val="0"/>
                <w:w w:val="100"/>
                <w:position w:val="0"/>
                <w:sz w:val="24"/>
                <w:szCs w:val="24"/>
                <w:highlight w:val="none"/>
              </w:rPr>
              <w:t>在线申请，依法参加政府采购信用融资活动。</w:t>
            </w:r>
          </w:p>
          <w:tbl>
            <w:tblPr>
              <w:tblStyle w:val="22"/>
              <w:tblW w:w="82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8"/>
              <w:gridCol w:w="1011"/>
              <w:gridCol w:w="915"/>
              <w:gridCol w:w="945"/>
              <w:gridCol w:w="957"/>
              <w:gridCol w:w="1048"/>
              <w:gridCol w:w="936"/>
              <w:gridCol w:w="19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jc w:val="center"/>
              </w:trPr>
              <w:tc>
                <w:tcPr>
                  <w:tcW w:w="8240" w:type="dxa"/>
                  <w:gridSpan w:val="8"/>
                  <w:tcBorders>
                    <w:top w:val="nil"/>
                    <w:left w:val="nil"/>
                    <w:bottom w:val="nil"/>
                    <w:right w:val="nil"/>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b/>
                      <w:bCs/>
                      <w:color w:val="auto"/>
                      <w:spacing w:val="0"/>
                      <w:w w:val="100"/>
                      <w:position w:val="0"/>
                      <w:sz w:val="21"/>
                      <w:szCs w:val="21"/>
                      <w:highlight w:val="none"/>
                    </w:rPr>
                  </w:pPr>
                  <w:r>
                    <w:rPr>
                      <w:rFonts w:hint="eastAsia" w:ascii="仿宋" w:hAnsi="仿宋" w:eastAsia="仿宋" w:cs="仿宋"/>
                      <w:b/>
                      <w:bCs/>
                      <w:color w:val="auto"/>
                      <w:spacing w:val="0"/>
                      <w:w w:val="100"/>
                      <w:position w:val="0"/>
                      <w:sz w:val="21"/>
                      <w:szCs w:val="21"/>
                      <w:highlight w:val="none"/>
                      <w:lang w:val="en-US" w:eastAsia="zh-CN"/>
                    </w:rPr>
                    <w:t>榆林市“政采贷”业务办理银行联系表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序号</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银行名称</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产品名称</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贷款额度</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贷款期限</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贷款利率</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办理时效</w:t>
                  </w:r>
                </w:p>
              </w:tc>
              <w:tc>
                <w:tcPr>
                  <w:tcW w:w="19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1</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长安银行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政采贷</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1000万元</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1-3年</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3.45%</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72小时</w:t>
                  </w:r>
                </w:p>
              </w:tc>
              <w:tc>
                <w:tcPr>
                  <w:tcW w:w="1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魏  众15109123951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2</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中信银行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政采E贷</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1000万元</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1-3年</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3.45%起</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24小时</w:t>
                  </w:r>
                </w:p>
              </w:tc>
              <w:tc>
                <w:tcPr>
                  <w:tcW w:w="19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i w:val="0"/>
                      <w:iCs w:val="0"/>
                      <w:color w:val="auto"/>
                      <w:spacing w:val="0"/>
                      <w:w w:val="100"/>
                      <w:kern w:val="0"/>
                      <w:position w:val="0"/>
                      <w:sz w:val="21"/>
                      <w:szCs w:val="21"/>
                      <w:highlight w:val="none"/>
                      <w:u w:val="none"/>
                      <w:lang w:val="en-US" w:eastAsia="zh-CN" w:bidi="ar"/>
                    </w:rPr>
                    <w:t>李  靖15509125117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3</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光大银行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政采贷</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1000万元</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1-3年</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3.45%</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72小时</w:t>
                  </w:r>
                </w:p>
              </w:tc>
              <w:tc>
                <w:tcPr>
                  <w:tcW w:w="19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刘  波18809125468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4</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交通银行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秦政贷</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1000万元</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1年</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3.45%</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24小时</w:t>
                  </w:r>
                </w:p>
              </w:tc>
              <w:tc>
                <w:tcPr>
                  <w:tcW w:w="19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张  飞15291296886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5</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中国银行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政采贷</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1000万元</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1-3年</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3.45%</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72小时</w:t>
                  </w:r>
                </w:p>
              </w:tc>
              <w:tc>
                <w:tcPr>
                  <w:tcW w:w="19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李  浩18691230007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6</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招商银行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政采贷</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3000万元</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1-3年</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3.45%起</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24小时</w:t>
                  </w:r>
                </w:p>
              </w:tc>
              <w:tc>
                <w:tcPr>
                  <w:tcW w:w="19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马  烨15596100007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7</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浦发银行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政采E贷</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2000万元</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1年</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rPr>
                  </w:pPr>
                  <w:r>
                    <w:rPr>
                      <w:rFonts w:hint="eastAsia" w:ascii="仿宋" w:hAnsi="仿宋" w:eastAsia="仿宋" w:cs="仿宋"/>
                      <w:color w:val="auto"/>
                      <w:spacing w:val="0"/>
                      <w:w w:val="100"/>
                      <w:position w:val="0"/>
                      <w:sz w:val="21"/>
                      <w:szCs w:val="21"/>
                      <w:highlight w:val="none"/>
                      <w:lang w:val="en-US" w:eastAsia="zh-CN"/>
                    </w:rPr>
                    <w:t>3.8%</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72小时</w:t>
                  </w:r>
                </w:p>
              </w:tc>
              <w:tc>
                <w:tcPr>
                  <w:tcW w:w="19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朱  君15629169158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8</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农商银行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政采贷</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1000万元</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1-2年</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3.45%-5.8%</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24小时</w:t>
                  </w:r>
                </w:p>
              </w:tc>
              <w:tc>
                <w:tcPr>
                  <w:tcW w:w="19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王  璐15529875056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9</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农业银行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政采贷</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3000万元</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1年</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3.45%-3.85%</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24小时</w:t>
                  </w:r>
                </w:p>
              </w:tc>
              <w:tc>
                <w:tcPr>
                  <w:tcW w:w="19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杨  尧13325409313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10</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民生银行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政采E贷</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3000万元</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1年</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3.45%起</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24小时</w:t>
                  </w:r>
                </w:p>
              </w:tc>
              <w:tc>
                <w:tcPr>
                  <w:tcW w:w="19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rPr>
                  </w:pPr>
                  <w:r>
                    <w:rPr>
                      <w:rFonts w:hint="eastAsia" w:ascii="仿宋" w:hAnsi="仿宋" w:eastAsia="仿宋" w:cs="仿宋"/>
                      <w:color w:val="auto"/>
                      <w:spacing w:val="0"/>
                      <w:w w:val="100"/>
                      <w:position w:val="0"/>
                      <w:sz w:val="21"/>
                      <w:szCs w:val="21"/>
                      <w:highlight w:val="none"/>
                      <w:lang w:val="en-US" w:eastAsia="zh-CN"/>
                    </w:rPr>
                    <w:t>郝双双15991225850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11</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兴业银行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政采贷</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1000万元</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1年期</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3.4%</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72小时</w:t>
                  </w:r>
                </w:p>
              </w:tc>
              <w:tc>
                <w:tcPr>
                  <w:tcW w:w="19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薛万隆18709258523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12</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广发银行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政采通</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1000万元</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1年</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3.45%起</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24小时</w:t>
                  </w:r>
                </w:p>
              </w:tc>
              <w:tc>
                <w:tcPr>
                  <w:tcW w:w="19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李思嘉15191820101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4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13</w:t>
                  </w:r>
                </w:p>
              </w:tc>
              <w:tc>
                <w:tcPr>
                  <w:tcW w:w="10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建设银行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E政通</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1000万元</w:t>
                  </w:r>
                </w:p>
              </w:tc>
              <w:tc>
                <w:tcPr>
                  <w:tcW w:w="9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1年</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3.2%</w:t>
                  </w:r>
                </w:p>
              </w:tc>
              <w:tc>
                <w:tcPr>
                  <w:tcW w:w="9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72小时</w:t>
                  </w:r>
                </w:p>
              </w:tc>
              <w:tc>
                <w:tcPr>
                  <w:tcW w:w="19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color w:val="auto"/>
                      <w:spacing w:val="0"/>
                      <w:w w:val="100"/>
                      <w:position w:val="0"/>
                      <w:sz w:val="21"/>
                      <w:szCs w:val="21"/>
                      <w:highlight w:val="none"/>
                      <w:lang w:val="en-US" w:eastAsia="zh-CN"/>
                    </w:rPr>
                    <w:t>张 宇 15929397838</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pacing w:val="0"/>
                <w:w w:val="100"/>
                <w:kern w:val="2"/>
                <w:position w:val="0"/>
                <w:sz w:val="24"/>
                <w:szCs w:val="24"/>
                <w:highlight w:val="none"/>
                <w:lang w:val="en-US" w:eastAsia="zh-CN" w:bidi="ar-SA"/>
              </w:rPr>
              <w:t>备注：银行排名不分先后。如产品额度、期限、利率等内容发生改变，以银行解释为准。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892" w:type="dxa"/>
            <w:noWrap w:val="0"/>
            <w:vAlign w:val="center"/>
          </w:tcPr>
          <w:p>
            <w:pPr>
              <w:jc w:val="center"/>
              <w:outlineLvl w:val="9"/>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19</w:t>
            </w:r>
          </w:p>
        </w:tc>
        <w:tc>
          <w:tcPr>
            <w:tcW w:w="814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关于自主上报信用承诺书说明</w:t>
            </w:r>
            <w:r>
              <w:rPr>
                <w:rFonts w:hint="eastAsia" w:ascii="仿宋" w:hAnsi="仿宋" w:eastAsia="仿宋" w:cs="仿宋"/>
                <w:b/>
                <w:bCs/>
                <w:color w:val="auto"/>
                <w:sz w:val="24"/>
                <w:highlight w:val="none"/>
                <w:lang w:eastAsia="zh-CN"/>
              </w:rPr>
              <w:t>：</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所有投标人按照《榆林市公共资源交易中心关于公共资源交易信用承诺网上公示的通知》（榆交易函〔2021〕19号）文件要求，于投标文件提交截止时间前自主申报信用承诺，具体操作流程详见招标文件</w:t>
            </w:r>
            <w:r>
              <w:rPr>
                <w:rFonts w:hint="eastAsia" w:ascii="仿宋" w:hAnsi="仿宋" w:eastAsia="仿宋" w:cs="仿宋"/>
                <w:color w:val="auto"/>
                <w:sz w:val="24"/>
                <w:szCs w:val="24"/>
                <w:highlight w:val="none"/>
                <w:lang w:val="en-US" w:eastAsia="zh-CN"/>
              </w:rPr>
              <w:t>-其他</w:t>
            </w:r>
            <w:r>
              <w:rPr>
                <w:rFonts w:hint="eastAsia" w:ascii="仿宋" w:hAnsi="仿宋" w:eastAsia="仿宋" w:cs="仿宋"/>
                <w:color w:val="auto"/>
                <w:sz w:val="24"/>
                <w:szCs w:val="24"/>
                <w:highlight w:val="none"/>
              </w:rPr>
              <w:t>附件。自主上报信用承诺书具体要求事项如下：</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1.承诺事项名称：选择《榆林市政府采购工程类/货物类/服务类项目供应商信用承诺书》；承诺事由：填写“项目名称+项目编号”；承诺附件：按</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第六章</w:t>
            </w:r>
            <w:r>
              <w:rPr>
                <w:rFonts w:hint="eastAsia" w:ascii="仿宋" w:hAnsi="仿宋" w:eastAsia="仿宋" w:cs="仿宋"/>
                <w:color w:val="auto"/>
                <w:sz w:val="24"/>
                <w:szCs w:val="24"/>
                <w:highlight w:val="none"/>
                <w:lang w:val="en-US" w:eastAsia="zh-CN"/>
              </w:rPr>
              <w:t xml:space="preserve"> 磋商响应文件格式</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给定的格式填写，需上传至承诺附件；受理部门为</w:t>
            </w:r>
            <w:r>
              <w:rPr>
                <w:rFonts w:hint="eastAsia" w:ascii="仿宋" w:hAnsi="仿宋" w:eastAsia="仿宋" w:cs="仿宋"/>
                <w:color w:val="auto"/>
                <w:sz w:val="24"/>
                <w:szCs w:val="24"/>
                <w:highlight w:val="none"/>
                <w:lang w:eastAsia="zh-CN"/>
              </w:rPr>
              <w:t>榆林</w:t>
            </w:r>
            <w:r>
              <w:rPr>
                <w:rFonts w:hint="eastAsia" w:ascii="仿宋" w:hAnsi="仿宋" w:eastAsia="仿宋" w:cs="仿宋"/>
                <w:color w:val="auto"/>
                <w:sz w:val="24"/>
                <w:szCs w:val="24"/>
                <w:highlight w:val="none"/>
                <w:lang w:val="en-US" w:eastAsia="zh-CN"/>
              </w:rPr>
              <w:t>市</w:t>
            </w:r>
            <w:r>
              <w:rPr>
                <w:rFonts w:hint="eastAsia" w:ascii="仿宋" w:hAnsi="仿宋" w:eastAsia="仿宋" w:cs="仿宋"/>
                <w:color w:val="auto"/>
                <w:sz w:val="24"/>
                <w:szCs w:val="24"/>
                <w:highlight w:val="none"/>
                <w:lang w:eastAsia="zh-CN"/>
              </w:rPr>
              <w:t>财政局</w:t>
            </w:r>
            <w:r>
              <w:rPr>
                <w:rFonts w:hint="eastAsia" w:ascii="仿宋" w:hAnsi="仿宋" w:eastAsia="仿宋" w:cs="仿宋"/>
                <w:color w:val="auto"/>
                <w:sz w:val="24"/>
                <w:szCs w:val="24"/>
                <w:highlight w:val="none"/>
              </w:rPr>
              <w:t>采购科；附件承诺有效期为1年，承诺起始时间为提交投标文件截止之日。</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2.承诺事项名称：选择《投标人信用承诺》；承诺事由：填写“项目名称+项目编号”；承诺附件：按</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第六章</w:t>
            </w:r>
            <w:r>
              <w:rPr>
                <w:rFonts w:hint="eastAsia" w:ascii="仿宋" w:hAnsi="仿宋" w:eastAsia="仿宋" w:cs="仿宋"/>
                <w:color w:val="auto"/>
                <w:sz w:val="24"/>
                <w:szCs w:val="24"/>
                <w:highlight w:val="none"/>
                <w:lang w:val="en-US" w:eastAsia="zh-CN"/>
              </w:rPr>
              <w:t xml:space="preserve"> 磋商响应文件格式</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给定的格式填写，需上传至承诺附件；受理部门为榆林市公共资源交易中心；承诺有效期同投标有效期，承诺起始时间为提交投标文件截止之日。</w:t>
            </w:r>
          </w:p>
          <w:p>
            <w:pPr>
              <w:pStyle w:val="10"/>
              <w:spacing w:after="0"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 承诺事项名称：选择《投标信用(保证金）承诺书》；承诺事由：</w:t>
            </w:r>
            <w:r>
              <w:rPr>
                <w:rFonts w:hint="eastAsia" w:ascii="仿宋" w:hAnsi="仿宋" w:eastAsia="仿宋" w:cs="仿宋"/>
                <w:color w:val="auto"/>
                <w:sz w:val="24"/>
                <w:szCs w:val="24"/>
                <w:highlight w:val="none"/>
              </w:rPr>
              <w:t>填写“项目名称+项目编号”</w:t>
            </w:r>
            <w:r>
              <w:rPr>
                <w:rFonts w:hint="eastAsia" w:ascii="仿宋" w:hAnsi="仿宋" w:eastAsia="仿宋" w:cs="仿宋"/>
                <w:color w:val="auto"/>
                <w:kern w:val="0"/>
                <w:sz w:val="24"/>
                <w:szCs w:val="24"/>
                <w:highlight w:val="none"/>
              </w:rPr>
              <w:t>；承诺附件：按</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第六章</w:t>
            </w:r>
            <w:r>
              <w:rPr>
                <w:rFonts w:hint="eastAsia" w:ascii="仿宋" w:hAnsi="仿宋" w:eastAsia="仿宋" w:cs="仿宋"/>
                <w:color w:val="auto"/>
                <w:sz w:val="24"/>
                <w:szCs w:val="24"/>
                <w:highlight w:val="none"/>
                <w:lang w:val="en-US" w:eastAsia="zh-CN"/>
              </w:rPr>
              <w:t xml:space="preserve"> 磋商响应文件格式</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给定的格式填写</w:t>
            </w:r>
            <w:r>
              <w:rPr>
                <w:rFonts w:hint="eastAsia" w:ascii="仿宋" w:hAnsi="仿宋" w:eastAsia="仿宋" w:cs="仿宋"/>
                <w:color w:val="auto"/>
                <w:kern w:val="0"/>
                <w:sz w:val="24"/>
                <w:szCs w:val="24"/>
                <w:highlight w:val="none"/>
              </w:rPr>
              <w:t>，需上传至承诺附件；</w:t>
            </w:r>
            <w:r>
              <w:rPr>
                <w:rFonts w:hint="eastAsia" w:ascii="仿宋" w:hAnsi="仿宋" w:eastAsia="仿宋" w:cs="仿宋"/>
                <w:color w:val="auto"/>
                <w:sz w:val="24"/>
                <w:szCs w:val="24"/>
                <w:highlight w:val="none"/>
              </w:rPr>
              <w:t>受理部门为榆林市公共资源交易中心；承诺有效期同投标有效期，承诺起始时间为提交投标文件截止之日。</w:t>
            </w:r>
          </w:p>
          <w:p>
            <w:pPr>
              <w:pStyle w:val="10"/>
              <w:spacing w:after="0"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4.承诺事项名称：《投标人委托代理人员信用承诺书》；承诺事由：</w:t>
            </w:r>
            <w:r>
              <w:rPr>
                <w:rFonts w:hint="eastAsia" w:ascii="仿宋" w:hAnsi="仿宋" w:eastAsia="仿宋" w:cs="仿宋"/>
                <w:color w:val="auto"/>
                <w:sz w:val="24"/>
                <w:szCs w:val="24"/>
                <w:highlight w:val="none"/>
              </w:rPr>
              <w:t>填写“项目名称+项目编号”</w:t>
            </w:r>
            <w:r>
              <w:rPr>
                <w:rFonts w:hint="eastAsia" w:ascii="仿宋" w:hAnsi="仿宋" w:eastAsia="仿宋" w:cs="仿宋"/>
                <w:color w:val="auto"/>
                <w:kern w:val="0"/>
                <w:sz w:val="24"/>
                <w:szCs w:val="24"/>
                <w:highlight w:val="none"/>
              </w:rPr>
              <w:t>；委托代理人员为非法定代表人情形者，需委托代理人注册账号密码后进行承诺；承诺附件：按</w:t>
            </w:r>
            <w:r>
              <w:rPr>
                <w:rFonts w:hint="eastAsia" w:ascii="仿宋" w:hAnsi="仿宋" w:eastAsia="仿宋" w:cs="仿宋"/>
                <w:color w:val="auto"/>
                <w:kern w:val="0"/>
                <w:sz w:val="24"/>
                <w:szCs w:val="24"/>
                <w:highlight w:val="none"/>
                <w:lang w:val="en-US" w:eastAsia="zh-CN"/>
              </w:rPr>
              <w:t>磋商</w:t>
            </w:r>
            <w:r>
              <w:rPr>
                <w:rFonts w:hint="eastAsia" w:ascii="仿宋" w:hAnsi="仿宋" w:eastAsia="仿宋" w:cs="仿宋"/>
                <w:color w:val="auto"/>
                <w:sz w:val="24"/>
                <w:szCs w:val="24"/>
                <w:highlight w:val="none"/>
              </w:rPr>
              <w:t>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第六章</w:t>
            </w:r>
            <w:r>
              <w:rPr>
                <w:rFonts w:hint="eastAsia" w:ascii="仿宋" w:hAnsi="仿宋" w:eastAsia="仿宋" w:cs="仿宋"/>
                <w:color w:val="auto"/>
                <w:sz w:val="24"/>
                <w:szCs w:val="24"/>
                <w:highlight w:val="none"/>
                <w:lang w:val="en-US" w:eastAsia="zh-CN"/>
              </w:rPr>
              <w:t xml:space="preserve"> 磋商响应文件格式</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给定的格式填写</w:t>
            </w:r>
            <w:r>
              <w:rPr>
                <w:rFonts w:hint="eastAsia" w:ascii="仿宋" w:hAnsi="仿宋" w:eastAsia="仿宋" w:cs="仿宋"/>
                <w:color w:val="auto"/>
                <w:kern w:val="0"/>
                <w:sz w:val="24"/>
                <w:szCs w:val="24"/>
                <w:highlight w:val="none"/>
              </w:rPr>
              <w:t>，需上传至承诺附件；</w:t>
            </w:r>
            <w:r>
              <w:rPr>
                <w:rFonts w:hint="eastAsia" w:ascii="仿宋" w:hAnsi="仿宋" w:eastAsia="仿宋" w:cs="仿宋"/>
                <w:color w:val="auto"/>
                <w:sz w:val="24"/>
                <w:szCs w:val="24"/>
                <w:highlight w:val="none"/>
              </w:rPr>
              <w:t>受理部门为榆林市公共资源交易中心；承诺有效期同投标有效期，承诺起始时间为提交投标文件截止之日。</w:t>
            </w:r>
          </w:p>
          <w:p>
            <w:pPr>
              <w:pStyle w:val="10"/>
              <w:spacing w:after="0" w:line="360" w:lineRule="auto"/>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rPr>
              <w:t>注：</w:t>
            </w:r>
            <w:r>
              <w:rPr>
                <w:rFonts w:hint="eastAsia" w:ascii="仿宋" w:hAnsi="仿宋" w:eastAsia="仿宋" w:cs="仿宋"/>
                <w:color w:val="auto"/>
                <w:kern w:val="0"/>
                <w:sz w:val="24"/>
                <w:szCs w:val="24"/>
                <w:highlight w:val="none"/>
              </w:rPr>
              <w:t>①法定代表人直接参与投标的无须上报和提供《投标人委托代理人员信用承诺书》。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②未按上述要求在“信用中国（陕西榆林）”网站进行自主上报信用承诺或投标文件中所附内容与上报内容不符的将</w:t>
            </w:r>
            <w:r>
              <w:rPr>
                <w:rFonts w:hint="eastAsia" w:ascii="仿宋" w:hAnsi="仿宋" w:eastAsia="仿宋" w:cs="仿宋"/>
                <w:color w:val="auto"/>
                <w:kern w:val="0"/>
                <w:sz w:val="24"/>
                <w:szCs w:val="24"/>
                <w:highlight w:val="none"/>
                <w:lang w:val="en-US" w:eastAsia="zh-CN"/>
              </w:rPr>
              <w:t>按无效</w:t>
            </w:r>
            <w:r>
              <w:rPr>
                <w:rFonts w:hint="eastAsia" w:ascii="仿宋" w:hAnsi="仿宋" w:eastAsia="仿宋" w:cs="仿宋"/>
                <w:color w:val="auto"/>
                <w:kern w:val="0"/>
                <w:sz w:val="24"/>
                <w:szCs w:val="24"/>
                <w:highlight w:val="none"/>
              </w:rPr>
              <w:t>投标</w:t>
            </w:r>
            <w:r>
              <w:rPr>
                <w:rFonts w:hint="eastAsia" w:ascii="仿宋" w:hAnsi="仿宋" w:eastAsia="仿宋" w:cs="仿宋"/>
                <w:color w:val="auto"/>
                <w:kern w:val="0"/>
                <w:sz w:val="24"/>
                <w:szCs w:val="24"/>
                <w:highlight w:val="none"/>
                <w:lang w:val="en-US" w:eastAsia="zh-CN"/>
              </w:rPr>
              <w:t>处理</w:t>
            </w:r>
            <w:r>
              <w:rPr>
                <w:rFonts w:hint="eastAsia" w:ascii="仿宋" w:hAnsi="仿宋" w:eastAsia="仿宋" w:cs="仿宋"/>
                <w:color w:val="auto"/>
                <w:kern w:val="0"/>
                <w:sz w:val="24"/>
                <w:szCs w:val="24"/>
                <w:highlight w:val="none"/>
              </w:rPr>
              <w:t>。</w:t>
            </w:r>
            <w:r>
              <w:rPr>
                <w:rFonts w:hint="eastAsia" w:ascii="仿宋" w:hAnsi="仿宋" w:eastAsia="仿宋" w:cs="仿宋"/>
                <w:b/>
                <w:bCs/>
                <w:color w:val="auto"/>
                <w:sz w:val="24"/>
                <w:highlight w:val="none"/>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92" w:type="dxa"/>
            <w:noWrap w:val="0"/>
            <w:vAlign w:val="center"/>
          </w:tcPr>
          <w:p>
            <w:pPr>
              <w:jc w:val="center"/>
              <w:outlineLvl w:val="9"/>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8147" w:type="dxa"/>
            <w:noWrap w:val="0"/>
            <w:vAlign w:val="center"/>
          </w:tcPr>
          <w:p>
            <w:pPr>
              <w:numPr>
                <w:ilvl w:val="0"/>
                <w:numId w:val="0"/>
              </w:numPr>
              <w:spacing w:line="360" w:lineRule="auto"/>
              <w:ind w:leftChars="0"/>
              <w:outlineLvl w:val="9"/>
              <w:rPr>
                <w:rFonts w:hint="eastAsia" w:ascii="仿宋" w:hAnsi="仿宋" w:eastAsia="仿宋" w:cs="仿宋"/>
                <w:color w:val="auto"/>
                <w:highlight w:val="none"/>
                <w:lang w:eastAsia="zh-CN"/>
              </w:rPr>
            </w:pPr>
            <w:r>
              <w:rPr>
                <w:rFonts w:hint="eastAsia" w:ascii="仿宋" w:hAnsi="仿宋" w:eastAsia="仿宋" w:cs="仿宋"/>
                <w:b/>
                <w:bCs/>
                <w:color w:val="auto"/>
                <w:sz w:val="24"/>
                <w:highlight w:val="none"/>
              </w:rPr>
              <w:t>本项目</w:t>
            </w:r>
            <w:r>
              <w:rPr>
                <w:rFonts w:hint="eastAsia" w:ascii="仿宋" w:hAnsi="仿宋" w:eastAsia="仿宋" w:cs="仿宋"/>
                <w:b/>
                <w:bCs/>
                <w:color w:val="auto"/>
                <w:sz w:val="24"/>
                <w:highlight w:val="none"/>
                <w:lang w:eastAsia="zh-CN"/>
              </w:rPr>
              <w:t>是否为不见面开标：否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892" w:type="dxa"/>
            <w:noWrap w:val="0"/>
            <w:vAlign w:val="center"/>
          </w:tcPr>
          <w:p>
            <w:pPr>
              <w:jc w:val="center"/>
              <w:outlineLvl w:val="9"/>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w:t>
            </w:r>
          </w:p>
        </w:tc>
        <w:tc>
          <w:tcPr>
            <w:tcW w:w="8147" w:type="dxa"/>
            <w:noWrap w:val="0"/>
            <w:vAlign w:val="center"/>
          </w:tcPr>
          <w:p>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各行业划分标准具体为</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1、农、林、牧、渔业。营业收入20000万元以下的为中小微型企业。其中，营业收入500万元及以上的为中型企业,营业收入50万元及以上的为小型企业，营业收入50万元以下的为微型企业。</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pPr>
              <w:adjustRightInd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16、</w:t>
            </w:r>
            <w:r>
              <w:rPr>
                <w:rFonts w:hint="eastAsia" w:ascii="仿宋" w:hAnsi="仿宋" w:eastAsia="仿宋" w:cs="仿宋"/>
                <w:b/>
                <w:bCs/>
                <w:color w:val="auto"/>
                <w:sz w:val="24"/>
                <w:highlight w:val="none"/>
                <w:lang w:val="en-US" w:eastAsia="zh-CN"/>
              </w:rPr>
              <w:t>其他未列明行业。</w:t>
            </w:r>
            <w:r>
              <w:rPr>
                <w:rFonts w:hint="eastAsia" w:ascii="仿宋" w:hAnsi="仿宋" w:eastAsia="仿宋" w:cs="仿宋"/>
                <w:color w:val="auto"/>
                <w:sz w:val="24"/>
                <w:highlight w:val="none"/>
                <w:lang w:val="en-US" w:eastAsia="zh-CN"/>
              </w:rPr>
              <w:t>从业人员300人以下的为中小微型企业。其中，从业人员100人及以上的为中型企业;从业人员10人及以上的为小型企业；从业人员10人以下的为微型企业。</w:t>
            </w:r>
          </w:p>
          <w:p>
            <w:pPr>
              <w:pStyle w:val="10"/>
              <w:outlineLvl w:val="9"/>
              <w:rPr>
                <w:rFonts w:hint="eastAsia" w:ascii="仿宋" w:hAnsi="仿宋" w:eastAsia="仿宋" w:cs="仿宋"/>
                <w:color w:val="auto"/>
                <w:sz w:val="24"/>
                <w:highlight w:val="none"/>
              </w:rPr>
            </w:pPr>
            <w:r>
              <w:rPr>
                <w:rFonts w:hint="eastAsia" w:ascii="仿宋" w:hAnsi="仿宋" w:eastAsia="仿宋" w:cs="仿宋"/>
                <w:b/>
                <w:bCs/>
                <w:color w:val="auto"/>
                <w:kern w:val="2"/>
                <w:sz w:val="24"/>
                <w:szCs w:val="24"/>
                <w:highlight w:val="none"/>
                <w:lang w:val="en-US" w:eastAsia="zh-CN" w:bidi="ar-SA"/>
              </w:rPr>
              <w:t>本项目属于：其他未列明行业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892" w:type="dxa"/>
            <w:noWrap w:val="0"/>
            <w:vAlign w:val="center"/>
          </w:tcPr>
          <w:p>
            <w:pPr>
              <w:numPr>
                <w:ilvl w:val="0"/>
                <w:numId w:val="0"/>
              </w:numPr>
              <w:spacing w:line="360" w:lineRule="auto"/>
              <w:ind w:left="170" w:leftChars="0"/>
              <w:jc w:val="center"/>
              <w:outlineLvl w:val="9"/>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p>
        </w:tc>
        <w:tc>
          <w:tcPr>
            <w:tcW w:w="8147" w:type="dxa"/>
            <w:noWrap w:val="0"/>
            <w:vAlign w:val="center"/>
          </w:tcPr>
          <w:p>
            <w:pPr>
              <w:bidi w:val="0"/>
              <w:spacing w:line="360" w:lineRule="auto"/>
              <w:outlineLvl w:val="9"/>
              <w:rPr>
                <w:rFonts w:hint="eastAsia" w:ascii="仿宋" w:hAnsi="仿宋" w:eastAsia="仿宋" w:cs="仿宋"/>
                <w:b/>
                <w:bCs/>
                <w:color w:val="auto"/>
                <w:kern w:val="2"/>
                <w:sz w:val="24"/>
                <w:szCs w:val="24"/>
                <w:highlight w:val="none"/>
                <w:lang w:val="en-US" w:eastAsia="zh-CN" w:bidi="ar-SA"/>
              </w:rPr>
            </w:pPr>
            <w:r>
              <w:rPr>
                <w:rStyle w:val="47"/>
                <w:rFonts w:hint="eastAsia" w:ascii="仿宋" w:hAnsi="仿宋" w:eastAsia="仿宋" w:cs="仿宋"/>
                <w:color w:val="auto"/>
                <w:sz w:val="24"/>
                <w:highlight w:val="none"/>
                <w:lang w:val="en-US" w:eastAsia="zh-CN"/>
              </w:rPr>
              <w:t>采购</w:t>
            </w:r>
            <w:r>
              <w:rPr>
                <w:rStyle w:val="47"/>
                <w:rFonts w:hint="eastAsia" w:ascii="仿宋" w:hAnsi="仿宋" w:eastAsia="仿宋" w:cs="仿宋"/>
                <w:color w:val="auto"/>
                <w:sz w:val="24"/>
                <w:highlight w:val="none"/>
              </w:rPr>
              <w:t>文件与媒体发布的采购公告不一致时，以采购公告为准；正文与</w:t>
            </w:r>
            <w:r>
              <w:rPr>
                <w:rStyle w:val="47"/>
                <w:rFonts w:hint="eastAsia" w:ascii="仿宋" w:hAnsi="仿宋" w:eastAsia="仿宋" w:cs="仿宋"/>
                <w:color w:val="auto"/>
                <w:sz w:val="24"/>
                <w:highlight w:val="none"/>
                <w:lang w:val="en-US" w:eastAsia="zh-CN"/>
              </w:rPr>
              <w:t>供应商</w:t>
            </w:r>
            <w:r>
              <w:rPr>
                <w:rStyle w:val="47"/>
                <w:rFonts w:hint="eastAsia" w:ascii="仿宋" w:hAnsi="仿宋" w:eastAsia="仿宋" w:cs="仿宋"/>
                <w:color w:val="auto"/>
                <w:sz w:val="24"/>
                <w:highlight w:val="none"/>
              </w:rPr>
              <w:t>须知前附表表述不一致时，以</w:t>
            </w:r>
            <w:r>
              <w:rPr>
                <w:rStyle w:val="47"/>
                <w:rFonts w:hint="eastAsia" w:ascii="仿宋" w:hAnsi="仿宋" w:eastAsia="仿宋" w:cs="仿宋"/>
                <w:color w:val="auto"/>
                <w:sz w:val="24"/>
                <w:highlight w:val="none"/>
                <w:lang w:val="en-US" w:eastAsia="zh-CN"/>
              </w:rPr>
              <w:t>供应商</w:t>
            </w:r>
            <w:r>
              <w:rPr>
                <w:rStyle w:val="47"/>
                <w:rFonts w:hint="eastAsia" w:ascii="仿宋" w:hAnsi="仿宋" w:eastAsia="仿宋" w:cs="仿宋"/>
                <w:color w:val="auto"/>
                <w:sz w:val="24"/>
                <w:highlight w:val="none"/>
              </w:rPr>
              <w:t>须知前附表为准。</w:t>
            </w:r>
          </w:p>
        </w:tc>
      </w:tr>
    </w:tbl>
    <w:p>
      <w:pPr>
        <w:outlineLvl w:val="9"/>
        <w:rPr>
          <w:rFonts w:hint="eastAsia" w:ascii="仿宋" w:hAnsi="仿宋" w:eastAsia="仿宋" w:cs="仿宋"/>
          <w:color w:val="auto"/>
          <w:sz w:val="30"/>
          <w:szCs w:val="30"/>
          <w:highlight w:val="none"/>
          <w:lang w:eastAsia="zh-CN"/>
        </w:rPr>
      </w:pPr>
    </w:p>
    <w:p>
      <w:pPr>
        <w:pStyle w:val="38"/>
        <w:spacing w:before="24" w:after="24"/>
        <w:jc w:val="center"/>
        <w:outlineLvl w:val="9"/>
        <w:rPr>
          <w:rFonts w:hint="eastAsia" w:ascii="仿宋" w:hAnsi="仿宋" w:eastAsia="仿宋" w:cs="仿宋"/>
          <w:color w:val="auto"/>
          <w:szCs w:val="32"/>
          <w:highlight w:val="none"/>
        </w:rPr>
      </w:pPr>
      <w:bookmarkStart w:id="103" w:name="_Toc68590968"/>
      <w:r>
        <w:rPr>
          <w:rFonts w:hint="eastAsia" w:ascii="仿宋" w:hAnsi="仿宋" w:eastAsia="仿宋" w:cs="仿宋"/>
          <w:color w:val="auto"/>
          <w:szCs w:val="32"/>
          <w:highlight w:val="none"/>
        </w:rPr>
        <w:br w:type="page"/>
      </w:r>
      <w:bookmarkStart w:id="104" w:name="_Toc3521"/>
      <w:r>
        <w:rPr>
          <w:rFonts w:hint="eastAsia" w:ascii="仿宋" w:hAnsi="仿宋" w:eastAsia="仿宋" w:cs="仿宋"/>
          <w:color w:val="auto"/>
          <w:szCs w:val="32"/>
          <w:highlight w:val="none"/>
        </w:rPr>
        <w:t>（二）供应商须知</w:t>
      </w:r>
      <w:bookmarkEnd w:id="103"/>
      <w:bookmarkEnd w:id="104"/>
    </w:p>
    <w:p>
      <w:pPr>
        <w:pStyle w:val="38"/>
        <w:spacing w:before="24" w:after="24"/>
        <w:jc w:val="center"/>
        <w:outlineLvl w:val="9"/>
        <w:rPr>
          <w:rFonts w:hint="eastAsia" w:ascii="仿宋" w:hAnsi="仿宋" w:eastAsia="仿宋" w:cs="仿宋"/>
          <w:color w:val="auto"/>
          <w:sz w:val="30"/>
          <w:szCs w:val="30"/>
          <w:highlight w:val="none"/>
        </w:rPr>
      </w:pPr>
      <w:bookmarkStart w:id="105" w:name="_Toc68590969"/>
      <w:r>
        <w:rPr>
          <w:rFonts w:hint="eastAsia" w:ascii="仿宋" w:hAnsi="仿宋" w:eastAsia="仿宋" w:cs="仿宋"/>
          <w:color w:val="auto"/>
          <w:sz w:val="30"/>
          <w:szCs w:val="30"/>
          <w:highlight w:val="none"/>
        </w:rPr>
        <w:t>一、总  则</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5"/>
    </w:p>
    <w:p>
      <w:pPr>
        <w:tabs>
          <w:tab w:val="left" w:pos="588"/>
        </w:tabs>
        <w:spacing w:line="360" w:lineRule="auto"/>
        <w:outlineLvl w:val="9"/>
        <w:rPr>
          <w:rFonts w:hint="eastAsia" w:ascii="仿宋" w:hAnsi="仿宋" w:eastAsia="仿宋" w:cs="仿宋"/>
          <w:b/>
          <w:color w:val="auto"/>
          <w:sz w:val="24"/>
          <w:szCs w:val="21"/>
          <w:highlight w:val="none"/>
        </w:rPr>
      </w:pPr>
      <w:bookmarkStart w:id="106" w:name="_Hlt14560612"/>
      <w:bookmarkEnd w:id="106"/>
      <w:bookmarkStart w:id="107" w:name="_Toc249515392"/>
      <w:bookmarkStart w:id="108" w:name="_Toc25504"/>
      <w:bookmarkStart w:id="109" w:name="_Toc184043014"/>
      <w:bookmarkStart w:id="110" w:name="_Toc249515280"/>
      <w:bookmarkStart w:id="111" w:name="_Toc249525161"/>
      <w:r>
        <w:rPr>
          <w:rFonts w:hint="eastAsia" w:ascii="仿宋" w:hAnsi="仿宋" w:eastAsia="仿宋" w:cs="仿宋"/>
          <w:b/>
          <w:color w:val="auto"/>
          <w:sz w:val="24"/>
          <w:szCs w:val="21"/>
          <w:highlight w:val="none"/>
        </w:rPr>
        <w:t>1.     项目说明</w:t>
      </w:r>
      <w:bookmarkEnd w:id="107"/>
      <w:bookmarkEnd w:id="108"/>
      <w:bookmarkEnd w:id="109"/>
      <w:bookmarkEnd w:id="110"/>
      <w:bookmarkEnd w:id="111"/>
    </w:p>
    <w:p>
      <w:pPr>
        <w:pStyle w:val="40"/>
        <w:widowControl w:val="0"/>
        <w:tabs>
          <w:tab w:val="left" w:pos="588"/>
        </w:tabs>
        <w:spacing w:before="0" w:beforeAutospacing="0" w:after="0" w:afterAutospacing="0" w:line="360" w:lineRule="auto"/>
        <w:textAlignment w:val="auto"/>
        <w:outlineLvl w:val="9"/>
        <w:rPr>
          <w:rFonts w:hint="eastAsia" w:ascii="仿宋" w:hAnsi="仿宋" w:eastAsia="仿宋" w:cs="仿宋"/>
          <w:color w:val="auto"/>
          <w:kern w:val="24"/>
          <w:szCs w:val="21"/>
          <w:highlight w:val="none"/>
        </w:rPr>
      </w:pPr>
      <w:r>
        <w:rPr>
          <w:rFonts w:hint="eastAsia" w:ascii="仿宋" w:hAnsi="仿宋" w:eastAsia="仿宋" w:cs="仿宋"/>
          <w:color w:val="auto"/>
          <w:kern w:val="24"/>
          <w:szCs w:val="21"/>
          <w:highlight w:val="none"/>
        </w:rPr>
        <w:t>1.1    项目说明：</w:t>
      </w:r>
      <w:r>
        <w:rPr>
          <w:rFonts w:hint="eastAsia" w:ascii="仿宋" w:hAnsi="仿宋" w:eastAsia="仿宋" w:cs="仿宋"/>
          <w:b/>
          <w:color w:val="auto"/>
          <w:kern w:val="24"/>
          <w:szCs w:val="21"/>
          <w:highlight w:val="none"/>
        </w:rPr>
        <w:t>见供应商须知前附表</w:t>
      </w:r>
      <w:r>
        <w:rPr>
          <w:rFonts w:hint="eastAsia" w:ascii="仿宋" w:hAnsi="仿宋" w:eastAsia="仿宋" w:cs="仿宋"/>
          <w:color w:val="auto"/>
          <w:kern w:val="24"/>
          <w:szCs w:val="21"/>
          <w:highlight w:val="none"/>
        </w:rPr>
        <w:t>。</w:t>
      </w:r>
    </w:p>
    <w:p>
      <w:pPr>
        <w:tabs>
          <w:tab w:val="left" w:pos="588"/>
        </w:tabs>
        <w:spacing w:line="360" w:lineRule="auto"/>
        <w:outlineLvl w:val="9"/>
        <w:rPr>
          <w:rFonts w:hint="eastAsia" w:ascii="仿宋" w:hAnsi="仿宋" w:eastAsia="仿宋" w:cs="仿宋"/>
          <w:b/>
          <w:color w:val="auto"/>
          <w:sz w:val="24"/>
          <w:szCs w:val="21"/>
          <w:highlight w:val="none"/>
        </w:rPr>
      </w:pPr>
      <w:bookmarkStart w:id="112" w:name="_Toc31509"/>
      <w:bookmarkStart w:id="113" w:name="_Toc249525162"/>
      <w:bookmarkStart w:id="114" w:name="_Toc249515281"/>
      <w:bookmarkStart w:id="115" w:name="_Toc70687142"/>
      <w:bookmarkStart w:id="116" w:name="_Toc249515393"/>
      <w:bookmarkStart w:id="117" w:name="_Toc184043015"/>
      <w:r>
        <w:rPr>
          <w:rFonts w:hint="eastAsia" w:ascii="仿宋" w:hAnsi="仿宋" w:eastAsia="仿宋" w:cs="仿宋"/>
          <w:b/>
          <w:color w:val="auto"/>
          <w:sz w:val="24"/>
          <w:szCs w:val="21"/>
          <w:highlight w:val="none"/>
        </w:rPr>
        <w:t>2.     定义</w:t>
      </w:r>
      <w:bookmarkEnd w:id="112"/>
      <w:bookmarkEnd w:id="113"/>
      <w:bookmarkEnd w:id="114"/>
      <w:bookmarkEnd w:id="115"/>
      <w:bookmarkEnd w:id="116"/>
      <w:bookmarkEnd w:id="117"/>
    </w:p>
    <w:p>
      <w:pPr>
        <w:tabs>
          <w:tab w:val="left" w:pos="588"/>
        </w:tabs>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w:t>
      </w:r>
      <w:r>
        <w:rPr>
          <w:rFonts w:hint="eastAsia" w:ascii="仿宋" w:hAnsi="仿宋" w:eastAsia="仿宋" w:cs="仿宋"/>
          <w:b/>
          <w:color w:val="auto"/>
          <w:sz w:val="24"/>
          <w:highlight w:val="none"/>
        </w:rPr>
        <w:t>见供应商须知前附表</w:t>
      </w:r>
      <w:r>
        <w:rPr>
          <w:rFonts w:hint="eastAsia" w:ascii="仿宋" w:hAnsi="仿宋" w:eastAsia="仿宋" w:cs="仿宋"/>
          <w:color w:val="auto"/>
          <w:sz w:val="24"/>
          <w:highlight w:val="none"/>
        </w:rPr>
        <w:t>。</w:t>
      </w:r>
    </w:p>
    <w:p>
      <w:pPr>
        <w:pStyle w:val="10"/>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2.2    采购代理机构：</w:t>
      </w:r>
      <w:r>
        <w:rPr>
          <w:rFonts w:hint="eastAsia" w:ascii="仿宋" w:hAnsi="仿宋" w:eastAsia="仿宋" w:cs="仿宋"/>
          <w:b/>
          <w:color w:val="auto"/>
          <w:kern w:val="24"/>
          <w:sz w:val="24"/>
          <w:szCs w:val="21"/>
          <w:highlight w:val="none"/>
        </w:rPr>
        <w:t>见供应商须知前附表</w:t>
      </w:r>
      <w:r>
        <w:rPr>
          <w:rFonts w:hint="eastAsia" w:ascii="仿宋" w:hAnsi="仿宋" w:eastAsia="仿宋" w:cs="仿宋"/>
          <w:color w:val="auto"/>
          <w:kern w:val="24"/>
          <w:sz w:val="24"/>
          <w:szCs w:val="21"/>
          <w:highlight w:val="none"/>
        </w:rPr>
        <w:t>。</w:t>
      </w:r>
    </w:p>
    <w:p>
      <w:pPr>
        <w:pStyle w:val="10"/>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2.3    供应商：指响应磋商文件要求、参加竞争性磋商采购的法人、其他组织或者自然人。本次政府采购项目邀请供应商方式见</w:t>
      </w:r>
      <w:r>
        <w:rPr>
          <w:rFonts w:hint="eastAsia" w:ascii="仿宋" w:hAnsi="仿宋" w:eastAsia="仿宋" w:cs="仿宋"/>
          <w:b/>
          <w:color w:val="auto"/>
          <w:sz w:val="24"/>
          <w:highlight w:val="none"/>
        </w:rPr>
        <w:t>供应商须知前附表。</w:t>
      </w:r>
    </w:p>
    <w:p>
      <w:pPr>
        <w:pStyle w:val="10"/>
        <w:tabs>
          <w:tab w:val="left" w:pos="360"/>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2.4    磋商小组：指依据《中华人民共和国政府采购法》和财政部《政府采购竞争性磋商采购方式管理暂行办法》有关规定组建，依法依规履行其职责和义务的机构。</w:t>
      </w:r>
    </w:p>
    <w:p>
      <w:pPr>
        <w:tabs>
          <w:tab w:val="left" w:pos="588"/>
        </w:tabs>
        <w:spacing w:line="360" w:lineRule="auto"/>
        <w:outlineLvl w:val="9"/>
        <w:rPr>
          <w:rFonts w:hint="eastAsia" w:ascii="仿宋" w:hAnsi="仿宋" w:eastAsia="仿宋" w:cs="仿宋"/>
          <w:b/>
          <w:color w:val="auto"/>
          <w:sz w:val="24"/>
          <w:szCs w:val="21"/>
          <w:highlight w:val="none"/>
        </w:rPr>
      </w:pPr>
      <w:bookmarkStart w:id="118" w:name="_Toc23705"/>
      <w:bookmarkStart w:id="119" w:name="_Toc249515394"/>
      <w:bookmarkStart w:id="120" w:name="_Toc385992329"/>
      <w:bookmarkStart w:id="121" w:name="_Toc184043016"/>
      <w:bookmarkStart w:id="122" w:name="_Toc249515282"/>
      <w:bookmarkStart w:id="123" w:name="_Toc70687143"/>
      <w:bookmarkStart w:id="124" w:name="_Toc249525163"/>
      <w:bookmarkStart w:id="125" w:name="_Toc389620168"/>
      <w:r>
        <w:rPr>
          <w:rFonts w:hint="eastAsia" w:ascii="仿宋" w:hAnsi="仿宋" w:eastAsia="仿宋" w:cs="仿宋"/>
          <w:b/>
          <w:color w:val="auto"/>
          <w:sz w:val="24"/>
          <w:szCs w:val="21"/>
          <w:highlight w:val="none"/>
        </w:rPr>
        <w:t>3.     合格的供应商</w:t>
      </w:r>
      <w:bookmarkEnd w:id="118"/>
      <w:bookmarkEnd w:id="119"/>
      <w:bookmarkEnd w:id="120"/>
      <w:bookmarkEnd w:id="121"/>
      <w:bookmarkEnd w:id="122"/>
      <w:bookmarkEnd w:id="123"/>
      <w:bookmarkEnd w:id="124"/>
      <w:bookmarkEnd w:id="125"/>
    </w:p>
    <w:p>
      <w:pPr>
        <w:tabs>
          <w:tab w:val="left" w:pos="588"/>
        </w:tabs>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3.1    供应商基本资质要求详见</w:t>
      </w:r>
      <w:r>
        <w:rPr>
          <w:rFonts w:hint="eastAsia" w:ascii="仿宋" w:hAnsi="仿宋" w:eastAsia="仿宋" w:cs="仿宋"/>
          <w:b/>
          <w:color w:val="auto"/>
          <w:kern w:val="24"/>
          <w:sz w:val="24"/>
          <w:szCs w:val="21"/>
          <w:highlight w:val="none"/>
        </w:rPr>
        <w:t>供应商须知前附表</w:t>
      </w:r>
      <w:r>
        <w:rPr>
          <w:rFonts w:hint="eastAsia" w:ascii="仿宋" w:hAnsi="仿宋" w:eastAsia="仿宋" w:cs="仿宋"/>
          <w:color w:val="auto"/>
          <w:kern w:val="24"/>
          <w:sz w:val="24"/>
          <w:szCs w:val="21"/>
          <w:highlight w:val="none"/>
        </w:rPr>
        <w:t>。</w:t>
      </w:r>
    </w:p>
    <w:p>
      <w:pPr>
        <w:tabs>
          <w:tab w:val="left" w:pos="588"/>
        </w:tabs>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3.2    本项目将执行在政府采购活动中查询及使用信用记录的规定，具体要求为：</w:t>
      </w:r>
    </w:p>
    <w:p>
      <w:pPr>
        <w:tabs>
          <w:tab w:val="left" w:pos="588"/>
        </w:tabs>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3.2.1  供应商应当未被列入失信被执行人、重大税收违法案件当事人名单、政府采购严重违法失信行为记录名单，否则不得参与政府采购活动。</w:t>
      </w:r>
    </w:p>
    <w:p>
      <w:pPr>
        <w:tabs>
          <w:tab w:val="left" w:pos="588"/>
        </w:tabs>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3.2.2  信用信息查询的时间：响应文件递交截止时间之后至磋商</w:t>
      </w:r>
      <w:r>
        <w:rPr>
          <w:rFonts w:hint="eastAsia" w:ascii="仿宋" w:hAnsi="仿宋" w:eastAsia="仿宋" w:cs="仿宋"/>
          <w:color w:val="auto"/>
          <w:sz w:val="24"/>
          <w:highlight w:val="none"/>
        </w:rPr>
        <w:t>资格性检查结束</w:t>
      </w:r>
      <w:r>
        <w:rPr>
          <w:rFonts w:hint="eastAsia" w:ascii="仿宋" w:hAnsi="仿宋" w:eastAsia="仿宋" w:cs="仿宋"/>
          <w:color w:val="auto"/>
          <w:kern w:val="24"/>
          <w:sz w:val="24"/>
          <w:szCs w:val="21"/>
          <w:highlight w:val="none"/>
        </w:rPr>
        <w:t xml:space="preserve">。 </w:t>
      </w:r>
    </w:p>
    <w:p>
      <w:pPr>
        <w:tabs>
          <w:tab w:val="left" w:pos="588"/>
        </w:tabs>
        <w:spacing w:line="360" w:lineRule="auto"/>
        <w:ind w:left="840" w:hanging="840" w:hangingChars="350"/>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 xml:space="preserve">3.2.3  查询渠道：“信用中国”网站（www.creditchina.gov.cn）和中国政府采购网（www.ccgp.gov.cn）； </w:t>
      </w:r>
    </w:p>
    <w:p>
      <w:pPr>
        <w:tabs>
          <w:tab w:val="left" w:pos="588"/>
        </w:tabs>
        <w:spacing w:line="360" w:lineRule="auto"/>
        <w:ind w:left="840" w:hanging="840" w:hangingChars="350"/>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 xml:space="preserve">3.2.4  信用信息查询记录和证据留存具体方式：将经查询存在不良信用记录的潜在供应商的查询结果网页截图作为查询记录和证据，与其他采购文件一并保存； </w:t>
      </w:r>
    </w:p>
    <w:p>
      <w:pPr>
        <w:tabs>
          <w:tab w:val="left" w:pos="588"/>
        </w:tabs>
        <w:spacing w:line="360" w:lineRule="auto"/>
        <w:ind w:left="840" w:hanging="840" w:hangingChars="350"/>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3.3.5  信用信息的使用规则：采购人或采购代理机构若发现参与本项目政府采购活动的供应商在存在不良信用记录的，将信用信息查询记录提交给磋商小组，作无效文件进行处理。</w:t>
      </w:r>
    </w:p>
    <w:p>
      <w:pPr>
        <w:tabs>
          <w:tab w:val="left" w:pos="588"/>
        </w:tabs>
        <w:spacing w:line="360" w:lineRule="auto"/>
        <w:ind w:left="840" w:hanging="840" w:hangingChars="350"/>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3.4    供应商应遵守《中华人民共和国政府采购法》及其它有关的中国法律和法规。</w:t>
      </w:r>
    </w:p>
    <w:p>
      <w:pPr>
        <w:tabs>
          <w:tab w:val="left" w:pos="588"/>
        </w:tabs>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3.5    若前附表中写明允许采购进口产品，供应商应保证所投产品可履行合法报通关手续进入中国关境内。</w:t>
      </w:r>
    </w:p>
    <w:p>
      <w:pPr>
        <w:pStyle w:val="10"/>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3.6    若前附表中不允许采购进口产品，如供应商所投产品为进口产品，其响应文件将被认定为无效。</w:t>
      </w:r>
    </w:p>
    <w:p>
      <w:pPr>
        <w:pStyle w:val="10"/>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3.7    如须知前附表中允许联合体投标，对联合体规定如下：</w:t>
      </w:r>
    </w:p>
    <w:p>
      <w:pPr>
        <w:pStyle w:val="10"/>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3.7.1  两个及以上供应商可以组成一个投标联合体，以一个供应商的身份投标。</w:t>
      </w:r>
    </w:p>
    <w:p>
      <w:pPr>
        <w:pStyle w:val="10"/>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3.7.2  联合体各方均应符合本须知规定。</w:t>
      </w:r>
    </w:p>
    <w:p>
      <w:pPr>
        <w:pStyle w:val="10"/>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3.7.3  采购人根据采购项目对供应商的特殊要求，联合体中至少应当有一方符合相关规定。</w:t>
      </w:r>
    </w:p>
    <w:p>
      <w:pPr>
        <w:pStyle w:val="10"/>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3.7.4  联合体各方应签订共同磋商响应协议，明确约定联合体各方承担的工作和相应的责任，并将共同响应协议作为响应文件的内容提交。</w:t>
      </w:r>
    </w:p>
    <w:p>
      <w:pPr>
        <w:pStyle w:val="10"/>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3.7.5  大中型企业、其他自然人、法人或者其他组织与小型、微型企业组成联合体共同参加磋商，共同响应协议中应写明小型、微型企业的协议合同金额占到共同响应协议报价总金额的比例。</w:t>
      </w:r>
    </w:p>
    <w:p>
      <w:pPr>
        <w:pStyle w:val="10"/>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3.7.6  以联合体形式参加政府采购活动的，联合体各方不得再单独参加或者与其他供应商另外组成联合体参加本项目同一合同项下的磋商，否则相关响应文件将被认定为无效。</w:t>
      </w:r>
    </w:p>
    <w:p>
      <w:pPr>
        <w:pStyle w:val="10"/>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3.7.7  对联合体磋商的其他资格要求见须知前附表。</w:t>
      </w:r>
    </w:p>
    <w:p>
      <w:pPr>
        <w:pStyle w:val="10"/>
        <w:spacing w:line="360" w:lineRule="auto"/>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lang w:val="en-US" w:eastAsia="zh-CN"/>
        </w:rPr>
        <w:t>3.8    若前附表中写明专门面向中小企业采购的，如供应商为非中小企业或所投产品为非中小企业产品，其响应文件将被认定为无效。</w:t>
      </w:r>
    </w:p>
    <w:p>
      <w:pPr>
        <w:tabs>
          <w:tab w:val="left" w:pos="588"/>
        </w:tabs>
        <w:spacing w:line="360" w:lineRule="auto"/>
        <w:outlineLvl w:val="9"/>
        <w:rPr>
          <w:rFonts w:hint="eastAsia" w:ascii="仿宋" w:hAnsi="仿宋" w:eastAsia="仿宋" w:cs="仿宋"/>
          <w:b/>
          <w:color w:val="auto"/>
          <w:sz w:val="24"/>
          <w:szCs w:val="21"/>
          <w:highlight w:val="none"/>
        </w:rPr>
      </w:pPr>
      <w:bookmarkStart w:id="126" w:name="_Toc249515283"/>
      <w:bookmarkStart w:id="127" w:name="_Toc385992330"/>
      <w:bookmarkStart w:id="128" w:name="_Toc249525164"/>
      <w:bookmarkStart w:id="129" w:name="_Toc249515395"/>
      <w:bookmarkStart w:id="130" w:name="_Toc26580"/>
      <w:bookmarkStart w:id="131" w:name="_Toc184043017"/>
      <w:bookmarkStart w:id="132" w:name="_Toc70687144"/>
      <w:bookmarkStart w:id="133" w:name="_Toc389620169"/>
      <w:r>
        <w:rPr>
          <w:rFonts w:hint="eastAsia" w:ascii="仿宋" w:hAnsi="仿宋" w:eastAsia="仿宋" w:cs="仿宋"/>
          <w:b/>
          <w:color w:val="auto"/>
          <w:sz w:val="24"/>
          <w:szCs w:val="21"/>
          <w:highlight w:val="none"/>
        </w:rPr>
        <w:t>4.     磋商费用</w:t>
      </w:r>
      <w:bookmarkEnd w:id="126"/>
      <w:bookmarkEnd w:id="127"/>
      <w:bookmarkEnd w:id="128"/>
      <w:bookmarkEnd w:id="129"/>
      <w:bookmarkEnd w:id="130"/>
      <w:bookmarkEnd w:id="131"/>
      <w:bookmarkEnd w:id="132"/>
      <w:bookmarkEnd w:id="133"/>
    </w:p>
    <w:p>
      <w:pPr>
        <w:tabs>
          <w:tab w:val="left" w:pos="588"/>
        </w:tabs>
        <w:spacing w:line="360" w:lineRule="auto"/>
        <w:ind w:left="840" w:hanging="840" w:hangingChars="350"/>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4.1    供应商应承担所有与编写和提交响应文件有关的费用，无论磋商过程和结果如何，采购人在任何情况下均无义务和责任承担这些费用。</w:t>
      </w:r>
    </w:p>
    <w:p>
      <w:pPr>
        <w:pStyle w:val="38"/>
        <w:spacing w:before="24" w:after="24" w:line="360" w:lineRule="auto"/>
        <w:ind w:left="3313"/>
        <w:outlineLvl w:val="9"/>
        <w:rPr>
          <w:rFonts w:hint="eastAsia" w:ascii="仿宋" w:hAnsi="仿宋" w:eastAsia="仿宋" w:cs="仿宋"/>
          <w:color w:val="auto"/>
          <w:sz w:val="30"/>
          <w:szCs w:val="30"/>
          <w:highlight w:val="none"/>
        </w:rPr>
      </w:pPr>
      <w:bookmarkStart w:id="134" w:name="_Toc68590970"/>
      <w:r>
        <w:rPr>
          <w:rFonts w:hint="eastAsia" w:ascii="仿宋" w:hAnsi="仿宋" w:eastAsia="仿宋" w:cs="仿宋"/>
          <w:color w:val="auto"/>
          <w:sz w:val="30"/>
          <w:szCs w:val="30"/>
          <w:highlight w:val="none"/>
        </w:rPr>
        <w:t>二、磋商</w:t>
      </w:r>
      <w:r>
        <w:rPr>
          <w:rFonts w:hint="eastAsia" w:ascii="仿宋" w:hAnsi="仿宋" w:eastAsia="仿宋" w:cs="仿宋"/>
          <w:color w:val="auto"/>
          <w:sz w:val="30"/>
          <w:szCs w:val="30"/>
          <w:highlight w:val="none"/>
          <w:lang w:val="en-US" w:eastAsia="zh-CN"/>
        </w:rPr>
        <w:t>响应</w:t>
      </w:r>
      <w:r>
        <w:rPr>
          <w:rFonts w:hint="eastAsia" w:ascii="仿宋" w:hAnsi="仿宋" w:eastAsia="仿宋" w:cs="仿宋"/>
          <w:color w:val="auto"/>
          <w:sz w:val="30"/>
          <w:szCs w:val="30"/>
          <w:highlight w:val="none"/>
        </w:rPr>
        <w:t>文件说明</w:t>
      </w:r>
      <w:bookmarkEnd w:id="134"/>
    </w:p>
    <w:p>
      <w:pPr>
        <w:numPr>
          <w:ilvl w:val="0"/>
          <w:numId w:val="2"/>
        </w:numPr>
        <w:tabs>
          <w:tab w:val="left" w:pos="588"/>
        </w:tabs>
        <w:spacing w:line="360" w:lineRule="auto"/>
        <w:outlineLvl w:val="9"/>
        <w:rPr>
          <w:rFonts w:hint="eastAsia" w:ascii="仿宋" w:hAnsi="仿宋" w:eastAsia="仿宋" w:cs="仿宋"/>
          <w:b/>
          <w:color w:val="auto"/>
          <w:sz w:val="24"/>
          <w:szCs w:val="21"/>
          <w:highlight w:val="none"/>
        </w:rPr>
      </w:pPr>
      <w:bookmarkStart w:id="135" w:name="_Toc128"/>
      <w:bookmarkStart w:id="136" w:name="_Toc249515285"/>
      <w:bookmarkStart w:id="137" w:name="_Toc385992332"/>
      <w:bookmarkStart w:id="138" w:name="_Toc249525166"/>
      <w:bookmarkStart w:id="139" w:name="_Toc389620171"/>
      <w:bookmarkStart w:id="140" w:name="_Toc70687146"/>
      <w:bookmarkStart w:id="141" w:name="_Toc184043019"/>
      <w:bookmarkStart w:id="142" w:name="_Toc249515397"/>
      <w:r>
        <w:rPr>
          <w:rFonts w:hint="eastAsia" w:ascii="仿宋" w:hAnsi="仿宋" w:eastAsia="仿宋" w:cs="仿宋"/>
          <w:b/>
          <w:color w:val="auto"/>
          <w:sz w:val="24"/>
          <w:szCs w:val="21"/>
          <w:highlight w:val="none"/>
        </w:rPr>
        <w:t xml:space="preserve">    通知</w:t>
      </w:r>
      <w:bookmarkEnd w:id="135"/>
    </w:p>
    <w:p>
      <w:pPr>
        <w:tabs>
          <w:tab w:val="left" w:pos="588"/>
        </w:tabs>
        <w:spacing w:line="360" w:lineRule="auto"/>
        <w:ind w:left="840" w:hanging="840" w:hangingChars="350"/>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5.1    对与本项目有关的通知，采购人或采购代理机构将以书面（包括书面材料、信函、传真、电子邮件等，下同）的形式，送达所有与通知有关的已登记备案并领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pPr>
        <w:tabs>
          <w:tab w:val="left" w:pos="588"/>
        </w:tabs>
        <w:spacing w:line="360" w:lineRule="auto"/>
        <w:outlineLvl w:val="9"/>
        <w:rPr>
          <w:rFonts w:hint="eastAsia" w:ascii="仿宋" w:hAnsi="仿宋" w:eastAsia="仿宋" w:cs="仿宋"/>
          <w:b/>
          <w:color w:val="auto"/>
          <w:sz w:val="24"/>
          <w:szCs w:val="21"/>
          <w:highlight w:val="none"/>
        </w:rPr>
      </w:pPr>
      <w:bookmarkStart w:id="143" w:name="_Toc27223"/>
      <w:r>
        <w:rPr>
          <w:rFonts w:hint="eastAsia" w:ascii="仿宋" w:hAnsi="仿宋" w:eastAsia="仿宋" w:cs="仿宋"/>
          <w:b/>
          <w:color w:val="auto"/>
          <w:sz w:val="24"/>
          <w:szCs w:val="21"/>
          <w:highlight w:val="none"/>
        </w:rPr>
        <w:t>6.     磋商</w:t>
      </w:r>
      <w:r>
        <w:rPr>
          <w:rFonts w:hint="eastAsia" w:ascii="仿宋" w:hAnsi="仿宋" w:eastAsia="仿宋" w:cs="仿宋"/>
          <w:b/>
          <w:color w:val="auto"/>
          <w:sz w:val="24"/>
          <w:szCs w:val="21"/>
          <w:highlight w:val="none"/>
          <w:lang w:val="en-US" w:eastAsia="zh-CN"/>
        </w:rPr>
        <w:t>响应</w:t>
      </w:r>
      <w:r>
        <w:rPr>
          <w:rFonts w:hint="eastAsia" w:ascii="仿宋" w:hAnsi="仿宋" w:eastAsia="仿宋" w:cs="仿宋"/>
          <w:b/>
          <w:color w:val="auto"/>
          <w:sz w:val="24"/>
          <w:szCs w:val="21"/>
          <w:highlight w:val="none"/>
        </w:rPr>
        <w:t>文件的构成</w:t>
      </w:r>
      <w:bookmarkEnd w:id="136"/>
      <w:bookmarkEnd w:id="137"/>
      <w:bookmarkEnd w:id="138"/>
      <w:bookmarkEnd w:id="139"/>
      <w:bookmarkEnd w:id="140"/>
      <w:bookmarkEnd w:id="141"/>
      <w:bookmarkEnd w:id="142"/>
      <w:bookmarkEnd w:id="143"/>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6.1    磋商文件用以阐明供应商所需提供的服务以及其它类似的义务、采购响应程序和合同条款。磋商</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文件包括</w:t>
      </w:r>
      <w:r>
        <w:rPr>
          <w:rFonts w:hint="eastAsia" w:ascii="仿宋" w:hAnsi="仿宋" w:eastAsia="仿宋" w:cs="仿宋"/>
          <w:color w:val="auto"/>
          <w:sz w:val="24"/>
          <w:highlight w:val="none"/>
          <w:lang w:val="en-US" w:eastAsia="zh-CN"/>
        </w:rPr>
        <w:t>以</w:t>
      </w:r>
      <w:r>
        <w:rPr>
          <w:rFonts w:hint="eastAsia" w:ascii="仿宋" w:hAnsi="仿宋" w:eastAsia="仿宋" w:cs="仿宋"/>
          <w:color w:val="auto"/>
          <w:sz w:val="24"/>
          <w:highlight w:val="none"/>
        </w:rPr>
        <w:t>下内容：</w:t>
      </w:r>
    </w:p>
    <w:p>
      <w:pPr>
        <w:tabs>
          <w:tab w:val="left" w:pos="588"/>
        </w:tabs>
        <w:spacing w:line="360" w:lineRule="auto"/>
        <w:ind w:firstLine="960" w:firstLineChars="400"/>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一、磋商响应函</w:t>
      </w:r>
      <w:r>
        <w:rPr>
          <w:rFonts w:hint="eastAsia" w:ascii="仿宋" w:hAnsi="仿宋" w:eastAsia="仿宋" w:cs="仿宋"/>
          <w:color w:val="auto"/>
          <w:sz w:val="24"/>
          <w:highlight w:val="none"/>
          <w:lang w:eastAsia="zh-CN"/>
        </w:rPr>
        <w:t>；</w:t>
      </w:r>
    </w:p>
    <w:p>
      <w:pPr>
        <w:tabs>
          <w:tab w:val="left" w:pos="588"/>
        </w:tabs>
        <w:spacing w:line="360" w:lineRule="auto"/>
        <w:ind w:firstLine="960" w:firstLineChars="400"/>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二、法定代表人证明书</w:t>
      </w:r>
      <w:r>
        <w:rPr>
          <w:rFonts w:hint="eastAsia" w:ascii="仿宋" w:hAnsi="仿宋" w:eastAsia="仿宋" w:cs="仿宋"/>
          <w:color w:val="auto"/>
          <w:sz w:val="24"/>
          <w:highlight w:val="none"/>
          <w:lang w:val="en-US" w:eastAsia="zh-CN"/>
        </w:rPr>
        <w:t>及</w:t>
      </w:r>
      <w:r>
        <w:rPr>
          <w:rFonts w:hint="eastAsia" w:ascii="仿宋" w:hAnsi="仿宋" w:eastAsia="仿宋" w:cs="仿宋"/>
          <w:color w:val="auto"/>
          <w:sz w:val="24"/>
          <w:highlight w:val="none"/>
        </w:rPr>
        <w:t>法定代表人授权书</w:t>
      </w:r>
      <w:r>
        <w:rPr>
          <w:rFonts w:hint="eastAsia" w:ascii="仿宋" w:hAnsi="仿宋" w:eastAsia="仿宋" w:cs="仿宋"/>
          <w:color w:val="auto"/>
          <w:sz w:val="24"/>
          <w:highlight w:val="none"/>
          <w:lang w:eastAsia="zh-CN"/>
        </w:rPr>
        <w:t>；</w:t>
      </w:r>
    </w:p>
    <w:p>
      <w:pPr>
        <w:tabs>
          <w:tab w:val="left" w:pos="588"/>
        </w:tabs>
        <w:spacing w:line="360" w:lineRule="auto"/>
        <w:ind w:firstLine="960" w:firstLineChars="400"/>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三、磋商报价表</w:t>
      </w:r>
      <w:r>
        <w:rPr>
          <w:rFonts w:hint="eastAsia" w:ascii="仿宋" w:hAnsi="仿宋" w:eastAsia="仿宋" w:cs="仿宋"/>
          <w:color w:val="auto"/>
          <w:sz w:val="24"/>
          <w:highlight w:val="none"/>
          <w:lang w:eastAsia="zh-CN"/>
        </w:rPr>
        <w:t>；</w:t>
      </w:r>
    </w:p>
    <w:p>
      <w:pPr>
        <w:tabs>
          <w:tab w:val="left" w:pos="588"/>
        </w:tabs>
        <w:spacing w:line="360" w:lineRule="auto"/>
        <w:ind w:firstLine="960" w:firstLineChars="400"/>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四、商务条款偏离表</w:t>
      </w:r>
      <w:r>
        <w:rPr>
          <w:rFonts w:hint="eastAsia" w:ascii="仿宋" w:hAnsi="仿宋" w:eastAsia="仿宋" w:cs="仿宋"/>
          <w:color w:val="auto"/>
          <w:sz w:val="24"/>
          <w:highlight w:val="none"/>
          <w:lang w:eastAsia="zh-CN"/>
        </w:rPr>
        <w:t>；</w:t>
      </w:r>
    </w:p>
    <w:p>
      <w:pPr>
        <w:tabs>
          <w:tab w:val="left" w:pos="588"/>
        </w:tabs>
        <w:spacing w:line="360" w:lineRule="auto"/>
        <w:ind w:firstLine="960" w:firstLineChars="400"/>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五、资格证明文件</w:t>
      </w:r>
      <w:r>
        <w:rPr>
          <w:rFonts w:hint="eastAsia" w:ascii="仿宋" w:hAnsi="仿宋" w:eastAsia="仿宋" w:cs="仿宋"/>
          <w:color w:val="auto"/>
          <w:sz w:val="24"/>
          <w:highlight w:val="none"/>
          <w:lang w:eastAsia="zh-CN"/>
        </w:rPr>
        <w:t>；</w:t>
      </w:r>
    </w:p>
    <w:p>
      <w:pPr>
        <w:tabs>
          <w:tab w:val="left" w:pos="588"/>
        </w:tabs>
        <w:spacing w:line="360" w:lineRule="auto"/>
        <w:ind w:firstLine="960" w:firstLineChars="400"/>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六、服务技术方案</w:t>
      </w:r>
      <w:r>
        <w:rPr>
          <w:rFonts w:hint="eastAsia" w:ascii="仿宋" w:hAnsi="仿宋" w:eastAsia="仿宋" w:cs="仿宋"/>
          <w:color w:val="auto"/>
          <w:sz w:val="24"/>
          <w:highlight w:val="none"/>
          <w:lang w:eastAsia="zh-CN"/>
        </w:rPr>
        <w:t>；</w:t>
      </w:r>
    </w:p>
    <w:p>
      <w:pPr>
        <w:tabs>
          <w:tab w:val="left" w:pos="588"/>
        </w:tabs>
        <w:spacing w:line="360" w:lineRule="auto"/>
        <w:ind w:firstLine="960" w:firstLineChars="400"/>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七、承诺书</w:t>
      </w:r>
      <w:r>
        <w:rPr>
          <w:rFonts w:hint="eastAsia" w:ascii="仿宋" w:hAnsi="仿宋" w:eastAsia="仿宋" w:cs="仿宋"/>
          <w:color w:val="auto"/>
          <w:sz w:val="24"/>
          <w:highlight w:val="none"/>
          <w:lang w:eastAsia="zh-CN"/>
        </w:rPr>
        <w:t>；</w:t>
      </w:r>
    </w:p>
    <w:p>
      <w:pPr>
        <w:tabs>
          <w:tab w:val="left" w:pos="588"/>
        </w:tabs>
        <w:spacing w:line="360" w:lineRule="auto"/>
        <w:ind w:firstLine="960" w:firstLineChars="400"/>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八、</w:t>
      </w:r>
      <w:r>
        <w:rPr>
          <w:rFonts w:hint="eastAsia" w:ascii="仿宋" w:hAnsi="仿宋" w:eastAsia="仿宋" w:cs="仿宋"/>
          <w:color w:val="auto"/>
          <w:sz w:val="24"/>
          <w:highlight w:val="none"/>
          <w:lang w:val="en-US" w:eastAsia="zh-CN"/>
        </w:rPr>
        <w:t>企业声明函。</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6.2    供应商应认真阅读磋商文件中所有的事项、格式条款和规范要求等。供应商没有对磋商文件做出全面的实质性响应是供应商的风险。采购人有权拒绝没有对磋商文件要求做出实质性响应的响应文件。</w:t>
      </w:r>
    </w:p>
    <w:p>
      <w:pPr>
        <w:tabs>
          <w:tab w:val="left" w:pos="588"/>
        </w:tabs>
        <w:spacing w:line="360" w:lineRule="auto"/>
        <w:outlineLvl w:val="9"/>
        <w:rPr>
          <w:rFonts w:hint="eastAsia" w:ascii="仿宋" w:hAnsi="仿宋" w:eastAsia="仿宋" w:cs="仿宋"/>
          <w:b/>
          <w:color w:val="auto"/>
          <w:sz w:val="24"/>
          <w:szCs w:val="21"/>
          <w:highlight w:val="none"/>
        </w:rPr>
      </w:pPr>
      <w:bookmarkStart w:id="144" w:name="_Toc389620172"/>
      <w:bookmarkStart w:id="145" w:name="_Toc70687147"/>
      <w:bookmarkStart w:id="146" w:name="_Toc385992333"/>
      <w:bookmarkStart w:id="147" w:name="_Toc249515398"/>
      <w:bookmarkStart w:id="148" w:name="_Toc249515286"/>
      <w:bookmarkStart w:id="149" w:name="_Toc249525167"/>
      <w:bookmarkStart w:id="150" w:name="_Toc184043020"/>
      <w:bookmarkStart w:id="151" w:name="_Toc10350"/>
      <w:r>
        <w:rPr>
          <w:rFonts w:hint="eastAsia" w:ascii="仿宋" w:hAnsi="仿宋" w:eastAsia="仿宋" w:cs="仿宋"/>
          <w:b/>
          <w:color w:val="auto"/>
          <w:sz w:val="24"/>
          <w:szCs w:val="21"/>
          <w:highlight w:val="none"/>
        </w:rPr>
        <w:t>7.     磋商文件的澄清</w:t>
      </w:r>
      <w:bookmarkEnd w:id="144"/>
      <w:bookmarkEnd w:id="145"/>
      <w:bookmarkEnd w:id="146"/>
      <w:bookmarkEnd w:id="147"/>
      <w:bookmarkEnd w:id="148"/>
      <w:bookmarkEnd w:id="149"/>
      <w:bookmarkEnd w:id="150"/>
      <w:r>
        <w:rPr>
          <w:rFonts w:hint="eastAsia" w:ascii="仿宋" w:hAnsi="仿宋" w:eastAsia="仿宋" w:cs="仿宋"/>
          <w:b/>
          <w:color w:val="auto"/>
          <w:sz w:val="24"/>
          <w:szCs w:val="21"/>
          <w:highlight w:val="none"/>
        </w:rPr>
        <w:t>和修改</w:t>
      </w:r>
      <w:bookmarkEnd w:id="151"/>
    </w:p>
    <w:p>
      <w:pPr>
        <w:tabs>
          <w:tab w:val="left" w:pos="588"/>
        </w:tabs>
        <w:spacing w:line="360" w:lineRule="auto"/>
        <w:ind w:left="840" w:hanging="840" w:hangingChars="350"/>
        <w:outlineLvl w:val="9"/>
        <w:rPr>
          <w:rFonts w:hint="eastAsia" w:ascii="仿宋" w:hAnsi="仿宋" w:eastAsia="仿宋" w:cs="仿宋"/>
          <w:color w:val="auto"/>
          <w:sz w:val="24"/>
          <w:highlight w:val="none"/>
        </w:rPr>
      </w:pPr>
      <w:bookmarkStart w:id="152" w:name="_Toc385992334"/>
      <w:bookmarkStart w:id="153" w:name="_Toc389620173"/>
      <w:bookmarkStart w:id="154" w:name="_Toc70687148"/>
      <w:r>
        <w:rPr>
          <w:rFonts w:hint="eastAsia" w:ascii="仿宋" w:hAnsi="仿宋" w:eastAsia="仿宋" w:cs="仿宋"/>
          <w:color w:val="auto"/>
          <w:sz w:val="24"/>
          <w:highlight w:val="none"/>
        </w:rPr>
        <w:t xml:space="preserve">7.1    </w:t>
      </w:r>
      <w:bookmarkEnd w:id="152"/>
      <w:bookmarkEnd w:id="153"/>
      <w:bookmarkEnd w:id="154"/>
      <w:bookmarkStart w:id="155" w:name="_Toc385992335"/>
      <w:bookmarkStart w:id="156" w:name="_Toc53722843"/>
      <w:bookmarkStart w:id="157" w:name="_Toc500747065"/>
      <w:bookmarkStart w:id="158" w:name="_Toc70687149"/>
      <w:bookmarkStart w:id="159" w:name="_Toc496324582"/>
      <w:bookmarkStart w:id="160" w:name="_Toc492955418"/>
      <w:bookmarkStart w:id="161" w:name="_Toc503063425"/>
      <w:bookmarkStart w:id="162" w:name="_Toc500747192"/>
      <w:bookmarkStart w:id="163" w:name="_Toc499711046"/>
      <w:bookmarkStart w:id="164" w:name="_Toc389620174"/>
      <w:bookmarkStart w:id="165" w:name="_Toc500746969"/>
      <w:bookmarkStart w:id="166" w:name="_Toc499711887"/>
      <w:r>
        <w:rPr>
          <w:rFonts w:hint="eastAsia" w:ascii="仿宋" w:hAnsi="仿宋" w:eastAsia="仿宋" w:cs="仿宋"/>
          <w:color w:val="auto"/>
          <w:sz w:val="24"/>
          <w:highlight w:val="none"/>
        </w:rPr>
        <w:t>在首次响应文件递交截止时间前，采购人或采购代理机构可以对已发出的磋商文件进行必要的澄清或修改，澄清或修改的内容为磋商文件的组成部分。</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7.2    磋商文件的修改将以书面形式通知所有领取磋商文件的供应商，并对其具有约束力。供应商在收到上述通知后，应立即向采购人回函确认。</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7.3    澄清或修改的内容可能影响响应文件编制的，采购人或采购代理机构可适当延长首次响应文件递交截止时间，并以书面形式通知所有领取磋商文件的供应商。</w:t>
      </w:r>
    </w:p>
    <w:p>
      <w:pPr>
        <w:pStyle w:val="38"/>
        <w:spacing w:before="24" w:after="24" w:line="360" w:lineRule="auto"/>
        <w:ind w:left="3313"/>
        <w:outlineLvl w:val="9"/>
        <w:rPr>
          <w:rFonts w:hint="eastAsia" w:ascii="仿宋" w:hAnsi="仿宋" w:eastAsia="仿宋" w:cs="仿宋"/>
          <w:color w:val="auto"/>
          <w:sz w:val="30"/>
          <w:szCs w:val="30"/>
          <w:highlight w:val="none"/>
        </w:rPr>
      </w:pPr>
      <w:bookmarkStart w:id="167" w:name="_Toc230013635"/>
      <w:bookmarkStart w:id="168" w:name="_Toc232176275"/>
      <w:bookmarkStart w:id="169" w:name="_Toc184043022"/>
      <w:bookmarkStart w:id="170" w:name="_Toc249515400"/>
      <w:bookmarkStart w:id="171" w:name="_Toc249515288"/>
      <w:bookmarkStart w:id="172" w:name="_Toc230099800"/>
      <w:bookmarkStart w:id="173" w:name="_Toc177189238"/>
      <w:bookmarkStart w:id="174" w:name="_Toc177817337"/>
      <w:bookmarkStart w:id="175" w:name="_Toc176882545"/>
      <w:bookmarkStart w:id="176" w:name="_Toc230583544"/>
      <w:bookmarkStart w:id="177" w:name="_Toc249525169"/>
      <w:bookmarkStart w:id="178" w:name="_Toc68590971"/>
      <w:bookmarkStart w:id="179" w:name="_Toc177995476"/>
      <w:bookmarkStart w:id="180" w:name="_Toc256342146"/>
      <w:bookmarkStart w:id="181" w:name="_Toc232395215"/>
      <w:r>
        <w:rPr>
          <w:rFonts w:hint="eastAsia" w:ascii="仿宋" w:hAnsi="仿宋" w:eastAsia="仿宋" w:cs="仿宋"/>
          <w:color w:val="auto"/>
          <w:sz w:val="30"/>
          <w:szCs w:val="30"/>
          <w:highlight w:val="none"/>
        </w:rPr>
        <w:t>三、响应文件的编写</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pPr>
        <w:tabs>
          <w:tab w:val="left" w:pos="588"/>
        </w:tabs>
        <w:spacing w:line="360" w:lineRule="auto"/>
        <w:outlineLvl w:val="9"/>
        <w:rPr>
          <w:rFonts w:hint="eastAsia" w:ascii="仿宋" w:hAnsi="仿宋" w:eastAsia="仿宋" w:cs="仿宋"/>
          <w:b/>
          <w:color w:val="auto"/>
          <w:sz w:val="24"/>
          <w:szCs w:val="21"/>
          <w:highlight w:val="none"/>
        </w:rPr>
      </w:pPr>
      <w:bookmarkStart w:id="182" w:name="_Toc249515289"/>
      <w:bookmarkStart w:id="183" w:name="_Toc184043023"/>
      <w:bookmarkStart w:id="184" w:name="_Toc249525170"/>
      <w:bookmarkStart w:id="185" w:name="_Toc249515401"/>
      <w:bookmarkStart w:id="186" w:name="_Toc70687150"/>
      <w:bookmarkStart w:id="187" w:name="_Toc30150"/>
      <w:bookmarkStart w:id="188" w:name="_Toc389620176"/>
      <w:bookmarkStart w:id="189" w:name="_Toc385992337"/>
      <w:r>
        <w:rPr>
          <w:rFonts w:hint="eastAsia" w:ascii="仿宋" w:hAnsi="仿宋" w:eastAsia="仿宋" w:cs="仿宋"/>
          <w:b/>
          <w:color w:val="auto"/>
          <w:sz w:val="24"/>
          <w:szCs w:val="21"/>
          <w:highlight w:val="none"/>
        </w:rPr>
        <w:t>8.     响应文件语言</w:t>
      </w:r>
      <w:bookmarkEnd w:id="182"/>
      <w:bookmarkEnd w:id="183"/>
      <w:bookmarkEnd w:id="184"/>
      <w:bookmarkEnd w:id="185"/>
      <w:bookmarkEnd w:id="186"/>
      <w:bookmarkEnd w:id="187"/>
    </w:p>
    <w:p>
      <w:pPr>
        <w:tabs>
          <w:tab w:val="left" w:pos="588"/>
        </w:tabs>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8.1    响应文件及与响应相关的所有文件均应以中文书写。</w:t>
      </w:r>
    </w:p>
    <w:p>
      <w:pPr>
        <w:tabs>
          <w:tab w:val="left" w:pos="588"/>
        </w:tabs>
        <w:spacing w:line="360" w:lineRule="auto"/>
        <w:outlineLvl w:val="9"/>
        <w:rPr>
          <w:rFonts w:hint="eastAsia" w:ascii="仿宋" w:hAnsi="仿宋" w:eastAsia="仿宋" w:cs="仿宋"/>
          <w:b/>
          <w:color w:val="auto"/>
          <w:sz w:val="24"/>
          <w:szCs w:val="21"/>
          <w:highlight w:val="none"/>
        </w:rPr>
      </w:pPr>
      <w:bookmarkStart w:id="190" w:name="_Toc18327"/>
      <w:bookmarkStart w:id="191" w:name="_Toc184043024"/>
      <w:bookmarkStart w:id="192" w:name="_Toc249515402"/>
      <w:bookmarkStart w:id="193" w:name="_Toc70687151"/>
      <w:bookmarkStart w:id="194" w:name="_Toc249515290"/>
      <w:bookmarkStart w:id="195" w:name="_Toc249525171"/>
      <w:r>
        <w:rPr>
          <w:rFonts w:hint="eastAsia" w:ascii="仿宋" w:hAnsi="仿宋" w:eastAsia="仿宋" w:cs="仿宋"/>
          <w:b/>
          <w:color w:val="auto"/>
          <w:sz w:val="24"/>
          <w:szCs w:val="21"/>
          <w:highlight w:val="none"/>
        </w:rPr>
        <w:t>9.     计量单位</w:t>
      </w:r>
      <w:bookmarkEnd w:id="188"/>
      <w:bookmarkEnd w:id="189"/>
      <w:bookmarkEnd w:id="190"/>
      <w:bookmarkEnd w:id="191"/>
      <w:bookmarkEnd w:id="192"/>
      <w:bookmarkEnd w:id="193"/>
      <w:bookmarkEnd w:id="194"/>
      <w:bookmarkEnd w:id="195"/>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9.1    除在磋商文件的技术规格中另有规定外，计量单位应使用中华人民共和国法定计量单位。</w:t>
      </w:r>
    </w:p>
    <w:p>
      <w:pPr>
        <w:tabs>
          <w:tab w:val="left" w:pos="588"/>
        </w:tabs>
        <w:spacing w:line="360" w:lineRule="auto"/>
        <w:outlineLvl w:val="9"/>
        <w:rPr>
          <w:rFonts w:hint="eastAsia" w:ascii="仿宋" w:hAnsi="仿宋" w:eastAsia="仿宋" w:cs="仿宋"/>
          <w:b/>
          <w:color w:val="auto"/>
          <w:sz w:val="24"/>
          <w:szCs w:val="21"/>
          <w:highlight w:val="none"/>
        </w:rPr>
      </w:pPr>
      <w:bookmarkStart w:id="196" w:name="_Toc70687152"/>
      <w:bookmarkStart w:id="197" w:name="_Toc389620177"/>
      <w:bookmarkStart w:id="198" w:name="_Toc385992338"/>
      <w:bookmarkStart w:id="199" w:name="_Toc249515403"/>
      <w:bookmarkStart w:id="200" w:name="_Toc184043025"/>
      <w:bookmarkStart w:id="201" w:name="_Toc29318"/>
      <w:bookmarkStart w:id="202" w:name="_Toc249525172"/>
      <w:bookmarkStart w:id="203" w:name="_Toc249515291"/>
      <w:r>
        <w:rPr>
          <w:rFonts w:hint="eastAsia" w:ascii="仿宋" w:hAnsi="仿宋" w:eastAsia="仿宋" w:cs="仿宋"/>
          <w:b/>
          <w:color w:val="auto"/>
          <w:sz w:val="24"/>
          <w:szCs w:val="21"/>
          <w:highlight w:val="none"/>
        </w:rPr>
        <w:t>10.    响应文件的组成</w:t>
      </w:r>
      <w:bookmarkEnd w:id="196"/>
      <w:bookmarkEnd w:id="197"/>
      <w:bookmarkEnd w:id="198"/>
      <w:bookmarkEnd w:id="199"/>
      <w:bookmarkEnd w:id="200"/>
      <w:bookmarkEnd w:id="201"/>
      <w:bookmarkEnd w:id="202"/>
      <w:bookmarkEnd w:id="203"/>
    </w:p>
    <w:p>
      <w:pPr>
        <w:rPr>
          <w:rFonts w:hint="eastAsia" w:ascii="仿宋" w:hAnsi="仿宋" w:eastAsia="仿宋" w:cs="仿宋"/>
          <w:highlight w:val="none"/>
        </w:rPr>
      </w:pPr>
    </w:p>
    <w:p>
      <w:pPr>
        <w:tabs>
          <w:tab w:val="left" w:pos="588"/>
        </w:tabs>
        <w:spacing w:line="360" w:lineRule="auto"/>
        <w:outlineLvl w:val="9"/>
        <w:rPr>
          <w:rFonts w:hint="eastAsia" w:ascii="仿宋" w:hAnsi="仿宋" w:eastAsia="仿宋" w:cs="仿宋"/>
          <w:i/>
          <w:color w:val="auto"/>
          <w:sz w:val="24"/>
          <w:highlight w:val="none"/>
        </w:rPr>
      </w:pPr>
      <w:r>
        <w:rPr>
          <w:rFonts w:hint="eastAsia" w:ascii="仿宋" w:hAnsi="仿宋" w:eastAsia="仿宋" w:cs="仿宋"/>
          <w:color w:val="auto"/>
          <w:sz w:val="24"/>
          <w:highlight w:val="none"/>
        </w:rPr>
        <w:t>10.1   供应商编写的响应文件</w:t>
      </w:r>
      <w:r>
        <w:rPr>
          <w:rFonts w:hint="eastAsia" w:ascii="仿宋" w:hAnsi="仿宋" w:eastAsia="仿宋" w:cs="仿宋"/>
          <w:b w:val="0"/>
          <w:bCs/>
          <w:color w:val="auto"/>
          <w:sz w:val="24"/>
          <w:highlight w:val="none"/>
        </w:rPr>
        <w:t>由一、磋商响应函</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二、法定代表人证明书</w:t>
      </w:r>
      <w:r>
        <w:rPr>
          <w:rFonts w:hint="eastAsia" w:ascii="仿宋" w:hAnsi="仿宋" w:eastAsia="仿宋" w:cs="仿宋"/>
          <w:b w:val="0"/>
          <w:bCs/>
          <w:color w:val="auto"/>
          <w:sz w:val="24"/>
          <w:highlight w:val="none"/>
          <w:lang w:val="en-US" w:eastAsia="zh-CN"/>
        </w:rPr>
        <w:t>及</w:t>
      </w:r>
      <w:r>
        <w:rPr>
          <w:rFonts w:hint="eastAsia" w:ascii="仿宋" w:hAnsi="仿宋" w:eastAsia="仿宋" w:cs="仿宋"/>
          <w:b w:val="0"/>
          <w:bCs/>
          <w:color w:val="auto"/>
          <w:sz w:val="24"/>
          <w:highlight w:val="none"/>
        </w:rPr>
        <w:t>法定代表人授权书</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三、磋商报价表</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四、商务条款偏离表</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五、资格证明文件</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六、服务技术方案</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七、承诺书</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八、</w:t>
      </w:r>
      <w:r>
        <w:rPr>
          <w:rFonts w:hint="eastAsia" w:ascii="仿宋" w:hAnsi="仿宋" w:eastAsia="仿宋" w:cs="仿宋"/>
          <w:b w:val="0"/>
          <w:bCs/>
          <w:color w:val="auto"/>
          <w:sz w:val="24"/>
          <w:highlight w:val="none"/>
          <w:lang w:val="en-US" w:eastAsia="zh-CN"/>
        </w:rPr>
        <w:t>企业声明函</w:t>
      </w:r>
      <w:r>
        <w:rPr>
          <w:rFonts w:hint="eastAsia" w:ascii="仿宋" w:hAnsi="仿宋" w:eastAsia="仿宋" w:cs="仿宋"/>
          <w:color w:val="auto"/>
          <w:sz w:val="24"/>
          <w:highlight w:val="none"/>
        </w:rPr>
        <w:t>。供应商应完整地按照磋商文件提供的响应文件格式及要求编写响应文件。响应文件中资格审查和符合性审查涉及的事项不满足要求的，其响应文件将被认定为无效。</w:t>
      </w:r>
    </w:p>
    <w:p>
      <w:pPr>
        <w:tabs>
          <w:tab w:val="left" w:pos="588"/>
        </w:tabs>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10.2   供应商提供的以上材料必须真实有效，任何一项的虚假将导致其响应被拒绝。</w:t>
      </w:r>
    </w:p>
    <w:p>
      <w:pPr>
        <w:tabs>
          <w:tab w:val="left" w:pos="588"/>
        </w:tabs>
        <w:spacing w:line="360" w:lineRule="auto"/>
        <w:outlineLvl w:val="9"/>
        <w:rPr>
          <w:rFonts w:hint="eastAsia" w:ascii="仿宋" w:hAnsi="仿宋" w:eastAsia="仿宋" w:cs="仿宋"/>
          <w:b/>
          <w:color w:val="auto"/>
          <w:sz w:val="24"/>
          <w:szCs w:val="21"/>
          <w:highlight w:val="none"/>
        </w:rPr>
      </w:pPr>
      <w:bookmarkStart w:id="204" w:name="_Toc70687153"/>
      <w:bookmarkStart w:id="205" w:name="_Toc249515404"/>
      <w:bookmarkStart w:id="206" w:name="_Toc249515292"/>
      <w:bookmarkStart w:id="207" w:name="_Toc385992339"/>
      <w:bookmarkStart w:id="208" w:name="_Toc389620178"/>
      <w:bookmarkStart w:id="209" w:name="_Toc184043026"/>
      <w:bookmarkStart w:id="210" w:name="_Toc249525173"/>
      <w:bookmarkStart w:id="211" w:name="_Toc26312"/>
      <w:r>
        <w:rPr>
          <w:rFonts w:hint="eastAsia" w:ascii="仿宋" w:hAnsi="仿宋" w:eastAsia="仿宋" w:cs="仿宋"/>
          <w:b/>
          <w:color w:val="auto"/>
          <w:sz w:val="24"/>
          <w:highlight w:val="none"/>
        </w:rPr>
        <w:t>11.    响应文件格式</w:t>
      </w:r>
      <w:bookmarkEnd w:id="204"/>
      <w:bookmarkEnd w:id="205"/>
      <w:bookmarkEnd w:id="206"/>
      <w:bookmarkEnd w:id="207"/>
      <w:bookmarkEnd w:id="208"/>
      <w:bookmarkEnd w:id="209"/>
      <w:bookmarkEnd w:id="210"/>
      <w:bookmarkEnd w:id="211"/>
    </w:p>
    <w:p>
      <w:pPr>
        <w:tabs>
          <w:tab w:val="left" w:pos="588"/>
        </w:tabs>
        <w:spacing w:line="360" w:lineRule="auto"/>
        <w:ind w:left="840" w:hanging="840" w:hangingChars="350"/>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11.1   对于磋商文件第六章中已经提供了格式的响应文件内容，供应商必须按提供的响应文件格式进行填写和编制，没有提供格式的可自行设计。</w:t>
      </w:r>
    </w:p>
    <w:p>
      <w:pPr>
        <w:tabs>
          <w:tab w:val="left" w:pos="588"/>
        </w:tabs>
        <w:spacing w:line="360" w:lineRule="auto"/>
        <w:outlineLvl w:val="9"/>
        <w:rPr>
          <w:rFonts w:hint="eastAsia" w:ascii="仿宋" w:hAnsi="仿宋" w:eastAsia="仿宋" w:cs="仿宋"/>
          <w:b/>
          <w:color w:val="auto"/>
          <w:sz w:val="24"/>
          <w:szCs w:val="21"/>
          <w:highlight w:val="none"/>
        </w:rPr>
      </w:pPr>
      <w:bookmarkStart w:id="212" w:name="_Toc26688"/>
      <w:r>
        <w:rPr>
          <w:rFonts w:hint="eastAsia" w:ascii="仿宋" w:hAnsi="仿宋" w:eastAsia="仿宋" w:cs="仿宋"/>
          <w:b/>
          <w:color w:val="auto"/>
          <w:sz w:val="24"/>
          <w:szCs w:val="21"/>
          <w:highlight w:val="none"/>
        </w:rPr>
        <w:t>12.    响应报价</w:t>
      </w:r>
      <w:bookmarkEnd w:id="212"/>
    </w:p>
    <w:p>
      <w:pPr>
        <w:tabs>
          <w:tab w:val="left" w:pos="0"/>
          <w:tab w:val="left" w:pos="540"/>
          <w:tab w:val="left" w:pos="720"/>
        </w:tabs>
        <w:spacing w:line="360" w:lineRule="auto"/>
        <w:ind w:left="840" w:hanging="840" w:hangingChars="350"/>
        <w:outlineLvl w:val="9"/>
        <w:rPr>
          <w:rFonts w:hint="eastAsia" w:ascii="仿宋" w:hAnsi="仿宋" w:eastAsia="仿宋" w:cs="仿宋"/>
          <w:color w:val="auto"/>
          <w:highlight w:val="none"/>
        </w:rPr>
      </w:pPr>
      <w:r>
        <w:rPr>
          <w:rFonts w:hint="eastAsia" w:ascii="仿宋" w:hAnsi="仿宋" w:eastAsia="仿宋" w:cs="仿宋"/>
          <w:color w:val="auto"/>
          <w:kern w:val="24"/>
          <w:sz w:val="24"/>
          <w:szCs w:val="21"/>
          <w:highlight w:val="none"/>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color w:val="auto"/>
          <w:kern w:val="24"/>
          <w:sz w:val="24"/>
          <w:szCs w:val="21"/>
          <w:highlight w:val="none"/>
        </w:rPr>
        <w:t>供应商须知前附表。</w:t>
      </w:r>
    </w:p>
    <w:p>
      <w:pPr>
        <w:tabs>
          <w:tab w:val="left" w:pos="540"/>
          <w:tab w:val="left" w:pos="840"/>
        </w:tabs>
        <w:spacing w:line="360" w:lineRule="auto"/>
        <w:ind w:left="840" w:hanging="840" w:hangingChars="350"/>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12.2   供应商应在响应分项报价表中详细列出所报货物和</w:t>
      </w:r>
      <w:r>
        <w:rPr>
          <w:rFonts w:hint="eastAsia" w:ascii="仿宋" w:hAnsi="仿宋" w:eastAsia="仿宋" w:cs="仿宋"/>
          <w:color w:val="auto"/>
          <w:sz w:val="24"/>
          <w:highlight w:val="none"/>
        </w:rPr>
        <w:t>服务</w:t>
      </w:r>
      <w:r>
        <w:rPr>
          <w:rFonts w:hint="eastAsia" w:ascii="仿宋" w:hAnsi="仿宋" w:eastAsia="仿宋" w:cs="仿宋"/>
          <w:color w:val="auto"/>
          <w:kern w:val="24"/>
          <w:sz w:val="24"/>
          <w:szCs w:val="21"/>
          <w:highlight w:val="none"/>
        </w:rPr>
        <w:t>的单价（如适用）和总价，并由法定代表人或其授权代表签署并加盖公章。响应分项报价表上的价格应按磋商文件第六章的格式填写。</w:t>
      </w:r>
    </w:p>
    <w:p>
      <w:pPr>
        <w:tabs>
          <w:tab w:val="left" w:pos="180"/>
          <w:tab w:val="left" w:pos="540"/>
        </w:tabs>
        <w:spacing w:line="360" w:lineRule="auto"/>
        <w:ind w:left="840" w:hanging="840" w:hangingChars="350"/>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12.5   供应商每次对每种</w:t>
      </w:r>
      <w:r>
        <w:rPr>
          <w:rFonts w:hint="eastAsia" w:ascii="仿宋" w:hAnsi="仿宋" w:eastAsia="仿宋" w:cs="仿宋"/>
          <w:color w:val="auto"/>
          <w:kern w:val="24"/>
          <w:sz w:val="24"/>
          <w:szCs w:val="21"/>
          <w:highlight w:val="none"/>
          <w:u w:val="single"/>
        </w:rPr>
        <w:t>服务</w:t>
      </w:r>
      <w:r>
        <w:rPr>
          <w:rFonts w:hint="eastAsia" w:ascii="仿宋" w:hAnsi="仿宋" w:eastAsia="仿宋" w:cs="仿宋"/>
          <w:color w:val="auto"/>
          <w:kern w:val="24"/>
          <w:sz w:val="24"/>
          <w:szCs w:val="21"/>
          <w:highlight w:val="none"/>
        </w:rPr>
        <w:t>只允许有一个报价，采购人不接受有任何选择的报价。</w:t>
      </w:r>
    </w:p>
    <w:p>
      <w:pPr>
        <w:tabs>
          <w:tab w:val="left" w:pos="180"/>
          <w:tab w:val="left" w:pos="540"/>
        </w:tabs>
        <w:spacing w:line="360" w:lineRule="auto"/>
        <w:ind w:left="840" w:hanging="840" w:hangingChars="350"/>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sz w:val="24"/>
          <w:highlight w:val="none"/>
        </w:rPr>
        <w:t>12.6   供应商根据本须知12.2条规定将响应报价分成几部分并按</w:t>
      </w:r>
      <w:r>
        <w:rPr>
          <w:rFonts w:hint="eastAsia" w:ascii="仿宋" w:hAnsi="仿宋" w:eastAsia="仿宋" w:cs="仿宋"/>
          <w:color w:val="auto"/>
          <w:kern w:val="24"/>
          <w:sz w:val="24"/>
          <w:szCs w:val="21"/>
          <w:highlight w:val="none"/>
        </w:rPr>
        <w:t>磋商文件第六章提供的格式填写“响应分项报价表”，只是为了方便采购人对响应文件进行比较，并不限制采购人以其它方式签订合同的权力。</w:t>
      </w:r>
    </w:p>
    <w:p>
      <w:pPr>
        <w:tabs>
          <w:tab w:val="left" w:pos="588"/>
        </w:tabs>
        <w:spacing w:line="360" w:lineRule="auto"/>
        <w:outlineLvl w:val="9"/>
        <w:rPr>
          <w:rFonts w:hint="eastAsia" w:ascii="仿宋" w:hAnsi="仿宋" w:eastAsia="仿宋" w:cs="仿宋"/>
          <w:b/>
          <w:color w:val="auto"/>
          <w:sz w:val="24"/>
          <w:szCs w:val="21"/>
          <w:highlight w:val="none"/>
        </w:rPr>
      </w:pPr>
      <w:bookmarkStart w:id="213" w:name="_Toc389620180"/>
      <w:bookmarkStart w:id="214" w:name="_Toc20687"/>
      <w:bookmarkStart w:id="215" w:name="_Toc385992341"/>
      <w:bookmarkStart w:id="216" w:name="_Toc249515406"/>
      <w:bookmarkStart w:id="217" w:name="_Toc70687155"/>
      <w:bookmarkStart w:id="218" w:name="_Toc249515294"/>
      <w:bookmarkStart w:id="219" w:name="_Toc184043028"/>
      <w:bookmarkStart w:id="220" w:name="_Toc249525175"/>
      <w:r>
        <w:rPr>
          <w:rFonts w:hint="eastAsia" w:ascii="仿宋" w:hAnsi="仿宋" w:eastAsia="仿宋" w:cs="仿宋"/>
          <w:b/>
          <w:color w:val="auto"/>
          <w:sz w:val="24"/>
          <w:szCs w:val="21"/>
          <w:highlight w:val="none"/>
        </w:rPr>
        <w:t>13.    报价货币</w:t>
      </w:r>
      <w:bookmarkEnd w:id="213"/>
      <w:bookmarkEnd w:id="214"/>
      <w:bookmarkEnd w:id="215"/>
      <w:bookmarkEnd w:id="216"/>
      <w:bookmarkEnd w:id="217"/>
      <w:bookmarkEnd w:id="218"/>
      <w:bookmarkEnd w:id="219"/>
      <w:bookmarkEnd w:id="220"/>
    </w:p>
    <w:p>
      <w:pPr>
        <w:tabs>
          <w:tab w:val="left" w:pos="180"/>
          <w:tab w:val="left" w:pos="540"/>
        </w:tabs>
        <w:spacing w:line="360" w:lineRule="auto"/>
        <w:ind w:left="840" w:hanging="840" w:hangingChars="350"/>
        <w:outlineLvl w:val="9"/>
        <w:rPr>
          <w:rFonts w:hint="eastAsia" w:ascii="仿宋" w:hAnsi="仿宋" w:eastAsia="仿宋" w:cs="仿宋"/>
          <w:color w:val="auto"/>
          <w:kern w:val="24"/>
          <w:sz w:val="24"/>
          <w:szCs w:val="21"/>
          <w:highlight w:val="none"/>
        </w:rPr>
      </w:pPr>
      <w:r>
        <w:rPr>
          <w:rFonts w:hint="eastAsia" w:ascii="仿宋" w:hAnsi="仿宋" w:eastAsia="仿宋" w:cs="仿宋"/>
          <w:color w:val="auto"/>
          <w:kern w:val="24"/>
          <w:sz w:val="24"/>
          <w:szCs w:val="21"/>
          <w:highlight w:val="none"/>
        </w:rPr>
        <w:t>12.3   磋商响应函、响应报价一览表、响应分项报价表、最后报价表等所有报价一律用人民币填报。采购人不接受任何非人民币币种的报价。</w:t>
      </w:r>
      <w:bookmarkStart w:id="221" w:name="_Toc385992342"/>
      <w:bookmarkStart w:id="222" w:name="_Toc389620181"/>
    </w:p>
    <w:bookmarkEnd w:id="221"/>
    <w:bookmarkEnd w:id="222"/>
    <w:p>
      <w:pPr>
        <w:tabs>
          <w:tab w:val="left" w:pos="588"/>
        </w:tabs>
        <w:spacing w:line="360" w:lineRule="auto"/>
        <w:outlineLvl w:val="9"/>
        <w:rPr>
          <w:rFonts w:hint="eastAsia" w:ascii="仿宋" w:hAnsi="仿宋" w:eastAsia="仿宋" w:cs="仿宋"/>
          <w:color w:val="auto"/>
          <w:kern w:val="24"/>
          <w:sz w:val="24"/>
          <w:szCs w:val="21"/>
          <w:highlight w:val="none"/>
        </w:rPr>
      </w:pPr>
      <w:bookmarkStart w:id="223" w:name="止观"/>
      <w:bookmarkEnd w:id="223"/>
      <w:r>
        <w:rPr>
          <w:rFonts w:hint="eastAsia" w:ascii="仿宋" w:hAnsi="仿宋" w:eastAsia="仿宋" w:cs="仿宋"/>
          <w:b/>
          <w:color w:val="auto"/>
          <w:sz w:val="24"/>
          <w:szCs w:val="21"/>
          <w:highlight w:val="none"/>
        </w:rPr>
        <w:t>14.    磋商保证金</w:t>
      </w:r>
      <w:r>
        <w:rPr>
          <w:rFonts w:hint="eastAsia" w:ascii="仿宋" w:hAnsi="仿宋" w:eastAsia="仿宋" w:cs="仿宋"/>
          <w:b/>
          <w:color w:val="auto"/>
          <w:sz w:val="24"/>
          <w:szCs w:val="21"/>
          <w:highlight w:val="none"/>
          <w:lang w:eastAsia="zh-CN"/>
        </w:rPr>
        <w:t>。</w:t>
      </w:r>
      <w:r>
        <w:rPr>
          <w:rFonts w:hint="eastAsia" w:ascii="仿宋" w:hAnsi="仿宋" w:eastAsia="仿宋" w:cs="仿宋"/>
          <w:b/>
          <w:color w:val="auto"/>
          <w:sz w:val="24"/>
          <w:szCs w:val="21"/>
          <w:highlight w:val="none"/>
        </w:rPr>
        <w:t>采用“投标信用承诺书”代替投标保证金。</w:t>
      </w:r>
    </w:p>
    <w:p>
      <w:pPr>
        <w:tabs>
          <w:tab w:val="left" w:pos="588"/>
        </w:tabs>
        <w:spacing w:line="360" w:lineRule="auto"/>
        <w:outlineLvl w:val="9"/>
        <w:rPr>
          <w:rFonts w:hint="eastAsia" w:ascii="仿宋" w:hAnsi="仿宋" w:eastAsia="仿宋" w:cs="仿宋"/>
          <w:b/>
          <w:color w:val="auto"/>
          <w:sz w:val="24"/>
          <w:szCs w:val="21"/>
          <w:highlight w:val="none"/>
        </w:rPr>
      </w:pPr>
      <w:bookmarkStart w:id="224" w:name="_Toc7949"/>
      <w:bookmarkStart w:id="225" w:name="_Toc249525177"/>
      <w:bookmarkStart w:id="226" w:name="_Toc249515408"/>
      <w:bookmarkStart w:id="227" w:name="_Toc249515296"/>
      <w:r>
        <w:rPr>
          <w:rFonts w:hint="eastAsia" w:ascii="仿宋" w:hAnsi="仿宋" w:eastAsia="仿宋" w:cs="仿宋"/>
          <w:b/>
          <w:color w:val="auto"/>
          <w:sz w:val="24"/>
          <w:szCs w:val="21"/>
          <w:highlight w:val="none"/>
        </w:rPr>
        <w:t>15.    磋商有效期</w:t>
      </w:r>
      <w:bookmarkEnd w:id="224"/>
      <w:bookmarkEnd w:id="225"/>
      <w:bookmarkEnd w:id="226"/>
      <w:bookmarkEnd w:id="227"/>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15.1   磋商有效期见</w:t>
      </w:r>
      <w:r>
        <w:rPr>
          <w:rFonts w:hint="eastAsia" w:ascii="仿宋" w:hAnsi="仿宋" w:eastAsia="仿宋" w:cs="仿宋"/>
          <w:b/>
          <w:color w:val="auto"/>
          <w:sz w:val="24"/>
          <w:highlight w:val="none"/>
        </w:rPr>
        <w:t>本须知前附表</w:t>
      </w:r>
      <w:r>
        <w:rPr>
          <w:rFonts w:hint="eastAsia" w:ascii="仿宋" w:hAnsi="仿宋" w:eastAsia="仿宋" w:cs="仿宋"/>
          <w:color w:val="auto"/>
          <w:sz w:val="24"/>
          <w:highlight w:val="none"/>
        </w:rPr>
        <w:t>。在磋商有效期内，所有响应文件均保持有效。响应文件的有效期比本须知规定的有效期短的，将被视为非实质响应，采购人有权拒绝。</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15.2   特殊情况下，采购人可于原磋商有效期满之前要求供应商同意延长有效期，要求与答复均应为书面形式。供应商可以拒绝上述要求，其投标保证金不被没收。对于同意该要求的供应商，既不要求也不允许其修改响应文件，但将要求其相应延长磋商保证金的有效期，有关退还和保证金不予退还的规定在磋商有效期的延长期内继续有效。</w:t>
      </w:r>
    </w:p>
    <w:p>
      <w:pPr>
        <w:tabs>
          <w:tab w:val="left" w:pos="588"/>
        </w:tabs>
        <w:spacing w:line="360" w:lineRule="auto"/>
        <w:outlineLvl w:val="9"/>
        <w:rPr>
          <w:rFonts w:hint="eastAsia" w:ascii="仿宋" w:hAnsi="仿宋" w:eastAsia="仿宋" w:cs="仿宋"/>
          <w:b/>
          <w:color w:val="auto"/>
          <w:sz w:val="24"/>
          <w:szCs w:val="21"/>
          <w:highlight w:val="none"/>
        </w:rPr>
      </w:pPr>
      <w:bookmarkStart w:id="228" w:name="_Toc16612"/>
      <w:bookmarkStart w:id="229" w:name="_Toc385992346"/>
      <w:bookmarkStart w:id="230" w:name="_Toc70687160"/>
      <w:bookmarkStart w:id="231" w:name="_Toc249515297"/>
      <w:bookmarkStart w:id="232" w:name="_Toc184043033"/>
      <w:bookmarkStart w:id="233" w:name="_Toc389620185"/>
      <w:bookmarkStart w:id="234" w:name="_Toc249525178"/>
      <w:bookmarkStart w:id="235" w:name="_Toc249515409"/>
      <w:r>
        <w:rPr>
          <w:rFonts w:hint="eastAsia" w:ascii="仿宋" w:hAnsi="仿宋" w:eastAsia="仿宋" w:cs="仿宋"/>
          <w:b/>
          <w:color w:val="auto"/>
          <w:sz w:val="24"/>
          <w:szCs w:val="21"/>
          <w:highlight w:val="none"/>
        </w:rPr>
        <w:t>16.    响应文件的制作和签署</w:t>
      </w:r>
      <w:bookmarkEnd w:id="228"/>
      <w:bookmarkEnd w:id="229"/>
      <w:bookmarkEnd w:id="230"/>
      <w:bookmarkEnd w:id="231"/>
      <w:bookmarkEnd w:id="232"/>
      <w:bookmarkEnd w:id="233"/>
      <w:bookmarkEnd w:id="234"/>
      <w:bookmarkEnd w:id="235"/>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16.1   </w:t>
      </w:r>
      <w:r>
        <w:rPr>
          <w:rFonts w:hint="eastAsia" w:ascii="仿宋" w:hAnsi="仿宋" w:eastAsia="仿宋" w:cs="仿宋"/>
          <w:color w:val="auto"/>
          <w:sz w:val="24"/>
          <w:highlight w:val="none"/>
          <w:lang w:eastAsia="zh-CN"/>
        </w:rPr>
        <w:t>电子化投标，投标文件须满足“</w:t>
      </w:r>
      <w:r>
        <w:rPr>
          <w:rFonts w:hint="eastAsia" w:ascii="仿宋" w:hAnsi="仿宋" w:eastAsia="仿宋" w:cs="仿宋"/>
          <w:b/>
          <w:bCs/>
          <w:color w:val="auto"/>
          <w:sz w:val="24"/>
          <w:highlight w:val="none"/>
          <w:lang w:eastAsia="zh-CN"/>
        </w:rPr>
        <w:t>供应商须知前附表</w:t>
      </w:r>
      <w:r>
        <w:rPr>
          <w:rFonts w:hint="eastAsia" w:ascii="仿宋" w:hAnsi="仿宋" w:eastAsia="仿宋" w:cs="仿宋"/>
          <w:color w:val="auto"/>
          <w:sz w:val="24"/>
          <w:highlight w:val="none"/>
          <w:lang w:eastAsia="zh-CN"/>
        </w:rPr>
        <w:t>”中的规定；</w:t>
      </w:r>
      <w:r>
        <w:rPr>
          <w:rFonts w:hint="eastAsia" w:ascii="仿宋" w:hAnsi="仿宋" w:eastAsia="仿宋" w:cs="仿宋"/>
          <w:color w:val="auto"/>
          <w:sz w:val="24"/>
          <w:highlight w:val="none"/>
        </w:rPr>
        <w:t>供应商应准备一份响应文件正本和“</w:t>
      </w:r>
      <w:r>
        <w:rPr>
          <w:rFonts w:hint="eastAsia" w:ascii="仿宋" w:hAnsi="仿宋" w:eastAsia="仿宋" w:cs="仿宋"/>
          <w:b/>
          <w:color w:val="auto"/>
          <w:sz w:val="24"/>
          <w:highlight w:val="none"/>
        </w:rPr>
        <w:t>供应商须知前附表</w:t>
      </w:r>
      <w:r>
        <w:rPr>
          <w:rFonts w:hint="eastAsia" w:ascii="仿宋" w:hAnsi="仿宋" w:eastAsia="仿宋" w:cs="仿宋"/>
          <w:color w:val="auto"/>
          <w:sz w:val="24"/>
          <w:highlight w:val="none"/>
        </w:rPr>
        <w:t>”中规定数目的副本，每套响应文件须清楚地标明“正本”、“副本”。若正本和副本不符，以正本为准。</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16.2   响应文件须用中文编写，并采用A4纸张装订成册。装订须牢固，不易拆散和换页，采用软胶装，不得采用活页方式装订，封面不建议硬装。</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16.3   响应文件的正本，一律用不褪色的墨水书写或打印，签字页加盖供应商单位公章，并由供应商的法定代表人或其授权的代理人签署。响应文件的副本可采用正本的复印件。</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任何行间插字、涂改或增删，必须由响应文件签字人将姓或首字母在旁边签字才有效。</w:t>
      </w:r>
    </w:p>
    <w:p>
      <w:pPr>
        <w:tabs>
          <w:tab w:val="left" w:pos="588"/>
        </w:tabs>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16.5   采购人不接受以电报、电话、传真、电子邮件形式递交的响应文件。</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bookmarkStart w:id="236" w:name="_Hlt491765640"/>
      <w:bookmarkEnd w:id="236"/>
      <w:bookmarkStart w:id="237" w:name="_Toc230583545"/>
      <w:bookmarkStart w:id="238" w:name="_Toc249515410"/>
      <w:bookmarkStart w:id="239" w:name="_Toc499711888"/>
      <w:bookmarkStart w:id="240" w:name="_Toc500746970"/>
      <w:bookmarkStart w:id="241" w:name="_Toc232176276"/>
      <w:bookmarkStart w:id="242" w:name="_Toc232395216"/>
      <w:bookmarkStart w:id="243" w:name="_Toc249515298"/>
      <w:bookmarkStart w:id="244" w:name="_Toc249525179"/>
      <w:bookmarkStart w:id="245" w:name="_Toc256342147"/>
      <w:bookmarkStart w:id="246" w:name="_Toc496324583"/>
      <w:bookmarkStart w:id="247" w:name="_Toc385992347"/>
      <w:bookmarkStart w:id="248" w:name="_Toc53722844"/>
      <w:bookmarkStart w:id="249" w:name="_Toc230013636"/>
      <w:bookmarkStart w:id="250" w:name="_Toc230099801"/>
      <w:bookmarkStart w:id="251" w:name="_Toc500747193"/>
      <w:bookmarkStart w:id="252" w:name="_Toc70687161"/>
      <w:bookmarkStart w:id="253" w:name="_Toc176882546"/>
      <w:bookmarkStart w:id="254" w:name="_Toc500747066"/>
      <w:bookmarkStart w:id="255" w:name="_Toc184043034"/>
      <w:bookmarkStart w:id="256" w:name="_Toc177995477"/>
      <w:bookmarkStart w:id="257" w:name="_Toc503063426"/>
      <w:bookmarkStart w:id="258" w:name="_Toc177817338"/>
      <w:bookmarkStart w:id="259" w:name="_Toc492955419"/>
      <w:bookmarkStart w:id="260" w:name="_Toc499711047"/>
      <w:bookmarkStart w:id="261" w:name="_Toc389620186"/>
      <w:bookmarkStart w:id="262" w:name="_Toc177189239"/>
      <w:r>
        <w:rPr>
          <w:rFonts w:hint="eastAsia" w:ascii="仿宋" w:hAnsi="仿宋" w:eastAsia="仿宋" w:cs="仿宋"/>
          <w:color w:val="auto"/>
          <w:sz w:val="24"/>
          <w:highlight w:val="none"/>
        </w:rPr>
        <w:t>。</w:t>
      </w:r>
    </w:p>
    <w:p>
      <w:pPr>
        <w:pStyle w:val="38"/>
        <w:spacing w:before="24" w:after="24" w:line="360" w:lineRule="auto"/>
        <w:jc w:val="center"/>
        <w:outlineLvl w:val="9"/>
        <w:rPr>
          <w:rFonts w:hint="eastAsia" w:ascii="仿宋" w:hAnsi="仿宋" w:eastAsia="仿宋" w:cs="仿宋"/>
          <w:color w:val="auto"/>
          <w:sz w:val="30"/>
          <w:szCs w:val="30"/>
          <w:highlight w:val="none"/>
        </w:rPr>
      </w:pPr>
      <w:bookmarkStart w:id="263" w:name="_Toc68590972"/>
      <w:r>
        <w:rPr>
          <w:rFonts w:hint="eastAsia" w:ascii="仿宋" w:hAnsi="仿宋" w:eastAsia="仿宋" w:cs="仿宋"/>
          <w:color w:val="auto"/>
          <w:sz w:val="30"/>
          <w:szCs w:val="30"/>
          <w:highlight w:val="none"/>
        </w:rPr>
        <w:t>四、响应文件的密封和递交</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pPr>
        <w:tabs>
          <w:tab w:val="left" w:pos="588"/>
        </w:tabs>
        <w:spacing w:line="360" w:lineRule="auto"/>
        <w:outlineLvl w:val="9"/>
        <w:rPr>
          <w:rFonts w:hint="eastAsia" w:ascii="仿宋" w:hAnsi="仿宋" w:eastAsia="仿宋" w:cs="仿宋"/>
          <w:b/>
          <w:color w:val="auto"/>
          <w:sz w:val="24"/>
          <w:szCs w:val="21"/>
          <w:highlight w:val="none"/>
        </w:rPr>
      </w:pPr>
      <w:bookmarkStart w:id="264" w:name="_Toc249515411"/>
      <w:bookmarkStart w:id="265" w:name="_Toc389620187"/>
      <w:bookmarkStart w:id="266" w:name="_Toc184043035"/>
      <w:bookmarkStart w:id="267" w:name="_Toc70687162"/>
      <w:bookmarkStart w:id="268" w:name="_Toc385992348"/>
      <w:bookmarkStart w:id="269" w:name="_Toc4042"/>
      <w:bookmarkStart w:id="270" w:name="_Toc249525180"/>
      <w:bookmarkStart w:id="271" w:name="_Toc249515299"/>
      <w:r>
        <w:rPr>
          <w:rFonts w:hint="eastAsia" w:ascii="仿宋" w:hAnsi="仿宋" w:eastAsia="仿宋" w:cs="仿宋"/>
          <w:b/>
          <w:color w:val="auto"/>
          <w:sz w:val="24"/>
          <w:szCs w:val="21"/>
          <w:highlight w:val="none"/>
        </w:rPr>
        <w:t>17.    响应文件的密封和标记</w:t>
      </w:r>
      <w:bookmarkEnd w:id="264"/>
      <w:bookmarkEnd w:id="265"/>
      <w:bookmarkEnd w:id="266"/>
      <w:bookmarkEnd w:id="267"/>
      <w:bookmarkEnd w:id="268"/>
      <w:bookmarkEnd w:id="269"/>
      <w:bookmarkEnd w:id="270"/>
      <w:bookmarkEnd w:id="271"/>
    </w:p>
    <w:p>
      <w:pPr>
        <w:tabs>
          <w:tab w:val="left" w:pos="588"/>
        </w:tabs>
        <w:spacing w:line="360" w:lineRule="auto"/>
        <w:ind w:left="840" w:hanging="840" w:hangingChars="350"/>
        <w:outlineLvl w:val="9"/>
        <w:rPr>
          <w:rFonts w:hint="eastAsia" w:ascii="仿宋" w:hAnsi="仿宋" w:eastAsia="仿宋" w:cs="仿宋"/>
          <w:color w:val="auto"/>
          <w:sz w:val="24"/>
          <w:highlight w:val="none"/>
        </w:rPr>
      </w:pPr>
      <w:bookmarkStart w:id="272" w:name="_Toc385992349"/>
      <w:bookmarkStart w:id="273" w:name="_Toc389620188"/>
      <w:bookmarkStart w:id="274" w:name="_Toc184043036"/>
      <w:bookmarkStart w:id="275" w:name="_Toc70687163"/>
      <w:r>
        <w:rPr>
          <w:rFonts w:hint="eastAsia" w:ascii="仿宋" w:hAnsi="仿宋" w:eastAsia="仿宋" w:cs="仿宋"/>
          <w:color w:val="auto"/>
          <w:kern w:val="0"/>
          <w:sz w:val="24"/>
          <w:szCs w:val="21"/>
          <w:highlight w:val="none"/>
        </w:rPr>
        <w:t>17.1   供应商应将响应文件“资格证明文件”和“</w:t>
      </w:r>
      <w:r>
        <w:rPr>
          <w:rFonts w:hint="eastAsia" w:ascii="仿宋" w:hAnsi="仿宋" w:eastAsia="仿宋" w:cs="仿宋"/>
          <w:color w:val="auto"/>
          <w:kern w:val="0"/>
          <w:sz w:val="24"/>
          <w:szCs w:val="21"/>
          <w:highlight w:val="none"/>
          <w:lang w:val="en-US" w:eastAsia="zh-CN"/>
        </w:rPr>
        <w:t>响应文件正本与副本</w:t>
      </w:r>
      <w:r>
        <w:rPr>
          <w:rFonts w:hint="eastAsia" w:ascii="仿宋" w:hAnsi="仿宋" w:eastAsia="仿宋" w:cs="仿宋"/>
          <w:color w:val="auto"/>
          <w:kern w:val="0"/>
          <w:sz w:val="24"/>
          <w:szCs w:val="21"/>
          <w:highlight w:val="none"/>
        </w:rPr>
        <w:t>”分别密封在两个密封袋（箱）中，并在密封袋（箱）上标明“资格证明文件”和“</w:t>
      </w:r>
      <w:r>
        <w:rPr>
          <w:rFonts w:hint="eastAsia" w:ascii="仿宋" w:hAnsi="仿宋" w:eastAsia="仿宋" w:cs="仿宋"/>
          <w:color w:val="auto"/>
          <w:kern w:val="0"/>
          <w:sz w:val="24"/>
          <w:szCs w:val="21"/>
          <w:highlight w:val="none"/>
          <w:lang w:val="en-US" w:eastAsia="zh-CN"/>
        </w:rPr>
        <w:t>投标响应文件</w:t>
      </w:r>
      <w:r>
        <w:rPr>
          <w:rFonts w:hint="eastAsia" w:ascii="仿宋" w:hAnsi="仿宋" w:eastAsia="仿宋" w:cs="仿宋"/>
          <w:color w:val="auto"/>
          <w:kern w:val="0"/>
          <w:sz w:val="24"/>
          <w:szCs w:val="21"/>
          <w:highlight w:val="none"/>
        </w:rPr>
        <w:t>”字样，封口处应加盖公章或授权代表签字。</w:t>
      </w:r>
    </w:p>
    <w:p>
      <w:pPr>
        <w:tabs>
          <w:tab w:val="left" w:pos="588"/>
        </w:tabs>
        <w:autoSpaceDE w:val="0"/>
        <w:autoSpaceDN w:val="0"/>
        <w:adjustRightInd w:val="0"/>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kern w:val="0"/>
          <w:sz w:val="24"/>
          <w:szCs w:val="21"/>
          <w:highlight w:val="none"/>
        </w:rPr>
        <w:t>17.2   密封袋（箱）上标识的内容见</w:t>
      </w:r>
      <w:r>
        <w:rPr>
          <w:rFonts w:hint="eastAsia" w:ascii="仿宋" w:hAnsi="仿宋" w:eastAsia="仿宋" w:cs="仿宋"/>
          <w:b/>
          <w:color w:val="auto"/>
          <w:sz w:val="24"/>
          <w:highlight w:val="none"/>
        </w:rPr>
        <w:t>供应商须知前附表。</w:t>
      </w:r>
      <w:r>
        <w:rPr>
          <w:rFonts w:hint="eastAsia" w:ascii="仿宋" w:hAnsi="仿宋" w:eastAsia="仿宋" w:cs="仿宋"/>
          <w:color w:val="auto"/>
          <w:sz w:val="24"/>
          <w:szCs w:val="21"/>
          <w:highlight w:val="none"/>
        </w:rPr>
        <w:t>响应文件</w:t>
      </w:r>
      <w:r>
        <w:rPr>
          <w:rFonts w:hint="eastAsia" w:ascii="仿宋" w:hAnsi="仿宋" w:eastAsia="仿宋" w:cs="仿宋"/>
          <w:color w:val="auto"/>
          <w:kern w:val="0"/>
          <w:sz w:val="24"/>
          <w:szCs w:val="21"/>
          <w:highlight w:val="none"/>
        </w:rPr>
        <w:t>如果</w:t>
      </w:r>
      <w:r>
        <w:rPr>
          <w:rFonts w:hint="eastAsia" w:ascii="仿宋" w:hAnsi="仿宋" w:eastAsia="仿宋" w:cs="仿宋"/>
          <w:color w:val="auto"/>
          <w:sz w:val="24"/>
          <w:szCs w:val="21"/>
          <w:highlight w:val="none"/>
        </w:rPr>
        <w:t>未按上述规定密封和标记，采购代理机构应当拒绝接收。</w:t>
      </w:r>
    </w:p>
    <w:bookmarkEnd w:id="272"/>
    <w:bookmarkEnd w:id="273"/>
    <w:p>
      <w:pPr>
        <w:tabs>
          <w:tab w:val="left" w:pos="588"/>
        </w:tabs>
        <w:spacing w:line="360" w:lineRule="auto"/>
        <w:outlineLvl w:val="9"/>
        <w:rPr>
          <w:rFonts w:hint="eastAsia" w:ascii="仿宋" w:hAnsi="仿宋" w:eastAsia="仿宋" w:cs="仿宋"/>
          <w:b/>
          <w:color w:val="auto"/>
          <w:sz w:val="24"/>
          <w:szCs w:val="21"/>
          <w:highlight w:val="none"/>
        </w:rPr>
      </w:pPr>
      <w:bookmarkStart w:id="276" w:name="_Toc249515412"/>
      <w:bookmarkStart w:id="277" w:name="_Toc249515300"/>
      <w:bookmarkStart w:id="278" w:name="_Toc249525181"/>
      <w:bookmarkStart w:id="279" w:name="_Toc31171"/>
      <w:r>
        <w:rPr>
          <w:rFonts w:hint="eastAsia" w:ascii="仿宋" w:hAnsi="仿宋" w:eastAsia="仿宋" w:cs="仿宋"/>
          <w:b/>
          <w:color w:val="auto"/>
          <w:sz w:val="24"/>
          <w:szCs w:val="21"/>
          <w:highlight w:val="none"/>
        </w:rPr>
        <w:t>18.    响应文件递交截止时间</w:t>
      </w:r>
      <w:bookmarkEnd w:id="274"/>
      <w:bookmarkEnd w:id="275"/>
      <w:bookmarkEnd w:id="276"/>
      <w:bookmarkEnd w:id="277"/>
      <w:bookmarkEnd w:id="278"/>
      <w:bookmarkEnd w:id="279"/>
    </w:p>
    <w:p>
      <w:pPr>
        <w:tabs>
          <w:tab w:val="left" w:pos="588"/>
        </w:tabs>
        <w:spacing w:line="360" w:lineRule="auto"/>
        <w:outlineLvl w:val="9"/>
        <w:rPr>
          <w:rFonts w:hint="eastAsia" w:ascii="仿宋" w:hAnsi="仿宋" w:eastAsia="仿宋" w:cs="仿宋"/>
          <w:color w:val="auto"/>
          <w:sz w:val="24"/>
          <w:highlight w:val="none"/>
        </w:rPr>
      </w:pPr>
      <w:bookmarkStart w:id="280" w:name="_Toc385992350"/>
      <w:bookmarkStart w:id="281" w:name="_Toc184043037"/>
      <w:bookmarkStart w:id="282" w:name="_Toc389620189"/>
      <w:bookmarkStart w:id="283" w:name="_Toc70687164"/>
      <w:r>
        <w:rPr>
          <w:rFonts w:hint="eastAsia" w:ascii="仿宋" w:hAnsi="仿宋" w:eastAsia="仿宋" w:cs="仿宋"/>
          <w:color w:val="auto"/>
          <w:sz w:val="24"/>
          <w:highlight w:val="none"/>
        </w:rPr>
        <w:t>18.1   响应文件递交截止时间和地点见</w:t>
      </w:r>
      <w:r>
        <w:rPr>
          <w:rFonts w:hint="eastAsia" w:ascii="仿宋" w:hAnsi="仿宋" w:eastAsia="仿宋" w:cs="仿宋"/>
          <w:b/>
          <w:color w:val="auto"/>
          <w:sz w:val="24"/>
          <w:highlight w:val="none"/>
        </w:rPr>
        <w:t>供应商须知前附表</w:t>
      </w:r>
      <w:r>
        <w:rPr>
          <w:rFonts w:hint="eastAsia" w:ascii="仿宋" w:hAnsi="仿宋" w:eastAsia="仿宋" w:cs="仿宋"/>
          <w:color w:val="auto"/>
          <w:sz w:val="24"/>
          <w:highlight w:val="none"/>
        </w:rPr>
        <w:t>。</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18.2   供应商须由其合法的授权人在响应文件递交截止时间之前将响应文件在响应文件递交地点送达采购人并签字确认。供应商须承担因未送达并签字所造成的一切责任。</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18.3   采购人可以按本须知第7条规定，通知修改磋商文件，适当延长响应文件递交截止时间。在此情况下，采购人和供应商受响应文件递交截止时间制约的所有权利和义务均应延长至新的截止期。</w:t>
      </w:r>
    </w:p>
    <w:p>
      <w:pPr>
        <w:tabs>
          <w:tab w:val="left" w:pos="588"/>
        </w:tabs>
        <w:spacing w:line="360" w:lineRule="auto"/>
        <w:outlineLvl w:val="9"/>
        <w:rPr>
          <w:rFonts w:hint="eastAsia" w:ascii="仿宋" w:hAnsi="仿宋" w:eastAsia="仿宋" w:cs="仿宋"/>
          <w:b/>
          <w:color w:val="auto"/>
          <w:sz w:val="24"/>
          <w:szCs w:val="21"/>
          <w:highlight w:val="none"/>
        </w:rPr>
      </w:pPr>
      <w:bookmarkStart w:id="284" w:name="_Toc249515301"/>
      <w:bookmarkStart w:id="285" w:name="_Toc7175"/>
      <w:bookmarkStart w:id="286" w:name="_Toc249515413"/>
      <w:bookmarkStart w:id="287" w:name="_Toc249525182"/>
      <w:r>
        <w:rPr>
          <w:rFonts w:hint="eastAsia" w:ascii="仿宋" w:hAnsi="仿宋" w:eastAsia="仿宋" w:cs="仿宋"/>
          <w:b/>
          <w:color w:val="auto"/>
          <w:sz w:val="24"/>
          <w:szCs w:val="21"/>
          <w:highlight w:val="none"/>
        </w:rPr>
        <w:t>19.    迟交的响应文件</w:t>
      </w:r>
      <w:bookmarkEnd w:id="280"/>
      <w:bookmarkEnd w:id="281"/>
      <w:bookmarkEnd w:id="282"/>
      <w:bookmarkEnd w:id="283"/>
      <w:bookmarkEnd w:id="284"/>
      <w:bookmarkEnd w:id="285"/>
      <w:bookmarkEnd w:id="286"/>
      <w:bookmarkEnd w:id="287"/>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19.1   采购人将拒绝接收第18条规定的响应文件递交截止时间后递交的任何响应文件。</w:t>
      </w:r>
    </w:p>
    <w:p>
      <w:pPr>
        <w:tabs>
          <w:tab w:val="left" w:pos="588"/>
        </w:tabs>
        <w:spacing w:line="360" w:lineRule="auto"/>
        <w:outlineLvl w:val="9"/>
        <w:rPr>
          <w:rFonts w:hint="eastAsia" w:ascii="仿宋" w:hAnsi="仿宋" w:eastAsia="仿宋" w:cs="仿宋"/>
          <w:b/>
          <w:color w:val="auto"/>
          <w:sz w:val="24"/>
          <w:szCs w:val="21"/>
          <w:highlight w:val="none"/>
        </w:rPr>
      </w:pPr>
      <w:bookmarkStart w:id="288" w:name="_Toc70687165"/>
      <w:bookmarkStart w:id="289" w:name="_Toc385992351"/>
      <w:bookmarkStart w:id="290" w:name="_Toc249515414"/>
      <w:bookmarkStart w:id="291" w:name="_Toc184043038"/>
      <w:bookmarkStart w:id="292" w:name="_Toc249525183"/>
      <w:bookmarkStart w:id="293" w:name="_Toc249515302"/>
      <w:bookmarkStart w:id="294" w:name="_Toc389620190"/>
      <w:bookmarkStart w:id="295" w:name="_Toc10272"/>
      <w:r>
        <w:rPr>
          <w:rFonts w:hint="eastAsia" w:ascii="仿宋" w:hAnsi="仿宋" w:eastAsia="仿宋" w:cs="仿宋"/>
          <w:b/>
          <w:color w:val="auto"/>
          <w:sz w:val="24"/>
          <w:szCs w:val="21"/>
          <w:highlight w:val="none"/>
        </w:rPr>
        <w:t>20.    响应文件的修改和撤</w:t>
      </w:r>
      <w:bookmarkEnd w:id="288"/>
      <w:bookmarkEnd w:id="289"/>
      <w:bookmarkEnd w:id="290"/>
      <w:bookmarkEnd w:id="291"/>
      <w:bookmarkEnd w:id="292"/>
      <w:bookmarkEnd w:id="293"/>
      <w:bookmarkEnd w:id="294"/>
      <w:bookmarkEnd w:id="295"/>
      <w:r>
        <w:rPr>
          <w:rFonts w:hint="eastAsia" w:ascii="仿宋" w:hAnsi="仿宋" w:eastAsia="仿宋" w:cs="仿宋"/>
          <w:b/>
          <w:color w:val="auto"/>
          <w:sz w:val="24"/>
          <w:szCs w:val="21"/>
          <w:highlight w:val="none"/>
        </w:rPr>
        <w:t>回</w:t>
      </w:r>
    </w:p>
    <w:p>
      <w:pPr>
        <w:tabs>
          <w:tab w:val="left" w:pos="588"/>
        </w:tabs>
        <w:spacing w:line="360" w:lineRule="auto"/>
        <w:ind w:left="840" w:leftChars="4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20.1   供应商对响应文件修改的书面材料或撤回的通知应按第16和17条规定进行编写、密封、标注和递送，并注明“修改响应文件”或“撤回响应文件”字样。</w:t>
      </w:r>
    </w:p>
    <w:p>
      <w:pPr>
        <w:tabs>
          <w:tab w:val="left" w:pos="588"/>
        </w:tabs>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20.2   在响应文件递交截止时间之后，供应商不得对其响应文件做任何修改。</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20.3   供应商不得在响应文件递交截止时间起至响应文件有效期期满前撤销其响应文件。</w:t>
      </w:r>
    </w:p>
    <w:p>
      <w:pPr>
        <w:pStyle w:val="38"/>
        <w:spacing w:before="24" w:after="24" w:line="360" w:lineRule="auto"/>
        <w:ind w:left="3313"/>
        <w:outlineLvl w:val="9"/>
        <w:rPr>
          <w:rFonts w:hint="eastAsia" w:ascii="仿宋" w:hAnsi="仿宋" w:eastAsia="仿宋" w:cs="仿宋"/>
          <w:color w:val="auto"/>
          <w:sz w:val="30"/>
          <w:szCs w:val="30"/>
          <w:highlight w:val="none"/>
        </w:rPr>
      </w:pPr>
      <w:bookmarkStart w:id="296" w:name="_Hlt491765712"/>
      <w:bookmarkEnd w:id="296"/>
      <w:bookmarkStart w:id="297" w:name="_Hlt497729441"/>
      <w:bookmarkEnd w:id="297"/>
      <w:bookmarkStart w:id="298" w:name="_Toc249525184"/>
      <w:bookmarkStart w:id="299" w:name="_Toc249515303"/>
      <w:bookmarkStart w:id="300" w:name="_Toc256342148"/>
      <w:bookmarkStart w:id="301" w:name="_Toc249515415"/>
      <w:bookmarkStart w:id="302" w:name="_Toc68590973"/>
      <w:bookmarkStart w:id="303" w:name="_Toc500746971"/>
      <w:bookmarkStart w:id="304" w:name="_Toc177817339"/>
      <w:bookmarkStart w:id="305" w:name="_Toc184043039"/>
      <w:bookmarkStart w:id="306" w:name="_Toc176882547"/>
      <w:bookmarkStart w:id="307" w:name="_Toc500747067"/>
      <w:bookmarkStart w:id="308" w:name="_Toc177995478"/>
      <w:bookmarkStart w:id="309" w:name="_Toc70687166"/>
      <w:bookmarkStart w:id="310" w:name="_Toc503063427"/>
      <w:bookmarkStart w:id="311" w:name="_Toc499711048"/>
      <w:bookmarkStart w:id="312" w:name="_Toc496324584"/>
      <w:bookmarkStart w:id="313" w:name="_Toc499711889"/>
      <w:bookmarkStart w:id="314" w:name="_Toc177189240"/>
      <w:bookmarkStart w:id="315" w:name="_Toc500747194"/>
      <w:bookmarkStart w:id="316" w:name="_Toc53722845"/>
      <w:bookmarkStart w:id="317" w:name="_Toc492955420"/>
      <w:bookmarkStart w:id="318" w:name="_Toc389620191"/>
      <w:bookmarkStart w:id="319" w:name="_Toc385992352"/>
      <w:r>
        <w:rPr>
          <w:rFonts w:hint="eastAsia" w:ascii="仿宋" w:hAnsi="仿宋" w:eastAsia="仿宋" w:cs="仿宋"/>
          <w:color w:val="auto"/>
          <w:sz w:val="30"/>
          <w:szCs w:val="30"/>
          <w:highlight w:val="none"/>
        </w:rPr>
        <w:t>五、评审与</w:t>
      </w:r>
      <w:bookmarkEnd w:id="298"/>
      <w:bookmarkEnd w:id="299"/>
      <w:bookmarkEnd w:id="300"/>
      <w:bookmarkEnd w:id="301"/>
      <w:r>
        <w:rPr>
          <w:rFonts w:hint="eastAsia" w:ascii="仿宋" w:hAnsi="仿宋" w:eastAsia="仿宋" w:cs="仿宋"/>
          <w:color w:val="auto"/>
          <w:sz w:val="30"/>
          <w:szCs w:val="30"/>
          <w:highlight w:val="none"/>
        </w:rPr>
        <w:t>磋商</w:t>
      </w:r>
      <w:bookmarkEnd w:id="302"/>
    </w:p>
    <w:p>
      <w:pPr>
        <w:numPr>
          <w:ilvl w:val="0"/>
          <w:numId w:val="3"/>
        </w:numPr>
        <w:tabs>
          <w:tab w:val="left" w:pos="588"/>
        </w:tabs>
        <w:spacing w:line="360" w:lineRule="auto"/>
        <w:outlineLvl w:val="9"/>
        <w:rPr>
          <w:rFonts w:hint="eastAsia" w:ascii="仿宋" w:hAnsi="仿宋" w:eastAsia="仿宋" w:cs="仿宋"/>
          <w:b/>
          <w:color w:val="auto"/>
          <w:sz w:val="24"/>
          <w:highlight w:val="none"/>
        </w:rPr>
      </w:pPr>
      <w:bookmarkStart w:id="320" w:name="_Toc249515417"/>
      <w:bookmarkStart w:id="321" w:name="_Toc16042"/>
      <w:bookmarkStart w:id="322" w:name="_Toc249515305"/>
      <w:bookmarkStart w:id="323" w:name="_Toc249525186"/>
      <w:r>
        <w:rPr>
          <w:rFonts w:hint="eastAsia" w:ascii="仿宋" w:hAnsi="仿宋" w:eastAsia="仿宋" w:cs="仿宋"/>
          <w:b/>
          <w:color w:val="auto"/>
          <w:sz w:val="24"/>
          <w:highlight w:val="none"/>
        </w:rPr>
        <w:t xml:space="preserve">   磋商小组</w:t>
      </w:r>
      <w:bookmarkEnd w:id="320"/>
      <w:bookmarkEnd w:id="321"/>
      <w:bookmarkEnd w:id="322"/>
      <w:bookmarkEnd w:id="323"/>
    </w:p>
    <w:p>
      <w:pPr>
        <w:pStyle w:val="12"/>
        <w:adjustRightInd w:val="0"/>
        <w:snapToGrid w:val="0"/>
        <w:spacing w:line="360" w:lineRule="auto"/>
        <w:ind w:left="840" w:hanging="840" w:hangingChars="350"/>
        <w:outlineLvl w:val="9"/>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t>21.1   在磋商开始前组建磋商小组，磋商小组由采购人代表和有关专家组成。专家从政府采购评审专家库相关专业中随机抽取。磋商小组组成见</w:t>
      </w:r>
      <w:r>
        <w:rPr>
          <w:rFonts w:hint="eastAsia" w:ascii="仿宋" w:hAnsi="仿宋" w:eastAsia="仿宋" w:cs="仿宋"/>
          <w:b/>
          <w:color w:val="auto"/>
          <w:sz w:val="24"/>
          <w:highlight w:val="none"/>
        </w:rPr>
        <w:t>供应商须知前附表。</w:t>
      </w:r>
    </w:p>
    <w:p>
      <w:pPr>
        <w:pStyle w:val="12"/>
        <w:adjustRightInd w:val="0"/>
        <w:snapToGrid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   磋商小组职责</w:t>
      </w:r>
    </w:p>
    <w:p>
      <w:pPr>
        <w:pStyle w:val="12"/>
        <w:adjustRightInd w:val="0"/>
        <w:snapToGrid w:val="0"/>
        <w:spacing w:line="360" w:lineRule="auto"/>
        <w:ind w:left="840" w:leftChars="4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（1）确认竞争性磋商文件；</w:t>
      </w:r>
    </w:p>
    <w:p>
      <w:pPr>
        <w:pStyle w:val="12"/>
        <w:adjustRightInd w:val="0"/>
        <w:snapToGrid w:val="0"/>
        <w:spacing w:line="360" w:lineRule="auto"/>
        <w:ind w:left="840" w:leftChars="4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（2）审查通过了资格审查的供应商响应文件并做出评价；</w:t>
      </w:r>
    </w:p>
    <w:p>
      <w:pPr>
        <w:pStyle w:val="12"/>
        <w:adjustRightInd w:val="0"/>
        <w:snapToGrid w:val="0"/>
        <w:spacing w:line="360" w:lineRule="auto"/>
        <w:ind w:left="840" w:leftChars="4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（3）要求供应商解释或者澄清其响应文件；</w:t>
      </w:r>
    </w:p>
    <w:p>
      <w:pPr>
        <w:pStyle w:val="12"/>
        <w:adjustRightInd w:val="0"/>
        <w:snapToGrid w:val="0"/>
        <w:spacing w:line="360" w:lineRule="auto"/>
        <w:ind w:left="840" w:leftChars="4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（4）编写评审报告；</w:t>
      </w:r>
    </w:p>
    <w:p>
      <w:pPr>
        <w:pStyle w:val="12"/>
        <w:adjustRightInd w:val="0"/>
        <w:snapToGrid w:val="0"/>
        <w:spacing w:line="360" w:lineRule="auto"/>
        <w:ind w:left="840" w:leftChars="4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（5）告知采购人、采购代理机构在评审过程中发现的供应商的违法违规行为。</w:t>
      </w:r>
    </w:p>
    <w:p>
      <w:pPr>
        <w:pStyle w:val="12"/>
        <w:adjustRightInd w:val="0"/>
        <w:snapToGrid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   磋商小组义务</w:t>
      </w:r>
    </w:p>
    <w:p>
      <w:pPr>
        <w:pStyle w:val="12"/>
        <w:adjustRightInd w:val="0"/>
        <w:snapToGrid w:val="0"/>
        <w:spacing w:line="360" w:lineRule="auto"/>
        <w:ind w:left="838" w:leftChars="399"/>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（1）遵纪客观、公正、审慎的原则；</w:t>
      </w:r>
    </w:p>
    <w:p>
      <w:pPr>
        <w:pStyle w:val="12"/>
        <w:adjustRightInd w:val="0"/>
        <w:snapToGrid w:val="0"/>
        <w:spacing w:line="360" w:lineRule="auto"/>
        <w:ind w:left="838" w:leftChars="399"/>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（2）根据磋商文件的规定评审程序、评审方法和评审标准独立进行评审，对个人的评审意见承担法律责任；</w:t>
      </w:r>
    </w:p>
    <w:p>
      <w:pPr>
        <w:pStyle w:val="12"/>
        <w:adjustRightInd w:val="0"/>
        <w:snapToGrid w:val="0"/>
        <w:spacing w:line="360" w:lineRule="auto"/>
        <w:ind w:left="838" w:leftChars="399"/>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（3）参与评审报告的起草；</w:t>
      </w:r>
    </w:p>
    <w:p>
      <w:pPr>
        <w:pStyle w:val="12"/>
        <w:adjustRightInd w:val="0"/>
        <w:snapToGrid w:val="0"/>
        <w:spacing w:line="360" w:lineRule="auto"/>
        <w:ind w:left="838" w:leftChars="399"/>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（4）配合采购人、采购代理机构答复供应商提出的质疑；</w:t>
      </w:r>
    </w:p>
    <w:p>
      <w:pPr>
        <w:pStyle w:val="12"/>
        <w:adjustRightInd w:val="0"/>
        <w:snapToGrid w:val="0"/>
        <w:spacing w:line="360" w:lineRule="auto"/>
        <w:ind w:left="838" w:leftChars="399"/>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（5）配合财政部门的投诉处理和监督检查工作。</w:t>
      </w:r>
    </w:p>
    <w:p>
      <w:pPr>
        <w:pStyle w:val="12"/>
        <w:adjustRightInd w:val="0"/>
        <w:snapToGrid w:val="0"/>
        <w:spacing w:line="360" w:lineRule="auto"/>
        <w:ind w:left="840" w:hanging="840" w:hangingChars="35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   确认磋商文件：磋商小组对磋商文件进行审阅，无修改进行签字确认，有修改，修改内容经采购人确认后，磋商小组以书面形式通知所有供应商。</w:t>
      </w:r>
    </w:p>
    <w:p>
      <w:pPr>
        <w:tabs>
          <w:tab w:val="left" w:pos="588"/>
        </w:tabs>
        <w:spacing w:line="360" w:lineRule="auto"/>
        <w:outlineLvl w:val="9"/>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22.    磋商小组成员有下列情形之一的，应当回避：</w:t>
      </w:r>
    </w:p>
    <w:p>
      <w:pPr>
        <w:tabs>
          <w:tab w:val="left" w:pos="360"/>
          <w:tab w:val="left" w:pos="588"/>
        </w:tabs>
        <w:spacing w:line="360" w:lineRule="auto"/>
        <w:outlineLvl w:val="9"/>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22.1   参加采购活动前3年内与供应商存在劳动关系；</w:t>
      </w:r>
    </w:p>
    <w:p>
      <w:pPr>
        <w:tabs>
          <w:tab w:val="left" w:pos="360"/>
          <w:tab w:val="left" w:pos="588"/>
        </w:tabs>
        <w:spacing w:line="360" w:lineRule="auto"/>
        <w:outlineLvl w:val="9"/>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22.2   参加采购活动前3年内担任供应商的董事、监事；</w:t>
      </w:r>
    </w:p>
    <w:p>
      <w:pPr>
        <w:tabs>
          <w:tab w:val="left" w:pos="360"/>
          <w:tab w:val="left" w:pos="588"/>
        </w:tabs>
        <w:spacing w:line="360" w:lineRule="auto"/>
        <w:outlineLvl w:val="9"/>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22.3   参加采购活动前3年内是供应商的控股股东或者实际控制人；</w:t>
      </w:r>
    </w:p>
    <w:p>
      <w:pPr>
        <w:tabs>
          <w:tab w:val="left" w:pos="360"/>
          <w:tab w:val="left" w:pos="588"/>
        </w:tabs>
        <w:spacing w:line="360" w:lineRule="auto"/>
        <w:ind w:left="840" w:hanging="840" w:hangingChars="350"/>
        <w:outlineLvl w:val="9"/>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22.4   与供应商的法定代表人或者负责人有夫妻、直系血亲、三代以内旁系血亲或者近姻亲关系；</w:t>
      </w:r>
    </w:p>
    <w:p>
      <w:pPr>
        <w:tabs>
          <w:tab w:val="left" w:pos="360"/>
          <w:tab w:val="left" w:pos="588"/>
        </w:tabs>
        <w:spacing w:line="360" w:lineRule="auto"/>
        <w:outlineLvl w:val="9"/>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22.5   与供应商有其他可能影响政府采购活动公平、公正进行的关系。</w:t>
      </w:r>
    </w:p>
    <w:p>
      <w:pPr>
        <w:tabs>
          <w:tab w:val="left" w:pos="588"/>
        </w:tabs>
        <w:spacing w:line="360" w:lineRule="auto"/>
        <w:outlineLvl w:val="9"/>
        <w:rPr>
          <w:rFonts w:hint="eastAsia" w:ascii="仿宋" w:hAnsi="仿宋" w:eastAsia="仿宋" w:cs="仿宋"/>
          <w:b/>
          <w:color w:val="auto"/>
          <w:sz w:val="24"/>
          <w:szCs w:val="21"/>
          <w:highlight w:val="none"/>
        </w:rPr>
      </w:pPr>
      <w:bookmarkStart w:id="324" w:name="_Toc249515306"/>
      <w:bookmarkStart w:id="325" w:name="_Toc20608"/>
      <w:bookmarkStart w:id="326" w:name="_Toc249515418"/>
      <w:bookmarkStart w:id="327" w:name="_Toc83547667"/>
      <w:bookmarkStart w:id="328" w:name="_Toc249525187"/>
      <w:r>
        <w:rPr>
          <w:rFonts w:hint="eastAsia" w:ascii="仿宋" w:hAnsi="仿宋" w:eastAsia="仿宋" w:cs="仿宋"/>
          <w:b/>
          <w:color w:val="auto"/>
          <w:sz w:val="24"/>
          <w:szCs w:val="21"/>
          <w:highlight w:val="none"/>
        </w:rPr>
        <w:t>23.    磋商程序</w:t>
      </w:r>
    </w:p>
    <w:p>
      <w:pPr>
        <w:tabs>
          <w:tab w:val="left" w:pos="360"/>
          <w:tab w:val="left" w:pos="588"/>
        </w:tabs>
        <w:spacing w:line="360" w:lineRule="auto"/>
        <w:outlineLvl w:val="9"/>
        <w:rPr>
          <w:rFonts w:hint="eastAsia" w:ascii="仿宋" w:hAnsi="仿宋" w:eastAsia="仿宋" w:cs="仿宋"/>
          <w:b/>
          <w:color w:val="auto"/>
          <w:sz w:val="24"/>
          <w:szCs w:val="21"/>
          <w:highlight w:val="none"/>
        </w:rPr>
      </w:pPr>
      <w:bookmarkStart w:id="329" w:name="_Toc58504507"/>
      <w:r>
        <w:rPr>
          <w:rFonts w:hint="eastAsia" w:ascii="仿宋" w:hAnsi="仿宋" w:eastAsia="仿宋" w:cs="仿宋"/>
          <w:b/>
          <w:color w:val="auto"/>
          <w:sz w:val="24"/>
          <w:szCs w:val="21"/>
          <w:highlight w:val="none"/>
        </w:rPr>
        <w:t>23.1   磋商会议</w:t>
      </w:r>
      <w:bookmarkEnd w:id="329"/>
    </w:p>
    <w:p>
      <w:pPr>
        <w:pStyle w:val="10"/>
        <w:spacing w:line="360" w:lineRule="auto"/>
        <w:ind w:left="840" w:leftChars="400"/>
        <w:outlineLvl w:val="9"/>
        <w:rPr>
          <w:rFonts w:hint="eastAsia" w:ascii="仿宋" w:hAnsi="仿宋" w:eastAsia="仿宋" w:cs="仿宋"/>
          <w:color w:val="auto"/>
          <w:sz w:val="24"/>
          <w:szCs w:val="32"/>
          <w:highlight w:val="none"/>
        </w:rPr>
      </w:pPr>
      <w:bookmarkStart w:id="330" w:name="_Toc58504508"/>
      <w:r>
        <w:rPr>
          <w:rFonts w:hint="eastAsia" w:ascii="仿宋" w:hAnsi="仿宋" w:eastAsia="仿宋" w:cs="仿宋"/>
          <w:color w:val="auto"/>
          <w:sz w:val="24"/>
          <w:szCs w:val="32"/>
          <w:highlight w:val="none"/>
        </w:rPr>
        <w:t>（1）在磋商文件规定的时间和地点，由采购代理机构组织磋商工作，供应商须委派代表参加，签名以证明其出席。</w:t>
      </w:r>
      <w:bookmarkEnd w:id="330"/>
    </w:p>
    <w:p>
      <w:pPr>
        <w:pStyle w:val="10"/>
        <w:spacing w:line="360" w:lineRule="auto"/>
        <w:ind w:left="840" w:leftChars="400"/>
        <w:outlineLvl w:val="9"/>
        <w:rPr>
          <w:rFonts w:hint="eastAsia" w:ascii="仿宋" w:hAnsi="仿宋" w:eastAsia="仿宋" w:cs="仿宋"/>
          <w:color w:val="auto"/>
          <w:sz w:val="24"/>
          <w:szCs w:val="32"/>
          <w:highlight w:val="none"/>
        </w:rPr>
      </w:pPr>
      <w:bookmarkStart w:id="331" w:name="_Toc58504509"/>
      <w:r>
        <w:rPr>
          <w:rFonts w:hint="eastAsia" w:ascii="仿宋" w:hAnsi="仿宋" w:eastAsia="仿宋" w:cs="仿宋"/>
          <w:color w:val="auto"/>
          <w:sz w:val="24"/>
          <w:szCs w:val="32"/>
          <w:highlight w:val="none"/>
        </w:rPr>
        <w:t>（2）各供应商或其推荐的代表与采购监督人共同检查响应文件的密封情况，经检查无误后，签字确认。</w:t>
      </w:r>
      <w:bookmarkEnd w:id="331"/>
    </w:p>
    <w:p>
      <w:pPr>
        <w:pStyle w:val="10"/>
        <w:spacing w:line="360" w:lineRule="auto"/>
        <w:ind w:left="840" w:leftChars="400"/>
        <w:outlineLvl w:val="9"/>
        <w:rPr>
          <w:rFonts w:hint="eastAsia" w:ascii="仿宋" w:hAnsi="仿宋" w:eastAsia="仿宋" w:cs="仿宋"/>
          <w:color w:val="auto"/>
          <w:sz w:val="24"/>
          <w:szCs w:val="32"/>
          <w:highlight w:val="none"/>
        </w:rPr>
      </w:pPr>
      <w:bookmarkStart w:id="332" w:name="_Toc58504510"/>
      <w:r>
        <w:rPr>
          <w:rFonts w:hint="eastAsia" w:ascii="仿宋" w:hAnsi="仿宋" w:eastAsia="仿宋" w:cs="仿宋"/>
          <w:color w:val="auto"/>
          <w:sz w:val="24"/>
          <w:szCs w:val="32"/>
          <w:highlight w:val="none"/>
        </w:rPr>
        <w:t>（3）采购代理机构工作人员按照顺序，将各供应商首次响应文件的份数等内容公布，无异议后，由供应商法定代表人（或授权代表人）和监督人签字确认。</w:t>
      </w:r>
      <w:bookmarkEnd w:id="332"/>
    </w:p>
    <w:p>
      <w:pPr>
        <w:tabs>
          <w:tab w:val="left" w:pos="360"/>
          <w:tab w:val="left" w:pos="588"/>
        </w:tabs>
        <w:spacing w:line="360" w:lineRule="auto"/>
        <w:outlineLvl w:val="9"/>
        <w:rPr>
          <w:rFonts w:hint="eastAsia" w:ascii="仿宋" w:hAnsi="仿宋" w:eastAsia="仿宋" w:cs="仿宋"/>
          <w:b/>
          <w:color w:val="auto"/>
          <w:sz w:val="24"/>
          <w:szCs w:val="21"/>
          <w:highlight w:val="none"/>
        </w:rPr>
      </w:pPr>
      <w:bookmarkStart w:id="333" w:name="_Toc58504511"/>
      <w:r>
        <w:rPr>
          <w:rFonts w:hint="eastAsia" w:ascii="仿宋" w:hAnsi="仿宋" w:eastAsia="仿宋" w:cs="仿宋"/>
          <w:b/>
          <w:color w:val="auto"/>
          <w:sz w:val="24"/>
          <w:szCs w:val="21"/>
          <w:highlight w:val="none"/>
        </w:rPr>
        <w:t>23.2   响应文件</w:t>
      </w:r>
      <w:bookmarkEnd w:id="324"/>
      <w:bookmarkEnd w:id="325"/>
      <w:bookmarkEnd w:id="326"/>
      <w:bookmarkEnd w:id="327"/>
      <w:bookmarkEnd w:id="328"/>
      <w:r>
        <w:rPr>
          <w:rFonts w:hint="eastAsia" w:ascii="仿宋" w:hAnsi="仿宋" w:eastAsia="仿宋" w:cs="仿宋"/>
          <w:b/>
          <w:color w:val="auto"/>
          <w:sz w:val="24"/>
          <w:szCs w:val="21"/>
          <w:highlight w:val="none"/>
        </w:rPr>
        <w:t>评审</w:t>
      </w:r>
      <w:bookmarkEnd w:id="333"/>
    </w:p>
    <w:p>
      <w:pPr>
        <w:tabs>
          <w:tab w:val="left" w:pos="360"/>
          <w:tab w:val="left" w:pos="588"/>
        </w:tabs>
        <w:spacing w:line="360" w:lineRule="auto"/>
        <w:ind w:left="843" w:hanging="843" w:hangingChars="350"/>
        <w:outlineLvl w:val="9"/>
        <w:rPr>
          <w:rFonts w:hint="eastAsia" w:ascii="仿宋" w:hAnsi="仿宋" w:eastAsia="仿宋" w:cs="仿宋"/>
          <w:color w:val="auto"/>
          <w:sz w:val="24"/>
          <w:highlight w:val="none"/>
        </w:rPr>
      </w:pPr>
      <w:bookmarkStart w:id="334" w:name="_Toc83547671"/>
      <w:r>
        <w:rPr>
          <w:rFonts w:hint="eastAsia" w:ascii="仿宋" w:hAnsi="仿宋" w:eastAsia="仿宋" w:cs="仿宋"/>
          <w:b/>
          <w:color w:val="auto"/>
          <w:sz w:val="24"/>
          <w:highlight w:val="none"/>
        </w:rPr>
        <w:t>23.2.1</w:t>
      </w:r>
      <w:r>
        <w:rPr>
          <w:rFonts w:hint="eastAsia" w:ascii="仿宋" w:hAnsi="仿宋" w:eastAsia="仿宋" w:cs="仿宋"/>
          <w:b/>
          <w:i/>
          <w:color w:val="auto"/>
          <w:sz w:val="24"/>
          <w:highlight w:val="none"/>
        </w:rPr>
        <w:t xml:space="preserve"> </w:t>
      </w:r>
      <w:r>
        <w:rPr>
          <w:rFonts w:hint="eastAsia" w:ascii="仿宋" w:hAnsi="仿宋" w:eastAsia="仿宋" w:cs="仿宋"/>
          <w:b/>
          <w:color w:val="auto"/>
          <w:sz w:val="24"/>
          <w:highlight w:val="none"/>
        </w:rPr>
        <w:t>响应文件的资格性审查</w:t>
      </w:r>
      <w:r>
        <w:rPr>
          <w:rFonts w:hint="eastAsia" w:ascii="仿宋" w:hAnsi="仿宋" w:eastAsia="仿宋" w:cs="仿宋"/>
          <w:color w:val="auto"/>
          <w:sz w:val="24"/>
          <w:highlight w:val="none"/>
        </w:rPr>
        <w:t>。</w:t>
      </w:r>
    </w:p>
    <w:p>
      <w:pPr>
        <w:numPr>
          <w:ilvl w:val="0"/>
          <w:numId w:val="4"/>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numPr>
          <w:ilvl w:val="0"/>
          <w:numId w:val="4"/>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资质要求：投标人须具备有效的国家行政主管部门颁发的乙级及以上测绘资质证书。</w:t>
      </w:r>
    </w:p>
    <w:p>
      <w:pPr>
        <w:numPr>
          <w:ilvl w:val="0"/>
          <w:numId w:val="4"/>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财务状况报告：提供企业赋码后2024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p>
    <w:p>
      <w:pPr>
        <w:numPr>
          <w:ilvl w:val="0"/>
          <w:numId w:val="4"/>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社会保障资金缴纳证明：提供2025年01月至今已缴纳的至少一个月的社会保障资金银行缴费单据或社保机构开具的社会保险参保缴费情况证明，依法不需要缴纳社会保障资金的单位应提供相关证明材料。</w:t>
      </w:r>
    </w:p>
    <w:p>
      <w:pPr>
        <w:numPr>
          <w:ilvl w:val="0"/>
          <w:numId w:val="4"/>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税收缴纳证明：提供2025年01月至今已缴纳的至少一个月的纳税证明（银行缴费凭证）或完税证明（时间以税款所属日期为准、税种须包含增值税或企业所得税），依法免税的单位应提供相关证明材料。</w:t>
      </w:r>
    </w:p>
    <w:p>
      <w:pPr>
        <w:numPr>
          <w:ilvl w:val="0"/>
          <w:numId w:val="4"/>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参加政府采购活动前三年内，在经营活动中没有重大违法记录的书面声明。</w:t>
      </w:r>
    </w:p>
    <w:p>
      <w:pPr>
        <w:numPr>
          <w:ilvl w:val="0"/>
          <w:numId w:val="4"/>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提供具有履行合同所必需的设备和专业技术能力的证明资料或承诺书。</w:t>
      </w:r>
    </w:p>
    <w:p>
      <w:pPr>
        <w:numPr>
          <w:ilvl w:val="0"/>
          <w:numId w:val="4"/>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列入“信用中国”网站(www.creditchina.gov.cn)“失信被执行人、税收违法黑名单、异常经营名录”记录名单；“中国政府采购网”(www.ccgp.gov.cn)“政府采购严重违法失信行为信息记录”的单位，应当拒绝参与政府采购活动（查询日期为从招标文件获取之日起至投标截止日前但最终以投标截止日当天查询结果为准）。</w:t>
      </w:r>
    </w:p>
    <w:p>
      <w:pPr>
        <w:numPr>
          <w:ilvl w:val="0"/>
          <w:numId w:val="4"/>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提供榆林市政府采购服务类项目供应商信用承诺书。</w:t>
      </w:r>
    </w:p>
    <w:p>
      <w:pPr>
        <w:numPr>
          <w:ilvl w:val="0"/>
          <w:numId w:val="4"/>
        </w:numPr>
        <w:bidi w:val="0"/>
        <w:spacing w:line="360" w:lineRule="auto"/>
        <w:ind w:left="0" w:leftChars="0" w:firstLine="424" w:firstLineChars="177"/>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自主上报信用承诺书：投标人及其授权委托人应在“信用中国（陕西榆林）”网站(https://credit.yl.gov.cn/)进行注册、登录、自主上报信用承诺书，包括：《投标人信用承诺》、《投标人委托代理人员信用承诺书》、《投标信用承诺书》（具体操作格式及要求详见招标文件）。</w:t>
      </w:r>
    </w:p>
    <w:p>
      <w:pPr>
        <w:pStyle w:val="19"/>
        <w:numPr>
          <w:ilvl w:val="0"/>
          <w:numId w:val="0"/>
        </w:numPr>
        <w:wordWrap w:val="0"/>
        <w:spacing w:before="0" w:beforeAutospacing="0" w:after="0" w:afterAutospacing="0" w:line="360" w:lineRule="auto"/>
        <w:ind w:left="426" w:leftChars="202" w:hanging="2" w:hangingChars="1"/>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szCs w:val="24"/>
          <w:shd w:val="clear" w:color="auto" w:fill="FFFFFF"/>
          <w:lang w:val="en-US" w:eastAsia="zh-CN"/>
        </w:rPr>
        <w:t>（11）</w:t>
      </w:r>
      <w:r>
        <w:rPr>
          <w:rFonts w:hint="eastAsia" w:ascii="仿宋" w:hAnsi="仿宋" w:eastAsia="仿宋" w:cs="仿宋"/>
          <w:color w:val="auto"/>
          <w:szCs w:val="24"/>
        </w:rPr>
        <w:t>本项目专门面向中小企业采购，投标人应提供《中小企业声明函》。</w:t>
      </w:r>
    </w:p>
    <w:p>
      <w:pPr>
        <w:pStyle w:val="19"/>
        <w:numPr>
          <w:ilvl w:val="0"/>
          <w:numId w:val="0"/>
        </w:numPr>
        <w:wordWrap w:val="0"/>
        <w:spacing w:before="0" w:beforeAutospacing="0" w:after="0" w:afterAutospacing="0" w:line="360" w:lineRule="auto"/>
        <w:ind w:left="425" w:leftChars="0" w:hanging="425" w:firstLineChars="0"/>
        <w:jc w:val="both"/>
        <w:rPr>
          <w:rFonts w:hint="eastAsia" w:ascii="仿宋" w:hAnsi="仿宋" w:eastAsia="仿宋" w:cs="仿宋"/>
          <w:b w:val="0"/>
          <w:bCs w:val="0"/>
          <w:i w:val="0"/>
          <w:iCs w:val="0"/>
          <w:caps w:val="0"/>
          <w:color w:val="auto"/>
          <w:spacing w:val="0"/>
          <w:sz w:val="24"/>
          <w:szCs w:val="24"/>
          <w:highlight w:val="none"/>
          <w:shd w:val="clear" w:color="auto" w:fill="FFFFFF"/>
          <w:lang w:val="en-US" w:eastAsia="zh-CN"/>
        </w:rPr>
      </w:pPr>
      <w:r>
        <w:rPr>
          <w:rFonts w:hint="eastAsia" w:ascii="仿宋" w:hAnsi="仿宋" w:eastAsia="仿宋" w:cs="仿宋"/>
          <w:color w:val="auto"/>
          <w:szCs w:val="24"/>
          <w:shd w:val="clear" w:color="auto" w:fill="FFFFFF"/>
          <w:lang w:val="en-US" w:eastAsia="zh-CN"/>
        </w:rPr>
        <w:t>备注：本项目不接受联合体投标；不允许分包、转包，单位负责人为同一人或者存在直接控股、管理关系的不同投标人，不得参加同一合同项下的政府采购活动（提供非联合体书面声明材料）。</w:t>
      </w:r>
    </w:p>
    <w:p>
      <w:pPr>
        <w:pStyle w:val="10"/>
        <w:spacing w:line="360" w:lineRule="auto"/>
        <w:ind w:left="420" w:leftChars="200" w:firstLine="482" w:firstLineChars="200"/>
        <w:outlineLvl w:val="9"/>
        <w:rPr>
          <w:rFonts w:hint="eastAsia" w:ascii="仿宋" w:hAnsi="仿宋" w:eastAsia="仿宋" w:cs="仿宋"/>
          <w:i/>
          <w:color w:val="auto"/>
          <w:sz w:val="24"/>
          <w:szCs w:val="24"/>
          <w:highlight w:val="none"/>
        </w:rPr>
      </w:pPr>
      <w:r>
        <w:rPr>
          <w:rFonts w:hint="eastAsia" w:ascii="仿宋" w:hAnsi="仿宋" w:eastAsia="仿宋" w:cs="仿宋"/>
          <w:b/>
          <w:bCs/>
          <w:i w:val="0"/>
          <w:iCs w:val="0"/>
          <w:caps w:val="0"/>
          <w:color w:val="auto"/>
          <w:spacing w:val="0"/>
          <w:sz w:val="24"/>
          <w:szCs w:val="24"/>
          <w:highlight w:val="none"/>
          <w:shd w:val="clear" w:color="auto" w:fill="FFFFFF"/>
          <w:lang w:val="en-US" w:eastAsia="zh-CN"/>
        </w:rPr>
        <w:t>2、</w:t>
      </w:r>
      <w:r>
        <w:rPr>
          <w:rFonts w:hint="eastAsia" w:ascii="仿宋" w:hAnsi="仿宋" w:eastAsia="仿宋" w:cs="仿宋"/>
          <w:b/>
          <w:bCs/>
          <w:color w:val="auto"/>
          <w:sz w:val="24"/>
          <w:szCs w:val="24"/>
          <w:highlight w:val="none"/>
          <w:lang w:val="en-US" w:eastAsia="zh-CN" w:bidi="ar-SA"/>
        </w:rPr>
        <w:t>以上为必备资格条件，缺一项或某项达不到要求，按无效投标处理。</w:t>
      </w:r>
    </w:p>
    <w:p>
      <w:pPr>
        <w:pStyle w:val="10"/>
        <w:spacing w:line="360" w:lineRule="auto"/>
        <w:ind w:left="840" w:leftChars="400"/>
        <w:outlineLvl w:val="9"/>
        <w:rPr>
          <w:rFonts w:hint="eastAsia" w:ascii="仿宋" w:hAnsi="仿宋" w:eastAsia="仿宋" w:cs="仿宋"/>
          <w:b/>
          <w:bCs/>
          <w:color w:val="auto"/>
          <w:sz w:val="24"/>
          <w:highlight w:val="none"/>
          <w:lang w:eastAsia="zh-CN"/>
        </w:rPr>
      </w:pPr>
      <w:r>
        <w:rPr>
          <w:rFonts w:hint="eastAsia" w:ascii="仿宋" w:hAnsi="仿宋" w:eastAsia="仿宋" w:cs="仿宋"/>
          <w:b/>
          <w:color w:val="auto"/>
          <w:sz w:val="24"/>
          <w:highlight w:val="none"/>
        </w:rPr>
        <w:t>23.2.2 磋商响应文件</w:t>
      </w:r>
      <w:r>
        <w:rPr>
          <w:rFonts w:hint="eastAsia" w:ascii="仿宋" w:hAnsi="仿宋" w:eastAsia="仿宋" w:cs="仿宋"/>
          <w:b/>
          <w:color w:val="auto"/>
          <w:sz w:val="24"/>
          <w:highlight w:val="none"/>
          <w:lang w:val="en-US" w:eastAsia="zh-CN"/>
        </w:rPr>
        <w:t>符合性</w:t>
      </w:r>
      <w:r>
        <w:rPr>
          <w:rFonts w:hint="eastAsia" w:ascii="仿宋" w:hAnsi="仿宋" w:eastAsia="仿宋" w:cs="仿宋"/>
          <w:b/>
          <w:color w:val="auto"/>
          <w:sz w:val="24"/>
          <w:highlight w:val="none"/>
        </w:rPr>
        <w:t>审查：</w:t>
      </w:r>
      <w:r>
        <w:rPr>
          <w:rFonts w:hint="eastAsia" w:ascii="仿宋" w:hAnsi="仿宋" w:eastAsia="仿宋" w:cs="仿宋"/>
          <w:b w:val="0"/>
          <w:bCs/>
          <w:color w:val="auto"/>
          <w:sz w:val="24"/>
          <w:highlight w:val="none"/>
        </w:rPr>
        <w:t>磋商小组负</w:t>
      </w:r>
      <w:r>
        <w:rPr>
          <w:rFonts w:hint="eastAsia" w:ascii="仿宋" w:hAnsi="仿宋" w:eastAsia="仿宋" w:cs="仿宋"/>
          <w:color w:val="auto"/>
          <w:sz w:val="24"/>
          <w:highlight w:val="none"/>
        </w:rPr>
        <w:t>责对通过资格审查的响应文件的</w:t>
      </w:r>
      <w:r>
        <w:rPr>
          <w:rFonts w:hint="eastAsia" w:ascii="仿宋" w:hAnsi="仿宋" w:eastAsia="仿宋" w:cs="仿宋"/>
          <w:color w:val="auto"/>
          <w:sz w:val="24"/>
          <w:highlight w:val="none"/>
          <w:lang w:val="en-US" w:eastAsia="zh-CN"/>
        </w:rPr>
        <w:t>符合性</w:t>
      </w:r>
      <w:r>
        <w:rPr>
          <w:rFonts w:hint="eastAsia" w:ascii="仿宋" w:hAnsi="仿宋" w:eastAsia="仿宋" w:cs="仿宋"/>
          <w:color w:val="auto"/>
          <w:sz w:val="24"/>
          <w:highlight w:val="none"/>
        </w:rPr>
        <w:t>进行审查，以确定是否满足磋商</w:t>
      </w:r>
      <w:r>
        <w:rPr>
          <w:rFonts w:hint="eastAsia" w:ascii="仿宋" w:hAnsi="仿宋" w:eastAsia="仿宋" w:cs="仿宋"/>
          <w:b/>
          <w:bCs/>
          <w:color w:val="auto"/>
          <w:sz w:val="24"/>
          <w:highlight w:val="none"/>
        </w:rPr>
        <w:t>文件要求，</w:t>
      </w:r>
      <w:r>
        <w:rPr>
          <w:rFonts w:hint="eastAsia" w:ascii="仿宋" w:hAnsi="仿宋" w:eastAsia="仿宋" w:cs="仿宋"/>
          <w:b/>
          <w:bCs/>
          <w:color w:val="auto"/>
          <w:sz w:val="24"/>
          <w:highlight w:val="none"/>
          <w:lang w:val="en-US" w:eastAsia="zh-CN"/>
        </w:rPr>
        <w:t>详见</w:t>
      </w:r>
      <w:r>
        <w:rPr>
          <w:rFonts w:hint="eastAsia" w:ascii="仿宋" w:hAnsi="仿宋" w:eastAsia="仿宋" w:cs="仿宋"/>
          <w:b/>
          <w:bCs/>
          <w:color w:val="auto"/>
          <w:sz w:val="24"/>
          <w:szCs w:val="21"/>
          <w:highlight w:val="none"/>
          <w:lang w:val="en-US" w:eastAsia="zh-CN"/>
        </w:rPr>
        <w:t>“附表二 符合性审查表</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lang w:eastAsia="zh-CN"/>
        </w:rPr>
        <w:t>。</w:t>
      </w:r>
    </w:p>
    <w:p>
      <w:pPr>
        <w:tabs>
          <w:tab w:val="left" w:pos="360"/>
          <w:tab w:val="left" w:pos="588"/>
        </w:tabs>
        <w:spacing w:line="360" w:lineRule="auto"/>
        <w:outlineLvl w:val="9"/>
        <w:rPr>
          <w:rFonts w:hint="eastAsia" w:ascii="仿宋" w:hAnsi="仿宋" w:eastAsia="仿宋" w:cs="仿宋"/>
          <w:b/>
          <w:bCs/>
          <w:color w:val="auto"/>
          <w:sz w:val="24"/>
          <w:szCs w:val="21"/>
          <w:highlight w:val="none"/>
        </w:rPr>
      </w:pPr>
      <w:bookmarkStart w:id="335" w:name="_Toc58504512"/>
      <w:r>
        <w:rPr>
          <w:rFonts w:hint="eastAsia" w:ascii="仿宋" w:hAnsi="仿宋" w:eastAsia="仿宋" w:cs="仿宋"/>
          <w:b/>
          <w:bCs/>
          <w:color w:val="auto"/>
          <w:sz w:val="24"/>
          <w:szCs w:val="21"/>
          <w:highlight w:val="none"/>
        </w:rPr>
        <w:t>23.3   磋商</w:t>
      </w:r>
      <w:bookmarkEnd w:id="335"/>
    </w:p>
    <w:p>
      <w:pPr>
        <w:pStyle w:val="10"/>
        <w:spacing w:line="360" w:lineRule="auto"/>
        <w:ind w:left="840" w:hanging="840" w:hangingChars="350"/>
        <w:outlineLvl w:val="9"/>
        <w:rPr>
          <w:rFonts w:hint="eastAsia" w:ascii="仿宋" w:hAnsi="仿宋" w:eastAsia="仿宋" w:cs="仿宋"/>
          <w:color w:val="auto"/>
          <w:sz w:val="24"/>
          <w:highlight w:val="none"/>
        </w:rPr>
      </w:pPr>
      <w:bookmarkStart w:id="336" w:name="_Toc58504513"/>
      <w:r>
        <w:rPr>
          <w:rFonts w:hint="eastAsia" w:ascii="仿宋" w:hAnsi="仿宋" w:eastAsia="仿宋" w:cs="仿宋"/>
          <w:color w:val="auto"/>
          <w:sz w:val="24"/>
          <w:highlight w:val="none"/>
        </w:rPr>
        <w:t>23.3.1 磋商小组集中与各供应商分别进行磋商，并给所有参加磋商供应商平等的磋商机会。</w:t>
      </w:r>
      <w:bookmarkEnd w:id="336"/>
    </w:p>
    <w:p>
      <w:pPr>
        <w:pStyle w:val="10"/>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23.3.2 磋商小组在对响应文件的</w:t>
      </w:r>
      <w:r>
        <w:rPr>
          <w:rFonts w:hint="eastAsia" w:ascii="仿宋" w:hAnsi="仿宋" w:eastAsia="仿宋" w:cs="仿宋"/>
          <w:color w:val="auto"/>
          <w:sz w:val="24"/>
          <w:highlight w:val="none"/>
          <w:lang w:val="en-US" w:eastAsia="zh-CN"/>
        </w:rPr>
        <w:t>符合性</w:t>
      </w:r>
      <w:r>
        <w:rPr>
          <w:rFonts w:hint="eastAsia" w:ascii="仿宋" w:hAnsi="仿宋" w:eastAsia="仿宋" w:cs="仿宋"/>
          <w:color w:val="auto"/>
          <w:sz w:val="24"/>
          <w:highlight w:val="none"/>
        </w:rPr>
        <w:t>进行审核时，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10"/>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23.3.3 磋商过程中，磋商小组可以根据磋商文件和磋商情况实质性变动采购需求中的技术、服务要求以及合同草案条款，但不得变动磋商文件中的其他内容。实质性变动的内容，须经采购人代表确认，并成为磋商文件的有效组成部分。</w:t>
      </w:r>
    </w:p>
    <w:p>
      <w:pPr>
        <w:pStyle w:val="10"/>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23.3.4 如出现下述情形之一的，视为供应商主动退出磋商，其响应将被拒绝：</w:t>
      </w:r>
    </w:p>
    <w:p>
      <w:pPr>
        <w:pStyle w:val="10"/>
        <w:spacing w:line="360" w:lineRule="auto"/>
        <w:ind w:left="840" w:leftChars="4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（1）供应商未按要求确认磋商小组确定的本项目最终技术需求的；</w:t>
      </w:r>
    </w:p>
    <w:p>
      <w:pPr>
        <w:pStyle w:val="10"/>
        <w:spacing w:line="360" w:lineRule="auto"/>
        <w:ind w:left="840" w:leftChars="4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（2）最后报价未实质性响应磋商小组确定的本项目最终技术需求的，或附有采购人无法接受的条件的。</w:t>
      </w:r>
    </w:p>
    <w:p>
      <w:pPr>
        <w:pStyle w:val="10"/>
        <w:spacing w:line="360" w:lineRule="auto"/>
        <w:outlineLvl w:val="9"/>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23.4   最</w:t>
      </w:r>
      <w:r>
        <w:rPr>
          <w:rFonts w:hint="eastAsia" w:ascii="仿宋" w:hAnsi="仿宋" w:eastAsia="仿宋" w:cs="仿宋"/>
          <w:b/>
          <w:color w:val="auto"/>
          <w:sz w:val="24"/>
          <w:szCs w:val="21"/>
          <w:highlight w:val="none"/>
          <w:lang w:val="en-US" w:eastAsia="zh-CN"/>
        </w:rPr>
        <w:t>终</w:t>
      </w:r>
      <w:r>
        <w:rPr>
          <w:rFonts w:hint="eastAsia" w:ascii="仿宋" w:hAnsi="仿宋" w:eastAsia="仿宋" w:cs="仿宋"/>
          <w:b/>
          <w:color w:val="auto"/>
          <w:sz w:val="24"/>
          <w:szCs w:val="21"/>
          <w:highlight w:val="none"/>
        </w:rPr>
        <w:t>报价</w:t>
      </w:r>
    </w:p>
    <w:p>
      <w:pPr>
        <w:pStyle w:val="10"/>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23.4.1 磋商结束后，磋商小组要求所有实质性响应的供应商在规定时间内提交最</w:t>
      </w:r>
      <w:r>
        <w:rPr>
          <w:rFonts w:hint="eastAsia" w:ascii="仿宋" w:hAnsi="仿宋" w:eastAsia="仿宋" w:cs="仿宋"/>
          <w:color w:val="auto"/>
          <w:sz w:val="24"/>
          <w:highlight w:val="none"/>
          <w:lang w:val="en-US" w:eastAsia="zh-CN"/>
        </w:rPr>
        <w:t>终</w:t>
      </w:r>
      <w:r>
        <w:rPr>
          <w:rFonts w:hint="eastAsia" w:ascii="仿宋" w:hAnsi="仿宋" w:eastAsia="仿宋" w:cs="仿宋"/>
          <w:color w:val="auto"/>
          <w:sz w:val="24"/>
          <w:highlight w:val="none"/>
        </w:rPr>
        <w:t>报价，提交最</w:t>
      </w:r>
      <w:r>
        <w:rPr>
          <w:rFonts w:hint="eastAsia" w:ascii="仿宋" w:hAnsi="仿宋" w:eastAsia="仿宋" w:cs="仿宋"/>
          <w:color w:val="auto"/>
          <w:sz w:val="24"/>
          <w:highlight w:val="none"/>
          <w:lang w:val="en-US" w:eastAsia="zh-CN"/>
        </w:rPr>
        <w:t>终</w:t>
      </w:r>
      <w:r>
        <w:rPr>
          <w:rFonts w:hint="eastAsia" w:ascii="仿宋" w:hAnsi="仿宋" w:eastAsia="仿宋" w:cs="仿宋"/>
          <w:color w:val="auto"/>
          <w:sz w:val="24"/>
          <w:highlight w:val="none"/>
        </w:rPr>
        <w:t>报价的供应商不少于3家。最</w:t>
      </w:r>
      <w:r>
        <w:rPr>
          <w:rFonts w:hint="eastAsia" w:ascii="仿宋" w:hAnsi="仿宋" w:eastAsia="仿宋" w:cs="仿宋"/>
          <w:color w:val="auto"/>
          <w:sz w:val="24"/>
          <w:highlight w:val="none"/>
          <w:lang w:val="en-US" w:eastAsia="zh-CN"/>
        </w:rPr>
        <w:t>终</w:t>
      </w:r>
      <w:r>
        <w:rPr>
          <w:rFonts w:hint="eastAsia" w:ascii="仿宋" w:hAnsi="仿宋" w:eastAsia="仿宋" w:cs="仿宋"/>
          <w:color w:val="auto"/>
          <w:sz w:val="24"/>
          <w:highlight w:val="none"/>
        </w:rPr>
        <w:t>报价是供应商响应文件的有效组成部分。</w:t>
      </w:r>
    </w:p>
    <w:p>
      <w:pPr>
        <w:pStyle w:val="10"/>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23.4.2 最</w:t>
      </w:r>
      <w:r>
        <w:rPr>
          <w:rFonts w:hint="eastAsia" w:ascii="仿宋" w:hAnsi="仿宋" w:eastAsia="仿宋" w:cs="仿宋"/>
          <w:color w:val="auto"/>
          <w:sz w:val="24"/>
          <w:highlight w:val="none"/>
          <w:lang w:val="en-US" w:eastAsia="zh-CN"/>
        </w:rPr>
        <w:t>终</w:t>
      </w:r>
      <w:r>
        <w:rPr>
          <w:rFonts w:hint="eastAsia" w:ascii="仿宋" w:hAnsi="仿宋" w:eastAsia="仿宋" w:cs="仿宋"/>
          <w:color w:val="auto"/>
          <w:sz w:val="24"/>
          <w:highlight w:val="none"/>
        </w:rPr>
        <w:t>报价应按报价的格式内容填写，并且同时提交最</w:t>
      </w:r>
      <w:r>
        <w:rPr>
          <w:rFonts w:hint="eastAsia" w:ascii="仿宋" w:hAnsi="仿宋" w:eastAsia="仿宋" w:cs="仿宋"/>
          <w:color w:val="auto"/>
          <w:sz w:val="24"/>
          <w:highlight w:val="none"/>
          <w:lang w:val="en-US" w:eastAsia="zh-CN"/>
        </w:rPr>
        <w:t>终</w:t>
      </w:r>
      <w:r>
        <w:rPr>
          <w:rFonts w:hint="eastAsia" w:ascii="仿宋" w:hAnsi="仿宋" w:eastAsia="仿宋" w:cs="仿宋"/>
          <w:color w:val="auto"/>
          <w:sz w:val="24"/>
          <w:highlight w:val="none"/>
        </w:rPr>
        <w:t>响应报价表、最</w:t>
      </w:r>
      <w:r>
        <w:rPr>
          <w:rFonts w:hint="eastAsia" w:ascii="仿宋" w:hAnsi="仿宋" w:eastAsia="仿宋" w:cs="仿宋"/>
          <w:color w:val="auto"/>
          <w:sz w:val="24"/>
          <w:highlight w:val="none"/>
          <w:lang w:val="en-US" w:eastAsia="zh-CN"/>
        </w:rPr>
        <w:t>终</w:t>
      </w:r>
      <w:r>
        <w:rPr>
          <w:rFonts w:hint="eastAsia" w:ascii="仿宋" w:hAnsi="仿宋" w:eastAsia="仿宋" w:cs="仿宋"/>
          <w:color w:val="auto"/>
          <w:sz w:val="24"/>
          <w:highlight w:val="none"/>
        </w:rPr>
        <w:t>报价明细表、最</w:t>
      </w:r>
      <w:r>
        <w:rPr>
          <w:rFonts w:hint="eastAsia" w:ascii="仿宋" w:hAnsi="仿宋" w:eastAsia="仿宋" w:cs="仿宋"/>
          <w:color w:val="auto"/>
          <w:sz w:val="24"/>
          <w:highlight w:val="none"/>
          <w:lang w:val="en-US" w:eastAsia="zh-CN"/>
        </w:rPr>
        <w:t>终</w:t>
      </w:r>
      <w:r>
        <w:rPr>
          <w:rFonts w:hint="eastAsia" w:ascii="仿宋" w:hAnsi="仿宋" w:eastAsia="仿宋" w:cs="仿宋"/>
          <w:color w:val="auto"/>
          <w:sz w:val="24"/>
          <w:highlight w:val="none"/>
        </w:rPr>
        <w:t>节能环保、环境标志产品明细表等内容。各供应商在提交响应文件时，应对最</w:t>
      </w:r>
      <w:r>
        <w:rPr>
          <w:rFonts w:hint="eastAsia" w:ascii="仿宋" w:hAnsi="仿宋" w:eastAsia="仿宋" w:cs="仿宋"/>
          <w:color w:val="auto"/>
          <w:sz w:val="24"/>
          <w:highlight w:val="none"/>
          <w:lang w:val="en-US" w:eastAsia="zh-CN"/>
        </w:rPr>
        <w:t>终</w:t>
      </w:r>
      <w:r>
        <w:rPr>
          <w:rFonts w:hint="eastAsia" w:ascii="仿宋" w:hAnsi="仿宋" w:eastAsia="仿宋" w:cs="仿宋"/>
          <w:color w:val="auto"/>
          <w:sz w:val="24"/>
          <w:highlight w:val="none"/>
        </w:rPr>
        <w:t>报价加盖供应商</w:t>
      </w:r>
      <w:r>
        <w:rPr>
          <w:rFonts w:hint="eastAsia" w:ascii="仿宋" w:hAnsi="仿宋" w:eastAsia="仿宋" w:cs="仿宋"/>
          <w:color w:val="auto"/>
          <w:sz w:val="24"/>
          <w:highlight w:val="none"/>
          <w:lang w:val="en-US" w:eastAsia="zh-CN"/>
        </w:rPr>
        <w:t>原色印</w:t>
      </w:r>
      <w:r>
        <w:rPr>
          <w:rFonts w:hint="eastAsia" w:ascii="仿宋" w:hAnsi="仿宋" w:eastAsia="仿宋" w:cs="仿宋"/>
          <w:color w:val="auto"/>
          <w:sz w:val="24"/>
          <w:highlight w:val="none"/>
        </w:rPr>
        <w:t>章，且由法定代表人（或授权代表人）签字。</w:t>
      </w:r>
    </w:p>
    <w:p>
      <w:pPr>
        <w:tabs>
          <w:tab w:val="left" w:pos="588"/>
        </w:tabs>
        <w:spacing w:line="360" w:lineRule="auto"/>
        <w:outlineLvl w:val="9"/>
        <w:rPr>
          <w:rFonts w:hint="eastAsia" w:ascii="仿宋" w:hAnsi="仿宋" w:eastAsia="仿宋" w:cs="仿宋"/>
          <w:b/>
          <w:bCs/>
          <w:color w:val="auto"/>
          <w:sz w:val="24"/>
          <w:szCs w:val="21"/>
          <w:highlight w:val="none"/>
        </w:rPr>
      </w:pPr>
      <w:bookmarkStart w:id="337" w:name="_Toc150480784"/>
      <w:bookmarkStart w:id="338" w:name="_Toc127161460"/>
      <w:bookmarkStart w:id="339" w:name="_Toc127151747"/>
      <w:bookmarkStart w:id="340" w:name="_Toc142311048"/>
      <w:bookmarkStart w:id="341" w:name="_Toc164229241"/>
      <w:bookmarkStart w:id="342" w:name="_Toc151193934"/>
      <w:bookmarkStart w:id="343" w:name="_Toc151193644"/>
      <w:bookmarkStart w:id="344" w:name="_Toc164229387"/>
      <w:bookmarkStart w:id="345" w:name="_Toc127151546"/>
      <w:bookmarkStart w:id="346" w:name="_Toc249515422"/>
      <w:bookmarkStart w:id="347" w:name="_Toc13753"/>
      <w:bookmarkStart w:id="348" w:name="_Toc150774646"/>
      <w:bookmarkStart w:id="349" w:name="_Toc164608660"/>
      <w:bookmarkStart w:id="350" w:name="_Toc150509297"/>
      <w:bookmarkStart w:id="351" w:name="_Toc195842911"/>
      <w:bookmarkStart w:id="352" w:name="_Toc520356170"/>
      <w:bookmarkStart w:id="353" w:name="_Toc164351640"/>
      <w:bookmarkStart w:id="354" w:name="_Toc151190173"/>
      <w:bookmarkStart w:id="355" w:name="_Toc151193788"/>
      <w:bookmarkStart w:id="356" w:name="_Toc164608815"/>
      <w:bookmarkStart w:id="357" w:name="_Toc151193716"/>
      <w:bookmarkStart w:id="358" w:name="_Ref467307010"/>
      <w:bookmarkStart w:id="359" w:name="_Toc249525191"/>
      <w:bookmarkStart w:id="360" w:name="_Toc149720839"/>
      <w:bookmarkStart w:id="361" w:name="_Toc151193860"/>
      <w:bookmarkStart w:id="362" w:name="_Toc150774751"/>
      <w:bookmarkStart w:id="363" w:name="_Toc249515310"/>
      <w:r>
        <w:rPr>
          <w:rFonts w:hint="eastAsia" w:ascii="仿宋" w:hAnsi="仿宋" w:eastAsia="仿宋" w:cs="仿宋"/>
          <w:b/>
          <w:bCs/>
          <w:color w:val="auto"/>
          <w:sz w:val="24"/>
          <w:szCs w:val="21"/>
          <w:highlight w:val="none"/>
        </w:rPr>
        <w:t>24.    评审办法</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Pr>
          <w:rFonts w:hint="eastAsia" w:ascii="仿宋" w:hAnsi="仿宋" w:eastAsia="仿宋" w:cs="仿宋"/>
          <w:b/>
          <w:bCs/>
          <w:color w:val="auto"/>
          <w:sz w:val="24"/>
          <w:szCs w:val="21"/>
          <w:highlight w:val="none"/>
        </w:rPr>
        <w:t>详见</w:t>
      </w:r>
      <w:r>
        <w:rPr>
          <w:rFonts w:hint="eastAsia" w:ascii="仿宋" w:hAnsi="仿宋" w:eastAsia="仿宋" w:cs="仿宋"/>
          <w:b/>
          <w:bCs/>
          <w:color w:val="auto"/>
          <w:sz w:val="24"/>
          <w:szCs w:val="21"/>
          <w:highlight w:val="none"/>
          <w:lang w:eastAsia="zh-CN"/>
        </w:rPr>
        <w:t>“</w:t>
      </w:r>
      <w:r>
        <w:rPr>
          <w:rFonts w:hint="eastAsia" w:ascii="仿宋" w:hAnsi="仿宋" w:eastAsia="仿宋" w:cs="仿宋"/>
          <w:b/>
          <w:bCs/>
          <w:color w:val="auto"/>
          <w:sz w:val="24"/>
          <w:szCs w:val="21"/>
          <w:highlight w:val="none"/>
        </w:rPr>
        <w:t>第三章</w:t>
      </w:r>
      <w:r>
        <w:rPr>
          <w:rFonts w:hint="eastAsia" w:ascii="仿宋" w:hAnsi="仿宋" w:eastAsia="仿宋" w:cs="仿宋"/>
          <w:b/>
          <w:bCs/>
          <w:color w:val="auto"/>
          <w:sz w:val="24"/>
          <w:szCs w:val="21"/>
          <w:highlight w:val="none"/>
          <w:lang w:val="en-US" w:eastAsia="zh-CN"/>
        </w:rPr>
        <w:t xml:space="preserve">  评审办法和标准</w:t>
      </w:r>
      <w:r>
        <w:rPr>
          <w:rFonts w:hint="eastAsia" w:ascii="仿宋" w:hAnsi="仿宋" w:eastAsia="仿宋" w:cs="仿宋"/>
          <w:b/>
          <w:bCs/>
          <w:color w:val="auto"/>
          <w:sz w:val="24"/>
          <w:szCs w:val="21"/>
          <w:highlight w:val="none"/>
          <w:lang w:eastAsia="zh-CN"/>
        </w:rPr>
        <w:t>”</w:t>
      </w:r>
      <w:r>
        <w:rPr>
          <w:rFonts w:hint="eastAsia" w:ascii="仿宋" w:hAnsi="仿宋" w:eastAsia="仿宋" w:cs="仿宋"/>
          <w:b/>
          <w:bCs/>
          <w:color w:val="auto"/>
          <w:sz w:val="24"/>
          <w:szCs w:val="21"/>
          <w:highlight w:val="none"/>
        </w:rPr>
        <w:t>。</w:t>
      </w:r>
    </w:p>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34"/>
    <w:p>
      <w:pPr>
        <w:pStyle w:val="38"/>
        <w:spacing w:before="24" w:after="24" w:line="360" w:lineRule="auto"/>
        <w:jc w:val="center"/>
        <w:outlineLvl w:val="9"/>
        <w:rPr>
          <w:rFonts w:hint="eastAsia" w:ascii="仿宋" w:hAnsi="仿宋" w:eastAsia="仿宋" w:cs="仿宋"/>
          <w:color w:val="auto"/>
          <w:sz w:val="30"/>
          <w:szCs w:val="30"/>
          <w:highlight w:val="none"/>
        </w:rPr>
      </w:pPr>
      <w:bookmarkStart w:id="364" w:name="_Hlt491765714"/>
      <w:bookmarkEnd w:id="364"/>
      <w:bookmarkStart w:id="365" w:name="_Hlt497729446"/>
      <w:bookmarkEnd w:id="365"/>
      <w:bookmarkStart w:id="366" w:name="_Toc249515311"/>
      <w:bookmarkStart w:id="367" w:name="_Toc249525192"/>
      <w:bookmarkStart w:id="368" w:name="_Toc232395218"/>
      <w:bookmarkStart w:id="369" w:name="_Toc249515423"/>
      <w:bookmarkStart w:id="370" w:name="_Toc232176278"/>
      <w:bookmarkStart w:id="371" w:name="_Toc256342149"/>
      <w:bookmarkStart w:id="372" w:name="_Toc68590974"/>
      <w:bookmarkStart w:id="373" w:name="_Toc177189241"/>
      <w:bookmarkStart w:id="374" w:name="_Toc176882548"/>
      <w:bookmarkStart w:id="375" w:name="_Toc389620199"/>
      <w:bookmarkStart w:id="376" w:name="_Toc177817340"/>
      <w:bookmarkStart w:id="377" w:name="_Toc385992360"/>
      <w:bookmarkStart w:id="378" w:name="_Toc499711890"/>
      <w:bookmarkStart w:id="379" w:name="_Toc184043047"/>
      <w:bookmarkStart w:id="380" w:name="_Toc500747068"/>
      <w:bookmarkStart w:id="381" w:name="_Toc53722846"/>
      <w:bookmarkStart w:id="382" w:name="_Toc500746972"/>
      <w:bookmarkStart w:id="383" w:name="_Toc492955421"/>
      <w:bookmarkStart w:id="384" w:name="_Toc503063428"/>
      <w:bookmarkStart w:id="385" w:name="_Toc499711049"/>
      <w:bookmarkStart w:id="386" w:name="_Toc70687174"/>
      <w:bookmarkStart w:id="387" w:name="_Toc500747195"/>
      <w:bookmarkStart w:id="388" w:name="_Toc177995479"/>
      <w:bookmarkStart w:id="389" w:name="_Toc496324585"/>
      <w:r>
        <w:rPr>
          <w:rFonts w:hint="eastAsia" w:ascii="仿宋" w:hAnsi="仿宋" w:eastAsia="仿宋" w:cs="仿宋"/>
          <w:color w:val="auto"/>
          <w:sz w:val="30"/>
          <w:szCs w:val="30"/>
          <w:highlight w:val="none"/>
        </w:rPr>
        <w:t>六、确定成交单位、授予合同</w:t>
      </w:r>
      <w:bookmarkEnd w:id="366"/>
      <w:bookmarkEnd w:id="367"/>
      <w:bookmarkEnd w:id="368"/>
      <w:bookmarkEnd w:id="369"/>
      <w:bookmarkEnd w:id="370"/>
      <w:bookmarkEnd w:id="371"/>
      <w:bookmarkEnd w:id="372"/>
    </w:p>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Pr>
        <w:numPr>
          <w:ilvl w:val="0"/>
          <w:numId w:val="5"/>
        </w:numPr>
        <w:tabs>
          <w:tab w:val="left" w:pos="588"/>
        </w:tabs>
        <w:spacing w:line="360" w:lineRule="auto"/>
        <w:outlineLvl w:val="9"/>
        <w:rPr>
          <w:rFonts w:hint="eastAsia" w:ascii="仿宋" w:hAnsi="仿宋" w:eastAsia="仿宋" w:cs="仿宋"/>
          <w:b/>
          <w:bCs/>
          <w:color w:val="auto"/>
          <w:sz w:val="24"/>
          <w:szCs w:val="21"/>
          <w:highlight w:val="none"/>
        </w:rPr>
      </w:pPr>
      <w:bookmarkStart w:id="390" w:name="_Toc249515312"/>
      <w:bookmarkStart w:id="391" w:name="_Toc249515424"/>
      <w:bookmarkStart w:id="392" w:name="_Toc184043048"/>
      <w:bookmarkStart w:id="393" w:name="_Toc385992361"/>
      <w:bookmarkStart w:id="394" w:name="_Toc389620200"/>
      <w:bookmarkStart w:id="395" w:name="_Toc70687175"/>
      <w:bookmarkStart w:id="396" w:name="_Toc249525193"/>
      <w:bookmarkStart w:id="397" w:name="_Toc27151"/>
      <w:r>
        <w:rPr>
          <w:rFonts w:hint="eastAsia" w:ascii="仿宋" w:hAnsi="仿宋" w:eastAsia="仿宋" w:cs="仿宋"/>
          <w:b/>
          <w:bCs/>
          <w:color w:val="auto"/>
          <w:sz w:val="24"/>
          <w:szCs w:val="21"/>
          <w:highlight w:val="none"/>
        </w:rPr>
        <w:t xml:space="preserve">   确定成交</w:t>
      </w:r>
      <w:bookmarkEnd w:id="390"/>
      <w:bookmarkEnd w:id="391"/>
      <w:bookmarkEnd w:id="392"/>
      <w:bookmarkEnd w:id="393"/>
      <w:bookmarkEnd w:id="394"/>
      <w:bookmarkEnd w:id="395"/>
      <w:bookmarkEnd w:id="396"/>
      <w:bookmarkEnd w:id="397"/>
      <w:r>
        <w:rPr>
          <w:rFonts w:hint="eastAsia" w:ascii="仿宋" w:hAnsi="仿宋" w:eastAsia="仿宋" w:cs="仿宋"/>
          <w:b/>
          <w:bCs/>
          <w:color w:val="auto"/>
          <w:sz w:val="24"/>
          <w:szCs w:val="21"/>
          <w:highlight w:val="none"/>
        </w:rPr>
        <w:t>单位</w:t>
      </w:r>
    </w:p>
    <w:p>
      <w:pPr>
        <w:tabs>
          <w:tab w:val="left" w:pos="588"/>
        </w:tabs>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25.1   采购代理机构应在评审结束后两个工作日内，将评审报告送采购人。</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25.2   采购人在收到评审报告后五个工作日内，根据评审报告对评审过程及结果进行严格审核后确定成交供应商，</w:t>
      </w:r>
      <w:r>
        <w:rPr>
          <w:rFonts w:hint="eastAsia" w:ascii="仿宋" w:hAnsi="仿宋" w:eastAsia="仿宋" w:cs="仿宋"/>
          <w:color w:val="auto"/>
          <w:sz w:val="24"/>
          <w:highlight w:val="none"/>
          <w:lang w:val="en-US" w:eastAsia="zh-CN"/>
        </w:rPr>
        <w:t>以</w:t>
      </w:r>
      <w:r>
        <w:rPr>
          <w:rFonts w:hint="eastAsia" w:ascii="仿宋" w:hAnsi="仿宋" w:eastAsia="仿宋" w:cs="仿宋"/>
          <w:color w:val="auto"/>
          <w:sz w:val="24"/>
          <w:highlight w:val="none"/>
        </w:rPr>
        <w:t>复函</w:t>
      </w:r>
      <w:r>
        <w:rPr>
          <w:rFonts w:hint="eastAsia" w:ascii="仿宋" w:hAnsi="仿宋" w:eastAsia="仿宋" w:cs="仿宋"/>
          <w:color w:val="auto"/>
          <w:sz w:val="24"/>
          <w:highlight w:val="none"/>
          <w:lang w:val="en-US" w:eastAsia="zh-CN"/>
        </w:rPr>
        <w:t>的形式通知</w:t>
      </w:r>
      <w:r>
        <w:rPr>
          <w:rFonts w:hint="eastAsia" w:ascii="仿宋" w:hAnsi="仿宋" w:eastAsia="仿宋" w:cs="仿宋"/>
          <w:color w:val="auto"/>
          <w:sz w:val="24"/>
          <w:highlight w:val="none"/>
        </w:rPr>
        <w:t>采购代理机构。</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25.3   采购代理机构在接到采购人的</w:t>
      </w:r>
      <w:r>
        <w:rPr>
          <w:rFonts w:hint="eastAsia" w:ascii="仿宋" w:hAnsi="仿宋" w:eastAsia="仿宋" w:cs="仿宋"/>
          <w:color w:val="auto"/>
          <w:sz w:val="24"/>
          <w:highlight w:val="none"/>
          <w:lang w:val="en-US" w:eastAsia="zh-CN"/>
        </w:rPr>
        <w:t>定标</w:t>
      </w:r>
      <w:r>
        <w:rPr>
          <w:rFonts w:hint="eastAsia" w:ascii="仿宋" w:hAnsi="仿宋" w:eastAsia="仿宋" w:cs="仿宋"/>
          <w:color w:val="auto"/>
          <w:sz w:val="24"/>
          <w:highlight w:val="none"/>
        </w:rPr>
        <w:t>复函后，在财政部门指定的政府采购信息发布媒体上公告，公告期限为一个工作日，并向成交供应商发出成交通知书。成交通知书是合同文件的组成部分。</w:t>
      </w:r>
    </w:p>
    <w:p>
      <w:pPr>
        <w:tabs>
          <w:tab w:val="left" w:pos="588"/>
        </w:tabs>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25.4   采购代理机构将评审过程及成交供应商情况书面报监督机构备案。</w:t>
      </w:r>
      <w:bookmarkStart w:id="398" w:name="_Toc389620203"/>
      <w:bookmarkStart w:id="399" w:name="_Toc385992364"/>
    </w:p>
    <w:bookmarkEnd w:id="398"/>
    <w:bookmarkEnd w:id="399"/>
    <w:p>
      <w:pPr>
        <w:tabs>
          <w:tab w:val="left" w:pos="588"/>
        </w:tabs>
        <w:spacing w:line="360" w:lineRule="auto"/>
        <w:outlineLvl w:val="9"/>
        <w:rPr>
          <w:rFonts w:hint="eastAsia" w:ascii="仿宋" w:hAnsi="仿宋" w:eastAsia="仿宋" w:cs="仿宋"/>
          <w:b/>
          <w:bCs/>
          <w:color w:val="auto"/>
          <w:sz w:val="24"/>
          <w:szCs w:val="21"/>
          <w:highlight w:val="none"/>
        </w:rPr>
      </w:pPr>
      <w:bookmarkStart w:id="400" w:name="_Toc389620204"/>
      <w:bookmarkStart w:id="401" w:name="_Toc385992365"/>
      <w:r>
        <w:rPr>
          <w:rFonts w:hint="eastAsia" w:ascii="仿宋" w:hAnsi="仿宋" w:eastAsia="仿宋" w:cs="仿宋"/>
          <w:b/>
          <w:bCs/>
          <w:color w:val="auto"/>
          <w:sz w:val="24"/>
          <w:szCs w:val="21"/>
          <w:highlight w:val="none"/>
        </w:rPr>
        <w:t>26.    合同</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26.1   自成</w:t>
      </w:r>
      <w:r>
        <w:rPr>
          <w:rFonts w:hint="eastAsia" w:ascii="仿宋" w:hAnsi="仿宋" w:eastAsia="仿宋" w:cs="仿宋"/>
          <w:color w:val="auto"/>
          <w:sz w:val="24"/>
          <w:highlight w:val="none"/>
          <w:lang w:val="en-US" w:eastAsia="zh-CN"/>
        </w:rPr>
        <w:t>中标（成交）结果公告</w:t>
      </w:r>
      <w:r>
        <w:rPr>
          <w:rFonts w:hint="eastAsia" w:ascii="仿宋" w:hAnsi="仿宋" w:eastAsia="仿宋" w:cs="仿宋"/>
          <w:color w:val="auto"/>
          <w:sz w:val="24"/>
          <w:highlight w:val="none"/>
        </w:rPr>
        <w:t>发出</w:t>
      </w:r>
      <w:r>
        <w:rPr>
          <w:rFonts w:hint="eastAsia" w:ascii="仿宋" w:hAnsi="仿宋" w:eastAsia="仿宋" w:cs="仿宋"/>
          <w:color w:val="auto"/>
          <w:sz w:val="24"/>
          <w:highlight w:val="none"/>
          <w:lang w:val="en-US" w:eastAsia="zh-CN"/>
        </w:rPr>
        <w:t>之日起10日历天</w:t>
      </w:r>
      <w:r>
        <w:rPr>
          <w:rFonts w:hint="eastAsia" w:ascii="仿宋" w:hAnsi="仿宋" w:eastAsia="仿宋" w:cs="仿宋"/>
          <w:color w:val="auto"/>
          <w:sz w:val="24"/>
          <w:highlight w:val="none"/>
        </w:rPr>
        <w:t>内，按照磋商文件和成交供应商响应文件的约定，采购人与成交供应商洽谈合同条款，并签订合同。磋商文件及成交供应商的响应文件均作为合同的组成部分。</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26.2   确定成交单位后，成交供应商因自身原因未按程序签订合同，采购人将取消其成交资格，同时报请监督机构备案。在此情况下，采购人可按评审结果顺序将合同授予下一成交候选人或重新采购。</w:t>
      </w:r>
    </w:p>
    <w:p>
      <w:pPr>
        <w:tabs>
          <w:tab w:val="left" w:pos="588"/>
        </w:tabs>
        <w:spacing w:line="360" w:lineRule="auto"/>
        <w:ind w:left="840" w:hanging="840" w:hangingChars="350"/>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26.3   采购人应当自政府采购合同签订之日起2个工作日内，将政府采购合同在省级以上人民政府财政部门指定的媒体上公告，但政府采购合同中涉及国家秘密、商业秘密的内容除外</w:t>
      </w:r>
      <w:r>
        <w:rPr>
          <w:rFonts w:hint="eastAsia" w:ascii="仿宋" w:hAnsi="仿宋" w:eastAsia="仿宋" w:cs="仿宋"/>
          <w:color w:val="auto"/>
          <w:sz w:val="24"/>
          <w:highlight w:val="none"/>
          <w:lang w:eastAsia="zh-CN"/>
        </w:rPr>
        <w:t>。</w:t>
      </w:r>
      <w:r>
        <w:rPr>
          <w:rFonts w:hint="eastAsia" w:ascii="仿宋" w:hAnsi="仿宋" w:eastAsia="仿宋" w:cs="仿宋"/>
          <w:color w:val="auto"/>
          <w:sz w:val="24"/>
          <w:szCs w:val="24"/>
          <w:highlight w:val="none"/>
          <w:lang w:val="en-US" w:eastAsia="zh-CN"/>
        </w:rPr>
        <w:t>同时将</w:t>
      </w:r>
      <w:r>
        <w:rPr>
          <w:rFonts w:hint="eastAsia" w:ascii="仿宋" w:hAnsi="仿宋" w:eastAsia="仿宋" w:cs="仿宋"/>
          <w:color w:val="auto"/>
          <w:sz w:val="24"/>
          <w:szCs w:val="24"/>
          <w:highlight w:val="none"/>
        </w:rPr>
        <w:t>合同副本报同级人民政府财政部门备案</w:t>
      </w:r>
      <w:r>
        <w:rPr>
          <w:rFonts w:hint="eastAsia" w:ascii="仿宋" w:hAnsi="仿宋" w:eastAsia="仿宋" w:cs="仿宋"/>
          <w:color w:val="auto"/>
          <w:sz w:val="24"/>
          <w:highlight w:val="none"/>
        </w:rPr>
        <w:t>。</w:t>
      </w:r>
    </w:p>
    <w:p>
      <w:pPr>
        <w:tabs>
          <w:tab w:val="left" w:pos="588"/>
        </w:tabs>
        <w:spacing w:line="360" w:lineRule="auto"/>
        <w:outlineLvl w:val="9"/>
        <w:rPr>
          <w:rFonts w:hint="eastAsia"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rPr>
        <w:t>27.    询问与质疑 </w:t>
      </w:r>
    </w:p>
    <w:p>
      <w:pPr>
        <w:tabs>
          <w:tab w:val="left" w:pos="588"/>
        </w:tabs>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27.1   供应商对政府采购活动事项有疑问的，可以向采购人提出询问。</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27.2   供应商认为采购文件、采购过程和中标、成交结果使自己的权益受到损害的，可以在知道或者应知其权益受到损害之日起七个工作日内，以书面形式向采购人提出质疑。</w:t>
      </w:r>
    </w:p>
    <w:p>
      <w:pPr>
        <w:tabs>
          <w:tab w:val="left" w:pos="588"/>
        </w:tabs>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27.3   质疑供应商在法定质疑期内须一次性提出针对同一采购程序环节的质疑。</w:t>
      </w:r>
    </w:p>
    <w:p>
      <w:pPr>
        <w:tabs>
          <w:tab w:val="left" w:pos="588"/>
        </w:tabs>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27.4   供应商提出质疑应当提交质疑函和必要的证明材料。质疑函应当包括下列内容：</w:t>
      </w:r>
    </w:p>
    <w:p>
      <w:pPr>
        <w:pStyle w:val="41"/>
        <w:numPr>
          <w:ilvl w:val="0"/>
          <w:numId w:val="6"/>
        </w:numPr>
        <w:tabs>
          <w:tab w:val="left" w:pos="0"/>
        </w:tabs>
        <w:spacing w:line="360" w:lineRule="auto"/>
        <w:ind w:left="846" w:hanging="6" w:firstLineChars="0"/>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供应商的姓名或者名称、地址、邮编、联系人及联系电话；</w:t>
      </w:r>
    </w:p>
    <w:p>
      <w:pPr>
        <w:pStyle w:val="41"/>
        <w:numPr>
          <w:ilvl w:val="0"/>
          <w:numId w:val="6"/>
        </w:numPr>
        <w:tabs>
          <w:tab w:val="left" w:pos="588"/>
        </w:tabs>
        <w:spacing w:line="360" w:lineRule="auto"/>
        <w:ind w:left="846" w:hanging="6" w:firstLineChars="0"/>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质疑项目的名称、编号；</w:t>
      </w:r>
    </w:p>
    <w:p>
      <w:pPr>
        <w:pStyle w:val="41"/>
        <w:numPr>
          <w:ilvl w:val="0"/>
          <w:numId w:val="6"/>
        </w:numPr>
        <w:tabs>
          <w:tab w:val="left" w:pos="588"/>
        </w:tabs>
        <w:spacing w:line="360" w:lineRule="auto"/>
        <w:ind w:left="846" w:hanging="6" w:firstLineChars="0"/>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具体、明确的质疑事项和与质疑事项相关的请求；</w:t>
      </w:r>
    </w:p>
    <w:p>
      <w:pPr>
        <w:pStyle w:val="41"/>
        <w:numPr>
          <w:ilvl w:val="0"/>
          <w:numId w:val="6"/>
        </w:numPr>
        <w:tabs>
          <w:tab w:val="left" w:pos="588"/>
        </w:tabs>
        <w:spacing w:line="360" w:lineRule="auto"/>
        <w:ind w:left="846" w:hanging="6" w:firstLineChars="0"/>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p>
    <w:p>
      <w:pPr>
        <w:pStyle w:val="41"/>
        <w:numPr>
          <w:ilvl w:val="0"/>
          <w:numId w:val="6"/>
        </w:numPr>
        <w:tabs>
          <w:tab w:val="left" w:pos="588"/>
        </w:tabs>
        <w:spacing w:line="360" w:lineRule="auto"/>
        <w:ind w:left="846" w:hanging="6" w:firstLineChars="0"/>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必要的法律依据；</w:t>
      </w:r>
    </w:p>
    <w:p>
      <w:pPr>
        <w:pStyle w:val="41"/>
        <w:numPr>
          <w:ilvl w:val="0"/>
          <w:numId w:val="6"/>
        </w:numPr>
        <w:tabs>
          <w:tab w:val="left" w:pos="588"/>
        </w:tabs>
        <w:spacing w:line="360" w:lineRule="auto"/>
        <w:ind w:left="846" w:hanging="6" w:firstLineChars="0"/>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提出质疑的日期。</w:t>
      </w:r>
    </w:p>
    <w:p>
      <w:pPr>
        <w:pStyle w:val="41"/>
        <w:tabs>
          <w:tab w:val="left" w:pos="588"/>
        </w:tabs>
        <w:spacing w:line="360" w:lineRule="auto"/>
        <w:ind w:left="838" w:leftChars="399" w:firstLine="0" w:firstLineChars="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供应商为自然人的，应当由本人签字；供应商为法人或者其他组织的，应当由法定代表人或负责人签字或盖章，同时其授权代表签字，并加盖公章。</w:t>
      </w:r>
    </w:p>
    <w:p>
      <w:pPr>
        <w:tabs>
          <w:tab w:val="left" w:pos="588"/>
        </w:tabs>
        <w:spacing w:line="360" w:lineRule="auto"/>
        <w:ind w:left="960" w:hanging="960" w:hangingChars="4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27.5   符合要求的质疑，采购代理机构将予以受理并答复。</w:t>
      </w:r>
    </w:p>
    <w:p>
      <w:pPr>
        <w:tabs>
          <w:tab w:val="left" w:pos="588"/>
        </w:tabs>
        <w:spacing w:line="360" w:lineRule="auto"/>
        <w:ind w:left="840" w:leftChars="400"/>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val="en-US" w:eastAsia="zh-CN"/>
        </w:rPr>
        <w:t xml:space="preserve">拓建伟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lang w:val="en-US" w:eastAsia="zh-CN"/>
        </w:rPr>
        <w:t>15389121603</w:t>
      </w:r>
    </w:p>
    <w:p>
      <w:pPr>
        <w:tabs>
          <w:tab w:val="left" w:pos="588"/>
        </w:tabs>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27.6   供应商进行虚假和恶意质疑的，采购代理机构将提供相关资料报监督机构，按其情况进行相应处理。</w:t>
      </w:r>
    </w:p>
    <w:bookmarkEnd w:id="400"/>
    <w:bookmarkEnd w:id="401"/>
    <w:p>
      <w:pPr>
        <w:tabs>
          <w:tab w:val="left" w:pos="588"/>
        </w:tabs>
        <w:spacing w:line="360" w:lineRule="auto"/>
        <w:outlineLvl w:val="9"/>
        <w:rPr>
          <w:rFonts w:hint="eastAsia" w:ascii="仿宋" w:hAnsi="仿宋" w:eastAsia="仿宋" w:cs="仿宋"/>
          <w:b/>
          <w:bCs/>
          <w:color w:val="auto"/>
          <w:sz w:val="24"/>
          <w:szCs w:val="21"/>
          <w:highlight w:val="none"/>
        </w:rPr>
      </w:pPr>
      <w:bookmarkStart w:id="402" w:name="_Toc25547"/>
      <w:r>
        <w:rPr>
          <w:rFonts w:hint="eastAsia" w:ascii="仿宋" w:hAnsi="仿宋" w:eastAsia="仿宋" w:cs="仿宋"/>
          <w:b/>
          <w:bCs/>
          <w:color w:val="auto"/>
          <w:sz w:val="24"/>
          <w:szCs w:val="21"/>
          <w:highlight w:val="none"/>
        </w:rPr>
        <w:t>28.    履约保证金</w:t>
      </w:r>
    </w:p>
    <w:p>
      <w:pPr>
        <w:tabs>
          <w:tab w:val="left" w:pos="588"/>
        </w:tabs>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28.1   履约保证金金额见</w:t>
      </w:r>
      <w:r>
        <w:rPr>
          <w:rFonts w:hint="eastAsia" w:ascii="仿宋" w:hAnsi="仿宋" w:eastAsia="仿宋" w:cs="仿宋"/>
          <w:b/>
          <w:color w:val="auto"/>
          <w:sz w:val="24"/>
          <w:highlight w:val="none"/>
        </w:rPr>
        <w:t>供应商须知前附表</w:t>
      </w:r>
      <w:r>
        <w:rPr>
          <w:rFonts w:hint="eastAsia" w:ascii="仿宋" w:hAnsi="仿宋" w:eastAsia="仿宋" w:cs="仿宋"/>
          <w:color w:val="auto"/>
          <w:sz w:val="24"/>
          <w:highlight w:val="none"/>
        </w:rPr>
        <w:t>。</w:t>
      </w:r>
    </w:p>
    <w:p>
      <w:pPr>
        <w:tabs>
          <w:tab w:val="left" w:pos="588"/>
        </w:tabs>
        <w:spacing w:line="360" w:lineRule="auto"/>
        <w:outlineLvl w:val="9"/>
        <w:rPr>
          <w:rFonts w:hint="eastAsia"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rPr>
        <w:t xml:space="preserve">29.    </w:t>
      </w:r>
      <w:r>
        <w:rPr>
          <w:rFonts w:hint="eastAsia" w:ascii="仿宋" w:hAnsi="仿宋" w:eastAsia="仿宋" w:cs="仿宋"/>
          <w:b/>
          <w:bCs/>
          <w:color w:val="auto"/>
          <w:sz w:val="24"/>
          <w:szCs w:val="21"/>
          <w:highlight w:val="none"/>
          <w:lang w:val="en-US" w:eastAsia="zh-CN"/>
        </w:rPr>
        <w:t>代理</w:t>
      </w:r>
      <w:r>
        <w:rPr>
          <w:rFonts w:hint="eastAsia" w:ascii="仿宋" w:hAnsi="仿宋" w:eastAsia="仿宋" w:cs="仿宋"/>
          <w:b/>
          <w:bCs/>
          <w:color w:val="auto"/>
          <w:sz w:val="24"/>
          <w:szCs w:val="21"/>
          <w:highlight w:val="none"/>
        </w:rPr>
        <w:t>服务费</w:t>
      </w:r>
      <w:bookmarkEnd w:id="402"/>
    </w:p>
    <w:p>
      <w:pPr>
        <w:tabs>
          <w:tab w:val="left" w:pos="588"/>
        </w:tabs>
        <w:spacing w:line="360" w:lineRule="auto"/>
        <w:ind w:left="840" w:hanging="840" w:hangingChars="350"/>
        <w:outlineLvl w:val="9"/>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 xml:space="preserve">29.1   </w:t>
      </w:r>
      <w:r>
        <w:rPr>
          <w:rFonts w:hint="eastAsia" w:ascii="仿宋" w:hAnsi="仿宋" w:eastAsia="仿宋" w:cs="仿宋"/>
          <w:color w:val="auto"/>
          <w:sz w:val="24"/>
          <w:highlight w:val="none"/>
          <w:lang w:val="en-US" w:eastAsia="zh-CN"/>
        </w:rPr>
        <w:t>参考国家计委关于印发《招标代理服务收费管理暂行办法》的通知（计价格〔2002〕1980号）、《国家发展和改革委员会办公厅关于招标代理服务收费有关问题的通知》（发改办价格〔2003〕857号）规定收取。</w:t>
      </w:r>
    </w:p>
    <w:p>
      <w:pPr>
        <w:snapToGrid w:val="0"/>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29.2   代理服务费交纳信息</w:t>
      </w:r>
    </w:p>
    <w:p>
      <w:pPr>
        <w:snapToGrid w:val="0"/>
        <w:spacing w:line="360" w:lineRule="auto"/>
        <w:ind w:left="0" w:leftChars="0" w:firstLine="1478" w:firstLineChars="616"/>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银行户名：</w:t>
      </w:r>
      <w:r>
        <w:rPr>
          <w:rFonts w:hint="eastAsia" w:ascii="仿宋" w:hAnsi="仿宋" w:eastAsia="仿宋" w:cs="仿宋"/>
          <w:color w:val="auto"/>
          <w:sz w:val="24"/>
          <w:highlight w:val="none"/>
          <w:lang w:eastAsia="zh-CN"/>
        </w:rPr>
        <w:t>陕西秦州明盛工程咨询有限公司</w:t>
      </w:r>
    </w:p>
    <w:p>
      <w:pPr>
        <w:snapToGrid w:val="0"/>
        <w:spacing w:line="360" w:lineRule="auto"/>
        <w:ind w:left="0" w:leftChars="0" w:firstLine="1478" w:firstLineChars="616"/>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开户银行：</w:t>
      </w:r>
      <w:r>
        <w:rPr>
          <w:rFonts w:hint="eastAsia" w:ascii="仿宋" w:hAnsi="仿宋" w:eastAsia="仿宋" w:cs="仿宋"/>
          <w:color w:val="auto"/>
          <w:sz w:val="24"/>
          <w:highlight w:val="none"/>
          <w:lang w:val="en-US" w:eastAsia="zh-CN"/>
        </w:rPr>
        <w:t>西安银行股份有限公司榆林分行</w:t>
      </w:r>
    </w:p>
    <w:p>
      <w:pPr>
        <w:snapToGrid w:val="0"/>
        <w:spacing w:line="360" w:lineRule="auto"/>
        <w:ind w:left="0" w:leftChars="0" w:firstLine="1478" w:firstLineChars="616"/>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账    号：</w:t>
      </w:r>
      <w:r>
        <w:rPr>
          <w:rFonts w:hint="eastAsia" w:ascii="仿宋" w:hAnsi="仿宋" w:eastAsia="仿宋" w:cs="仿宋"/>
          <w:color w:val="auto"/>
          <w:sz w:val="24"/>
          <w:highlight w:val="none"/>
          <w:lang w:val="en-US" w:eastAsia="zh-CN"/>
        </w:rPr>
        <w:t>351011580000070641</w:t>
      </w:r>
    </w:p>
    <w:p>
      <w:pPr>
        <w:snapToGrid w:val="0"/>
        <w:spacing w:line="360" w:lineRule="auto"/>
        <w:ind w:left="0" w:leftChars="0" w:firstLine="1478" w:firstLineChars="616"/>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val="en-US" w:eastAsia="zh-CN"/>
        </w:rPr>
        <w:t>及电话</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 xml:space="preserve">拓建伟   </w:t>
      </w:r>
      <w:r>
        <w:rPr>
          <w:rFonts w:hint="eastAsia" w:ascii="仿宋" w:hAnsi="仿宋" w:eastAsia="仿宋" w:cs="仿宋"/>
          <w:color w:val="auto"/>
          <w:sz w:val="24"/>
          <w:highlight w:val="none"/>
          <w:lang w:eastAsia="zh-CN"/>
        </w:rPr>
        <w:t>15389121603</w:t>
      </w:r>
    </w:p>
    <w:p>
      <w:pPr>
        <w:numPr>
          <w:ilvl w:val="0"/>
          <w:numId w:val="7"/>
        </w:numPr>
        <w:tabs>
          <w:tab w:val="left" w:pos="588"/>
        </w:tabs>
        <w:spacing w:line="360" w:lineRule="auto"/>
        <w:outlineLvl w:val="9"/>
        <w:rPr>
          <w:rFonts w:hint="eastAsia" w:ascii="仿宋" w:hAnsi="仿宋" w:eastAsia="仿宋" w:cs="仿宋"/>
          <w:b/>
          <w:bCs/>
          <w:color w:val="auto"/>
          <w:sz w:val="24"/>
          <w:szCs w:val="21"/>
          <w:highlight w:val="none"/>
        </w:rPr>
      </w:pPr>
      <w:bookmarkStart w:id="403" w:name="_Toc1585"/>
      <w:r>
        <w:rPr>
          <w:rFonts w:hint="eastAsia" w:ascii="仿宋" w:hAnsi="仿宋" w:eastAsia="仿宋" w:cs="仿宋"/>
          <w:b/>
          <w:bCs/>
          <w:color w:val="auto"/>
          <w:sz w:val="24"/>
          <w:szCs w:val="21"/>
          <w:highlight w:val="none"/>
        </w:rPr>
        <w:t xml:space="preserve">  采购人追加采购数量的权力</w:t>
      </w:r>
      <w:bookmarkEnd w:id="403"/>
    </w:p>
    <w:p>
      <w:pPr>
        <w:tabs>
          <w:tab w:val="left" w:pos="588"/>
        </w:tabs>
        <w:spacing w:line="360" w:lineRule="auto"/>
        <w:ind w:left="840" w:leftChars="400" w:firstLine="480" w:firstLineChars="200"/>
        <w:outlineLvl w:val="9"/>
        <w:rPr>
          <w:rFonts w:hint="eastAsia" w:ascii="仿宋" w:hAnsi="仿宋" w:eastAsia="仿宋" w:cs="仿宋"/>
          <w:color w:val="auto"/>
          <w:sz w:val="24"/>
          <w:highlight w:val="none"/>
        </w:rPr>
      </w:pPr>
      <w:bookmarkStart w:id="404" w:name="_Toc385992366"/>
      <w:bookmarkStart w:id="405" w:name="_Toc389620205"/>
      <w:r>
        <w:rPr>
          <w:rFonts w:hint="eastAsia" w:ascii="仿宋" w:hAnsi="仿宋" w:eastAsia="仿宋" w:cs="仿宋"/>
          <w:color w:val="auto"/>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pPr>
        <w:numPr>
          <w:ilvl w:val="0"/>
          <w:numId w:val="7"/>
        </w:numPr>
        <w:tabs>
          <w:tab w:val="left" w:pos="588"/>
        </w:tabs>
        <w:spacing w:line="360" w:lineRule="auto"/>
        <w:outlineLvl w:val="9"/>
        <w:rPr>
          <w:rFonts w:hint="eastAsia"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rPr>
        <w:t xml:space="preserve">   其他情况</w:t>
      </w:r>
    </w:p>
    <w:p>
      <w:pPr>
        <w:pStyle w:val="10"/>
        <w:shd w:val="clear" w:color="auto" w:fill="auto"/>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pPr>
        <w:numPr>
          <w:ilvl w:val="0"/>
          <w:numId w:val="7"/>
        </w:numPr>
        <w:tabs>
          <w:tab w:val="left" w:pos="588"/>
        </w:tabs>
        <w:spacing w:line="360" w:lineRule="auto"/>
        <w:outlineLvl w:val="9"/>
        <w:rPr>
          <w:rFonts w:hint="eastAsia"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lang w:val="en-US" w:eastAsia="zh-CN"/>
        </w:rPr>
        <w:t xml:space="preserve">   </w:t>
      </w:r>
      <w:r>
        <w:rPr>
          <w:rFonts w:hint="eastAsia" w:ascii="仿宋" w:hAnsi="仿宋" w:eastAsia="仿宋" w:cs="仿宋"/>
          <w:b/>
          <w:bCs/>
          <w:color w:val="auto"/>
          <w:sz w:val="24"/>
          <w:szCs w:val="21"/>
          <w:highlight w:val="none"/>
        </w:rPr>
        <w:t>政府采购信用担保及融资</w:t>
      </w:r>
    </w:p>
    <w:p>
      <w:pPr>
        <w:pStyle w:val="10"/>
        <w:shd w:val="clear" w:color="auto" w:fill="auto"/>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32.1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本项目是否属于信用担保试点范围见须知前附表。</w:t>
      </w:r>
    </w:p>
    <w:p>
      <w:pPr>
        <w:pStyle w:val="10"/>
        <w:shd w:val="clear" w:color="auto" w:fill="auto"/>
        <w:spacing w:line="360" w:lineRule="auto"/>
        <w:ind w:left="840" w:hanging="840" w:hangingChars="3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32.2   供应商递交的履约担保函应符合本磋商文件的规定。</w:t>
      </w:r>
    </w:p>
    <w:p>
      <w:pPr>
        <w:pStyle w:val="10"/>
        <w:shd w:val="clear" w:color="auto" w:fill="auto"/>
        <w:spacing w:line="360" w:lineRule="auto"/>
        <w:ind w:left="0" w:leftChars="0" w:firstLine="0" w:firstLineChars="0"/>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32.3   </w:t>
      </w:r>
      <w:r>
        <w:rPr>
          <w:rFonts w:hint="eastAsia" w:ascii="仿宋" w:hAnsi="仿宋" w:eastAsia="仿宋" w:cs="仿宋"/>
          <w:b/>
          <w:bCs/>
          <w:color w:val="auto"/>
          <w:sz w:val="24"/>
          <w:highlight w:val="none"/>
          <w:lang w:val="en-US" w:eastAsia="zh-CN"/>
        </w:rPr>
        <w:t>融资：详见供应商须知前附表。</w:t>
      </w:r>
    </w:p>
    <w:bookmarkEnd w:id="404"/>
    <w:bookmarkEnd w:id="405"/>
    <w:p>
      <w:pPr>
        <w:pStyle w:val="10"/>
        <w:shd w:val="clear" w:color="auto" w:fill="auto"/>
        <w:spacing w:line="360" w:lineRule="auto"/>
        <w:ind w:left="840" w:hanging="843" w:hangingChars="350"/>
        <w:outlineLvl w:val="9"/>
        <w:rPr>
          <w:rFonts w:hint="eastAsia" w:ascii="仿宋" w:hAnsi="仿宋" w:eastAsia="仿宋" w:cs="仿宋"/>
          <w:color w:val="auto"/>
          <w:sz w:val="24"/>
          <w:highlight w:val="none"/>
          <w:lang w:val="en-US" w:eastAsia="zh-CN"/>
        </w:rPr>
      </w:pPr>
      <w:bookmarkStart w:id="406" w:name="_Toc184114070"/>
      <w:bookmarkStart w:id="407" w:name="_Toc184025279"/>
      <w:bookmarkStart w:id="408" w:name="_Toc230099802"/>
      <w:bookmarkStart w:id="409" w:name="_Toc230013637"/>
      <w:r>
        <w:rPr>
          <w:rFonts w:hint="eastAsia" w:ascii="仿宋" w:hAnsi="仿宋" w:eastAsia="仿宋" w:cs="仿宋"/>
          <w:b/>
          <w:bCs/>
          <w:color w:val="auto"/>
          <w:sz w:val="24"/>
          <w:highlight w:val="none"/>
          <w:lang w:val="en-US" w:eastAsia="zh-CN"/>
        </w:rPr>
        <w:t xml:space="preserve">33. </w:t>
      </w:r>
      <w:r>
        <w:rPr>
          <w:rFonts w:hint="eastAsia" w:ascii="仿宋" w:hAnsi="仿宋" w:eastAsia="仿宋" w:cs="仿宋"/>
          <w:color w:val="auto"/>
          <w:sz w:val="24"/>
          <w:highlight w:val="none"/>
          <w:lang w:val="en-US" w:eastAsia="zh-CN"/>
        </w:rPr>
        <w:t xml:space="preserve">   </w:t>
      </w:r>
      <w:r>
        <w:rPr>
          <w:rFonts w:hint="eastAsia" w:ascii="仿宋" w:hAnsi="仿宋" w:eastAsia="仿宋" w:cs="仿宋"/>
          <w:b/>
          <w:bCs/>
          <w:color w:val="auto"/>
          <w:sz w:val="24"/>
          <w:highlight w:val="none"/>
          <w:lang w:val="en-US" w:eastAsia="zh-CN"/>
        </w:rPr>
        <w:t>信用中国（陕西榆林）网上承诺</w:t>
      </w:r>
    </w:p>
    <w:p>
      <w:pPr>
        <w:pStyle w:val="10"/>
        <w:shd w:val="clear" w:color="auto" w:fill="auto"/>
        <w:spacing w:line="360" w:lineRule="auto"/>
        <w:ind w:left="840" w:leftChars="0" w:hanging="840" w:hangingChars="350"/>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   信用承诺只针对进入公共资源交易平台的投标人，具体要求按照“供应商须知前附表”中的相关内容进行信用承诺。</w:t>
      </w:r>
    </w:p>
    <w:p>
      <w:pPr>
        <w:pStyle w:val="10"/>
        <w:shd w:val="clear" w:color="auto" w:fill="auto"/>
        <w:spacing w:line="360" w:lineRule="auto"/>
        <w:ind w:left="0" w:leftChars="0" w:hanging="3" w:firstLineChars="0"/>
        <w:jc w:val="left"/>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34.    本项目是否为不见面开标：否</w:t>
      </w:r>
    </w:p>
    <w:p>
      <w:pPr>
        <w:rPr>
          <w:rFonts w:hint="eastAsia" w:ascii="仿宋" w:hAnsi="仿宋" w:eastAsia="仿宋" w:cs="仿宋"/>
          <w:highlight w:val="none"/>
          <w:lang w:val="en-US" w:eastAsia="zh-CN"/>
        </w:rPr>
      </w:pPr>
      <w:r>
        <w:rPr>
          <w:rFonts w:hint="eastAsia" w:ascii="仿宋" w:hAnsi="仿宋" w:eastAsia="仿宋" w:cs="仿宋"/>
          <w:b/>
          <w:bCs/>
          <w:color w:val="auto"/>
          <w:sz w:val="24"/>
          <w:highlight w:val="none"/>
          <w:lang w:val="en-US" w:eastAsia="zh-CN"/>
        </w:rPr>
        <w:t>35.    各行业划分标准，详见供应商须知前附表。</w:t>
      </w:r>
    </w:p>
    <w:bookmarkEnd w:id="406"/>
    <w:bookmarkEnd w:id="407"/>
    <w:bookmarkEnd w:id="408"/>
    <w:bookmarkEnd w:id="409"/>
    <w:p>
      <w:pPr>
        <w:pStyle w:val="10"/>
        <w:shd w:val="clear" w:color="auto" w:fill="auto"/>
        <w:spacing w:line="360" w:lineRule="auto"/>
        <w:ind w:left="0" w:leftChars="0" w:hanging="3" w:firstLineChars="0"/>
        <w:jc w:val="center"/>
        <w:outlineLvl w:val="0"/>
        <w:rPr>
          <w:rStyle w:val="37"/>
          <w:rFonts w:hint="eastAsia" w:ascii="仿宋" w:hAnsi="仿宋" w:eastAsia="仿宋" w:cs="仿宋"/>
          <w:color w:val="auto"/>
          <w:sz w:val="36"/>
          <w:szCs w:val="36"/>
          <w:highlight w:val="none"/>
        </w:rPr>
      </w:pPr>
      <w:bookmarkStart w:id="410" w:name="_Toc68590975"/>
      <w:bookmarkStart w:id="411" w:name="_Toc58504447"/>
      <w:bookmarkStart w:id="412" w:name="_Toc17469"/>
      <w:r>
        <w:rPr>
          <w:rStyle w:val="37"/>
          <w:rFonts w:hint="eastAsia" w:ascii="仿宋" w:hAnsi="仿宋" w:eastAsia="仿宋" w:cs="仿宋"/>
          <w:b/>
          <w:bCs/>
          <w:color w:val="auto"/>
          <w:kern w:val="2"/>
          <w:sz w:val="36"/>
          <w:szCs w:val="36"/>
          <w:highlight w:val="none"/>
          <w:lang w:val="en-US" w:eastAsia="zh-CN"/>
        </w:rPr>
        <w:br w:type="page"/>
      </w:r>
      <w:bookmarkStart w:id="413" w:name="_Toc20663"/>
      <w:bookmarkStart w:id="414" w:name="_Toc28032"/>
      <w:bookmarkStart w:id="415" w:name="_Toc8524"/>
      <w:r>
        <w:rPr>
          <w:rStyle w:val="37"/>
          <w:rFonts w:hint="eastAsia" w:ascii="仿宋" w:hAnsi="仿宋" w:eastAsia="仿宋" w:cs="仿宋"/>
          <w:b/>
          <w:bCs/>
          <w:color w:val="auto"/>
          <w:kern w:val="2"/>
          <w:sz w:val="36"/>
          <w:szCs w:val="36"/>
          <w:highlight w:val="none"/>
          <w:lang w:val="en-US" w:eastAsia="zh-CN"/>
        </w:rPr>
        <w:t>第三章  评审办法和标准</w:t>
      </w:r>
      <w:bookmarkEnd w:id="410"/>
      <w:bookmarkEnd w:id="413"/>
      <w:bookmarkEnd w:id="414"/>
      <w:bookmarkEnd w:id="415"/>
    </w:p>
    <w:p>
      <w:pPr>
        <w:tabs>
          <w:tab w:val="left" w:pos="360"/>
          <w:tab w:val="left" w:pos="588"/>
        </w:tabs>
        <w:spacing w:line="360" w:lineRule="auto"/>
        <w:ind w:left="840"/>
        <w:outlineLvl w:val="9"/>
        <w:rPr>
          <w:rFonts w:hint="eastAsia" w:ascii="仿宋" w:hAnsi="仿宋" w:eastAsia="仿宋" w:cs="仿宋"/>
          <w:color w:val="auto"/>
          <w:sz w:val="24"/>
          <w:highlight w:val="none"/>
        </w:rPr>
      </w:pPr>
    </w:p>
    <w:p>
      <w:pPr>
        <w:pStyle w:val="38"/>
        <w:spacing w:before="24" w:after="24" w:line="360" w:lineRule="auto"/>
        <w:outlineLvl w:val="9"/>
        <w:rPr>
          <w:rFonts w:hint="eastAsia" w:ascii="仿宋" w:hAnsi="仿宋" w:eastAsia="仿宋" w:cs="仿宋"/>
          <w:color w:val="auto"/>
          <w:sz w:val="28"/>
          <w:szCs w:val="28"/>
          <w:highlight w:val="none"/>
        </w:rPr>
      </w:pPr>
      <w:bookmarkStart w:id="416" w:name="_Toc68590976"/>
      <w:bookmarkStart w:id="417" w:name="_Toc7005040"/>
      <w:bookmarkStart w:id="418" w:name="_Toc14013"/>
      <w:r>
        <w:rPr>
          <w:rFonts w:hint="eastAsia" w:ascii="仿宋" w:hAnsi="仿宋" w:eastAsia="仿宋" w:cs="仿宋"/>
          <w:color w:val="auto"/>
          <w:sz w:val="28"/>
          <w:szCs w:val="28"/>
          <w:highlight w:val="none"/>
        </w:rPr>
        <w:t>1.评审方法</w:t>
      </w:r>
      <w:bookmarkEnd w:id="416"/>
      <w:bookmarkEnd w:id="417"/>
      <w:bookmarkEnd w:id="418"/>
    </w:p>
    <w:p>
      <w:pPr>
        <w:pStyle w:val="10"/>
        <w:spacing w:line="360" w:lineRule="auto"/>
        <w:ind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pPr>
        <w:pStyle w:val="38"/>
        <w:spacing w:before="24" w:after="24" w:line="360" w:lineRule="auto"/>
        <w:outlineLvl w:val="9"/>
        <w:rPr>
          <w:rFonts w:hint="eastAsia" w:ascii="仿宋" w:hAnsi="仿宋" w:eastAsia="仿宋" w:cs="仿宋"/>
          <w:color w:val="auto"/>
          <w:sz w:val="28"/>
          <w:szCs w:val="28"/>
          <w:highlight w:val="none"/>
        </w:rPr>
      </w:pPr>
      <w:bookmarkStart w:id="419" w:name="_Toc68590977"/>
      <w:bookmarkStart w:id="420" w:name="_Toc7005041"/>
      <w:bookmarkStart w:id="421" w:name="_Toc31180"/>
      <w:r>
        <w:rPr>
          <w:rFonts w:hint="eastAsia" w:ascii="仿宋" w:hAnsi="仿宋" w:eastAsia="仿宋" w:cs="仿宋"/>
          <w:color w:val="auto"/>
          <w:sz w:val="28"/>
          <w:szCs w:val="28"/>
          <w:highlight w:val="none"/>
        </w:rPr>
        <w:t>2.评审标准</w:t>
      </w:r>
      <w:bookmarkEnd w:id="419"/>
      <w:bookmarkEnd w:id="420"/>
      <w:bookmarkEnd w:id="421"/>
    </w:p>
    <w:p>
      <w:pPr>
        <w:pStyle w:val="10"/>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2.1 资格审查和符合性评审标准：</w:t>
      </w:r>
      <w:r>
        <w:rPr>
          <w:rFonts w:hint="eastAsia" w:ascii="仿宋" w:hAnsi="仿宋" w:eastAsia="仿宋" w:cs="仿宋"/>
          <w:color w:val="auto"/>
          <w:sz w:val="24"/>
          <w:highlight w:val="none"/>
          <w:lang w:val="en-US" w:eastAsia="zh-CN"/>
        </w:rPr>
        <w:t>详</w:t>
      </w:r>
      <w:r>
        <w:rPr>
          <w:rFonts w:hint="eastAsia" w:ascii="仿宋" w:hAnsi="仿宋" w:eastAsia="仿宋" w:cs="仿宋"/>
          <w:color w:val="auto"/>
          <w:sz w:val="24"/>
          <w:highlight w:val="none"/>
        </w:rPr>
        <w:t>见附表一和附表二。</w:t>
      </w:r>
    </w:p>
    <w:p>
      <w:pPr>
        <w:pStyle w:val="10"/>
        <w:spacing w:line="360" w:lineRule="auto"/>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2.2 </w:t>
      </w:r>
      <w:r>
        <w:rPr>
          <w:rFonts w:hint="eastAsia" w:ascii="仿宋" w:hAnsi="仿宋" w:eastAsia="仿宋" w:cs="仿宋"/>
          <w:color w:val="auto"/>
          <w:sz w:val="24"/>
          <w:highlight w:val="none"/>
          <w:lang w:val="en-US" w:eastAsia="zh-CN"/>
        </w:rPr>
        <w:t>详细评审：</w:t>
      </w:r>
      <w:bookmarkStart w:id="422" w:name="_Ref426362114"/>
      <w:r>
        <w:rPr>
          <w:rFonts w:hint="eastAsia" w:ascii="仿宋" w:hAnsi="仿宋" w:eastAsia="仿宋" w:cs="仿宋"/>
          <w:color w:val="auto"/>
          <w:sz w:val="24"/>
          <w:highlight w:val="none"/>
          <w:lang w:val="en-US" w:eastAsia="zh-CN"/>
        </w:rPr>
        <w:t>详见“附表三”</w:t>
      </w:r>
    </w:p>
    <w:bookmarkEnd w:id="422"/>
    <w:p>
      <w:pPr>
        <w:pStyle w:val="10"/>
        <w:numPr>
          <w:ilvl w:val="0"/>
          <w:numId w:val="8"/>
        </w:numPr>
        <w:ind w:left="0" w:leftChars="0" w:firstLine="420" w:firstLineChars="175"/>
        <w:outlineLvl w:val="9"/>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highlight w:val="none"/>
        </w:rPr>
        <w:t>根据《政府采购促进中小企业发展管理办法》（财库〔2020〕46号）调整供应商参与评审的价格。对小型和微型企业产品的价格给予</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%的扣除。</w:t>
      </w:r>
    </w:p>
    <w:p>
      <w:pPr>
        <w:pStyle w:val="10"/>
        <w:numPr>
          <w:ilvl w:val="0"/>
          <w:numId w:val="0"/>
        </w:numPr>
        <w:ind w:left="0" w:leftChars="0" w:firstLine="420" w:firstLineChars="175"/>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监狱企业、残疾人福利性单位视同小微企业；残疾人福利性单位属于小型、微型企业的，不重复享受政策。</w:t>
      </w:r>
    </w:p>
    <w:p>
      <w:pPr>
        <w:pStyle w:val="10"/>
        <w:ind w:left="0" w:leftChars="0" w:firstLine="420" w:firstLineChars="175"/>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（2）评审基准价。有效响应文件中的最后报价并按本款（1）和（2）进行调整的最低报价为评审基准价。</w:t>
      </w:r>
    </w:p>
    <w:p>
      <w:pPr>
        <w:pStyle w:val="10"/>
        <w:ind w:left="0" w:leftChars="0" w:firstLine="420" w:firstLineChars="175"/>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（3）供应商报价（按本款（1）和（2）进行调整后价格）得分=(评审基准价／最后报价)×</w:t>
      </w:r>
      <w:r>
        <w:rPr>
          <w:rFonts w:hint="eastAsia" w:ascii="仿宋" w:hAnsi="仿宋" w:eastAsia="仿宋" w:cs="仿宋"/>
          <w:color w:val="auto"/>
          <w:sz w:val="24"/>
          <w:highlight w:val="none"/>
          <w:lang w:val="en-US" w:eastAsia="zh-CN"/>
        </w:rPr>
        <w:t>10</w:t>
      </w:r>
    </w:p>
    <w:p>
      <w:pPr>
        <w:tabs>
          <w:tab w:val="left" w:pos="588"/>
        </w:tabs>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2.3.4 响应文件出现下列情况之一者，磋商小组在评审过程中按以下原则修正：</w:t>
      </w:r>
    </w:p>
    <w:p>
      <w:pPr>
        <w:tabs>
          <w:tab w:val="left" w:pos="588"/>
        </w:tabs>
        <w:spacing w:line="360" w:lineRule="auto"/>
        <w:ind w:firstLine="120" w:firstLineChars="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（1）大写金额与小写金额不一致的，以大写金额为准；</w:t>
      </w:r>
    </w:p>
    <w:p>
      <w:pPr>
        <w:tabs>
          <w:tab w:val="left" w:pos="588"/>
        </w:tabs>
        <w:spacing w:line="360" w:lineRule="auto"/>
        <w:ind w:firstLine="120" w:firstLineChars="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（2）总价金额与按单价汇总金额不一致的，以单价金额计算结果为准；</w:t>
      </w:r>
    </w:p>
    <w:p>
      <w:pPr>
        <w:tabs>
          <w:tab w:val="left" w:pos="588"/>
        </w:tabs>
        <w:spacing w:line="360" w:lineRule="auto"/>
        <w:ind w:firstLine="120" w:firstLineChars="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（3）单价金额小数点有明显错位的，应以总价为准，并修改单价；</w:t>
      </w:r>
    </w:p>
    <w:p>
      <w:pPr>
        <w:tabs>
          <w:tab w:val="left" w:pos="588"/>
        </w:tabs>
        <w:spacing w:line="360" w:lineRule="auto"/>
        <w:ind w:firstLine="120" w:firstLineChars="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（4）对不同文字文本响应文件的解释发生异议的，以中文文本为准；</w:t>
      </w:r>
    </w:p>
    <w:p>
      <w:pPr>
        <w:tabs>
          <w:tab w:val="left" w:pos="588"/>
        </w:tabs>
        <w:spacing w:line="360" w:lineRule="auto"/>
        <w:ind w:firstLine="120" w:firstLineChars="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（5）文字与图表不一致的，以文字为准；</w:t>
      </w:r>
    </w:p>
    <w:p>
      <w:pPr>
        <w:tabs>
          <w:tab w:val="left" w:pos="588"/>
        </w:tabs>
        <w:spacing w:line="360" w:lineRule="auto"/>
        <w:ind w:firstLine="120" w:firstLineChars="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（6）正本与副本不一致的，以正本为准；</w:t>
      </w:r>
    </w:p>
    <w:p>
      <w:pPr>
        <w:tabs>
          <w:tab w:val="left" w:pos="588"/>
        </w:tabs>
        <w:spacing w:line="360" w:lineRule="auto"/>
        <w:ind w:firstLine="120" w:firstLineChars="5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（7）响应文件的文字叙述与制造厂商的产品样本/检测报告不符时，以产品样本/检测报告为准。</w:t>
      </w:r>
    </w:p>
    <w:p>
      <w:pPr>
        <w:pStyle w:val="38"/>
        <w:spacing w:before="24" w:after="24"/>
        <w:outlineLvl w:val="9"/>
        <w:rPr>
          <w:rFonts w:hint="eastAsia" w:ascii="仿宋" w:hAnsi="仿宋" w:eastAsia="仿宋" w:cs="仿宋"/>
          <w:color w:val="auto"/>
          <w:sz w:val="28"/>
          <w:szCs w:val="28"/>
          <w:highlight w:val="none"/>
        </w:rPr>
      </w:pPr>
      <w:bookmarkStart w:id="423" w:name="_Toc3002"/>
      <w:bookmarkStart w:id="424" w:name="_Toc7005042"/>
      <w:bookmarkStart w:id="425" w:name="_Toc68590978"/>
      <w:r>
        <w:rPr>
          <w:rFonts w:hint="eastAsia" w:ascii="仿宋" w:hAnsi="仿宋" w:eastAsia="仿宋" w:cs="仿宋"/>
          <w:color w:val="auto"/>
          <w:sz w:val="28"/>
          <w:szCs w:val="28"/>
          <w:highlight w:val="none"/>
        </w:rPr>
        <w:t>3.评审程序</w:t>
      </w:r>
      <w:bookmarkEnd w:id="423"/>
      <w:bookmarkEnd w:id="424"/>
      <w:bookmarkEnd w:id="425"/>
    </w:p>
    <w:p>
      <w:pPr>
        <w:pStyle w:val="10"/>
        <w:outlineLvl w:val="9"/>
        <w:rPr>
          <w:rFonts w:hint="eastAsia" w:ascii="仿宋" w:hAnsi="仿宋" w:eastAsia="仿宋" w:cs="仿宋"/>
          <w:b/>
          <w:color w:val="auto"/>
          <w:sz w:val="24"/>
          <w:highlight w:val="none"/>
        </w:rPr>
      </w:pPr>
      <w:bookmarkStart w:id="426" w:name="_Toc7005043"/>
      <w:r>
        <w:rPr>
          <w:rFonts w:hint="eastAsia" w:ascii="仿宋" w:hAnsi="仿宋" w:eastAsia="仿宋" w:cs="仿宋"/>
          <w:b/>
          <w:color w:val="auto"/>
          <w:sz w:val="24"/>
          <w:highlight w:val="none"/>
        </w:rPr>
        <w:t>3.1资格审查及符合性审查</w:t>
      </w:r>
      <w:bookmarkEnd w:id="426"/>
    </w:p>
    <w:p>
      <w:pPr>
        <w:pStyle w:val="10"/>
        <w:tabs>
          <w:tab w:val="left" w:pos="-420"/>
        </w:tabs>
        <w:ind w:left="636" w:leftChars="0" w:hanging="636" w:hangingChars="265"/>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3.1.1 采购人或磋商</w:t>
      </w:r>
      <w:r>
        <w:rPr>
          <w:rFonts w:hint="eastAsia" w:ascii="仿宋" w:hAnsi="仿宋" w:eastAsia="仿宋" w:cs="仿宋"/>
          <w:color w:val="auto"/>
          <w:sz w:val="24"/>
          <w:highlight w:val="none"/>
          <w:lang w:val="en-US" w:eastAsia="zh-CN"/>
        </w:rPr>
        <w:t>小组</w:t>
      </w:r>
      <w:r>
        <w:rPr>
          <w:rFonts w:hint="eastAsia" w:ascii="仿宋" w:hAnsi="仿宋" w:eastAsia="仿宋" w:cs="仿宋"/>
          <w:color w:val="auto"/>
          <w:sz w:val="24"/>
          <w:highlight w:val="none"/>
        </w:rPr>
        <w:t>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附表一</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所列审查标准对供应商资格进行审查，以确定供应商是否具备磋商资格。</w:t>
      </w:r>
    </w:p>
    <w:p>
      <w:pPr>
        <w:pStyle w:val="10"/>
        <w:tabs>
          <w:tab w:val="left" w:pos="-420"/>
        </w:tabs>
        <w:ind w:left="636" w:leftChars="0" w:hanging="636" w:hangingChars="265"/>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3.1.2 磋商小组对符合资格要求的响应文件按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附表二</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进行符合性审查，以确定其是否满足磋商文件的实质性要求（见本章内的符合性审查表）。</w:t>
      </w:r>
    </w:p>
    <w:p>
      <w:pPr>
        <w:pStyle w:val="10"/>
        <w:tabs>
          <w:tab w:val="left" w:pos="-420"/>
        </w:tabs>
        <w:ind w:left="-2" w:leftChars="0" w:firstLine="0" w:firstLineChars="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pPr>
        <w:pStyle w:val="10"/>
        <w:tabs>
          <w:tab w:val="left" w:pos="-420"/>
        </w:tabs>
        <w:ind w:left="634" w:leftChars="302" w:firstLine="4" w:firstLineChars="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磋商小组不接受供应商主动提出的澄清、说明或补正。</w:t>
      </w:r>
    </w:p>
    <w:p>
      <w:pPr>
        <w:pStyle w:val="10"/>
        <w:tabs>
          <w:tab w:val="left" w:pos="-420"/>
        </w:tabs>
        <w:ind w:left="634" w:leftChars="302" w:firstLine="4" w:firstLineChars="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供应商的书面澄清、说明和补正属于响应文件的组成部分。</w:t>
      </w:r>
    </w:p>
    <w:p>
      <w:pPr>
        <w:pStyle w:val="10"/>
        <w:tabs>
          <w:tab w:val="left" w:pos="-420"/>
        </w:tabs>
        <w:ind w:left="13" w:leftChars="6" w:firstLine="624" w:firstLineChars="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磋商小组对供应商提交的澄清、说明或补正有疑问的，可以要求供应商进一步澄清、说明或补正，直至满足评审小组的要求。</w:t>
      </w:r>
    </w:p>
    <w:p>
      <w:pPr>
        <w:pStyle w:val="10"/>
        <w:tabs>
          <w:tab w:val="left" w:pos="-420"/>
        </w:tabs>
        <w:ind w:left="636" w:leftChars="0" w:hanging="636" w:hangingChars="265"/>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3.1.4 不具备磋商文件要求的资格或未通过符合性审查的供应商，不参与磋商，由磋商小组告知该供应商。</w:t>
      </w:r>
    </w:p>
    <w:p>
      <w:pPr>
        <w:pStyle w:val="10"/>
        <w:tabs>
          <w:tab w:val="left" w:pos="-420"/>
        </w:tabs>
        <w:ind w:left="636" w:leftChars="0" w:hanging="636" w:hangingChars="265"/>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3.1.5 通过资格审查和符合性审查的合格供应商不足3家的，不再进行评审和磋商。</w:t>
      </w:r>
    </w:p>
    <w:p>
      <w:pPr>
        <w:pStyle w:val="10"/>
        <w:tabs>
          <w:tab w:val="left" w:pos="-420"/>
        </w:tabs>
        <w:ind w:left="638" w:leftChars="0" w:hanging="638" w:hangingChars="265"/>
        <w:outlineLvl w:val="9"/>
        <w:rPr>
          <w:rFonts w:hint="eastAsia" w:ascii="仿宋" w:hAnsi="仿宋" w:eastAsia="仿宋" w:cs="仿宋"/>
          <w:b/>
          <w:color w:val="auto"/>
          <w:sz w:val="24"/>
          <w:highlight w:val="none"/>
        </w:rPr>
      </w:pPr>
      <w:bookmarkStart w:id="427" w:name="_Toc7005044"/>
      <w:r>
        <w:rPr>
          <w:rFonts w:hint="eastAsia" w:ascii="仿宋" w:hAnsi="仿宋" w:eastAsia="仿宋" w:cs="仿宋"/>
          <w:b/>
          <w:color w:val="auto"/>
          <w:sz w:val="24"/>
          <w:highlight w:val="none"/>
        </w:rPr>
        <w:t>3.2 磋商</w:t>
      </w:r>
      <w:bookmarkEnd w:id="427"/>
    </w:p>
    <w:p>
      <w:pPr>
        <w:pStyle w:val="10"/>
        <w:tabs>
          <w:tab w:val="left" w:pos="-420"/>
        </w:tabs>
        <w:ind w:left="636" w:leftChars="0" w:hanging="636" w:hangingChars="265"/>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3.2.1按“供应商须知”第五条规定，由磋商小组与供应商进行磋商。</w:t>
      </w:r>
    </w:p>
    <w:p>
      <w:pPr>
        <w:pStyle w:val="10"/>
        <w:tabs>
          <w:tab w:val="left" w:pos="-420"/>
        </w:tabs>
        <w:ind w:left="0" w:leftChars="0" w:firstLine="4" w:firstLineChars="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pPr>
        <w:pStyle w:val="10"/>
        <w:tabs>
          <w:tab w:val="left" w:pos="-420"/>
        </w:tabs>
        <w:ind w:left="0" w:leftChars="0" w:firstLine="4" w:firstLineChars="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3.2.3 磋商结束后，磋商小组可以要求所有继续参加磋商的供应商在规定时间内提交最后报价函，提交最后报价函的供应商不得少于3家。</w:t>
      </w:r>
    </w:p>
    <w:p>
      <w:pPr>
        <w:pStyle w:val="10"/>
        <w:tabs>
          <w:tab w:val="left" w:pos="-420"/>
        </w:tabs>
        <w:ind w:left="638" w:leftChars="0" w:hanging="638" w:hangingChars="265"/>
        <w:outlineLvl w:val="9"/>
        <w:rPr>
          <w:rFonts w:hint="eastAsia" w:ascii="仿宋" w:hAnsi="仿宋" w:eastAsia="仿宋" w:cs="仿宋"/>
          <w:b/>
          <w:color w:val="auto"/>
          <w:sz w:val="24"/>
          <w:highlight w:val="none"/>
        </w:rPr>
      </w:pPr>
      <w:bookmarkStart w:id="428" w:name="_Toc7005045"/>
      <w:r>
        <w:rPr>
          <w:rFonts w:hint="eastAsia" w:ascii="仿宋" w:hAnsi="仿宋" w:eastAsia="仿宋" w:cs="仿宋"/>
          <w:b/>
          <w:color w:val="auto"/>
          <w:sz w:val="24"/>
          <w:highlight w:val="none"/>
        </w:rPr>
        <w:t>3.3评审</w:t>
      </w:r>
      <w:bookmarkEnd w:id="428"/>
    </w:p>
    <w:p>
      <w:pPr>
        <w:pStyle w:val="10"/>
        <w:tabs>
          <w:tab w:val="left" w:pos="-420"/>
        </w:tabs>
        <w:ind w:left="636" w:leftChars="0" w:hanging="636" w:hangingChars="265"/>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3.3.1 比较与评价</w:t>
      </w:r>
    </w:p>
    <w:p>
      <w:pPr>
        <w:pStyle w:val="10"/>
        <w:tabs>
          <w:tab w:val="left" w:pos="-420"/>
        </w:tabs>
        <w:ind w:left="0" w:leftChars="0"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磋商小组按本章第2.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款[</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评审标准]对供应商提交的响应文件（包括最后报价函）进行商务和技术评估，综合比较与评价。</w:t>
      </w:r>
    </w:p>
    <w:p>
      <w:pPr>
        <w:pStyle w:val="10"/>
        <w:tabs>
          <w:tab w:val="left" w:pos="-420"/>
        </w:tabs>
        <w:ind w:left="0" w:leftChars="0"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pPr>
        <w:pStyle w:val="10"/>
        <w:tabs>
          <w:tab w:val="left" w:pos="-420"/>
        </w:tabs>
        <w:ind w:left="636" w:leftChars="0" w:hanging="636" w:hangingChars="265"/>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3.3.2 磋商小组按本章第2.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款规定的量化因素和分值进行打分，并计算出综合评估得分。</w:t>
      </w:r>
    </w:p>
    <w:p>
      <w:pPr>
        <w:pStyle w:val="10"/>
        <w:tabs>
          <w:tab w:val="left" w:pos="-420"/>
        </w:tabs>
        <w:ind w:left="638" w:leftChars="0" w:hanging="638" w:hangingChars="265"/>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3.4 评审结果</w:t>
      </w:r>
    </w:p>
    <w:p>
      <w:pPr>
        <w:pStyle w:val="10"/>
        <w:tabs>
          <w:tab w:val="left" w:pos="-420"/>
        </w:tabs>
        <w:ind w:left="636" w:leftChars="0" w:hanging="636" w:hangingChars="265"/>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3.4.1 除第二章“供应商须知前附表”授权直接确定成交供应商外，磋商小组按照得分由高到低的顺序推荐3名成交候选人。</w:t>
      </w:r>
    </w:p>
    <w:p>
      <w:pPr>
        <w:pStyle w:val="10"/>
        <w:tabs>
          <w:tab w:val="left" w:pos="-420"/>
        </w:tabs>
        <w:ind w:left="636" w:leftChars="0" w:hanging="636" w:hangingChars="265"/>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3.4.2 磋商小组完成评审后，应当向采购人提交书面评审报告。</w:t>
      </w:r>
    </w:p>
    <w:p>
      <w:pPr>
        <w:pStyle w:val="10"/>
        <w:jc w:val="center"/>
        <w:outlineLvl w:val="9"/>
        <w:rPr>
          <w:rFonts w:hint="eastAsia" w:ascii="仿宋" w:hAnsi="仿宋" w:eastAsia="仿宋" w:cs="仿宋"/>
          <w:b/>
          <w:color w:val="auto"/>
          <w:sz w:val="30"/>
          <w:szCs w:val="30"/>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0"/>
          <w:szCs w:val="30"/>
          <w:highlight w:val="none"/>
        </w:rPr>
        <w:t>附表一 资格审查表</w:t>
      </w:r>
    </w:p>
    <w:tbl>
      <w:tblPr>
        <w:tblStyle w:val="22"/>
        <w:tblW w:w="9242"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50"/>
        <w:gridCol w:w="7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765" w:type="dxa"/>
            <w:noWrap w:val="0"/>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350" w:type="dxa"/>
            <w:noWrap w:val="0"/>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评审内容</w:t>
            </w:r>
          </w:p>
        </w:tc>
        <w:tc>
          <w:tcPr>
            <w:tcW w:w="7127" w:type="dxa"/>
            <w:noWrap w:val="0"/>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1" w:hRule="atLeast"/>
        </w:trPr>
        <w:tc>
          <w:tcPr>
            <w:tcW w:w="765" w:type="dxa"/>
            <w:noWrap w:val="0"/>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350" w:type="dxa"/>
            <w:noWrap w:val="0"/>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有效的主体资格证明</w:t>
            </w:r>
          </w:p>
        </w:tc>
        <w:tc>
          <w:tcPr>
            <w:tcW w:w="7127" w:type="dxa"/>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765" w:type="dxa"/>
            <w:noWrap w:val="0"/>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350" w:type="dxa"/>
            <w:noWrap w:val="0"/>
            <w:vAlign w:val="center"/>
          </w:tcPr>
          <w:p>
            <w:pPr>
              <w:bidi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资质要求</w:t>
            </w:r>
          </w:p>
        </w:tc>
        <w:tc>
          <w:tcPr>
            <w:tcW w:w="7127" w:type="dxa"/>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资质要求：投标人须具备有效的国家行政主管部门颁发的乙级及以上测绘资质证书。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765" w:type="dxa"/>
            <w:noWrap w:val="0"/>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350" w:type="dxa"/>
            <w:noWrap w:val="0"/>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aps w:val="0"/>
                <w:color w:val="auto"/>
                <w:spacing w:val="0"/>
                <w:sz w:val="24"/>
                <w:szCs w:val="24"/>
                <w:highlight w:val="none"/>
                <w:shd w:val="clear" w:color="auto" w:fill="FFFFFF"/>
                <w:lang w:val="en-US" w:eastAsia="zh-CN"/>
              </w:rPr>
              <w:t>财务状况报告</w:t>
            </w:r>
          </w:p>
        </w:tc>
        <w:tc>
          <w:tcPr>
            <w:tcW w:w="7127" w:type="dxa"/>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企业赋码后2024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765" w:type="dxa"/>
            <w:noWrap w:val="0"/>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350" w:type="dxa"/>
            <w:noWrap w:val="0"/>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aps w:val="0"/>
                <w:color w:val="auto"/>
                <w:spacing w:val="0"/>
                <w:sz w:val="24"/>
                <w:szCs w:val="24"/>
                <w:highlight w:val="none"/>
                <w:shd w:val="clear" w:color="auto" w:fill="FFFFFF"/>
                <w:lang w:val="en-US" w:eastAsia="zh-CN"/>
              </w:rPr>
              <w:t>社会保障资金缴纳证明</w:t>
            </w:r>
          </w:p>
        </w:tc>
        <w:tc>
          <w:tcPr>
            <w:tcW w:w="7127" w:type="dxa"/>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提供2025年01月至今已缴纳的至少一个月的社会保障资金银行缴费单据或社保机构开具的社会保险参保缴费情况证明，依法不需要缴纳社会保障资金的单位应提供相关证明材料。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3" w:hRule="atLeast"/>
        </w:trPr>
        <w:tc>
          <w:tcPr>
            <w:tcW w:w="765" w:type="dxa"/>
            <w:noWrap w:val="0"/>
            <w:vAlign w:val="center"/>
          </w:tcPr>
          <w:p>
            <w:pPr>
              <w:bidi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1350" w:type="dxa"/>
            <w:noWrap w:val="0"/>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aps w:val="0"/>
                <w:color w:val="auto"/>
                <w:spacing w:val="0"/>
                <w:sz w:val="24"/>
                <w:szCs w:val="24"/>
                <w:highlight w:val="none"/>
                <w:shd w:val="clear" w:color="auto" w:fill="FFFFFF"/>
                <w:lang w:val="en-US" w:eastAsia="zh-CN"/>
              </w:rPr>
              <w:t>税收缴纳证明</w:t>
            </w:r>
          </w:p>
        </w:tc>
        <w:tc>
          <w:tcPr>
            <w:tcW w:w="7127" w:type="dxa"/>
            <w:noWrap w:val="0"/>
            <w:vAlign w:val="center"/>
          </w:tcPr>
          <w:p>
            <w:pPr>
              <w:numPr>
                <w:ilvl w:val="0"/>
                <w:numId w:val="0"/>
              </w:numPr>
              <w:bidi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提供2025年01月至今已缴纳的至少一个月的纳税证明（银行缴费凭证）或完税证明（时间以税款所属日期为准、税种须包含增值税或企业所得税），依法免税的单位应提供相关证明材料。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5" w:type="dxa"/>
            <w:noWrap w:val="0"/>
            <w:vAlign w:val="center"/>
          </w:tcPr>
          <w:p>
            <w:pPr>
              <w:bidi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1350" w:type="dxa"/>
            <w:noWrap w:val="0"/>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无重大违法记录声明</w:t>
            </w:r>
          </w:p>
        </w:tc>
        <w:tc>
          <w:tcPr>
            <w:tcW w:w="7127" w:type="dxa"/>
            <w:noWrap w:val="0"/>
            <w:vAlign w:val="center"/>
          </w:tcPr>
          <w:p>
            <w:pPr>
              <w:numPr>
                <w:ilvl w:val="0"/>
                <w:numId w:val="0"/>
              </w:numPr>
              <w:bidi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参加政府采购活动前三年内，在经营活动中没有重大违法记录的书面声明。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65" w:type="dxa"/>
            <w:noWrap w:val="0"/>
            <w:vAlign w:val="center"/>
          </w:tcPr>
          <w:p>
            <w:pPr>
              <w:bidi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1350" w:type="dxa"/>
            <w:noWrap w:val="0"/>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aps w:val="0"/>
                <w:color w:val="auto"/>
                <w:spacing w:val="0"/>
                <w:sz w:val="24"/>
                <w:szCs w:val="24"/>
                <w:highlight w:val="none"/>
                <w:shd w:val="clear" w:color="auto" w:fill="FFFFFF"/>
                <w:lang w:val="en-US" w:eastAsia="zh-CN"/>
              </w:rPr>
              <w:t>履行合同能力证明</w:t>
            </w:r>
          </w:p>
        </w:tc>
        <w:tc>
          <w:tcPr>
            <w:tcW w:w="7127" w:type="dxa"/>
            <w:noWrap w:val="0"/>
            <w:vAlign w:val="center"/>
          </w:tcPr>
          <w:p>
            <w:pPr>
              <w:numPr>
                <w:ilvl w:val="0"/>
                <w:numId w:val="0"/>
              </w:numPr>
              <w:bidi w:val="0"/>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提供具有履行合同所必需的设备和专业技术能力的证明资料或承诺书。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765" w:type="dxa"/>
            <w:noWrap w:val="0"/>
            <w:vAlign w:val="center"/>
          </w:tcPr>
          <w:p>
            <w:pPr>
              <w:bidi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1350" w:type="dxa"/>
            <w:noWrap w:val="0"/>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信用查询</w:t>
            </w:r>
          </w:p>
        </w:tc>
        <w:tc>
          <w:tcPr>
            <w:tcW w:w="7127" w:type="dxa"/>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对列入“信用中国”网站(www.creditchina.gov.cn)“失信被执行人、税收违法黑名单、异常经营名录”记录名单；“中国政府采购网”(www.ccgp.gov.cn)“政府采购严重违法失信行为信息记录”的单位，应当拒绝参与政府采购活动（查询日期为从招标文件获取之日起至投标截止日前但最终以投标截止日当天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765" w:type="dxa"/>
            <w:noWrap w:val="0"/>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9</w:t>
            </w:r>
          </w:p>
        </w:tc>
        <w:tc>
          <w:tcPr>
            <w:tcW w:w="1350" w:type="dxa"/>
            <w:noWrap w:val="0"/>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供应商信用承诺</w:t>
            </w:r>
          </w:p>
        </w:tc>
        <w:tc>
          <w:tcPr>
            <w:tcW w:w="7127" w:type="dxa"/>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提供榆林市政府采购服务类项目供应商信用承诺书。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65" w:type="dxa"/>
            <w:noWrap w:val="0"/>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350" w:type="dxa"/>
            <w:noWrap w:val="0"/>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aps w:val="0"/>
                <w:color w:val="auto"/>
                <w:spacing w:val="0"/>
                <w:sz w:val="24"/>
                <w:szCs w:val="24"/>
                <w:highlight w:val="none"/>
                <w:u w:val="none"/>
                <w:shd w:val="clear" w:color="auto" w:fill="FFFFFF"/>
                <w:lang w:val="en-US" w:eastAsia="zh-CN"/>
              </w:rPr>
              <w:t>自主上报信用承诺书</w:t>
            </w:r>
          </w:p>
        </w:tc>
        <w:tc>
          <w:tcPr>
            <w:tcW w:w="7127" w:type="dxa"/>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投标人及其授权委托人应在“信用中国（陕西榆林）”网站(https://credit.yl.gov.cn/)进行注册、登录、自主上报信用承诺书，包括：《投标人信用承诺》、《投标人委托代理人员信用承诺书》、《投标信用承诺书》（具体操作格式及要求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765" w:type="dxa"/>
            <w:noWrap w:val="0"/>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350" w:type="dxa"/>
            <w:shd w:val="clear" w:color="auto" w:fill="auto"/>
            <w:noWrap w:val="0"/>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rPr>
              <w:t>中小企业声明函</w:t>
            </w:r>
          </w:p>
        </w:tc>
        <w:tc>
          <w:tcPr>
            <w:tcW w:w="7127" w:type="dxa"/>
            <w:shd w:val="clear" w:color="auto" w:fill="auto"/>
            <w:noWrap w:val="0"/>
            <w:vAlign w:val="center"/>
          </w:tcPr>
          <w:p>
            <w:pPr>
              <w:pStyle w:val="19"/>
              <w:numPr>
                <w:ilvl w:val="0"/>
                <w:numId w:val="0"/>
              </w:numPr>
              <w:wordWrap w:val="0"/>
              <w:spacing w:before="0" w:beforeAutospacing="0" w:after="0" w:afterAutospacing="0" w:line="360" w:lineRule="auto"/>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Cs w:val="24"/>
              </w:rPr>
              <w:t>本项目专门面向中小企业采购，投标人应提供《中小企业声明函》。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9242" w:type="dxa"/>
            <w:gridSpan w:val="3"/>
            <w:noWrap w:val="0"/>
            <w:vAlign w:val="center"/>
          </w:tcPr>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2" w:firstLineChars="200"/>
              <w:jc w:val="both"/>
              <w:textAlignment w:val="auto"/>
              <w:rPr>
                <w:rFonts w:hint="eastAsia" w:ascii="仿宋" w:hAnsi="仿宋" w:eastAsia="仿宋" w:cs="仿宋"/>
                <w:b/>
                <w:bCs/>
                <w:i w:val="0"/>
                <w:iCs w:val="0"/>
                <w:caps w:val="0"/>
                <w:color w:val="auto"/>
                <w:spacing w:val="0"/>
                <w:sz w:val="24"/>
                <w:szCs w:val="24"/>
                <w:highlight w:val="none"/>
                <w:shd w:val="clear" w:color="auto" w:fill="FFFFFF"/>
                <w:lang w:val="en-US" w:eastAsia="zh-CN"/>
              </w:rPr>
            </w:pPr>
            <w:r>
              <w:rPr>
                <w:rFonts w:hint="eastAsia" w:ascii="仿宋" w:hAnsi="仿宋" w:eastAsia="仿宋" w:cs="仿宋"/>
                <w:b/>
                <w:bCs/>
                <w:i w:val="0"/>
                <w:iCs w:val="0"/>
                <w:caps w:val="0"/>
                <w:color w:val="auto"/>
                <w:spacing w:val="0"/>
                <w:sz w:val="24"/>
                <w:szCs w:val="24"/>
                <w:highlight w:val="none"/>
                <w:shd w:val="clear" w:color="auto" w:fill="FFFFFF"/>
                <w:lang w:val="en-US" w:eastAsia="zh-CN"/>
              </w:rPr>
              <w:t>备注：</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2" w:firstLineChars="200"/>
              <w:jc w:val="both"/>
              <w:textAlignment w:val="auto"/>
              <w:rPr>
                <w:rFonts w:hint="eastAsia" w:ascii="仿宋" w:hAnsi="仿宋" w:eastAsia="仿宋" w:cs="仿宋"/>
                <w:b/>
                <w:bCs/>
                <w:i w:val="0"/>
                <w:iCs w:val="0"/>
                <w:caps w:val="0"/>
                <w:color w:val="auto"/>
                <w:spacing w:val="0"/>
                <w:sz w:val="24"/>
                <w:szCs w:val="24"/>
                <w:highlight w:val="none"/>
                <w:shd w:val="clear" w:color="auto" w:fill="FFFFFF"/>
                <w:lang w:val="en-US" w:eastAsia="zh-CN"/>
              </w:rPr>
            </w:pPr>
            <w:r>
              <w:rPr>
                <w:rFonts w:hint="eastAsia" w:ascii="仿宋" w:hAnsi="仿宋" w:eastAsia="仿宋" w:cs="仿宋"/>
                <w:b/>
                <w:bCs/>
                <w:i w:val="0"/>
                <w:iCs w:val="0"/>
                <w:caps w:val="0"/>
                <w:color w:val="auto"/>
                <w:spacing w:val="0"/>
                <w:sz w:val="24"/>
                <w:szCs w:val="24"/>
                <w:highlight w:val="none"/>
                <w:shd w:val="clear" w:color="auto" w:fill="FFFFFF"/>
                <w:lang w:val="en-US" w:eastAsia="zh-CN"/>
              </w:rPr>
              <w:t>1、本项目不接受联合体投标；不允许分包、转包，单位负责人为同一人或者存在直接控股、管理关系的不同投标人，不得参加同一合同项下的政府采购活动（提供非联合体书面声明材料）。</w:t>
            </w:r>
          </w:p>
          <w:p>
            <w:pPr>
              <w:spacing w:line="360" w:lineRule="auto"/>
              <w:ind w:firstLine="482" w:firstLineChars="200"/>
              <w:jc w:val="left"/>
              <w:outlineLvl w:val="9"/>
              <w:rPr>
                <w:rFonts w:hint="eastAsia" w:ascii="仿宋" w:hAnsi="仿宋" w:eastAsia="仿宋" w:cs="仿宋"/>
                <w:b/>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2、以上为必备资格条件，缺一项或某项达不到要求，按无效</w:t>
            </w:r>
            <w:r>
              <w:rPr>
                <w:rFonts w:hint="eastAsia" w:ascii="仿宋" w:hAnsi="仿宋" w:eastAsia="仿宋" w:cs="仿宋"/>
                <w:b/>
                <w:color w:val="auto"/>
                <w:sz w:val="24"/>
                <w:szCs w:val="24"/>
                <w:highlight w:val="none"/>
                <w:lang w:val="en-US" w:eastAsia="zh-CN"/>
              </w:rPr>
              <w:t>投标处理。</w:t>
            </w:r>
          </w:p>
          <w:p>
            <w:pPr>
              <w:pStyle w:val="14"/>
              <w:rPr>
                <w:rFonts w:hint="eastAsia" w:ascii="仿宋" w:hAnsi="仿宋" w:eastAsia="仿宋" w:cs="仿宋"/>
                <w:color w:val="auto"/>
                <w:highlight w:val="none"/>
                <w:lang w:val="en-US" w:eastAsia="zh-CN"/>
              </w:rPr>
            </w:pPr>
          </w:p>
        </w:tc>
      </w:tr>
    </w:tbl>
    <w:p>
      <w:pPr>
        <w:spacing w:line="360" w:lineRule="auto"/>
        <w:jc w:val="left"/>
        <w:outlineLvl w:val="9"/>
        <w:rPr>
          <w:rFonts w:hint="eastAsia" w:ascii="仿宋" w:hAnsi="仿宋" w:eastAsia="仿宋" w:cs="仿宋"/>
          <w:b/>
          <w:color w:val="auto"/>
          <w:sz w:val="30"/>
          <w:szCs w:val="30"/>
          <w:highlight w:val="none"/>
          <w:lang w:val="en-US" w:eastAsia="zh-CN"/>
        </w:rPr>
      </w:pPr>
    </w:p>
    <w:p>
      <w:pPr>
        <w:spacing w:line="360" w:lineRule="auto"/>
        <w:jc w:val="center"/>
        <w:outlineLvl w:val="9"/>
        <w:rPr>
          <w:rFonts w:hint="eastAsia" w:ascii="仿宋" w:hAnsi="仿宋" w:eastAsia="仿宋" w:cs="仿宋"/>
          <w:b/>
          <w:color w:val="auto"/>
          <w:sz w:val="28"/>
          <w:szCs w:val="28"/>
          <w:highlight w:val="none"/>
        </w:rPr>
      </w:pPr>
      <w:r>
        <w:rPr>
          <w:rFonts w:hint="eastAsia" w:ascii="仿宋" w:hAnsi="仿宋" w:eastAsia="仿宋" w:cs="仿宋"/>
          <w:b/>
          <w:color w:val="auto"/>
          <w:sz w:val="30"/>
          <w:szCs w:val="30"/>
          <w:highlight w:val="none"/>
        </w:rPr>
        <w:br w:type="page"/>
      </w:r>
      <w:r>
        <w:rPr>
          <w:rFonts w:hint="eastAsia" w:ascii="仿宋" w:hAnsi="仿宋" w:eastAsia="仿宋" w:cs="仿宋"/>
          <w:b/>
          <w:color w:val="auto"/>
          <w:sz w:val="30"/>
          <w:szCs w:val="30"/>
          <w:highlight w:val="none"/>
        </w:rPr>
        <w:t>附表二 符合性审查表</w:t>
      </w:r>
    </w:p>
    <w:tbl>
      <w:tblPr>
        <w:tblStyle w:val="22"/>
        <w:tblW w:w="901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64"/>
        <w:gridCol w:w="1922"/>
        <w:gridCol w:w="62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3" w:hRule="atLeast"/>
          <w:jc w:val="center"/>
        </w:trPr>
        <w:tc>
          <w:tcPr>
            <w:tcW w:w="864" w:type="dxa"/>
            <w:noWrap w:val="0"/>
            <w:vAlign w:val="center"/>
          </w:tcPr>
          <w:p>
            <w:pPr>
              <w:tabs>
                <w:tab w:val="left" w:pos="1260"/>
                <w:tab w:val="left" w:pos="1620"/>
              </w:tabs>
              <w:adjustRightInd w:val="0"/>
              <w:snapToGrid w:val="0"/>
              <w:spacing w:line="360" w:lineRule="auto"/>
              <w:jc w:val="center"/>
              <w:textAlignment w:val="baseline"/>
              <w:outlineLvl w:val="9"/>
              <w:rPr>
                <w:rFonts w:hint="eastAsia" w:ascii="仿宋" w:hAnsi="仿宋" w:eastAsia="仿宋" w:cs="仿宋"/>
                <w:b/>
                <w:caps/>
                <w:color w:val="auto"/>
                <w:sz w:val="24"/>
                <w:szCs w:val="24"/>
                <w:highlight w:val="none"/>
              </w:rPr>
            </w:pPr>
            <w:r>
              <w:rPr>
                <w:rFonts w:hint="eastAsia" w:ascii="仿宋" w:hAnsi="仿宋" w:eastAsia="仿宋" w:cs="仿宋"/>
                <w:b/>
                <w:caps/>
                <w:color w:val="auto"/>
                <w:sz w:val="24"/>
                <w:szCs w:val="24"/>
                <w:highlight w:val="none"/>
              </w:rPr>
              <w:t>序号</w:t>
            </w:r>
          </w:p>
        </w:tc>
        <w:tc>
          <w:tcPr>
            <w:tcW w:w="1922" w:type="dxa"/>
            <w:noWrap w:val="0"/>
            <w:vAlign w:val="center"/>
          </w:tcPr>
          <w:p>
            <w:pPr>
              <w:tabs>
                <w:tab w:val="left" w:pos="1260"/>
                <w:tab w:val="left" w:pos="1620"/>
              </w:tabs>
              <w:adjustRightInd w:val="0"/>
              <w:snapToGrid w:val="0"/>
              <w:spacing w:line="240" w:lineRule="auto"/>
              <w:jc w:val="center"/>
              <w:textAlignment w:val="baseline"/>
              <w:outlineLvl w:val="9"/>
              <w:rPr>
                <w:rFonts w:hint="eastAsia" w:ascii="仿宋" w:hAnsi="仿宋" w:eastAsia="仿宋" w:cs="仿宋"/>
                <w:b/>
                <w:caps/>
                <w:color w:val="auto"/>
                <w:sz w:val="24"/>
                <w:szCs w:val="24"/>
                <w:highlight w:val="none"/>
              </w:rPr>
            </w:pPr>
            <w:r>
              <w:rPr>
                <w:rFonts w:hint="eastAsia" w:ascii="仿宋" w:hAnsi="仿宋" w:eastAsia="仿宋" w:cs="仿宋"/>
                <w:b/>
                <w:caps/>
                <w:color w:val="auto"/>
                <w:sz w:val="24"/>
                <w:szCs w:val="24"/>
                <w:highlight w:val="none"/>
              </w:rPr>
              <w:t>评审项目</w:t>
            </w:r>
          </w:p>
        </w:tc>
        <w:tc>
          <w:tcPr>
            <w:tcW w:w="6233" w:type="dxa"/>
            <w:noWrap w:val="0"/>
            <w:vAlign w:val="center"/>
          </w:tcPr>
          <w:p>
            <w:pPr>
              <w:tabs>
                <w:tab w:val="left" w:pos="1260"/>
                <w:tab w:val="left" w:pos="1620"/>
              </w:tabs>
              <w:adjustRightInd w:val="0"/>
              <w:snapToGrid w:val="0"/>
              <w:spacing w:line="240" w:lineRule="auto"/>
              <w:jc w:val="center"/>
              <w:textAlignment w:val="baseline"/>
              <w:outlineLvl w:val="9"/>
              <w:rPr>
                <w:rFonts w:hint="eastAsia" w:ascii="仿宋" w:hAnsi="仿宋" w:eastAsia="仿宋" w:cs="仿宋"/>
                <w:b/>
                <w:caps/>
                <w:color w:val="auto"/>
                <w:sz w:val="24"/>
                <w:szCs w:val="24"/>
                <w:highlight w:val="none"/>
              </w:rPr>
            </w:pPr>
            <w:r>
              <w:rPr>
                <w:rFonts w:hint="eastAsia" w:ascii="仿宋" w:hAnsi="仿宋" w:eastAsia="仿宋" w:cs="仿宋"/>
                <w:b/>
                <w:caps/>
                <w:color w:val="auto"/>
                <w:sz w:val="24"/>
                <w:szCs w:val="24"/>
                <w:highlight w:val="none"/>
              </w:rPr>
              <w:t>评审标准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28" w:hRule="atLeast"/>
          <w:jc w:val="center"/>
        </w:trPr>
        <w:tc>
          <w:tcPr>
            <w:tcW w:w="864" w:type="dxa"/>
            <w:noWrap w:val="0"/>
            <w:vAlign w:val="center"/>
          </w:tcPr>
          <w:p>
            <w:pPr>
              <w:numPr>
                <w:ilvl w:val="0"/>
                <w:numId w:val="9"/>
              </w:numPr>
              <w:tabs>
                <w:tab w:val="left" w:pos="1260"/>
                <w:tab w:val="left" w:pos="1620"/>
              </w:tabs>
              <w:adjustRightInd w:val="0"/>
              <w:snapToGrid w:val="0"/>
              <w:spacing w:line="360" w:lineRule="auto"/>
              <w:textAlignment w:val="baseline"/>
              <w:outlineLvl w:val="9"/>
              <w:rPr>
                <w:rFonts w:hint="eastAsia" w:ascii="仿宋" w:hAnsi="仿宋" w:eastAsia="仿宋" w:cs="仿宋"/>
                <w:color w:val="auto"/>
                <w:sz w:val="24"/>
                <w:szCs w:val="24"/>
                <w:highlight w:val="none"/>
              </w:rPr>
            </w:pPr>
          </w:p>
        </w:tc>
        <w:tc>
          <w:tcPr>
            <w:tcW w:w="1922" w:type="dxa"/>
            <w:noWrap w:val="0"/>
            <w:vAlign w:val="center"/>
          </w:tcPr>
          <w:p>
            <w:pPr>
              <w:spacing w:line="360" w:lineRule="auto"/>
              <w:ind w:left="0" w:leftChars="0" w:firstLine="0" w:firstLineChars="0"/>
              <w:jc w:val="center"/>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投标文件项目名称、项目编号、标段（未分标段的除外）</w:t>
            </w:r>
          </w:p>
        </w:tc>
        <w:tc>
          <w:tcPr>
            <w:tcW w:w="6233" w:type="dxa"/>
            <w:noWrap w:val="0"/>
            <w:vAlign w:val="center"/>
          </w:tcPr>
          <w:p>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响应文件以下三处的项目名称、项目编号、标段与本项目完全一致，且无遗漏：（1）封面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（2）响应函；（3）法定代表人委托授权书。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21" w:hRule="atLeast"/>
          <w:jc w:val="center"/>
        </w:trPr>
        <w:tc>
          <w:tcPr>
            <w:tcW w:w="864" w:type="dxa"/>
            <w:noWrap w:val="0"/>
            <w:vAlign w:val="center"/>
          </w:tcPr>
          <w:p>
            <w:pPr>
              <w:numPr>
                <w:ilvl w:val="0"/>
                <w:numId w:val="9"/>
              </w:numPr>
              <w:tabs>
                <w:tab w:val="left" w:pos="1260"/>
                <w:tab w:val="left" w:pos="1620"/>
              </w:tabs>
              <w:adjustRightInd w:val="0"/>
              <w:snapToGrid w:val="0"/>
              <w:spacing w:line="360" w:lineRule="auto"/>
              <w:textAlignment w:val="baseline"/>
              <w:outlineLvl w:val="9"/>
              <w:rPr>
                <w:rFonts w:hint="eastAsia" w:ascii="仿宋" w:hAnsi="仿宋" w:eastAsia="仿宋" w:cs="仿宋"/>
                <w:color w:val="auto"/>
                <w:sz w:val="24"/>
                <w:szCs w:val="24"/>
                <w:highlight w:val="none"/>
              </w:rPr>
            </w:pPr>
          </w:p>
        </w:tc>
        <w:tc>
          <w:tcPr>
            <w:tcW w:w="1922" w:type="dxa"/>
            <w:noWrap w:val="0"/>
            <w:vAlign w:val="center"/>
          </w:tcPr>
          <w:p>
            <w:pPr>
              <w:spacing w:line="360" w:lineRule="auto"/>
              <w:ind w:left="0" w:leftChars="0" w:firstLine="0" w:firstLineChars="0"/>
              <w:jc w:val="center"/>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文件组成</w:t>
            </w:r>
          </w:p>
        </w:tc>
        <w:tc>
          <w:tcPr>
            <w:tcW w:w="6233" w:type="dxa"/>
            <w:noWrap w:val="0"/>
            <w:vAlign w:val="center"/>
          </w:tcPr>
          <w:p>
            <w:pPr>
              <w:pStyle w:val="39"/>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0" w:firstLineChars="0"/>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没有私自篡改</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lang w:val="zh-CN"/>
              </w:rPr>
              <w:t>文件</w:t>
            </w:r>
            <w:r>
              <w:rPr>
                <w:rFonts w:hint="eastAsia" w:ascii="仿宋" w:hAnsi="仿宋" w:eastAsia="仿宋" w:cs="仿宋"/>
                <w:color w:val="auto"/>
                <w:sz w:val="24"/>
                <w:szCs w:val="24"/>
                <w:highlight w:val="none"/>
              </w:rPr>
              <w:t>中规定的</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文件格式及相关内容，按</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lang w:val="zh-CN"/>
              </w:rPr>
              <w:t>文件</w:t>
            </w:r>
            <w:r>
              <w:rPr>
                <w:rFonts w:hint="eastAsia" w:ascii="仿宋" w:hAnsi="仿宋" w:eastAsia="仿宋" w:cs="仿宋"/>
                <w:color w:val="auto"/>
                <w:sz w:val="24"/>
                <w:szCs w:val="24"/>
                <w:highlight w:val="none"/>
              </w:rPr>
              <w:t>中规定的</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文件格式填写相关内容的</w:t>
            </w:r>
            <w:r>
              <w:rPr>
                <w:rFonts w:hint="eastAsia" w:ascii="仿宋" w:hAnsi="仿宋" w:eastAsia="仿宋" w:cs="仿宋"/>
                <w:color w:val="auto"/>
                <w:sz w:val="24"/>
                <w:szCs w:val="24"/>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21" w:hRule="atLeast"/>
          <w:jc w:val="center"/>
        </w:trPr>
        <w:tc>
          <w:tcPr>
            <w:tcW w:w="864" w:type="dxa"/>
            <w:noWrap w:val="0"/>
            <w:vAlign w:val="center"/>
          </w:tcPr>
          <w:p>
            <w:pPr>
              <w:numPr>
                <w:ilvl w:val="0"/>
                <w:numId w:val="9"/>
              </w:numPr>
              <w:tabs>
                <w:tab w:val="left" w:pos="1260"/>
                <w:tab w:val="left" w:pos="1620"/>
              </w:tabs>
              <w:adjustRightInd w:val="0"/>
              <w:snapToGrid w:val="0"/>
              <w:spacing w:line="360" w:lineRule="auto"/>
              <w:textAlignment w:val="baseline"/>
              <w:outlineLvl w:val="9"/>
              <w:rPr>
                <w:rFonts w:hint="eastAsia" w:ascii="仿宋" w:hAnsi="仿宋" w:eastAsia="仿宋" w:cs="仿宋"/>
                <w:color w:val="auto"/>
                <w:sz w:val="24"/>
                <w:szCs w:val="24"/>
                <w:highlight w:val="none"/>
              </w:rPr>
            </w:pPr>
          </w:p>
        </w:tc>
        <w:tc>
          <w:tcPr>
            <w:tcW w:w="1922" w:type="dxa"/>
            <w:noWrap w:val="0"/>
            <w:vAlign w:val="center"/>
          </w:tcPr>
          <w:p>
            <w:pPr>
              <w:spacing w:line="360" w:lineRule="auto"/>
              <w:ind w:left="0" w:leftChars="0" w:firstLine="0" w:firstLineChars="0"/>
              <w:jc w:val="center"/>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文件的签署、盖章</w:t>
            </w:r>
          </w:p>
        </w:tc>
        <w:tc>
          <w:tcPr>
            <w:tcW w:w="6233" w:type="dxa"/>
            <w:noWrap w:val="0"/>
            <w:vAlign w:val="center"/>
          </w:tcPr>
          <w:p>
            <w:pPr>
              <w:spacing w:line="360" w:lineRule="auto"/>
              <w:ind w:left="0" w:leftChars="0" w:firstLine="0" w:firstLineChars="0"/>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签署、盖章均符合</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文件要求，且无遗漏。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21" w:hRule="atLeast"/>
          <w:jc w:val="center"/>
        </w:trPr>
        <w:tc>
          <w:tcPr>
            <w:tcW w:w="864" w:type="dxa"/>
            <w:noWrap w:val="0"/>
            <w:vAlign w:val="center"/>
          </w:tcPr>
          <w:p>
            <w:pPr>
              <w:numPr>
                <w:ilvl w:val="0"/>
                <w:numId w:val="9"/>
              </w:numPr>
              <w:tabs>
                <w:tab w:val="left" w:pos="1260"/>
                <w:tab w:val="left" w:pos="1620"/>
              </w:tabs>
              <w:adjustRightInd w:val="0"/>
              <w:snapToGrid w:val="0"/>
              <w:spacing w:line="360" w:lineRule="auto"/>
              <w:textAlignment w:val="baseline"/>
              <w:outlineLvl w:val="9"/>
              <w:rPr>
                <w:rFonts w:hint="eastAsia" w:ascii="仿宋" w:hAnsi="仿宋" w:eastAsia="仿宋" w:cs="仿宋"/>
                <w:color w:val="auto"/>
                <w:sz w:val="24"/>
                <w:szCs w:val="24"/>
                <w:highlight w:val="none"/>
              </w:rPr>
            </w:pPr>
          </w:p>
        </w:tc>
        <w:tc>
          <w:tcPr>
            <w:tcW w:w="1922" w:type="dxa"/>
            <w:noWrap w:val="0"/>
            <w:vAlign w:val="center"/>
          </w:tcPr>
          <w:p>
            <w:pPr>
              <w:spacing w:line="360" w:lineRule="auto"/>
              <w:ind w:left="0" w:leftChars="0" w:firstLine="0" w:firstLineChars="0"/>
              <w:jc w:val="center"/>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投标文件的语言及计量单位</w:t>
            </w:r>
          </w:p>
        </w:tc>
        <w:tc>
          <w:tcPr>
            <w:tcW w:w="6233" w:type="dxa"/>
            <w:noWrap w:val="0"/>
            <w:vAlign w:val="center"/>
          </w:tcPr>
          <w:p>
            <w:pPr>
              <w:spacing w:line="360" w:lineRule="auto"/>
              <w:ind w:left="0" w:leftChars="0" w:firstLine="0" w:firstLineChars="0"/>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均符合</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文件的要求。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7" w:hRule="atLeast"/>
          <w:jc w:val="center"/>
        </w:trPr>
        <w:tc>
          <w:tcPr>
            <w:tcW w:w="864" w:type="dxa"/>
            <w:noWrap w:val="0"/>
            <w:vAlign w:val="center"/>
          </w:tcPr>
          <w:p>
            <w:pPr>
              <w:numPr>
                <w:ilvl w:val="0"/>
                <w:numId w:val="9"/>
              </w:numPr>
              <w:tabs>
                <w:tab w:val="left" w:pos="1260"/>
                <w:tab w:val="left" w:pos="1620"/>
              </w:tabs>
              <w:adjustRightInd w:val="0"/>
              <w:snapToGrid w:val="0"/>
              <w:spacing w:line="360" w:lineRule="auto"/>
              <w:textAlignment w:val="baseline"/>
              <w:outlineLvl w:val="9"/>
              <w:rPr>
                <w:rFonts w:hint="eastAsia" w:ascii="仿宋" w:hAnsi="仿宋" w:eastAsia="仿宋" w:cs="仿宋"/>
                <w:color w:val="auto"/>
                <w:sz w:val="24"/>
                <w:szCs w:val="24"/>
                <w:highlight w:val="none"/>
              </w:rPr>
            </w:pPr>
          </w:p>
        </w:tc>
        <w:tc>
          <w:tcPr>
            <w:tcW w:w="1922" w:type="dxa"/>
            <w:noWrap w:val="0"/>
            <w:vAlign w:val="center"/>
          </w:tcPr>
          <w:p>
            <w:pPr>
              <w:spacing w:line="360" w:lineRule="auto"/>
              <w:ind w:left="0" w:leftChars="0" w:firstLine="0" w:firstLineChars="0"/>
              <w:jc w:val="center"/>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投标有效期</w:t>
            </w:r>
          </w:p>
        </w:tc>
        <w:tc>
          <w:tcPr>
            <w:tcW w:w="6233" w:type="dxa"/>
            <w:noWrap w:val="0"/>
            <w:vAlign w:val="center"/>
          </w:tcPr>
          <w:p>
            <w:pPr>
              <w:spacing w:line="360" w:lineRule="auto"/>
              <w:ind w:left="0" w:leftChars="0" w:firstLine="0" w:firstLineChars="0"/>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符合</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文件的要求。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28" w:hRule="atLeast"/>
          <w:jc w:val="center"/>
        </w:trPr>
        <w:tc>
          <w:tcPr>
            <w:tcW w:w="864" w:type="dxa"/>
            <w:noWrap w:val="0"/>
            <w:vAlign w:val="center"/>
          </w:tcPr>
          <w:p>
            <w:pPr>
              <w:numPr>
                <w:ilvl w:val="0"/>
                <w:numId w:val="9"/>
              </w:numPr>
              <w:tabs>
                <w:tab w:val="left" w:pos="1260"/>
                <w:tab w:val="left" w:pos="1620"/>
              </w:tabs>
              <w:adjustRightInd w:val="0"/>
              <w:snapToGrid w:val="0"/>
              <w:spacing w:line="360" w:lineRule="auto"/>
              <w:textAlignment w:val="baseline"/>
              <w:outlineLvl w:val="9"/>
              <w:rPr>
                <w:rFonts w:hint="eastAsia" w:ascii="仿宋" w:hAnsi="仿宋" w:eastAsia="仿宋" w:cs="仿宋"/>
                <w:color w:val="auto"/>
                <w:sz w:val="24"/>
                <w:szCs w:val="24"/>
                <w:highlight w:val="none"/>
              </w:rPr>
            </w:pPr>
          </w:p>
        </w:tc>
        <w:tc>
          <w:tcPr>
            <w:tcW w:w="1922" w:type="dxa"/>
            <w:noWrap w:val="0"/>
            <w:vAlign w:val="center"/>
          </w:tcPr>
          <w:p>
            <w:pPr>
              <w:spacing w:line="360" w:lineRule="auto"/>
              <w:ind w:left="0" w:leftChars="0" w:firstLine="0" w:firstLineChars="0"/>
              <w:jc w:val="center"/>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投标报价</w:t>
            </w:r>
          </w:p>
        </w:tc>
        <w:tc>
          <w:tcPr>
            <w:tcW w:w="6233" w:type="dxa"/>
            <w:noWrap w:val="0"/>
            <w:vAlign w:val="center"/>
          </w:tcPr>
          <w:p>
            <w:pPr>
              <w:spacing w:line="360" w:lineRule="auto"/>
              <w:ind w:left="0" w:leftChars="0" w:firstLine="0" w:firstLineChars="0"/>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同时满足以下条款：（1）投标报价符合唯一性要求；（2）开标一览表填写符合要求；（3）报价货币符合</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文件要求；（4）未超出</w:t>
            </w:r>
            <w:r>
              <w:rPr>
                <w:rFonts w:hint="eastAsia" w:ascii="仿宋" w:hAnsi="仿宋" w:eastAsia="仿宋" w:cs="仿宋"/>
                <w:color w:val="auto"/>
                <w:sz w:val="24"/>
                <w:szCs w:val="24"/>
                <w:highlight w:val="none"/>
                <w:lang w:val="en-US" w:eastAsia="zh-CN"/>
              </w:rPr>
              <w:t>或等于</w:t>
            </w:r>
            <w:r>
              <w:rPr>
                <w:rFonts w:hint="eastAsia" w:ascii="仿宋" w:hAnsi="仿宋" w:eastAsia="仿宋" w:cs="仿宋"/>
                <w:color w:val="auto"/>
                <w:sz w:val="24"/>
                <w:szCs w:val="24"/>
                <w:highlight w:val="none"/>
              </w:rPr>
              <w:t>采购预算</w:t>
            </w:r>
            <w:r>
              <w:rPr>
                <w:rFonts w:hint="eastAsia" w:ascii="仿宋" w:hAnsi="仿宋" w:eastAsia="仿宋" w:cs="仿宋"/>
                <w:color w:val="auto"/>
                <w:sz w:val="24"/>
                <w:szCs w:val="24"/>
                <w:highlight w:val="none"/>
                <w:lang w:val="en-US" w:eastAsia="zh-CN"/>
              </w:rPr>
              <w:t>及磋商</w:t>
            </w:r>
            <w:r>
              <w:rPr>
                <w:rFonts w:hint="eastAsia" w:ascii="仿宋" w:hAnsi="仿宋" w:eastAsia="仿宋" w:cs="仿宋"/>
                <w:color w:val="auto"/>
                <w:sz w:val="24"/>
                <w:szCs w:val="24"/>
                <w:highlight w:val="none"/>
              </w:rPr>
              <w:t>文件规定的最高限价。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21" w:hRule="atLeast"/>
          <w:jc w:val="center"/>
        </w:trPr>
        <w:tc>
          <w:tcPr>
            <w:tcW w:w="864" w:type="dxa"/>
            <w:noWrap w:val="0"/>
            <w:vAlign w:val="center"/>
          </w:tcPr>
          <w:p>
            <w:pPr>
              <w:numPr>
                <w:ilvl w:val="0"/>
                <w:numId w:val="9"/>
              </w:numPr>
              <w:tabs>
                <w:tab w:val="left" w:pos="1260"/>
                <w:tab w:val="left" w:pos="1620"/>
              </w:tabs>
              <w:adjustRightInd w:val="0"/>
              <w:snapToGrid w:val="0"/>
              <w:spacing w:line="360" w:lineRule="auto"/>
              <w:textAlignment w:val="baseline"/>
              <w:outlineLvl w:val="9"/>
              <w:rPr>
                <w:rFonts w:hint="eastAsia" w:ascii="仿宋" w:hAnsi="仿宋" w:eastAsia="仿宋" w:cs="仿宋"/>
                <w:color w:val="auto"/>
                <w:sz w:val="24"/>
                <w:szCs w:val="24"/>
                <w:highlight w:val="none"/>
              </w:rPr>
            </w:pPr>
          </w:p>
        </w:tc>
        <w:tc>
          <w:tcPr>
            <w:tcW w:w="1922" w:type="dxa"/>
            <w:noWrap w:val="0"/>
            <w:vAlign w:val="center"/>
          </w:tcPr>
          <w:p>
            <w:pPr>
              <w:spacing w:line="360" w:lineRule="auto"/>
              <w:ind w:left="0" w:leftChars="0" w:firstLine="0" w:firstLineChars="0"/>
              <w:jc w:val="center"/>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实质性条款响应</w:t>
            </w:r>
          </w:p>
        </w:tc>
        <w:tc>
          <w:tcPr>
            <w:tcW w:w="6233" w:type="dxa"/>
            <w:noWrap w:val="0"/>
            <w:vAlign w:val="center"/>
          </w:tcPr>
          <w:p>
            <w:pPr>
              <w:spacing w:line="360" w:lineRule="auto"/>
              <w:ind w:left="0" w:leftChars="0" w:firstLine="0" w:firstLineChars="0"/>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文件做出了实质性响应没有重大缺项漏项,无明显不符合各项技术</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商务</w:t>
            </w:r>
            <w:r>
              <w:rPr>
                <w:rFonts w:hint="eastAsia" w:ascii="仿宋" w:hAnsi="仿宋" w:eastAsia="仿宋" w:cs="仿宋"/>
                <w:color w:val="auto"/>
                <w:sz w:val="24"/>
                <w:szCs w:val="24"/>
                <w:highlight w:val="none"/>
                <w:lang w:val="en-US" w:eastAsia="zh-CN"/>
              </w:rPr>
              <w:t>条款</w:t>
            </w:r>
            <w:r>
              <w:rPr>
                <w:rFonts w:hint="eastAsia" w:ascii="仿宋" w:hAnsi="仿宋" w:eastAsia="仿宋" w:cs="仿宋"/>
                <w:color w:val="auto"/>
                <w:sz w:val="24"/>
                <w:szCs w:val="24"/>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21" w:hRule="atLeast"/>
          <w:jc w:val="center"/>
        </w:trPr>
        <w:tc>
          <w:tcPr>
            <w:tcW w:w="864" w:type="dxa"/>
            <w:noWrap w:val="0"/>
            <w:vAlign w:val="center"/>
          </w:tcPr>
          <w:p>
            <w:pPr>
              <w:numPr>
                <w:ilvl w:val="0"/>
                <w:numId w:val="9"/>
              </w:numPr>
              <w:tabs>
                <w:tab w:val="left" w:pos="1260"/>
                <w:tab w:val="left" w:pos="1620"/>
              </w:tabs>
              <w:adjustRightInd w:val="0"/>
              <w:snapToGrid w:val="0"/>
              <w:spacing w:line="360" w:lineRule="auto"/>
              <w:textAlignment w:val="baseline"/>
              <w:outlineLvl w:val="9"/>
              <w:rPr>
                <w:rFonts w:hint="eastAsia" w:ascii="仿宋" w:hAnsi="仿宋" w:eastAsia="仿宋" w:cs="仿宋"/>
                <w:color w:val="auto"/>
                <w:sz w:val="24"/>
                <w:szCs w:val="24"/>
                <w:highlight w:val="none"/>
              </w:rPr>
            </w:pPr>
          </w:p>
        </w:tc>
        <w:tc>
          <w:tcPr>
            <w:tcW w:w="1922" w:type="dxa"/>
            <w:noWrap w:val="0"/>
            <w:vAlign w:val="center"/>
          </w:tcPr>
          <w:p>
            <w:pPr>
              <w:spacing w:line="360" w:lineRule="auto"/>
              <w:ind w:left="0" w:leftChars="0" w:firstLine="0" w:firstLineChars="0"/>
              <w:jc w:val="center"/>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lang w:val="en-US" w:eastAsia="zh-CN"/>
              </w:rPr>
              <w:t>条款</w:t>
            </w:r>
          </w:p>
        </w:tc>
        <w:tc>
          <w:tcPr>
            <w:tcW w:w="6233" w:type="dxa"/>
            <w:noWrap w:val="0"/>
            <w:vAlign w:val="center"/>
          </w:tcPr>
          <w:p>
            <w:pPr>
              <w:spacing w:line="360" w:lineRule="auto"/>
              <w:ind w:left="0" w:leftChars="0" w:firstLine="0" w:firstLineChars="0"/>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完全理解并接受</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文件合同基本条款及格式的各项要求。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28" w:hRule="atLeast"/>
          <w:jc w:val="center"/>
        </w:trPr>
        <w:tc>
          <w:tcPr>
            <w:tcW w:w="864" w:type="dxa"/>
            <w:noWrap w:val="0"/>
            <w:vAlign w:val="center"/>
          </w:tcPr>
          <w:p>
            <w:pPr>
              <w:numPr>
                <w:ilvl w:val="0"/>
                <w:numId w:val="9"/>
              </w:numPr>
              <w:tabs>
                <w:tab w:val="left" w:pos="1260"/>
                <w:tab w:val="left" w:pos="1620"/>
              </w:tabs>
              <w:adjustRightInd w:val="0"/>
              <w:snapToGrid w:val="0"/>
              <w:spacing w:line="360" w:lineRule="auto"/>
              <w:textAlignment w:val="baseline"/>
              <w:outlineLvl w:val="9"/>
              <w:rPr>
                <w:rFonts w:hint="eastAsia" w:ascii="仿宋" w:hAnsi="仿宋" w:eastAsia="仿宋" w:cs="仿宋"/>
                <w:color w:val="auto"/>
                <w:sz w:val="24"/>
                <w:szCs w:val="24"/>
                <w:highlight w:val="none"/>
              </w:rPr>
            </w:pPr>
          </w:p>
        </w:tc>
        <w:tc>
          <w:tcPr>
            <w:tcW w:w="1922" w:type="dxa"/>
            <w:noWrap w:val="0"/>
            <w:vAlign w:val="center"/>
          </w:tcPr>
          <w:p>
            <w:pP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虚假材料</w:t>
            </w:r>
          </w:p>
        </w:tc>
        <w:tc>
          <w:tcPr>
            <w:tcW w:w="6233" w:type="dxa"/>
            <w:noWrap w:val="0"/>
            <w:vAlign w:val="center"/>
          </w:tcPr>
          <w:p>
            <w:pPr>
              <w:spacing w:line="360" w:lineRule="auto"/>
              <w:ind w:left="0" w:leftChars="0" w:firstLine="0" w:firstLineChars="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未提供虚假证明（包括第三方提供的虚假证明），未开具虚假资质，未出现虚假应答，没有弄虚作假、恶意串通或妨碍其他供应商的竞争行为，损害采购人或者其他供应商的合法权益</w:t>
            </w:r>
            <w:r>
              <w:rPr>
                <w:rFonts w:hint="eastAsia" w:ascii="仿宋" w:hAnsi="仿宋" w:eastAsia="仿宋" w:cs="仿宋"/>
                <w:color w:val="auto"/>
                <w:sz w:val="24"/>
                <w:szCs w:val="24"/>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64" w:type="dxa"/>
            <w:noWrap w:val="0"/>
            <w:vAlign w:val="center"/>
          </w:tcPr>
          <w:p>
            <w:pPr>
              <w:numPr>
                <w:ilvl w:val="0"/>
                <w:numId w:val="9"/>
              </w:numPr>
              <w:tabs>
                <w:tab w:val="left" w:pos="1260"/>
                <w:tab w:val="left" w:pos="1620"/>
              </w:tabs>
              <w:adjustRightInd w:val="0"/>
              <w:snapToGrid w:val="0"/>
              <w:spacing w:line="360" w:lineRule="auto"/>
              <w:textAlignment w:val="baseline"/>
              <w:outlineLvl w:val="9"/>
              <w:rPr>
                <w:rFonts w:hint="eastAsia" w:ascii="仿宋" w:hAnsi="仿宋" w:eastAsia="仿宋" w:cs="仿宋"/>
                <w:color w:val="auto"/>
                <w:sz w:val="24"/>
                <w:szCs w:val="24"/>
                <w:highlight w:val="none"/>
              </w:rPr>
            </w:pPr>
          </w:p>
        </w:tc>
        <w:tc>
          <w:tcPr>
            <w:tcW w:w="1922" w:type="dxa"/>
            <w:noWrap w:val="0"/>
            <w:vAlign w:val="center"/>
          </w:tcPr>
          <w:p>
            <w:pPr>
              <w:spacing w:line="360" w:lineRule="auto"/>
              <w:ind w:left="0" w:leftChars="0" w:firstLine="0" w:firstLineChars="0"/>
              <w:jc w:val="center"/>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其他</w:t>
            </w:r>
          </w:p>
        </w:tc>
        <w:tc>
          <w:tcPr>
            <w:tcW w:w="6233" w:type="dxa"/>
            <w:noWrap w:val="0"/>
            <w:vAlign w:val="center"/>
          </w:tcPr>
          <w:p>
            <w:pPr>
              <w:spacing w:line="360" w:lineRule="auto"/>
              <w:ind w:left="0" w:leftChars="0" w:firstLine="0" w:firstLineChars="0"/>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完全理解并接受法律法规和</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文件对投标人的各项须知、规约要求和责任义务，没有出现法律法规</w:t>
            </w:r>
            <w:r>
              <w:rPr>
                <w:rFonts w:hint="eastAsia" w:ascii="仿宋" w:hAnsi="仿宋" w:eastAsia="仿宋" w:cs="仿宋"/>
                <w:color w:val="auto"/>
                <w:sz w:val="24"/>
                <w:szCs w:val="24"/>
                <w:highlight w:val="none"/>
                <w:lang w:val="en-US" w:eastAsia="zh-CN"/>
              </w:rPr>
              <w:t>及磋商</w:t>
            </w:r>
            <w:r>
              <w:rPr>
                <w:rFonts w:hint="eastAsia" w:ascii="仿宋" w:hAnsi="仿宋" w:eastAsia="仿宋" w:cs="仿宋"/>
                <w:color w:val="auto"/>
                <w:sz w:val="24"/>
                <w:szCs w:val="24"/>
                <w:highlight w:val="none"/>
              </w:rPr>
              <w:t>文件明确规定的其他被视为“无效投标”的情形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响应文件不含有采购人不能接受的附加条件</w:t>
            </w:r>
            <w:r>
              <w:rPr>
                <w:rFonts w:hint="eastAsia" w:ascii="仿宋" w:hAnsi="仿宋" w:eastAsia="仿宋" w:cs="仿宋"/>
                <w:color w:val="auto"/>
                <w:sz w:val="24"/>
                <w:szCs w:val="24"/>
                <w:highlight w:val="none"/>
                <w:lang w:eastAsia="zh-CN"/>
              </w:rPr>
              <w:t>。</w:t>
            </w:r>
          </w:p>
        </w:tc>
      </w:tr>
    </w:tbl>
    <w:p>
      <w:pPr>
        <w:tabs>
          <w:tab w:val="left" w:pos="1260"/>
          <w:tab w:val="left" w:pos="1620"/>
        </w:tabs>
        <w:adjustRightInd w:val="0"/>
        <w:spacing w:line="360" w:lineRule="auto"/>
        <w:ind w:left="0" w:leftChars="0" w:firstLine="422" w:firstLineChars="175"/>
        <w:jc w:val="left"/>
        <w:textAlignment w:val="baseline"/>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、有下列情形之一的，视为供应商相互串通：</w:t>
      </w:r>
    </w:p>
    <w:p>
      <w:pPr>
        <w:tabs>
          <w:tab w:val="left" w:pos="1260"/>
          <w:tab w:val="left" w:pos="1620"/>
        </w:tabs>
        <w:adjustRightInd w:val="0"/>
        <w:spacing w:line="360" w:lineRule="auto"/>
        <w:ind w:left="0" w:leftChars="0" w:firstLine="422" w:firstLineChars="175"/>
        <w:jc w:val="left"/>
        <w:textAlignment w:val="baseline"/>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（1）不同供应商的响应文件由同一单位或者个人编制；</w:t>
      </w:r>
    </w:p>
    <w:p>
      <w:pPr>
        <w:tabs>
          <w:tab w:val="left" w:pos="1260"/>
          <w:tab w:val="left" w:pos="1620"/>
        </w:tabs>
        <w:adjustRightInd w:val="0"/>
        <w:spacing w:line="360" w:lineRule="auto"/>
        <w:ind w:left="0" w:leftChars="0" w:firstLine="422" w:firstLineChars="175"/>
        <w:jc w:val="left"/>
        <w:textAlignment w:val="baseline"/>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（2）不同供应商委托同一单位或者个人办理参与磋商事宜；</w:t>
      </w:r>
    </w:p>
    <w:p>
      <w:pPr>
        <w:tabs>
          <w:tab w:val="left" w:pos="1260"/>
          <w:tab w:val="left" w:pos="1620"/>
        </w:tabs>
        <w:adjustRightInd w:val="0"/>
        <w:spacing w:line="360" w:lineRule="auto"/>
        <w:ind w:left="0" w:leftChars="0" w:firstLine="422" w:firstLineChars="175"/>
        <w:jc w:val="left"/>
        <w:textAlignment w:val="baseline"/>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（3）不同供应商的响应文件载明的项目管理成员或者联系人员为同一人；</w:t>
      </w:r>
    </w:p>
    <w:p>
      <w:pPr>
        <w:tabs>
          <w:tab w:val="left" w:pos="1260"/>
          <w:tab w:val="left" w:pos="1620"/>
        </w:tabs>
        <w:adjustRightInd w:val="0"/>
        <w:spacing w:line="360" w:lineRule="auto"/>
        <w:ind w:left="0" w:leftChars="0" w:firstLine="422" w:firstLineChars="175"/>
        <w:jc w:val="left"/>
        <w:textAlignment w:val="baseline"/>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（4）不同供应商的响应文件异常一致或者报价呈规律性差异；</w:t>
      </w:r>
    </w:p>
    <w:p>
      <w:pPr>
        <w:tabs>
          <w:tab w:val="left" w:pos="1260"/>
          <w:tab w:val="left" w:pos="1620"/>
        </w:tabs>
        <w:adjustRightInd w:val="0"/>
        <w:spacing w:line="360" w:lineRule="auto"/>
        <w:ind w:left="0" w:leftChars="0" w:firstLine="422" w:firstLineChars="175"/>
        <w:jc w:val="left"/>
        <w:textAlignment w:val="baseline"/>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（5）不同供应商的响应文件相互混装；</w:t>
      </w:r>
    </w:p>
    <w:p>
      <w:pPr>
        <w:tabs>
          <w:tab w:val="left" w:pos="1260"/>
          <w:tab w:val="left" w:pos="1620"/>
        </w:tabs>
        <w:adjustRightInd w:val="0"/>
        <w:spacing w:line="360" w:lineRule="auto"/>
        <w:ind w:left="0" w:leftChars="0" w:firstLine="422" w:firstLineChars="175"/>
        <w:jc w:val="left"/>
        <w:textAlignment w:val="baseline"/>
        <w:outlineLvl w:val="9"/>
        <w:rPr>
          <w:rFonts w:hint="eastAsia" w:ascii="仿宋" w:hAnsi="仿宋" w:eastAsia="仿宋" w:cs="仿宋"/>
          <w:b/>
          <w:color w:val="auto"/>
          <w:sz w:val="24"/>
          <w:szCs w:val="24"/>
          <w:highlight w:val="none"/>
        </w:rPr>
      </w:pPr>
      <w:bookmarkStart w:id="429" w:name="_Toc24143"/>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、有下列情形之一的，属于提供虚假材料谋取成交的行为：</w:t>
      </w:r>
      <w:bookmarkEnd w:id="429"/>
    </w:p>
    <w:p>
      <w:pPr>
        <w:tabs>
          <w:tab w:val="left" w:pos="1260"/>
          <w:tab w:val="left" w:pos="1620"/>
        </w:tabs>
        <w:adjustRightInd w:val="0"/>
        <w:spacing w:line="360" w:lineRule="auto"/>
        <w:ind w:left="0" w:leftChars="0" w:firstLine="422" w:firstLineChars="175"/>
        <w:jc w:val="left"/>
        <w:textAlignment w:val="baseline"/>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（1）使用伪造、变造的许可证件；</w:t>
      </w:r>
    </w:p>
    <w:p>
      <w:pPr>
        <w:tabs>
          <w:tab w:val="left" w:pos="1260"/>
          <w:tab w:val="left" w:pos="1620"/>
        </w:tabs>
        <w:adjustRightInd w:val="0"/>
        <w:spacing w:line="360" w:lineRule="auto"/>
        <w:ind w:left="0" w:leftChars="0" w:firstLine="422" w:firstLineChars="175"/>
        <w:jc w:val="left"/>
        <w:textAlignment w:val="baseline"/>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（2）提供虚假的财务状况或者业绩；</w:t>
      </w:r>
    </w:p>
    <w:p>
      <w:pPr>
        <w:tabs>
          <w:tab w:val="left" w:pos="1260"/>
          <w:tab w:val="left" w:pos="1620"/>
        </w:tabs>
        <w:adjustRightInd w:val="0"/>
        <w:spacing w:line="360" w:lineRule="auto"/>
        <w:ind w:left="0" w:leftChars="0" w:firstLine="422" w:firstLineChars="175"/>
        <w:jc w:val="left"/>
        <w:textAlignment w:val="baseline"/>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（3）提供虚假的项目负责人或者主要技术人员简历、劳动关系证明；</w:t>
      </w:r>
    </w:p>
    <w:p>
      <w:pPr>
        <w:tabs>
          <w:tab w:val="left" w:pos="1260"/>
          <w:tab w:val="left" w:pos="1620"/>
        </w:tabs>
        <w:adjustRightInd w:val="0"/>
        <w:spacing w:line="360" w:lineRule="auto"/>
        <w:ind w:left="0" w:leftChars="0" w:firstLine="422" w:firstLineChars="175"/>
        <w:jc w:val="left"/>
        <w:textAlignment w:val="baseline"/>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（4）提供虚假的信用状况；</w:t>
      </w:r>
    </w:p>
    <w:p>
      <w:pPr>
        <w:tabs>
          <w:tab w:val="left" w:pos="1260"/>
          <w:tab w:val="left" w:pos="1620"/>
        </w:tabs>
        <w:adjustRightInd w:val="0"/>
        <w:spacing w:line="360" w:lineRule="auto"/>
        <w:ind w:left="0" w:leftChars="0" w:firstLine="422" w:firstLineChars="175"/>
        <w:jc w:val="left"/>
        <w:textAlignment w:val="baseline"/>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（5）其他弄虚作假的行为。</w:t>
      </w:r>
    </w:p>
    <w:p>
      <w:pPr>
        <w:tabs>
          <w:tab w:val="left" w:pos="1260"/>
          <w:tab w:val="left" w:pos="1620"/>
        </w:tabs>
        <w:adjustRightInd w:val="0"/>
        <w:spacing w:line="240" w:lineRule="auto"/>
        <w:jc w:val="center"/>
        <w:textAlignment w:val="baseline"/>
        <w:outlineLvl w:val="9"/>
        <w:rPr>
          <w:rFonts w:hint="eastAsia" w:ascii="仿宋" w:hAnsi="仿宋" w:eastAsia="仿宋" w:cs="仿宋"/>
          <w:b/>
          <w:bCs w:val="0"/>
          <w:color w:val="auto"/>
          <w:sz w:val="30"/>
          <w:szCs w:val="30"/>
          <w:highlight w:val="none"/>
          <w:lang w:val="en-US" w:eastAsia="zh-CN"/>
        </w:rPr>
      </w:pPr>
      <w:r>
        <w:rPr>
          <w:rFonts w:hint="eastAsia" w:ascii="仿宋" w:hAnsi="仿宋" w:eastAsia="仿宋" w:cs="仿宋"/>
          <w:b/>
          <w:color w:val="auto"/>
          <w:szCs w:val="21"/>
          <w:highlight w:val="none"/>
        </w:rPr>
        <w:br w:type="page"/>
      </w:r>
      <w:bookmarkStart w:id="430" w:name="_Toc414446034"/>
      <w:bookmarkStart w:id="431" w:name="_Toc410631198"/>
      <w:bookmarkStart w:id="432" w:name="_Toc7005048"/>
      <w:r>
        <w:rPr>
          <w:rFonts w:hint="eastAsia" w:ascii="仿宋" w:hAnsi="仿宋" w:eastAsia="仿宋" w:cs="仿宋"/>
          <w:b/>
          <w:bCs w:val="0"/>
          <w:color w:val="auto"/>
          <w:sz w:val="30"/>
          <w:szCs w:val="30"/>
          <w:highlight w:val="none"/>
        </w:rPr>
        <w:t xml:space="preserve">附表三 </w:t>
      </w:r>
      <w:bookmarkEnd w:id="430"/>
      <w:bookmarkEnd w:id="431"/>
      <w:bookmarkEnd w:id="432"/>
      <w:r>
        <w:rPr>
          <w:rFonts w:hint="eastAsia" w:ascii="仿宋" w:hAnsi="仿宋" w:eastAsia="仿宋" w:cs="仿宋"/>
          <w:b/>
          <w:bCs w:val="0"/>
          <w:color w:val="auto"/>
          <w:sz w:val="30"/>
          <w:szCs w:val="30"/>
          <w:highlight w:val="none"/>
          <w:lang w:val="en-US" w:eastAsia="zh-CN"/>
        </w:rPr>
        <w:t>详细评审</w:t>
      </w:r>
    </w:p>
    <w:p>
      <w:pPr>
        <w:tabs>
          <w:tab w:val="left" w:pos="-94"/>
          <w:tab w:val="left" w:pos="1620"/>
        </w:tabs>
        <w:adjustRightInd w:val="0"/>
        <w:spacing w:line="240" w:lineRule="auto"/>
        <w:jc w:val="both"/>
        <w:textAlignment w:val="baseline"/>
        <w:outlineLvl w:val="9"/>
        <w:rPr>
          <w:rFonts w:hint="eastAsia" w:ascii="仿宋" w:hAnsi="仿宋" w:eastAsia="仿宋" w:cs="仿宋"/>
          <w:b/>
          <w:bCs/>
          <w:color w:val="auto"/>
          <w:sz w:val="24"/>
          <w:szCs w:val="24"/>
          <w:highlight w:val="none"/>
        </w:rPr>
      </w:pPr>
      <w:bookmarkStart w:id="433" w:name="_Toc343511741"/>
      <w:r>
        <w:rPr>
          <w:rFonts w:hint="eastAsia" w:ascii="仿宋" w:hAnsi="仿宋" w:eastAsia="仿宋" w:cs="仿宋"/>
          <w:b/>
          <w:bCs/>
          <w:color w:val="auto"/>
          <w:sz w:val="24"/>
          <w:szCs w:val="24"/>
          <w:highlight w:val="none"/>
        </w:rPr>
        <w:t>评标方法</w:t>
      </w:r>
      <w:bookmarkEnd w:id="433"/>
      <w:bookmarkStart w:id="434" w:name="_Toc343511742"/>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综合</w:t>
      </w:r>
      <w:r>
        <w:rPr>
          <w:rFonts w:hint="eastAsia" w:ascii="仿宋" w:hAnsi="仿宋" w:eastAsia="仿宋" w:cs="仿宋"/>
          <w:b/>
          <w:bCs/>
          <w:color w:val="auto"/>
          <w:sz w:val="24"/>
          <w:szCs w:val="24"/>
          <w:highlight w:val="none"/>
        </w:rPr>
        <w:t>评</w:t>
      </w:r>
      <w:bookmarkEnd w:id="434"/>
      <w:r>
        <w:rPr>
          <w:rFonts w:hint="eastAsia" w:ascii="仿宋" w:hAnsi="仿宋" w:eastAsia="仿宋" w:cs="仿宋"/>
          <w:b/>
          <w:bCs/>
          <w:color w:val="auto"/>
          <w:sz w:val="24"/>
          <w:szCs w:val="24"/>
          <w:highlight w:val="none"/>
          <w:lang w:val="en-US" w:eastAsia="zh-CN"/>
        </w:rPr>
        <w:t>分法。</w:t>
      </w:r>
      <w:r>
        <w:rPr>
          <w:rFonts w:hint="eastAsia" w:ascii="仿宋" w:hAnsi="仿宋" w:eastAsia="仿宋" w:cs="仿宋"/>
          <w:b/>
          <w:bCs/>
          <w:color w:val="auto"/>
          <w:sz w:val="24"/>
          <w:szCs w:val="24"/>
          <w:highlight w:val="none"/>
        </w:rPr>
        <w:t>总分</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100分</w:t>
      </w:r>
    </w:p>
    <w:p>
      <w:pPr>
        <w:tabs>
          <w:tab w:val="left" w:pos="-94"/>
          <w:tab w:val="left" w:pos="1620"/>
        </w:tabs>
        <w:adjustRightInd w:val="0"/>
        <w:spacing w:line="240" w:lineRule="auto"/>
        <w:jc w:val="both"/>
        <w:textAlignment w:val="baseline"/>
        <w:outlineLvl w:val="9"/>
        <w:rPr>
          <w:rFonts w:hint="eastAsia" w:ascii="仿宋" w:hAnsi="仿宋" w:eastAsia="仿宋" w:cs="仿宋"/>
          <w:b/>
          <w:bCs/>
          <w:color w:val="auto"/>
          <w:sz w:val="24"/>
          <w:szCs w:val="24"/>
          <w:highlight w:val="none"/>
        </w:rPr>
      </w:pP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933"/>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94" w:type="pct"/>
            <w:noWrap w:val="0"/>
            <w:vAlign w:val="top"/>
          </w:tcPr>
          <w:p>
            <w:pPr>
              <w:pStyle w:val="10"/>
              <w:jc w:val="center"/>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评审因素</w:t>
            </w:r>
          </w:p>
        </w:tc>
        <w:tc>
          <w:tcPr>
            <w:tcW w:w="502" w:type="pct"/>
            <w:noWrap w:val="0"/>
            <w:vAlign w:val="top"/>
          </w:tcPr>
          <w:p>
            <w:pPr>
              <w:pStyle w:val="1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分值</w:t>
            </w:r>
          </w:p>
        </w:tc>
        <w:tc>
          <w:tcPr>
            <w:tcW w:w="3602" w:type="pct"/>
            <w:noWrap w:val="0"/>
            <w:vAlign w:val="top"/>
          </w:tcPr>
          <w:p>
            <w:pPr>
              <w:pStyle w:val="10"/>
              <w:jc w:val="center"/>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评审内容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1" w:hRule="atLeast"/>
          <w:jc w:val="center"/>
        </w:trPr>
        <w:tc>
          <w:tcPr>
            <w:tcW w:w="894" w:type="pct"/>
            <w:noWrap w:val="0"/>
            <w:vAlign w:val="center"/>
          </w:tcPr>
          <w:p>
            <w:pPr>
              <w:pStyle w:val="10"/>
              <w:jc w:val="center"/>
              <w:rPr>
                <w:rFonts w:hint="default" w:ascii="仿宋" w:hAnsi="仿宋" w:eastAsia="仿宋" w:cs="仿宋"/>
                <w:b/>
                <w:bCs/>
                <w:szCs w:val="24"/>
                <w:vertAlign w:val="baseline"/>
                <w:lang w:val="en-US" w:eastAsia="zh-CN"/>
              </w:rPr>
            </w:pPr>
            <w:r>
              <w:rPr>
                <w:rFonts w:hint="eastAsia" w:ascii="仿宋" w:hAnsi="仿宋" w:eastAsia="仿宋" w:cs="仿宋"/>
                <w:b/>
                <w:bCs/>
                <w:szCs w:val="24"/>
                <w:vertAlign w:val="baseline"/>
                <w:lang w:val="en-US" w:eastAsia="zh-CN"/>
              </w:rPr>
              <w:t>投标报价</w:t>
            </w:r>
          </w:p>
        </w:tc>
        <w:tc>
          <w:tcPr>
            <w:tcW w:w="502" w:type="pct"/>
            <w:noWrap w:val="0"/>
            <w:vAlign w:val="center"/>
          </w:tcPr>
          <w:p>
            <w:pPr>
              <w:pStyle w:val="10"/>
              <w:jc w:val="center"/>
              <w:rPr>
                <w:rFonts w:hint="default" w:ascii="仿宋" w:hAnsi="仿宋" w:eastAsia="仿宋" w:cs="仿宋"/>
                <w:b/>
                <w:bCs/>
                <w:szCs w:val="24"/>
                <w:vertAlign w:val="baseline"/>
                <w:lang w:val="en-US" w:eastAsia="zh-CN"/>
              </w:rPr>
            </w:pPr>
            <w:r>
              <w:rPr>
                <w:rFonts w:hint="eastAsia" w:ascii="仿宋" w:hAnsi="仿宋" w:eastAsia="仿宋" w:cs="仿宋"/>
                <w:b/>
                <w:bCs/>
                <w:szCs w:val="24"/>
                <w:vertAlign w:val="baseline"/>
                <w:lang w:val="en-US" w:eastAsia="zh-CN"/>
              </w:rPr>
              <w:t>10分</w:t>
            </w:r>
          </w:p>
        </w:tc>
        <w:tc>
          <w:tcPr>
            <w:tcW w:w="3602" w:type="pct"/>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bCs/>
                <w:sz w:val="24"/>
                <w:szCs w:val="21"/>
                <w:highlight w:val="none"/>
                <w:lang w:val="en-US" w:eastAsia="zh-CN"/>
              </w:rPr>
            </w:pPr>
            <w:r>
              <w:rPr>
                <w:rFonts w:hint="eastAsia" w:ascii="仿宋" w:hAnsi="仿宋" w:eastAsia="仿宋" w:cs="仿宋"/>
                <w:sz w:val="24"/>
                <w:szCs w:val="21"/>
                <w:highlight w:val="none"/>
                <w:lang w:val="en-US" w:eastAsia="zh-CN"/>
              </w:rPr>
              <w:t>按照财政部《关于加强政府采购货物和服务项目价格评审管理的通知》（财库[2007]2号）的有关规定：价格分采用低价优先法计算，即满足招标文件要求且投标报价最低的投标报价为评标基准价，其价格分为满分。其他投标单位的价格分统一按照下列公式计算：投标报价=（评标基准价/投标报价）*投标报价总分</w:t>
            </w:r>
            <w:r>
              <w:rPr>
                <w:rFonts w:hint="eastAsia" w:ascii="仿宋" w:hAnsi="仿宋" w:eastAsia="仿宋" w:cs="仿宋"/>
                <w:sz w:val="24"/>
                <w:szCs w:val="21"/>
                <w:highlight w:val="none"/>
                <w:lang w:val="en-US" w:eastAsia="zh-CN"/>
              </w:rPr>
              <w:br w:type="textWrapping"/>
            </w:r>
            <w:r>
              <w:rPr>
                <w:rFonts w:hint="eastAsia" w:ascii="仿宋" w:hAnsi="仿宋" w:eastAsia="仿宋" w:cs="仿宋"/>
                <w:b/>
                <w:bCs/>
                <w:sz w:val="24"/>
                <w:szCs w:val="21"/>
                <w:highlight w:val="none"/>
                <w:lang w:val="en-US" w:eastAsia="zh-CN"/>
              </w:rPr>
              <w:t>注：根据《政府采购促进中小企业发展暂行办法》的相关规定，对小型和微型企业的价格给予20%的扣除，用扣除后的价格参与评审。本项目专门面向中小企业，均不予折扣。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rPr>
            </w:pPr>
            <w:r>
              <w:rPr>
                <w:rFonts w:hint="eastAsia" w:ascii="仿宋" w:hAnsi="仿宋" w:eastAsia="仿宋" w:cs="仿宋"/>
                <w:sz w:val="24"/>
                <w:szCs w:val="21"/>
                <w:highlight w:val="none"/>
                <w:lang w:val="en-US"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894" w:type="pct"/>
            <w:noWrap w:val="0"/>
            <w:vAlign w:val="center"/>
          </w:tcPr>
          <w:p>
            <w:pPr>
              <w:pStyle w:val="10"/>
              <w:jc w:val="center"/>
              <w:rPr>
                <w:rFonts w:hint="default" w:ascii="仿宋" w:hAnsi="仿宋" w:eastAsia="仿宋" w:cs="仿宋"/>
                <w:b/>
                <w:bCs/>
                <w:szCs w:val="24"/>
                <w:vertAlign w:val="baseline"/>
                <w:lang w:val="en-US" w:eastAsia="zh-CN"/>
              </w:rPr>
            </w:pPr>
            <w:r>
              <w:rPr>
                <w:rFonts w:hint="eastAsia" w:ascii="仿宋" w:hAnsi="仿宋" w:eastAsia="仿宋" w:cs="仿宋"/>
                <w:b/>
                <w:bCs/>
                <w:szCs w:val="24"/>
                <w:vertAlign w:val="baseline"/>
                <w:lang w:val="en-US" w:eastAsia="zh-CN"/>
              </w:rPr>
              <w:t>实施方案</w:t>
            </w:r>
          </w:p>
        </w:tc>
        <w:tc>
          <w:tcPr>
            <w:tcW w:w="502" w:type="pct"/>
            <w:noWrap w:val="0"/>
            <w:vAlign w:val="center"/>
          </w:tcPr>
          <w:p>
            <w:pPr>
              <w:pStyle w:val="10"/>
              <w:jc w:val="center"/>
              <w:rPr>
                <w:rFonts w:hint="default" w:ascii="仿宋" w:hAnsi="仿宋" w:eastAsia="仿宋" w:cs="仿宋"/>
                <w:b/>
                <w:bCs/>
                <w:szCs w:val="24"/>
                <w:vertAlign w:val="baseline"/>
                <w:lang w:val="en-US" w:eastAsia="zh-CN"/>
              </w:rPr>
            </w:pPr>
            <w:r>
              <w:rPr>
                <w:rFonts w:hint="eastAsia" w:ascii="仿宋" w:hAnsi="仿宋" w:eastAsia="仿宋" w:cs="仿宋"/>
                <w:b/>
                <w:bCs/>
                <w:szCs w:val="24"/>
                <w:vertAlign w:val="baseline"/>
                <w:lang w:val="en-US" w:eastAsia="zh-CN"/>
              </w:rPr>
              <w:t>55分</w:t>
            </w:r>
          </w:p>
        </w:tc>
        <w:tc>
          <w:tcPr>
            <w:tcW w:w="3602" w:type="pct"/>
            <w:noWrap w:val="0"/>
            <w:vAlign w:val="top"/>
          </w:tcPr>
          <w:p>
            <w:pPr>
              <w:numPr>
                <w:ilvl w:val="0"/>
                <w:numId w:val="0"/>
              </w:numPr>
              <w:spacing w:line="360" w:lineRule="auto"/>
              <w:jc w:val="lef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1.项目理解：</w:t>
            </w:r>
          </w:p>
          <w:p>
            <w:pPr>
              <w:numPr>
                <w:ilvl w:val="0"/>
                <w:numId w:val="0"/>
              </w:numPr>
              <w:spacing w:line="24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投标人对项目背景、相关政策掌握全面，对项目总体认识深刻，项目需求定位准确，论述完整清晰。</w:t>
            </w:r>
          </w:p>
          <w:p>
            <w:pPr>
              <w:numPr>
                <w:ilvl w:val="0"/>
                <w:numId w:val="0"/>
              </w:numPr>
              <w:spacing w:line="360" w:lineRule="auto"/>
              <w:jc w:val="lef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1.项目组织架构；</w:t>
            </w:r>
            <w:r>
              <w:rPr>
                <w:rFonts w:hint="eastAsia" w:ascii="仿宋" w:hAnsi="仿宋" w:eastAsia="仿宋" w:cs="仿宋"/>
                <w:b w:val="0"/>
                <w:bCs w:val="0"/>
                <w:color w:val="auto"/>
                <w:sz w:val="24"/>
                <w:szCs w:val="24"/>
                <w:lang w:val="en-US" w:eastAsia="zh-CN"/>
              </w:rPr>
              <w:t>得5分；</w:t>
            </w:r>
          </w:p>
          <w:p>
            <w:pPr>
              <w:numPr>
                <w:ilvl w:val="0"/>
                <w:numId w:val="0"/>
              </w:numPr>
              <w:spacing w:line="360" w:lineRule="auto"/>
              <w:jc w:val="lef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2.服务内容；</w:t>
            </w:r>
            <w:r>
              <w:rPr>
                <w:rFonts w:hint="eastAsia" w:ascii="仿宋" w:hAnsi="仿宋" w:eastAsia="仿宋" w:cs="仿宋"/>
                <w:b w:val="0"/>
                <w:bCs w:val="0"/>
                <w:color w:val="auto"/>
                <w:sz w:val="24"/>
                <w:szCs w:val="24"/>
                <w:lang w:val="en-US" w:eastAsia="zh-CN"/>
              </w:rPr>
              <w:t>得5分；</w:t>
            </w:r>
          </w:p>
          <w:p>
            <w:pPr>
              <w:numPr>
                <w:ilvl w:val="0"/>
                <w:numId w:val="0"/>
              </w:numPr>
              <w:spacing w:line="360" w:lineRule="auto"/>
              <w:jc w:val="lef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3.主要规划编制思路；</w:t>
            </w:r>
            <w:r>
              <w:rPr>
                <w:rFonts w:hint="eastAsia" w:ascii="仿宋" w:hAnsi="仿宋" w:eastAsia="仿宋" w:cs="仿宋"/>
                <w:b w:val="0"/>
                <w:bCs w:val="0"/>
                <w:color w:val="auto"/>
                <w:sz w:val="24"/>
                <w:szCs w:val="24"/>
                <w:lang w:val="en-US" w:eastAsia="zh-CN"/>
              </w:rPr>
              <w:t>得5分；</w:t>
            </w:r>
          </w:p>
          <w:p>
            <w:pPr>
              <w:numPr>
                <w:ilvl w:val="0"/>
                <w:numId w:val="0"/>
              </w:numPr>
              <w:spacing w:line="360" w:lineRule="auto"/>
              <w:jc w:val="lef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4.工作进度计划及成果交付时限；</w:t>
            </w:r>
            <w:r>
              <w:rPr>
                <w:rFonts w:hint="eastAsia" w:ascii="仿宋" w:hAnsi="仿宋" w:eastAsia="仿宋" w:cs="仿宋"/>
                <w:b w:val="0"/>
                <w:bCs w:val="0"/>
                <w:color w:val="auto"/>
                <w:sz w:val="24"/>
                <w:szCs w:val="24"/>
                <w:lang w:val="en-US" w:eastAsia="zh-CN"/>
              </w:rPr>
              <w:t>得5分；</w:t>
            </w:r>
          </w:p>
          <w:p>
            <w:pPr>
              <w:numPr>
                <w:ilvl w:val="0"/>
                <w:numId w:val="0"/>
              </w:numPr>
              <w:spacing w:line="360" w:lineRule="auto"/>
              <w:jc w:val="left"/>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5.拟投入的设备配置；</w:t>
            </w:r>
            <w:r>
              <w:rPr>
                <w:rFonts w:hint="eastAsia" w:ascii="仿宋" w:hAnsi="仿宋" w:eastAsia="仿宋" w:cs="仿宋"/>
                <w:b w:val="0"/>
                <w:bCs w:val="0"/>
                <w:color w:val="auto"/>
                <w:sz w:val="24"/>
                <w:szCs w:val="24"/>
                <w:lang w:val="en-US" w:eastAsia="zh-CN"/>
              </w:rPr>
              <w:t>得5分；</w:t>
            </w:r>
          </w:p>
          <w:p>
            <w:pPr>
              <w:numPr>
                <w:ilvl w:val="0"/>
                <w:numId w:val="0"/>
              </w:numPr>
              <w:spacing w:line="360" w:lineRule="auto"/>
              <w:jc w:val="left"/>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color w:val="auto"/>
                <w:kern w:val="2"/>
                <w:sz w:val="24"/>
                <w:szCs w:val="24"/>
                <w:lang w:val="en-US" w:eastAsia="zh-CN" w:bidi="ar-SA"/>
              </w:rPr>
              <w:t>6.技术报告编写等，</w:t>
            </w:r>
            <w:r>
              <w:rPr>
                <w:rFonts w:hint="eastAsia" w:ascii="仿宋" w:hAnsi="仿宋" w:eastAsia="仿宋" w:cs="仿宋"/>
                <w:b w:val="0"/>
                <w:bCs w:val="0"/>
                <w:color w:val="auto"/>
                <w:sz w:val="24"/>
                <w:szCs w:val="24"/>
                <w:lang w:val="en-US" w:eastAsia="zh-CN"/>
              </w:rPr>
              <w:t>得5分；</w:t>
            </w:r>
          </w:p>
          <w:p>
            <w:pPr>
              <w:numPr>
                <w:ilvl w:val="0"/>
                <w:numId w:val="0"/>
              </w:numPr>
              <w:spacing w:line="360" w:lineRule="auto"/>
              <w:jc w:val="left"/>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2、项目实施进度控制：</w:t>
            </w:r>
          </w:p>
          <w:p>
            <w:pPr>
              <w:numPr>
                <w:ilvl w:val="0"/>
                <w:numId w:val="0"/>
              </w:numPr>
              <w:spacing w:line="360" w:lineRule="auto"/>
              <w:jc w:val="left"/>
              <w:rPr>
                <w:rFonts w:hint="eastAsia" w:ascii="仿宋" w:hAnsi="仿宋" w:eastAsia="仿宋" w:cs="仿宋"/>
                <w:b/>
                <w:bCs/>
                <w:sz w:val="24"/>
                <w:szCs w:val="24"/>
                <w:vertAlign w:val="baseline"/>
              </w:rPr>
            </w:pPr>
            <w:r>
              <w:rPr>
                <w:rFonts w:hint="eastAsia" w:ascii="仿宋" w:hAnsi="仿宋" w:eastAsia="仿宋" w:cs="仿宋"/>
                <w:b w:val="0"/>
                <w:bCs w:val="0"/>
                <w:color w:val="auto"/>
                <w:sz w:val="24"/>
                <w:szCs w:val="24"/>
                <w:lang w:val="en-US" w:eastAsia="zh-CN"/>
              </w:rPr>
              <w:t>投标人对本项目的实施工作进度安排具体、合理、内容全面，进度计划满足服务期限，能充分结合项目的实际情况，得5分；</w:t>
            </w:r>
          </w:p>
          <w:p>
            <w:pPr>
              <w:numPr>
                <w:ilvl w:val="0"/>
                <w:numId w:val="0"/>
              </w:numPr>
              <w:spacing w:line="360" w:lineRule="auto"/>
              <w:jc w:val="left"/>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3、重难点分析：</w:t>
            </w:r>
          </w:p>
          <w:p>
            <w:pPr>
              <w:numPr>
                <w:ilvl w:val="0"/>
                <w:numId w:val="0"/>
              </w:numPr>
              <w:spacing w:line="36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对关键技术问题及难点问题的认识准确，分析清晰,并提出了详细、可行的解决方案，得5分；</w:t>
            </w:r>
          </w:p>
          <w:p>
            <w:pPr>
              <w:numPr>
                <w:ilvl w:val="0"/>
                <w:numId w:val="0"/>
              </w:numPr>
              <w:spacing w:line="360" w:lineRule="auto"/>
              <w:jc w:val="left"/>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4、合理化建议：</w:t>
            </w:r>
          </w:p>
          <w:p>
            <w:pPr>
              <w:numPr>
                <w:ilvl w:val="0"/>
                <w:numId w:val="0"/>
              </w:numPr>
              <w:spacing w:line="36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对本项目各个阶段任务提出合理化建议，对于优化方案提出具有建设性的构想，建议合理可行，得5分；</w:t>
            </w:r>
          </w:p>
          <w:p>
            <w:pPr>
              <w:numPr>
                <w:ilvl w:val="0"/>
                <w:numId w:val="0"/>
              </w:numPr>
              <w:spacing w:line="360" w:lineRule="auto"/>
              <w:jc w:val="left"/>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5、质量保证：</w:t>
            </w:r>
          </w:p>
          <w:p>
            <w:pPr>
              <w:numPr>
                <w:ilvl w:val="0"/>
                <w:numId w:val="0"/>
              </w:numPr>
              <w:spacing w:line="36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投标人根据项目提供质量控制措施、针对质量问题的解决措施，实施质量控制措施完善、针对质量问题的解决措施合理，得5分；</w:t>
            </w:r>
          </w:p>
          <w:p>
            <w:pPr>
              <w:numPr>
                <w:ilvl w:val="0"/>
                <w:numId w:val="0"/>
              </w:numPr>
              <w:spacing w:line="360" w:lineRule="auto"/>
              <w:jc w:val="left"/>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6、应急补救措施：</w:t>
            </w:r>
          </w:p>
          <w:p>
            <w:pPr>
              <w:numPr>
                <w:ilvl w:val="0"/>
                <w:numId w:val="0"/>
              </w:numPr>
              <w:spacing w:line="36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对于项目可能出现突发状况考虑全面且相应的应急补救措施明确、切实可行的，得5分；</w:t>
            </w:r>
          </w:p>
          <w:p>
            <w:pPr>
              <w:numPr>
                <w:ilvl w:val="0"/>
                <w:numId w:val="0"/>
              </w:numPr>
              <w:spacing w:line="360" w:lineRule="auto"/>
              <w:jc w:val="lef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7.未提供不得分。</w:t>
            </w:r>
          </w:p>
          <w:p>
            <w:pPr>
              <w:numPr>
                <w:ilvl w:val="0"/>
                <w:numId w:val="0"/>
              </w:numPr>
              <w:spacing w:line="36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color w:val="auto"/>
                <w:kern w:val="0"/>
                <w:sz w:val="24"/>
                <w:szCs w:val="24"/>
                <w:highlight w:val="none"/>
                <w:lang w:val="en-US" w:eastAsia="zh-CN"/>
              </w:rPr>
              <w:t>备注：每有一项内容缺失扣相应分值，每有一项存在不足扣1分，扣完为止。</w:t>
            </w:r>
          </w:p>
          <w:p>
            <w:pPr>
              <w:numPr>
                <w:ilvl w:val="0"/>
                <w:numId w:val="0"/>
              </w:numPr>
              <w:spacing w:line="360" w:lineRule="auto"/>
              <w:jc w:val="left"/>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内容缺陷是指：非专门针对本项目或不适用项目特性的情形、内容不完整或缺少关键节点、套用其他项目方案、内容前后矛盾、涉及的规范或标准错误、不利于项目实施、不可能实现的情形等任意一种情形。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894" w:type="pct"/>
            <w:noWrap w:val="0"/>
            <w:vAlign w:val="center"/>
          </w:tcPr>
          <w:p>
            <w:pPr>
              <w:pStyle w:val="10"/>
              <w:jc w:val="center"/>
              <w:rPr>
                <w:rFonts w:hint="default" w:ascii="仿宋" w:hAnsi="仿宋" w:eastAsia="仿宋" w:cs="仿宋"/>
                <w:b/>
                <w:bCs/>
                <w:szCs w:val="24"/>
                <w:vertAlign w:val="baseline"/>
                <w:lang w:val="en-US" w:eastAsia="zh-CN"/>
              </w:rPr>
            </w:pPr>
            <w:r>
              <w:rPr>
                <w:rFonts w:hint="eastAsia" w:ascii="仿宋" w:hAnsi="仿宋" w:eastAsia="仿宋" w:cs="仿宋"/>
                <w:b/>
                <w:bCs/>
                <w:szCs w:val="24"/>
                <w:vertAlign w:val="baseline"/>
                <w:lang w:val="en-US" w:eastAsia="zh-CN"/>
              </w:rPr>
              <w:t>人员配置</w:t>
            </w:r>
          </w:p>
        </w:tc>
        <w:tc>
          <w:tcPr>
            <w:tcW w:w="502" w:type="pct"/>
            <w:noWrap w:val="0"/>
            <w:vAlign w:val="center"/>
          </w:tcPr>
          <w:p>
            <w:pPr>
              <w:pStyle w:val="10"/>
              <w:jc w:val="center"/>
              <w:rPr>
                <w:rFonts w:hint="default" w:eastAsia="宋体"/>
                <w:lang w:val="en-US" w:eastAsia="zh-CN"/>
              </w:rPr>
            </w:pPr>
            <w:r>
              <w:rPr>
                <w:rFonts w:hint="eastAsia" w:ascii="仿宋" w:hAnsi="仿宋" w:eastAsia="仿宋" w:cs="仿宋"/>
                <w:b/>
                <w:bCs/>
                <w:szCs w:val="24"/>
                <w:vertAlign w:val="baseline"/>
                <w:lang w:val="en-US" w:eastAsia="zh-CN"/>
              </w:rPr>
              <w:t>9分</w:t>
            </w:r>
          </w:p>
        </w:tc>
        <w:tc>
          <w:tcPr>
            <w:tcW w:w="3602" w:type="pct"/>
            <w:noWrap w:val="0"/>
            <w:vAlign w:val="top"/>
          </w:tcPr>
          <w:p>
            <w:pPr>
              <w:pStyle w:val="10"/>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供应商所配人员满足采购要求，内容至少包括：</w:t>
            </w:r>
          </w:p>
          <w:p>
            <w:pPr>
              <w:pStyle w:val="10"/>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①团队组织人员配置明细；计3分；</w:t>
            </w:r>
          </w:p>
          <w:p>
            <w:pPr>
              <w:pStyle w:val="10"/>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②团队人员管理制度；计3分；</w:t>
            </w:r>
          </w:p>
          <w:p>
            <w:pPr>
              <w:pStyle w:val="10"/>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③各专业岗位配置、人员资格、职称及工作经验等计3分；</w:t>
            </w:r>
          </w:p>
          <w:p>
            <w:pPr>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注：本项目相关专业包含但不限于土地、规划、农业、测绘、地理信息等，需提供拟派项目所有人员相关证书的复印件并加盖公章、否则不得分。</w:t>
            </w:r>
          </w:p>
          <w:p>
            <w:pPr>
              <w:pStyle w:val="10"/>
              <w:spacing w:line="360" w:lineRule="auto"/>
              <w:rPr>
                <w:rFonts w:hint="eastAsia"/>
              </w:rPr>
            </w:pPr>
            <w:r>
              <w:rPr>
                <w:rFonts w:hint="eastAsia" w:ascii="仿宋" w:hAnsi="仿宋" w:eastAsia="仿宋" w:cs="仿宋"/>
                <w:b w:val="0"/>
                <w:bCs w:val="0"/>
                <w:color w:val="auto"/>
                <w:kern w:val="2"/>
                <w:sz w:val="24"/>
                <w:szCs w:val="24"/>
                <w:lang w:val="en-US" w:eastAsia="zh-CN" w:bidi="ar-SA"/>
              </w:rPr>
              <w:t>备注：每有一项内容缺失扣3分，每有一项存在不足扣1分，扣完为止。</w:t>
            </w:r>
            <w:r>
              <w:rPr>
                <w:rFonts w:hint="eastAsia" w:ascii="仿宋" w:hAnsi="仿宋" w:eastAsia="仿宋" w:cs="仿宋"/>
                <w:b w:val="0"/>
                <w:bCs w:val="0"/>
                <w:color w:val="auto"/>
                <w:kern w:val="2"/>
                <w:sz w:val="24"/>
                <w:szCs w:val="24"/>
                <w:lang w:val="en-US" w:eastAsia="zh-CN" w:bidi="ar-SA"/>
              </w:rPr>
              <w:br w:type="textWrapping"/>
            </w:r>
            <w:r>
              <w:rPr>
                <w:rFonts w:hint="eastAsia" w:ascii="仿宋" w:hAnsi="仿宋" w:eastAsia="仿宋" w:cs="仿宋"/>
                <w:b w:val="0"/>
                <w:bCs w:val="0"/>
                <w:color w:val="auto"/>
                <w:kern w:val="2"/>
                <w:sz w:val="24"/>
                <w:szCs w:val="24"/>
                <w:lang w:val="en-US" w:eastAsia="zh-CN" w:bidi="ar-SA"/>
              </w:rPr>
              <w:t xml:space="preserve">   内容缺陷是指：非专门针对本项目或不适用项目特性的情形、内容不完整或缺少关键节点、套用其他项目方案、内容前后矛盾、涉及的规范或标准错误、不利于项目实施、不可能实现的情形等任意一种情形。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894" w:type="pct"/>
            <w:noWrap w:val="0"/>
            <w:vAlign w:val="center"/>
          </w:tcPr>
          <w:p>
            <w:pPr>
              <w:pStyle w:val="10"/>
              <w:jc w:val="center"/>
              <w:rPr>
                <w:rFonts w:hint="default" w:ascii="仿宋" w:hAnsi="仿宋" w:eastAsia="仿宋" w:cs="仿宋"/>
                <w:b/>
                <w:bCs/>
                <w:szCs w:val="24"/>
                <w:vertAlign w:val="baseline"/>
                <w:lang w:val="en-US" w:eastAsia="zh-CN"/>
              </w:rPr>
            </w:pPr>
            <w:r>
              <w:rPr>
                <w:rFonts w:hint="eastAsia" w:ascii="仿宋" w:hAnsi="仿宋" w:eastAsia="仿宋" w:cs="仿宋"/>
                <w:b/>
                <w:bCs/>
                <w:szCs w:val="24"/>
                <w:vertAlign w:val="baseline"/>
                <w:lang w:val="en-US" w:eastAsia="zh-CN"/>
              </w:rPr>
              <w:t>成果管理</w:t>
            </w:r>
          </w:p>
        </w:tc>
        <w:tc>
          <w:tcPr>
            <w:tcW w:w="502" w:type="pct"/>
            <w:noWrap w:val="0"/>
            <w:vAlign w:val="center"/>
          </w:tcPr>
          <w:p>
            <w:pPr>
              <w:pStyle w:val="10"/>
              <w:jc w:val="center"/>
              <w:rPr>
                <w:rFonts w:hint="default" w:ascii="仿宋" w:hAnsi="仿宋" w:eastAsia="仿宋" w:cs="仿宋"/>
                <w:b/>
                <w:bCs/>
                <w:szCs w:val="24"/>
                <w:vertAlign w:val="baseline"/>
                <w:lang w:val="en-US" w:eastAsia="zh-CN"/>
              </w:rPr>
            </w:pPr>
            <w:r>
              <w:rPr>
                <w:rFonts w:hint="eastAsia" w:ascii="仿宋" w:hAnsi="仿宋" w:eastAsia="仿宋" w:cs="仿宋"/>
                <w:b/>
                <w:bCs/>
                <w:szCs w:val="24"/>
                <w:vertAlign w:val="baseline"/>
                <w:lang w:val="en-US" w:eastAsia="zh-CN"/>
              </w:rPr>
              <w:t>8分</w:t>
            </w:r>
          </w:p>
        </w:tc>
        <w:tc>
          <w:tcPr>
            <w:tcW w:w="3602" w:type="pct"/>
            <w:noWrap w:val="0"/>
            <w:vAlign w:val="top"/>
          </w:tcPr>
          <w:p>
            <w:pPr>
              <w:pStyle w:val="10"/>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1.提供成果管理方法，计2分；</w:t>
            </w:r>
          </w:p>
          <w:p>
            <w:pPr>
              <w:pStyle w:val="10"/>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2.提供成果归档制度、计2分</w:t>
            </w:r>
          </w:p>
          <w:p>
            <w:pPr>
              <w:pStyle w:val="10"/>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3.提供成果资料安全管理制度，计2分；</w:t>
            </w:r>
          </w:p>
          <w:p>
            <w:pPr>
              <w:pStyle w:val="10"/>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4.成果质量符合有关规范、规定保证措施，计2分。</w:t>
            </w:r>
          </w:p>
          <w:p>
            <w:pPr>
              <w:pStyle w:val="10"/>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备注：每有一项内容缺失扣2分，每有一项存在不足扣1分，扣完为止。</w:t>
            </w:r>
            <w:r>
              <w:rPr>
                <w:rFonts w:hint="eastAsia" w:ascii="仿宋" w:hAnsi="仿宋" w:eastAsia="仿宋" w:cs="仿宋"/>
                <w:b w:val="0"/>
                <w:bCs w:val="0"/>
                <w:color w:val="auto"/>
                <w:kern w:val="2"/>
                <w:sz w:val="24"/>
                <w:szCs w:val="24"/>
                <w:lang w:val="en-US" w:eastAsia="zh-CN" w:bidi="ar-SA"/>
              </w:rPr>
              <w:br w:type="textWrapping"/>
            </w:r>
            <w:r>
              <w:rPr>
                <w:rFonts w:hint="eastAsia" w:ascii="仿宋" w:hAnsi="仿宋" w:eastAsia="仿宋" w:cs="仿宋"/>
                <w:b w:val="0"/>
                <w:bCs w:val="0"/>
                <w:color w:val="auto"/>
                <w:kern w:val="2"/>
                <w:sz w:val="24"/>
                <w:szCs w:val="24"/>
                <w:lang w:val="en-US" w:eastAsia="zh-CN" w:bidi="ar-SA"/>
              </w:rPr>
              <w:t xml:space="preserve">   内容缺陷是指：非专门针对本项目或不适用项目特性的情形、内容不完整或缺少关键节点、套用其他项目方案、内容前后矛盾、涉及的规范或标准错误、不利于项目实施、不可能实现的情形等任意一种情形。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noWrap w:val="0"/>
            <w:vAlign w:val="center"/>
          </w:tcPr>
          <w:p>
            <w:pPr>
              <w:pStyle w:val="10"/>
              <w:jc w:val="center"/>
              <w:rPr>
                <w:rFonts w:hint="eastAsia" w:ascii="仿宋" w:hAnsi="仿宋" w:eastAsia="仿宋" w:cs="仿宋"/>
                <w:b/>
                <w:bCs/>
                <w:szCs w:val="24"/>
                <w:vertAlign w:val="baseline"/>
                <w:lang w:val="en-US" w:eastAsia="zh-CN"/>
              </w:rPr>
            </w:pPr>
            <w:r>
              <w:rPr>
                <w:rFonts w:hint="eastAsia" w:ascii="仿宋" w:hAnsi="仿宋" w:eastAsia="仿宋" w:cs="仿宋"/>
                <w:b/>
                <w:bCs/>
                <w:szCs w:val="24"/>
                <w:vertAlign w:val="baseline"/>
                <w:lang w:val="en-US" w:eastAsia="zh-CN"/>
              </w:rPr>
              <w:t>保密措施</w:t>
            </w:r>
          </w:p>
        </w:tc>
        <w:tc>
          <w:tcPr>
            <w:tcW w:w="502" w:type="pct"/>
            <w:noWrap w:val="0"/>
            <w:vAlign w:val="center"/>
          </w:tcPr>
          <w:p>
            <w:pPr>
              <w:pStyle w:val="10"/>
              <w:jc w:val="center"/>
              <w:rPr>
                <w:rFonts w:hint="default" w:ascii="仿宋" w:hAnsi="仿宋" w:eastAsia="仿宋" w:cs="仿宋"/>
                <w:b/>
                <w:bCs/>
                <w:szCs w:val="24"/>
                <w:vertAlign w:val="baseline"/>
                <w:lang w:val="en-US" w:eastAsia="zh-CN"/>
              </w:rPr>
            </w:pPr>
            <w:r>
              <w:rPr>
                <w:rFonts w:hint="eastAsia" w:ascii="仿宋" w:hAnsi="仿宋" w:eastAsia="仿宋" w:cs="仿宋"/>
                <w:b/>
                <w:bCs/>
                <w:szCs w:val="24"/>
                <w:vertAlign w:val="baseline"/>
                <w:lang w:val="en-US" w:eastAsia="zh-CN"/>
              </w:rPr>
              <w:t>8分</w:t>
            </w:r>
          </w:p>
        </w:tc>
        <w:tc>
          <w:tcPr>
            <w:tcW w:w="3602" w:type="pct"/>
            <w:noWrap w:val="0"/>
            <w:vAlign w:val="top"/>
          </w:tcPr>
          <w:p>
            <w:pPr>
              <w:numPr>
                <w:ilvl w:val="0"/>
                <w:numId w:val="0"/>
              </w:numPr>
              <w:spacing w:line="36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为保证项目不发生泄密，确保项目的保密性，安全性需采取有效的预防措施：</w:t>
            </w:r>
          </w:p>
          <w:p>
            <w:pPr>
              <w:numPr>
                <w:ilvl w:val="0"/>
                <w:numId w:val="0"/>
              </w:numPr>
              <w:spacing w:line="36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1.制订保密计划、方案，得2分；</w:t>
            </w:r>
          </w:p>
          <w:p>
            <w:pPr>
              <w:numPr>
                <w:ilvl w:val="0"/>
                <w:numId w:val="0"/>
              </w:numPr>
              <w:spacing w:line="36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2.有专门的保密管理人员，得2分；</w:t>
            </w:r>
          </w:p>
          <w:p>
            <w:pPr>
              <w:numPr>
                <w:ilvl w:val="0"/>
                <w:numId w:val="0"/>
              </w:numPr>
              <w:spacing w:line="36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3.成果保密制度，得2分；</w:t>
            </w:r>
          </w:p>
          <w:p>
            <w:pPr>
              <w:numPr>
                <w:ilvl w:val="0"/>
                <w:numId w:val="0"/>
              </w:numPr>
              <w:spacing w:line="36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4.保密承诺书内容详尽、描述清晰、合理，得2分；</w:t>
            </w:r>
          </w:p>
          <w:p>
            <w:pPr>
              <w:numPr>
                <w:ilvl w:val="0"/>
                <w:numId w:val="0"/>
              </w:numPr>
              <w:spacing w:line="36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5.未提供不得分</w:t>
            </w:r>
          </w:p>
          <w:p>
            <w:pPr>
              <w:numPr>
                <w:ilvl w:val="0"/>
                <w:numId w:val="0"/>
              </w:numPr>
              <w:spacing w:line="360" w:lineRule="auto"/>
              <w:jc w:val="left"/>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备注：每有一项内容缺失扣2分，每有一项存在不足扣1分，扣完为止。</w:t>
            </w:r>
          </w:p>
          <w:p>
            <w:pPr>
              <w:numPr>
                <w:ilvl w:val="0"/>
                <w:numId w:val="0"/>
              </w:numPr>
              <w:spacing w:line="360" w:lineRule="auto"/>
              <w:jc w:val="left"/>
              <w:rPr>
                <w:rFonts w:hint="eastAsia" w:ascii="仿宋" w:hAnsi="仿宋" w:eastAsia="仿宋" w:cs="仿宋"/>
                <w:b/>
                <w:bCs/>
                <w:sz w:val="24"/>
                <w:szCs w:val="24"/>
                <w:vertAlign w:val="baseline"/>
              </w:rPr>
            </w:pPr>
            <w:r>
              <w:rPr>
                <w:rFonts w:hint="eastAsia" w:ascii="仿宋" w:hAnsi="仿宋" w:eastAsia="仿宋" w:cs="仿宋"/>
                <w:b w:val="0"/>
                <w:bCs w:val="0"/>
                <w:color w:val="auto"/>
                <w:sz w:val="24"/>
                <w:szCs w:val="24"/>
                <w:lang w:val="en-US" w:eastAsia="zh-CN"/>
              </w:rPr>
              <w:t xml:space="preserve">   内容缺陷是指：非专门针对本项目或不适用项目特性的情形、内容不完整或缺少关键节点、套用其他项目方案、内容前后矛盾、涉及的规范或标准错误、不利于项目实施、不可能实现的情形等任意一种情形。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noWrap w:val="0"/>
            <w:vAlign w:val="center"/>
          </w:tcPr>
          <w:p>
            <w:pPr>
              <w:pStyle w:val="10"/>
              <w:jc w:val="center"/>
              <w:rPr>
                <w:rFonts w:hint="default" w:ascii="仿宋" w:hAnsi="仿宋" w:eastAsia="仿宋" w:cs="仿宋"/>
                <w:b/>
                <w:bCs/>
                <w:szCs w:val="24"/>
                <w:vertAlign w:val="baseline"/>
                <w:lang w:val="en-US" w:eastAsia="zh-CN"/>
              </w:rPr>
            </w:pPr>
            <w:r>
              <w:rPr>
                <w:rFonts w:hint="eastAsia" w:ascii="仿宋" w:hAnsi="仿宋" w:eastAsia="仿宋" w:cs="仿宋"/>
                <w:b/>
                <w:bCs/>
                <w:szCs w:val="24"/>
                <w:vertAlign w:val="baseline"/>
                <w:lang w:val="en-US" w:eastAsia="zh-CN"/>
              </w:rPr>
              <w:t>服务承诺</w:t>
            </w:r>
          </w:p>
        </w:tc>
        <w:tc>
          <w:tcPr>
            <w:tcW w:w="502" w:type="pct"/>
            <w:noWrap w:val="0"/>
            <w:vAlign w:val="center"/>
          </w:tcPr>
          <w:p>
            <w:pPr>
              <w:pStyle w:val="10"/>
              <w:jc w:val="center"/>
              <w:rPr>
                <w:rFonts w:hint="default" w:ascii="仿宋" w:hAnsi="仿宋" w:eastAsia="仿宋" w:cs="仿宋"/>
                <w:b/>
                <w:bCs/>
                <w:szCs w:val="24"/>
                <w:vertAlign w:val="baseline"/>
                <w:lang w:val="en-US" w:eastAsia="zh-CN"/>
              </w:rPr>
            </w:pPr>
            <w:r>
              <w:rPr>
                <w:rFonts w:hint="eastAsia" w:ascii="仿宋" w:hAnsi="仿宋" w:eastAsia="仿宋" w:cs="仿宋"/>
                <w:b/>
                <w:bCs/>
                <w:szCs w:val="24"/>
                <w:vertAlign w:val="baseline"/>
                <w:lang w:val="en-US" w:eastAsia="zh-CN"/>
              </w:rPr>
              <w:t>4分</w:t>
            </w:r>
          </w:p>
        </w:tc>
        <w:tc>
          <w:tcPr>
            <w:tcW w:w="3602" w:type="pct"/>
            <w:noWrap w:val="0"/>
            <w:vAlign w:val="top"/>
          </w:tcPr>
          <w:p>
            <w:pPr>
              <w:numPr>
                <w:ilvl w:val="0"/>
                <w:numId w:val="0"/>
              </w:numPr>
              <w:spacing w:line="360" w:lineRule="auto"/>
              <w:jc w:val="lef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供应商针对本项目有详细的服务承诺，在合同履行过程中为采购人提供的服务从质量、及对后期的指导等方面作出书面承诺，服务承诺详细具体，得4分；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 w:type="pct"/>
            <w:noWrap w:val="0"/>
            <w:vAlign w:val="center"/>
          </w:tcPr>
          <w:p>
            <w:pPr>
              <w:pStyle w:val="10"/>
              <w:jc w:val="center"/>
              <w:rPr>
                <w:rFonts w:hint="eastAsia" w:ascii="仿宋" w:hAnsi="仿宋" w:eastAsia="仿宋" w:cs="仿宋"/>
                <w:b/>
                <w:bCs/>
                <w:szCs w:val="24"/>
                <w:vertAlign w:val="baseline"/>
                <w:lang w:val="en-US" w:eastAsia="zh-CN"/>
              </w:rPr>
            </w:pPr>
            <w:r>
              <w:rPr>
                <w:rFonts w:hint="eastAsia" w:ascii="仿宋" w:hAnsi="仿宋" w:eastAsia="仿宋" w:cs="仿宋"/>
                <w:b/>
                <w:bCs/>
                <w:szCs w:val="24"/>
                <w:vertAlign w:val="baseline"/>
                <w:lang w:val="en-US" w:eastAsia="zh-CN"/>
              </w:rPr>
              <w:t>业绩</w:t>
            </w:r>
          </w:p>
        </w:tc>
        <w:tc>
          <w:tcPr>
            <w:tcW w:w="502" w:type="pct"/>
            <w:noWrap w:val="0"/>
            <w:vAlign w:val="center"/>
          </w:tcPr>
          <w:p>
            <w:pPr>
              <w:pStyle w:val="10"/>
              <w:jc w:val="center"/>
              <w:rPr>
                <w:rFonts w:hint="default" w:ascii="仿宋" w:hAnsi="仿宋" w:eastAsia="仿宋" w:cs="仿宋"/>
                <w:b/>
                <w:bCs/>
                <w:szCs w:val="24"/>
                <w:vertAlign w:val="baseline"/>
                <w:lang w:val="en-US" w:eastAsia="zh-CN"/>
              </w:rPr>
            </w:pPr>
            <w:r>
              <w:rPr>
                <w:rFonts w:hint="eastAsia" w:ascii="仿宋" w:hAnsi="仿宋" w:eastAsia="仿宋" w:cs="仿宋"/>
                <w:b/>
                <w:bCs/>
                <w:szCs w:val="24"/>
                <w:vertAlign w:val="baseline"/>
                <w:lang w:val="en-US" w:eastAsia="zh-CN"/>
              </w:rPr>
              <w:t>6分</w:t>
            </w:r>
          </w:p>
        </w:tc>
        <w:tc>
          <w:tcPr>
            <w:tcW w:w="3602" w:type="pct"/>
            <w:noWrap w:val="0"/>
            <w:vAlign w:val="top"/>
          </w:tcPr>
          <w:p>
            <w:pPr>
              <w:pStyle w:val="10"/>
              <w:spacing w:line="360" w:lineRule="auto"/>
              <w:jc w:val="left"/>
              <w:rPr>
                <w:rFonts w:hint="eastAsia" w:ascii="仿宋" w:hAnsi="仿宋" w:eastAsia="仿宋" w:cs="仿宋"/>
                <w:b/>
                <w:bCs/>
                <w:sz w:val="24"/>
                <w:szCs w:val="24"/>
                <w:vertAlign w:val="baseline"/>
              </w:rPr>
            </w:pPr>
            <w:r>
              <w:rPr>
                <w:rFonts w:hint="eastAsia" w:ascii="仿宋" w:hAnsi="仿宋" w:eastAsia="仿宋" w:cs="仿宋"/>
                <w:b w:val="0"/>
                <w:bCs w:val="0"/>
                <w:sz w:val="24"/>
                <w:szCs w:val="24"/>
                <w:vertAlign w:val="baseline"/>
                <w:lang w:val="en-US" w:eastAsia="zh-CN"/>
              </w:rPr>
              <w:t>提供供应商（2021 年 1 月 1 日至今）（以合同签订时间为准），承接过类似项目业绩的，每份计 2分，满分为 6 分。（提供合同复印件并加盖供应商公章，未提供不得分）</w:t>
            </w:r>
          </w:p>
        </w:tc>
      </w:tr>
    </w:tbl>
    <w:p>
      <w:pPr>
        <w:spacing w:line="540" w:lineRule="exact"/>
        <w:ind w:firstLine="480" w:firstLineChars="200"/>
        <w:jc w:val="left"/>
        <w:rPr>
          <w:rFonts w:hint="eastAsia" w:ascii="仿宋" w:hAnsi="仿宋" w:eastAsia="仿宋" w:cs="仿宋"/>
          <w:color w:val="auto"/>
          <w:sz w:val="24"/>
          <w:szCs w:val="24"/>
          <w:highlight w:val="none"/>
        </w:rPr>
      </w:pPr>
    </w:p>
    <w:p>
      <w:pPr>
        <w:spacing w:line="5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磋商小组打分超过得分界限或未按本方法赋分时，该评委的打分按废票处理。各项得分计算采用插入法，各种计算数字均保留两位小数，第三位“四舍五入”。若出现综合评分相等时，按总价、技术标的得分依次排序。如仍相同，则由评委无记名投票，以得票高低确定成交候选人。</w:t>
      </w:r>
      <w:bookmarkStart w:id="435" w:name="_Toc68590979"/>
      <w:bookmarkStart w:id="436" w:name="_Toc16480"/>
    </w:p>
    <w:p>
      <w:pPr>
        <w:spacing w:line="540" w:lineRule="exact"/>
        <w:ind w:firstLine="480" w:firstLineChars="200"/>
        <w:jc w:val="left"/>
        <w:rPr>
          <w:rFonts w:hint="eastAsia" w:ascii="仿宋" w:hAnsi="仿宋" w:eastAsia="仿宋" w:cs="仿宋"/>
          <w:color w:val="auto"/>
          <w:sz w:val="24"/>
          <w:szCs w:val="24"/>
          <w:highlight w:val="none"/>
        </w:rPr>
      </w:pPr>
    </w:p>
    <w:p>
      <w:pPr>
        <w:spacing w:line="540" w:lineRule="exact"/>
        <w:ind w:firstLine="480" w:firstLineChars="200"/>
        <w:jc w:val="center"/>
        <w:outlineLvl w:val="0"/>
        <w:rPr>
          <w:rFonts w:hint="eastAsia" w:ascii="仿宋" w:hAnsi="仿宋" w:eastAsia="仿宋" w:cs="仿宋"/>
          <w:b w:val="0"/>
          <w:bCs/>
          <w:color w:val="auto"/>
          <w:sz w:val="24"/>
          <w:szCs w:val="24"/>
          <w:highlight w:val="none"/>
        </w:rPr>
      </w:pPr>
      <w:r>
        <w:rPr>
          <w:rFonts w:hint="eastAsia" w:ascii="仿宋" w:hAnsi="仿宋" w:eastAsia="仿宋" w:cs="仿宋"/>
          <w:color w:val="auto"/>
          <w:sz w:val="24"/>
          <w:szCs w:val="24"/>
          <w:highlight w:val="none"/>
        </w:rPr>
        <w:br w:type="page"/>
      </w:r>
      <w:bookmarkStart w:id="437" w:name="_Toc24967"/>
      <w:bookmarkStart w:id="438" w:name="_Toc2585"/>
      <w:r>
        <w:rPr>
          <w:rStyle w:val="37"/>
          <w:rFonts w:hint="eastAsia" w:ascii="仿宋" w:hAnsi="仿宋" w:eastAsia="仿宋" w:cs="仿宋"/>
          <w:b/>
          <w:bCs/>
          <w:color w:val="auto"/>
          <w:sz w:val="36"/>
          <w:szCs w:val="36"/>
          <w:highlight w:val="none"/>
        </w:rPr>
        <w:t xml:space="preserve">第四章  </w:t>
      </w:r>
      <w:bookmarkEnd w:id="31"/>
      <w:bookmarkEnd w:id="411"/>
      <w:bookmarkEnd w:id="412"/>
      <w:bookmarkEnd w:id="435"/>
      <w:bookmarkStart w:id="439" w:name="_Toc68590980"/>
      <w:bookmarkStart w:id="440" w:name="_Toc58504448"/>
      <w:bookmarkStart w:id="441" w:name="_Toc492955459"/>
      <w:bookmarkStart w:id="442" w:name="_Toc232395222"/>
      <w:bookmarkStart w:id="443" w:name="_Toc177189245"/>
      <w:bookmarkStart w:id="444" w:name="_Toc249515369"/>
      <w:bookmarkStart w:id="445" w:name="_Toc184043058"/>
      <w:bookmarkStart w:id="446" w:name="_Toc53722865"/>
      <w:bookmarkStart w:id="447" w:name="_Toc28450"/>
      <w:bookmarkStart w:id="448" w:name="_Toc415499897"/>
      <w:bookmarkStart w:id="449" w:name="_Toc256342152"/>
      <w:bookmarkStart w:id="450" w:name="_Toc230013638"/>
      <w:bookmarkStart w:id="451" w:name="_Toc177995483"/>
      <w:bookmarkStart w:id="452" w:name="_Toc499711087"/>
      <w:bookmarkStart w:id="453" w:name="_Toc500747233"/>
      <w:bookmarkStart w:id="454" w:name="_Toc499711928"/>
      <w:bookmarkStart w:id="455" w:name="_Toc177817344"/>
      <w:bookmarkStart w:id="456" w:name="_Toc232176282"/>
      <w:bookmarkStart w:id="457" w:name="_Toc176882552"/>
      <w:bookmarkStart w:id="458" w:name="_Toc496324623"/>
      <w:bookmarkStart w:id="459" w:name="_Toc249515482"/>
      <w:bookmarkStart w:id="460" w:name="_Toc230583552"/>
      <w:bookmarkStart w:id="461" w:name="_Toc503063458"/>
      <w:bookmarkStart w:id="462" w:name="_Toc249525250"/>
      <w:bookmarkStart w:id="463" w:name="_Toc230099803"/>
      <w:bookmarkStart w:id="464" w:name="_Toc70687202"/>
      <w:bookmarkStart w:id="465" w:name="_Toc500747010"/>
      <w:bookmarkStart w:id="466" w:name="_Toc500747106"/>
      <w:r>
        <w:rPr>
          <w:rFonts w:hint="eastAsia" w:ascii="仿宋" w:hAnsi="仿宋" w:eastAsia="仿宋" w:cs="仿宋"/>
          <w:b/>
          <w:bCs/>
          <w:color w:val="auto"/>
          <w:sz w:val="36"/>
          <w:highlight w:val="none"/>
        </w:rPr>
        <w:t>合同主要条款（</w:t>
      </w:r>
      <w:r>
        <w:rPr>
          <w:rFonts w:hint="eastAsia" w:ascii="仿宋" w:hAnsi="仿宋" w:eastAsia="仿宋" w:cs="仿宋"/>
          <w:b/>
          <w:bCs/>
          <w:color w:val="auto"/>
          <w:sz w:val="36"/>
          <w:highlight w:val="none"/>
          <w:lang w:val="en-US" w:eastAsia="zh-CN"/>
        </w:rPr>
        <w:t>仅供</w:t>
      </w:r>
      <w:r>
        <w:rPr>
          <w:rFonts w:hint="eastAsia" w:ascii="仿宋" w:hAnsi="仿宋" w:eastAsia="仿宋" w:cs="仿宋"/>
          <w:b/>
          <w:bCs/>
          <w:color w:val="auto"/>
          <w:sz w:val="36"/>
          <w:highlight w:val="none"/>
        </w:rPr>
        <w:t>参考）</w:t>
      </w:r>
      <w:bookmarkEnd w:id="436"/>
      <w:bookmarkEnd w:id="437"/>
      <w:bookmarkEnd w:id="438"/>
    </w:p>
    <w:p>
      <w:pPr>
        <w:spacing w:before="120"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（此合同条款只作为参考，最终签订的合同以采购人确定的合同内容为准。）</w:t>
      </w:r>
    </w:p>
    <w:p>
      <w:pPr>
        <w:adjustRightInd/>
        <w:snapToGrid/>
        <w:spacing w:line="360" w:lineRule="auto"/>
        <w:ind w:firstLine="0" w:firstLineChars="0"/>
        <w:jc w:val="both"/>
        <w:rPr>
          <w:rFonts w:hint="eastAsia" w:ascii="仿宋" w:hAnsi="仿宋" w:eastAsia="仿宋" w:cs="仿宋"/>
          <w:b/>
          <w:kern w:val="0"/>
          <w:sz w:val="24"/>
          <w:szCs w:val="24"/>
          <w:highlight w:val="none"/>
        </w:rPr>
      </w:pPr>
    </w:p>
    <w:p>
      <w:pPr>
        <w:adjustRightInd/>
        <w:snapToGrid/>
        <w:spacing w:line="360" w:lineRule="auto"/>
        <w:ind w:firstLine="0" w:firstLineChars="0"/>
        <w:jc w:val="both"/>
        <w:rPr>
          <w:rFonts w:hint="eastAsia" w:ascii="仿宋" w:hAnsi="仿宋" w:eastAsia="仿宋" w:cs="仿宋"/>
          <w:b/>
          <w:kern w:val="0"/>
          <w:sz w:val="24"/>
          <w:szCs w:val="24"/>
          <w:highlight w:val="none"/>
          <w:lang w:val="en-US"/>
        </w:rPr>
      </w:pPr>
      <w:r>
        <w:rPr>
          <w:rFonts w:hint="eastAsia" w:ascii="仿宋" w:hAnsi="仿宋" w:eastAsia="仿宋" w:cs="仿宋"/>
          <w:b/>
          <w:kern w:val="0"/>
          <w:sz w:val="24"/>
          <w:szCs w:val="24"/>
          <w:highlight w:val="none"/>
        </w:rPr>
        <w:t>采购人（全称）：</w:t>
      </w:r>
      <w:r>
        <w:rPr>
          <w:rFonts w:hint="eastAsia" w:ascii="仿宋" w:hAnsi="仿宋" w:eastAsia="仿宋" w:cs="仿宋"/>
          <w:kern w:val="0"/>
          <w:sz w:val="24"/>
          <w:szCs w:val="24"/>
          <w:highlight w:val="none"/>
          <w:u w:val="single"/>
          <w:lang w:val="en-US" w:eastAsia="zh-CN"/>
        </w:rPr>
        <w:t xml:space="preserve">                           </w:t>
      </w:r>
    </w:p>
    <w:p>
      <w:pPr>
        <w:adjustRightInd/>
        <w:snapToGrid/>
        <w:spacing w:line="360" w:lineRule="auto"/>
        <w:ind w:firstLine="0" w:firstLineChars="0"/>
        <w:jc w:val="both"/>
        <w:rPr>
          <w:rFonts w:hint="eastAsia" w:ascii="仿宋" w:hAnsi="仿宋" w:eastAsia="仿宋" w:cs="仿宋"/>
          <w:kern w:val="0"/>
          <w:sz w:val="24"/>
          <w:szCs w:val="24"/>
          <w:highlight w:val="none"/>
        </w:rPr>
      </w:pPr>
      <w:r>
        <w:rPr>
          <w:rFonts w:hint="eastAsia" w:ascii="仿宋" w:hAnsi="仿宋" w:eastAsia="仿宋" w:cs="仿宋"/>
          <w:b/>
          <w:kern w:val="0"/>
          <w:sz w:val="24"/>
          <w:szCs w:val="24"/>
          <w:highlight w:val="none"/>
        </w:rPr>
        <w:t>供应商（全称）：</w:t>
      </w:r>
      <w:r>
        <w:rPr>
          <w:rFonts w:hint="eastAsia" w:ascii="仿宋" w:hAnsi="仿宋" w:eastAsia="仿宋" w:cs="仿宋"/>
          <w:b/>
          <w:kern w:val="0"/>
          <w:sz w:val="24"/>
          <w:szCs w:val="24"/>
          <w:highlight w:val="none"/>
          <w:u w:val="single"/>
        </w:rPr>
        <w:t xml:space="preserve">                                </w:t>
      </w:r>
    </w:p>
    <w:p>
      <w:pPr>
        <w:adjustRightInd/>
        <w:snapToGrid/>
        <w:spacing w:line="360" w:lineRule="auto"/>
        <w:ind w:firstLine="480" w:firstLineChars="200"/>
        <w:jc w:val="both"/>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根据《中华人民共和国民法典》及其他有关法律、法规，遵循平等、自愿、公平和诚信的原则，双方就下述项目范围与相关服务事项协商一致，订立本合同。</w:t>
      </w:r>
    </w:p>
    <w:p>
      <w:pPr>
        <w:adjustRightInd/>
        <w:snapToGrid/>
        <w:spacing w:line="360" w:lineRule="auto"/>
        <w:ind w:firstLine="0" w:firstLineChars="0"/>
        <w:jc w:val="both"/>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一、项目概况</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1.项目名称：</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kern w:val="0"/>
          <w:sz w:val="24"/>
          <w:szCs w:val="24"/>
          <w:highlight w:val="none"/>
        </w:rPr>
        <w:t>；</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2.项目地点：</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3.项目规模：</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w:t>
      </w:r>
    </w:p>
    <w:p>
      <w:pPr>
        <w:adjustRightInd/>
        <w:snapToGrid/>
        <w:spacing w:line="360" w:lineRule="auto"/>
        <w:ind w:firstLine="475" w:firstLineChars="198"/>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4.项目内容：</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w:t>
      </w:r>
    </w:p>
    <w:p>
      <w:pPr>
        <w:adjustRightInd/>
        <w:snapToGrid/>
        <w:spacing w:line="360" w:lineRule="auto"/>
        <w:ind w:firstLine="0" w:firstLineChars="0"/>
        <w:jc w:val="both"/>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二、组成本合同的文件</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1.协议书；</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2.中标通知书、投标文件、招标文件、澄清、招标补充文件（或委托书）；</w:t>
      </w:r>
    </w:p>
    <w:p>
      <w:pPr>
        <w:adjustRightInd/>
        <w:snapToGrid/>
        <w:spacing w:line="360" w:lineRule="auto"/>
        <w:ind w:firstLine="480" w:firstLineChars="2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3.投标文件</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相关服务建议书；</w:t>
      </w:r>
    </w:p>
    <w:p>
      <w:pPr>
        <w:adjustRightInd/>
        <w:snapToGrid/>
        <w:spacing w:line="360" w:lineRule="auto"/>
        <w:ind w:firstLine="480" w:firstLineChars="2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4.附录，即：附表内相关服务的范围和内容；</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本合同签订后，双方依法签订的补充协议、备忘录也是本合同文件的组成部分。</w:t>
      </w:r>
    </w:p>
    <w:p>
      <w:pPr>
        <w:adjustRightInd/>
        <w:snapToGrid/>
        <w:spacing w:line="360" w:lineRule="auto"/>
        <w:ind w:firstLine="0" w:firstLineChars="0"/>
        <w:jc w:val="both"/>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三、签约金额</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签约金额（大写）：</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　　　　　　　　</w:t>
      </w:r>
      <w:r>
        <w:rPr>
          <w:rFonts w:hint="eastAsia" w:ascii="仿宋" w:hAnsi="仿宋" w:eastAsia="仿宋" w:cs="仿宋"/>
          <w:kern w:val="0"/>
          <w:sz w:val="24"/>
          <w:szCs w:val="24"/>
          <w:highlight w:val="none"/>
        </w:rPr>
        <w:t>）。</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1.合同总价即中标价，包括完成采购项目所需的直接费、间接费、利润、税金及其它相关的一切费用。</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2.合同总价一次包死，不受市场价变化或实际工作量变化的影响。</w:t>
      </w:r>
    </w:p>
    <w:p>
      <w:pPr>
        <w:adjustRightInd/>
        <w:snapToGrid/>
        <w:spacing w:line="360" w:lineRule="auto"/>
        <w:ind w:firstLine="0" w:firstLineChars="0"/>
        <w:jc w:val="both"/>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四、结算方式：</w:t>
      </w:r>
    </w:p>
    <w:p>
      <w:pPr>
        <w:adjustRightInd/>
        <w:snapToGrid/>
        <w:spacing w:line="360" w:lineRule="auto"/>
        <w:ind w:firstLine="475" w:firstLineChars="198"/>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1.结算单位：由采购人负责结算，</w:t>
      </w:r>
      <w:r>
        <w:rPr>
          <w:rFonts w:hint="eastAsia" w:ascii="仿宋" w:hAnsi="仿宋" w:eastAsia="仿宋" w:cs="仿宋"/>
          <w:b w:val="0"/>
          <w:bCs w:val="0"/>
          <w:color w:val="auto"/>
          <w:sz w:val="24"/>
          <w:szCs w:val="24"/>
          <w:highlight w:val="none"/>
          <w:lang w:val="en-US" w:eastAsia="zh-CN"/>
        </w:rPr>
        <w:t>付款前，应提供与付款金额相等的发票，相应税金由中标方承担。</w:t>
      </w:r>
    </w:p>
    <w:p>
      <w:pPr>
        <w:shd w:val="clear" w:color="auto" w:fill="auto"/>
        <w:adjustRightInd w:val="0"/>
        <w:snapToGrid w:val="0"/>
        <w:spacing w:line="360" w:lineRule="auto"/>
        <w:ind w:left="0" w:leftChars="0" w:firstLine="480" w:firstLineChars="200"/>
        <w:jc w:val="left"/>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2.付款方式：</w:t>
      </w:r>
    </w:p>
    <w:p>
      <w:pPr>
        <w:adjustRightInd/>
        <w:snapToGrid/>
        <w:spacing w:line="360" w:lineRule="auto"/>
        <w:ind w:firstLine="480" w:firstLineChars="200"/>
        <w:jc w:val="both"/>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4"/>
          <w:highlight w:val="none"/>
          <w:u w:val="single"/>
          <w:lang w:eastAsia="zh-CN"/>
        </w:rPr>
        <w:t>1）合同签订后付合同金额的30%</w:t>
      </w:r>
    </w:p>
    <w:p>
      <w:pPr>
        <w:adjustRightInd/>
        <w:snapToGrid/>
        <w:spacing w:line="360" w:lineRule="auto"/>
        <w:ind w:firstLine="480" w:firstLineChars="200"/>
        <w:jc w:val="both"/>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4"/>
          <w:highlight w:val="none"/>
          <w:u w:val="single"/>
          <w:lang w:eastAsia="zh-CN"/>
        </w:rPr>
        <w:t>2）项目完成后付金额的50%；</w:t>
      </w:r>
    </w:p>
    <w:p>
      <w:pPr>
        <w:adjustRightInd/>
        <w:snapToGrid/>
        <w:spacing w:line="360" w:lineRule="auto"/>
        <w:ind w:firstLine="480" w:firstLineChars="200"/>
        <w:jc w:val="both"/>
        <w:rPr>
          <w:rFonts w:hint="eastAsia" w:ascii="仿宋" w:hAnsi="仿宋" w:eastAsia="仿宋" w:cs="仿宋"/>
          <w:color w:val="0000FF"/>
          <w:kern w:val="0"/>
          <w:sz w:val="24"/>
          <w:szCs w:val="24"/>
          <w:highlight w:val="none"/>
          <w:u w:val="single"/>
          <w:lang w:val="en-US" w:eastAsia="zh-CN"/>
        </w:rPr>
      </w:pPr>
      <w:r>
        <w:rPr>
          <w:rFonts w:hint="eastAsia" w:ascii="仿宋" w:hAnsi="仿宋" w:eastAsia="仿宋" w:cs="仿宋"/>
          <w:color w:val="auto"/>
          <w:kern w:val="0"/>
          <w:sz w:val="24"/>
          <w:szCs w:val="24"/>
          <w:highlight w:val="none"/>
          <w:u w:val="single"/>
          <w:lang w:eastAsia="zh-CN"/>
        </w:rPr>
        <w:t>3）项目提交市局后经省自然资源厅审核或验收后付清剩余全部款项；</w:t>
      </w:r>
    </w:p>
    <w:p>
      <w:pPr>
        <w:adjustRightInd/>
        <w:snapToGrid/>
        <w:spacing w:line="360" w:lineRule="auto"/>
        <w:ind w:firstLine="0" w:firstLineChars="0"/>
        <w:jc w:val="both"/>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五、</w:t>
      </w:r>
      <w:r>
        <w:rPr>
          <w:rFonts w:hint="eastAsia" w:ascii="仿宋" w:hAnsi="仿宋" w:eastAsia="仿宋" w:cs="仿宋"/>
          <w:b/>
          <w:color w:val="auto"/>
          <w:kern w:val="0"/>
          <w:sz w:val="24"/>
          <w:szCs w:val="24"/>
          <w:highlight w:val="none"/>
          <w:lang w:val="en-US" w:eastAsia="zh-CN"/>
        </w:rPr>
        <w:t>服务期限</w:t>
      </w:r>
      <w:r>
        <w:rPr>
          <w:rFonts w:hint="eastAsia" w:ascii="仿宋" w:hAnsi="仿宋" w:eastAsia="仿宋" w:cs="仿宋"/>
          <w:b/>
          <w:color w:val="auto"/>
          <w:kern w:val="0"/>
          <w:sz w:val="24"/>
          <w:szCs w:val="24"/>
          <w:highlight w:val="none"/>
        </w:rPr>
        <w:t>及地点</w:t>
      </w:r>
    </w:p>
    <w:p>
      <w:pPr>
        <w:adjustRightInd/>
        <w:snapToGrid/>
        <w:spacing w:line="360" w:lineRule="auto"/>
        <w:ind w:firstLine="480" w:firstLineChars="200"/>
        <w:jc w:val="both"/>
        <w:rPr>
          <w:rFonts w:hint="eastAsia" w:ascii="仿宋" w:hAnsi="仿宋" w:eastAsia="仿宋" w:cs="仿宋"/>
          <w:color w:val="0000FF"/>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服务期限</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lang w:eastAsia="zh-CN"/>
        </w:rPr>
        <w:t>合同签订之日起</w:t>
      </w:r>
      <w:r>
        <w:rPr>
          <w:rFonts w:hint="eastAsia" w:ascii="仿宋" w:hAnsi="仿宋" w:eastAsia="仿宋" w:cs="仿宋"/>
          <w:color w:val="auto"/>
          <w:kern w:val="0"/>
          <w:sz w:val="24"/>
          <w:szCs w:val="24"/>
          <w:highlight w:val="none"/>
          <w:u w:val="single"/>
          <w:lang w:val="en-US" w:eastAsia="zh-CN"/>
        </w:rPr>
        <w:t>30</w:t>
      </w:r>
      <w:r>
        <w:rPr>
          <w:rFonts w:hint="eastAsia" w:ascii="仿宋" w:hAnsi="仿宋" w:eastAsia="仿宋" w:cs="仿宋"/>
          <w:color w:val="auto"/>
          <w:kern w:val="0"/>
          <w:sz w:val="24"/>
          <w:szCs w:val="24"/>
          <w:highlight w:val="none"/>
          <w:u w:val="single"/>
          <w:lang w:eastAsia="zh-CN"/>
        </w:rPr>
        <w:t>日历天</w:t>
      </w:r>
      <w:r>
        <w:rPr>
          <w:rFonts w:hint="eastAsia" w:ascii="仿宋" w:hAnsi="仿宋" w:eastAsia="仿宋" w:cs="仿宋"/>
          <w:color w:val="auto"/>
          <w:kern w:val="0"/>
          <w:sz w:val="24"/>
          <w:szCs w:val="24"/>
          <w:highlight w:val="none"/>
          <w:u w:val="single"/>
        </w:rPr>
        <w:t>。</w:t>
      </w:r>
    </w:p>
    <w:p>
      <w:pPr>
        <w:adjustRightInd/>
        <w:snapToGrid/>
        <w:spacing w:line="360" w:lineRule="auto"/>
        <w:ind w:firstLine="480" w:firstLineChars="20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服务</w:t>
      </w:r>
      <w:r>
        <w:rPr>
          <w:rFonts w:hint="eastAsia" w:ascii="仿宋" w:hAnsi="仿宋" w:eastAsia="仿宋" w:cs="仿宋"/>
          <w:color w:val="auto"/>
          <w:kern w:val="0"/>
          <w:sz w:val="24"/>
          <w:szCs w:val="24"/>
          <w:highlight w:val="none"/>
        </w:rPr>
        <w:t>地点：</w:t>
      </w:r>
      <w:r>
        <w:rPr>
          <w:rFonts w:hint="eastAsia" w:ascii="仿宋" w:hAnsi="仿宋" w:eastAsia="仿宋" w:cs="仿宋"/>
          <w:color w:val="auto"/>
          <w:kern w:val="0"/>
          <w:sz w:val="24"/>
          <w:szCs w:val="24"/>
          <w:highlight w:val="none"/>
          <w:u w:val="single"/>
          <w:lang w:val="en-US" w:eastAsia="zh-CN"/>
        </w:rPr>
        <w:t xml:space="preserve"> 子洲县自然资源和规划局 </w:t>
      </w:r>
      <w:r>
        <w:rPr>
          <w:rFonts w:hint="eastAsia" w:ascii="仿宋" w:hAnsi="仿宋" w:eastAsia="仿宋" w:cs="仿宋"/>
          <w:color w:val="auto"/>
          <w:kern w:val="0"/>
          <w:sz w:val="24"/>
          <w:szCs w:val="24"/>
          <w:highlight w:val="none"/>
        </w:rPr>
        <w:t>。</w:t>
      </w:r>
    </w:p>
    <w:p>
      <w:pPr>
        <w:adjustRightInd/>
        <w:snapToGrid/>
        <w:spacing w:line="360" w:lineRule="auto"/>
        <w:ind w:firstLine="0" w:firstLineChars="0"/>
        <w:jc w:val="both"/>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六、双方承诺</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1.供应商向采购人承诺，按照本合同约定提供相关服务。</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2.采购人向供应商承诺，按照本合同约定支付服务款项。</w:t>
      </w:r>
    </w:p>
    <w:p>
      <w:pPr>
        <w:tabs>
          <w:tab w:val="left" w:pos="840"/>
        </w:tabs>
        <w:adjustRightInd/>
        <w:snapToGrid/>
        <w:spacing w:line="360" w:lineRule="auto"/>
        <w:ind w:firstLine="0" w:firstLineChars="0"/>
        <w:jc w:val="both"/>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七、内容及要求：</w:t>
      </w:r>
    </w:p>
    <w:p>
      <w:pPr>
        <w:tabs>
          <w:tab w:val="left" w:pos="840"/>
        </w:tabs>
        <w:adjustRightInd/>
        <w:snapToGrid/>
        <w:spacing w:line="360" w:lineRule="auto"/>
        <w:ind w:firstLine="480" w:firstLineChars="2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即交付的服务内容、</w:t>
      </w:r>
      <w:r>
        <w:rPr>
          <w:rFonts w:hint="eastAsia" w:ascii="仿宋" w:hAnsi="仿宋" w:eastAsia="仿宋" w:cs="仿宋"/>
          <w:kern w:val="0"/>
          <w:sz w:val="24"/>
          <w:szCs w:val="24"/>
          <w:highlight w:val="none"/>
          <w:lang w:val="en-US" w:eastAsia="zh-CN"/>
        </w:rPr>
        <w:t>成果资料</w:t>
      </w:r>
      <w:r>
        <w:rPr>
          <w:rFonts w:hint="eastAsia" w:ascii="仿宋" w:hAnsi="仿宋" w:eastAsia="仿宋" w:cs="仿宋"/>
          <w:kern w:val="0"/>
          <w:sz w:val="24"/>
          <w:szCs w:val="24"/>
          <w:highlight w:val="none"/>
        </w:rPr>
        <w:t>数量与投标文件、招标文件等所指明的，或者与本合同所指明的服务内容相一致。（附清单）</w:t>
      </w:r>
    </w:p>
    <w:p>
      <w:pPr>
        <w:numPr>
          <w:ilvl w:val="0"/>
          <w:numId w:val="10"/>
        </w:numPr>
        <w:adjustRightInd/>
        <w:snapToGrid/>
        <w:spacing w:line="360" w:lineRule="auto"/>
        <w:ind w:firstLine="0" w:firstLineChars="0"/>
        <w:jc w:val="both"/>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质量保证：</w:t>
      </w:r>
    </w:p>
    <w:p>
      <w:pPr>
        <w:numPr>
          <w:ilvl w:val="0"/>
          <w:numId w:val="0"/>
        </w:numPr>
        <w:adjustRightInd/>
        <w:snapToGrid/>
        <w:spacing w:line="360" w:lineRule="auto"/>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乙方应按要求及时向甲方提交规定的成果。乙方提交的项目成果，要符合国家行业标准的要求及规定。</w:t>
      </w:r>
    </w:p>
    <w:p>
      <w:pPr>
        <w:adjustRightInd/>
        <w:snapToGrid/>
        <w:spacing w:line="360" w:lineRule="auto"/>
        <w:ind w:firstLine="0" w:firstLineChars="0"/>
        <w:jc w:val="both"/>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九、验收:</w:t>
      </w:r>
    </w:p>
    <w:p>
      <w:pPr>
        <w:adjustRightInd/>
        <w:snapToGrid/>
        <w:spacing w:line="360" w:lineRule="auto"/>
        <w:ind w:firstLine="475" w:firstLineChars="198"/>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验收标准：</w:t>
      </w:r>
      <w:r>
        <w:rPr>
          <w:rFonts w:hint="eastAsia" w:ascii="仿宋" w:hAnsi="仿宋" w:eastAsia="仿宋" w:cs="仿宋"/>
          <w:color w:val="auto"/>
          <w:kern w:val="0"/>
          <w:sz w:val="24"/>
          <w:szCs w:val="24"/>
          <w:highlight w:val="none"/>
          <w:lang w:val="en-US" w:eastAsia="zh-CN"/>
        </w:rPr>
        <w:t>1）符合国家、陕西省及行业相关标准、规范的规定，采用高清遥感影像、GPS定位等技术手段，确保地块边界和面积精准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2）成果通过相关部门组织的技术审查并取得批复</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3）须</w:t>
      </w:r>
      <w:r>
        <w:rPr>
          <w:rFonts w:hint="eastAsia" w:ascii="仿宋" w:hAnsi="仿宋" w:eastAsia="仿宋" w:cs="仿宋"/>
          <w:color w:val="auto"/>
          <w:kern w:val="0"/>
          <w:sz w:val="24"/>
          <w:szCs w:val="24"/>
          <w:highlight w:val="none"/>
        </w:rPr>
        <w:t>按招标文件、投标文件及澄清函等技术指标进行验收。</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验收合格后，填写验收单，双方签字生效。</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验收依据：</w:t>
      </w:r>
    </w:p>
    <w:p>
      <w:pPr>
        <w:adjustRightInd/>
        <w:snapToGrid/>
        <w:spacing w:line="360" w:lineRule="auto"/>
        <w:ind w:firstLine="715" w:firstLineChars="2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a)合同文本；</w:t>
      </w:r>
    </w:p>
    <w:p>
      <w:pPr>
        <w:adjustRightInd/>
        <w:snapToGrid/>
        <w:spacing w:line="360" w:lineRule="auto"/>
        <w:ind w:firstLine="715" w:firstLineChars="2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b)招标文件</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投标文件</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澄清函</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承诺等</w:t>
      </w:r>
      <w:r>
        <w:rPr>
          <w:rFonts w:hint="eastAsia" w:ascii="仿宋" w:hAnsi="仿宋" w:eastAsia="仿宋" w:cs="仿宋"/>
          <w:kern w:val="0"/>
          <w:sz w:val="24"/>
          <w:szCs w:val="24"/>
          <w:highlight w:val="none"/>
        </w:rPr>
        <w:t>；</w:t>
      </w:r>
    </w:p>
    <w:p>
      <w:pPr>
        <w:adjustRightInd/>
        <w:snapToGrid/>
        <w:spacing w:line="360" w:lineRule="auto"/>
        <w:ind w:firstLine="715" w:firstLineChars="2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c)</w:t>
      </w:r>
      <w:r>
        <w:rPr>
          <w:rFonts w:hint="eastAsia" w:ascii="仿宋" w:hAnsi="仿宋" w:eastAsia="仿宋" w:cs="仿宋"/>
          <w:kern w:val="0"/>
          <w:sz w:val="24"/>
          <w:szCs w:val="24"/>
          <w:highlight w:val="none"/>
          <w:lang w:val="en-US" w:eastAsia="zh-CN"/>
        </w:rPr>
        <w:t>符合国家、陕西省及行业相关标准、规范的规定</w:t>
      </w:r>
      <w:r>
        <w:rPr>
          <w:rFonts w:hint="eastAsia" w:ascii="仿宋" w:hAnsi="仿宋" w:eastAsia="仿宋" w:cs="仿宋"/>
          <w:kern w:val="0"/>
          <w:sz w:val="24"/>
          <w:szCs w:val="24"/>
          <w:highlight w:val="none"/>
        </w:rPr>
        <w:t>。</w:t>
      </w:r>
    </w:p>
    <w:p>
      <w:pPr>
        <w:adjustRightInd/>
        <w:snapToGrid/>
        <w:spacing w:line="360" w:lineRule="auto"/>
        <w:ind w:firstLine="0" w:firstLineChars="0"/>
        <w:jc w:val="both"/>
        <w:rPr>
          <w:rFonts w:hint="default" w:ascii="仿宋" w:hAnsi="仿宋" w:eastAsia="仿宋" w:cs="仿宋"/>
          <w:b/>
          <w:kern w:val="0"/>
          <w:sz w:val="24"/>
          <w:szCs w:val="24"/>
          <w:highlight w:val="none"/>
          <w:lang w:val="en-US" w:eastAsia="zh-CN"/>
        </w:rPr>
      </w:pPr>
      <w:r>
        <w:rPr>
          <w:rFonts w:hint="eastAsia" w:ascii="仿宋" w:hAnsi="仿宋" w:eastAsia="仿宋" w:cs="仿宋"/>
          <w:b/>
          <w:kern w:val="0"/>
          <w:sz w:val="24"/>
          <w:szCs w:val="24"/>
          <w:highlight w:val="none"/>
        </w:rPr>
        <w:t>十、</w:t>
      </w:r>
      <w:r>
        <w:rPr>
          <w:rFonts w:hint="eastAsia" w:ascii="仿宋" w:hAnsi="仿宋" w:eastAsia="仿宋" w:cs="仿宋"/>
          <w:b/>
          <w:kern w:val="0"/>
          <w:sz w:val="24"/>
          <w:szCs w:val="24"/>
          <w:highlight w:val="none"/>
          <w:lang w:val="en-US" w:eastAsia="zh-CN"/>
        </w:rPr>
        <w:t>后期服务</w:t>
      </w:r>
    </w:p>
    <w:p>
      <w:pPr>
        <w:adjustRightInd/>
        <w:snapToGrid/>
        <w:spacing w:line="360" w:lineRule="auto"/>
        <w:ind w:firstLine="480" w:firstLineChars="200"/>
        <w:jc w:val="both"/>
        <w:rPr>
          <w:rFonts w:hint="eastAsia" w:ascii="仿宋" w:hAnsi="仿宋" w:eastAsia="仿宋" w:cs="仿宋"/>
          <w:kern w:val="0"/>
          <w:sz w:val="24"/>
          <w:szCs w:val="24"/>
          <w:highlight w:val="none"/>
        </w:rPr>
      </w:pPr>
      <w:r>
        <w:rPr>
          <w:rFonts w:hint="eastAsia" w:ascii="仿宋" w:hAnsi="仿宋" w:eastAsia="仿宋" w:cs="仿宋"/>
          <w:b w:val="0"/>
          <w:bCs w:val="0"/>
          <w:color w:val="auto"/>
          <w:sz w:val="24"/>
          <w:szCs w:val="20"/>
          <w:highlight w:val="none"/>
          <w:lang w:val="en-US" w:eastAsia="zh-CN"/>
        </w:rPr>
        <w:t>配合项目施工技术交底、施工过程技术服务及验收等相关工作。</w:t>
      </w:r>
    </w:p>
    <w:p>
      <w:pPr>
        <w:adjustRightInd/>
        <w:snapToGrid/>
        <w:spacing w:line="360" w:lineRule="auto"/>
        <w:ind w:firstLine="0" w:firstLineChars="0"/>
        <w:jc w:val="both"/>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十一、知识产权</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应商应保证所提供的货物及服务不会出现因第三方提出侵犯其专利权、商标权或其它知识产权而引发法律或经济纠纷，否则由供应商承担全部责任。任何被供应商用于未经授权的商业目的行为所造成的违约或侵权责任由供应商承但。</w:t>
      </w:r>
    </w:p>
    <w:p>
      <w:pPr>
        <w:adjustRightInd/>
        <w:snapToGrid/>
        <w:spacing w:line="360" w:lineRule="auto"/>
        <w:ind w:firstLine="0" w:firstLineChars="0"/>
        <w:jc w:val="both"/>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十二、合同争议的解决</w:t>
      </w:r>
    </w:p>
    <w:p>
      <w:pPr>
        <w:adjustRightInd/>
        <w:snapToGrid/>
        <w:spacing w:line="360" w:lineRule="auto"/>
        <w:ind w:firstLine="480" w:firstLineChars="2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若本合同执行过程中产生纠纷，由采购人与供应商双方协商解决；若协商不成，向采购人所在地的人民法院提起诉讼。</w:t>
      </w:r>
    </w:p>
    <w:p>
      <w:pPr>
        <w:adjustRightInd/>
        <w:snapToGrid/>
        <w:spacing w:line="360" w:lineRule="auto"/>
        <w:ind w:firstLine="0" w:firstLineChars="0"/>
        <w:jc w:val="both"/>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十三、</w:t>
      </w:r>
      <w:r>
        <w:rPr>
          <w:rFonts w:hint="eastAsia" w:ascii="仿宋" w:hAnsi="仿宋" w:eastAsia="仿宋" w:cs="仿宋"/>
          <w:b/>
          <w:bCs/>
          <w:kern w:val="0"/>
          <w:sz w:val="24"/>
          <w:szCs w:val="24"/>
          <w:highlight w:val="none"/>
        </w:rPr>
        <w:t>不可抗力情况下的免责约定</w:t>
      </w:r>
    </w:p>
    <w:p>
      <w:pPr>
        <w:adjustRightInd/>
        <w:snapToGrid/>
        <w:spacing w:line="360" w:lineRule="auto"/>
        <w:ind w:firstLine="480" w:firstLineChars="2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双方约定不可抗力情况指：双方不可预见、不可避免、不可克服的客观情况，但不包括双方的违约或疏忽。这些事件包括但不限于：战争、严重火灾、洪水、台风、地震等。</w:t>
      </w:r>
    </w:p>
    <w:p>
      <w:pPr>
        <w:adjustRightInd/>
        <w:snapToGrid/>
        <w:spacing w:line="360" w:lineRule="auto"/>
        <w:ind w:firstLine="0" w:firstLineChars="0"/>
        <w:jc w:val="both"/>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十四、</w:t>
      </w:r>
      <w:r>
        <w:rPr>
          <w:rFonts w:hint="eastAsia" w:ascii="仿宋" w:hAnsi="仿宋" w:eastAsia="仿宋" w:cs="仿宋"/>
          <w:b/>
          <w:bCs/>
          <w:kern w:val="0"/>
          <w:sz w:val="24"/>
          <w:szCs w:val="24"/>
          <w:highlight w:val="none"/>
        </w:rPr>
        <w:t>安全责任</w:t>
      </w:r>
    </w:p>
    <w:p>
      <w:pPr>
        <w:adjustRightInd/>
        <w:snapToGrid/>
        <w:spacing w:line="360" w:lineRule="auto"/>
        <w:ind w:firstLine="480" w:firstLineChars="2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在供应商提供服务期间，若服务人员出现人身意外等特殊情况，相关责任均由供应商承担,采购人不承担任何法律责任。</w:t>
      </w:r>
    </w:p>
    <w:p>
      <w:pPr>
        <w:adjustRightInd/>
        <w:snapToGrid/>
        <w:spacing w:line="360" w:lineRule="auto"/>
        <w:ind w:firstLine="0" w:firstLineChars="0"/>
        <w:jc w:val="both"/>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十五、违约责任</w:t>
      </w:r>
    </w:p>
    <w:p>
      <w:pPr>
        <w:adjustRightInd/>
        <w:snapToGrid/>
        <w:spacing w:line="360" w:lineRule="auto"/>
        <w:ind w:firstLine="480" w:firstLineChars="2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依据《中华人民共和国民法典》、《中华人民共和国政府采购法》的相关条款和本合同约定，供应商未全面履行合同义务或者发生违约，采购单位会同采购代理机构有权终止合同，依法向供应商进行经济索赔，并报请政府采购监督管理机关进行相应的行政处罚。采购单位违约的，应当赔偿给供应商造成的经济损失。</w:t>
      </w:r>
    </w:p>
    <w:p>
      <w:pPr>
        <w:adjustRightInd/>
        <w:snapToGrid/>
        <w:spacing w:line="360" w:lineRule="auto"/>
        <w:ind w:firstLine="0" w:firstLineChars="0"/>
        <w:jc w:val="both"/>
        <w:rPr>
          <w:rFonts w:hint="eastAsia" w:ascii="仿宋" w:hAnsi="仿宋" w:eastAsia="仿宋" w:cs="仿宋"/>
          <w:kern w:val="0"/>
          <w:sz w:val="24"/>
          <w:szCs w:val="24"/>
          <w:highlight w:val="none"/>
        </w:rPr>
      </w:pPr>
      <w:r>
        <w:rPr>
          <w:rFonts w:hint="eastAsia" w:ascii="仿宋" w:hAnsi="仿宋" w:eastAsia="仿宋" w:cs="仿宋"/>
          <w:b/>
          <w:kern w:val="0"/>
          <w:sz w:val="24"/>
          <w:szCs w:val="24"/>
          <w:highlight w:val="none"/>
        </w:rPr>
        <w:t>十六、其他（</w:t>
      </w:r>
      <w:r>
        <w:rPr>
          <w:rFonts w:hint="eastAsia" w:ascii="仿宋" w:hAnsi="仿宋" w:eastAsia="仿宋" w:cs="仿宋"/>
          <w:kern w:val="0"/>
          <w:sz w:val="24"/>
          <w:szCs w:val="24"/>
          <w:highlight w:val="none"/>
        </w:rPr>
        <w:t>在合同中具体明确）</w:t>
      </w:r>
    </w:p>
    <w:p>
      <w:pPr>
        <w:adjustRightInd/>
        <w:snapToGrid/>
        <w:spacing w:line="360" w:lineRule="auto"/>
        <w:ind w:firstLine="0" w:firstLineChars="0"/>
        <w:jc w:val="both"/>
        <w:rPr>
          <w:rFonts w:hint="eastAsia" w:ascii="仿宋" w:hAnsi="仿宋" w:eastAsia="仿宋" w:cs="仿宋"/>
          <w:b/>
          <w:bCs/>
          <w:kern w:val="0"/>
          <w:sz w:val="24"/>
          <w:szCs w:val="24"/>
          <w:highlight w:val="none"/>
        </w:rPr>
      </w:pPr>
      <w:bookmarkStart w:id="467" w:name="_Toc19120"/>
      <w:r>
        <w:rPr>
          <w:rFonts w:hint="eastAsia" w:ascii="仿宋" w:hAnsi="仿宋" w:eastAsia="仿宋" w:cs="仿宋"/>
          <w:b/>
          <w:bCs/>
          <w:kern w:val="0"/>
          <w:sz w:val="24"/>
          <w:szCs w:val="24"/>
          <w:highlight w:val="none"/>
        </w:rPr>
        <w:t>十七、合同的变更</w:t>
      </w:r>
      <w:bookmarkEnd w:id="467"/>
    </w:p>
    <w:p>
      <w:pPr>
        <w:widowControl w:val="0"/>
        <w:adjustRightInd w:val="0"/>
        <w:snapToGrid w:val="0"/>
        <w:spacing w:after="0" w:line="360" w:lineRule="auto"/>
        <w:ind w:firstLine="480" w:firstLineChars="200"/>
        <w:jc w:val="both"/>
        <w:rPr>
          <w:rFonts w:hint="eastAsia" w:ascii="仿宋" w:hAnsi="仿宋" w:eastAsia="仿宋" w:cs="仿宋"/>
          <w:b/>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本合同履行期间，发生特殊情况时，任何一方需变更本合同的，要求变更一方应及时书面通知对方，征得对方同意后，双方在规定的时限内（书面通知发出5天内）签订书面变更协议，该协议将成为合同不可分割的部分。未经双方签署书面文件，任何一方无权变更本合同，否则，由此造成对方的经济损失，由责任方承担。</w:t>
      </w:r>
    </w:p>
    <w:p>
      <w:pPr>
        <w:adjustRightInd/>
        <w:snapToGrid/>
        <w:spacing w:line="360" w:lineRule="auto"/>
        <w:ind w:firstLine="0" w:firstLineChars="0"/>
        <w:jc w:val="both"/>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十八、合同订立</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1.订立时间：</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年</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月</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日。</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2.订立地点：</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w:t>
      </w:r>
    </w:p>
    <w:p>
      <w:pPr>
        <w:tabs>
          <w:tab w:val="left" w:pos="980"/>
        </w:tabs>
        <w:kinsoku w:val="0"/>
        <w:adjustRightInd/>
        <w:snapToGrid/>
        <w:spacing w:line="360" w:lineRule="auto"/>
        <w:ind w:firstLine="480" w:firstLineChars="2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3.本合同一式</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份，采购人、中标人各执</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kern w:val="0"/>
          <w:sz w:val="24"/>
          <w:szCs w:val="24"/>
          <w:highlight w:val="none"/>
        </w:rPr>
        <w:t>份，采购代理机构壹份，政府采购监管机构备案壹份。</w:t>
      </w:r>
    </w:p>
    <w:p>
      <w:pPr>
        <w:adjustRightInd/>
        <w:snapToGrid/>
        <w:spacing w:line="360" w:lineRule="auto"/>
        <w:ind w:firstLine="0" w:firstLineChars="0"/>
        <w:jc w:val="both"/>
        <w:rPr>
          <w:rFonts w:hint="eastAsia" w:ascii="仿宋" w:hAnsi="仿宋" w:eastAsia="仿宋" w:cs="仿宋"/>
          <w:b/>
          <w:bCs/>
          <w:kern w:val="0"/>
          <w:sz w:val="24"/>
          <w:szCs w:val="24"/>
          <w:highlight w:val="none"/>
        </w:rPr>
      </w:pPr>
      <w:bookmarkStart w:id="468" w:name="_Toc32704"/>
      <w:bookmarkStart w:id="469" w:name="_Toc30954"/>
      <w:bookmarkStart w:id="470" w:name="_Toc10526"/>
      <w:bookmarkStart w:id="471" w:name="_Toc5948"/>
      <w:bookmarkStart w:id="472" w:name="_Toc4290"/>
      <w:r>
        <w:rPr>
          <w:rFonts w:hint="eastAsia" w:ascii="仿宋" w:hAnsi="仿宋" w:eastAsia="仿宋" w:cs="仿宋"/>
          <w:b/>
          <w:bCs/>
          <w:kern w:val="0"/>
          <w:sz w:val="24"/>
          <w:szCs w:val="24"/>
          <w:highlight w:val="none"/>
        </w:rPr>
        <w:t>十九、合同的解释</w:t>
      </w:r>
      <w:bookmarkEnd w:id="468"/>
      <w:bookmarkEnd w:id="469"/>
      <w:bookmarkEnd w:id="470"/>
      <w:bookmarkEnd w:id="471"/>
      <w:bookmarkEnd w:id="472"/>
    </w:p>
    <w:p>
      <w:pPr>
        <w:widowControl w:val="0"/>
        <w:adjustRightInd w:val="0"/>
        <w:snapToGrid w:val="0"/>
        <w:spacing w:after="0" w:line="360" w:lineRule="auto"/>
        <w:ind w:firstLine="480" w:firstLineChars="20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本合同未尽事宜或条款内容不明确，合同双方当事人可以根据本合同的原则、合同的目的、交易习惯及关联条款的内容，按照通常理解对本合同作出合理解释。该解释具有约束力，除非解释与法律或本合同相抵触。</w:t>
      </w:r>
    </w:p>
    <w:p>
      <w:pPr>
        <w:adjustRightInd/>
        <w:snapToGrid/>
        <w:spacing w:line="360" w:lineRule="auto"/>
        <w:ind w:firstLine="0" w:firstLineChars="0"/>
        <w:jc w:val="both"/>
        <w:rPr>
          <w:rFonts w:hint="eastAsia" w:ascii="仿宋" w:hAnsi="仿宋" w:eastAsia="仿宋" w:cs="仿宋"/>
          <w:b/>
          <w:bCs/>
          <w:kern w:val="0"/>
          <w:sz w:val="24"/>
          <w:szCs w:val="24"/>
          <w:highlight w:val="none"/>
        </w:rPr>
      </w:pPr>
      <w:bookmarkStart w:id="473" w:name="_Toc10874"/>
      <w:bookmarkStart w:id="474" w:name="_Toc32443"/>
      <w:bookmarkStart w:id="475" w:name="_Toc26109"/>
      <w:bookmarkStart w:id="476" w:name="_Toc3707"/>
      <w:bookmarkStart w:id="477" w:name="_Toc8295"/>
      <w:r>
        <w:rPr>
          <w:rFonts w:hint="eastAsia" w:ascii="仿宋" w:hAnsi="仿宋" w:eastAsia="仿宋" w:cs="仿宋"/>
          <w:b/>
          <w:bCs/>
          <w:kern w:val="0"/>
          <w:sz w:val="24"/>
          <w:szCs w:val="24"/>
          <w:highlight w:val="none"/>
        </w:rPr>
        <w:t>二十、合同的效力</w:t>
      </w:r>
      <w:bookmarkEnd w:id="473"/>
      <w:bookmarkEnd w:id="474"/>
      <w:bookmarkEnd w:id="475"/>
      <w:bookmarkEnd w:id="476"/>
      <w:bookmarkEnd w:id="477"/>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1.本合同自双方或双方法定代表人或其授权代表人签字并加盖单位公章或合同专用章之日起生效。</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2.合同执行完毕自动失效。（合同的服务承诺则长期有效）</w:t>
      </w:r>
    </w:p>
    <w:p>
      <w:pPr>
        <w:adjustRightInd/>
        <w:snapToGrid/>
        <w:spacing w:line="360" w:lineRule="auto"/>
        <w:ind w:firstLine="475" w:firstLineChars="198"/>
        <w:jc w:val="both"/>
        <w:rPr>
          <w:rFonts w:hint="eastAsia" w:ascii="仿宋" w:hAnsi="仿宋" w:eastAsia="仿宋" w:cs="仿宋"/>
          <w:kern w:val="0"/>
          <w:sz w:val="24"/>
          <w:szCs w:val="24"/>
          <w:highlight w:val="none"/>
        </w:rPr>
      </w:pP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采购人：                                     供应商：</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法定代表人或其授权                           法定代表人或其授权</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的代理人：</w:t>
      </w:r>
      <w:r>
        <w:rPr>
          <w:rFonts w:hint="eastAsia" w:ascii="仿宋" w:hAnsi="仿宋" w:eastAsia="仿宋" w:cs="仿宋"/>
          <w:kern w:val="0"/>
          <w:sz w:val="24"/>
          <w:szCs w:val="24"/>
          <w:highlight w:val="none"/>
          <w:u w:val="single"/>
        </w:rPr>
        <w:t xml:space="preserve">（签字）          </w:t>
      </w:r>
      <w:r>
        <w:rPr>
          <w:rFonts w:hint="eastAsia" w:ascii="仿宋" w:hAnsi="仿宋" w:eastAsia="仿宋" w:cs="仿宋"/>
          <w:kern w:val="0"/>
          <w:sz w:val="24"/>
          <w:szCs w:val="24"/>
          <w:highlight w:val="none"/>
        </w:rPr>
        <w:t xml:space="preserve">                 的代理人：</w:t>
      </w:r>
      <w:r>
        <w:rPr>
          <w:rFonts w:hint="eastAsia" w:ascii="仿宋" w:hAnsi="仿宋" w:eastAsia="仿宋" w:cs="仿宋"/>
          <w:kern w:val="0"/>
          <w:sz w:val="24"/>
          <w:szCs w:val="24"/>
          <w:highlight w:val="none"/>
          <w:u w:val="single"/>
        </w:rPr>
        <w:t xml:space="preserve">（签字）           </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开户银行：</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 xml:space="preserve">                 开户银行：</w:t>
      </w:r>
      <w:r>
        <w:rPr>
          <w:rFonts w:hint="eastAsia" w:ascii="仿宋" w:hAnsi="仿宋" w:eastAsia="仿宋" w:cs="仿宋"/>
          <w:kern w:val="0"/>
          <w:sz w:val="24"/>
          <w:szCs w:val="24"/>
          <w:highlight w:val="none"/>
          <w:u w:val="single"/>
        </w:rPr>
        <w:t xml:space="preserve">                   </w:t>
      </w:r>
    </w:p>
    <w:p>
      <w:pPr>
        <w:adjustRightInd/>
        <w:snapToGrid/>
        <w:spacing w:line="360" w:lineRule="auto"/>
        <w:ind w:firstLine="475" w:firstLineChars="198"/>
        <w:jc w:val="both"/>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账号：</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 xml:space="preserve">                 账号：</w:t>
      </w:r>
      <w:r>
        <w:rPr>
          <w:rFonts w:hint="eastAsia" w:ascii="仿宋" w:hAnsi="仿宋" w:eastAsia="仿宋" w:cs="仿宋"/>
          <w:kern w:val="0"/>
          <w:sz w:val="24"/>
          <w:szCs w:val="24"/>
          <w:highlight w:val="none"/>
          <w:u w:val="single"/>
        </w:rPr>
        <w:t xml:space="preserve">                       </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电话：</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 xml:space="preserve">                 电话：</w:t>
      </w:r>
      <w:r>
        <w:rPr>
          <w:rFonts w:hint="eastAsia" w:ascii="仿宋" w:hAnsi="仿宋" w:eastAsia="仿宋" w:cs="仿宋"/>
          <w:kern w:val="0"/>
          <w:sz w:val="24"/>
          <w:szCs w:val="24"/>
          <w:highlight w:val="none"/>
          <w:u w:val="single"/>
        </w:rPr>
        <w:t xml:space="preserve">                       </w:t>
      </w:r>
    </w:p>
    <w:p>
      <w:pPr>
        <w:adjustRightInd/>
        <w:snapToGrid/>
        <w:spacing w:line="360" w:lineRule="auto"/>
        <w:ind w:firstLine="475" w:firstLineChars="198"/>
        <w:jc w:val="both"/>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电子邮箱：</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 xml:space="preserve">                 电子邮箱：</w:t>
      </w:r>
      <w:r>
        <w:rPr>
          <w:rFonts w:hint="eastAsia" w:ascii="仿宋" w:hAnsi="仿宋" w:eastAsia="仿宋" w:cs="仿宋"/>
          <w:kern w:val="0"/>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b/>
          <w:bCs/>
          <w:color w:val="auto"/>
          <w:sz w:val="24"/>
          <w:szCs w:val="24"/>
          <w:highlight w:val="none"/>
        </w:rPr>
      </w:pPr>
    </w:p>
    <w:p>
      <w:pPr>
        <w:pStyle w:val="10"/>
        <w:jc w:val="both"/>
        <w:outlineLvl w:val="9"/>
        <w:rPr>
          <w:rFonts w:hint="eastAsia" w:ascii="仿宋" w:hAnsi="仿宋" w:eastAsia="仿宋" w:cs="仿宋"/>
          <w:bCs/>
          <w:color w:val="auto"/>
          <w:sz w:val="24"/>
          <w:szCs w:val="24"/>
          <w:highlight w:val="yellow"/>
          <w:lang w:eastAsia="zh-CN"/>
        </w:rPr>
      </w:pPr>
      <w:bookmarkStart w:id="478" w:name="_Toc17623"/>
      <w:bookmarkStart w:id="479" w:name="_Toc22264"/>
    </w:p>
    <w:p>
      <w:pPr>
        <w:pStyle w:val="10"/>
        <w:jc w:val="center"/>
        <w:outlineLvl w:val="0"/>
        <w:rPr>
          <w:rStyle w:val="37"/>
          <w:rFonts w:hint="eastAsia" w:ascii="仿宋" w:hAnsi="仿宋" w:eastAsia="仿宋" w:cs="仿宋"/>
          <w:color w:val="auto"/>
          <w:sz w:val="36"/>
          <w:szCs w:val="36"/>
          <w:highlight w:val="none"/>
        </w:rPr>
      </w:pPr>
      <w:r>
        <w:rPr>
          <w:rStyle w:val="37"/>
          <w:rFonts w:hint="eastAsia" w:ascii="仿宋" w:hAnsi="仿宋" w:eastAsia="仿宋" w:cs="仿宋"/>
          <w:b/>
          <w:bCs/>
          <w:color w:val="auto"/>
          <w:kern w:val="2"/>
          <w:sz w:val="36"/>
          <w:szCs w:val="36"/>
          <w:highlight w:val="none"/>
          <w:lang w:val="en-US" w:eastAsia="zh-CN"/>
        </w:rPr>
        <w:br w:type="page"/>
      </w:r>
      <w:bookmarkStart w:id="480" w:name="_Toc2228"/>
      <w:r>
        <w:rPr>
          <w:rStyle w:val="37"/>
          <w:rFonts w:hint="eastAsia" w:ascii="仿宋" w:hAnsi="仿宋" w:eastAsia="仿宋" w:cs="仿宋"/>
          <w:b/>
          <w:bCs/>
          <w:color w:val="auto"/>
          <w:kern w:val="2"/>
          <w:sz w:val="36"/>
          <w:szCs w:val="36"/>
          <w:highlight w:val="none"/>
          <w:lang w:val="en-US" w:eastAsia="zh-CN"/>
        </w:rPr>
        <w:t>第五章  采购内容及要求</w:t>
      </w:r>
      <w:bookmarkEnd w:id="439"/>
      <w:bookmarkEnd w:id="440"/>
      <w:bookmarkEnd w:id="478"/>
      <w:bookmarkEnd w:id="479"/>
      <w:bookmarkEnd w:id="480"/>
    </w:p>
    <w:p>
      <w:pPr>
        <w:pStyle w:val="10"/>
        <w:spacing w:before="208" w:line="360" w:lineRule="auto"/>
        <w:outlineLvl w:val="9"/>
        <w:rPr>
          <w:rFonts w:hint="default" w:ascii="仿宋" w:hAnsi="仿宋" w:eastAsia="仿宋" w:cs="仿宋"/>
          <w:b/>
          <w:bCs/>
          <w:color w:val="auto"/>
          <w:kern w:val="2"/>
          <w:sz w:val="24"/>
          <w:szCs w:val="24"/>
          <w:highlight w:val="none"/>
          <w:lang w:val="en-US" w:eastAsia="zh-CN" w:bidi="ar-SA"/>
        </w:rPr>
      </w:pPr>
      <w:bookmarkStart w:id="481" w:name="_Toc15472"/>
      <w:bookmarkStart w:id="482" w:name="_Toc12354"/>
      <w:bookmarkStart w:id="483" w:name="_Toc58504449"/>
      <w:bookmarkStart w:id="484" w:name="_Toc31008"/>
      <w:bookmarkStart w:id="485" w:name="_Toc385992401"/>
      <w:bookmarkStart w:id="486" w:name="_Toc389620241"/>
      <w:bookmarkStart w:id="487" w:name="_Toc415499899"/>
      <w:bookmarkStart w:id="488" w:name="_Toc68590981"/>
      <w:r>
        <w:rPr>
          <w:rFonts w:hint="eastAsia" w:ascii="仿宋" w:hAnsi="仿宋" w:eastAsia="仿宋" w:cs="仿宋"/>
          <w:b/>
          <w:bCs/>
          <w:color w:val="auto"/>
          <w:sz w:val="24"/>
          <w:szCs w:val="24"/>
          <w:highlight w:val="none"/>
        </w:rPr>
        <w:t>一、</w:t>
      </w:r>
      <w:bookmarkEnd w:id="481"/>
      <w:bookmarkEnd w:id="482"/>
      <w:r>
        <w:rPr>
          <w:rFonts w:hint="eastAsia" w:ascii="仿宋" w:hAnsi="仿宋" w:eastAsia="仿宋" w:cs="仿宋"/>
          <w:b/>
          <w:bCs/>
          <w:color w:val="auto"/>
          <w:sz w:val="24"/>
          <w:szCs w:val="24"/>
          <w:highlight w:val="none"/>
          <w:lang w:val="en-US" w:eastAsia="zh-CN"/>
        </w:rPr>
        <w:t>项目概括</w:t>
      </w:r>
    </w:p>
    <w:p>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4"/>
          <w:szCs w:val="24"/>
          <w:lang w:val="en-US" w:eastAsia="zh-CN"/>
        </w:rPr>
        <w:t>为贯彻落实《中共中央办公厅国务院办公厅关于加强耕地保护提升耕地质量完善占补平衡的意见》、《自然资源部农业农村部关于改革完善耕地占补平衡管理的通知》等文件精神。根据《陕西省自然资源厅陕西省农业农村厅关于开展2024年度非农建设补充耕地指标核定工作的通知》（陕自然资耕发〔2025〕78号）《榆林市自然资源和规划局榆林市农业农村局关于开展2024年度非农建设补充耕地指标核定任务及有关事项的通知》（榆政资规发(2025)95号）要求，结合子洲县实际，科学核定非农建设补充耕地指标，完成榆林市下达的700亩上限任务的核对。依法依规纳入耕地占补平衡管理，为县域高质量发展提供要素保障。</w:t>
      </w:r>
    </w:p>
    <w:p>
      <w:pPr>
        <w:pStyle w:val="10"/>
        <w:spacing w:line="360" w:lineRule="auto"/>
        <w:outlineLvl w:val="9"/>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二、主要工作内容及实施目标</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主要内容:</w:t>
      </w:r>
      <w:r>
        <w:rPr>
          <w:rFonts w:hint="default" w:ascii="仿宋" w:hAnsi="仿宋" w:eastAsia="仿宋" w:cs="仿宋"/>
          <w:kern w:val="2"/>
          <w:sz w:val="24"/>
          <w:szCs w:val="24"/>
          <w:lang w:val="en-US" w:eastAsia="zh-CN" w:bidi="ar-SA"/>
        </w:rPr>
        <w:t>依据省级下发的拟核定范围（榆林市子洲县拟核定面积1343亩），结合国土变更调查数据，筛选符合条件的地块</w:t>
      </w:r>
      <w:r>
        <w:rPr>
          <w:rFonts w:hint="eastAsia" w:ascii="仿宋" w:hAnsi="仿宋" w:eastAsia="仿宋" w:cs="仿宋"/>
          <w:kern w:val="2"/>
          <w:sz w:val="24"/>
          <w:szCs w:val="24"/>
          <w:lang w:val="en-US" w:eastAsia="zh-CN" w:bidi="ar-SA"/>
        </w:rPr>
        <w:t>700亩</w:t>
      </w:r>
      <w:r>
        <w:rPr>
          <w:rFonts w:hint="default" w:ascii="仿宋" w:hAnsi="仿宋" w:eastAsia="仿宋" w:cs="仿宋"/>
          <w:kern w:val="2"/>
          <w:sz w:val="24"/>
          <w:szCs w:val="24"/>
          <w:lang w:val="en-US" w:eastAsia="zh-CN" w:bidi="ar-SA"/>
        </w:rPr>
        <w:t>。联合多部门逐地块核查地类来源、坡度、连片度、基础设施配套等情况，剔除生态敏感区、污染地块及不符合规划的地块。对通过初审的地块，采集坐标、拍摄实地现状照片，编制地块信息表及核定报告。</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目标：根据《陕西省自然资源厅陕西省农业农村厅关于开展2024年度非农建设补充耕地指标核定工作的通知》（陕自然资耕发〔2025〕78号）《榆林市自然资源和规划局榆林市农业农村局关于开展2024年度非农建设补充耕地指标核定任务及有关事项的通知》（榆政资规发(2025)95号）要求，结合子洲县实际，科学核定非农建设补充耕地指标，完成榆林市下达的700亩上限任务的核对。依法依规纳入耕地占补平衡管理，为县域高质量发展提供要素保障。</w:t>
      </w:r>
    </w:p>
    <w:p>
      <w:pPr>
        <w:keepNext w:val="0"/>
        <w:keepLines w:val="0"/>
        <w:pageBreakBefore w:val="0"/>
        <w:kinsoku/>
        <w:wordWrap/>
        <w:overflowPunct/>
        <w:topLinePunct w:val="0"/>
        <w:autoSpaceDE/>
        <w:autoSpaceDN/>
        <w:bidi w:val="0"/>
        <w:spacing w:line="360" w:lineRule="auto"/>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三、采购内容及要求</w:t>
      </w:r>
    </w:p>
    <w:p>
      <w:pPr>
        <w:bidi w:val="0"/>
        <w:spacing w:line="360" w:lineRule="auto"/>
        <w:ind w:firstLine="480" w:firstLineChars="200"/>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1、工作内容：完成子洲县2024年度非农建设补充耕地指标核定项目（二次）。</w:t>
      </w:r>
    </w:p>
    <w:p>
      <w:pPr>
        <w:bidi w:val="0"/>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质量要求：符合国家、陕西省及行业相关标准、规范的规定，待国家《补充耕地质量验收办法》出台后，配合市级完成耕地质量验收，确保质量不低于县域内上年度非农建设占用耕地平均等级。对质量不达标的地块，核减相应补充耕地指标。</w:t>
      </w:r>
    </w:p>
    <w:p>
      <w:pPr>
        <w:bidi w:val="0"/>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3、预期成果：结合子洲县实际，科学核定非农建设补充耕地指标，确保完成榆林市下达的1343亩补充耕地入库任务（其中旱地1336亩、水浇地7亩），完成700亩上限任务的核对。</w:t>
      </w:r>
    </w:p>
    <w:p>
      <w:pPr>
        <w:numPr>
          <w:ilvl w:val="0"/>
          <w:numId w:val="0"/>
        </w:numPr>
        <w:bidi w:val="0"/>
        <w:spacing w:line="360" w:lineRule="auto"/>
        <w:ind w:leftChars="0"/>
        <w:jc w:val="both"/>
        <w:outlineLvl w:val="0"/>
        <w:rPr>
          <w:rStyle w:val="37"/>
          <w:rFonts w:hint="default" w:ascii="仿宋" w:hAnsi="仿宋" w:eastAsia="仿宋" w:cs="仿宋"/>
          <w:b/>
          <w:bCs/>
          <w:color w:val="auto"/>
          <w:kern w:val="2"/>
          <w:sz w:val="36"/>
          <w:szCs w:val="36"/>
          <w:highlight w:val="none"/>
          <w:lang w:val="en-US" w:eastAsia="zh-CN"/>
        </w:rPr>
      </w:pPr>
      <w:r>
        <w:rPr>
          <w:rStyle w:val="37"/>
          <w:rFonts w:hint="eastAsia" w:ascii="仿宋" w:hAnsi="仿宋" w:eastAsia="仿宋" w:cs="仿宋"/>
          <w:b/>
          <w:bCs/>
          <w:color w:val="auto"/>
          <w:kern w:val="2"/>
          <w:sz w:val="36"/>
          <w:szCs w:val="36"/>
          <w:highlight w:val="none"/>
          <w:lang w:val="en-US" w:eastAsia="zh-CN"/>
        </w:rPr>
        <w:br w:type="page"/>
      </w:r>
      <w:bookmarkStart w:id="489" w:name="_Toc19393"/>
      <w:bookmarkStart w:id="490" w:name="_Toc12053"/>
      <w:bookmarkStart w:id="491" w:name="_Toc13626"/>
      <w:r>
        <w:rPr>
          <w:rStyle w:val="37"/>
          <w:rFonts w:hint="eastAsia" w:ascii="仿宋" w:hAnsi="仿宋" w:eastAsia="仿宋" w:cs="仿宋"/>
          <w:b/>
          <w:bCs/>
          <w:color w:val="auto"/>
          <w:kern w:val="2"/>
          <w:sz w:val="36"/>
          <w:szCs w:val="36"/>
          <w:highlight w:val="none"/>
          <w:lang w:val="en-US" w:eastAsia="zh-CN"/>
        </w:rPr>
        <w:t>第六章  商务条款</w:t>
      </w:r>
      <w:bookmarkEnd w:id="489"/>
    </w:p>
    <w:p>
      <w:pPr>
        <w:shd w:val="clear" w:color="auto" w:fill="auto"/>
        <w:adjustRightInd w:val="0"/>
        <w:snapToGrid w:val="0"/>
        <w:spacing w:line="360" w:lineRule="auto"/>
        <w:ind w:left="0" w:leftChars="0" w:firstLine="0" w:firstLineChars="0"/>
        <w:jc w:val="left"/>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rPr>
        <w:t>一、</w:t>
      </w:r>
      <w:r>
        <w:rPr>
          <w:rFonts w:hint="eastAsia" w:ascii="仿宋" w:hAnsi="仿宋" w:eastAsia="仿宋" w:cs="仿宋"/>
          <w:b/>
          <w:bCs/>
          <w:color w:val="auto"/>
          <w:sz w:val="24"/>
          <w:szCs w:val="24"/>
          <w:highlight w:val="none"/>
          <w:lang w:val="en-US" w:eastAsia="zh-CN"/>
        </w:rPr>
        <w:t>服务</w:t>
      </w:r>
      <w:r>
        <w:rPr>
          <w:rFonts w:hint="eastAsia" w:ascii="仿宋" w:hAnsi="仿宋" w:eastAsia="仿宋" w:cs="仿宋"/>
          <w:b/>
          <w:bCs/>
          <w:color w:val="auto"/>
          <w:sz w:val="24"/>
          <w:szCs w:val="24"/>
          <w:highlight w:val="none"/>
        </w:rPr>
        <w:t>地点：</w:t>
      </w:r>
      <w:r>
        <w:rPr>
          <w:rFonts w:hint="eastAsia" w:ascii="仿宋" w:hAnsi="仿宋" w:eastAsia="仿宋" w:cs="仿宋"/>
          <w:b w:val="0"/>
          <w:bCs w:val="0"/>
          <w:color w:val="auto"/>
          <w:sz w:val="24"/>
          <w:szCs w:val="24"/>
          <w:highlight w:val="none"/>
          <w:lang w:val="en-US" w:eastAsia="zh-CN"/>
        </w:rPr>
        <w:t>子洲县自然资源和规划局</w:t>
      </w:r>
    </w:p>
    <w:p>
      <w:pPr>
        <w:shd w:val="clear" w:color="auto" w:fill="auto"/>
        <w:adjustRightInd w:val="0"/>
        <w:snapToGrid w:val="0"/>
        <w:spacing w:line="360" w:lineRule="auto"/>
        <w:ind w:left="0" w:leftChars="0" w:firstLine="0" w:firstLineChars="0"/>
        <w:jc w:val="left"/>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服务</w:t>
      </w:r>
      <w:r>
        <w:rPr>
          <w:rFonts w:hint="eastAsia" w:ascii="仿宋" w:hAnsi="仿宋" w:eastAsia="仿宋" w:cs="仿宋"/>
          <w:b/>
          <w:bCs/>
          <w:color w:val="auto"/>
          <w:sz w:val="24"/>
          <w:szCs w:val="24"/>
          <w:highlight w:val="none"/>
        </w:rPr>
        <w:t>期：</w:t>
      </w:r>
      <w:r>
        <w:rPr>
          <w:rFonts w:hint="eastAsia" w:ascii="仿宋" w:hAnsi="仿宋" w:eastAsia="仿宋" w:cs="仿宋"/>
          <w:b w:val="0"/>
          <w:bCs w:val="0"/>
          <w:color w:val="auto"/>
          <w:sz w:val="24"/>
          <w:szCs w:val="24"/>
          <w:highlight w:val="none"/>
          <w:lang w:eastAsia="zh-CN"/>
        </w:rPr>
        <w:t>合同签订之日起</w:t>
      </w:r>
      <w:r>
        <w:rPr>
          <w:rFonts w:hint="eastAsia" w:ascii="仿宋" w:hAnsi="仿宋" w:eastAsia="仿宋" w:cs="仿宋"/>
          <w:b w:val="0"/>
          <w:bCs w:val="0"/>
          <w:color w:val="auto"/>
          <w:sz w:val="24"/>
          <w:szCs w:val="24"/>
          <w:highlight w:val="none"/>
          <w:lang w:val="en-US" w:eastAsia="zh-CN"/>
        </w:rPr>
        <w:t>30</w:t>
      </w:r>
      <w:r>
        <w:rPr>
          <w:rFonts w:hint="eastAsia" w:ascii="仿宋" w:hAnsi="仿宋" w:eastAsia="仿宋" w:cs="仿宋"/>
          <w:b w:val="0"/>
          <w:bCs w:val="0"/>
          <w:color w:val="auto"/>
          <w:sz w:val="24"/>
          <w:szCs w:val="24"/>
          <w:highlight w:val="none"/>
          <w:lang w:eastAsia="zh-CN"/>
        </w:rPr>
        <w:t>日历天</w:t>
      </w:r>
      <w:r>
        <w:rPr>
          <w:rFonts w:hint="eastAsia" w:ascii="仿宋" w:hAnsi="仿宋" w:eastAsia="仿宋" w:cs="仿宋"/>
          <w:b w:val="0"/>
          <w:bCs w:val="0"/>
          <w:color w:val="auto"/>
          <w:sz w:val="24"/>
          <w:szCs w:val="24"/>
          <w:highlight w:val="none"/>
          <w:lang w:val="en-US" w:eastAsia="zh-CN"/>
        </w:rPr>
        <w:t>。</w:t>
      </w:r>
    </w:p>
    <w:p>
      <w:pPr>
        <w:shd w:val="clear" w:color="auto" w:fill="auto"/>
        <w:adjustRightInd w:val="0"/>
        <w:snapToGrid w:val="0"/>
        <w:spacing w:line="360" w:lineRule="auto"/>
        <w:ind w:left="0" w:leftChars="0" w:firstLine="0" w:firstLineChars="0"/>
        <w:jc w:val="left"/>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三、付款</w:t>
      </w:r>
      <w:r>
        <w:rPr>
          <w:rFonts w:hint="eastAsia" w:ascii="仿宋" w:hAnsi="仿宋" w:eastAsia="仿宋" w:cs="仿宋"/>
          <w:b/>
          <w:bCs/>
          <w:color w:val="auto"/>
          <w:sz w:val="24"/>
          <w:szCs w:val="24"/>
          <w:highlight w:val="none"/>
          <w:lang w:val="en-US" w:eastAsia="zh-CN"/>
        </w:rPr>
        <w:t>方式</w:t>
      </w:r>
      <w:r>
        <w:rPr>
          <w:rFonts w:hint="eastAsia" w:ascii="仿宋" w:hAnsi="仿宋" w:eastAsia="仿宋" w:cs="仿宋"/>
          <w:b/>
          <w:bCs/>
          <w:color w:val="auto"/>
          <w:sz w:val="24"/>
          <w:szCs w:val="24"/>
          <w:highlight w:val="none"/>
        </w:rPr>
        <w:t>：</w:t>
      </w:r>
    </w:p>
    <w:p>
      <w:pPr>
        <w:adjustRightInd/>
        <w:snapToGrid/>
        <w:spacing w:line="360" w:lineRule="auto"/>
        <w:ind w:firstLine="480" w:firstLineChars="200"/>
        <w:jc w:val="both"/>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4"/>
          <w:highlight w:val="none"/>
          <w:u w:val="single"/>
          <w:lang w:eastAsia="zh-CN"/>
        </w:rPr>
        <w:t>1）合同签订后付合同金额的30%</w:t>
      </w:r>
    </w:p>
    <w:p>
      <w:pPr>
        <w:adjustRightInd/>
        <w:snapToGrid/>
        <w:spacing w:line="360" w:lineRule="auto"/>
        <w:ind w:firstLine="480" w:firstLineChars="200"/>
        <w:jc w:val="both"/>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4"/>
          <w:highlight w:val="none"/>
          <w:u w:val="single"/>
          <w:lang w:eastAsia="zh-CN"/>
        </w:rPr>
        <w:t>2）项目完成后付金额的50%；</w:t>
      </w:r>
    </w:p>
    <w:p>
      <w:pPr>
        <w:shd w:val="clear" w:color="auto" w:fill="auto"/>
        <w:adjustRightInd w:val="0"/>
        <w:snapToGrid w:val="0"/>
        <w:spacing w:line="360" w:lineRule="auto"/>
        <w:ind w:left="0" w:leftChars="0" w:firstLine="480" w:firstLineChars="200"/>
        <w:jc w:val="left"/>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kern w:val="0"/>
          <w:sz w:val="24"/>
          <w:szCs w:val="24"/>
          <w:highlight w:val="none"/>
          <w:u w:val="single"/>
          <w:lang w:eastAsia="zh-CN"/>
        </w:rPr>
        <w:t>3）项目提交市局后经省自然资源厅审核或验收后付清剩余全部款项；</w:t>
      </w:r>
    </w:p>
    <w:p>
      <w:pPr>
        <w:shd w:val="clear" w:color="auto" w:fill="auto"/>
        <w:adjustRightInd w:val="0"/>
        <w:snapToGrid w:val="0"/>
        <w:spacing w:line="360" w:lineRule="auto"/>
        <w:ind w:left="0" w:leftChars="0" w:firstLine="480" w:firstLineChars="200"/>
        <w:jc w:val="left"/>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付款前，应提供与付款金额相等的发票，相应税金由中标方承担。</w:t>
      </w:r>
    </w:p>
    <w:p>
      <w:pPr>
        <w:adjustRightInd/>
        <w:snapToGrid/>
        <w:spacing w:line="360" w:lineRule="auto"/>
        <w:ind w:firstLine="0" w:firstLineChars="0"/>
        <w:jc w:val="both"/>
        <w:rPr>
          <w:rFonts w:hint="eastAsia" w:ascii="仿宋" w:hAnsi="仿宋" w:eastAsia="仿宋" w:cs="仿宋"/>
          <w:kern w:val="0"/>
          <w:sz w:val="24"/>
          <w:szCs w:val="24"/>
          <w:highlight w:val="none"/>
        </w:rPr>
      </w:pPr>
      <w:r>
        <w:rPr>
          <w:rFonts w:hint="eastAsia" w:ascii="仿宋" w:hAnsi="仿宋" w:eastAsia="仿宋" w:cs="仿宋"/>
          <w:b/>
          <w:bCs/>
          <w:color w:val="auto"/>
          <w:sz w:val="24"/>
          <w:szCs w:val="24"/>
          <w:highlight w:val="none"/>
          <w:lang w:val="en-US" w:eastAsia="zh-CN"/>
        </w:rPr>
        <w:t>四、</w:t>
      </w:r>
      <w:r>
        <w:rPr>
          <w:rFonts w:hint="eastAsia" w:ascii="仿宋" w:hAnsi="仿宋" w:eastAsia="仿宋" w:cs="仿宋"/>
          <w:b/>
          <w:kern w:val="0"/>
          <w:sz w:val="24"/>
          <w:szCs w:val="24"/>
          <w:highlight w:val="none"/>
        </w:rPr>
        <w:t>验收:</w:t>
      </w:r>
    </w:p>
    <w:p>
      <w:pPr>
        <w:adjustRightInd/>
        <w:snapToGrid/>
        <w:spacing w:line="360" w:lineRule="auto"/>
        <w:ind w:firstLine="475" w:firstLineChars="198"/>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验收标准：</w:t>
      </w:r>
      <w:r>
        <w:rPr>
          <w:rFonts w:hint="eastAsia" w:ascii="仿宋" w:hAnsi="仿宋" w:eastAsia="仿宋" w:cs="仿宋"/>
          <w:color w:val="auto"/>
          <w:kern w:val="0"/>
          <w:sz w:val="24"/>
          <w:szCs w:val="24"/>
          <w:highlight w:val="none"/>
          <w:lang w:val="en-US" w:eastAsia="zh-CN"/>
        </w:rPr>
        <w:t>1）符合国家、陕西省及行业相关标准、规范的规定，采用高清遥感影像、GPS定位等技术手段，确保地块边界和面积精准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2）成果通过相关部门组织的技术审查并取得批复</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3）须</w:t>
      </w:r>
      <w:r>
        <w:rPr>
          <w:rFonts w:hint="eastAsia" w:ascii="仿宋" w:hAnsi="仿宋" w:eastAsia="仿宋" w:cs="仿宋"/>
          <w:color w:val="auto"/>
          <w:kern w:val="0"/>
          <w:sz w:val="24"/>
          <w:szCs w:val="24"/>
          <w:highlight w:val="none"/>
        </w:rPr>
        <w:t>按招标文件、投标文件及澄清函等技术指标进行验收。</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验收合格后，填写验收单，双方签字生效。</w:t>
      </w:r>
    </w:p>
    <w:p>
      <w:pPr>
        <w:adjustRightInd/>
        <w:snapToGrid/>
        <w:spacing w:line="360" w:lineRule="auto"/>
        <w:ind w:firstLine="475" w:firstLineChars="1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验收依据：</w:t>
      </w:r>
    </w:p>
    <w:p>
      <w:pPr>
        <w:adjustRightInd/>
        <w:snapToGrid/>
        <w:spacing w:line="360" w:lineRule="auto"/>
        <w:ind w:firstLine="715" w:firstLineChars="2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a)合同文本；</w:t>
      </w:r>
    </w:p>
    <w:p>
      <w:pPr>
        <w:adjustRightInd/>
        <w:snapToGrid/>
        <w:spacing w:line="360" w:lineRule="auto"/>
        <w:ind w:firstLine="715" w:firstLineChars="298"/>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b)招标文件</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投标文件</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澄清函</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承诺等</w:t>
      </w:r>
      <w:r>
        <w:rPr>
          <w:rFonts w:hint="eastAsia" w:ascii="仿宋" w:hAnsi="仿宋" w:eastAsia="仿宋" w:cs="仿宋"/>
          <w:kern w:val="0"/>
          <w:sz w:val="24"/>
          <w:szCs w:val="24"/>
          <w:highlight w:val="none"/>
        </w:rPr>
        <w:t>；</w:t>
      </w:r>
    </w:p>
    <w:p>
      <w:pPr>
        <w:adjustRightInd/>
        <w:snapToGrid/>
        <w:spacing w:line="360" w:lineRule="auto"/>
        <w:ind w:firstLine="715" w:firstLineChars="298"/>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kern w:val="0"/>
          <w:sz w:val="24"/>
          <w:szCs w:val="24"/>
          <w:highlight w:val="none"/>
        </w:rPr>
        <w:t>c)</w:t>
      </w:r>
      <w:r>
        <w:rPr>
          <w:rFonts w:hint="eastAsia" w:ascii="仿宋" w:hAnsi="仿宋" w:eastAsia="仿宋" w:cs="仿宋"/>
          <w:kern w:val="0"/>
          <w:sz w:val="24"/>
          <w:szCs w:val="24"/>
          <w:highlight w:val="none"/>
          <w:lang w:val="en-US" w:eastAsia="zh-CN"/>
        </w:rPr>
        <w:t>符合国家、陕西省及行业相关标准、规范的规定</w:t>
      </w:r>
      <w:r>
        <w:rPr>
          <w:rFonts w:hint="eastAsia" w:ascii="仿宋" w:hAnsi="仿宋" w:eastAsia="仿宋" w:cs="仿宋"/>
          <w:kern w:val="0"/>
          <w:sz w:val="24"/>
          <w:szCs w:val="24"/>
          <w:highlight w:val="none"/>
        </w:rPr>
        <w:t>。</w:t>
      </w:r>
    </w:p>
    <w:p>
      <w:pPr>
        <w:numPr>
          <w:ilvl w:val="0"/>
          <w:numId w:val="0"/>
        </w:numPr>
        <w:adjustRightInd/>
        <w:snapToGrid/>
        <w:spacing w:line="360" w:lineRule="auto"/>
        <w:ind w:firstLine="0" w:firstLineChars="0"/>
        <w:jc w:val="both"/>
        <w:rPr>
          <w:rFonts w:hint="eastAsia" w:ascii="仿宋" w:hAnsi="仿宋" w:eastAsia="仿宋" w:cs="仿宋"/>
          <w:b/>
          <w:bCs/>
          <w:color w:val="auto"/>
          <w:sz w:val="24"/>
          <w:szCs w:val="24"/>
          <w:highlight w:val="none"/>
        </w:rPr>
      </w:pPr>
      <w:r>
        <w:rPr>
          <w:rFonts w:hint="eastAsia" w:ascii="仿宋" w:hAnsi="仿宋" w:eastAsia="仿宋" w:cs="仿宋"/>
          <w:b/>
          <w:bCs/>
          <w:color w:val="auto"/>
          <w:kern w:val="2"/>
          <w:sz w:val="24"/>
          <w:szCs w:val="24"/>
          <w:lang w:val="en-US" w:eastAsia="zh-CN" w:bidi="ar-SA"/>
        </w:rPr>
        <w:t>五、</w:t>
      </w:r>
      <w:r>
        <w:rPr>
          <w:rFonts w:hint="eastAsia" w:ascii="仿宋" w:hAnsi="仿宋" w:eastAsia="仿宋" w:cs="仿宋"/>
          <w:b/>
          <w:bCs/>
          <w:color w:val="auto"/>
          <w:sz w:val="24"/>
          <w:szCs w:val="24"/>
          <w:highlight w:val="none"/>
        </w:rPr>
        <w:t>质量</w:t>
      </w:r>
      <w:r>
        <w:rPr>
          <w:rFonts w:hint="eastAsia" w:ascii="仿宋" w:hAnsi="仿宋" w:eastAsia="仿宋" w:cs="仿宋"/>
          <w:b/>
          <w:bCs/>
          <w:color w:val="auto"/>
          <w:sz w:val="24"/>
          <w:szCs w:val="24"/>
          <w:highlight w:val="none"/>
          <w:lang w:val="en-US" w:eastAsia="zh-CN"/>
        </w:rPr>
        <w:t>要求及</w:t>
      </w:r>
      <w:r>
        <w:rPr>
          <w:rFonts w:hint="eastAsia" w:ascii="仿宋" w:hAnsi="仿宋" w:eastAsia="仿宋" w:cs="仿宋"/>
          <w:b/>
          <w:bCs/>
          <w:color w:val="auto"/>
          <w:sz w:val="24"/>
          <w:szCs w:val="24"/>
          <w:highlight w:val="none"/>
        </w:rPr>
        <w:t>保证：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b w:val="0"/>
          <w:bCs/>
          <w:i w:val="0"/>
          <w:caps w:val="0"/>
          <w:color w:val="auto"/>
          <w:spacing w:val="0"/>
          <w:sz w:val="24"/>
          <w:szCs w:val="24"/>
          <w:shd w:val="clear" w:color="auto" w:fill="FFFFFF"/>
          <w:lang w:val="en-US" w:eastAsia="zh-CN"/>
        </w:rPr>
      </w:pPr>
      <w:r>
        <w:rPr>
          <w:rFonts w:hint="eastAsia" w:ascii="仿宋" w:hAnsi="仿宋" w:eastAsia="仿宋" w:cs="仿宋"/>
          <w:b w:val="0"/>
          <w:bCs/>
          <w:i w:val="0"/>
          <w:caps w:val="0"/>
          <w:color w:val="auto"/>
          <w:spacing w:val="0"/>
          <w:sz w:val="24"/>
          <w:szCs w:val="24"/>
          <w:shd w:val="clear" w:color="auto" w:fill="FFFFFF"/>
          <w:lang w:val="en-US" w:eastAsia="zh-CN"/>
        </w:rPr>
        <w:t xml:space="preserve"> 1成交人应组织一支强有力的技术骨干队伍，建立严格的质量管理体系，规范操作。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b w:val="0"/>
          <w:bCs/>
          <w:i w:val="0"/>
          <w:caps w:val="0"/>
          <w:color w:val="auto"/>
          <w:spacing w:val="0"/>
          <w:sz w:val="24"/>
          <w:szCs w:val="24"/>
          <w:shd w:val="clear" w:color="auto" w:fill="FFFFFF"/>
          <w:lang w:val="en-US" w:eastAsia="zh-CN"/>
        </w:rPr>
      </w:pPr>
      <w:r>
        <w:rPr>
          <w:rFonts w:hint="eastAsia" w:ascii="仿宋" w:hAnsi="仿宋" w:eastAsia="仿宋" w:cs="仿宋"/>
          <w:b w:val="0"/>
          <w:bCs/>
          <w:i w:val="0"/>
          <w:caps w:val="0"/>
          <w:color w:val="auto"/>
          <w:spacing w:val="0"/>
          <w:sz w:val="24"/>
          <w:szCs w:val="24"/>
          <w:shd w:val="clear" w:color="auto" w:fill="FFFFFF"/>
          <w:lang w:val="en-US" w:eastAsia="zh-CN"/>
        </w:rPr>
        <w:t xml:space="preserve"> 2整个服务过程符合国家有关技术规范，确保质量合格。</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b w:val="0"/>
          <w:bCs/>
          <w:i w:val="0"/>
          <w:caps w:val="0"/>
          <w:color w:val="auto"/>
          <w:spacing w:val="0"/>
          <w:sz w:val="24"/>
          <w:szCs w:val="24"/>
          <w:shd w:val="clear" w:color="auto" w:fill="FFFFFF"/>
          <w:lang w:val="en-US" w:eastAsia="zh-CN"/>
        </w:rPr>
      </w:pPr>
      <w:r>
        <w:rPr>
          <w:rFonts w:hint="eastAsia" w:ascii="仿宋" w:hAnsi="仿宋" w:eastAsia="仿宋" w:cs="仿宋"/>
          <w:b w:val="0"/>
          <w:bCs/>
          <w:i w:val="0"/>
          <w:caps w:val="0"/>
          <w:color w:val="auto"/>
          <w:spacing w:val="0"/>
          <w:sz w:val="24"/>
          <w:szCs w:val="24"/>
          <w:shd w:val="clear" w:color="auto" w:fill="FFFFFF"/>
          <w:lang w:val="en-US" w:eastAsia="zh-CN"/>
        </w:rPr>
        <w:t xml:space="preserve"> 3整个服务质保期按国家建设质量管理条例执行。</w:t>
      </w:r>
    </w:p>
    <w:p>
      <w:pPr>
        <w:numPr>
          <w:ilvl w:val="0"/>
          <w:numId w:val="0"/>
        </w:numPr>
        <w:adjustRightInd/>
        <w:snapToGrid/>
        <w:spacing w:line="360" w:lineRule="auto"/>
        <w:ind w:firstLine="0" w:firstLineChars="0"/>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六、</w:t>
      </w:r>
      <w:r>
        <w:rPr>
          <w:rFonts w:hint="eastAsia" w:ascii="仿宋" w:hAnsi="仿宋" w:eastAsia="仿宋" w:cs="仿宋"/>
          <w:b/>
          <w:bCs/>
          <w:color w:val="auto"/>
          <w:sz w:val="24"/>
          <w:szCs w:val="24"/>
          <w:highlight w:val="none"/>
          <w:lang w:val="en-US" w:eastAsia="zh-CN"/>
        </w:rPr>
        <w:t>知识产权</w:t>
      </w:r>
    </w:p>
    <w:p>
      <w:pPr>
        <w:numPr>
          <w:ilvl w:val="0"/>
          <w:numId w:val="0"/>
        </w:numPr>
        <w:adjustRightInd/>
        <w:snapToGrid/>
        <w:spacing w:line="360" w:lineRule="auto"/>
        <w:ind w:firstLine="480" w:firstLineChars="200"/>
        <w:jc w:val="both"/>
        <w:rPr>
          <w:rFonts w:hint="eastAsia" w:ascii="仿宋" w:hAnsi="仿宋" w:eastAsia="仿宋" w:cs="仿宋"/>
          <w:b/>
          <w:bCs/>
          <w:color w:val="auto"/>
          <w:sz w:val="24"/>
          <w:szCs w:val="24"/>
          <w:highlight w:val="none"/>
        </w:rPr>
      </w:pPr>
      <w:r>
        <w:rPr>
          <w:rFonts w:hint="eastAsia" w:ascii="仿宋" w:hAnsi="仿宋" w:eastAsia="仿宋" w:cs="仿宋"/>
          <w:b w:val="0"/>
          <w:bCs w:val="0"/>
          <w:color w:val="auto"/>
          <w:sz w:val="24"/>
          <w:szCs w:val="24"/>
          <w:highlight w:val="none"/>
          <w:lang w:val="en-US" w:eastAsia="zh-CN"/>
        </w:rPr>
        <w:t>供应商应保证所提供的所有成果资料不会出</w:t>
      </w:r>
      <w:r>
        <w:rPr>
          <w:rFonts w:hint="eastAsia" w:ascii="仿宋" w:hAnsi="仿宋" w:eastAsia="仿宋" w:cs="仿宋"/>
          <w:b w:val="0"/>
          <w:bCs w:val="0"/>
          <w:kern w:val="0"/>
          <w:sz w:val="24"/>
          <w:szCs w:val="24"/>
          <w:highlight w:val="none"/>
        </w:rPr>
        <w:t>现</w:t>
      </w:r>
      <w:r>
        <w:rPr>
          <w:rFonts w:hint="eastAsia" w:ascii="仿宋" w:hAnsi="仿宋" w:eastAsia="仿宋" w:cs="仿宋"/>
          <w:kern w:val="0"/>
          <w:sz w:val="24"/>
          <w:szCs w:val="24"/>
          <w:highlight w:val="none"/>
        </w:rPr>
        <w:t>因第三方提出侵犯其专利权、商标权或其它知识产权而引发法律或经济纠纷，否则由供应商承担全部责任。任何被供应商用于未经授权的商业目的行为所造成的违约或侵权责任由供应商承但。</w:t>
      </w:r>
    </w:p>
    <w:p>
      <w:pPr>
        <w:numPr>
          <w:ilvl w:val="0"/>
          <w:numId w:val="0"/>
        </w:numPr>
        <w:adjustRightInd/>
        <w:snapToGrid/>
        <w:spacing w:line="360" w:lineRule="auto"/>
        <w:ind w:firstLine="0" w:firstLineChars="0"/>
        <w:jc w:val="both"/>
        <w:rPr>
          <w:rFonts w:hint="eastAsia" w:ascii="仿宋" w:hAnsi="仿宋" w:eastAsia="仿宋" w:cs="仿宋"/>
          <w:b/>
          <w:bCs/>
          <w:color w:val="auto"/>
          <w:sz w:val="24"/>
          <w:szCs w:val="24"/>
          <w:highlight w:val="none"/>
        </w:rPr>
      </w:pPr>
      <w:r>
        <w:rPr>
          <w:rFonts w:hint="eastAsia" w:ascii="仿宋" w:hAnsi="仿宋" w:eastAsia="仿宋" w:cs="仿宋"/>
          <w:b/>
          <w:bCs/>
          <w:color w:val="auto"/>
          <w:kern w:val="2"/>
          <w:sz w:val="24"/>
          <w:szCs w:val="24"/>
          <w:highlight w:val="none"/>
          <w:lang w:val="en-US" w:eastAsia="zh-CN" w:bidi="ar-SA"/>
        </w:rPr>
        <w:t>七、</w:t>
      </w:r>
      <w:r>
        <w:rPr>
          <w:rFonts w:hint="eastAsia" w:ascii="仿宋" w:hAnsi="仿宋" w:eastAsia="仿宋" w:cs="仿宋"/>
          <w:b/>
          <w:bCs/>
          <w:color w:val="auto"/>
          <w:sz w:val="24"/>
          <w:szCs w:val="24"/>
          <w:highlight w:val="none"/>
        </w:rPr>
        <w:t>违约责任</w:t>
      </w:r>
    </w:p>
    <w:p>
      <w:pPr>
        <w:numPr>
          <w:ilvl w:val="0"/>
          <w:numId w:val="0"/>
        </w:numPr>
        <w:bidi w:val="0"/>
        <w:spacing w:line="360" w:lineRule="auto"/>
        <w:ind w:leftChars="0" w:firstLine="480" w:firstLineChars="200"/>
        <w:jc w:val="left"/>
        <w:outlineLvl w:val="9"/>
        <w:rPr>
          <w:rStyle w:val="37"/>
          <w:rFonts w:hint="eastAsia" w:ascii="仿宋" w:hAnsi="仿宋" w:eastAsia="仿宋" w:cs="仿宋"/>
          <w:b/>
          <w:bCs/>
          <w:color w:val="auto"/>
          <w:kern w:val="2"/>
          <w:sz w:val="24"/>
          <w:szCs w:val="24"/>
          <w:highlight w:val="none"/>
          <w:lang w:val="en-US" w:eastAsia="zh-CN"/>
        </w:rPr>
      </w:pPr>
      <w:r>
        <w:rPr>
          <w:rFonts w:hint="eastAsia" w:ascii="仿宋" w:hAnsi="仿宋" w:eastAsia="仿宋" w:cs="仿宋"/>
          <w:kern w:val="0"/>
          <w:sz w:val="24"/>
          <w:szCs w:val="24"/>
          <w:highlight w:val="none"/>
        </w:rPr>
        <w:t>依据《中华人民共和国民法典》、《中华人民共和国政府采购法》的相关条款和本合同约定</w:t>
      </w:r>
      <w:r>
        <w:rPr>
          <w:rFonts w:hint="eastAsia" w:ascii="仿宋" w:hAnsi="仿宋" w:eastAsia="仿宋" w:cs="仿宋"/>
          <w:kern w:val="0"/>
          <w:sz w:val="24"/>
          <w:szCs w:val="24"/>
          <w:highlight w:val="none"/>
          <w:lang w:val="en-US" w:eastAsia="zh-CN"/>
        </w:rPr>
        <w:t>执行</w:t>
      </w:r>
      <w:r>
        <w:rPr>
          <w:rFonts w:hint="eastAsia" w:ascii="仿宋" w:hAnsi="仿宋" w:eastAsia="仿宋" w:cs="仿宋"/>
          <w:kern w:val="0"/>
          <w:sz w:val="24"/>
          <w:szCs w:val="24"/>
          <w:highlight w:val="none"/>
        </w:rPr>
        <w:t>，供应商未全面履行合同义务或者发生违约，采购单位有权终止合同，依法向供应商进行经济索赔，并报请政府采购监督管理机关进行相应的行政处罚。采购单位违约的，应当赔偿给供应商造成的经济损失</w:t>
      </w:r>
      <w:r>
        <w:rPr>
          <w:rFonts w:hint="eastAsia" w:ascii="仿宋" w:hAnsi="仿宋" w:eastAsia="仿宋" w:cs="仿宋"/>
          <w:kern w:val="0"/>
          <w:sz w:val="24"/>
          <w:szCs w:val="24"/>
          <w:highlight w:val="none"/>
          <w:lang w:eastAsia="zh-CN"/>
        </w:rPr>
        <w:t>。</w:t>
      </w:r>
    </w:p>
    <w:p>
      <w:pPr>
        <w:numPr>
          <w:ilvl w:val="0"/>
          <w:numId w:val="0"/>
        </w:numPr>
        <w:bidi w:val="0"/>
        <w:spacing w:line="360" w:lineRule="auto"/>
        <w:ind w:leftChars="0"/>
        <w:jc w:val="center"/>
        <w:outlineLvl w:val="0"/>
        <w:rPr>
          <w:rStyle w:val="37"/>
          <w:rFonts w:hint="eastAsia" w:ascii="仿宋" w:hAnsi="仿宋" w:eastAsia="仿宋" w:cs="仿宋"/>
          <w:b/>
          <w:bCs/>
          <w:color w:val="auto"/>
          <w:kern w:val="2"/>
          <w:sz w:val="36"/>
          <w:szCs w:val="36"/>
          <w:highlight w:val="none"/>
          <w:lang w:val="en-US" w:eastAsia="zh-CN"/>
        </w:rPr>
      </w:pPr>
      <w:r>
        <w:rPr>
          <w:rStyle w:val="37"/>
          <w:rFonts w:hint="eastAsia" w:ascii="仿宋" w:hAnsi="仿宋" w:eastAsia="仿宋" w:cs="仿宋"/>
          <w:b/>
          <w:bCs/>
          <w:color w:val="auto"/>
          <w:kern w:val="2"/>
          <w:sz w:val="36"/>
          <w:szCs w:val="36"/>
          <w:highlight w:val="none"/>
          <w:lang w:val="en-US" w:eastAsia="zh-CN"/>
        </w:rPr>
        <w:br w:type="page"/>
      </w:r>
      <w:bookmarkStart w:id="492" w:name="_Toc18508"/>
      <w:r>
        <w:rPr>
          <w:rStyle w:val="37"/>
          <w:rFonts w:hint="eastAsia" w:ascii="仿宋" w:hAnsi="仿宋" w:eastAsia="仿宋" w:cs="仿宋"/>
          <w:b/>
          <w:bCs/>
          <w:color w:val="auto"/>
          <w:kern w:val="2"/>
          <w:sz w:val="36"/>
          <w:szCs w:val="36"/>
          <w:highlight w:val="none"/>
          <w:lang w:val="en-US" w:eastAsia="zh-CN"/>
        </w:rPr>
        <w:t>第七章  磋商响应文件的构成及格式</w:t>
      </w:r>
      <w:bookmarkEnd w:id="483"/>
      <w:bookmarkEnd w:id="484"/>
      <w:bookmarkEnd w:id="485"/>
      <w:bookmarkEnd w:id="486"/>
      <w:bookmarkEnd w:id="487"/>
      <w:bookmarkEnd w:id="488"/>
      <w:bookmarkEnd w:id="490"/>
      <w:bookmarkEnd w:id="491"/>
      <w:bookmarkEnd w:id="492"/>
    </w:p>
    <w:p>
      <w:pPr>
        <w:pStyle w:val="10"/>
        <w:numPr>
          <w:ilvl w:val="0"/>
          <w:numId w:val="0"/>
        </w:numPr>
        <w:rPr>
          <w:rFonts w:hint="eastAsia" w:ascii="仿宋" w:hAnsi="仿宋" w:eastAsia="仿宋" w:cs="仿宋"/>
          <w:color w:val="auto"/>
          <w:highlight w:val="none"/>
        </w:rPr>
      </w:pPr>
    </w:p>
    <w:p>
      <w:pPr>
        <w:pStyle w:val="43"/>
        <w:ind w:firstLine="6586" w:firstLineChars="2050"/>
        <w:outlineLvl w:val="9"/>
        <w:rPr>
          <w:rFonts w:hint="eastAsia" w:ascii="仿宋" w:hAnsi="仿宋" w:eastAsia="仿宋" w:cs="仿宋"/>
          <w:bCs/>
          <w:color w:val="auto"/>
          <w:highlight w:val="none"/>
          <w:lang w:val="zh-CN"/>
        </w:rPr>
      </w:pPr>
      <w:bookmarkStart w:id="493" w:name="_Toc62196433"/>
      <w:r>
        <w:rPr>
          <w:rFonts w:hint="eastAsia" w:ascii="仿宋" w:hAnsi="仿宋" w:eastAsia="仿宋" w:cs="仿宋"/>
          <w:color w:val="auto"/>
          <w:highlight w:val="none"/>
          <w:lang w:val="zh-CN"/>
        </w:rPr>
        <w:t>正本/副本</w:t>
      </w:r>
      <w:bookmarkEnd w:id="493"/>
    </w:p>
    <w:p>
      <w:pPr>
        <w:autoSpaceDE w:val="0"/>
        <w:autoSpaceDN w:val="0"/>
        <w:adjustRightInd w:val="0"/>
        <w:snapToGrid w:val="0"/>
        <w:spacing w:line="360" w:lineRule="auto"/>
        <w:jc w:val="left"/>
        <w:outlineLvl w:val="9"/>
        <w:rPr>
          <w:rFonts w:hint="eastAsia" w:ascii="仿宋" w:hAnsi="仿宋" w:eastAsia="仿宋" w:cs="仿宋"/>
          <w:b/>
          <w:bCs/>
          <w:color w:val="auto"/>
          <w:sz w:val="32"/>
          <w:szCs w:val="32"/>
          <w:highlight w:val="none"/>
          <w:lang w:val="zh-CN"/>
        </w:rPr>
      </w:pPr>
      <w:bookmarkStart w:id="494" w:name="_Toc2873"/>
      <w:r>
        <w:rPr>
          <w:rFonts w:hint="eastAsia" w:ascii="仿宋" w:hAnsi="仿宋" w:eastAsia="仿宋" w:cs="仿宋"/>
          <w:b/>
          <w:bCs/>
          <w:color w:val="auto"/>
          <w:sz w:val="32"/>
          <w:szCs w:val="32"/>
          <w:highlight w:val="none"/>
          <w:lang w:val="zh-CN"/>
        </w:rPr>
        <w:t>项目编号：</w:t>
      </w:r>
      <w:bookmarkEnd w:id="494"/>
    </w:p>
    <w:p>
      <w:pPr>
        <w:tabs>
          <w:tab w:val="left" w:pos="5670"/>
        </w:tabs>
        <w:autoSpaceDE w:val="0"/>
        <w:autoSpaceDN w:val="0"/>
        <w:adjustRightInd w:val="0"/>
        <w:snapToGrid w:val="0"/>
        <w:spacing w:line="360" w:lineRule="auto"/>
        <w:jc w:val="center"/>
        <w:outlineLvl w:val="9"/>
        <w:rPr>
          <w:rFonts w:hint="eastAsia" w:ascii="仿宋" w:hAnsi="仿宋" w:eastAsia="仿宋" w:cs="仿宋"/>
          <w:color w:val="auto"/>
          <w:sz w:val="19"/>
          <w:szCs w:val="19"/>
          <w:highlight w:val="none"/>
        </w:rPr>
      </w:pPr>
    </w:p>
    <w:p>
      <w:pPr>
        <w:tabs>
          <w:tab w:val="left" w:pos="5670"/>
        </w:tabs>
        <w:autoSpaceDE w:val="0"/>
        <w:autoSpaceDN w:val="0"/>
        <w:adjustRightInd w:val="0"/>
        <w:snapToGrid w:val="0"/>
        <w:spacing w:line="360" w:lineRule="auto"/>
        <w:jc w:val="center"/>
        <w:outlineLvl w:val="9"/>
        <w:rPr>
          <w:rFonts w:hint="eastAsia" w:ascii="仿宋" w:hAnsi="仿宋" w:eastAsia="仿宋" w:cs="仿宋"/>
          <w:color w:val="auto"/>
          <w:sz w:val="19"/>
          <w:szCs w:val="19"/>
          <w:highlight w:val="none"/>
        </w:rPr>
      </w:pPr>
    </w:p>
    <w:p>
      <w:pPr>
        <w:tabs>
          <w:tab w:val="left" w:pos="5670"/>
        </w:tabs>
        <w:autoSpaceDE w:val="0"/>
        <w:autoSpaceDN w:val="0"/>
        <w:adjustRightInd w:val="0"/>
        <w:snapToGrid w:val="0"/>
        <w:spacing w:line="360" w:lineRule="auto"/>
        <w:jc w:val="center"/>
        <w:outlineLvl w:val="9"/>
        <w:rPr>
          <w:rFonts w:hint="eastAsia" w:ascii="仿宋" w:hAnsi="仿宋" w:eastAsia="仿宋" w:cs="仿宋"/>
          <w:b/>
          <w:bCs/>
          <w:color w:val="auto"/>
          <w:sz w:val="52"/>
          <w:szCs w:val="52"/>
          <w:highlight w:val="none"/>
          <w:lang w:val="zh-CN"/>
        </w:rPr>
      </w:pPr>
      <w:r>
        <w:rPr>
          <w:rFonts w:hint="eastAsia" w:ascii="仿宋" w:hAnsi="仿宋" w:eastAsia="仿宋" w:cs="仿宋"/>
          <w:b/>
          <w:bCs/>
          <w:color w:val="auto"/>
          <w:sz w:val="52"/>
          <w:szCs w:val="52"/>
          <w:highlight w:val="none"/>
          <w:lang w:val="zh-CN"/>
        </w:rPr>
        <w:t>子洲县2024年度非农建设补充耕地指标核定项目（二次）</w:t>
      </w:r>
    </w:p>
    <w:p>
      <w:pPr>
        <w:pStyle w:val="10"/>
        <w:outlineLvl w:val="9"/>
        <w:rPr>
          <w:rFonts w:hint="eastAsia" w:ascii="仿宋" w:hAnsi="仿宋" w:eastAsia="仿宋" w:cs="仿宋"/>
          <w:color w:val="auto"/>
          <w:highlight w:val="none"/>
          <w:lang w:val="zh-CN"/>
        </w:rPr>
      </w:pPr>
    </w:p>
    <w:p>
      <w:pPr>
        <w:pStyle w:val="10"/>
        <w:outlineLvl w:val="9"/>
        <w:rPr>
          <w:rFonts w:hint="eastAsia" w:ascii="仿宋" w:hAnsi="仿宋" w:eastAsia="仿宋" w:cs="仿宋"/>
          <w:color w:val="auto"/>
          <w:highlight w:val="none"/>
          <w:lang w:val="zh-CN"/>
        </w:rPr>
      </w:pPr>
    </w:p>
    <w:p>
      <w:pPr>
        <w:pStyle w:val="10"/>
        <w:outlineLvl w:val="9"/>
        <w:rPr>
          <w:rFonts w:hint="eastAsia" w:ascii="仿宋" w:hAnsi="仿宋" w:eastAsia="仿宋" w:cs="仿宋"/>
          <w:color w:val="auto"/>
          <w:highlight w:val="none"/>
          <w:lang w:val="zh-CN"/>
        </w:rPr>
      </w:pPr>
    </w:p>
    <w:p>
      <w:pPr>
        <w:tabs>
          <w:tab w:val="left" w:pos="5670"/>
        </w:tabs>
        <w:autoSpaceDE w:val="0"/>
        <w:autoSpaceDN w:val="0"/>
        <w:adjustRightInd w:val="0"/>
        <w:snapToGrid w:val="0"/>
        <w:spacing w:line="360" w:lineRule="auto"/>
        <w:jc w:val="center"/>
        <w:outlineLvl w:val="9"/>
        <w:rPr>
          <w:rFonts w:hint="eastAsia" w:ascii="仿宋" w:hAnsi="仿宋" w:eastAsia="仿宋" w:cs="仿宋"/>
          <w:b/>
          <w:bCs/>
          <w:color w:val="auto"/>
          <w:sz w:val="52"/>
          <w:szCs w:val="52"/>
          <w:highlight w:val="none"/>
          <w:lang w:val="zh-CN"/>
        </w:rPr>
      </w:pPr>
    </w:p>
    <w:p>
      <w:pPr>
        <w:tabs>
          <w:tab w:val="left" w:pos="5670"/>
        </w:tabs>
        <w:autoSpaceDE w:val="0"/>
        <w:autoSpaceDN w:val="0"/>
        <w:adjustRightInd w:val="0"/>
        <w:snapToGrid w:val="0"/>
        <w:spacing w:line="360" w:lineRule="auto"/>
        <w:jc w:val="center"/>
        <w:outlineLvl w:val="9"/>
        <w:rPr>
          <w:rFonts w:hint="eastAsia" w:ascii="仿宋" w:hAnsi="仿宋" w:eastAsia="仿宋" w:cs="仿宋"/>
          <w:b/>
          <w:bCs/>
          <w:color w:val="auto"/>
          <w:sz w:val="72"/>
          <w:szCs w:val="72"/>
          <w:highlight w:val="none"/>
          <w:lang w:val="zh-CN"/>
        </w:rPr>
      </w:pPr>
      <w:r>
        <w:rPr>
          <w:rFonts w:hint="eastAsia" w:ascii="仿宋" w:hAnsi="仿宋" w:eastAsia="仿宋" w:cs="仿宋"/>
          <w:b/>
          <w:bCs/>
          <w:color w:val="auto"/>
          <w:sz w:val="72"/>
          <w:szCs w:val="72"/>
          <w:highlight w:val="none"/>
          <w:lang w:val="zh-CN"/>
        </w:rPr>
        <w:t>磋商响应文件</w:t>
      </w:r>
    </w:p>
    <w:p>
      <w:pPr>
        <w:outlineLvl w:val="9"/>
        <w:rPr>
          <w:rFonts w:hint="eastAsia" w:ascii="仿宋" w:hAnsi="仿宋" w:eastAsia="仿宋" w:cs="仿宋"/>
          <w:color w:val="auto"/>
          <w:highlight w:val="none"/>
        </w:rPr>
      </w:pPr>
    </w:p>
    <w:p>
      <w:pPr>
        <w:pStyle w:val="10"/>
        <w:outlineLvl w:val="9"/>
        <w:rPr>
          <w:rFonts w:hint="eastAsia" w:ascii="仿宋" w:hAnsi="仿宋" w:eastAsia="仿宋" w:cs="仿宋"/>
          <w:color w:val="auto"/>
          <w:highlight w:val="none"/>
        </w:rPr>
      </w:pPr>
    </w:p>
    <w:p>
      <w:pPr>
        <w:pStyle w:val="10"/>
        <w:outlineLvl w:val="9"/>
        <w:rPr>
          <w:rFonts w:hint="eastAsia" w:ascii="仿宋" w:hAnsi="仿宋" w:eastAsia="仿宋" w:cs="仿宋"/>
          <w:color w:val="auto"/>
          <w:highlight w:val="none"/>
        </w:rPr>
      </w:pPr>
    </w:p>
    <w:p>
      <w:pPr>
        <w:pStyle w:val="10"/>
        <w:outlineLvl w:val="9"/>
        <w:rPr>
          <w:rFonts w:hint="eastAsia" w:ascii="仿宋" w:hAnsi="仿宋" w:eastAsia="仿宋" w:cs="仿宋"/>
          <w:color w:val="auto"/>
          <w:highlight w:val="none"/>
        </w:rPr>
      </w:pPr>
    </w:p>
    <w:p>
      <w:pPr>
        <w:pStyle w:val="10"/>
        <w:outlineLvl w:val="9"/>
        <w:rPr>
          <w:rFonts w:hint="eastAsia" w:ascii="仿宋" w:hAnsi="仿宋" w:eastAsia="仿宋" w:cs="仿宋"/>
          <w:color w:val="auto"/>
          <w:highlight w:val="none"/>
        </w:rPr>
      </w:pPr>
    </w:p>
    <w:p>
      <w:pPr>
        <w:pStyle w:val="10"/>
        <w:outlineLvl w:val="9"/>
        <w:rPr>
          <w:rFonts w:hint="eastAsia" w:ascii="仿宋" w:hAnsi="仿宋" w:eastAsia="仿宋" w:cs="仿宋"/>
          <w:color w:val="auto"/>
          <w:highlight w:val="none"/>
        </w:rPr>
      </w:pPr>
    </w:p>
    <w:p>
      <w:pPr>
        <w:autoSpaceDE w:val="0"/>
        <w:autoSpaceDN w:val="0"/>
        <w:adjustRightInd w:val="0"/>
        <w:snapToGrid w:val="0"/>
        <w:spacing w:line="360" w:lineRule="auto"/>
        <w:ind w:firstLine="900" w:firstLineChars="300"/>
        <w:outlineLvl w:val="9"/>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 </w:t>
      </w:r>
    </w:p>
    <w:p>
      <w:pPr>
        <w:autoSpaceDE w:val="0"/>
        <w:autoSpaceDN w:val="0"/>
        <w:adjustRightInd w:val="0"/>
        <w:snapToGrid w:val="0"/>
        <w:spacing w:line="360" w:lineRule="auto"/>
        <w:ind w:firstLine="964" w:firstLineChars="300"/>
        <w:outlineLvl w:val="9"/>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lang w:val="zh-CN"/>
        </w:rPr>
        <w:t>供应商</w:t>
      </w:r>
      <w:r>
        <w:rPr>
          <w:rFonts w:hint="eastAsia" w:ascii="仿宋" w:hAnsi="仿宋" w:eastAsia="仿宋" w:cs="仿宋"/>
          <w:b/>
          <w:bCs/>
          <w:color w:val="auto"/>
          <w:sz w:val="32"/>
          <w:szCs w:val="32"/>
          <w:highlight w:val="none"/>
          <w:lang w:val="en-US" w:eastAsia="zh-CN"/>
        </w:rPr>
        <w:t>名称</w:t>
      </w:r>
      <w:r>
        <w:rPr>
          <w:rFonts w:hint="eastAsia" w:ascii="仿宋" w:hAnsi="仿宋" w:eastAsia="仿宋" w:cs="仿宋"/>
          <w:b/>
          <w:bCs/>
          <w:color w:val="auto"/>
          <w:sz w:val="32"/>
          <w:szCs w:val="32"/>
          <w:highlight w:val="none"/>
          <w:lang w:val="zh-CN"/>
        </w:rPr>
        <w:t>：</w:t>
      </w:r>
      <w:r>
        <w:rPr>
          <w:rFonts w:hint="eastAsia" w:ascii="仿宋" w:hAnsi="仿宋" w:eastAsia="仿宋" w:cs="仿宋"/>
          <w:b/>
          <w:bCs/>
          <w:color w:val="auto"/>
          <w:sz w:val="32"/>
          <w:szCs w:val="32"/>
          <w:highlight w:val="none"/>
          <w:u w:val="single"/>
        </w:rPr>
        <w:t xml:space="preserve">                   </w:t>
      </w:r>
    </w:p>
    <w:p>
      <w:pPr>
        <w:autoSpaceDE w:val="0"/>
        <w:autoSpaceDN w:val="0"/>
        <w:adjustRightInd w:val="0"/>
        <w:snapToGrid w:val="0"/>
        <w:spacing w:line="360" w:lineRule="auto"/>
        <w:outlineLvl w:val="9"/>
        <w:rPr>
          <w:rFonts w:hint="eastAsia" w:ascii="仿宋" w:hAnsi="仿宋" w:eastAsia="仿宋" w:cs="仿宋"/>
          <w:b/>
          <w:bCs/>
          <w:color w:val="auto"/>
          <w:sz w:val="32"/>
          <w:szCs w:val="32"/>
          <w:highlight w:val="none"/>
        </w:rPr>
      </w:pPr>
    </w:p>
    <w:p>
      <w:pPr>
        <w:autoSpaceDE w:val="0"/>
        <w:autoSpaceDN w:val="0"/>
        <w:adjustRightInd w:val="0"/>
        <w:snapToGrid w:val="0"/>
        <w:spacing w:line="360" w:lineRule="auto"/>
        <w:ind w:firstLine="964" w:firstLineChars="300"/>
        <w:jc w:val="left"/>
        <w:outlineLvl w:val="9"/>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时</w:t>
      </w:r>
      <w:r>
        <w:rPr>
          <w:rFonts w:hint="eastAsia"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lang w:val="zh-CN"/>
        </w:rPr>
        <w:t>间：</w:t>
      </w:r>
    </w:p>
    <w:p>
      <w:pPr>
        <w:autoSpaceDE w:val="0"/>
        <w:autoSpaceDN w:val="0"/>
        <w:adjustRightInd w:val="0"/>
        <w:snapToGrid w:val="0"/>
        <w:spacing w:line="360" w:lineRule="auto"/>
        <w:ind w:left="0" w:leftChars="0" w:firstLine="0" w:firstLineChars="0"/>
        <w:jc w:val="center"/>
        <w:outlineLvl w:val="9"/>
        <w:rPr>
          <w:rFonts w:hint="eastAsia" w:ascii="仿宋" w:hAnsi="仿宋" w:eastAsia="仿宋" w:cs="仿宋"/>
          <w:b/>
          <w:color w:val="auto"/>
          <w:sz w:val="32"/>
          <w:szCs w:val="32"/>
          <w:highlight w:val="none"/>
          <w:lang w:val="en-US" w:eastAsia="zh-CN"/>
        </w:rPr>
      </w:pPr>
      <w:r>
        <w:rPr>
          <w:rFonts w:hint="eastAsia" w:ascii="仿宋" w:hAnsi="仿宋" w:eastAsia="仿宋" w:cs="仿宋"/>
          <w:color w:val="auto"/>
          <w:highlight w:val="none"/>
        </w:rPr>
        <w:br w:type="page"/>
      </w:r>
      <w:r>
        <w:rPr>
          <w:rFonts w:hint="eastAsia" w:ascii="仿宋" w:hAnsi="仿宋" w:eastAsia="仿宋" w:cs="仿宋"/>
          <w:b/>
          <w:color w:val="auto"/>
          <w:sz w:val="32"/>
          <w:szCs w:val="32"/>
          <w:highlight w:val="none"/>
          <w:lang w:val="en-US" w:eastAsia="zh-CN"/>
        </w:rPr>
        <w:t>目  录</w:t>
      </w:r>
    </w:p>
    <w:p>
      <w:pPr>
        <w:jc w:val="center"/>
        <w:outlineLvl w:val="9"/>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（格式自拟）</w:t>
      </w:r>
    </w:p>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Pr>
        <w:pStyle w:val="3"/>
        <w:jc w:val="center"/>
        <w:rPr>
          <w:rFonts w:hint="eastAsia" w:ascii="仿宋" w:hAnsi="仿宋" w:eastAsia="仿宋" w:cs="仿宋"/>
          <w:b/>
          <w:bCs/>
          <w:color w:val="auto"/>
          <w:highlight w:val="none"/>
        </w:rPr>
      </w:pPr>
      <w:bookmarkStart w:id="495" w:name="_Toc363474027"/>
      <w:bookmarkStart w:id="496" w:name="_Toc403077648"/>
      <w:bookmarkStart w:id="497" w:name="_Toc4580"/>
      <w:bookmarkStart w:id="498" w:name="_Toc22137"/>
      <w:bookmarkStart w:id="499" w:name="_Toc22373"/>
      <w:bookmarkStart w:id="500" w:name="_Toc27601"/>
      <w:bookmarkStart w:id="501" w:name="_Toc15931"/>
      <w:bookmarkStart w:id="502" w:name="_Toc3280"/>
      <w:bookmarkStart w:id="503" w:name="_Toc1987"/>
      <w:bookmarkStart w:id="504" w:name="_Toc11701"/>
      <w:bookmarkStart w:id="505" w:name="_Toc21270"/>
      <w:bookmarkStart w:id="506" w:name="_Toc30380"/>
      <w:bookmarkStart w:id="507" w:name="_Toc30513"/>
      <w:bookmarkStart w:id="508" w:name="_Toc2825"/>
      <w:bookmarkStart w:id="509" w:name="_Toc204524343"/>
      <w:r>
        <w:rPr>
          <w:rFonts w:hint="eastAsia" w:ascii="仿宋" w:hAnsi="仿宋" w:eastAsia="仿宋" w:cs="仿宋"/>
          <w:b/>
          <w:bCs/>
          <w:color w:val="auto"/>
          <w:highlight w:val="none"/>
        </w:rPr>
        <w:br w:type="page"/>
      </w:r>
      <w:r>
        <w:rPr>
          <w:rFonts w:hint="eastAsia" w:ascii="仿宋" w:hAnsi="仿宋" w:eastAsia="仿宋" w:cs="仿宋"/>
          <w:b/>
          <w:bCs/>
          <w:color w:val="auto"/>
          <w:highlight w:val="none"/>
        </w:rPr>
        <w:t>一、磋商</w:t>
      </w:r>
      <w:bookmarkEnd w:id="495"/>
      <w:bookmarkEnd w:id="496"/>
      <w:r>
        <w:rPr>
          <w:rFonts w:hint="eastAsia" w:ascii="仿宋" w:hAnsi="仿宋" w:eastAsia="仿宋" w:cs="仿宋"/>
          <w:b/>
          <w:bCs/>
          <w:color w:val="auto"/>
          <w:highlight w:val="none"/>
        </w:rPr>
        <w:t>响应函</w:t>
      </w:r>
      <w:bookmarkEnd w:id="497"/>
      <w:bookmarkEnd w:id="498"/>
      <w:bookmarkEnd w:id="499"/>
      <w:bookmarkEnd w:id="500"/>
      <w:bookmarkEnd w:id="501"/>
      <w:bookmarkEnd w:id="502"/>
      <w:bookmarkEnd w:id="503"/>
      <w:bookmarkEnd w:id="504"/>
      <w:bookmarkEnd w:id="505"/>
      <w:bookmarkEnd w:id="506"/>
      <w:bookmarkEnd w:id="507"/>
      <w:bookmarkEnd w:id="508"/>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（采购人名称）</w:t>
      </w:r>
    </w:p>
    <w:p>
      <w:pPr>
        <w:tabs>
          <w:tab w:val="left" w:pos="6300"/>
        </w:tabs>
        <w:snapToGrid w:val="0"/>
        <w:spacing w:line="360" w:lineRule="auto"/>
        <w:ind w:firstLine="175" w:firstLineChars="73"/>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磋商文件，经详细研究，我方愿以</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元</w:t>
      </w:r>
      <w:r>
        <w:rPr>
          <w:rFonts w:hint="eastAsia" w:ascii="仿宋" w:hAnsi="仿宋" w:eastAsia="仿宋" w:cs="仿宋"/>
          <w:color w:val="auto"/>
          <w:sz w:val="24"/>
          <w:highlight w:val="none"/>
        </w:rPr>
        <w:t>的投标报价，按照采购人的实际需要及合同约定完成本项目采购要求。我方郑重声明以下几点，并愿负法律责任。</w:t>
      </w:r>
    </w:p>
    <w:p>
      <w:pPr>
        <w:tabs>
          <w:tab w:val="left" w:pos="6300"/>
        </w:tabs>
        <w:snapToGrid w:val="0"/>
        <w:spacing w:line="360" w:lineRule="auto"/>
        <w:ind w:firstLine="175" w:firstLineChars="73"/>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1、我方完全理解并接受该项目磋商文件所有要求；</w:t>
      </w:r>
    </w:p>
    <w:p>
      <w:pPr>
        <w:tabs>
          <w:tab w:val="left" w:pos="6300"/>
        </w:tabs>
        <w:snapToGrid w:val="0"/>
        <w:spacing w:line="360" w:lineRule="auto"/>
        <w:ind w:firstLine="175" w:firstLineChars="73"/>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2、我方提交的所有磋商响应文件、资料都是准确和真实的，如有虚假或隐瞒，我方愿意承担一切法律责任；</w:t>
      </w:r>
    </w:p>
    <w:p>
      <w:pPr>
        <w:tabs>
          <w:tab w:val="left" w:pos="6300"/>
        </w:tabs>
        <w:snapToGrid w:val="0"/>
        <w:spacing w:line="360" w:lineRule="auto"/>
        <w:ind w:firstLine="175" w:firstLineChars="73"/>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3、我方承诺按照磋商文件要求，提供招标项目的技术服务；</w:t>
      </w:r>
    </w:p>
    <w:p>
      <w:pPr>
        <w:tabs>
          <w:tab w:val="left" w:pos="6300"/>
        </w:tabs>
        <w:snapToGrid w:val="0"/>
        <w:spacing w:line="360" w:lineRule="auto"/>
        <w:ind w:firstLine="175" w:firstLineChars="73"/>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、我方按磋商文件要求提交的磋商响应文件为：磋商响应文件正本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w:t>
      </w:r>
    </w:p>
    <w:p>
      <w:pPr>
        <w:tabs>
          <w:tab w:val="left" w:pos="6300"/>
        </w:tabs>
        <w:snapToGrid w:val="0"/>
        <w:spacing w:line="360" w:lineRule="auto"/>
        <w:ind w:firstLine="175" w:firstLineChars="73"/>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、我方投标报价在投标有效期和合同有效期内，该价格不变；</w:t>
      </w:r>
    </w:p>
    <w:p>
      <w:pPr>
        <w:tabs>
          <w:tab w:val="left" w:pos="6300"/>
        </w:tabs>
        <w:snapToGrid w:val="0"/>
        <w:spacing w:line="360" w:lineRule="auto"/>
        <w:ind w:firstLine="175" w:firstLineChars="73"/>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、如果我方</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，我方将履行磋商文件中规定的各项要求以及我方磋商响应文件的各项承诺，按《招投标法》、《</w:t>
      </w:r>
      <w:r>
        <w:rPr>
          <w:rFonts w:hint="eastAsia" w:ascii="仿宋" w:hAnsi="仿宋" w:eastAsia="仿宋" w:cs="仿宋"/>
          <w:color w:val="auto"/>
          <w:sz w:val="24"/>
          <w:highlight w:val="none"/>
          <w:lang w:eastAsia="zh-CN"/>
        </w:rPr>
        <w:t>民法典</w:t>
      </w:r>
      <w:r>
        <w:rPr>
          <w:rFonts w:hint="eastAsia" w:ascii="仿宋" w:hAnsi="仿宋" w:eastAsia="仿宋" w:cs="仿宋"/>
          <w:color w:val="auto"/>
          <w:sz w:val="24"/>
          <w:highlight w:val="none"/>
        </w:rPr>
        <w:t>》及合同约定条款承担我方责任；</w:t>
      </w:r>
    </w:p>
    <w:p>
      <w:pPr>
        <w:tabs>
          <w:tab w:val="left" w:pos="6300"/>
        </w:tabs>
        <w:snapToGrid w:val="0"/>
        <w:spacing w:line="360" w:lineRule="auto"/>
        <w:ind w:firstLine="175" w:firstLineChars="73"/>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、我方理解，最低报价不是</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的唯一条件；</w:t>
      </w:r>
    </w:p>
    <w:p>
      <w:pPr>
        <w:tabs>
          <w:tab w:val="left" w:pos="6300"/>
        </w:tabs>
        <w:snapToGrid w:val="0"/>
        <w:spacing w:line="360" w:lineRule="auto"/>
        <w:ind w:firstLine="175" w:firstLineChars="73"/>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、投标有效期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tabs>
          <w:tab w:val="left" w:pos="6300"/>
        </w:tabs>
        <w:snapToGrid w:val="0"/>
        <w:spacing w:line="360" w:lineRule="auto"/>
        <w:ind w:firstLine="175" w:firstLineChars="73"/>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、本投标人愿意承担直至合同签订时止为此项投标所开支的一切费用；</w:t>
      </w:r>
    </w:p>
    <w:p>
      <w:pPr>
        <w:tabs>
          <w:tab w:val="left" w:pos="6300"/>
        </w:tabs>
        <w:snapToGrid w:val="0"/>
        <w:spacing w:line="360" w:lineRule="auto"/>
        <w:ind w:firstLine="175" w:firstLineChars="73"/>
        <w:jc w:val="left"/>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p>
      <w:pPr>
        <w:spacing w:line="360" w:lineRule="auto"/>
        <w:ind w:firstLine="175" w:firstLineChars="73"/>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公</w:t>
      </w:r>
      <w:r>
        <w:rPr>
          <w:rFonts w:hint="eastAsia" w:ascii="仿宋" w:hAnsi="仿宋" w:eastAsia="仿宋" w:cs="仿宋"/>
          <w:color w:val="auto"/>
          <w:sz w:val="24"/>
          <w:highlight w:val="none"/>
        </w:rPr>
        <w:t>章）：</w:t>
      </w:r>
      <w:r>
        <w:rPr>
          <w:rFonts w:hint="eastAsia" w:ascii="仿宋" w:hAnsi="仿宋" w:eastAsia="仿宋" w:cs="仿宋"/>
          <w:color w:val="auto"/>
          <w:sz w:val="24"/>
          <w:highlight w:val="none"/>
          <w:u w:val="single"/>
        </w:rPr>
        <w:t xml:space="preserve">                      </w:t>
      </w:r>
    </w:p>
    <w:p>
      <w:pPr>
        <w:spacing w:line="360" w:lineRule="auto"/>
        <w:ind w:firstLine="175" w:firstLineChars="73"/>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法定代表人或授权代表签字：</w:t>
      </w:r>
      <w:r>
        <w:rPr>
          <w:rFonts w:hint="eastAsia" w:ascii="仿宋" w:hAnsi="仿宋" w:eastAsia="仿宋" w:cs="仿宋"/>
          <w:color w:val="auto"/>
          <w:sz w:val="24"/>
          <w:highlight w:val="none"/>
          <w:u w:val="single"/>
        </w:rPr>
        <w:t xml:space="preserve">       </w:t>
      </w:r>
    </w:p>
    <w:p>
      <w:pPr>
        <w:spacing w:line="360" w:lineRule="auto"/>
        <w:ind w:firstLine="175" w:firstLineChars="73"/>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    期：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line="360" w:lineRule="atLeast"/>
        <w:jc w:val="center"/>
        <w:outlineLvl w:val="1"/>
        <w:rPr>
          <w:rFonts w:hint="eastAsia" w:ascii="仿宋" w:hAnsi="仿宋" w:eastAsia="仿宋" w:cs="仿宋"/>
          <w:b/>
          <w:color w:val="auto"/>
          <w:sz w:val="32"/>
          <w:szCs w:val="32"/>
          <w:highlight w:val="none"/>
        </w:rPr>
      </w:pPr>
      <w:r>
        <w:rPr>
          <w:rFonts w:hint="eastAsia" w:ascii="仿宋" w:hAnsi="仿宋" w:eastAsia="仿宋" w:cs="仿宋"/>
          <w:color w:val="auto"/>
          <w:highlight w:val="none"/>
        </w:rPr>
        <w:br w:type="page"/>
      </w:r>
      <w:bookmarkStart w:id="510" w:name="_Toc1844"/>
      <w:bookmarkStart w:id="511" w:name="_Toc21522"/>
      <w:bookmarkStart w:id="512" w:name="_Toc5093"/>
      <w:bookmarkStart w:id="513" w:name="_Toc363474028"/>
      <w:bookmarkStart w:id="514" w:name="_Toc3076"/>
      <w:bookmarkStart w:id="515" w:name="_Toc24893"/>
      <w:bookmarkStart w:id="516" w:name="_Toc29795"/>
      <w:bookmarkStart w:id="517" w:name="_Toc29596"/>
      <w:bookmarkStart w:id="518" w:name="_Toc10083"/>
      <w:bookmarkStart w:id="519" w:name="_Toc23631"/>
      <w:bookmarkStart w:id="520" w:name="_Toc16490"/>
      <w:bookmarkStart w:id="521" w:name="_Toc23927"/>
      <w:bookmarkStart w:id="522" w:name="_Toc21163"/>
      <w:bookmarkStart w:id="523" w:name="_Toc403077649"/>
      <w:bookmarkStart w:id="524" w:name="_Toc9403"/>
      <w:r>
        <w:rPr>
          <w:rStyle w:val="44"/>
          <w:rFonts w:hint="eastAsia" w:ascii="仿宋" w:hAnsi="仿宋" w:eastAsia="仿宋" w:cs="仿宋"/>
          <w:color w:val="auto"/>
          <w:highlight w:val="none"/>
        </w:rPr>
        <w:t>二、</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Start w:id="525" w:name="_Toc31121"/>
      <w:bookmarkStart w:id="526" w:name="_Toc363474030"/>
      <w:bookmarkStart w:id="527" w:name="_Toc587"/>
      <w:bookmarkStart w:id="528" w:name="_Toc403077651"/>
      <w:bookmarkStart w:id="529" w:name="_Toc24619"/>
      <w:bookmarkStart w:id="530" w:name="_Toc15323"/>
      <w:bookmarkStart w:id="531" w:name="_Toc7630"/>
      <w:bookmarkStart w:id="532" w:name="_Toc13418"/>
      <w:bookmarkStart w:id="533" w:name="_Toc18614"/>
      <w:bookmarkStart w:id="534" w:name="_Toc12383"/>
      <w:r>
        <w:rPr>
          <w:rFonts w:hint="eastAsia" w:ascii="仿宋" w:hAnsi="仿宋" w:eastAsia="仿宋" w:cs="仿宋"/>
          <w:b/>
          <w:color w:val="auto"/>
          <w:sz w:val="32"/>
          <w:szCs w:val="32"/>
          <w:highlight w:val="none"/>
        </w:rPr>
        <w:t xml:space="preserve"> 法定代表人证明书与法定代表人授权书</w:t>
      </w:r>
      <w:bookmarkEnd w:id="524"/>
    </w:p>
    <w:p>
      <w:pPr>
        <w:tabs>
          <w:tab w:val="left" w:pos="210"/>
        </w:tabs>
        <w:spacing w:line="320" w:lineRule="exact"/>
        <w:jc w:val="center"/>
        <w:rPr>
          <w:rFonts w:hint="eastAsia" w:ascii="仿宋" w:hAnsi="仿宋" w:eastAsia="仿宋" w:cs="仿宋"/>
          <w:b/>
          <w:color w:val="auto"/>
          <w:kern w:val="0"/>
          <w:sz w:val="32"/>
          <w:szCs w:val="32"/>
          <w:highlight w:val="none"/>
        </w:rPr>
      </w:pPr>
    </w:p>
    <w:p>
      <w:pPr>
        <w:tabs>
          <w:tab w:val="left" w:pos="210"/>
        </w:tabs>
        <w:spacing w:line="32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2.1</w:t>
      </w:r>
      <w:r>
        <w:rPr>
          <w:rFonts w:hint="eastAsia" w:ascii="仿宋" w:hAnsi="仿宋" w:eastAsia="仿宋" w:cs="仿宋"/>
          <w:b/>
          <w:color w:val="auto"/>
          <w:kern w:val="0"/>
          <w:sz w:val="32"/>
          <w:szCs w:val="32"/>
          <w:highlight w:val="none"/>
        </w:rPr>
        <w:t>法定代表人证明书</w:t>
      </w:r>
    </w:p>
    <w:p>
      <w:pPr>
        <w:tabs>
          <w:tab w:val="left" w:pos="210"/>
        </w:tabs>
        <w:spacing w:line="320" w:lineRule="exact"/>
        <w:jc w:val="center"/>
        <w:rPr>
          <w:rFonts w:hint="eastAsia" w:ascii="仿宋" w:hAnsi="仿宋" w:eastAsia="仿宋" w:cs="仿宋"/>
          <w:b/>
          <w:color w:val="auto"/>
          <w:kern w:val="0"/>
          <w:sz w:val="32"/>
          <w:szCs w:val="32"/>
          <w:highlight w:val="none"/>
        </w:rPr>
      </w:pPr>
    </w:p>
    <w:tbl>
      <w:tblPr>
        <w:tblStyle w:val="22"/>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2139"/>
        <w:gridCol w:w="2316"/>
        <w:gridCol w:w="2135"/>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620" w:type="dxa"/>
            <w:gridSpan w:val="5"/>
            <w:noWrap w:val="0"/>
            <w:vAlign w:val="center"/>
          </w:tcPr>
          <w:p>
            <w:pPr>
              <w:tabs>
                <w:tab w:val="left" w:pos="210"/>
              </w:tabs>
              <w:spacing w:line="32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致：（采购人名称）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91" w:type="dxa"/>
            <w:vMerge w:val="restart"/>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企</w:t>
            </w:r>
          </w:p>
          <w:p>
            <w:pPr>
              <w:tabs>
                <w:tab w:val="left" w:pos="210"/>
              </w:tabs>
              <w:spacing w:line="320" w:lineRule="exact"/>
              <w:jc w:val="center"/>
              <w:rPr>
                <w:rFonts w:hint="eastAsia" w:ascii="仿宋" w:hAnsi="仿宋" w:eastAsia="仿宋" w:cs="仿宋"/>
                <w:color w:val="auto"/>
                <w:kern w:val="0"/>
                <w:sz w:val="24"/>
                <w:highlight w:val="none"/>
              </w:rPr>
            </w:pPr>
          </w:p>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业</w:t>
            </w:r>
          </w:p>
          <w:p>
            <w:pPr>
              <w:tabs>
                <w:tab w:val="left" w:pos="210"/>
              </w:tabs>
              <w:spacing w:line="320" w:lineRule="exact"/>
              <w:jc w:val="center"/>
              <w:rPr>
                <w:rFonts w:hint="eastAsia" w:ascii="仿宋" w:hAnsi="仿宋" w:eastAsia="仿宋" w:cs="仿宋"/>
                <w:color w:val="auto"/>
                <w:kern w:val="0"/>
                <w:sz w:val="24"/>
                <w:highlight w:val="none"/>
              </w:rPr>
            </w:pPr>
          </w:p>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w:t>
            </w:r>
          </w:p>
          <w:p>
            <w:pPr>
              <w:tabs>
                <w:tab w:val="left" w:pos="210"/>
              </w:tabs>
              <w:spacing w:line="320" w:lineRule="exact"/>
              <w:jc w:val="center"/>
              <w:rPr>
                <w:rFonts w:hint="eastAsia" w:ascii="仿宋" w:hAnsi="仿宋" w:eastAsia="仿宋" w:cs="仿宋"/>
                <w:color w:val="auto"/>
                <w:kern w:val="0"/>
                <w:sz w:val="24"/>
                <w:highlight w:val="none"/>
              </w:rPr>
            </w:pPr>
          </w:p>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2139" w:type="dxa"/>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企业名称</w:t>
            </w:r>
          </w:p>
        </w:tc>
        <w:tc>
          <w:tcPr>
            <w:tcW w:w="6590" w:type="dxa"/>
            <w:gridSpan w:val="3"/>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91" w:type="dxa"/>
            <w:vMerge w:val="continue"/>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c>
          <w:tcPr>
            <w:tcW w:w="2139" w:type="dxa"/>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法定地址</w:t>
            </w:r>
          </w:p>
        </w:tc>
        <w:tc>
          <w:tcPr>
            <w:tcW w:w="6590" w:type="dxa"/>
            <w:gridSpan w:val="3"/>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91" w:type="dxa"/>
            <w:vMerge w:val="continue"/>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c>
          <w:tcPr>
            <w:tcW w:w="2139" w:type="dxa"/>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工商登记机关</w:t>
            </w:r>
          </w:p>
        </w:tc>
        <w:tc>
          <w:tcPr>
            <w:tcW w:w="6590" w:type="dxa"/>
            <w:gridSpan w:val="3"/>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91" w:type="dxa"/>
            <w:vMerge w:val="continue"/>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c>
          <w:tcPr>
            <w:tcW w:w="2139" w:type="dxa"/>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机构代码证号</w:t>
            </w:r>
          </w:p>
        </w:tc>
        <w:tc>
          <w:tcPr>
            <w:tcW w:w="6590" w:type="dxa"/>
            <w:gridSpan w:val="3"/>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91" w:type="dxa"/>
            <w:vMerge w:val="restart"/>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w:t>
            </w:r>
          </w:p>
        </w:tc>
        <w:tc>
          <w:tcPr>
            <w:tcW w:w="2139" w:type="dxa"/>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姓名</w:t>
            </w:r>
          </w:p>
        </w:tc>
        <w:tc>
          <w:tcPr>
            <w:tcW w:w="2316" w:type="dxa"/>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c>
          <w:tcPr>
            <w:tcW w:w="2135" w:type="dxa"/>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性别</w:t>
            </w:r>
          </w:p>
        </w:tc>
        <w:tc>
          <w:tcPr>
            <w:tcW w:w="2139" w:type="dxa"/>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91" w:type="dxa"/>
            <w:vMerge w:val="continue"/>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c>
          <w:tcPr>
            <w:tcW w:w="2139" w:type="dxa"/>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职务</w:t>
            </w:r>
          </w:p>
        </w:tc>
        <w:tc>
          <w:tcPr>
            <w:tcW w:w="2316" w:type="dxa"/>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c>
          <w:tcPr>
            <w:tcW w:w="2135" w:type="dxa"/>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联系电话</w:t>
            </w:r>
          </w:p>
        </w:tc>
        <w:tc>
          <w:tcPr>
            <w:tcW w:w="2139" w:type="dxa"/>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891" w:type="dxa"/>
            <w:vMerge w:val="restart"/>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法定代表人身份证复印件</w:t>
            </w:r>
          </w:p>
        </w:tc>
        <w:tc>
          <w:tcPr>
            <w:tcW w:w="4455" w:type="dxa"/>
            <w:gridSpan w:val="2"/>
            <w:vMerge w:val="restart"/>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正反面</w:t>
            </w:r>
            <w:r>
              <w:rPr>
                <w:rFonts w:hint="eastAsia" w:ascii="仿宋" w:hAnsi="仿宋" w:eastAsia="仿宋" w:cs="仿宋"/>
                <w:color w:val="auto"/>
                <w:kern w:val="0"/>
                <w:sz w:val="24"/>
                <w:highlight w:val="none"/>
              </w:rPr>
              <w:t>）</w:t>
            </w:r>
          </w:p>
        </w:tc>
        <w:tc>
          <w:tcPr>
            <w:tcW w:w="4274" w:type="dxa"/>
            <w:gridSpan w:val="2"/>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6" w:hRule="atLeast"/>
          <w:jc w:val="center"/>
        </w:trPr>
        <w:tc>
          <w:tcPr>
            <w:tcW w:w="891" w:type="dxa"/>
            <w:vMerge w:val="continue"/>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c>
          <w:tcPr>
            <w:tcW w:w="4455" w:type="dxa"/>
            <w:gridSpan w:val="2"/>
            <w:vMerge w:val="continue"/>
            <w:noWrap w:val="0"/>
            <w:vAlign w:val="center"/>
          </w:tcPr>
          <w:p>
            <w:pPr>
              <w:tabs>
                <w:tab w:val="left" w:pos="210"/>
              </w:tabs>
              <w:spacing w:line="320" w:lineRule="exact"/>
              <w:jc w:val="center"/>
              <w:rPr>
                <w:rFonts w:hint="eastAsia" w:ascii="仿宋" w:hAnsi="仿宋" w:eastAsia="仿宋" w:cs="仿宋"/>
                <w:color w:val="auto"/>
                <w:kern w:val="0"/>
                <w:sz w:val="24"/>
                <w:highlight w:val="none"/>
              </w:rPr>
            </w:pPr>
          </w:p>
        </w:tc>
        <w:tc>
          <w:tcPr>
            <w:tcW w:w="4274" w:type="dxa"/>
            <w:gridSpan w:val="2"/>
            <w:noWrap w:val="0"/>
            <w:vAlign w:val="center"/>
          </w:tcPr>
          <w:p>
            <w:pPr>
              <w:tabs>
                <w:tab w:val="left" w:pos="210"/>
              </w:tabs>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供应商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en-US" w:eastAsia="zh-CN"/>
              </w:rPr>
              <w:t>公</w:t>
            </w:r>
            <w:r>
              <w:rPr>
                <w:rFonts w:hint="eastAsia" w:ascii="仿宋" w:hAnsi="仿宋" w:eastAsia="仿宋" w:cs="仿宋"/>
                <w:color w:val="auto"/>
                <w:sz w:val="24"/>
                <w:highlight w:val="none"/>
              </w:rPr>
              <w:t>章</w:t>
            </w:r>
            <w:r>
              <w:rPr>
                <w:rFonts w:hint="eastAsia" w:ascii="仿宋" w:hAnsi="仿宋" w:eastAsia="仿宋" w:cs="仿宋"/>
                <w:color w:val="auto"/>
                <w:kern w:val="0"/>
                <w:sz w:val="24"/>
                <w:highlight w:val="none"/>
              </w:rPr>
              <w:t>）</w:t>
            </w:r>
          </w:p>
          <w:p>
            <w:pPr>
              <w:tabs>
                <w:tab w:val="left" w:pos="210"/>
              </w:tabs>
              <w:spacing w:line="320" w:lineRule="exact"/>
              <w:jc w:val="center"/>
              <w:rPr>
                <w:rFonts w:hint="eastAsia" w:ascii="仿宋" w:hAnsi="仿宋" w:eastAsia="仿宋" w:cs="仿宋"/>
                <w:color w:val="auto"/>
                <w:kern w:val="0"/>
                <w:sz w:val="24"/>
                <w:highlight w:val="none"/>
              </w:rPr>
            </w:pPr>
          </w:p>
          <w:p>
            <w:pPr>
              <w:tabs>
                <w:tab w:val="left" w:pos="210"/>
              </w:tabs>
              <w:spacing w:line="320" w:lineRule="exact"/>
              <w:jc w:val="center"/>
              <w:rPr>
                <w:rFonts w:hint="eastAsia" w:ascii="仿宋" w:hAnsi="仿宋" w:eastAsia="仿宋" w:cs="仿宋"/>
                <w:color w:val="auto"/>
                <w:kern w:val="0"/>
                <w:sz w:val="24"/>
                <w:highlight w:val="none"/>
              </w:rPr>
            </w:pPr>
          </w:p>
          <w:p>
            <w:pPr>
              <w:tabs>
                <w:tab w:val="left" w:pos="210"/>
              </w:tabs>
              <w:spacing w:line="320" w:lineRule="exact"/>
              <w:jc w:val="center"/>
              <w:rPr>
                <w:rFonts w:hint="eastAsia" w:ascii="仿宋" w:hAnsi="仿宋" w:eastAsia="仿宋" w:cs="仿宋"/>
                <w:color w:val="auto"/>
                <w:kern w:val="0"/>
                <w:sz w:val="24"/>
                <w:highlight w:val="none"/>
              </w:rPr>
            </w:pPr>
          </w:p>
          <w:p>
            <w:pPr>
              <w:tabs>
                <w:tab w:val="left" w:pos="210"/>
              </w:tabs>
              <w:wordWrap w:val="0"/>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年  月  日</w:t>
            </w:r>
          </w:p>
        </w:tc>
      </w:tr>
    </w:tbl>
    <w:p>
      <w:pPr>
        <w:tabs>
          <w:tab w:val="left" w:pos="210"/>
        </w:tabs>
        <w:spacing w:line="32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r>
        <w:rPr>
          <w:rFonts w:hint="eastAsia" w:ascii="仿宋" w:hAnsi="仿宋" w:eastAsia="仿宋" w:cs="仿宋"/>
          <w:b/>
          <w:color w:val="auto"/>
          <w:kern w:val="0"/>
          <w:sz w:val="32"/>
          <w:szCs w:val="32"/>
          <w:highlight w:val="none"/>
          <w:lang w:val="en-US" w:eastAsia="zh-CN"/>
        </w:rPr>
        <w:t>2.2</w:t>
      </w:r>
      <w:r>
        <w:rPr>
          <w:rFonts w:hint="eastAsia" w:ascii="仿宋" w:hAnsi="仿宋" w:eastAsia="仿宋" w:cs="仿宋"/>
          <w:b/>
          <w:color w:val="auto"/>
          <w:kern w:val="0"/>
          <w:sz w:val="32"/>
          <w:szCs w:val="32"/>
          <w:highlight w:val="none"/>
        </w:rPr>
        <w:t>法定代表人授权书</w:t>
      </w:r>
    </w:p>
    <w:p>
      <w:pPr>
        <w:pStyle w:val="12"/>
        <w:spacing w:line="500" w:lineRule="exact"/>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rPr>
        <w:t>（采购人名称）</w:t>
      </w:r>
      <w:r>
        <w:rPr>
          <w:rFonts w:hint="eastAsia" w:ascii="仿宋" w:hAnsi="仿宋" w:eastAsia="仿宋" w:cs="仿宋"/>
          <w:color w:val="auto"/>
          <w:sz w:val="24"/>
          <w:szCs w:val="24"/>
          <w:highlight w:val="none"/>
        </w:rPr>
        <w:t>：</w:t>
      </w:r>
    </w:p>
    <w:p>
      <w:pPr>
        <w:pStyle w:val="12"/>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本授权书声明：注册于（</w:t>
      </w:r>
      <w:r>
        <w:rPr>
          <w:rFonts w:hint="eastAsia" w:ascii="仿宋" w:hAnsi="仿宋" w:eastAsia="仿宋" w:cs="仿宋"/>
          <w:color w:val="auto"/>
          <w:sz w:val="24"/>
          <w:szCs w:val="24"/>
          <w:highlight w:val="none"/>
          <w:u w:val="single"/>
        </w:rPr>
        <w:t xml:space="preserve"> 工商行政管理局名称）之（委托单位全称） </w:t>
      </w:r>
      <w:r>
        <w:rPr>
          <w:rFonts w:hint="eastAsia" w:ascii="仿宋" w:hAnsi="仿宋" w:eastAsia="仿宋" w:cs="仿宋"/>
          <w:color w:val="auto"/>
          <w:sz w:val="24"/>
          <w:szCs w:val="24"/>
          <w:highlight w:val="none"/>
        </w:rPr>
        <w:t>的法定代表人</w:t>
      </w:r>
      <w:r>
        <w:rPr>
          <w:rFonts w:hint="eastAsia" w:ascii="仿宋" w:hAnsi="仿宋" w:eastAsia="仿宋" w:cs="仿宋"/>
          <w:color w:val="auto"/>
          <w:sz w:val="24"/>
          <w:szCs w:val="24"/>
          <w:highlight w:val="none"/>
          <w:u w:val="single"/>
        </w:rPr>
        <w:t>（姓名、性别）</w:t>
      </w:r>
      <w:r>
        <w:rPr>
          <w:rFonts w:hint="eastAsia" w:ascii="仿宋" w:hAnsi="仿宋" w:eastAsia="仿宋" w:cs="仿宋"/>
          <w:color w:val="auto"/>
          <w:sz w:val="24"/>
          <w:szCs w:val="24"/>
          <w:highlight w:val="none"/>
        </w:rPr>
        <w:t>授权本公司的</w:t>
      </w:r>
      <w:r>
        <w:rPr>
          <w:rFonts w:hint="eastAsia" w:ascii="仿宋" w:hAnsi="仿宋" w:eastAsia="仿宋" w:cs="仿宋"/>
          <w:color w:val="auto"/>
          <w:sz w:val="24"/>
          <w:szCs w:val="24"/>
          <w:highlight w:val="none"/>
          <w:u w:val="single"/>
        </w:rPr>
        <w:t>（被授权人姓名、性别、职务）</w:t>
      </w:r>
      <w:r>
        <w:rPr>
          <w:rFonts w:hint="eastAsia" w:ascii="仿宋" w:hAnsi="仿宋" w:eastAsia="仿宋" w:cs="仿宋"/>
          <w:color w:val="auto"/>
          <w:sz w:val="24"/>
          <w:szCs w:val="24"/>
          <w:highlight w:val="none"/>
        </w:rPr>
        <w:t>为合法代理人，就贵方组织的有关</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）的投标、洽谈、执行等具体事务，签署全部有关文件、文书、协议、合同，本公司对被授权人在本项目中的签名承担全部法律责任。本授权书自开标大会之日起计算有效期为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天。</w:t>
      </w:r>
    </w:p>
    <w:p>
      <w:pPr>
        <w:pStyle w:val="12"/>
        <w:spacing w:line="500" w:lineRule="exact"/>
        <w:ind w:firstLine="480" w:firstLineChars="200"/>
        <w:rPr>
          <w:rFonts w:hint="eastAsia" w:ascii="仿宋" w:hAnsi="仿宋" w:eastAsia="仿宋" w:cs="仿宋"/>
          <w:color w:val="auto"/>
          <w:sz w:val="24"/>
          <w:szCs w:val="24"/>
          <w:highlight w:val="none"/>
        </w:rPr>
      </w:pPr>
    </w:p>
    <w:p>
      <w:pPr>
        <w:pStyle w:val="12"/>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委托单位：（公章）                  法定代表人（签字或盖章）：</w:t>
      </w:r>
    </w:p>
    <w:p>
      <w:pPr>
        <w:pStyle w:val="12"/>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签发日期：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Style w:val="12"/>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附：被授权人姓名：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性别：</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w:t>
      </w:r>
      <w:r>
        <w:rPr>
          <w:rFonts w:hint="eastAsia" w:ascii="仿宋" w:hAnsi="仿宋" w:eastAsia="仿宋" w:cs="仿宋"/>
          <w:color w:val="auto"/>
          <w:sz w:val="24"/>
          <w:szCs w:val="24"/>
          <w:highlight w:val="none"/>
          <w:u w:val="single"/>
        </w:rPr>
        <w:t xml:space="preserve">             </w:t>
      </w:r>
    </w:p>
    <w:p>
      <w:pPr>
        <w:pStyle w:val="12"/>
        <w:spacing w:line="500" w:lineRule="exact"/>
        <w:ind w:firstLine="960" w:firstLineChars="4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联系地址：  </w:t>
      </w:r>
      <w:r>
        <w:rPr>
          <w:rFonts w:hint="eastAsia" w:ascii="仿宋" w:hAnsi="仿宋" w:eastAsia="仿宋" w:cs="仿宋"/>
          <w:color w:val="auto"/>
          <w:sz w:val="24"/>
          <w:szCs w:val="24"/>
          <w:highlight w:val="none"/>
          <w:u w:val="single"/>
        </w:rPr>
        <w:t xml:space="preserve">                                                </w:t>
      </w:r>
    </w:p>
    <w:p>
      <w:pPr>
        <w:pStyle w:val="12"/>
        <w:spacing w:line="500" w:lineRule="exact"/>
        <w:ind w:firstLine="2760" w:firstLineChars="1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法定代表人/被授权人身份证复印件</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213"/>
        <w:gridCol w:w="4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854" w:hRule="atLeast"/>
          <w:jc w:val="center"/>
        </w:trPr>
        <w:tc>
          <w:tcPr>
            <w:tcW w:w="4213" w:type="dxa"/>
            <w:shd w:val="clear" w:color="auto" w:fill="auto"/>
            <w:noWrap w:val="0"/>
            <w:vAlign w:val="center"/>
          </w:tcPr>
          <w:p>
            <w:pPr>
              <w:pStyle w:val="12"/>
              <w:spacing w:line="500" w:lineRule="exact"/>
              <w:jc w:val="center"/>
              <w:rPr>
                <w:rFonts w:hint="eastAsia" w:ascii="仿宋" w:hAnsi="仿宋" w:eastAsia="仿宋" w:cs="仿宋"/>
                <w:color w:val="auto"/>
                <w:sz w:val="24"/>
                <w:szCs w:val="24"/>
                <w:highlight w:val="none"/>
                <w:shd w:val="pct10" w:color="auto" w:fill="FFFFFF"/>
              </w:rPr>
            </w:pPr>
            <w:r>
              <w:rPr>
                <w:rFonts w:hint="eastAsia" w:ascii="仿宋" w:hAnsi="仿宋" w:eastAsia="仿宋" w:cs="仿宋"/>
                <w:color w:val="auto"/>
                <w:sz w:val="24"/>
                <w:szCs w:val="24"/>
                <w:highlight w:val="none"/>
                <w:shd w:val="pct10" w:color="auto" w:fill="FFFFFF"/>
              </w:rPr>
              <w:t>法定代表人身份证复印件（正面）</w:t>
            </w:r>
          </w:p>
        </w:tc>
        <w:tc>
          <w:tcPr>
            <w:tcW w:w="4212" w:type="dxa"/>
            <w:shd w:val="clear" w:color="auto" w:fill="auto"/>
            <w:noWrap w:val="0"/>
            <w:vAlign w:val="center"/>
          </w:tcPr>
          <w:p>
            <w:pPr>
              <w:pStyle w:val="12"/>
              <w:spacing w:line="500" w:lineRule="exact"/>
              <w:jc w:val="center"/>
              <w:rPr>
                <w:rFonts w:hint="eastAsia" w:ascii="仿宋" w:hAnsi="仿宋" w:eastAsia="仿宋" w:cs="仿宋"/>
                <w:color w:val="auto"/>
                <w:sz w:val="24"/>
                <w:szCs w:val="24"/>
                <w:highlight w:val="none"/>
                <w:shd w:val="pct10" w:color="auto" w:fill="FFFFFF"/>
              </w:rPr>
            </w:pPr>
            <w:r>
              <w:rPr>
                <w:rFonts w:hint="eastAsia" w:ascii="仿宋" w:hAnsi="仿宋" w:eastAsia="仿宋" w:cs="仿宋"/>
                <w:color w:val="auto"/>
                <w:sz w:val="24"/>
                <w:szCs w:val="24"/>
                <w:highlight w:val="none"/>
                <w:shd w:val="pct10" w:color="auto" w:fill="FFFFFF"/>
              </w:rPr>
              <w:t>被授权人身份证复印件（正面）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792" w:hRule="atLeast"/>
          <w:jc w:val="center"/>
        </w:trPr>
        <w:tc>
          <w:tcPr>
            <w:tcW w:w="4213" w:type="dxa"/>
            <w:shd w:val="clear" w:color="auto" w:fill="auto"/>
            <w:noWrap w:val="0"/>
            <w:vAlign w:val="center"/>
          </w:tcPr>
          <w:p>
            <w:pPr>
              <w:pStyle w:val="12"/>
              <w:spacing w:line="500" w:lineRule="exact"/>
              <w:jc w:val="center"/>
              <w:rPr>
                <w:rFonts w:hint="eastAsia" w:ascii="仿宋" w:hAnsi="仿宋" w:eastAsia="仿宋" w:cs="仿宋"/>
                <w:color w:val="auto"/>
                <w:sz w:val="24"/>
                <w:szCs w:val="24"/>
                <w:highlight w:val="none"/>
                <w:shd w:val="pct10" w:color="auto" w:fill="FFFFFF"/>
              </w:rPr>
            </w:pPr>
            <w:r>
              <w:rPr>
                <w:rFonts w:hint="eastAsia" w:ascii="仿宋" w:hAnsi="仿宋" w:eastAsia="仿宋" w:cs="仿宋"/>
                <w:color w:val="auto"/>
                <w:sz w:val="24"/>
                <w:szCs w:val="24"/>
                <w:highlight w:val="none"/>
                <w:shd w:val="pct10" w:color="auto" w:fill="FFFFFF"/>
              </w:rPr>
              <w:t>法定代表人身份证复印件（背面）</w:t>
            </w:r>
          </w:p>
        </w:tc>
        <w:tc>
          <w:tcPr>
            <w:tcW w:w="4212" w:type="dxa"/>
            <w:shd w:val="clear" w:color="auto" w:fill="auto"/>
            <w:noWrap w:val="0"/>
            <w:vAlign w:val="center"/>
          </w:tcPr>
          <w:p>
            <w:pPr>
              <w:pStyle w:val="12"/>
              <w:spacing w:line="500" w:lineRule="exact"/>
              <w:jc w:val="center"/>
              <w:rPr>
                <w:rFonts w:hint="eastAsia" w:ascii="仿宋" w:hAnsi="仿宋" w:eastAsia="仿宋" w:cs="仿宋"/>
                <w:color w:val="auto"/>
                <w:sz w:val="24"/>
                <w:szCs w:val="24"/>
                <w:highlight w:val="none"/>
                <w:shd w:val="pct10" w:color="auto" w:fill="FFFFFF"/>
              </w:rPr>
            </w:pPr>
            <w:r>
              <w:rPr>
                <w:rFonts w:hint="eastAsia" w:ascii="仿宋" w:hAnsi="仿宋" w:eastAsia="仿宋" w:cs="仿宋"/>
                <w:color w:val="auto"/>
                <w:sz w:val="24"/>
                <w:szCs w:val="24"/>
                <w:highlight w:val="none"/>
                <w:shd w:val="pct10" w:color="auto" w:fill="FFFFFF"/>
              </w:rPr>
              <w:t>被授权人身份证复印件（背面）</w:t>
            </w:r>
          </w:p>
        </w:tc>
      </w:tr>
    </w:tbl>
    <w:p>
      <w:pPr>
        <w:pStyle w:val="12"/>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sz w:val="24"/>
          <w:szCs w:val="24"/>
          <w:highlight w:val="none"/>
        </w:rPr>
        <w:t>1．本授权书有效期自开标大会之日计算不得少于九十天。</w:t>
      </w:r>
    </w:p>
    <w:p>
      <w:pPr>
        <w:pStyle w:val="12"/>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 w:val="24"/>
          <w:szCs w:val="24"/>
          <w:highlight w:val="none"/>
        </w:rPr>
        <w:t>2．授权书内容填写要明确，文字要工整清楚，涂改无效</w:t>
      </w:r>
      <w:r>
        <w:rPr>
          <w:rFonts w:hint="eastAsia" w:ascii="仿宋" w:hAnsi="仿宋" w:eastAsia="仿宋" w:cs="仿宋"/>
          <w:color w:val="auto"/>
          <w:szCs w:val="24"/>
          <w:highlight w:val="none"/>
        </w:rPr>
        <w:t>。</w:t>
      </w:r>
    </w:p>
    <w:p>
      <w:pPr>
        <w:pStyle w:val="3"/>
        <w:jc w:val="center"/>
        <w:rPr>
          <w:rFonts w:hint="eastAsia" w:ascii="仿宋" w:hAnsi="仿宋" w:eastAsia="仿宋" w:cs="仿宋"/>
          <w:b w:val="0"/>
          <w:bCs/>
          <w:color w:val="auto"/>
          <w:sz w:val="24"/>
          <w:szCs w:val="24"/>
          <w:highlight w:val="none"/>
        </w:rPr>
      </w:pPr>
      <w:bookmarkStart w:id="535" w:name="_Toc24282"/>
      <w:bookmarkStart w:id="536" w:name="_Toc30442"/>
      <w:bookmarkStart w:id="537" w:name="_Toc30655"/>
      <w:bookmarkStart w:id="538" w:name="_Toc3449"/>
      <w:bookmarkStart w:id="539" w:name="_Toc23208"/>
      <w:r>
        <w:rPr>
          <w:rStyle w:val="44"/>
          <w:rFonts w:hint="eastAsia" w:ascii="仿宋" w:hAnsi="仿宋" w:eastAsia="仿宋" w:cs="仿宋"/>
          <w:b/>
          <w:color w:val="auto"/>
          <w:highlight w:val="none"/>
        </w:rPr>
        <w:br w:type="page"/>
      </w:r>
      <w:r>
        <w:rPr>
          <w:rStyle w:val="44"/>
          <w:rFonts w:hint="eastAsia" w:ascii="仿宋" w:hAnsi="仿宋" w:eastAsia="仿宋" w:cs="仿宋"/>
          <w:b/>
          <w:color w:val="auto"/>
          <w:highlight w:val="none"/>
        </w:rPr>
        <w:t>三、磋商报价表</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pPr>
        <w:pageBreakBefore w:val="0"/>
        <w:kinsoku/>
        <w:wordWrap/>
        <w:overflowPunct/>
        <w:bidi w:val="0"/>
        <w:spacing w:after="156" w:afterLines="50" w:line="500" w:lineRule="exact"/>
        <w:ind w:firstLine="120" w:firstLineChars="50"/>
        <w:outlineLvl w:val="9"/>
        <w:rPr>
          <w:rFonts w:hint="eastAsia" w:ascii="仿宋" w:hAnsi="仿宋" w:eastAsia="仿宋" w:cs="仿宋"/>
          <w:color w:val="auto"/>
          <w:sz w:val="24"/>
          <w:szCs w:val="24"/>
          <w:highlight w:val="none"/>
          <w:lang w:eastAsia="zh-CN"/>
        </w:rPr>
      </w:pPr>
      <w:bookmarkStart w:id="540" w:name="_Toc515350676"/>
      <w:bookmarkStart w:id="541" w:name="_Toc1170"/>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w:t>
      </w:r>
      <w:bookmarkEnd w:id="540"/>
      <w:bookmarkEnd w:id="541"/>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3270"/>
        <w:gridCol w:w="171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1766" w:type="dxa"/>
            <w:noWrap w:val="0"/>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内容</w:t>
            </w:r>
          </w:p>
        </w:tc>
        <w:tc>
          <w:tcPr>
            <w:tcW w:w="3270" w:type="dxa"/>
            <w:noWrap w:val="0"/>
            <w:vAlign w:val="center"/>
          </w:tcPr>
          <w:p>
            <w:pPr>
              <w:spacing w:line="360" w:lineRule="auto"/>
              <w:jc w:val="center"/>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报价金额（元）</w:t>
            </w:r>
          </w:p>
        </w:tc>
        <w:tc>
          <w:tcPr>
            <w:tcW w:w="1717" w:type="dxa"/>
            <w:noWrap w:val="0"/>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服务期</w:t>
            </w:r>
          </w:p>
        </w:tc>
        <w:tc>
          <w:tcPr>
            <w:tcW w:w="225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766" w:type="dxa"/>
            <w:noWrap w:val="0"/>
            <w:vAlign w:val="center"/>
          </w:tcPr>
          <w:p>
            <w:pPr>
              <w:jc w:val="center"/>
              <w:rPr>
                <w:rFonts w:hint="eastAsia" w:ascii="仿宋" w:hAnsi="仿宋" w:eastAsia="仿宋" w:cs="仿宋"/>
                <w:color w:val="auto"/>
                <w:sz w:val="24"/>
                <w:szCs w:val="24"/>
                <w:highlight w:val="none"/>
              </w:rPr>
            </w:pPr>
          </w:p>
        </w:tc>
        <w:tc>
          <w:tcPr>
            <w:tcW w:w="3270" w:type="dxa"/>
            <w:noWrap w:val="0"/>
            <w:vAlign w:val="center"/>
          </w:tcPr>
          <w:p>
            <w:pPr>
              <w:jc w:val="center"/>
              <w:rPr>
                <w:rFonts w:hint="eastAsia" w:ascii="仿宋" w:hAnsi="仿宋" w:eastAsia="仿宋" w:cs="仿宋"/>
                <w:color w:val="auto"/>
                <w:sz w:val="24"/>
                <w:szCs w:val="24"/>
                <w:highlight w:val="none"/>
              </w:rPr>
            </w:pPr>
          </w:p>
        </w:tc>
        <w:tc>
          <w:tcPr>
            <w:tcW w:w="1717" w:type="dxa"/>
            <w:noWrap w:val="0"/>
            <w:vAlign w:val="center"/>
          </w:tcPr>
          <w:p>
            <w:pPr>
              <w:jc w:val="center"/>
              <w:rPr>
                <w:rFonts w:hint="eastAsia" w:ascii="仿宋" w:hAnsi="仿宋" w:eastAsia="仿宋" w:cs="仿宋"/>
                <w:color w:val="auto"/>
                <w:sz w:val="24"/>
                <w:szCs w:val="24"/>
                <w:highlight w:val="none"/>
              </w:rPr>
            </w:pPr>
          </w:p>
        </w:tc>
        <w:tc>
          <w:tcPr>
            <w:tcW w:w="2251" w:type="dxa"/>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9004" w:type="dxa"/>
            <w:gridSpan w:val="4"/>
            <w:noWrap w:val="0"/>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 xml:space="preserve">总报价：人民币（大写）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9004" w:type="dxa"/>
            <w:gridSpan w:val="4"/>
            <w:noWrap w:val="0"/>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备注：表内报价内容以元为单位，保留小数点后两位。</w:t>
            </w:r>
          </w:p>
        </w:tc>
      </w:tr>
    </w:tbl>
    <w:p>
      <w:pPr>
        <w:pageBreakBefore w:val="0"/>
        <w:kinsoku/>
        <w:wordWrap/>
        <w:overflowPunct/>
        <w:bidi w:val="0"/>
        <w:adjustRightInd w:val="0"/>
        <w:snapToGrid w:val="0"/>
        <w:spacing w:line="500" w:lineRule="exact"/>
        <w:ind w:left="-88" w:leftChars="-42" w:firstLine="240" w:firstLineChars="100"/>
        <w:rPr>
          <w:rFonts w:hint="eastAsia" w:ascii="仿宋" w:hAnsi="仿宋" w:eastAsia="仿宋" w:cs="仿宋"/>
          <w:color w:val="auto"/>
          <w:sz w:val="24"/>
          <w:szCs w:val="24"/>
          <w:highlight w:val="none"/>
        </w:rPr>
      </w:pPr>
    </w:p>
    <w:p>
      <w:pPr>
        <w:pageBreakBefore w:val="0"/>
        <w:kinsoku/>
        <w:wordWrap/>
        <w:overflowPunct/>
        <w:bidi w:val="0"/>
        <w:adjustRightInd w:val="0"/>
        <w:snapToGrid w:val="0"/>
        <w:spacing w:line="500" w:lineRule="exact"/>
        <w:ind w:left="-88" w:leftChars="-42"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r>
        <w:rPr>
          <w:rFonts w:hint="eastAsia" w:ascii="仿宋" w:hAnsi="仿宋" w:eastAsia="仿宋" w:cs="仿宋"/>
          <w:b/>
          <w:color w:val="auto"/>
          <w:sz w:val="24"/>
          <w:szCs w:val="24"/>
          <w:highlight w:val="none"/>
        </w:rPr>
        <w:t>：</w:t>
      </w:r>
    </w:p>
    <w:p>
      <w:pPr>
        <w:pageBreakBefore w:val="0"/>
        <w:kinsoku/>
        <w:wordWrap/>
        <w:overflowPunct/>
        <w:bidi w:val="0"/>
        <w:adjustRightInd w:val="0"/>
        <w:snapToGrid w:val="0"/>
        <w:spacing w:line="500" w:lineRule="exact"/>
        <w:ind w:left="-88" w:leftChars="-42"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1、报价一览表以</w:t>
      </w:r>
      <w:r>
        <w:rPr>
          <w:rFonts w:hint="eastAsia" w:ascii="仿宋" w:hAnsi="仿宋" w:eastAsia="仿宋" w:cs="仿宋"/>
          <w:color w:val="auto"/>
          <w:sz w:val="24"/>
          <w:szCs w:val="24"/>
          <w:highlight w:val="none"/>
          <w:lang w:val="en-US" w:eastAsia="zh-CN"/>
        </w:rPr>
        <w:t>元</w:t>
      </w:r>
      <w:r>
        <w:rPr>
          <w:rFonts w:hint="eastAsia" w:ascii="仿宋" w:hAnsi="仿宋" w:eastAsia="仿宋" w:cs="仿宋"/>
          <w:color w:val="auto"/>
          <w:sz w:val="24"/>
          <w:szCs w:val="24"/>
          <w:highlight w:val="none"/>
        </w:rPr>
        <w:t>为单位填写；</w:t>
      </w:r>
    </w:p>
    <w:p>
      <w:pPr>
        <w:pageBreakBefore w:val="0"/>
        <w:kinsoku/>
        <w:wordWrap/>
        <w:overflowPunct/>
        <w:bidi w:val="0"/>
        <w:adjustRightInd w:val="0"/>
        <w:snapToGrid w:val="0"/>
        <w:spacing w:line="500" w:lineRule="exact"/>
        <w:ind w:left="-88" w:leftChars="-42"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2、分包的，项目名称填写分包的项目名称，无分包的填写采购项目名称；</w:t>
      </w:r>
    </w:p>
    <w:p>
      <w:pPr>
        <w:pageBreakBefore w:val="0"/>
        <w:kinsoku/>
        <w:wordWrap/>
        <w:overflowPunct/>
        <w:bidi w:val="0"/>
        <w:adjustRightInd w:val="0"/>
        <w:snapToGrid w:val="0"/>
        <w:spacing w:line="500" w:lineRule="exact"/>
        <w:ind w:left="-88" w:leftChars="-42" w:firstLine="960" w:firstLineChars="4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3、表所列各项数据与</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其他地方表述不一致时，以本表为准</w:t>
      </w:r>
      <w:r>
        <w:rPr>
          <w:rFonts w:hint="eastAsia" w:ascii="仿宋" w:hAnsi="仿宋" w:eastAsia="仿宋" w:cs="仿宋"/>
          <w:color w:val="auto"/>
          <w:sz w:val="24"/>
          <w:szCs w:val="24"/>
          <w:highlight w:val="none"/>
          <w:lang w:eastAsia="zh-CN"/>
        </w:rPr>
        <w:t>；</w:t>
      </w:r>
    </w:p>
    <w:p>
      <w:pPr>
        <w:spacing w:before="156" w:beforeLines="50" w:after="156" w:afterLines="50" w:line="480" w:lineRule="auto"/>
        <w:ind w:left="480"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磋商报价是供应商为完成本项目全部服务内容最终价格的体现，包括为完成本项目所发生的各项费用、税金以及合同包含的所有风险、责任等各项应有费用，包括交通食宿费、材料费、人力成本费等一切费用及其它相关的费用。</w:t>
      </w:r>
    </w:p>
    <w:p>
      <w:pPr>
        <w:spacing w:line="480" w:lineRule="auto"/>
        <w:ind w:right="540" w:rightChars="257"/>
        <w:jc w:val="left"/>
        <w:rPr>
          <w:rFonts w:hint="eastAsia" w:ascii="仿宋" w:hAnsi="仿宋" w:eastAsia="仿宋" w:cs="仿宋"/>
          <w:color w:val="auto"/>
          <w:sz w:val="24"/>
          <w:szCs w:val="24"/>
          <w:highlight w:val="none"/>
        </w:rPr>
      </w:pPr>
    </w:p>
    <w:p>
      <w:pPr>
        <w:spacing w:line="480" w:lineRule="auto"/>
        <w:ind w:left="0" w:leftChars="0" w:right="540" w:rightChars="257" w:firstLine="3158" w:firstLineChars="131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w:t>
      </w:r>
      <w:r>
        <w:rPr>
          <w:rFonts w:hint="eastAsia" w:ascii="仿宋" w:hAnsi="仿宋" w:eastAsia="仿宋" w:cs="仿宋"/>
          <w:color w:val="auto"/>
          <w:sz w:val="24"/>
          <w:szCs w:val="24"/>
          <w:highlight w:val="none"/>
          <w:u w:val="single"/>
        </w:rPr>
        <w:t xml:space="preserve">      （公章）</w:t>
      </w:r>
    </w:p>
    <w:p>
      <w:pPr>
        <w:spacing w:line="480" w:lineRule="auto"/>
        <w:ind w:left="0" w:leftChars="0" w:right="540" w:rightChars="257" w:firstLine="3158" w:firstLineChars="131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w:t>
      </w:r>
      <w:r>
        <w:rPr>
          <w:rFonts w:hint="eastAsia" w:ascii="仿宋" w:hAnsi="仿宋" w:eastAsia="仿宋" w:cs="仿宋"/>
          <w:color w:val="auto"/>
          <w:sz w:val="24"/>
          <w:szCs w:val="24"/>
          <w:highlight w:val="none"/>
          <w:u w:val="single"/>
        </w:rPr>
        <w:t xml:space="preserve">            </w:t>
      </w:r>
    </w:p>
    <w:p>
      <w:pPr>
        <w:spacing w:line="480" w:lineRule="auto"/>
        <w:ind w:left="0" w:leftChars="0" w:right="540" w:rightChars="257" w:firstLine="3158" w:firstLineChars="1316"/>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p>
    <w:p>
      <w:pPr>
        <w:pStyle w:val="13"/>
        <w:rPr>
          <w:rFonts w:hint="eastAsia" w:ascii="仿宋" w:hAnsi="仿宋" w:eastAsia="仿宋" w:cs="仿宋"/>
          <w:color w:val="auto"/>
          <w:highlight w:val="none"/>
        </w:rPr>
      </w:pPr>
    </w:p>
    <w:bookmarkEnd w:id="509"/>
    <w:p>
      <w:pPr>
        <w:ind w:firstLine="211"/>
        <w:jc w:val="center"/>
        <w:outlineLvl w:val="2"/>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r>
        <w:rPr>
          <w:rFonts w:hint="eastAsia" w:ascii="仿宋" w:hAnsi="仿宋" w:eastAsia="仿宋" w:cs="仿宋"/>
          <w:b/>
          <w:color w:val="auto"/>
          <w:sz w:val="32"/>
          <w:szCs w:val="32"/>
          <w:highlight w:val="none"/>
        </w:rPr>
        <w:t>分项报价</w:t>
      </w:r>
    </w:p>
    <w:p>
      <w:pPr>
        <w:pageBreakBefore w:val="0"/>
        <w:kinsoku/>
        <w:wordWrap/>
        <w:overflowPunct/>
        <w:bidi w:val="0"/>
        <w:spacing w:after="156" w:afterLines="50" w:line="500" w:lineRule="exact"/>
        <w:jc w:val="center"/>
        <w:outlineLvl w:val="9"/>
        <w:rPr>
          <w:rFonts w:hint="eastAsia" w:ascii="仿宋" w:hAnsi="仿宋" w:eastAsia="仿宋" w:cs="仿宋"/>
          <w:color w:val="auto"/>
          <w:highlight w:val="none"/>
          <w:lang w:eastAsia="zh-CN"/>
        </w:rPr>
      </w:pPr>
      <w:bookmarkStart w:id="542" w:name="_Toc3504"/>
      <w:r>
        <w:rPr>
          <w:rFonts w:hint="eastAsia" w:ascii="仿宋" w:hAnsi="仿宋" w:eastAsia="仿宋" w:cs="仿宋"/>
          <w:color w:val="auto"/>
          <w:sz w:val="24"/>
          <w:szCs w:val="32"/>
          <w:highlight w:val="none"/>
          <w:lang w:eastAsia="zh-CN"/>
        </w:rPr>
        <w:t>（</w:t>
      </w:r>
      <w:r>
        <w:rPr>
          <w:rFonts w:hint="eastAsia" w:ascii="仿宋" w:hAnsi="仿宋" w:eastAsia="仿宋" w:cs="仿宋"/>
          <w:color w:val="auto"/>
          <w:sz w:val="24"/>
          <w:szCs w:val="32"/>
          <w:highlight w:val="none"/>
          <w:lang w:val="en-US" w:eastAsia="zh-CN"/>
        </w:rPr>
        <w:t>格式自拟</w:t>
      </w:r>
      <w:r>
        <w:rPr>
          <w:rFonts w:hint="eastAsia" w:ascii="仿宋" w:hAnsi="仿宋" w:eastAsia="仿宋" w:cs="仿宋"/>
          <w:color w:val="auto"/>
          <w:sz w:val="24"/>
          <w:szCs w:val="32"/>
          <w:highlight w:val="none"/>
          <w:lang w:eastAsia="zh-CN"/>
        </w:rPr>
        <w:t>）</w:t>
      </w:r>
      <w:bookmarkEnd w:id="542"/>
    </w:p>
    <w:p>
      <w:pPr>
        <w:pStyle w:val="2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w:t>
      </w: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adjustRightInd w:val="0"/>
        <w:snapToGrid w:val="0"/>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注：1.供应商须按照</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文件“采购内容及要求”中涉及的</w:t>
      </w:r>
      <w:r>
        <w:rPr>
          <w:rFonts w:hint="eastAsia" w:ascii="仿宋" w:hAnsi="仿宋" w:eastAsia="仿宋" w:cs="仿宋"/>
          <w:color w:val="auto"/>
          <w:sz w:val="24"/>
          <w:highlight w:val="none"/>
          <w:lang w:val="en-US" w:eastAsia="zh-CN"/>
        </w:rPr>
        <w:t>内容</w:t>
      </w:r>
      <w:r>
        <w:rPr>
          <w:rFonts w:hint="eastAsia" w:ascii="仿宋" w:hAnsi="仿宋" w:eastAsia="仿宋" w:cs="仿宋"/>
          <w:color w:val="auto"/>
          <w:sz w:val="24"/>
          <w:highlight w:val="none"/>
        </w:rPr>
        <w:t>进行报价，格式可自定。</w:t>
      </w:r>
    </w:p>
    <w:p>
      <w:pPr>
        <w:adjustRightInd w:val="0"/>
        <w:snapToGrid w:val="0"/>
        <w:spacing w:line="360" w:lineRule="auto"/>
        <w:ind w:left="0" w:leftChars="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2.如果按单价计算的结果与总价不一致，以单价为准修正总价。</w:t>
      </w:r>
    </w:p>
    <w:p>
      <w:pPr>
        <w:adjustRightInd w:val="0"/>
        <w:snapToGrid w:val="0"/>
        <w:spacing w:line="360" w:lineRule="auto"/>
        <w:ind w:left="0" w:leftChars="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3.本表</w:t>
      </w:r>
      <w:r>
        <w:rPr>
          <w:rFonts w:hint="eastAsia" w:ascii="仿宋" w:hAnsi="仿宋" w:eastAsia="仿宋" w:cs="仿宋"/>
          <w:color w:val="auto"/>
          <w:sz w:val="24"/>
          <w:highlight w:val="none"/>
          <w:lang w:val="en-US" w:eastAsia="zh-CN"/>
        </w:rPr>
        <w:t>合计</w:t>
      </w:r>
      <w:r>
        <w:rPr>
          <w:rFonts w:hint="eastAsia" w:ascii="仿宋" w:hAnsi="仿宋" w:eastAsia="仿宋" w:cs="仿宋"/>
          <w:color w:val="auto"/>
          <w:sz w:val="24"/>
          <w:highlight w:val="none"/>
        </w:rPr>
        <w:t>金额应与“</w:t>
      </w:r>
      <w:r>
        <w:rPr>
          <w:rFonts w:hint="eastAsia" w:ascii="仿宋" w:hAnsi="仿宋" w:eastAsia="仿宋" w:cs="仿宋"/>
          <w:color w:val="auto"/>
          <w:sz w:val="24"/>
          <w:highlight w:val="none"/>
          <w:lang w:val="en-US" w:eastAsia="zh-CN"/>
        </w:rPr>
        <w:t>磋商报价</w:t>
      </w:r>
      <w:r>
        <w:rPr>
          <w:rFonts w:hint="eastAsia" w:ascii="仿宋" w:hAnsi="仿宋" w:eastAsia="仿宋" w:cs="仿宋"/>
          <w:color w:val="auto"/>
          <w:sz w:val="24"/>
          <w:highlight w:val="none"/>
        </w:rPr>
        <w:t>表”中的</w:t>
      </w:r>
      <w:r>
        <w:rPr>
          <w:rFonts w:hint="eastAsia" w:ascii="仿宋" w:hAnsi="仿宋" w:eastAsia="仿宋" w:cs="仿宋"/>
          <w:color w:val="auto"/>
          <w:sz w:val="24"/>
          <w:highlight w:val="none"/>
          <w:lang w:val="en-US" w:eastAsia="zh-CN"/>
        </w:rPr>
        <w:t>磋商总报价金额</w:t>
      </w:r>
      <w:r>
        <w:rPr>
          <w:rFonts w:hint="eastAsia" w:ascii="仿宋" w:hAnsi="仿宋" w:eastAsia="仿宋" w:cs="仿宋"/>
          <w:color w:val="auto"/>
          <w:sz w:val="24"/>
          <w:highlight w:val="none"/>
        </w:rPr>
        <w:t>一致；</w:t>
      </w:r>
    </w:p>
    <w:p>
      <w:pPr>
        <w:adjustRightInd w:val="0"/>
        <w:snapToGrid w:val="0"/>
        <w:spacing w:line="360" w:lineRule="auto"/>
        <w:ind w:left="0" w:leftChars="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表内涉及所有货物（设备）的必须注明品牌规格型号（如有），未提供按无效投标处理。</w:t>
      </w:r>
    </w:p>
    <w:p>
      <w:pPr>
        <w:pStyle w:val="20"/>
        <w:jc w:val="center"/>
        <w:rPr>
          <w:rFonts w:hint="eastAsia" w:ascii="仿宋" w:hAnsi="仿宋" w:eastAsia="仿宋" w:cs="仿宋"/>
          <w:b/>
          <w:color w:val="auto"/>
          <w:sz w:val="32"/>
          <w:szCs w:val="32"/>
          <w:highlight w:val="none"/>
        </w:rPr>
      </w:pPr>
    </w:p>
    <w:p>
      <w:pPr>
        <w:spacing w:line="480" w:lineRule="auto"/>
        <w:ind w:left="0" w:leftChars="0" w:right="540" w:rightChars="257" w:firstLine="3578" w:firstLineChars="1491"/>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w:t>
      </w:r>
      <w:r>
        <w:rPr>
          <w:rFonts w:hint="eastAsia" w:ascii="仿宋" w:hAnsi="仿宋" w:eastAsia="仿宋" w:cs="仿宋"/>
          <w:color w:val="auto"/>
          <w:sz w:val="24"/>
          <w:szCs w:val="24"/>
          <w:highlight w:val="none"/>
          <w:u w:val="single"/>
        </w:rPr>
        <w:t xml:space="preserve">      （公章）</w:t>
      </w:r>
    </w:p>
    <w:p>
      <w:pPr>
        <w:spacing w:line="480" w:lineRule="auto"/>
        <w:ind w:left="0" w:leftChars="0" w:right="540" w:rightChars="257" w:firstLine="3578" w:firstLineChars="1491"/>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w:t>
      </w:r>
      <w:r>
        <w:rPr>
          <w:rFonts w:hint="eastAsia" w:ascii="仿宋" w:hAnsi="仿宋" w:eastAsia="仿宋" w:cs="仿宋"/>
          <w:color w:val="auto"/>
          <w:sz w:val="24"/>
          <w:szCs w:val="24"/>
          <w:highlight w:val="none"/>
          <w:u w:val="single"/>
        </w:rPr>
        <w:t xml:space="preserve">            </w:t>
      </w:r>
    </w:p>
    <w:p>
      <w:pPr>
        <w:spacing w:line="480" w:lineRule="auto"/>
        <w:ind w:left="0" w:leftChars="0" w:right="540" w:rightChars="257" w:firstLine="3578" w:firstLineChars="1491"/>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p>
    <w:p>
      <w:pPr>
        <w:pStyle w:val="20"/>
        <w:jc w:val="center"/>
        <w:rPr>
          <w:rFonts w:hint="eastAsia" w:ascii="仿宋" w:hAnsi="仿宋" w:eastAsia="仿宋" w:cs="仿宋"/>
          <w:b/>
          <w:color w:val="auto"/>
          <w:sz w:val="32"/>
          <w:szCs w:val="32"/>
          <w:highlight w:val="none"/>
        </w:rPr>
      </w:pPr>
    </w:p>
    <w:p>
      <w:pPr>
        <w:pStyle w:val="20"/>
        <w:jc w:val="center"/>
        <w:rPr>
          <w:rFonts w:hint="eastAsia" w:ascii="仿宋" w:hAnsi="仿宋" w:eastAsia="仿宋" w:cs="仿宋"/>
          <w:b/>
          <w:color w:val="auto"/>
          <w:sz w:val="32"/>
          <w:szCs w:val="32"/>
          <w:highlight w:val="none"/>
        </w:rPr>
      </w:pPr>
    </w:p>
    <w:p>
      <w:pPr>
        <w:pStyle w:val="20"/>
        <w:jc w:val="center"/>
        <w:rPr>
          <w:rFonts w:hint="eastAsia" w:ascii="仿宋" w:hAnsi="仿宋" w:eastAsia="仿宋" w:cs="仿宋"/>
          <w:b/>
          <w:color w:val="auto"/>
          <w:sz w:val="32"/>
          <w:szCs w:val="32"/>
          <w:highlight w:val="none"/>
        </w:rPr>
      </w:pPr>
    </w:p>
    <w:p>
      <w:pPr>
        <w:pStyle w:val="20"/>
        <w:jc w:val="center"/>
        <w:rPr>
          <w:rFonts w:hint="eastAsia" w:ascii="仿宋" w:hAnsi="仿宋" w:eastAsia="仿宋" w:cs="仿宋"/>
          <w:b/>
          <w:color w:val="auto"/>
          <w:sz w:val="32"/>
          <w:szCs w:val="32"/>
          <w:highlight w:val="none"/>
        </w:rPr>
      </w:pPr>
    </w:p>
    <w:p>
      <w:pPr>
        <w:jc w:val="center"/>
        <w:outlineLvl w:val="1"/>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br w:type="page"/>
      </w:r>
      <w:bookmarkStart w:id="543" w:name="_Toc24565"/>
      <w:r>
        <w:rPr>
          <w:rFonts w:hint="eastAsia" w:ascii="仿宋" w:hAnsi="仿宋" w:eastAsia="仿宋" w:cs="仿宋"/>
          <w:b/>
          <w:color w:val="auto"/>
          <w:sz w:val="32"/>
          <w:szCs w:val="32"/>
          <w:highlight w:val="none"/>
        </w:rPr>
        <w:t>四、</w:t>
      </w:r>
      <w:bookmarkStart w:id="544" w:name="_Toc7188_WPSOffice_Level1"/>
      <w:bookmarkStart w:id="545" w:name="_Toc23396_WPSOffice_Level1"/>
      <w:bookmarkStart w:id="546" w:name="_Toc22312_WPSOffice_Level1"/>
      <w:r>
        <w:rPr>
          <w:rFonts w:hint="eastAsia" w:ascii="仿宋" w:hAnsi="仿宋" w:eastAsia="仿宋" w:cs="仿宋"/>
          <w:b/>
          <w:bCs/>
          <w:color w:val="auto"/>
          <w:sz w:val="32"/>
          <w:szCs w:val="32"/>
          <w:highlight w:val="none"/>
        </w:rPr>
        <w:t>商务条款偏离表</w:t>
      </w:r>
      <w:bookmarkEnd w:id="543"/>
      <w:bookmarkEnd w:id="544"/>
      <w:bookmarkEnd w:id="545"/>
      <w:bookmarkEnd w:id="546"/>
    </w:p>
    <w:p>
      <w:pPr>
        <w:kinsoku w:val="0"/>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bl>
      <w:tblPr>
        <w:tblStyle w:val="22"/>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891"/>
        <w:gridCol w:w="2891"/>
        <w:gridCol w:w="1185"/>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2" w:type="dxa"/>
            <w:shd w:val="clear" w:color="auto" w:fill="auto"/>
            <w:noWrap w:val="0"/>
            <w:vAlign w:val="center"/>
          </w:tcPr>
          <w:p>
            <w:pPr>
              <w:adjustRightInd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891" w:type="dxa"/>
            <w:shd w:val="clear" w:color="auto" w:fill="auto"/>
            <w:noWrap w:val="0"/>
            <w:vAlign w:val="center"/>
          </w:tcPr>
          <w:p>
            <w:pPr>
              <w:adjustRightInd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磋商</w:t>
            </w:r>
            <w:r>
              <w:rPr>
                <w:rFonts w:hint="eastAsia" w:ascii="仿宋" w:hAnsi="仿宋" w:eastAsia="仿宋" w:cs="仿宋"/>
                <w:b/>
                <w:color w:val="auto"/>
                <w:sz w:val="24"/>
                <w:szCs w:val="24"/>
                <w:highlight w:val="none"/>
              </w:rPr>
              <w:t>文件商务要求</w:t>
            </w:r>
          </w:p>
        </w:tc>
        <w:tc>
          <w:tcPr>
            <w:tcW w:w="2891" w:type="dxa"/>
            <w:shd w:val="clear" w:color="auto" w:fill="auto"/>
            <w:noWrap w:val="0"/>
            <w:vAlign w:val="center"/>
          </w:tcPr>
          <w:p>
            <w:pPr>
              <w:adjustRightInd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响应</w:t>
            </w:r>
            <w:r>
              <w:rPr>
                <w:rFonts w:hint="eastAsia" w:ascii="仿宋" w:hAnsi="仿宋" w:eastAsia="仿宋" w:cs="仿宋"/>
                <w:b/>
                <w:color w:val="auto"/>
                <w:sz w:val="24"/>
                <w:szCs w:val="24"/>
                <w:highlight w:val="none"/>
              </w:rPr>
              <w:t>文件商务响应</w:t>
            </w:r>
          </w:p>
        </w:tc>
        <w:tc>
          <w:tcPr>
            <w:tcW w:w="1185" w:type="dxa"/>
            <w:shd w:val="clear" w:color="auto" w:fill="auto"/>
            <w:noWrap w:val="0"/>
            <w:vAlign w:val="center"/>
          </w:tcPr>
          <w:p>
            <w:pPr>
              <w:adjustRightInd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偏离程度</w:t>
            </w:r>
          </w:p>
        </w:tc>
        <w:tc>
          <w:tcPr>
            <w:tcW w:w="2030" w:type="dxa"/>
            <w:shd w:val="clear" w:color="auto" w:fill="auto"/>
            <w:noWrap w:val="0"/>
            <w:vAlign w:val="center"/>
          </w:tcPr>
          <w:p>
            <w:pPr>
              <w:adjustRightInd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shd w:val="clear" w:color="auto" w:fill="auto"/>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891" w:type="dxa"/>
            <w:shd w:val="clear" w:color="auto" w:fill="auto"/>
            <w:noWrap w:val="0"/>
            <w:vAlign w:val="center"/>
          </w:tcPr>
          <w:p>
            <w:pPr>
              <w:spacing w:line="360" w:lineRule="auto"/>
              <w:jc w:val="center"/>
              <w:rPr>
                <w:rFonts w:hint="eastAsia" w:ascii="仿宋" w:hAnsi="仿宋" w:eastAsia="仿宋" w:cs="仿宋"/>
                <w:color w:val="auto"/>
                <w:sz w:val="24"/>
                <w:szCs w:val="24"/>
                <w:highlight w:val="none"/>
              </w:rPr>
            </w:pPr>
          </w:p>
        </w:tc>
        <w:tc>
          <w:tcPr>
            <w:tcW w:w="2891" w:type="dxa"/>
            <w:shd w:val="clear" w:color="auto" w:fill="auto"/>
            <w:noWrap w:val="0"/>
            <w:vAlign w:val="center"/>
          </w:tcPr>
          <w:p>
            <w:pPr>
              <w:spacing w:line="360" w:lineRule="auto"/>
              <w:jc w:val="center"/>
              <w:rPr>
                <w:rFonts w:hint="eastAsia" w:ascii="仿宋" w:hAnsi="仿宋" w:eastAsia="仿宋" w:cs="仿宋"/>
                <w:color w:val="auto"/>
                <w:sz w:val="24"/>
                <w:szCs w:val="24"/>
                <w:highlight w:val="none"/>
              </w:rPr>
            </w:pPr>
          </w:p>
        </w:tc>
        <w:tc>
          <w:tcPr>
            <w:tcW w:w="1185" w:type="dxa"/>
            <w:shd w:val="clear" w:color="auto" w:fill="auto"/>
            <w:noWrap w:val="0"/>
            <w:vAlign w:val="center"/>
          </w:tcPr>
          <w:p>
            <w:pPr>
              <w:spacing w:line="360" w:lineRule="auto"/>
              <w:jc w:val="center"/>
              <w:rPr>
                <w:rFonts w:hint="eastAsia" w:ascii="仿宋" w:hAnsi="仿宋" w:eastAsia="仿宋" w:cs="仿宋"/>
                <w:color w:val="auto"/>
                <w:sz w:val="24"/>
                <w:szCs w:val="24"/>
                <w:highlight w:val="none"/>
              </w:rPr>
            </w:pPr>
          </w:p>
        </w:tc>
        <w:tc>
          <w:tcPr>
            <w:tcW w:w="2030" w:type="dxa"/>
            <w:shd w:val="clear" w:color="auto" w:fill="auto"/>
            <w:noWrap w:val="0"/>
            <w:vAlign w:val="center"/>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891" w:type="dxa"/>
            <w:noWrap w:val="0"/>
            <w:vAlign w:val="center"/>
          </w:tcPr>
          <w:p>
            <w:pPr>
              <w:spacing w:line="360" w:lineRule="auto"/>
              <w:jc w:val="center"/>
              <w:rPr>
                <w:rFonts w:hint="eastAsia" w:ascii="仿宋" w:hAnsi="仿宋" w:eastAsia="仿宋" w:cs="仿宋"/>
                <w:color w:val="auto"/>
                <w:sz w:val="24"/>
                <w:szCs w:val="24"/>
                <w:highlight w:val="none"/>
              </w:rPr>
            </w:pPr>
          </w:p>
        </w:tc>
        <w:tc>
          <w:tcPr>
            <w:tcW w:w="2891" w:type="dxa"/>
            <w:noWrap w:val="0"/>
            <w:vAlign w:val="center"/>
          </w:tcPr>
          <w:p>
            <w:pPr>
              <w:spacing w:line="360" w:lineRule="auto"/>
              <w:jc w:val="center"/>
              <w:rPr>
                <w:rFonts w:hint="eastAsia" w:ascii="仿宋" w:hAnsi="仿宋" w:eastAsia="仿宋" w:cs="仿宋"/>
                <w:color w:val="auto"/>
                <w:sz w:val="24"/>
                <w:szCs w:val="24"/>
                <w:highlight w:val="none"/>
              </w:rPr>
            </w:pPr>
          </w:p>
        </w:tc>
        <w:tc>
          <w:tcPr>
            <w:tcW w:w="1185" w:type="dxa"/>
            <w:noWrap w:val="0"/>
            <w:vAlign w:val="center"/>
          </w:tcPr>
          <w:p>
            <w:pPr>
              <w:spacing w:line="360" w:lineRule="auto"/>
              <w:jc w:val="center"/>
              <w:rPr>
                <w:rFonts w:hint="eastAsia" w:ascii="仿宋" w:hAnsi="仿宋" w:eastAsia="仿宋" w:cs="仿宋"/>
                <w:color w:val="auto"/>
                <w:sz w:val="24"/>
                <w:szCs w:val="24"/>
                <w:highlight w:val="none"/>
              </w:rPr>
            </w:pPr>
          </w:p>
        </w:tc>
        <w:tc>
          <w:tcPr>
            <w:tcW w:w="2030" w:type="dxa"/>
            <w:noWrap w:val="0"/>
            <w:vAlign w:val="center"/>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2891" w:type="dxa"/>
            <w:noWrap w:val="0"/>
            <w:vAlign w:val="center"/>
          </w:tcPr>
          <w:p>
            <w:pPr>
              <w:spacing w:line="360" w:lineRule="auto"/>
              <w:jc w:val="center"/>
              <w:rPr>
                <w:rFonts w:hint="eastAsia" w:ascii="仿宋" w:hAnsi="仿宋" w:eastAsia="仿宋" w:cs="仿宋"/>
                <w:color w:val="auto"/>
                <w:sz w:val="24"/>
                <w:szCs w:val="24"/>
                <w:highlight w:val="none"/>
              </w:rPr>
            </w:pPr>
          </w:p>
        </w:tc>
        <w:tc>
          <w:tcPr>
            <w:tcW w:w="2891" w:type="dxa"/>
            <w:noWrap w:val="0"/>
            <w:vAlign w:val="center"/>
          </w:tcPr>
          <w:p>
            <w:pPr>
              <w:spacing w:line="360" w:lineRule="auto"/>
              <w:jc w:val="center"/>
              <w:rPr>
                <w:rFonts w:hint="eastAsia" w:ascii="仿宋" w:hAnsi="仿宋" w:eastAsia="仿宋" w:cs="仿宋"/>
                <w:color w:val="auto"/>
                <w:sz w:val="24"/>
                <w:szCs w:val="24"/>
                <w:highlight w:val="none"/>
              </w:rPr>
            </w:pPr>
          </w:p>
        </w:tc>
        <w:tc>
          <w:tcPr>
            <w:tcW w:w="1185" w:type="dxa"/>
            <w:noWrap w:val="0"/>
            <w:vAlign w:val="center"/>
          </w:tcPr>
          <w:p>
            <w:pPr>
              <w:spacing w:line="360" w:lineRule="auto"/>
              <w:jc w:val="center"/>
              <w:rPr>
                <w:rFonts w:hint="eastAsia" w:ascii="仿宋" w:hAnsi="仿宋" w:eastAsia="仿宋" w:cs="仿宋"/>
                <w:color w:val="auto"/>
                <w:sz w:val="24"/>
                <w:szCs w:val="24"/>
                <w:highlight w:val="none"/>
              </w:rPr>
            </w:pPr>
          </w:p>
        </w:tc>
        <w:tc>
          <w:tcPr>
            <w:tcW w:w="2030" w:type="dxa"/>
            <w:noWrap w:val="0"/>
            <w:vAlign w:val="center"/>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42"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2891" w:type="dxa"/>
            <w:noWrap w:val="0"/>
            <w:vAlign w:val="center"/>
          </w:tcPr>
          <w:p>
            <w:pPr>
              <w:spacing w:line="360" w:lineRule="auto"/>
              <w:jc w:val="center"/>
              <w:rPr>
                <w:rFonts w:hint="eastAsia" w:ascii="仿宋" w:hAnsi="仿宋" w:eastAsia="仿宋" w:cs="仿宋"/>
                <w:color w:val="auto"/>
                <w:sz w:val="24"/>
                <w:szCs w:val="24"/>
                <w:highlight w:val="none"/>
              </w:rPr>
            </w:pPr>
          </w:p>
        </w:tc>
        <w:tc>
          <w:tcPr>
            <w:tcW w:w="2891" w:type="dxa"/>
            <w:noWrap w:val="0"/>
            <w:vAlign w:val="center"/>
          </w:tcPr>
          <w:p>
            <w:pPr>
              <w:spacing w:line="360" w:lineRule="auto"/>
              <w:jc w:val="center"/>
              <w:rPr>
                <w:rFonts w:hint="eastAsia" w:ascii="仿宋" w:hAnsi="仿宋" w:eastAsia="仿宋" w:cs="仿宋"/>
                <w:color w:val="auto"/>
                <w:sz w:val="24"/>
                <w:szCs w:val="24"/>
                <w:highlight w:val="none"/>
              </w:rPr>
            </w:pPr>
          </w:p>
        </w:tc>
        <w:tc>
          <w:tcPr>
            <w:tcW w:w="1185" w:type="dxa"/>
            <w:noWrap w:val="0"/>
            <w:vAlign w:val="center"/>
          </w:tcPr>
          <w:p>
            <w:pPr>
              <w:spacing w:line="360" w:lineRule="auto"/>
              <w:jc w:val="center"/>
              <w:rPr>
                <w:rFonts w:hint="eastAsia" w:ascii="仿宋" w:hAnsi="仿宋" w:eastAsia="仿宋" w:cs="仿宋"/>
                <w:color w:val="auto"/>
                <w:sz w:val="24"/>
                <w:szCs w:val="24"/>
                <w:highlight w:val="none"/>
              </w:rPr>
            </w:pPr>
          </w:p>
        </w:tc>
        <w:tc>
          <w:tcPr>
            <w:tcW w:w="2030" w:type="dxa"/>
            <w:noWrap w:val="0"/>
            <w:vAlign w:val="center"/>
          </w:tcPr>
          <w:p>
            <w:pPr>
              <w:spacing w:line="360" w:lineRule="auto"/>
              <w:jc w:val="center"/>
              <w:rPr>
                <w:rFonts w:hint="eastAsia" w:ascii="仿宋" w:hAnsi="仿宋" w:eastAsia="仿宋" w:cs="仿宋"/>
                <w:color w:val="auto"/>
                <w:sz w:val="24"/>
                <w:szCs w:val="24"/>
                <w:highlight w:val="none"/>
              </w:rPr>
            </w:pPr>
          </w:p>
        </w:tc>
      </w:tr>
    </w:tbl>
    <w:p>
      <w:pPr>
        <w:spacing w:line="360" w:lineRule="auto"/>
        <w:rPr>
          <w:rFonts w:hint="eastAsia" w:ascii="仿宋" w:hAnsi="仿宋" w:eastAsia="仿宋" w:cs="仿宋"/>
          <w:b/>
          <w:bCs/>
          <w:color w:val="auto"/>
          <w:sz w:val="24"/>
          <w:szCs w:val="24"/>
          <w:highlight w:val="none"/>
        </w:rPr>
      </w:pPr>
    </w:p>
    <w:p>
      <w:pPr>
        <w:spacing w:line="36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注：1.本表“</w:t>
      </w:r>
      <w:r>
        <w:rPr>
          <w:rFonts w:hint="eastAsia" w:ascii="仿宋" w:hAnsi="仿宋" w:eastAsia="仿宋" w:cs="仿宋"/>
          <w:b w:val="0"/>
          <w:bCs w:val="0"/>
          <w:color w:val="auto"/>
          <w:sz w:val="24"/>
          <w:szCs w:val="24"/>
          <w:highlight w:val="none"/>
          <w:lang w:val="en-US" w:eastAsia="zh-CN"/>
        </w:rPr>
        <w:t>磋商</w:t>
      </w:r>
      <w:r>
        <w:rPr>
          <w:rFonts w:hint="eastAsia" w:ascii="仿宋" w:hAnsi="仿宋" w:eastAsia="仿宋" w:cs="仿宋"/>
          <w:b w:val="0"/>
          <w:bCs w:val="0"/>
          <w:color w:val="auto"/>
          <w:sz w:val="24"/>
          <w:szCs w:val="24"/>
          <w:highlight w:val="none"/>
        </w:rPr>
        <w:t>文件商务要求”栏以</w:t>
      </w:r>
      <w:r>
        <w:rPr>
          <w:rFonts w:hint="eastAsia" w:ascii="仿宋" w:hAnsi="仿宋" w:eastAsia="仿宋" w:cs="仿宋"/>
          <w:b w:val="0"/>
          <w:bCs w:val="0"/>
          <w:color w:val="auto"/>
          <w:sz w:val="24"/>
          <w:szCs w:val="24"/>
          <w:highlight w:val="none"/>
          <w:lang w:val="en-US" w:eastAsia="zh-CN"/>
        </w:rPr>
        <w:t>磋商</w:t>
      </w:r>
      <w:r>
        <w:rPr>
          <w:rFonts w:hint="eastAsia" w:ascii="仿宋" w:hAnsi="仿宋" w:eastAsia="仿宋" w:cs="仿宋"/>
          <w:b w:val="0"/>
          <w:bCs w:val="0"/>
          <w:color w:val="auto"/>
          <w:sz w:val="24"/>
          <w:szCs w:val="24"/>
          <w:highlight w:val="none"/>
        </w:rPr>
        <w:t>文件“第</w:t>
      </w:r>
      <w:r>
        <w:rPr>
          <w:rFonts w:hint="eastAsia" w:ascii="仿宋" w:hAnsi="仿宋" w:eastAsia="仿宋" w:cs="仿宋"/>
          <w:b w:val="0"/>
          <w:bCs w:val="0"/>
          <w:color w:val="auto"/>
          <w:sz w:val="24"/>
          <w:szCs w:val="24"/>
          <w:highlight w:val="none"/>
          <w:lang w:val="en-US" w:eastAsia="zh-CN"/>
        </w:rPr>
        <w:t>六</w:t>
      </w:r>
      <w:r>
        <w:rPr>
          <w:rFonts w:hint="eastAsia" w:ascii="仿宋" w:hAnsi="仿宋" w:eastAsia="仿宋" w:cs="仿宋"/>
          <w:b w:val="0"/>
          <w:bCs w:val="0"/>
          <w:color w:val="auto"/>
          <w:sz w:val="24"/>
          <w:szCs w:val="24"/>
          <w:highlight w:val="none"/>
        </w:rPr>
        <w:t xml:space="preserve">章 </w:t>
      </w:r>
      <w:r>
        <w:rPr>
          <w:rFonts w:hint="eastAsia" w:ascii="仿宋" w:hAnsi="仿宋" w:eastAsia="仿宋" w:cs="仿宋"/>
          <w:b w:val="0"/>
          <w:bCs w:val="0"/>
          <w:color w:val="auto"/>
          <w:sz w:val="24"/>
          <w:szCs w:val="24"/>
          <w:highlight w:val="none"/>
          <w:lang w:val="en-US" w:eastAsia="zh-CN"/>
        </w:rPr>
        <w:t>商务条款</w:t>
      </w:r>
      <w:r>
        <w:rPr>
          <w:rFonts w:hint="eastAsia" w:ascii="仿宋" w:hAnsi="仿宋" w:eastAsia="仿宋" w:cs="仿宋"/>
          <w:b w:val="0"/>
          <w:bCs w:val="0"/>
          <w:color w:val="auto"/>
          <w:sz w:val="24"/>
          <w:szCs w:val="24"/>
          <w:highlight w:val="none"/>
        </w:rPr>
        <w:t>”中的各项要求，投标人必须据实填写，不得虚假响应否则将取消其投标资格。</w:t>
      </w:r>
    </w:p>
    <w:p>
      <w:pPr>
        <w:spacing w:line="360"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2.本表“偏离情况”栏列出“+/-”偏差，无偏差填“0”，如有“+/-”偏差的请在“偏离简述或相关证明材料”栏中写明原由或注明“+”偏离项的证明材料所在页码或位置；</w:t>
      </w:r>
    </w:p>
    <w:p>
      <w:pPr>
        <w:spacing w:line="360"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w:t>
      </w:r>
      <w:r>
        <w:rPr>
          <w:rFonts w:hint="eastAsia" w:ascii="仿宋" w:hAnsi="仿宋" w:eastAsia="仿宋" w:cs="仿宋"/>
          <w:b w:val="0"/>
          <w:bCs w:val="0"/>
          <w:color w:val="auto"/>
          <w:sz w:val="24"/>
          <w:szCs w:val="24"/>
          <w:highlight w:val="none"/>
          <w:lang w:val="en-US" w:eastAsia="zh-CN"/>
        </w:rPr>
        <w:t>磋商</w:t>
      </w:r>
      <w:r>
        <w:rPr>
          <w:rFonts w:hint="eastAsia" w:ascii="仿宋" w:hAnsi="仿宋" w:eastAsia="仿宋" w:cs="仿宋"/>
          <w:b w:val="0"/>
          <w:bCs w:val="0"/>
          <w:color w:val="auto"/>
          <w:sz w:val="24"/>
          <w:szCs w:val="24"/>
          <w:highlight w:val="none"/>
        </w:rPr>
        <w:t>响应文件商务响应”栏中为正偏离的必须对偏离做出详细的说明，未详细说明将视为非正偏离项，不做优选评判。</w:t>
      </w:r>
    </w:p>
    <w:p>
      <w:pPr>
        <w:spacing w:line="360"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4.供应商商务条款未逐条响应或者缺少响应内容的视为实质性未响应，按照无效投标处理。</w:t>
      </w:r>
    </w:p>
    <w:p>
      <w:pPr>
        <w:pStyle w:val="10"/>
        <w:spacing w:line="360" w:lineRule="auto"/>
        <w:rPr>
          <w:rFonts w:hint="eastAsia" w:ascii="仿宋" w:hAnsi="仿宋" w:eastAsia="仿宋" w:cs="仿宋"/>
          <w:color w:val="auto"/>
          <w:szCs w:val="21"/>
          <w:highlight w:val="none"/>
          <w:u w:val="single"/>
        </w:rPr>
      </w:pP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供应商名称：（公章）                        </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法定代表人或授权代表签字：   </w:t>
      </w:r>
    </w:p>
    <w:p>
      <w:pPr>
        <w:spacing w:line="480" w:lineRule="auto"/>
        <w:ind w:right="540" w:rightChars="25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日    期：</w:t>
      </w:r>
      <w:r>
        <w:rPr>
          <w:rFonts w:hint="eastAsia" w:ascii="仿宋" w:hAnsi="仿宋" w:eastAsia="仿宋" w:cs="仿宋"/>
          <w:color w:val="auto"/>
          <w:sz w:val="24"/>
          <w:szCs w:val="24"/>
          <w:highlight w:val="none"/>
          <w:u w:val="single"/>
        </w:rPr>
        <w:t xml:space="preserve">                          </w:t>
      </w:r>
    </w:p>
    <w:p>
      <w:pPr>
        <w:spacing w:line="360" w:lineRule="auto"/>
        <w:ind w:firstLine="360" w:firstLineChars="150"/>
        <w:jc w:val="cente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3"/>
        <w:jc w:val="center"/>
        <w:rPr>
          <w:rFonts w:hint="eastAsia" w:ascii="仿宋" w:hAnsi="仿宋" w:eastAsia="仿宋" w:cs="仿宋"/>
          <w:b/>
          <w:bCs/>
          <w:color w:val="auto"/>
          <w:szCs w:val="32"/>
          <w:highlight w:val="none"/>
        </w:rPr>
      </w:pPr>
      <w:bookmarkStart w:id="547" w:name="_Toc25227"/>
      <w:bookmarkStart w:id="548" w:name="_Toc9343"/>
      <w:bookmarkStart w:id="549" w:name="_Toc31081"/>
      <w:bookmarkStart w:id="550" w:name="_Toc5672"/>
      <w:bookmarkStart w:id="551" w:name="_Toc7933"/>
      <w:bookmarkStart w:id="552" w:name="_Toc31133"/>
      <w:bookmarkStart w:id="553" w:name="_Toc17052"/>
      <w:bookmarkStart w:id="554" w:name="_Toc32624"/>
      <w:r>
        <w:rPr>
          <w:rFonts w:hint="eastAsia" w:ascii="仿宋" w:hAnsi="仿宋" w:eastAsia="仿宋" w:cs="仿宋"/>
          <w:b/>
          <w:bCs/>
          <w:color w:val="auto"/>
          <w:szCs w:val="32"/>
          <w:highlight w:val="none"/>
        </w:rPr>
        <w:br w:type="page"/>
      </w:r>
      <w:bookmarkStart w:id="555" w:name="_Toc22968"/>
      <w:r>
        <w:rPr>
          <w:rFonts w:hint="eastAsia" w:ascii="仿宋" w:hAnsi="仿宋" w:eastAsia="仿宋" w:cs="仿宋"/>
          <w:b/>
          <w:bCs/>
          <w:color w:val="auto"/>
          <w:szCs w:val="32"/>
          <w:highlight w:val="none"/>
          <w:lang w:val="en-US" w:eastAsia="zh-CN"/>
        </w:rPr>
        <w:t>五</w:t>
      </w:r>
      <w:r>
        <w:rPr>
          <w:rFonts w:hint="eastAsia" w:ascii="仿宋" w:hAnsi="仿宋" w:eastAsia="仿宋" w:cs="仿宋"/>
          <w:b/>
          <w:bCs/>
          <w:color w:val="auto"/>
          <w:szCs w:val="32"/>
          <w:highlight w:val="none"/>
        </w:rPr>
        <w:t>、资格证明文件</w:t>
      </w:r>
      <w:bookmarkEnd w:id="547"/>
      <w:bookmarkEnd w:id="548"/>
      <w:bookmarkEnd w:id="549"/>
      <w:bookmarkEnd w:id="550"/>
      <w:bookmarkEnd w:id="551"/>
      <w:bookmarkEnd w:id="555"/>
    </w:p>
    <w:p>
      <w:pPr>
        <w:keepNext w:val="0"/>
        <w:keepLines w:val="0"/>
        <w:widowControl/>
        <w:suppressLineNumbers w:val="0"/>
        <w:spacing w:line="480" w:lineRule="auto"/>
        <w:ind w:firstLine="482" w:firstLineChars="200"/>
        <w:jc w:val="left"/>
        <w:outlineLvl w:val="9"/>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磋商响应文件中附以下资格证明文件的复印件加盖公章。</w:t>
      </w:r>
    </w:p>
    <w:p>
      <w:pPr>
        <w:keepNext w:val="0"/>
        <w:keepLines w:val="0"/>
        <w:widowControl/>
        <w:numPr>
          <w:ilvl w:val="0"/>
          <w:numId w:val="0"/>
        </w:numPr>
        <w:suppressLineNumbers w:val="0"/>
        <w:spacing w:line="480" w:lineRule="auto"/>
        <w:ind w:firstLine="422" w:firstLineChars="200"/>
        <w:jc w:val="left"/>
        <w:outlineLvl w:val="9"/>
        <w:rPr>
          <w:rFonts w:hint="default" w:ascii="仿宋" w:hAnsi="仿宋" w:eastAsia="仿宋" w:cs="仿宋"/>
          <w:b/>
          <w:bCs/>
          <w:color w:val="auto"/>
          <w:highlight w:val="none"/>
          <w:lang w:val="en-US" w:eastAsia="zh-CN"/>
        </w:rPr>
      </w:pPr>
      <w:r>
        <w:rPr>
          <w:rFonts w:hint="default" w:ascii="仿宋" w:hAnsi="仿宋" w:eastAsia="仿宋" w:cs="仿宋"/>
          <w:b/>
          <w:bCs/>
          <w:color w:val="auto"/>
          <w:kern w:val="2"/>
          <w:sz w:val="21"/>
          <w:lang w:val="en-US" w:eastAsia="zh-CN" w:bidi="ar-SA"/>
        </w:rPr>
        <w:t>1、</w:t>
      </w:r>
      <w:r>
        <w:rPr>
          <w:rFonts w:hint="eastAsia" w:ascii="仿宋" w:hAnsi="仿宋" w:eastAsia="仿宋" w:cs="仿宋"/>
          <w:b/>
          <w:bCs/>
          <w:color w:val="auto"/>
          <w:kern w:val="0"/>
          <w:sz w:val="24"/>
          <w:szCs w:val="24"/>
          <w:highlight w:val="none"/>
          <w:lang w:val="en-US" w:eastAsia="zh-CN" w:bidi="ar"/>
        </w:rPr>
        <w:t>供应商应按照磋商文件“磋商文件资格要求”逐一提供全部资格证明文件。缺少其中任何一项，其响应文件将被视为无效文件。</w:t>
      </w:r>
    </w:p>
    <w:p>
      <w:pPr>
        <w:keepNext w:val="0"/>
        <w:keepLines w:val="0"/>
        <w:widowControl/>
        <w:suppressLineNumbers w:val="0"/>
        <w:spacing w:line="480" w:lineRule="auto"/>
        <w:ind w:firstLine="480" w:firstLineChars="200"/>
        <w:jc w:val="left"/>
        <w:outlineLvl w:val="9"/>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2、供应商按照磋商文件要求提供本项目所需要的其他证明材料等。 </w:t>
      </w:r>
    </w:p>
    <w:p>
      <w:pPr>
        <w:spacing w:line="440" w:lineRule="exact"/>
        <w:ind w:left="0" w:leftChars="0" w:firstLine="480" w:firstLineChars="200"/>
        <w:jc w:val="both"/>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color w:val="auto"/>
          <w:kern w:val="0"/>
          <w:sz w:val="24"/>
          <w:szCs w:val="24"/>
          <w:highlight w:val="none"/>
          <w:lang w:val="en-US" w:eastAsia="zh-CN" w:bidi="ar"/>
        </w:rPr>
        <w:t>3、其他可以证明供应商实力的文件。</w:t>
      </w:r>
    </w:p>
    <w:p>
      <w:pPr>
        <w:spacing w:line="440" w:lineRule="exact"/>
        <w:ind w:left="3259" w:leftChars="1552"/>
        <w:rPr>
          <w:rFonts w:hint="eastAsia" w:ascii="仿宋" w:hAnsi="仿宋" w:eastAsia="仿宋" w:cs="仿宋"/>
          <w:b/>
          <w:color w:val="auto"/>
          <w:sz w:val="32"/>
          <w:szCs w:val="32"/>
          <w:highlight w:val="none"/>
        </w:rPr>
      </w:pPr>
    </w:p>
    <w:p>
      <w:pPr>
        <w:spacing w:line="440" w:lineRule="exact"/>
        <w:ind w:left="3259" w:leftChars="1552"/>
        <w:rPr>
          <w:rFonts w:hint="eastAsia" w:ascii="仿宋" w:hAnsi="仿宋" w:eastAsia="仿宋" w:cs="仿宋"/>
          <w:b/>
          <w:color w:val="auto"/>
          <w:sz w:val="32"/>
          <w:szCs w:val="32"/>
          <w:highlight w:val="none"/>
        </w:rPr>
      </w:pPr>
    </w:p>
    <w:p>
      <w:pPr>
        <w:spacing w:line="440" w:lineRule="exact"/>
        <w:ind w:left="3259" w:leftChars="1552"/>
        <w:rPr>
          <w:rFonts w:hint="eastAsia" w:ascii="仿宋" w:hAnsi="仿宋" w:eastAsia="仿宋" w:cs="仿宋"/>
          <w:b/>
          <w:color w:val="auto"/>
          <w:sz w:val="32"/>
          <w:szCs w:val="32"/>
          <w:highlight w:val="none"/>
        </w:rPr>
      </w:pPr>
    </w:p>
    <w:p>
      <w:pPr>
        <w:spacing w:line="440" w:lineRule="exact"/>
        <w:ind w:left="3259" w:leftChars="1552"/>
        <w:rPr>
          <w:rFonts w:hint="eastAsia" w:ascii="仿宋" w:hAnsi="仿宋" w:eastAsia="仿宋" w:cs="仿宋"/>
          <w:b/>
          <w:color w:val="auto"/>
          <w:sz w:val="32"/>
          <w:szCs w:val="32"/>
          <w:highlight w:val="none"/>
        </w:rPr>
      </w:pPr>
    </w:p>
    <w:p>
      <w:pPr>
        <w:pStyle w:val="20"/>
        <w:rPr>
          <w:rFonts w:hint="eastAsia" w:ascii="仿宋" w:hAnsi="仿宋" w:eastAsia="仿宋" w:cs="仿宋"/>
          <w:b/>
          <w:color w:val="auto"/>
          <w:sz w:val="32"/>
          <w:szCs w:val="32"/>
          <w:highlight w:val="none"/>
        </w:rPr>
      </w:pPr>
    </w:p>
    <w:p>
      <w:pPr>
        <w:pStyle w:val="20"/>
        <w:rPr>
          <w:rFonts w:hint="eastAsia" w:ascii="仿宋" w:hAnsi="仿宋" w:eastAsia="仿宋" w:cs="仿宋"/>
          <w:b/>
          <w:color w:val="auto"/>
          <w:sz w:val="32"/>
          <w:szCs w:val="32"/>
          <w:highlight w:val="none"/>
        </w:rPr>
      </w:pPr>
    </w:p>
    <w:p>
      <w:pPr>
        <w:pStyle w:val="20"/>
        <w:rPr>
          <w:rFonts w:hint="eastAsia" w:ascii="仿宋" w:hAnsi="仿宋" w:eastAsia="仿宋" w:cs="仿宋"/>
          <w:b/>
          <w:color w:val="auto"/>
          <w:sz w:val="32"/>
          <w:szCs w:val="32"/>
          <w:highlight w:val="none"/>
        </w:rPr>
      </w:pPr>
    </w:p>
    <w:bookmarkEnd w:id="552"/>
    <w:bookmarkEnd w:id="553"/>
    <w:bookmarkEnd w:id="554"/>
    <w:p>
      <w:pPr>
        <w:jc w:val="center"/>
        <w:outlineLvl w:val="9"/>
        <w:rPr>
          <w:rFonts w:hint="eastAsia" w:ascii="仿宋" w:hAnsi="仿宋" w:eastAsia="仿宋" w:cs="仿宋"/>
          <w:b/>
          <w:bCs/>
          <w:color w:val="auto"/>
          <w:sz w:val="24"/>
          <w:szCs w:val="20"/>
          <w:highlight w:val="none"/>
        </w:rPr>
      </w:pPr>
      <w:bookmarkStart w:id="556" w:name="_Toc28106"/>
      <w:bookmarkStart w:id="557" w:name="_Toc4240"/>
      <w:bookmarkStart w:id="558" w:name="_Toc5606"/>
      <w:bookmarkStart w:id="559" w:name="_Toc23064"/>
      <w:bookmarkStart w:id="560" w:name="_Toc455"/>
      <w:r>
        <w:rPr>
          <w:rFonts w:hint="eastAsia" w:ascii="仿宋" w:hAnsi="仿宋" w:eastAsia="仿宋" w:cs="仿宋"/>
          <w:b/>
          <w:bCs/>
          <w:color w:val="auto"/>
          <w:sz w:val="28"/>
          <w:szCs w:val="21"/>
          <w:highlight w:val="none"/>
          <w:lang w:val="en-US" w:eastAsia="zh-CN"/>
        </w:rPr>
        <w:br w:type="page"/>
      </w:r>
      <w:r>
        <w:rPr>
          <w:rFonts w:hint="eastAsia" w:ascii="仿宋" w:hAnsi="仿宋" w:eastAsia="仿宋" w:cs="仿宋"/>
          <w:b/>
          <w:bCs/>
          <w:color w:val="auto"/>
          <w:sz w:val="28"/>
          <w:szCs w:val="21"/>
          <w:highlight w:val="none"/>
          <w:lang w:val="en-US" w:eastAsia="zh-CN"/>
        </w:rPr>
        <w:t>附件1：三年内无重大违法记录的</w:t>
      </w:r>
      <w:r>
        <w:rPr>
          <w:rFonts w:hint="eastAsia" w:ascii="仿宋" w:hAnsi="仿宋" w:eastAsia="仿宋" w:cs="仿宋"/>
          <w:b/>
          <w:bCs/>
          <w:color w:val="auto"/>
          <w:sz w:val="28"/>
          <w:szCs w:val="21"/>
          <w:highlight w:val="none"/>
        </w:rPr>
        <w:t>书面声明函</w:t>
      </w:r>
    </w:p>
    <w:p>
      <w:pPr>
        <w:jc w:val="left"/>
        <w:outlineLvl w:val="9"/>
        <w:rPr>
          <w:rFonts w:hint="eastAsia" w:ascii="仿宋" w:hAnsi="仿宋" w:eastAsia="仿宋" w:cs="仿宋"/>
          <w:color w:val="auto"/>
          <w:sz w:val="24"/>
          <w:szCs w:val="24"/>
          <w:highlight w:val="none"/>
        </w:rPr>
      </w:pPr>
    </w:p>
    <w:p>
      <w:pPr>
        <w:spacing w:line="360" w:lineRule="auto"/>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p>
    <w:p>
      <w:pP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我方作为《</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）的投标人，在此郑重声明：</w:t>
      </w:r>
    </w:p>
    <w:p>
      <w:pP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1.在参加本次政府采购活动前3年内的经营活动中</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（填“没有”或“有”）重大违法记录。（投标人在参加政府采购活动前3年内因违法经营被禁止在一定期限内参加政府采购活动，期限届满的，可以参加政府采购活动，但应提供期限届满的证明材料。）</w:t>
      </w:r>
    </w:p>
    <w:p>
      <w:pP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（填“未被列入”或“被列入”）严重失信主体名单。</w:t>
      </w:r>
    </w:p>
    <w:p>
      <w:pP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（填“未被列入”或“被列入”）重大税收违法失信主体名单。</w:t>
      </w:r>
    </w:p>
    <w:p>
      <w:pP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（填“未被列入”或“被列入”）政府采购严重违法失信行为记录名单。</w:t>
      </w:r>
    </w:p>
    <w:p>
      <w:pPr>
        <w:spacing w:line="360" w:lineRule="auto"/>
        <w:ind w:firstLine="720" w:firstLineChars="3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如有不实，我方将无条件地退出本项目的采购活动，并遵照《政府采购法》有关“提供虚假材料的规定”接受处罚。</w:t>
      </w:r>
    </w:p>
    <w:p>
      <w:pPr>
        <w:spacing w:line="360" w:lineRule="auto"/>
        <w:ind w:firstLine="720" w:firstLineChars="3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特此声明。</w:t>
      </w:r>
    </w:p>
    <w:p>
      <w:pPr>
        <w:spacing w:line="288" w:lineRule="auto"/>
        <w:ind w:firstLine="480" w:firstLineChars="200"/>
        <w:jc w:val="left"/>
        <w:outlineLvl w:val="9"/>
        <w:rPr>
          <w:rFonts w:hint="eastAsia" w:ascii="仿宋" w:hAnsi="仿宋" w:eastAsia="仿宋" w:cs="仿宋"/>
          <w:color w:val="auto"/>
          <w:sz w:val="24"/>
          <w:szCs w:val="24"/>
          <w:highlight w:val="none"/>
        </w:rPr>
      </w:pPr>
    </w:p>
    <w:p>
      <w:pPr>
        <w:spacing w:line="480" w:lineRule="auto"/>
        <w:ind w:firstLine="480" w:firstLineChars="200"/>
        <w:jc w:val="left"/>
        <w:outlineLvl w:val="9"/>
        <w:rPr>
          <w:rFonts w:hint="eastAsia" w:ascii="仿宋" w:hAnsi="仿宋" w:eastAsia="仿宋" w:cs="仿宋"/>
          <w:color w:val="auto"/>
          <w:sz w:val="24"/>
          <w:szCs w:val="24"/>
          <w:highlight w:val="none"/>
        </w:rPr>
      </w:pPr>
    </w:p>
    <w:p>
      <w:pPr>
        <w:spacing w:line="480" w:lineRule="auto"/>
        <w:ind w:firstLine="5520" w:firstLineChars="23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u w:val="single"/>
        </w:rPr>
        <w:t>名称</w:t>
      </w:r>
      <w:r>
        <w:rPr>
          <w:rFonts w:hint="eastAsia" w:ascii="仿宋" w:hAnsi="仿宋" w:eastAsia="仿宋" w:cs="仿宋"/>
          <w:color w:val="auto"/>
          <w:sz w:val="24"/>
          <w:szCs w:val="24"/>
          <w:highlight w:val="none"/>
        </w:rPr>
        <w:t>（盖章）</w:t>
      </w:r>
    </w:p>
    <w:p>
      <w:pPr>
        <w:spacing w:line="480" w:lineRule="auto"/>
        <w:ind w:firstLine="5520" w:firstLineChars="23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法定代表人：（签章）</w:t>
      </w:r>
    </w:p>
    <w:p>
      <w:pPr>
        <w:spacing w:line="480" w:lineRule="auto"/>
        <w:ind w:firstLine="5520" w:firstLineChars="23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lang w:val="en-US" w:eastAsia="zh-CN"/>
        </w:rPr>
        <w:t xml:space="preserve">   </w:t>
      </w:r>
    </w:p>
    <w:p>
      <w:pPr>
        <w:spacing w:line="480" w:lineRule="auto"/>
        <w:jc w:val="center"/>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32"/>
          <w:highlight w:val="none"/>
        </w:rPr>
        <w:br w:type="page"/>
      </w:r>
      <w:r>
        <w:rPr>
          <w:rFonts w:hint="eastAsia" w:ascii="仿宋" w:hAnsi="仿宋" w:eastAsia="仿宋" w:cs="仿宋"/>
          <w:b/>
          <w:color w:val="auto"/>
          <w:sz w:val="28"/>
          <w:szCs w:val="36"/>
          <w:highlight w:val="none"/>
          <w:lang w:val="en-US" w:eastAsia="zh-CN"/>
        </w:rPr>
        <w:t>附件2：</w:t>
      </w:r>
      <w:r>
        <w:rPr>
          <w:rFonts w:hint="eastAsia" w:ascii="仿宋" w:hAnsi="仿宋" w:eastAsia="仿宋" w:cs="仿宋"/>
          <w:b/>
          <w:color w:val="auto"/>
          <w:sz w:val="28"/>
          <w:szCs w:val="28"/>
          <w:highlight w:val="none"/>
        </w:rPr>
        <w:t>榆林市政府采购</w:t>
      </w:r>
      <w:r>
        <w:rPr>
          <w:rFonts w:hint="eastAsia" w:ascii="仿宋" w:hAnsi="仿宋" w:eastAsia="仿宋" w:cs="仿宋"/>
          <w:b/>
          <w:color w:val="auto"/>
          <w:sz w:val="28"/>
          <w:szCs w:val="28"/>
          <w:highlight w:val="none"/>
          <w:lang w:val="en-US" w:eastAsia="zh-CN"/>
        </w:rPr>
        <w:t>服务</w:t>
      </w:r>
      <w:r>
        <w:rPr>
          <w:rFonts w:hint="eastAsia" w:ascii="仿宋" w:hAnsi="仿宋" w:eastAsia="仿宋" w:cs="仿宋"/>
          <w:b/>
          <w:color w:val="auto"/>
          <w:sz w:val="28"/>
          <w:szCs w:val="28"/>
          <w:highlight w:val="none"/>
        </w:rPr>
        <w:t>类项目供应商信用承诺书</w:t>
      </w:r>
    </w:p>
    <w:p>
      <w:pPr>
        <w:spacing w:line="288"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市场主体名称：</w:t>
      </w:r>
    </w:p>
    <w:p>
      <w:pPr>
        <w:spacing w:line="288"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证件类型：统一社会信用代码</w:t>
      </w:r>
    </w:p>
    <w:p>
      <w:pPr>
        <w:spacing w:line="288"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证件号码：</w:t>
      </w:r>
    </w:p>
    <w:p>
      <w:pPr>
        <w:spacing w:line="288"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法人代表：</w:t>
      </w:r>
    </w:p>
    <w:p>
      <w:pPr>
        <w:spacing w:line="288"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承诺有效期限：    年    月    日—    年    月    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一年</w:t>
      </w:r>
      <w:r>
        <w:rPr>
          <w:rFonts w:hint="eastAsia" w:ascii="仿宋" w:hAnsi="仿宋" w:eastAsia="仿宋" w:cs="仿宋"/>
          <w:color w:val="auto"/>
          <w:sz w:val="24"/>
          <w:szCs w:val="24"/>
          <w:highlight w:val="none"/>
          <w:lang w:eastAsia="zh-CN"/>
        </w:rPr>
        <w:t>）</w:t>
      </w:r>
    </w:p>
    <w:p>
      <w:pPr>
        <w:spacing w:line="288"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承诺内容：</w:t>
      </w:r>
    </w:p>
    <w:p>
      <w:pPr>
        <w:spacing w:line="288"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为维护公开、公平、公正的政府采购市场秩序，树立诚实守信的政府采购供应商形象，本单位自愿做出以下承诺：</w:t>
      </w:r>
    </w:p>
    <w:p>
      <w:pPr>
        <w:spacing w:line="288"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一、承诺本单位严格遵守国家法律、法规和规章，全面履行应尽的责任和义务，全面做到履约守信，具备《政府采购法》第二十二条第一款规定的条件;</w:t>
      </w:r>
    </w:p>
    <w:p>
      <w:pPr>
        <w:overflowPunct w:val="0"/>
        <w:topLinePunct/>
        <w:spacing w:line="288"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288"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三、承诺本单位严格依法开展生产经营活动，主动接受行业监管，自愿接受依法开展的日常检查；违法失信经营后将自愿接受约束和惩戒，并依法承担相应责任；</w:t>
      </w:r>
    </w:p>
    <w:p>
      <w:pPr>
        <w:overflowPunct w:val="0"/>
        <w:topLinePunct/>
        <w:spacing w:line="288"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四、承诺本单位自觉接受行政管理部门、行业组织、社会公众、新闻舆论的监督；</w:t>
      </w:r>
    </w:p>
    <w:p>
      <w:pPr>
        <w:overflowPunct w:val="0"/>
        <w:topLinePunct/>
        <w:spacing w:line="288"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288"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六、承诺本单位提出政府采购质疑和投诉坚持依法依规、诚实信用原则，在全国范围12个月内没有三次以上查无实据的政府采购投诉；</w:t>
      </w:r>
    </w:p>
    <w:p>
      <w:pPr>
        <w:overflowPunct w:val="0"/>
        <w:topLinePunct/>
        <w:spacing w:line="288"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七、根据政府采购相关法律法规的规定需要作出的其他诺：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p>
    <w:p>
      <w:pPr>
        <w:overflowPunct w:val="0"/>
        <w:topLinePunct/>
        <w:spacing w:line="288"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288" w:lineRule="auto"/>
        <w:ind w:firstLine="480" w:firstLineChars="200"/>
        <w:jc w:val="left"/>
        <w:outlineLvl w:val="9"/>
        <w:rPr>
          <w:rFonts w:hint="eastAsia" w:ascii="仿宋" w:hAnsi="仿宋" w:eastAsia="仿宋" w:cs="仿宋"/>
          <w:b w:val="0"/>
          <w:bCs w:val="0"/>
          <w:color w:val="auto"/>
          <w:sz w:val="24"/>
          <w:szCs w:val="24"/>
          <w:highlight w:val="none"/>
        </w:rPr>
      </w:pPr>
    </w:p>
    <w:p>
      <w:pPr>
        <w:overflowPunct w:val="0"/>
        <w:topLinePunct/>
        <w:spacing w:line="288" w:lineRule="auto"/>
        <w:ind w:firstLine="480" w:firstLineChars="200"/>
        <w:jc w:val="left"/>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承诺单位（盖章）：</w:t>
      </w:r>
    </w:p>
    <w:p>
      <w:pPr>
        <w:overflowPunct w:val="0"/>
        <w:topLinePunct/>
        <w:spacing w:line="288" w:lineRule="auto"/>
        <w:ind w:firstLine="480" w:firstLineChars="200"/>
        <w:jc w:val="left"/>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法定代表人（负责人）：</w:t>
      </w:r>
    </w:p>
    <w:p>
      <w:pPr>
        <w:overflowPunct w:val="0"/>
        <w:topLinePunct/>
        <w:spacing w:line="288" w:lineRule="auto"/>
        <w:ind w:firstLine="480" w:firstLineChars="200"/>
        <w:jc w:val="left"/>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法定代表人（负责人）身份证号：</w:t>
      </w:r>
    </w:p>
    <w:p>
      <w:pPr>
        <w:overflowPunct w:val="0"/>
        <w:topLinePunct/>
        <w:spacing w:line="288" w:lineRule="auto"/>
        <w:ind w:firstLine="480" w:firstLineChars="200"/>
        <w:jc w:val="left"/>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承诺日期：</w:t>
      </w:r>
      <w:r>
        <w:rPr>
          <w:rFonts w:hint="eastAsia" w:ascii="仿宋" w:hAnsi="仿宋" w:eastAsia="仿宋" w:cs="仿宋"/>
          <w:b w:val="0"/>
          <w:bCs w:val="0"/>
          <w:color w:val="auto"/>
          <w:sz w:val="24"/>
          <w:szCs w:val="24"/>
          <w:highlight w:val="none"/>
          <w:lang w:val="en-US" w:eastAsia="zh-CN"/>
        </w:rPr>
        <w:t xml:space="preserve">    年   月   日</w:t>
      </w:r>
    </w:p>
    <w:p>
      <w:pPr>
        <w:overflowPunct w:val="0"/>
        <w:topLinePunct/>
        <w:spacing w:line="288" w:lineRule="auto"/>
        <w:ind w:firstLine="482" w:firstLineChars="200"/>
        <w:jc w:val="left"/>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此承诺书除附在投标文件中外还须上传至“信用中国（陕西榆林）”网站投标人自主上报信用承诺书附件。（承诺有效期为1年，承诺起始时间为提交投标文件截止之日，须后附网上承诺截图）法定代表人或负责人、主体名称发生变更的应当重新做出承诺。</w:t>
      </w:r>
    </w:p>
    <w:p>
      <w:pPr>
        <w:overflowPunct w:val="0"/>
        <w:topLinePunct/>
        <w:spacing w:line="288" w:lineRule="auto"/>
        <w:jc w:val="center"/>
        <w:outlineLvl w:val="2"/>
        <w:rPr>
          <w:rFonts w:hint="eastAsia" w:ascii="仿宋" w:hAnsi="仿宋" w:eastAsia="仿宋" w:cs="仿宋"/>
          <w:color w:val="auto"/>
          <w:sz w:val="40"/>
          <w:szCs w:val="40"/>
          <w:highlight w:val="none"/>
        </w:rPr>
      </w:pPr>
      <w:r>
        <w:rPr>
          <w:rFonts w:hint="eastAsia" w:ascii="仿宋" w:hAnsi="仿宋" w:eastAsia="仿宋" w:cs="仿宋"/>
          <w:b/>
          <w:bCs/>
          <w:color w:val="auto"/>
          <w:sz w:val="24"/>
          <w:szCs w:val="24"/>
          <w:highlight w:val="none"/>
        </w:rPr>
        <w:br w:type="page"/>
      </w:r>
      <w:r>
        <w:rPr>
          <w:rFonts w:hint="eastAsia" w:ascii="仿宋" w:hAnsi="仿宋" w:eastAsia="仿宋" w:cs="仿宋"/>
          <w:b/>
          <w:bCs/>
          <w:color w:val="auto"/>
          <w:sz w:val="28"/>
          <w:szCs w:val="28"/>
          <w:highlight w:val="none"/>
          <w:lang w:val="en-US" w:eastAsia="zh-CN"/>
        </w:rPr>
        <w:t>附件3：</w:t>
      </w:r>
      <w:r>
        <w:rPr>
          <w:rFonts w:hint="eastAsia" w:ascii="仿宋" w:hAnsi="仿宋" w:eastAsia="仿宋" w:cs="仿宋"/>
          <w:b/>
          <w:bCs/>
          <w:color w:val="auto"/>
          <w:sz w:val="28"/>
          <w:szCs w:val="28"/>
          <w:highlight w:val="none"/>
        </w:rPr>
        <w:t>投标人信用承诺书</w:t>
      </w:r>
    </w:p>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outlineLvl w:val="9"/>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投标人：</w:t>
      </w:r>
      <w:r>
        <w:rPr>
          <w:rFonts w:hint="eastAsia" w:ascii="仿宋" w:hAnsi="仿宋" w:eastAsia="仿宋" w:cs="仿宋"/>
          <w:color w:val="auto"/>
          <w:kern w:val="0"/>
          <w:sz w:val="24"/>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outlineLvl w:val="9"/>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统一社会信用代码：</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法人代表：</w:t>
      </w:r>
      <w:r>
        <w:rPr>
          <w:rFonts w:hint="eastAsia" w:ascii="仿宋" w:hAnsi="仿宋" w:eastAsia="仿宋" w:cs="仿宋"/>
          <w:color w:val="auto"/>
          <w:kern w:val="0"/>
          <w:sz w:val="24"/>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outlineLvl w:val="9"/>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承诺有效期限：</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一年</w:t>
      </w:r>
      <w:r>
        <w:rPr>
          <w:rFonts w:hint="eastAsia" w:ascii="仿宋" w:hAnsi="仿宋" w:eastAsia="仿宋" w:cs="仿宋"/>
          <w:color w:val="auto"/>
          <w:kern w:val="0"/>
          <w:sz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项目招投标活动中，我公司（单位）郑重作出以下信用承诺：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300" w:lineRule="auto"/>
        <w:jc w:val="left"/>
        <w:textAlignment w:val="auto"/>
        <w:outlineLvl w:val="9"/>
        <w:rPr>
          <w:rFonts w:hint="eastAsia" w:ascii="仿宋" w:hAnsi="仿宋" w:eastAsia="仿宋" w:cs="仿宋"/>
          <w:color w:val="auto"/>
          <w:kern w:val="0"/>
          <w:sz w:val="24"/>
          <w:highlight w:val="none"/>
        </w:rPr>
      </w:pPr>
    </w:p>
    <w:p>
      <w:pPr>
        <w:keepNext w:val="0"/>
        <w:keepLines w:val="0"/>
        <w:pageBreakBefore w:val="0"/>
        <w:widowControl/>
        <w:tabs>
          <w:tab w:val="left" w:pos="4395"/>
        </w:tabs>
        <w:kinsoku/>
        <w:wordWrap/>
        <w:overflowPunct/>
        <w:topLinePunct w:val="0"/>
        <w:autoSpaceDE/>
        <w:autoSpaceDN/>
        <w:bidi w:val="0"/>
        <w:adjustRightInd w:val="0"/>
        <w:snapToGrid w:val="0"/>
        <w:spacing w:line="300" w:lineRule="auto"/>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法定代表人（签章）：                 </w:t>
      </w:r>
    </w:p>
    <w:p>
      <w:pPr>
        <w:keepNext w:val="0"/>
        <w:keepLines w:val="0"/>
        <w:pageBreakBefore w:val="0"/>
        <w:widowControl/>
        <w:tabs>
          <w:tab w:val="left" w:pos="4395"/>
        </w:tabs>
        <w:kinsoku/>
        <w:wordWrap/>
        <w:overflowPunct/>
        <w:topLinePunct w:val="0"/>
        <w:autoSpaceDE/>
        <w:autoSpaceDN/>
        <w:bidi w:val="0"/>
        <w:adjustRightInd w:val="0"/>
        <w:snapToGrid w:val="0"/>
        <w:spacing w:line="300" w:lineRule="auto"/>
        <w:jc w:val="left"/>
        <w:textAlignment w:val="auto"/>
        <w:outlineLvl w:val="9"/>
        <w:rPr>
          <w:rFonts w:hint="eastAsia" w:ascii="仿宋" w:hAnsi="仿宋" w:eastAsia="仿宋" w:cs="仿宋"/>
          <w:color w:val="auto"/>
          <w:kern w:val="0"/>
          <w:sz w:val="24"/>
          <w:highlight w:val="none"/>
        </w:rPr>
      </w:pPr>
    </w:p>
    <w:p>
      <w:pPr>
        <w:keepNext w:val="0"/>
        <w:keepLines w:val="0"/>
        <w:pageBreakBefore w:val="0"/>
        <w:widowControl/>
        <w:tabs>
          <w:tab w:val="left" w:pos="4395"/>
        </w:tabs>
        <w:kinsoku/>
        <w:wordWrap/>
        <w:overflowPunct/>
        <w:topLinePunct w:val="0"/>
        <w:autoSpaceDE/>
        <w:autoSpaceDN/>
        <w:bidi w:val="0"/>
        <w:adjustRightInd w:val="0"/>
        <w:snapToGrid w:val="0"/>
        <w:spacing w:line="300" w:lineRule="auto"/>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投标人（盖章）：</w:t>
      </w:r>
    </w:p>
    <w:p>
      <w:pPr>
        <w:keepNext w:val="0"/>
        <w:keepLines w:val="0"/>
        <w:pageBreakBefore w:val="0"/>
        <w:kinsoku/>
        <w:wordWrap/>
        <w:overflowPunct/>
        <w:topLinePunct w:val="0"/>
        <w:autoSpaceDE/>
        <w:autoSpaceDN/>
        <w:bidi w:val="0"/>
        <w:adjustRightInd w:val="0"/>
        <w:snapToGrid w:val="0"/>
        <w:spacing w:line="300" w:lineRule="auto"/>
        <w:jc w:val="both"/>
        <w:textAlignment w:val="auto"/>
        <w:outlineLvl w:val="9"/>
        <w:rPr>
          <w:rFonts w:hint="eastAsia" w:ascii="仿宋" w:hAnsi="仿宋" w:eastAsia="仿宋" w:cs="仿宋"/>
          <w:color w:val="auto"/>
          <w:kern w:val="0"/>
          <w:sz w:val="24"/>
          <w:highlight w:val="none"/>
        </w:rPr>
      </w:pPr>
    </w:p>
    <w:p>
      <w:pPr>
        <w:keepNext w:val="0"/>
        <w:keepLines w:val="0"/>
        <w:pageBreakBefore w:val="0"/>
        <w:kinsoku/>
        <w:wordWrap/>
        <w:overflowPunct/>
        <w:topLinePunct w:val="0"/>
        <w:autoSpaceDE/>
        <w:autoSpaceDN/>
        <w:bidi w:val="0"/>
        <w:adjustRightInd w:val="0"/>
        <w:snapToGrid w:val="0"/>
        <w:spacing w:line="300" w:lineRule="auto"/>
        <w:jc w:val="both"/>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承诺时间：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pPr>
        <w:spacing w:line="240" w:lineRule="auto"/>
        <w:ind w:right="-2" w:firstLine="221" w:firstLineChars="100"/>
        <w:jc w:val="left"/>
        <w:outlineLvl w:val="9"/>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注：后</w:t>
      </w:r>
      <w:r>
        <w:rPr>
          <w:rFonts w:hint="eastAsia" w:ascii="仿宋" w:hAnsi="仿宋" w:eastAsia="仿宋" w:cs="仿宋"/>
          <w:b/>
          <w:bCs/>
          <w:color w:val="auto"/>
          <w:kern w:val="0"/>
          <w:sz w:val="22"/>
          <w:szCs w:val="22"/>
          <w:highlight w:val="none"/>
          <w:lang w:val="en-US" w:eastAsia="zh-CN" w:bidi="ar"/>
        </w:rPr>
        <w:t>此承诺书除附在投标文件中外还须上传至“信用中国（陕西榆林）”网站投标人自主上报信用承诺书附件。（承诺有效期同投标有效期，承诺起始时间为提交投标文件截止之日，须后附网上承诺截图）</w:t>
      </w:r>
      <w:r>
        <w:rPr>
          <w:rFonts w:hint="eastAsia" w:ascii="仿宋" w:hAnsi="仿宋" w:eastAsia="仿宋" w:cs="仿宋"/>
          <w:b/>
          <w:bCs/>
          <w:color w:val="auto"/>
          <w:sz w:val="22"/>
          <w:szCs w:val="22"/>
          <w:highlight w:val="none"/>
          <w:lang w:val="en-US" w:eastAsia="zh-CN"/>
        </w:rPr>
        <w:t>。</w:t>
      </w:r>
    </w:p>
    <w:p>
      <w:pPr>
        <w:spacing w:line="480" w:lineRule="auto"/>
        <w:ind w:right="-2"/>
        <w:jc w:val="center"/>
        <w:outlineLvl w:val="9"/>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br w:type="page"/>
      </w:r>
      <w:r>
        <w:rPr>
          <w:rFonts w:hint="eastAsia" w:ascii="仿宋" w:hAnsi="仿宋" w:eastAsia="仿宋" w:cs="仿宋"/>
          <w:b/>
          <w:bCs/>
          <w:color w:val="auto"/>
          <w:sz w:val="28"/>
          <w:szCs w:val="28"/>
          <w:highlight w:val="none"/>
          <w:lang w:val="en-US" w:eastAsia="zh-CN"/>
        </w:rPr>
        <w:t>附件4：</w:t>
      </w:r>
      <w:r>
        <w:rPr>
          <w:rFonts w:hint="eastAsia" w:ascii="仿宋" w:hAnsi="仿宋" w:eastAsia="仿宋" w:cs="仿宋"/>
          <w:b/>
          <w:bCs/>
          <w:color w:val="auto"/>
          <w:sz w:val="28"/>
          <w:szCs w:val="28"/>
          <w:highlight w:val="none"/>
        </w:rPr>
        <w:t>投标人委托代理人员信用承诺书</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项目招投标活动中，我个人郑重作出以下信用承诺：</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kinsoku/>
        <w:wordWrap/>
        <w:overflowPunct/>
        <w:topLinePunct w:val="0"/>
        <w:autoSpaceDE/>
        <w:autoSpaceDN/>
        <w:bidi w:val="0"/>
        <w:adjustRightInd w:val="0"/>
        <w:snapToGrid w:val="0"/>
        <w:spacing w:line="300" w:lineRule="auto"/>
        <w:ind w:firstLine="480"/>
        <w:jc w:val="left"/>
        <w:textAlignment w:val="auto"/>
        <w:outlineLvl w:val="9"/>
        <w:rPr>
          <w:rFonts w:hint="eastAsia" w:ascii="仿宋" w:hAnsi="仿宋" w:eastAsia="仿宋" w:cs="仿宋"/>
          <w:color w:val="auto"/>
          <w:kern w:val="0"/>
          <w:sz w:val="24"/>
          <w:highlight w:val="none"/>
        </w:rPr>
      </w:pPr>
    </w:p>
    <w:p>
      <w:pPr>
        <w:widowControl/>
        <w:spacing w:line="320" w:lineRule="exact"/>
        <w:ind w:firstLine="482"/>
        <w:jc w:val="left"/>
        <w:outlineLvl w:val="9"/>
        <w:rPr>
          <w:rFonts w:hint="eastAsia" w:ascii="仿宋" w:hAnsi="仿宋" w:eastAsia="仿宋" w:cs="仿宋"/>
          <w:color w:val="auto"/>
          <w:kern w:val="0"/>
          <w:sz w:val="24"/>
          <w:highlight w:val="none"/>
          <w:u w:val="single"/>
          <w:lang w:eastAsia="zh-CN"/>
        </w:rPr>
      </w:pPr>
      <w:r>
        <w:rPr>
          <w:rFonts w:hint="eastAsia" w:ascii="仿宋" w:hAnsi="仿宋" w:eastAsia="仿宋" w:cs="仿宋"/>
          <w:color w:val="auto"/>
          <w:kern w:val="0"/>
          <w:sz w:val="24"/>
          <w:highlight w:val="none"/>
        </w:rPr>
        <w:t>承诺有效期限：</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r>
        <w:rPr>
          <w:rFonts w:hint="eastAsia" w:ascii="仿宋" w:hAnsi="仿宋" w:eastAsia="仿宋" w:cs="仿宋"/>
          <w:color w:val="auto"/>
          <w:kern w:val="0"/>
          <w:sz w:val="24"/>
          <w:highlight w:val="none"/>
          <w:lang w:eastAsia="zh-CN"/>
        </w:rPr>
        <w:t>（一年）</w:t>
      </w:r>
    </w:p>
    <w:p>
      <w:pPr>
        <w:widowControl/>
        <w:spacing w:line="320" w:lineRule="exact"/>
        <w:ind w:firstLine="482"/>
        <w:jc w:val="left"/>
        <w:outlineLvl w:val="9"/>
        <w:rPr>
          <w:rFonts w:hint="eastAsia" w:ascii="仿宋" w:hAnsi="仿宋" w:eastAsia="仿宋" w:cs="仿宋"/>
          <w:color w:val="auto"/>
          <w:kern w:val="0"/>
          <w:sz w:val="24"/>
          <w:highlight w:val="none"/>
        </w:rPr>
      </w:pPr>
    </w:p>
    <w:p>
      <w:pPr>
        <w:widowControl/>
        <w:spacing w:line="320" w:lineRule="exact"/>
        <w:ind w:firstLine="482"/>
        <w:jc w:val="left"/>
        <w:outlineLvl w:val="9"/>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投标人：</w:t>
      </w:r>
      <w:r>
        <w:rPr>
          <w:rFonts w:hint="eastAsia" w:ascii="仿宋" w:hAnsi="仿宋" w:eastAsia="仿宋" w:cs="仿宋"/>
          <w:color w:val="auto"/>
          <w:kern w:val="0"/>
          <w:sz w:val="24"/>
          <w:highlight w:val="none"/>
          <w:u w:val="single"/>
        </w:rPr>
        <w:t xml:space="preserve">                                                        </w:t>
      </w:r>
    </w:p>
    <w:p>
      <w:pPr>
        <w:widowControl/>
        <w:spacing w:line="320" w:lineRule="exact"/>
        <w:ind w:firstLine="482"/>
        <w:jc w:val="left"/>
        <w:outlineLvl w:val="9"/>
        <w:rPr>
          <w:rFonts w:hint="eastAsia" w:ascii="仿宋" w:hAnsi="仿宋" w:eastAsia="仿宋" w:cs="仿宋"/>
          <w:color w:val="auto"/>
          <w:kern w:val="0"/>
          <w:sz w:val="24"/>
          <w:highlight w:val="none"/>
        </w:rPr>
      </w:pPr>
    </w:p>
    <w:p>
      <w:pPr>
        <w:widowControl/>
        <w:spacing w:line="320" w:lineRule="exact"/>
        <w:ind w:firstLine="482"/>
        <w:jc w:val="left"/>
        <w:outlineLvl w:val="9"/>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承诺人</w:t>
      </w:r>
      <w:r>
        <w:rPr>
          <w:rFonts w:hint="eastAsia" w:ascii="仿宋" w:hAnsi="仿宋" w:eastAsia="仿宋" w:cs="仿宋"/>
          <w:b w:val="0"/>
          <w:color w:val="auto"/>
          <w:kern w:val="2"/>
          <w:sz w:val="24"/>
          <w:szCs w:val="24"/>
          <w:highlight w:val="none"/>
          <w:lang w:val="en-US" w:eastAsia="zh-CN" w:bidi="ar-SA"/>
        </w:rPr>
        <w:t>（签字或</w:t>
      </w:r>
      <w:r>
        <w:rPr>
          <w:rFonts w:hint="eastAsia" w:ascii="仿宋" w:hAnsi="仿宋" w:eastAsia="仿宋" w:cs="仿宋"/>
          <w:color w:val="auto"/>
          <w:sz w:val="24"/>
          <w:szCs w:val="24"/>
          <w:highlight w:val="none"/>
        </w:rPr>
        <w:t>盖章</w:t>
      </w:r>
      <w:r>
        <w:rPr>
          <w:rFonts w:hint="eastAsia" w:ascii="仿宋" w:hAnsi="仿宋" w:eastAsia="仿宋" w:cs="仿宋"/>
          <w:b w:val="0"/>
          <w:color w:val="auto"/>
          <w:kern w:val="2"/>
          <w:sz w:val="24"/>
          <w:szCs w:val="24"/>
          <w:highlight w:val="none"/>
          <w:lang w:val="en-US" w:eastAsia="zh-CN" w:bidi="ar-SA"/>
        </w:rPr>
        <w:t>）</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u w:val="single"/>
        </w:rPr>
        <w:t xml:space="preserve">                 </w:t>
      </w:r>
    </w:p>
    <w:p>
      <w:pPr>
        <w:widowControl/>
        <w:spacing w:line="320" w:lineRule="exact"/>
        <w:ind w:firstLine="482"/>
        <w:jc w:val="left"/>
        <w:outlineLvl w:val="9"/>
        <w:rPr>
          <w:rFonts w:hint="eastAsia" w:ascii="仿宋" w:hAnsi="仿宋" w:eastAsia="仿宋" w:cs="仿宋"/>
          <w:color w:val="auto"/>
          <w:kern w:val="0"/>
          <w:sz w:val="24"/>
          <w:highlight w:val="none"/>
          <w:u w:val="single"/>
        </w:rPr>
      </w:pPr>
    </w:p>
    <w:p>
      <w:pPr>
        <w:numPr>
          <w:ilvl w:val="0"/>
          <w:numId w:val="0"/>
        </w:numPr>
        <w:ind w:firstLine="480" w:firstLineChars="200"/>
        <w:outlineLvl w:val="9"/>
        <w:rPr>
          <w:rFonts w:hint="eastAsia" w:ascii="仿宋" w:hAnsi="仿宋" w:eastAsia="仿宋" w:cs="仿宋"/>
          <w:color w:val="auto"/>
          <w:highlight w:val="none"/>
          <w:lang w:val="en-US" w:eastAsia="zh-CN"/>
        </w:rPr>
      </w:pPr>
      <w:r>
        <w:rPr>
          <w:rFonts w:hint="eastAsia" w:ascii="仿宋" w:hAnsi="仿宋" w:eastAsia="仿宋" w:cs="仿宋"/>
          <w:color w:val="auto"/>
          <w:kern w:val="0"/>
          <w:sz w:val="24"/>
          <w:highlight w:val="none"/>
        </w:rPr>
        <w:t>承诺时间：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pPr>
        <w:spacing w:line="240" w:lineRule="auto"/>
        <w:ind w:right="-2"/>
        <w:jc w:val="left"/>
        <w:outlineLvl w:val="9"/>
        <w:rPr>
          <w:rFonts w:hint="eastAsia" w:ascii="仿宋" w:hAnsi="仿宋" w:eastAsia="仿宋" w:cs="仿宋"/>
          <w:b/>
          <w:bCs/>
          <w:color w:val="auto"/>
          <w:sz w:val="22"/>
          <w:szCs w:val="22"/>
          <w:highlight w:val="none"/>
          <w:lang w:val="en-US" w:eastAsia="zh-CN"/>
        </w:rPr>
      </w:pPr>
    </w:p>
    <w:p>
      <w:pPr>
        <w:spacing w:line="240" w:lineRule="auto"/>
        <w:ind w:right="-2" w:firstLine="442" w:firstLineChars="200"/>
        <w:jc w:val="left"/>
        <w:outlineLvl w:val="9"/>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注：法定代表人直接参与投标的无须上报和提供此附件；如由委托代理人参与投标的，此承诺书除附在投标文件中外还须上传至“信用中国（陕西榆林）”网站授权委托人自主上报信用承诺书附件。（承诺有效期同投标有效期，承诺起始时间为提交投标文件截止之日，须后附网上承诺截图。）。</w:t>
      </w:r>
    </w:p>
    <w:p>
      <w:pPr>
        <w:spacing w:line="560" w:lineRule="exact"/>
        <w:ind w:right="-2"/>
        <w:jc w:val="center"/>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b/>
          <w:bCs/>
          <w:color w:val="auto"/>
          <w:sz w:val="28"/>
          <w:szCs w:val="28"/>
          <w:highlight w:val="none"/>
          <w:lang w:val="en-US" w:eastAsia="zh-CN"/>
        </w:rPr>
        <w:br w:type="page"/>
      </w:r>
      <w:r>
        <w:rPr>
          <w:rFonts w:hint="eastAsia" w:ascii="仿宋" w:hAnsi="仿宋" w:eastAsia="仿宋" w:cs="仿宋"/>
          <w:b/>
          <w:bCs/>
          <w:color w:val="auto"/>
          <w:sz w:val="28"/>
          <w:szCs w:val="28"/>
          <w:highlight w:val="none"/>
          <w:lang w:val="en-US" w:eastAsia="zh-CN"/>
        </w:rPr>
        <w:t>附件5</w:t>
      </w:r>
      <w:r>
        <w:rPr>
          <w:rFonts w:hint="eastAsia" w:ascii="仿宋" w:hAnsi="仿宋" w:eastAsia="仿宋" w:cs="仿宋"/>
          <w:b/>
          <w:bCs/>
          <w:color w:val="auto"/>
          <w:sz w:val="28"/>
          <w:szCs w:val="28"/>
          <w:highlight w:val="none"/>
        </w:rPr>
        <w:t xml:space="preserve"> 投标信用承诺</w:t>
      </w:r>
      <w:r>
        <w:rPr>
          <w:rFonts w:hint="eastAsia" w:ascii="仿宋" w:hAnsi="仿宋" w:eastAsia="仿宋" w:cs="仿宋"/>
          <w:b/>
          <w:bCs/>
          <w:color w:val="auto"/>
          <w:sz w:val="28"/>
          <w:szCs w:val="28"/>
          <w:highlight w:val="none"/>
          <w:lang w:val="en-US" w:eastAsia="zh-CN"/>
        </w:rPr>
        <w:t>书</w:t>
      </w:r>
    </w:p>
    <w:p>
      <w:pPr>
        <w:widowControl/>
        <w:spacing w:line="540" w:lineRule="exact"/>
        <w:jc w:val="left"/>
        <w:outlineLvl w:val="9"/>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项目标段：</w:t>
      </w:r>
      <w:r>
        <w:rPr>
          <w:rFonts w:hint="eastAsia" w:ascii="仿宋" w:hAnsi="仿宋" w:eastAsia="仿宋" w:cs="仿宋"/>
          <w:color w:val="auto"/>
          <w:kern w:val="0"/>
          <w:sz w:val="24"/>
          <w:highlight w:val="none"/>
          <w:u w:val="single"/>
        </w:rPr>
        <w:t xml:space="preserve">                                                                  </w:t>
      </w:r>
    </w:p>
    <w:p>
      <w:pPr>
        <w:widowControl/>
        <w:spacing w:line="540" w:lineRule="exact"/>
        <w:jc w:val="left"/>
        <w:outlineLvl w:val="9"/>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投标人：</w:t>
      </w:r>
      <w:r>
        <w:rPr>
          <w:rFonts w:hint="eastAsia" w:ascii="仿宋" w:hAnsi="仿宋" w:eastAsia="仿宋" w:cs="仿宋"/>
          <w:color w:val="auto"/>
          <w:kern w:val="0"/>
          <w:sz w:val="24"/>
          <w:highlight w:val="none"/>
          <w:u w:val="single"/>
        </w:rPr>
        <w:t xml:space="preserve">                                                                    </w:t>
      </w:r>
    </w:p>
    <w:p>
      <w:pPr>
        <w:widowControl/>
        <w:spacing w:line="540" w:lineRule="exact"/>
        <w:jc w:val="left"/>
        <w:outlineLvl w:val="9"/>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统一社会信用代码：</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法人代表：</w:t>
      </w:r>
      <w:r>
        <w:rPr>
          <w:rFonts w:hint="eastAsia" w:ascii="仿宋" w:hAnsi="仿宋" w:eastAsia="仿宋" w:cs="仿宋"/>
          <w:color w:val="auto"/>
          <w:kern w:val="0"/>
          <w:sz w:val="24"/>
          <w:highlight w:val="none"/>
          <w:u w:val="single"/>
        </w:rPr>
        <w:t xml:space="preserve">                 </w:t>
      </w:r>
    </w:p>
    <w:p>
      <w:pPr>
        <w:widowControl/>
        <w:adjustRightInd w:val="0"/>
        <w:snapToGrid w:val="0"/>
        <w:spacing w:line="540" w:lineRule="exact"/>
        <w:ind w:firstLine="480" w:firstLineChars="200"/>
        <w:jc w:val="left"/>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在本项目标段招投标活动中，我公司（单位）自愿作出以下投标信用承诺：</w:t>
      </w:r>
    </w:p>
    <w:p>
      <w:pPr>
        <w:widowControl/>
        <w:adjustRightInd w:val="0"/>
        <w:snapToGrid w:val="0"/>
        <w:spacing w:line="540" w:lineRule="exact"/>
        <w:ind w:firstLine="480" w:firstLineChars="200"/>
        <w:jc w:val="left"/>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（一）能严格遵守法律法规、职业道德和行业规范。</w:t>
      </w:r>
    </w:p>
    <w:p>
      <w:pPr>
        <w:widowControl/>
        <w:adjustRightInd w:val="0"/>
        <w:snapToGrid w:val="0"/>
        <w:spacing w:line="540" w:lineRule="exact"/>
        <w:ind w:firstLine="480" w:firstLineChars="200"/>
        <w:jc w:val="left"/>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firstLineChars="200"/>
        <w:jc w:val="left"/>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40" w:lineRule="exact"/>
        <w:ind w:firstLine="480" w:firstLineChars="200"/>
        <w:jc w:val="left"/>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承诺有效期限：</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pPr>
        <w:widowControl/>
        <w:tabs>
          <w:tab w:val="left" w:pos="4395"/>
        </w:tabs>
        <w:adjustRightInd w:val="0"/>
        <w:snapToGrid w:val="0"/>
        <w:spacing w:line="500" w:lineRule="exact"/>
        <w:ind w:firstLine="480" w:firstLineChars="200"/>
        <w:jc w:val="left"/>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法定代表人（签章）：             投标人（盖章）：</w:t>
      </w:r>
    </w:p>
    <w:p>
      <w:pPr>
        <w:widowControl/>
        <w:adjustRightInd w:val="0"/>
        <w:snapToGrid w:val="0"/>
        <w:spacing w:line="540" w:lineRule="exact"/>
        <w:ind w:firstLine="480" w:firstLineChars="200"/>
        <w:jc w:val="left"/>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承诺时间：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pPr>
        <w:widowControl/>
        <w:adjustRightInd w:val="0"/>
        <w:snapToGrid w:val="0"/>
        <w:spacing w:line="540" w:lineRule="exact"/>
        <w:ind w:left="0" w:leftChars="0" w:firstLine="482" w:firstLineChars="200"/>
        <w:jc w:val="left"/>
        <w:outlineLvl w:val="9"/>
        <w:rPr>
          <w:rFonts w:hint="eastAsia" w:ascii="仿宋" w:hAnsi="仿宋" w:eastAsia="仿宋" w:cs="仿宋"/>
          <w:b/>
          <w:bCs/>
          <w:color w:val="auto"/>
          <w:kern w:val="0"/>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auto"/>
          <w:kern w:val="0"/>
          <w:sz w:val="22"/>
          <w:szCs w:val="22"/>
          <w:highlight w:val="none"/>
        </w:rPr>
      </w:pPr>
      <w:r>
        <w:rPr>
          <w:rFonts w:hint="eastAsia" w:ascii="仿宋" w:hAnsi="仿宋" w:eastAsia="仿宋" w:cs="仿宋"/>
          <w:b/>
          <w:bCs/>
          <w:color w:val="auto"/>
          <w:kern w:val="0"/>
          <w:sz w:val="22"/>
          <w:szCs w:val="22"/>
          <w:highlight w:val="none"/>
          <w:lang w:val="en-US" w:eastAsia="zh-CN"/>
        </w:rPr>
        <w:t>注</w:t>
      </w:r>
      <w:r>
        <w:rPr>
          <w:rFonts w:hint="eastAsia" w:ascii="仿宋" w:hAnsi="仿宋" w:eastAsia="仿宋" w:cs="仿宋"/>
          <w:b/>
          <w:bCs/>
          <w:color w:val="auto"/>
          <w:kern w:val="0"/>
          <w:sz w:val="22"/>
          <w:szCs w:val="22"/>
          <w:highlight w:val="none"/>
        </w:rPr>
        <w:t>：本承诺书效力和作用等同投标保证金，其有效期与投标有效期一致</w:t>
      </w:r>
      <w:r>
        <w:rPr>
          <w:rFonts w:hint="eastAsia" w:ascii="仿宋" w:hAnsi="仿宋" w:eastAsia="仿宋" w:cs="仿宋"/>
          <w:b/>
          <w:bCs/>
          <w:color w:val="auto"/>
          <w:kern w:val="0"/>
          <w:sz w:val="22"/>
          <w:szCs w:val="22"/>
          <w:highlight w:val="none"/>
          <w:lang w:eastAsia="zh-CN"/>
        </w:rPr>
        <w:t>；</w:t>
      </w:r>
      <w:r>
        <w:rPr>
          <w:rFonts w:hint="eastAsia" w:ascii="仿宋" w:hAnsi="仿宋" w:eastAsia="仿宋" w:cs="仿宋"/>
          <w:b/>
          <w:bCs/>
          <w:color w:val="auto"/>
          <w:kern w:val="0"/>
          <w:sz w:val="22"/>
          <w:szCs w:val="22"/>
          <w:highlight w:val="none"/>
          <w:lang w:val="en-US" w:eastAsia="zh-CN"/>
        </w:rPr>
        <w:t>后附</w:t>
      </w:r>
      <w:r>
        <w:rPr>
          <w:rFonts w:hint="eastAsia" w:ascii="仿宋" w:hAnsi="仿宋" w:eastAsia="仿宋" w:cs="仿宋"/>
          <w:b/>
          <w:color w:val="auto"/>
          <w:kern w:val="0"/>
          <w:sz w:val="22"/>
          <w:szCs w:val="22"/>
          <w:highlight w:val="none"/>
          <w:lang w:val="en-US" w:eastAsia="zh-CN"/>
        </w:rPr>
        <w:t>网上承诺截图</w:t>
      </w:r>
      <w:r>
        <w:rPr>
          <w:rFonts w:hint="eastAsia" w:ascii="仿宋" w:hAnsi="仿宋" w:eastAsia="仿宋" w:cs="仿宋"/>
          <w:b/>
          <w:bCs/>
          <w:color w:val="auto"/>
          <w:kern w:val="0"/>
          <w:sz w:val="22"/>
          <w:szCs w:val="22"/>
          <w:highlight w:val="none"/>
        </w:rPr>
        <w:t>。</w:t>
      </w:r>
      <w:bookmarkStart w:id="561" w:name="_Toc11883"/>
    </w:p>
    <w:p>
      <w:pPr>
        <w:pStyle w:val="3"/>
        <w:jc w:val="cente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kern w:val="0"/>
          <w:sz w:val="24"/>
          <w:highlight w:val="none"/>
        </w:rPr>
        <w:br w:type="page"/>
      </w:r>
      <w:r>
        <w:rPr>
          <w:rFonts w:hint="eastAsia" w:ascii="仿宋" w:hAnsi="仿宋" w:eastAsia="仿宋" w:cs="仿宋"/>
          <w:b/>
          <w:bCs/>
          <w:color w:val="auto"/>
          <w:sz w:val="30"/>
          <w:szCs w:val="30"/>
          <w:highlight w:val="none"/>
          <w:lang w:val="en-US" w:eastAsia="zh-CN"/>
        </w:rPr>
        <w:t>六、服务技术方案</w:t>
      </w:r>
      <w:bookmarkEnd w:id="561"/>
    </w:p>
    <w:bookmarkEnd w:id="556"/>
    <w:bookmarkEnd w:id="557"/>
    <w:bookmarkEnd w:id="558"/>
    <w:bookmarkEnd w:id="559"/>
    <w:bookmarkEnd w:id="560"/>
    <w:p>
      <w:pPr>
        <w:spacing w:line="360" w:lineRule="auto"/>
        <w:ind w:firstLine="720" w:firstLineChars="300"/>
        <w:rPr>
          <w:rFonts w:hint="eastAsia" w:ascii="仿宋" w:hAnsi="仿宋" w:eastAsia="仿宋" w:cs="仿宋"/>
          <w:color w:val="auto"/>
          <w:sz w:val="24"/>
          <w:highlight w:val="none"/>
        </w:rPr>
      </w:pPr>
    </w:p>
    <w:p>
      <w:pPr>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格式自</w:t>
      </w:r>
      <w:r>
        <w:rPr>
          <w:rFonts w:hint="eastAsia" w:ascii="仿宋" w:hAnsi="仿宋" w:eastAsia="仿宋" w:cs="仿宋"/>
          <w:color w:val="auto"/>
          <w:sz w:val="24"/>
          <w:highlight w:val="none"/>
          <w:lang w:val="en-US" w:eastAsia="zh-CN"/>
        </w:rPr>
        <w:t>拟</w:t>
      </w:r>
      <w:r>
        <w:rPr>
          <w:rFonts w:hint="eastAsia" w:ascii="仿宋" w:hAnsi="仿宋" w:eastAsia="仿宋" w:cs="仿宋"/>
          <w:color w:val="auto"/>
          <w:sz w:val="24"/>
          <w:highlight w:val="none"/>
        </w:rPr>
        <w:t>，结合</w:t>
      </w:r>
      <w:r>
        <w:rPr>
          <w:rFonts w:hint="eastAsia" w:ascii="仿宋" w:hAnsi="仿宋" w:eastAsia="仿宋" w:cs="仿宋"/>
          <w:color w:val="auto"/>
          <w:sz w:val="24"/>
          <w:highlight w:val="none"/>
          <w:lang w:val="en-US" w:eastAsia="zh-CN"/>
        </w:rPr>
        <w:t>“评分办法”及</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采购内容</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编制</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方案。</w:t>
      </w:r>
    </w:p>
    <w:p>
      <w:pPr>
        <w:spacing w:line="360" w:lineRule="auto"/>
        <w:ind w:firstLine="720" w:firstLineChars="300"/>
        <w:rPr>
          <w:rFonts w:hint="eastAsia" w:ascii="仿宋" w:hAnsi="仿宋" w:eastAsia="仿宋" w:cs="仿宋"/>
          <w:color w:val="auto"/>
          <w:sz w:val="24"/>
          <w:highlight w:val="none"/>
        </w:rPr>
      </w:pPr>
    </w:p>
    <w:p>
      <w:pPr>
        <w:spacing w:line="360" w:lineRule="auto"/>
        <w:ind w:firstLine="720" w:firstLineChars="300"/>
        <w:rPr>
          <w:rFonts w:hint="eastAsia" w:ascii="仿宋" w:hAnsi="仿宋" w:eastAsia="仿宋" w:cs="仿宋"/>
          <w:color w:val="auto"/>
          <w:sz w:val="24"/>
          <w:highlight w:val="none"/>
        </w:rPr>
      </w:pPr>
    </w:p>
    <w:p>
      <w:pPr>
        <w:spacing w:line="360" w:lineRule="auto"/>
        <w:ind w:firstLine="720" w:firstLineChars="300"/>
        <w:rPr>
          <w:rFonts w:hint="eastAsia" w:ascii="仿宋" w:hAnsi="仿宋" w:eastAsia="仿宋" w:cs="仿宋"/>
          <w:color w:val="auto"/>
          <w:sz w:val="24"/>
          <w:highlight w:val="none"/>
        </w:rPr>
      </w:pPr>
    </w:p>
    <w:p>
      <w:pPr>
        <w:spacing w:line="360" w:lineRule="auto"/>
        <w:ind w:firstLine="720" w:firstLineChars="300"/>
        <w:rPr>
          <w:rFonts w:hint="eastAsia" w:ascii="仿宋" w:hAnsi="仿宋" w:eastAsia="仿宋" w:cs="仿宋"/>
          <w:color w:val="auto"/>
          <w:sz w:val="24"/>
          <w:highlight w:val="none"/>
        </w:rPr>
      </w:pPr>
    </w:p>
    <w:p>
      <w:pPr>
        <w:pStyle w:val="13"/>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13"/>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13"/>
        <w:rPr>
          <w:rFonts w:hint="eastAsia" w:ascii="仿宋" w:hAnsi="仿宋" w:eastAsia="仿宋" w:cs="仿宋"/>
          <w:color w:val="auto"/>
          <w:sz w:val="24"/>
          <w:highlight w:val="none"/>
        </w:rPr>
      </w:pPr>
    </w:p>
    <w:p>
      <w:pPr>
        <w:rPr>
          <w:rFonts w:hint="eastAsia" w:ascii="仿宋" w:hAnsi="仿宋" w:eastAsia="仿宋" w:cs="仿宋"/>
          <w:color w:val="auto"/>
          <w:highlight w:val="none"/>
        </w:rPr>
      </w:pPr>
    </w:p>
    <w:p>
      <w:pPr>
        <w:pStyle w:val="13"/>
        <w:rPr>
          <w:rFonts w:hint="eastAsia" w:ascii="仿宋" w:hAnsi="仿宋" w:eastAsia="仿宋" w:cs="仿宋"/>
          <w:color w:val="auto"/>
          <w:sz w:val="24"/>
          <w:highlight w:val="none"/>
        </w:rPr>
      </w:pPr>
    </w:p>
    <w:p>
      <w:pPr>
        <w:pStyle w:val="3"/>
        <w:jc w:val="center"/>
        <w:rPr>
          <w:rFonts w:hint="eastAsia" w:ascii="仿宋" w:hAnsi="仿宋" w:eastAsia="仿宋" w:cs="仿宋"/>
          <w:b/>
          <w:bCs/>
          <w:color w:val="auto"/>
          <w:sz w:val="28"/>
          <w:szCs w:val="28"/>
          <w:highlight w:val="none"/>
        </w:rPr>
      </w:pPr>
      <w:bookmarkStart w:id="562" w:name="_Toc20990"/>
      <w:bookmarkStart w:id="563" w:name="_Toc28491"/>
      <w:bookmarkStart w:id="564" w:name="_Toc11172"/>
      <w:bookmarkStart w:id="565" w:name="_Toc14418"/>
      <w:bookmarkStart w:id="566" w:name="_Toc2223"/>
      <w:r>
        <w:rPr>
          <w:rFonts w:hint="eastAsia" w:ascii="仿宋" w:hAnsi="仿宋" w:eastAsia="仿宋" w:cs="仿宋"/>
          <w:b/>
          <w:bCs/>
          <w:color w:val="auto"/>
          <w:sz w:val="30"/>
          <w:szCs w:val="30"/>
          <w:highlight w:val="none"/>
          <w:lang w:val="en-US" w:eastAsia="zh-CN"/>
        </w:rPr>
        <w:br w:type="page"/>
      </w:r>
      <w:r>
        <w:rPr>
          <w:rFonts w:hint="eastAsia" w:ascii="仿宋" w:hAnsi="仿宋" w:eastAsia="仿宋" w:cs="仿宋"/>
          <w:b/>
          <w:bCs/>
          <w:color w:val="auto"/>
          <w:sz w:val="30"/>
          <w:szCs w:val="30"/>
          <w:highlight w:val="none"/>
          <w:lang w:val="en-US" w:eastAsia="zh-CN"/>
        </w:rPr>
        <w:t>七</w:t>
      </w:r>
      <w:r>
        <w:rPr>
          <w:rFonts w:hint="eastAsia" w:ascii="仿宋" w:hAnsi="仿宋" w:eastAsia="仿宋" w:cs="仿宋"/>
          <w:b/>
          <w:bCs/>
          <w:color w:val="auto"/>
          <w:sz w:val="30"/>
          <w:szCs w:val="30"/>
          <w:highlight w:val="none"/>
        </w:rPr>
        <w:t>、承诺书</w:t>
      </w:r>
      <w:bookmarkEnd w:id="562"/>
      <w:bookmarkEnd w:id="563"/>
      <w:bookmarkEnd w:id="564"/>
      <w:bookmarkEnd w:id="565"/>
      <w:bookmarkEnd w:id="566"/>
    </w:p>
    <w:p>
      <w:pPr>
        <w:pStyle w:val="12"/>
        <w:jc w:val="center"/>
        <w:outlineLvl w:val="9"/>
        <w:rPr>
          <w:rFonts w:hint="eastAsia" w:ascii="仿宋" w:hAnsi="仿宋" w:eastAsia="仿宋" w:cs="仿宋"/>
          <w:b/>
          <w:color w:val="auto"/>
          <w:sz w:val="44"/>
          <w:szCs w:val="28"/>
          <w:highlight w:val="none"/>
        </w:rPr>
      </w:pPr>
      <w:r>
        <w:rPr>
          <w:rFonts w:hint="eastAsia" w:ascii="仿宋" w:hAnsi="仿宋" w:eastAsia="仿宋" w:cs="仿宋"/>
          <w:b/>
          <w:color w:val="auto"/>
          <w:sz w:val="28"/>
          <w:szCs w:val="21"/>
          <w:highlight w:val="none"/>
        </w:rPr>
        <w:t>陕西省政府采购供应商拒绝政府采购领域商业贿赂承诺书</w:t>
      </w:r>
      <w:r>
        <w:rPr>
          <w:rFonts w:hint="eastAsia" w:ascii="仿宋" w:hAnsi="仿宋" w:eastAsia="仿宋" w:cs="仿宋"/>
          <w:b/>
          <w:color w:val="auto"/>
          <w:sz w:val="28"/>
          <w:szCs w:val="36"/>
          <w:highlight w:val="none"/>
        </w:rPr>
        <w:t>1</w:t>
      </w:r>
    </w:p>
    <w:p>
      <w:pPr>
        <w:rPr>
          <w:rFonts w:hint="eastAsia" w:ascii="仿宋" w:hAnsi="仿宋" w:eastAsia="仿宋" w:cs="仿宋"/>
          <w:color w:val="auto"/>
          <w:highlight w:val="none"/>
        </w:rPr>
      </w:pPr>
    </w:p>
    <w:p>
      <w:pPr>
        <w:spacing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为响应党中央、国务院关于治理政府采购领域商业贿赂行为的号召，我公司在此庄严承诺：</w:t>
      </w:r>
    </w:p>
    <w:p>
      <w:pPr>
        <w:spacing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1、在参与政府采购活动中遵纪守法、诚信经营、公平竞标。</w:t>
      </w:r>
    </w:p>
    <w:p>
      <w:pPr>
        <w:spacing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2、不向政府采购单位、采购代理机构和政府采购评审专家进行任何形式的商业贿赂以谋取交易机会。</w:t>
      </w:r>
    </w:p>
    <w:p>
      <w:pPr>
        <w:spacing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3、不向政府采购代理机构和采购单位提供虚假资质文件或采用虚假应标方式参与政府采购市场竞争并谋取</w:t>
      </w:r>
      <w:r>
        <w:rPr>
          <w:rFonts w:hint="eastAsia" w:ascii="仿宋" w:hAnsi="仿宋" w:eastAsia="仿宋" w:cs="仿宋"/>
          <w:color w:val="auto"/>
          <w:sz w:val="24"/>
          <w:szCs w:val="28"/>
          <w:highlight w:val="none"/>
          <w:lang w:eastAsia="zh-CN"/>
        </w:rPr>
        <w:t>成交</w:t>
      </w:r>
      <w:r>
        <w:rPr>
          <w:rFonts w:hint="eastAsia" w:ascii="仿宋" w:hAnsi="仿宋" w:eastAsia="仿宋" w:cs="仿宋"/>
          <w:color w:val="auto"/>
          <w:sz w:val="24"/>
          <w:szCs w:val="28"/>
          <w:highlight w:val="none"/>
        </w:rPr>
        <w:t>。</w:t>
      </w:r>
    </w:p>
    <w:p>
      <w:pPr>
        <w:spacing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4、不采取“围标、陪标”等商业欺诈手段获得政府采购订单。</w:t>
      </w:r>
    </w:p>
    <w:p>
      <w:pPr>
        <w:spacing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5、不采取不正当手段诋毁、排挤其他投标人。</w:t>
      </w:r>
    </w:p>
    <w:p>
      <w:pPr>
        <w:spacing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6、不在提供商品和服务时“偷梁换柱、以次充好”损害采购单位的合法权益。</w:t>
      </w:r>
    </w:p>
    <w:p>
      <w:pPr>
        <w:spacing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7、不与采购单位、采购代理机构政府采购评审专家或其它投标人恶意串通，进行质疑和投诉，维护政府采购市场秩序。</w:t>
      </w:r>
    </w:p>
    <w:p>
      <w:pPr>
        <w:spacing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8、尊重和接受政府采购监督管理部门的监督和政府采购代理机构采购采购要求，承担因违约行为给采购单位造成的损失。</w:t>
      </w:r>
    </w:p>
    <w:p>
      <w:pPr>
        <w:spacing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9、不发生其他有悖于政府采购公开、公平、公正和诚信原则的行为。</w:t>
      </w:r>
    </w:p>
    <w:p>
      <w:pPr>
        <w:spacing w:line="360" w:lineRule="auto"/>
        <w:ind w:firstLine="480" w:firstLineChars="200"/>
        <w:rPr>
          <w:rFonts w:hint="eastAsia" w:ascii="仿宋" w:hAnsi="仿宋" w:eastAsia="仿宋" w:cs="仿宋"/>
          <w:color w:val="auto"/>
          <w:sz w:val="24"/>
          <w:szCs w:val="28"/>
          <w:highlight w:val="none"/>
        </w:rPr>
      </w:pPr>
    </w:p>
    <w:p>
      <w:pPr>
        <w:spacing w:line="240" w:lineRule="auto"/>
        <w:ind w:left="0" w:leftChars="0" w:firstLine="1063" w:firstLineChars="441"/>
        <w:rPr>
          <w:rFonts w:hint="eastAsia" w:ascii="仿宋" w:hAnsi="仿宋" w:eastAsia="仿宋" w:cs="仿宋"/>
          <w:b/>
          <w:bCs/>
          <w:color w:val="auto"/>
          <w:sz w:val="24"/>
          <w:szCs w:val="28"/>
          <w:highlight w:val="none"/>
        </w:rPr>
      </w:pPr>
      <w:r>
        <w:rPr>
          <w:rFonts w:hint="eastAsia" w:ascii="仿宋" w:hAnsi="仿宋" w:eastAsia="仿宋" w:cs="仿宋"/>
          <w:b/>
          <w:bCs/>
          <w:color w:val="auto"/>
          <w:sz w:val="24"/>
          <w:szCs w:val="28"/>
          <w:highlight w:val="none"/>
        </w:rPr>
        <w:t>承诺单位：（盖章）</w:t>
      </w:r>
    </w:p>
    <w:p>
      <w:pPr>
        <w:spacing w:line="240" w:lineRule="auto"/>
        <w:ind w:left="0" w:leftChars="0" w:firstLine="1063" w:firstLineChars="441"/>
        <w:rPr>
          <w:rFonts w:hint="eastAsia" w:ascii="仿宋" w:hAnsi="仿宋" w:eastAsia="仿宋" w:cs="仿宋"/>
          <w:b/>
          <w:bCs/>
          <w:color w:val="auto"/>
          <w:sz w:val="24"/>
          <w:szCs w:val="28"/>
          <w:highlight w:val="none"/>
        </w:rPr>
      </w:pPr>
    </w:p>
    <w:p>
      <w:pPr>
        <w:spacing w:line="240" w:lineRule="auto"/>
        <w:ind w:left="0" w:leftChars="0" w:firstLine="1063" w:firstLineChars="441"/>
        <w:rPr>
          <w:rFonts w:hint="eastAsia" w:ascii="仿宋" w:hAnsi="仿宋" w:eastAsia="仿宋" w:cs="仿宋"/>
          <w:b/>
          <w:bCs/>
          <w:color w:val="auto"/>
          <w:sz w:val="24"/>
          <w:szCs w:val="28"/>
          <w:highlight w:val="none"/>
        </w:rPr>
      </w:pPr>
      <w:r>
        <w:rPr>
          <w:rFonts w:hint="eastAsia" w:ascii="仿宋" w:hAnsi="仿宋" w:eastAsia="仿宋" w:cs="仿宋"/>
          <w:b/>
          <w:bCs/>
          <w:color w:val="auto"/>
          <w:sz w:val="24"/>
          <w:szCs w:val="28"/>
          <w:highlight w:val="none"/>
        </w:rPr>
        <w:t>全权代表：（签字）</w:t>
      </w:r>
    </w:p>
    <w:p>
      <w:pPr>
        <w:spacing w:line="240" w:lineRule="auto"/>
        <w:ind w:left="0" w:leftChars="0" w:firstLine="1063" w:firstLineChars="441"/>
        <w:rPr>
          <w:rFonts w:hint="eastAsia" w:ascii="仿宋" w:hAnsi="仿宋" w:eastAsia="仿宋" w:cs="仿宋"/>
          <w:b/>
          <w:bCs/>
          <w:color w:val="auto"/>
          <w:sz w:val="24"/>
          <w:szCs w:val="28"/>
          <w:highlight w:val="none"/>
        </w:rPr>
      </w:pPr>
    </w:p>
    <w:p>
      <w:pPr>
        <w:spacing w:line="240" w:lineRule="auto"/>
        <w:ind w:left="0" w:leftChars="0" w:firstLine="1063" w:firstLineChars="441"/>
        <w:rPr>
          <w:rFonts w:hint="eastAsia" w:ascii="仿宋" w:hAnsi="仿宋" w:eastAsia="仿宋" w:cs="仿宋"/>
          <w:b/>
          <w:bCs/>
          <w:color w:val="auto"/>
          <w:sz w:val="24"/>
          <w:szCs w:val="28"/>
          <w:highlight w:val="none"/>
        </w:rPr>
      </w:pPr>
      <w:r>
        <w:rPr>
          <w:rFonts w:hint="eastAsia" w:ascii="仿宋" w:hAnsi="仿宋" w:eastAsia="仿宋" w:cs="仿宋"/>
          <w:b/>
          <w:bCs/>
          <w:color w:val="auto"/>
          <w:sz w:val="24"/>
          <w:szCs w:val="28"/>
          <w:highlight w:val="none"/>
        </w:rPr>
        <w:t xml:space="preserve">地址：                            </w:t>
      </w:r>
    </w:p>
    <w:p>
      <w:pPr>
        <w:spacing w:line="240" w:lineRule="auto"/>
        <w:ind w:left="0" w:leftChars="0" w:firstLine="1063" w:firstLineChars="441"/>
        <w:rPr>
          <w:rFonts w:hint="eastAsia" w:ascii="仿宋" w:hAnsi="仿宋" w:eastAsia="仿宋" w:cs="仿宋"/>
          <w:b/>
          <w:bCs/>
          <w:color w:val="auto"/>
          <w:sz w:val="24"/>
          <w:szCs w:val="28"/>
          <w:highlight w:val="none"/>
        </w:rPr>
      </w:pPr>
    </w:p>
    <w:p>
      <w:pPr>
        <w:spacing w:line="240" w:lineRule="auto"/>
        <w:ind w:left="0" w:leftChars="0" w:firstLine="1063" w:firstLineChars="441"/>
        <w:rPr>
          <w:rFonts w:hint="eastAsia" w:ascii="仿宋" w:hAnsi="仿宋" w:eastAsia="仿宋" w:cs="仿宋"/>
          <w:b/>
          <w:bCs/>
          <w:color w:val="auto"/>
          <w:sz w:val="24"/>
          <w:szCs w:val="28"/>
          <w:highlight w:val="none"/>
        </w:rPr>
      </w:pPr>
      <w:r>
        <w:rPr>
          <w:rFonts w:hint="eastAsia" w:ascii="仿宋" w:hAnsi="仿宋" w:eastAsia="仿宋" w:cs="仿宋"/>
          <w:b/>
          <w:bCs/>
          <w:color w:val="auto"/>
          <w:sz w:val="24"/>
          <w:szCs w:val="28"/>
          <w:highlight w:val="none"/>
        </w:rPr>
        <w:t>电话：</w:t>
      </w:r>
    </w:p>
    <w:p>
      <w:pPr>
        <w:spacing w:line="240" w:lineRule="auto"/>
        <w:ind w:left="0" w:leftChars="0" w:firstLine="1063" w:firstLineChars="441"/>
        <w:rPr>
          <w:rFonts w:hint="eastAsia" w:ascii="仿宋" w:hAnsi="仿宋" w:eastAsia="仿宋" w:cs="仿宋"/>
          <w:b/>
          <w:bCs/>
          <w:color w:val="auto"/>
          <w:sz w:val="24"/>
          <w:szCs w:val="28"/>
          <w:highlight w:val="none"/>
        </w:rPr>
      </w:pPr>
    </w:p>
    <w:p>
      <w:pPr>
        <w:wordWrap w:val="0"/>
        <w:spacing w:line="240" w:lineRule="auto"/>
        <w:ind w:left="0" w:leftChars="0" w:right="480" w:firstLine="1063" w:firstLineChars="441"/>
        <w:rPr>
          <w:rFonts w:hint="eastAsia" w:ascii="仿宋" w:hAnsi="仿宋" w:eastAsia="仿宋" w:cs="仿宋"/>
          <w:b/>
          <w:bCs/>
          <w:color w:val="auto"/>
          <w:sz w:val="24"/>
          <w:szCs w:val="28"/>
          <w:highlight w:val="none"/>
        </w:rPr>
      </w:pPr>
      <w:r>
        <w:rPr>
          <w:rFonts w:hint="eastAsia" w:ascii="仿宋" w:hAnsi="仿宋" w:eastAsia="仿宋" w:cs="仿宋"/>
          <w:b/>
          <w:bCs/>
          <w:color w:val="auto"/>
          <w:sz w:val="24"/>
          <w:szCs w:val="28"/>
          <w:highlight w:val="none"/>
        </w:rPr>
        <w:t>日期：</w:t>
      </w:r>
    </w:p>
    <w:p>
      <w:pPr>
        <w:spacing w:line="360" w:lineRule="atLeast"/>
        <w:jc w:val="center"/>
        <w:outlineLvl w:val="9"/>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bookmarkStart w:id="567" w:name="_Toc8428"/>
      <w:r>
        <w:rPr>
          <w:rFonts w:hint="eastAsia" w:ascii="仿宋" w:hAnsi="仿宋" w:eastAsia="仿宋" w:cs="仿宋"/>
          <w:b/>
          <w:color w:val="auto"/>
          <w:sz w:val="32"/>
          <w:szCs w:val="32"/>
          <w:highlight w:val="none"/>
        </w:rPr>
        <w:t>承诺书Ⅱ</w:t>
      </w:r>
      <w:bookmarkEnd w:id="56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作为参加贵公司组织的招标采购项目的投标单位，本公司承诺：在参加本项目招标之前不存在被依法禁止经营行为、财产被接管或冻结的情况，如有隐瞒实情，愿承担一切责任及后果。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w:t>
            </w:r>
          </w:p>
        </w:tc>
        <w:tc>
          <w:tcPr>
            <w:tcW w:w="342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234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（公章）</w:t>
            </w:r>
          </w:p>
        </w:tc>
        <w:tc>
          <w:tcPr>
            <w:tcW w:w="342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（签字或盖章）</w:t>
            </w:r>
          </w:p>
        </w:tc>
        <w:tc>
          <w:tcPr>
            <w:tcW w:w="2340" w:type="dxa"/>
            <w:noWrap w:val="0"/>
            <w:vAlign w:val="center"/>
          </w:tcPr>
          <w:p>
            <w:pPr>
              <w:spacing w:line="360" w:lineRule="atLeast"/>
              <w:ind w:firstLine="240" w:firstLineChars="100"/>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tc>
      </w:tr>
    </w:tbl>
    <w:p>
      <w:pPr>
        <w:spacing w:line="360" w:lineRule="atLeast"/>
        <w:outlineLvl w:val="9"/>
        <w:rPr>
          <w:rFonts w:hint="eastAsia" w:ascii="仿宋" w:hAnsi="仿宋" w:eastAsia="仿宋" w:cs="仿宋"/>
          <w:b/>
          <w:color w:val="auto"/>
          <w:sz w:val="42"/>
          <w:szCs w:val="42"/>
          <w:highlight w:val="none"/>
        </w:rPr>
      </w:pPr>
    </w:p>
    <w:p>
      <w:pPr>
        <w:spacing w:line="360" w:lineRule="atLeast"/>
        <w:outlineLvl w:val="9"/>
        <w:rPr>
          <w:rFonts w:hint="eastAsia" w:ascii="仿宋" w:hAnsi="仿宋" w:eastAsia="仿宋" w:cs="仿宋"/>
          <w:b/>
          <w:color w:val="auto"/>
          <w:sz w:val="42"/>
          <w:szCs w:val="42"/>
          <w:highlight w:val="none"/>
        </w:rPr>
      </w:pPr>
    </w:p>
    <w:p>
      <w:pPr>
        <w:spacing w:line="360" w:lineRule="atLeast"/>
        <w:jc w:val="center"/>
        <w:outlineLvl w:val="9"/>
        <w:rPr>
          <w:rFonts w:hint="eastAsia" w:ascii="仿宋" w:hAnsi="仿宋" w:eastAsia="仿宋" w:cs="仿宋"/>
          <w:b/>
          <w:color w:val="auto"/>
          <w:sz w:val="32"/>
          <w:szCs w:val="32"/>
          <w:highlight w:val="none"/>
        </w:rPr>
      </w:pPr>
      <w:bookmarkStart w:id="568" w:name="_Toc26792"/>
      <w:bookmarkStart w:id="569" w:name="_Toc2861"/>
      <w:bookmarkStart w:id="570" w:name="_Toc14997"/>
      <w:bookmarkStart w:id="571" w:name="_Toc690"/>
      <w:r>
        <w:rPr>
          <w:rFonts w:hint="eastAsia" w:ascii="仿宋" w:hAnsi="仿宋" w:eastAsia="仿宋" w:cs="仿宋"/>
          <w:b/>
          <w:color w:val="auto"/>
          <w:sz w:val="32"/>
          <w:szCs w:val="32"/>
          <w:highlight w:val="none"/>
        </w:rPr>
        <w:t>承诺书Ⅲ</w:t>
      </w:r>
      <w:bookmarkEnd w:id="568"/>
      <w:bookmarkEnd w:id="569"/>
      <w:bookmarkEnd w:id="570"/>
      <w:bookmarkEnd w:id="571"/>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作为参加贵公司组织的招标采购项目的投标单位，本公司郑重申告并承诺：近三年受到有关行政主管部门的行政处理、不良行为记录为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w:t>
            </w:r>
          </w:p>
        </w:tc>
        <w:tc>
          <w:tcPr>
            <w:tcW w:w="342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234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（公章）</w:t>
            </w:r>
          </w:p>
        </w:tc>
        <w:tc>
          <w:tcPr>
            <w:tcW w:w="342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（签字或盖章）</w:t>
            </w:r>
          </w:p>
        </w:tc>
        <w:tc>
          <w:tcPr>
            <w:tcW w:w="2340" w:type="dxa"/>
            <w:noWrap w:val="0"/>
            <w:vAlign w:val="center"/>
          </w:tcPr>
          <w:p>
            <w:pPr>
              <w:spacing w:line="360" w:lineRule="atLeast"/>
              <w:ind w:firstLine="240" w:firstLineChars="100"/>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tc>
      </w:tr>
    </w:tbl>
    <w:p>
      <w:pPr>
        <w:spacing w:line="360" w:lineRule="atLeast"/>
        <w:jc w:val="center"/>
        <w:outlineLvl w:val="9"/>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bookmarkStart w:id="572" w:name="_Toc6336"/>
      <w:bookmarkStart w:id="573" w:name="_Toc7919"/>
      <w:bookmarkStart w:id="574" w:name="_Toc5051"/>
      <w:bookmarkStart w:id="575" w:name="_Toc6911"/>
      <w:r>
        <w:rPr>
          <w:rFonts w:hint="eastAsia" w:ascii="仿宋" w:hAnsi="仿宋" w:eastAsia="仿宋" w:cs="仿宋"/>
          <w:b/>
          <w:color w:val="auto"/>
          <w:sz w:val="32"/>
          <w:szCs w:val="32"/>
          <w:highlight w:val="none"/>
        </w:rPr>
        <w:t>承诺书Ⅳ</w:t>
      </w:r>
      <w:bookmarkEnd w:id="572"/>
      <w:bookmarkEnd w:id="573"/>
      <w:bookmarkEnd w:id="574"/>
      <w:bookmarkEnd w:id="57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作为参加贵公司组织的招标采购项目的投标单位，本公司郑重申告：近三年因项目质量问题的不法行为记录为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w:t>
            </w:r>
          </w:p>
        </w:tc>
        <w:tc>
          <w:tcPr>
            <w:tcW w:w="342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234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（公章）</w:t>
            </w:r>
          </w:p>
        </w:tc>
        <w:tc>
          <w:tcPr>
            <w:tcW w:w="342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（签字或盖章）</w:t>
            </w:r>
          </w:p>
        </w:tc>
        <w:tc>
          <w:tcPr>
            <w:tcW w:w="2340" w:type="dxa"/>
            <w:noWrap w:val="0"/>
            <w:vAlign w:val="center"/>
          </w:tcPr>
          <w:p>
            <w:pPr>
              <w:spacing w:line="360" w:lineRule="atLeast"/>
              <w:ind w:firstLine="240" w:firstLineChars="100"/>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tc>
      </w:tr>
    </w:tbl>
    <w:p>
      <w:pPr>
        <w:spacing w:line="360" w:lineRule="auto"/>
        <w:ind w:right="480"/>
        <w:outlineLvl w:val="9"/>
        <w:rPr>
          <w:rFonts w:hint="eastAsia" w:ascii="仿宋" w:hAnsi="仿宋" w:eastAsia="仿宋" w:cs="仿宋"/>
          <w:color w:val="auto"/>
          <w:sz w:val="24"/>
          <w:szCs w:val="28"/>
          <w:highlight w:val="none"/>
        </w:rPr>
      </w:pPr>
    </w:p>
    <w:p>
      <w:pPr>
        <w:spacing w:line="360" w:lineRule="atLeast"/>
        <w:jc w:val="center"/>
        <w:outlineLvl w:val="9"/>
        <w:rPr>
          <w:rFonts w:hint="eastAsia" w:ascii="仿宋" w:hAnsi="仿宋" w:eastAsia="仿宋" w:cs="仿宋"/>
          <w:b/>
          <w:color w:val="auto"/>
          <w:sz w:val="32"/>
          <w:szCs w:val="32"/>
          <w:highlight w:val="none"/>
        </w:rPr>
      </w:pPr>
      <w:bookmarkStart w:id="576" w:name="_Toc9540"/>
      <w:bookmarkStart w:id="577" w:name="_Toc10420"/>
      <w:bookmarkStart w:id="578" w:name="_Toc24516"/>
      <w:bookmarkStart w:id="579" w:name="_Toc569"/>
      <w:r>
        <w:rPr>
          <w:rFonts w:hint="eastAsia" w:ascii="仿宋" w:hAnsi="仿宋" w:eastAsia="仿宋" w:cs="仿宋"/>
          <w:b/>
          <w:color w:val="auto"/>
          <w:sz w:val="32"/>
          <w:szCs w:val="32"/>
          <w:highlight w:val="none"/>
        </w:rPr>
        <w:t>承诺书</w:t>
      </w:r>
      <w:r>
        <w:rPr>
          <w:rFonts w:hint="eastAsia" w:ascii="仿宋" w:hAnsi="仿宋" w:eastAsia="仿宋" w:cs="仿宋"/>
          <w:b/>
          <w:color w:val="auto"/>
          <w:sz w:val="36"/>
          <w:szCs w:val="36"/>
          <w:highlight w:val="none"/>
        </w:rPr>
        <w:fldChar w:fldCharType="begin"/>
      </w:r>
      <w:r>
        <w:rPr>
          <w:rFonts w:hint="eastAsia" w:ascii="仿宋" w:hAnsi="仿宋" w:eastAsia="仿宋" w:cs="仿宋"/>
          <w:b/>
          <w:color w:val="auto"/>
          <w:sz w:val="36"/>
          <w:szCs w:val="36"/>
          <w:highlight w:val="none"/>
        </w:rPr>
        <w:instrText xml:space="preserve"> = 5 \* ROMAN </w:instrText>
      </w:r>
      <w:r>
        <w:rPr>
          <w:rFonts w:hint="eastAsia" w:ascii="仿宋" w:hAnsi="仿宋" w:eastAsia="仿宋" w:cs="仿宋"/>
          <w:b/>
          <w:color w:val="auto"/>
          <w:sz w:val="36"/>
          <w:szCs w:val="36"/>
          <w:highlight w:val="none"/>
        </w:rPr>
        <w:fldChar w:fldCharType="separate"/>
      </w:r>
      <w:r>
        <w:rPr>
          <w:rFonts w:hint="eastAsia" w:ascii="仿宋" w:hAnsi="仿宋" w:eastAsia="仿宋" w:cs="仿宋"/>
          <w:b/>
          <w:color w:val="auto"/>
          <w:sz w:val="36"/>
          <w:szCs w:val="36"/>
          <w:highlight w:val="none"/>
        </w:rPr>
        <w:t>V</w:t>
      </w:r>
      <w:r>
        <w:rPr>
          <w:rFonts w:hint="eastAsia" w:ascii="仿宋" w:hAnsi="仿宋" w:eastAsia="仿宋" w:cs="仿宋"/>
          <w:b/>
          <w:color w:val="auto"/>
          <w:sz w:val="36"/>
          <w:szCs w:val="36"/>
          <w:highlight w:val="none"/>
        </w:rPr>
        <w:fldChar w:fldCharType="end"/>
      </w:r>
      <w:bookmarkEnd w:id="576"/>
      <w:bookmarkEnd w:id="577"/>
      <w:bookmarkEnd w:id="578"/>
      <w:bookmarkEnd w:id="57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9000" w:type="dxa"/>
            <w:gridSpan w:val="3"/>
            <w:noWrap w:val="0"/>
            <w:vAlign w:val="center"/>
          </w:tcPr>
          <w:p>
            <w:pPr>
              <w:spacing w:line="360" w:lineRule="atLeast"/>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作为参加贵公司组织的招标采购项目的投标单位，本公司承诺：参加本次投标提交的所有资质证明文件及业绩证明是真实的、有效的，如有隐瞒实情，愿承担一切责任及后果。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w:t>
            </w:r>
          </w:p>
        </w:tc>
        <w:tc>
          <w:tcPr>
            <w:tcW w:w="342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234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（公章）</w:t>
            </w:r>
          </w:p>
        </w:tc>
        <w:tc>
          <w:tcPr>
            <w:tcW w:w="3420" w:type="dxa"/>
            <w:noWrap w:val="0"/>
            <w:vAlign w:val="center"/>
          </w:tcPr>
          <w:p>
            <w:pPr>
              <w:spacing w:line="360" w:lineRule="atLeast"/>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（签字或盖章）</w:t>
            </w:r>
          </w:p>
        </w:tc>
        <w:tc>
          <w:tcPr>
            <w:tcW w:w="2340" w:type="dxa"/>
            <w:noWrap w:val="0"/>
            <w:vAlign w:val="center"/>
          </w:tcPr>
          <w:p>
            <w:pPr>
              <w:spacing w:line="360" w:lineRule="atLeast"/>
              <w:ind w:firstLine="240" w:firstLineChars="100"/>
              <w:jc w:val="center"/>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tc>
      </w:tr>
    </w:tbl>
    <w:p>
      <w:pPr>
        <w:spacing w:line="360" w:lineRule="atLeast"/>
        <w:jc w:val="center"/>
        <w:outlineLvl w:val="9"/>
        <w:rPr>
          <w:rFonts w:hint="eastAsia" w:ascii="仿宋" w:hAnsi="仿宋" w:eastAsia="仿宋" w:cs="仿宋"/>
          <w:b/>
          <w:color w:val="auto"/>
          <w:sz w:val="32"/>
          <w:szCs w:val="32"/>
          <w:highlight w:val="none"/>
        </w:rPr>
      </w:pPr>
    </w:p>
    <w:p>
      <w:pPr>
        <w:pStyle w:val="13"/>
        <w:rPr>
          <w:rFonts w:hint="eastAsia" w:ascii="仿宋" w:hAnsi="仿宋" w:eastAsia="仿宋" w:cs="仿宋"/>
          <w:color w:val="auto"/>
          <w:sz w:val="24"/>
          <w:szCs w:val="24"/>
          <w:highlight w:val="none"/>
        </w:rPr>
      </w:pPr>
    </w:p>
    <w:p>
      <w:pPr>
        <w:pStyle w:val="2"/>
        <w:jc w:val="center"/>
        <w:outlineLvl w:val="1"/>
        <w:rPr>
          <w:rFonts w:hint="eastAsia" w:ascii="仿宋" w:hAnsi="仿宋" w:eastAsia="仿宋" w:cs="仿宋"/>
          <w:b/>
          <w:color w:val="auto"/>
          <w:kern w:val="0"/>
          <w:sz w:val="32"/>
          <w:szCs w:val="32"/>
          <w:highlight w:val="none"/>
          <w:lang w:val="en-US" w:eastAsia="zh-CN" w:bidi="ar-SA"/>
        </w:rPr>
      </w:pPr>
      <w:bookmarkStart w:id="580" w:name="_Toc14764"/>
      <w:bookmarkStart w:id="581" w:name="_Toc23482"/>
      <w:r>
        <w:rPr>
          <w:rFonts w:hint="eastAsia" w:ascii="仿宋" w:hAnsi="仿宋" w:eastAsia="仿宋" w:cs="仿宋"/>
          <w:b/>
          <w:color w:val="auto"/>
          <w:kern w:val="0"/>
          <w:sz w:val="32"/>
          <w:szCs w:val="32"/>
          <w:highlight w:val="none"/>
          <w:lang w:val="en-US" w:eastAsia="zh-CN" w:bidi="ar-SA"/>
        </w:rPr>
        <w:br w:type="page"/>
      </w:r>
      <w:r>
        <w:rPr>
          <w:rFonts w:hint="eastAsia" w:ascii="仿宋" w:hAnsi="仿宋" w:eastAsia="仿宋" w:cs="仿宋"/>
          <w:b/>
          <w:color w:val="auto"/>
          <w:kern w:val="0"/>
          <w:sz w:val="32"/>
          <w:szCs w:val="32"/>
          <w:highlight w:val="none"/>
          <w:lang w:val="en-US" w:eastAsia="zh-CN" w:bidi="ar-SA"/>
        </w:rPr>
        <w:t>八、</w:t>
      </w:r>
      <w:bookmarkEnd w:id="580"/>
      <w:r>
        <w:rPr>
          <w:rFonts w:hint="eastAsia" w:ascii="仿宋" w:hAnsi="仿宋" w:eastAsia="仿宋" w:cs="仿宋"/>
          <w:b/>
          <w:color w:val="auto"/>
          <w:kern w:val="0"/>
          <w:sz w:val="32"/>
          <w:szCs w:val="32"/>
          <w:highlight w:val="none"/>
          <w:lang w:val="en-US" w:eastAsia="zh-CN" w:bidi="ar-SA"/>
        </w:rPr>
        <w:t>企业声明函</w:t>
      </w:r>
      <w:bookmarkEnd w:id="581"/>
    </w:p>
    <w:p>
      <w:pPr>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附件1：</w:t>
      </w:r>
    </w:p>
    <w:p>
      <w:pPr>
        <w:spacing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eastAsia="zh-CN"/>
        </w:rPr>
        <w:t>中小企业</w:t>
      </w:r>
      <w:r>
        <w:rPr>
          <w:rFonts w:hint="eastAsia" w:ascii="仿宋" w:hAnsi="仿宋" w:eastAsia="仿宋" w:cs="仿宋"/>
          <w:b/>
          <w:bCs/>
          <w:color w:val="auto"/>
          <w:sz w:val="28"/>
          <w:szCs w:val="28"/>
          <w:highlight w:val="none"/>
        </w:rPr>
        <w:t>声明函》</w:t>
      </w:r>
    </w:p>
    <w:p>
      <w:pPr>
        <w:spacing w:line="360" w:lineRule="auto"/>
        <w:ind w:firstLine="475" w:firstLineChars="198"/>
        <w:rPr>
          <w:rFonts w:hint="eastAsia" w:ascii="仿宋" w:hAnsi="仿宋" w:eastAsia="仿宋" w:cs="仿宋"/>
          <w:bCs/>
          <w:color w:val="auto"/>
          <w:sz w:val="24"/>
          <w:highlight w:val="none"/>
        </w:rPr>
      </w:pP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联合体</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郑重声明，根据《政府采购促进中小企业发展管理办法》（财库﹝2020﹞46号）的规定，本公司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联合体</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参加</w:t>
      </w:r>
      <w:r>
        <w:rPr>
          <w:rFonts w:hint="eastAsia" w:ascii="仿宋" w:hAnsi="仿宋" w:eastAsia="仿宋" w:cs="仿宋"/>
          <w:color w:val="auto"/>
          <w:sz w:val="24"/>
          <w:szCs w:val="24"/>
          <w:highlight w:val="none"/>
          <w:u w:val="single"/>
        </w:rPr>
        <w:t>（单位名称）</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pPr>
        <w:numPr>
          <w:ilvl w:val="0"/>
          <w:numId w:val="11"/>
        </w:num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；承接（承建）企业为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（小型企业、微型企业）</w:t>
      </w:r>
      <w:r>
        <w:rPr>
          <w:rFonts w:hint="eastAsia" w:ascii="仿宋" w:hAnsi="仿宋" w:eastAsia="仿宋" w:cs="仿宋"/>
          <w:color w:val="auto"/>
          <w:sz w:val="24"/>
          <w:szCs w:val="24"/>
          <w:highlight w:val="none"/>
        </w:rPr>
        <w:t>；</w:t>
      </w:r>
    </w:p>
    <w:p>
      <w:pPr>
        <w:numPr>
          <w:ilvl w:val="0"/>
          <w:numId w:val="11"/>
        </w:numPr>
        <w:spacing w:line="360" w:lineRule="auto"/>
        <w:ind w:left="0" w:leftChars="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u w:val="none"/>
          <w:lang w:val="en-US" w:eastAsia="zh-CN"/>
        </w:rPr>
        <w:t>行业</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制造商</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人，营业收入为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（小型企业、微型企业）</w:t>
      </w:r>
      <w:r>
        <w:rPr>
          <w:rFonts w:hint="eastAsia" w:ascii="仿宋" w:hAnsi="仿宋" w:eastAsia="仿宋" w:cs="仿宋"/>
          <w:color w:val="auto"/>
          <w:sz w:val="24"/>
          <w:szCs w:val="24"/>
          <w:highlight w:val="none"/>
        </w:rPr>
        <w:t>；</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pPr>
        <w:spacing w:line="360" w:lineRule="auto"/>
        <w:ind w:firstLine="5520" w:firstLineChars="2300"/>
        <w:rPr>
          <w:rFonts w:hint="eastAsia" w:ascii="仿宋" w:hAnsi="仿宋" w:eastAsia="仿宋" w:cs="仿宋"/>
          <w:color w:val="auto"/>
          <w:sz w:val="24"/>
          <w:szCs w:val="24"/>
          <w:highlight w:val="none"/>
        </w:rPr>
      </w:pPr>
    </w:p>
    <w:p>
      <w:pPr>
        <w:spacing w:line="360" w:lineRule="auto"/>
        <w:ind w:firstLine="5520" w:firstLineChars="2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企业名称（盖章）：</w:t>
      </w:r>
    </w:p>
    <w:p>
      <w:pPr>
        <w:spacing w:line="360" w:lineRule="auto"/>
        <w:ind w:firstLine="5520" w:firstLineChars="230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t>日期：</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注：</w:t>
      </w:r>
      <w:bookmarkStart w:id="582" w:name="_Hlk17733178"/>
      <w:r>
        <w:rPr>
          <w:rFonts w:hint="eastAsia" w:ascii="仿宋" w:hAnsi="仿宋" w:eastAsia="仿宋" w:cs="仿宋"/>
          <w:b/>
          <w:color w:val="auto"/>
          <w:sz w:val="24"/>
          <w:highlight w:val="none"/>
          <w:lang w:val="en-US" w:eastAsia="zh-CN"/>
        </w:rPr>
        <w:t>1、本项目非专门面向中小企业采购，非中小企业请划“/”不得删除本表。</w:t>
      </w:r>
    </w:p>
    <w:p>
      <w:pPr>
        <w:spacing w:line="360" w:lineRule="auto"/>
        <w:ind w:firstLine="482" w:firstLineChars="200"/>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lang w:val="en-US" w:eastAsia="zh-CN"/>
        </w:rPr>
        <w:t>2、</w:t>
      </w:r>
      <w:r>
        <w:rPr>
          <w:rFonts w:hint="eastAsia" w:ascii="仿宋" w:hAnsi="仿宋" w:eastAsia="仿宋" w:cs="仿宋"/>
          <w:b/>
          <w:color w:val="auto"/>
          <w:sz w:val="24"/>
          <w:szCs w:val="22"/>
          <w:highlight w:val="none"/>
        </w:rPr>
        <w:t>投标人提供《</w:t>
      </w:r>
      <w:r>
        <w:rPr>
          <w:rFonts w:hint="eastAsia" w:ascii="仿宋" w:hAnsi="仿宋" w:eastAsia="仿宋" w:cs="仿宋"/>
          <w:b/>
          <w:color w:val="auto"/>
          <w:sz w:val="24"/>
          <w:szCs w:val="22"/>
          <w:highlight w:val="none"/>
          <w:lang w:val="en-US" w:eastAsia="zh-CN"/>
        </w:rPr>
        <w:t>中小企业</w:t>
      </w:r>
      <w:r>
        <w:rPr>
          <w:rFonts w:hint="eastAsia" w:ascii="仿宋" w:hAnsi="仿宋" w:eastAsia="仿宋" w:cs="仿宋"/>
          <w:b/>
          <w:color w:val="auto"/>
          <w:sz w:val="24"/>
          <w:szCs w:val="22"/>
          <w:highlight w:val="none"/>
        </w:rPr>
        <w:t>声明函》的需保证其真实性，如经查实存在虚假证明的情况，由投标人自行承担相应不良影响及法律责任。</w:t>
      </w:r>
    </w:p>
    <w:p>
      <w:pPr>
        <w:pStyle w:val="10"/>
        <w:widowControl w:val="0"/>
        <w:numPr>
          <w:ilvl w:val="0"/>
          <w:numId w:val="0"/>
        </w:numPr>
        <w:spacing w:after="120"/>
        <w:jc w:val="both"/>
        <w:rPr>
          <w:rFonts w:hint="eastAsia" w:ascii="仿宋" w:hAnsi="仿宋" w:eastAsia="仿宋" w:cs="仿宋"/>
          <w:color w:val="auto"/>
          <w:highlight w:val="none"/>
        </w:rPr>
      </w:pPr>
    </w:p>
    <w:bookmarkEnd w:id="582"/>
    <w:p>
      <w:pPr>
        <w:jc w:val="left"/>
        <w:rPr>
          <w:rFonts w:hint="eastAsia" w:ascii="仿宋" w:hAnsi="仿宋" w:eastAsia="仿宋" w:cs="仿宋"/>
          <w:b/>
          <w:bCs/>
          <w:color w:val="auto"/>
          <w:sz w:val="32"/>
          <w:szCs w:val="32"/>
          <w:highlight w:val="none"/>
        </w:rPr>
      </w:pPr>
      <w:bookmarkStart w:id="583" w:name="_Hlk17733230"/>
      <w:r>
        <w:rPr>
          <w:rFonts w:hint="eastAsia" w:ascii="仿宋" w:hAnsi="仿宋" w:eastAsia="仿宋" w:cs="仿宋"/>
          <w:b/>
          <w:bCs/>
          <w:color w:val="auto"/>
          <w:sz w:val="32"/>
          <w:szCs w:val="32"/>
          <w:highlight w:val="none"/>
        </w:rPr>
        <w:br w:type="page"/>
      </w:r>
      <w:r>
        <w:rPr>
          <w:rFonts w:hint="eastAsia" w:ascii="仿宋" w:hAnsi="仿宋" w:eastAsia="仿宋" w:cs="仿宋"/>
          <w:b/>
          <w:bCs/>
          <w:color w:val="auto"/>
          <w:sz w:val="32"/>
          <w:szCs w:val="32"/>
          <w:highlight w:val="none"/>
        </w:rPr>
        <w:t>附件2：</w:t>
      </w:r>
    </w:p>
    <w:p>
      <w:pPr>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w:t>
      </w:r>
      <w:bookmarkStart w:id="584" w:name="_Hlk17707343"/>
      <w:r>
        <w:rPr>
          <w:rFonts w:hint="eastAsia" w:ascii="仿宋" w:hAnsi="仿宋" w:eastAsia="仿宋" w:cs="仿宋"/>
          <w:b/>
          <w:bCs/>
          <w:color w:val="auto"/>
          <w:sz w:val="28"/>
          <w:szCs w:val="28"/>
          <w:highlight w:val="none"/>
        </w:rPr>
        <w:t>监狱企业声明函</w:t>
      </w:r>
      <w:bookmarkEnd w:id="584"/>
      <w:r>
        <w:rPr>
          <w:rFonts w:hint="eastAsia" w:ascii="仿宋" w:hAnsi="仿宋" w:eastAsia="仿宋" w:cs="仿宋"/>
          <w:b/>
          <w:bCs/>
          <w:color w:val="auto"/>
          <w:sz w:val="28"/>
          <w:szCs w:val="28"/>
          <w:highlight w:val="none"/>
        </w:rPr>
        <w:t>》</w:t>
      </w:r>
    </w:p>
    <w:p>
      <w:pPr>
        <w:pStyle w:val="46"/>
        <w:rPr>
          <w:rFonts w:hint="eastAsia" w:ascii="仿宋" w:hAnsi="仿宋" w:eastAsia="仿宋" w:cs="仿宋"/>
          <w:color w:val="auto"/>
          <w:highlight w:val="none"/>
        </w:rPr>
      </w:pPr>
    </w:p>
    <w:p>
      <w:pPr>
        <w:spacing w:line="360" w:lineRule="auto"/>
        <w:ind w:firstLine="475" w:firstLineChars="198"/>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本公司郑重声明，根据</w:t>
      </w:r>
      <w:r>
        <w:rPr>
          <w:rFonts w:hint="eastAsia" w:ascii="仿宋" w:hAnsi="仿宋" w:eastAsia="仿宋" w:cs="仿宋"/>
          <w:bCs/>
          <w:color w:val="auto"/>
          <w:sz w:val="24"/>
          <w:szCs w:val="24"/>
          <w:highlight w:val="none"/>
        </w:rPr>
        <w:t>《财政部司法部关于政府采购支持监狱企业发展有关问题的通知》（财库</w:t>
      </w:r>
      <w:r>
        <w:rPr>
          <w:rFonts w:hint="eastAsia" w:ascii="仿宋" w:hAnsi="仿宋" w:eastAsia="仿宋" w:cs="仿宋"/>
          <w:color w:val="auto"/>
          <w:sz w:val="24"/>
          <w:szCs w:val="24"/>
          <w:highlight w:val="none"/>
        </w:rPr>
        <w:t>〔2014〕</w:t>
      </w:r>
      <w:r>
        <w:rPr>
          <w:rFonts w:hint="eastAsia" w:ascii="仿宋" w:hAnsi="仿宋" w:eastAsia="仿宋" w:cs="仿宋"/>
          <w:bCs/>
          <w:color w:val="auto"/>
          <w:sz w:val="24"/>
          <w:szCs w:val="24"/>
          <w:highlight w:val="none"/>
        </w:rPr>
        <w:t>68号）</w:t>
      </w:r>
      <w:r>
        <w:rPr>
          <w:rFonts w:hint="eastAsia" w:ascii="仿宋" w:hAnsi="仿宋" w:eastAsia="仿宋" w:cs="仿宋"/>
          <w:bCs/>
          <w:color w:val="auto"/>
          <w:sz w:val="24"/>
          <w:highlight w:val="none"/>
        </w:rPr>
        <w:t>的规定，本公司为</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（请填写：监狱）企业。</w:t>
      </w:r>
    </w:p>
    <w:p>
      <w:pPr>
        <w:spacing w:line="360" w:lineRule="auto"/>
        <w:ind w:firstLine="235" w:firstLineChars="98"/>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本单位为符合条件的监狱企业，且本单位参加</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rPr>
        <w:t>单位的</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rPr>
        <w:t>项目采购活动由本单位提供服务（</w:t>
      </w:r>
      <w:r>
        <w:rPr>
          <w:rFonts w:hint="eastAsia" w:ascii="仿宋" w:hAnsi="仿宋" w:eastAsia="仿宋" w:cs="仿宋"/>
          <w:bCs/>
          <w:color w:val="auto"/>
          <w:sz w:val="24"/>
          <w:highlight w:val="none"/>
          <w:lang w:val="en-US" w:eastAsia="zh-CN"/>
        </w:rPr>
        <w:t>或</w:t>
      </w:r>
      <w:r>
        <w:rPr>
          <w:rFonts w:hint="eastAsia" w:ascii="仿宋" w:hAnsi="仿宋" w:eastAsia="仿宋" w:cs="仿宋"/>
          <w:bCs/>
          <w:color w:val="auto"/>
          <w:sz w:val="24"/>
          <w:highlight w:val="none"/>
        </w:rPr>
        <w:t>由本单位承担工程）。</w:t>
      </w:r>
    </w:p>
    <w:p>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本公司对上述声明的真实性负责，若有虚假，将依法承担相应责任。</w:t>
      </w:r>
    </w:p>
    <w:p>
      <w:pPr>
        <w:spacing w:line="360" w:lineRule="auto"/>
        <w:ind w:firstLine="480" w:firstLineChars="200"/>
        <w:rPr>
          <w:rFonts w:hint="eastAsia" w:ascii="仿宋" w:hAnsi="仿宋" w:eastAsia="仿宋" w:cs="仿宋"/>
          <w:bCs/>
          <w:color w:val="auto"/>
          <w:sz w:val="24"/>
          <w:highlight w:val="none"/>
        </w:rPr>
      </w:pPr>
    </w:p>
    <w:p>
      <w:pPr>
        <w:spacing w:line="360" w:lineRule="auto"/>
        <w:ind w:firstLine="480" w:firstLineChars="200"/>
        <w:outlineLvl w:val="9"/>
        <w:rPr>
          <w:rFonts w:hint="eastAsia" w:ascii="仿宋" w:hAnsi="仿宋" w:eastAsia="仿宋" w:cs="仿宋"/>
          <w:bCs/>
          <w:color w:val="auto"/>
          <w:sz w:val="24"/>
          <w:highlight w:val="none"/>
        </w:rPr>
      </w:pPr>
    </w:p>
    <w:p>
      <w:pPr>
        <w:wordWrap w:val="0"/>
        <w:spacing w:line="360" w:lineRule="auto"/>
        <w:ind w:left="0" w:leftChars="0" w:firstLine="2940" w:firstLineChars="1225"/>
        <w:jc w:val="both"/>
        <w:outlineLvl w:val="9"/>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投标人名称：（盖章）</w:t>
      </w:r>
      <w:r>
        <w:rPr>
          <w:rFonts w:hint="eastAsia" w:ascii="仿宋" w:hAnsi="仿宋" w:eastAsia="仿宋" w:cs="仿宋"/>
          <w:bCs/>
          <w:color w:val="auto"/>
          <w:sz w:val="24"/>
          <w:highlight w:val="none"/>
          <w:lang w:val="en-US" w:eastAsia="zh-CN"/>
        </w:rPr>
        <w:t xml:space="preserve">        </w:t>
      </w:r>
    </w:p>
    <w:p>
      <w:pPr>
        <w:spacing w:line="360" w:lineRule="auto"/>
        <w:ind w:left="0" w:leftChars="0" w:firstLine="2940" w:firstLineChars="1225"/>
        <w:jc w:val="right"/>
        <w:outlineLvl w:val="9"/>
        <w:rPr>
          <w:rFonts w:hint="eastAsia" w:ascii="仿宋" w:hAnsi="仿宋" w:eastAsia="仿宋" w:cs="仿宋"/>
          <w:bCs/>
          <w:color w:val="auto"/>
          <w:sz w:val="24"/>
          <w:highlight w:val="none"/>
        </w:rPr>
      </w:pPr>
    </w:p>
    <w:p>
      <w:pPr>
        <w:wordWrap w:val="0"/>
        <w:spacing w:line="360" w:lineRule="auto"/>
        <w:ind w:left="0" w:leftChars="0" w:firstLine="2940" w:firstLineChars="1225"/>
        <w:jc w:val="both"/>
        <w:outlineLvl w:val="9"/>
        <w:rPr>
          <w:rFonts w:hint="eastAsia" w:ascii="仿宋" w:hAnsi="仿宋" w:eastAsia="仿宋" w:cs="仿宋"/>
          <w:bCs/>
          <w:color w:val="auto"/>
          <w:sz w:val="24"/>
          <w:highlight w:val="none"/>
          <w:lang w:val="en-US" w:eastAsia="zh-CN"/>
        </w:rPr>
      </w:pPr>
      <w:bookmarkStart w:id="585" w:name="_Toc27467"/>
      <w:bookmarkStart w:id="586" w:name="_Toc30452"/>
      <w:r>
        <w:rPr>
          <w:rFonts w:hint="eastAsia" w:ascii="仿宋" w:hAnsi="仿宋" w:eastAsia="仿宋" w:cs="仿宋"/>
          <w:bCs/>
          <w:color w:val="auto"/>
          <w:sz w:val="24"/>
          <w:highlight w:val="none"/>
        </w:rPr>
        <w:t>法定代表人或其法人授权委托人：（签字或盖章）</w:t>
      </w:r>
      <w:bookmarkEnd w:id="585"/>
      <w:bookmarkEnd w:id="586"/>
      <w:r>
        <w:rPr>
          <w:rFonts w:hint="eastAsia" w:ascii="仿宋" w:hAnsi="仿宋" w:eastAsia="仿宋" w:cs="仿宋"/>
          <w:bCs/>
          <w:color w:val="auto"/>
          <w:sz w:val="24"/>
          <w:highlight w:val="none"/>
          <w:lang w:val="en-US" w:eastAsia="zh-CN"/>
        </w:rPr>
        <w:t xml:space="preserve">  </w:t>
      </w:r>
    </w:p>
    <w:p>
      <w:pPr>
        <w:spacing w:line="360" w:lineRule="auto"/>
        <w:ind w:left="0" w:leftChars="0" w:firstLine="2940" w:firstLineChars="1225"/>
        <w:jc w:val="right"/>
        <w:outlineLvl w:val="9"/>
        <w:rPr>
          <w:rFonts w:hint="eastAsia" w:ascii="仿宋" w:hAnsi="仿宋" w:eastAsia="仿宋" w:cs="仿宋"/>
          <w:bCs/>
          <w:color w:val="auto"/>
          <w:sz w:val="24"/>
          <w:highlight w:val="none"/>
        </w:rPr>
      </w:pPr>
    </w:p>
    <w:p>
      <w:pPr>
        <w:spacing w:line="360" w:lineRule="auto"/>
        <w:ind w:left="0" w:leftChars="0" w:firstLine="2940" w:firstLineChars="1225"/>
        <w:jc w:val="both"/>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日</w:t>
      </w:r>
      <w:r>
        <w:rPr>
          <w:rFonts w:hint="eastAsia" w:ascii="仿宋" w:hAnsi="仿宋" w:eastAsia="仿宋" w:cs="仿宋"/>
          <w:bCs/>
          <w:color w:val="auto"/>
          <w:sz w:val="24"/>
          <w:highlight w:val="none"/>
          <w:lang w:val="en-US" w:eastAsia="zh-CN"/>
        </w:rPr>
        <w:t xml:space="preserve">      </w:t>
      </w:r>
      <w:r>
        <w:rPr>
          <w:rFonts w:hint="eastAsia" w:ascii="仿宋" w:hAnsi="仿宋" w:eastAsia="仿宋" w:cs="仿宋"/>
          <w:bCs/>
          <w:color w:val="auto"/>
          <w:sz w:val="24"/>
          <w:highlight w:val="none"/>
        </w:rPr>
        <w:t xml:space="preserve">期： </w:t>
      </w:r>
      <w:r>
        <w:rPr>
          <w:rFonts w:hint="eastAsia" w:ascii="仿宋" w:hAnsi="仿宋" w:eastAsia="仿宋" w:cs="仿宋"/>
          <w:bCs/>
          <w:color w:val="auto"/>
          <w:sz w:val="24"/>
          <w:highlight w:val="none"/>
          <w:lang w:val="en-US" w:eastAsia="zh-CN"/>
        </w:rPr>
        <w:t xml:space="preserve"> </w:t>
      </w:r>
      <w:r>
        <w:rPr>
          <w:rFonts w:hint="eastAsia" w:ascii="仿宋" w:hAnsi="仿宋" w:eastAsia="仿宋" w:cs="仿宋"/>
          <w:bCs/>
          <w:color w:val="auto"/>
          <w:sz w:val="24"/>
          <w:highlight w:val="none"/>
        </w:rPr>
        <w:t xml:space="preserve">  年   月   日</w:t>
      </w:r>
    </w:p>
    <w:p>
      <w:pPr>
        <w:spacing w:line="360" w:lineRule="auto"/>
        <w:outlineLvl w:val="9"/>
        <w:rPr>
          <w:rFonts w:hint="eastAsia" w:ascii="仿宋" w:hAnsi="仿宋" w:eastAsia="仿宋" w:cs="仿宋"/>
          <w:b/>
          <w:color w:val="auto"/>
          <w:sz w:val="24"/>
          <w:highlight w:val="none"/>
        </w:rPr>
      </w:pPr>
    </w:p>
    <w:p>
      <w:pP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1.非监狱企业无需在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中提供。如为监狱企业应在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的封面右上角明确注明相关信息以便方便认可，且提供相关证明材料。</w:t>
      </w:r>
    </w:p>
    <w:p>
      <w:pP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2.投标人提供《监狱企业声明函》的需保证其真实性，如经查实存在虚假证明的情况，由投标人承担相应责任。</w:t>
      </w:r>
    </w:p>
    <w:bookmarkEnd w:id="583"/>
    <w:p>
      <w:pPr>
        <w:jc w:val="left"/>
        <w:outlineLvl w:val="9"/>
        <w:rPr>
          <w:rFonts w:hint="eastAsia" w:ascii="仿宋" w:hAnsi="仿宋" w:eastAsia="仿宋" w:cs="仿宋"/>
          <w:b/>
          <w:bCs/>
          <w:color w:val="auto"/>
          <w:sz w:val="32"/>
          <w:szCs w:val="32"/>
          <w:highlight w:val="none"/>
        </w:rPr>
      </w:pPr>
    </w:p>
    <w:p>
      <w:pPr>
        <w:jc w:val="left"/>
        <w:outlineLvl w:val="9"/>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r>
        <w:rPr>
          <w:rFonts w:hint="eastAsia" w:ascii="仿宋" w:hAnsi="仿宋" w:eastAsia="仿宋" w:cs="仿宋"/>
          <w:b/>
          <w:bCs/>
          <w:color w:val="auto"/>
          <w:sz w:val="32"/>
          <w:szCs w:val="32"/>
          <w:highlight w:val="none"/>
        </w:rPr>
        <w:t>附件3：</w:t>
      </w:r>
    </w:p>
    <w:p>
      <w:pPr>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《残疾人福利性单位声明函》</w:t>
      </w:r>
    </w:p>
    <w:p>
      <w:pPr>
        <w:spacing w:line="480" w:lineRule="auto"/>
        <w:ind w:firstLine="480" w:firstLineChars="200"/>
        <w:rPr>
          <w:rFonts w:hint="eastAsia" w:ascii="仿宋" w:hAnsi="仿宋" w:eastAsia="仿宋" w:cs="仿宋"/>
          <w:bCs/>
          <w:color w:val="auto"/>
          <w:sz w:val="24"/>
          <w:highlight w:val="none"/>
        </w:rPr>
      </w:pPr>
    </w:p>
    <w:p>
      <w:pPr>
        <w:spacing w:line="480" w:lineRule="auto"/>
        <w:ind w:firstLine="480" w:firstLineChars="200"/>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本单位郑重声明，根据《财政部、民政部、中国残疾人联合会关于促进残疾人就业政府采购政策的通知》（财库〔2017〕141号）的规定，</w:t>
      </w:r>
      <w:bookmarkStart w:id="587" w:name="_Hlk17707165"/>
      <w:r>
        <w:rPr>
          <w:rFonts w:hint="eastAsia" w:ascii="仿宋" w:hAnsi="仿宋" w:eastAsia="仿宋" w:cs="仿宋"/>
          <w:bCs/>
          <w:color w:val="auto"/>
          <w:sz w:val="24"/>
          <w:highlight w:val="none"/>
        </w:rPr>
        <w:t>本单位为符合条件的残疾人福利性单位，且本单位参加</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rPr>
        <w:t>单位的</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rPr>
        <w:t>项目采购活动由本单位提供服务</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提供本单位制造的货物</w:t>
      </w:r>
      <w:r>
        <w:rPr>
          <w:rFonts w:hint="eastAsia" w:ascii="仿宋" w:hAnsi="仿宋" w:eastAsia="仿宋" w:cs="仿宋"/>
          <w:bCs/>
          <w:color w:val="auto"/>
          <w:sz w:val="24"/>
          <w:highlight w:val="none"/>
          <w:lang w:val="en-US" w:eastAsia="zh-CN"/>
        </w:rPr>
        <w:t>/</w:t>
      </w:r>
      <w:r>
        <w:rPr>
          <w:rFonts w:hint="eastAsia" w:ascii="仿宋" w:hAnsi="仿宋" w:eastAsia="仿宋" w:cs="仿宋"/>
          <w:bCs/>
          <w:color w:val="auto"/>
          <w:sz w:val="24"/>
          <w:highlight w:val="none"/>
        </w:rPr>
        <w:t>由本单位承担工程），或者</w:t>
      </w:r>
      <w:r>
        <w:rPr>
          <w:rFonts w:hint="eastAsia" w:ascii="仿宋" w:hAnsi="仿宋" w:eastAsia="仿宋" w:cs="仿宋"/>
          <w:bCs/>
          <w:color w:val="auto"/>
          <w:sz w:val="24"/>
          <w:highlight w:val="none"/>
          <w:lang w:val="en-US" w:eastAsia="zh-CN"/>
        </w:rPr>
        <w:t>由</w:t>
      </w:r>
      <w:r>
        <w:rPr>
          <w:rFonts w:hint="eastAsia" w:ascii="仿宋" w:hAnsi="仿宋" w:eastAsia="仿宋" w:cs="仿宋"/>
          <w:bCs/>
          <w:color w:val="auto"/>
          <w:sz w:val="24"/>
          <w:highlight w:val="none"/>
        </w:rPr>
        <w:t>其他残疾人福利性单位提供服务（不包括非残疾人福利性单位提供</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服务）。</w:t>
      </w:r>
    </w:p>
    <w:bookmarkEnd w:id="587"/>
    <w:p>
      <w:pPr>
        <w:spacing w:line="480" w:lineRule="auto"/>
        <w:ind w:firstLine="475" w:firstLineChars="198"/>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本单位对上述声明的真实性负责。如有虚假，将依法承担相应责任。</w:t>
      </w:r>
    </w:p>
    <w:p>
      <w:pPr>
        <w:spacing w:line="588" w:lineRule="exact"/>
        <w:outlineLvl w:val="9"/>
        <w:rPr>
          <w:rFonts w:hint="eastAsia" w:ascii="仿宋" w:hAnsi="仿宋" w:eastAsia="仿宋" w:cs="仿宋"/>
          <w:b/>
          <w:bCs/>
          <w:color w:val="auto"/>
          <w:spacing w:val="6"/>
          <w:sz w:val="30"/>
          <w:szCs w:val="30"/>
          <w:highlight w:val="none"/>
        </w:rPr>
      </w:pPr>
    </w:p>
    <w:p>
      <w:pPr>
        <w:wordWrap/>
        <w:spacing w:line="480" w:lineRule="auto"/>
        <w:ind w:left="0" w:leftChars="0" w:firstLine="3780" w:firstLineChars="1575"/>
        <w:jc w:val="left"/>
        <w:outlineLvl w:val="9"/>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 xml:space="preserve">  投标人名称：（盖章）</w:t>
      </w:r>
      <w:r>
        <w:rPr>
          <w:rFonts w:hint="eastAsia" w:ascii="仿宋" w:hAnsi="仿宋" w:eastAsia="仿宋" w:cs="仿宋"/>
          <w:bCs/>
          <w:color w:val="auto"/>
          <w:sz w:val="24"/>
          <w:highlight w:val="none"/>
          <w:lang w:val="en-US" w:eastAsia="zh-CN"/>
        </w:rPr>
        <w:t xml:space="preserve">       </w:t>
      </w:r>
    </w:p>
    <w:p>
      <w:pPr>
        <w:spacing w:line="480" w:lineRule="auto"/>
        <w:ind w:left="0" w:leftChars="0" w:firstLine="3780" w:firstLineChars="1575"/>
        <w:jc w:val="lef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w:t>
      </w:r>
    </w:p>
    <w:p>
      <w:pPr>
        <w:wordWrap/>
        <w:spacing w:line="480" w:lineRule="auto"/>
        <w:ind w:left="0" w:leftChars="0" w:firstLine="3780" w:firstLineChars="1575"/>
        <w:jc w:val="left"/>
        <w:outlineLvl w:val="9"/>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 xml:space="preserve">  法定代表人或其法人授权委托人：（签字或盖章）</w:t>
      </w:r>
      <w:r>
        <w:rPr>
          <w:rFonts w:hint="eastAsia" w:ascii="仿宋" w:hAnsi="仿宋" w:eastAsia="仿宋" w:cs="仿宋"/>
          <w:bCs/>
          <w:color w:val="auto"/>
          <w:sz w:val="24"/>
          <w:highlight w:val="none"/>
          <w:lang w:val="en-US" w:eastAsia="zh-CN"/>
        </w:rPr>
        <w:t xml:space="preserve"> </w:t>
      </w:r>
    </w:p>
    <w:p>
      <w:pPr>
        <w:spacing w:line="480" w:lineRule="auto"/>
        <w:ind w:left="0" w:leftChars="0" w:firstLine="3780" w:firstLineChars="1575"/>
        <w:jc w:val="left"/>
        <w:outlineLvl w:val="9"/>
        <w:rPr>
          <w:rFonts w:hint="eastAsia" w:ascii="仿宋" w:hAnsi="仿宋" w:eastAsia="仿宋" w:cs="仿宋"/>
          <w:bCs/>
          <w:color w:val="auto"/>
          <w:sz w:val="24"/>
          <w:highlight w:val="none"/>
        </w:rPr>
      </w:pPr>
    </w:p>
    <w:p>
      <w:pPr>
        <w:spacing w:line="480" w:lineRule="auto"/>
        <w:ind w:left="0" w:leftChars="0" w:firstLine="3780" w:firstLineChars="1575"/>
        <w:jc w:val="lef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日期：   年   月   日</w:t>
      </w:r>
    </w:p>
    <w:p>
      <w:pP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1.如为残疾人福利性单位应在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的封面右上角明确注明相关信息以便方便认可，且提供相关证明材料。</w:t>
      </w:r>
    </w:p>
    <w:p>
      <w:pP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2.投标人企业所提供的《残疾人福利性单位声明函》，由其自行承担相应的法律责任。</w:t>
      </w:r>
    </w:p>
    <w:p>
      <w:pPr>
        <w:jc w:val="left"/>
        <w:outlineLvl w:val="9"/>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r>
        <w:rPr>
          <w:rFonts w:hint="eastAsia" w:ascii="仿宋" w:hAnsi="仿宋" w:eastAsia="仿宋" w:cs="仿宋"/>
          <w:b/>
          <w:bCs/>
          <w:color w:val="auto"/>
          <w:sz w:val="32"/>
          <w:szCs w:val="32"/>
          <w:highlight w:val="none"/>
        </w:rPr>
        <w:t>附件4：</w:t>
      </w:r>
    </w:p>
    <w:p>
      <w:pPr>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《福利性单位声明函》</w:t>
      </w:r>
    </w:p>
    <w:p>
      <w:pPr>
        <w:pStyle w:val="46"/>
        <w:rPr>
          <w:rFonts w:hint="eastAsia" w:ascii="仿宋" w:hAnsi="仿宋" w:eastAsia="仿宋" w:cs="仿宋"/>
          <w:color w:val="auto"/>
          <w:highlight w:val="none"/>
        </w:rPr>
      </w:pPr>
    </w:p>
    <w:p>
      <w:pPr>
        <w:spacing w:line="48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本单位郑重声明，根据陕西省《关于政府采购优先购买福利性企业产品和服务的意见》规定，本单位为符合条件的福利性单位，且本单位参加</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rPr>
        <w:t>单位的</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rPr>
        <w:t>项目采购活动</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由本单位提供服务（由本单位承担工程</w:t>
      </w:r>
      <w:r>
        <w:rPr>
          <w:rFonts w:hint="eastAsia" w:ascii="仿宋" w:hAnsi="仿宋" w:eastAsia="仿宋" w:cs="仿宋"/>
          <w:bCs/>
          <w:color w:val="auto"/>
          <w:sz w:val="24"/>
          <w:highlight w:val="none"/>
          <w:lang w:val="en-US" w:eastAsia="zh-CN"/>
        </w:rPr>
        <w:t>/</w:t>
      </w:r>
      <w:r>
        <w:rPr>
          <w:rFonts w:hint="eastAsia" w:ascii="仿宋" w:hAnsi="仿宋" w:eastAsia="仿宋" w:cs="仿宋"/>
          <w:bCs/>
          <w:color w:val="auto"/>
          <w:sz w:val="24"/>
          <w:highlight w:val="none"/>
        </w:rPr>
        <w:t>提供本单位制造的货物），或者</w:t>
      </w:r>
      <w:r>
        <w:rPr>
          <w:rFonts w:hint="eastAsia" w:ascii="仿宋" w:hAnsi="仿宋" w:eastAsia="仿宋" w:cs="仿宋"/>
          <w:bCs/>
          <w:color w:val="auto"/>
          <w:sz w:val="24"/>
          <w:highlight w:val="none"/>
          <w:lang w:val="en-US" w:eastAsia="zh-CN"/>
        </w:rPr>
        <w:t>由</w:t>
      </w:r>
      <w:r>
        <w:rPr>
          <w:rFonts w:hint="eastAsia" w:ascii="仿宋" w:hAnsi="仿宋" w:eastAsia="仿宋" w:cs="仿宋"/>
          <w:bCs/>
          <w:color w:val="auto"/>
          <w:sz w:val="24"/>
          <w:highlight w:val="none"/>
        </w:rPr>
        <w:t>其他福利性单位</w:t>
      </w:r>
      <w:r>
        <w:rPr>
          <w:rFonts w:hint="eastAsia" w:ascii="仿宋" w:hAnsi="仿宋" w:eastAsia="仿宋" w:cs="仿宋"/>
          <w:bCs/>
          <w:color w:val="auto"/>
          <w:sz w:val="24"/>
          <w:highlight w:val="none"/>
          <w:lang w:val="en-US" w:eastAsia="zh-CN"/>
        </w:rPr>
        <w:t>提供服务</w:t>
      </w:r>
      <w:r>
        <w:rPr>
          <w:rFonts w:hint="eastAsia" w:ascii="仿宋" w:hAnsi="仿宋" w:eastAsia="仿宋" w:cs="仿宋"/>
          <w:bCs/>
          <w:color w:val="auto"/>
          <w:sz w:val="24"/>
          <w:highlight w:val="none"/>
        </w:rPr>
        <w:t>（不包括非福利性单位</w:t>
      </w:r>
      <w:r>
        <w:rPr>
          <w:rFonts w:hint="eastAsia" w:ascii="仿宋" w:hAnsi="仿宋" w:eastAsia="仿宋" w:cs="仿宋"/>
          <w:bCs/>
          <w:color w:val="auto"/>
          <w:sz w:val="24"/>
          <w:highlight w:val="none"/>
          <w:lang w:val="en-US" w:eastAsia="zh-CN"/>
        </w:rPr>
        <w:t>提供的服务</w:t>
      </w:r>
      <w:r>
        <w:rPr>
          <w:rFonts w:hint="eastAsia" w:ascii="仿宋" w:hAnsi="仿宋" w:eastAsia="仿宋" w:cs="仿宋"/>
          <w:bCs/>
          <w:color w:val="auto"/>
          <w:sz w:val="24"/>
          <w:highlight w:val="none"/>
        </w:rPr>
        <w:t>）。</w:t>
      </w:r>
    </w:p>
    <w:p>
      <w:pPr>
        <w:spacing w:line="480" w:lineRule="auto"/>
        <w:ind w:firstLine="475" w:firstLineChars="198"/>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本单位对上述声明的真实性负责。如有虚假，将依法承担相应责任。</w:t>
      </w:r>
    </w:p>
    <w:p>
      <w:pPr>
        <w:spacing w:line="588" w:lineRule="exact"/>
        <w:outlineLvl w:val="9"/>
        <w:rPr>
          <w:rFonts w:hint="eastAsia" w:ascii="仿宋" w:hAnsi="仿宋" w:eastAsia="仿宋" w:cs="仿宋"/>
          <w:b/>
          <w:bCs/>
          <w:color w:val="auto"/>
          <w:spacing w:val="6"/>
          <w:sz w:val="30"/>
          <w:szCs w:val="30"/>
          <w:highlight w:val="none"/>
        </w:rPr>
      </w:pPr>
    </w:p>
    <w:p>
      <w:pPr>
        <w:wordWrap/>
        <w:spacing w:line="480" w:lineRule="auto"/>
        <w:ind w:left="0" w:leftChars="0" w:firstLine="3158" w:firstLineChars="1316"/>
        <w:jc w:val="left"/>
        <w:outlineLvl w:val="9"/>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 xml:space="preserve">  投标人名称：（盖章）</w:t>
      </w:r>
      <w:r>
        <w:rPr>
          <w:rFonts w:hint="eastAsia" w:ascii="仿宋" w:hAnsi="仿宋" w:eastAsia="仿宋" w:cs="仿宋"/>
          <w:bCs/>
          <w:color w:val="auto"/>
          <w:sz w:val="24"/>
          <w:highlight w:val="none"/>
          <w:lang w:val="en-US" w:eastAsia="zh-CN"/>
        </w:rPr>
        <w:t xml:space="preserve">       </w:t>
      </w:r>
    </w:p>
    <w:p>
      <w:pPr>
        <w:spacing w:line="480" w:lineRule="auto"/>
        <w:ind w:left="0" w:leftChars="0" w:firstLine="3158" w:firstLineChars="1316"/>
        <w:jc w:val="lef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w:t>
      </w:r>
    </w:p>
    <w:p>
      <w:pPr>
        <w:wordWrap/>
        <w:spacing w:line="480" w:lineRule="auto"/>
        <w:ind w:left="0" w:leftChars="0" w:firstLine="3158" w:firstLineChars="1316"/>
        <w:jc w:val="left"/>
        <w:outlineLvl w:val="9"/>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 xml:space="preserve">  </w:t>
      </w:r>
      <w:bookmarkStart w:id="588" w:name="_Toc21068"/>
      <w:bookmarkStart w:id="589" w:name="_Toc27212"/>
      <w:r>
        <w:rPr>
          <w:rFonts w:hint="eastAsia" w:ascii="仿宋" w:hAnsi="仿宋" w:eastAsia="仿宋" w:cs="仿宋"/>
          <w:bCs/>
          <w:color w:val="auto"/>
          <w:sz w:val="24"/>
          <w:highlight w:val="none"/>
        </w:rPr>
        <w:t>法定代表人或其法人授权委托人：（签字或盖章）</w:t>
      </w:r>
      <w:bookmarkEnd w:id="588"/>
      <w:bookmarkEnd w:id="589"/>
      <w:r>
        <w:rPr>
          <w:rFonts w:hint="eastAsia" w:ascii="仿宋" w:hAnsi="仿宋" w:eastAsia="仿宋" w:cs="仿宋"/>
          <w:bCs/>
          <w:color w:val="auto"/>
          <w:sz w:val="24"/>
          <w:highlight w:val="none"/>
          <w:lang w:val="en-US" w:eastAsia="zh-CN"/>
        </w:rPr>
        <w:t xml:space="preserve"> </w:t>
      </w:r>
    </w:p>
    <w:p>
      <w:pPr>
        <w:spacing w:line="480" w:lineRule="auto"/>
        <w:ind w:left="0" w:leftChars="0" w:firstLine="3158" w:firstLineChars="1316"/>
        <w:jc w:val="left"/>
        <w:outlineLvl w:val="9"/>
        <w:rPr>
          <w:rFonts w:hint="eastAsia" w:ascii="仿宋" w:hAnsi="仿宋" w:eastAsia="仿宋" w:cs="仿宋"/>
          <w:bCs/>
          <w:color w:val="auto"/>
          <w:sz w:val="24"/>
          <w:highlight w:val="none"/>
        </w:rPr>
      </w:pPr>
    </w:p>
    <w:p>
      <w:pPr>
        <w:spacing w:line="480" w:lineRule="auto"/>
        <w:ind w:left="0" w:leftChars="0" w:firstLine="3158" w:firstLineChars="1316"/>
        <w:jc w:val="lef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日期：   年   月   日</w:t>
      </w:r>
    </w:p>
    <w:p>
      <w:pPr>
        <w:spacing w:line="480" w:lineRule="auto"/>
        <w:rPr>
          <w:rFonts w:hint="eastAsia" w:ascii="仿宋" w:hAnsi="仿宋" w:eastAsia="仿宋" w:cs="仿宋"/>
          <w:color w:val="auto"/>
          <w:sz w:val="24"/>
          <w:highlight w:val="none"/>
        </w:rPr>
      </w:pPr>
    </w:p>
    <w:p>
      <w:pPr>
        <w:spacing w:line="480" w:lineRule="auto"/>
        <w:rPr>
          <w:rFonts w:hint="eastAsia" w:ascii="仿宋" w:hAnsi="仿宋" w:eastAsia="仿宋" w:cs="仿宋"/>
          <w:b/>
          <w:color w:val="auto"/>
          <w:sz w:val="24"/>
          <w:highlight w:val="none"/>
        </w:rPr>
      </w:pPr>
    </w:p>
    <w:p>
      <w:pPr>
        <w:spacing w:line="440" w:lineRule="exact"/>
        <w:ind w:firstLine="48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spacing w:line="440" w:lineRule="exact"/>
        <w:ind w:firstLine="48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1.如为福利性单位应在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的封面右上角明确注明相关信息以便方便认可，且提供相关证明材料。</w:t>
      </w:r>
    </w:p>
    <w:p>
      <w:pPr>
        <w:spacing w:line="440" w:lineRule="exact"/>
        <w:ind w:firstLine="48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2.投标人企业所提供的《福利性单位声明函》，由其自行承担相应的法律责任。</w:t>
      </w:r>
    </w:p>
    <w:p>
      <w:pPr>
        <w:spacing w:line="440" w:lineRule="exact"/>
        <w:ind w:firstLine="482"/>
        <w:rPr>
          <w:rFonts w:hint="eastAsia" w:ascii="仿宋" w:hAnsi="仿宋" w:eastAsia="仿宋" w:cs="仿宋"/>
          <w:b/>
          <w:color w:val="auto"/>
          <w:sz w:val="24"/>
          <w:highlight w:val="none"/>
        </w:rPr>
      </w:pPr>
      <w:bookmarkStart w:id="590" w:name="_Hlk17881905"/>
      <w:r>
        <w:rPr>
          <w:rFonts w:hint="eastAsia" w:ascii="仿宋" w:hAnsi="仿宋" w:eastAsia="仿宋" w:cs="仿宋"/>
          <w:b/>
          <w:color w:val="auto"/>
          <w:sz w:val="24"/>
          <w:highlight w:val="none"/>
        </w:rPr>
        <w:t>3.如投标人同时提供上述优惠内容，评标委员会只认可其一项有效声明函，评标委员会即可给予价格6%的扣除，不得重复给予价格扣除。</w:t>
      </w:r>
    </w:p>
    <w:bookmarkEnd w:id="590"/>
    <w:p>
      <w:pPr>
        <w:jc w:val="left"/>
        <w:rPr>
          <w:rFonts w:hint="eastAsia" w:ascii="仿宋" w:hAnsi="仿宋" w:eastAsia="仿宋" w:cs="仿宋"/>
          <w:b/>
          <w:bCs/>
          <w:color w:val="auto"/>
          <w:sz w:val="32"/>
          <w:szCs w:val="32"/>
          <w:highlight w:val="none"/>
        </w:rPr>
      </w:pPr>
    </w:p>
    <w:p>
      <w:pPr>
        <w:pStyle w:val="8"/>
        <w:jc w:val="center"/>
        <w:outlineLvl w:val="0"/>
        <w:rPr>
          <w:rFonts w:hint="eastAsia" w:ascii="仿宋" w:hAnsi="仿宋" w:eastAsia="仿宋" w:cs="仿宋"/>
          <w:b/>
          <w:bCs/>
          <w:color w:val="auto"/>
          <w:sz w:val="28"/>
          <w:szCs w:val="28"/>
          <w:highlight w:val="none"/>
        </w:rPr>
      </w:pPr>
      <w:bookmarkStart w:id="591" w:name="_Toc18785"/>
      <w:r>
        <w:rPr>
          <w:rFonts w:hint="eastAsia" w:ascii="仿宋" w:hAnsi="仿宋" w:eastAsia="仿宋" w:cs="仿宋"/>
          <w:b/>
          <w:bCs/>
          <w:color w:val="auto"/>
          <w:sz w:val="28"/>
          <w:szCs w:val="28"/>
          <w:highlight w:val="none"/>
          <w:lang w:val="en-US" w:eastAsia="zh-CN"/>
        </w:rPr>
        <w:br w:type="page"/>
      </w:r>
      <w:bookmarkStart w:id="592" w:name="_Toc29512"/>
      <w:bookmarkStart w:id="593" w:name="_Toc31646"/>
      <w:r>
        <w:rPr>
          <w:rFonts w:hint="eastAsia" w:ascii="仿宋" w:hAnsi="仿宋" w:eastAsia="仿宋" w:cs="仿宋"/>
          <w:b/>
          <w:bCs/>
          <w:color w:val="auto"/>
          <w:sz w:val="44"/>
          <w:szCs w:val="44"/>
          <w:highlight w:val="none"/>
          <w:lang w:val="en-US" w:eastAsia="zh-CN"/>
        </w:rPr>
        <w:t>最终</w:t>
      </w:r>
      <w:r>
        <w:rPr>
          <w:rFonts w:hint="eastAsia" w:ascii="仿宋" w:hAnsi="仿宋" w:eastAsia="仿宋" w:cs="仿宋"/>
          <w:b/>
          <w:bCs/>
          <w:color w:val="auto"/>
          <w:sz w:val="44"/>
          <w:szCs w:val="44"/>
          <w:highlight w:val="none"/>
          <w:lang w:val="zh-CN" w:eastAsia="zh-CN"/>
        </w:rPr>
        <w:t>报价</w:t>
      </w:r>
      <w:r>
        <w:rPr>
          <w:rFonts w:hint="eastAsia" w:ascii="仿宋" w:hAnsi="仿宋" w:eastAsia="仿宋" w:cs="仿宋"/>
          <w:b/>
          <w:bCs/>
          <w:color w:val="auto"/>
          <w:sz w:val="44"/>
          <w:szCs w:val="44"/>
          <w:highlight w:val="none"/>
        </w:rPr>
        <w:t>表</w:t>
      </w:r>
      <w:bookmarkEnd w:id="592"/>
    </w:p>
    <w:p>
      <w:pPr>
        <w:pStyle w:val="8"/>
        <w:jc w:val="center"/>
        <w:outlineLvl w:val="9"/>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此表不作为投标文件格式，现场填报</w:t>
      </w:r>
      <w:r>
        <w:rPr>
          <w:rFonts w:hint="eastAsia" w:ascii="仿宋" w:hAnsi="仿宋" w:eastAsia="仿宋" w:cs="仿宋"/>
          <w:b/>
          <w:bCs/>
          <w:color w:val="auto"/>
          <w:sz w:val="28"/>
          <w:szCs w:val="28"/>
          <w:highlight w:val="none"/>
          <w:lang w:eastAsia="zh-CN"/>
        </w:rPr>
        <w:t>）</w:t>
      </w:r>
      <w:bookmarkEnd w:id="591"/>
      <w:bookmarkEnd w:id="593"/>
    </w:p>
    <w:p>
      <w:pPr>
        <w:ind w:right="560"/>
        <w:jc w:val="right"/>
        <w:outlineLvl w:val="9"/>
        <w:rPr>
          <w:rFonts w:hint="eastAsia" w:ascii="仿宋" w:hAnsi="仿宋" w:eastAsia="仿宋" w:cs="仿宋"/>
          <w:color w:val="auto"/>
          <w:highlight w:val="none"/>
          <w:lang w:eastAsia="zh-CN"/>
        </w:rPr>
      </w:pPr>
    </w:p>
    <w:tbl>
      <w:tblPr>
        <w:tblStyle w:val="22"/>
        <w:tblW w:w="8662" w:type="dxa"/>
        <w:jc w:val="center"/>
        <w:tblLayout w:type="fixed"/>
        <w:tblCellMar>
          <w:top w:w="0" w:type="dxa"/>
          <w:left w:w="108" w:type="dxa"/>
          <w:bottom w:w="0" w:type="dxa"/>
          <w:right w:w="108" w:type="dxa"/>
        </w:tblCellMar>
      </w:tblPr>
      <w:tblGrid>
        <w:gridCol w:w="2055"/>
        <w:gridCol w:w="6607"/>
      </w:tblGrid>
      <w:tr>
        <w:tblPrEx>
          <w:tblCellMar>
            <w:top w:w="0" w:type="dxa"/>
            <w:left w:w="108" w:type="dxa"/>
            <w:bottom w:w="0" w:type="dxa"/>
            <w:right w:w="108" w:type="dxa"/>
          </w:tblCellMar>
        </w:tblPrEx>
        <w:trPr>
          <w:trHeight w:val="63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outlineLvl w:val="9"/>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项目名称</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ind w:firstLine="480"/>
              <w:outlineLvl w:val="9"/>
              <w:rPr>
                <w:rFonts w:hint="eastAsia" w:ascii="仿宋" w:hAnsi="仿宋" w:eastAsia="仿宋" w:cs="仿宋"/>
                <w:color w:val="auto"/>
                <w:kern w:val="0"/>
                <w:sz w:val="24"/>
                <w:szCs w:val="24"/>
                <w:highlight w:val="none"/>
              </w:rPr>
            </w:pPr>
          </w:p>
        </w:tc>
      </w:tr>
      <w:tr>
        <w:tblPrEx>
          <w:tblCellMar>
            <w:top w:w="0" w:type="dxa"/>
            <w:left w:w="108" w:type="dxa"/>
            <w:bottom w:w="0" w:type="dxa"/>
            <w:right w:w="108" w:type="dxa"/>
          </w:tblCellMar>
        </w:tblPrEx>
        <w:trPr>
          <w:trHeight w:val="946"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项目编号</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ind w:firstLine="480"/>
              <w:outlineLvl w:val="9"/>
              <w:rPr>
                <w:rFonts w:hint="eastAsia" w:ascii="仿宋" w:hAnsi="仿宋" w:eastAsia="仿宋" w:cs="仿宋"/>
                <w:color w:val="auto"/>
                <w:kern w:val="0"/>
                <w:sz w:val="24"/>
                <w:szCs w:val="24"/>
                <w:highlight w:val="none"/>
              </w:rPr>
            </w:pPr>
          </w:p>
        </w:tc>
      </w:tr>
      <w:tr>
        <w:tblPrEx>
          <w:tblCellMar>
            <w:top w:w="0" w:type="dxa"/>
            <w:left w:w="108" w:type="dxa"/>
            <w:bottom w:w="0" w:type="dxa"/>
            <w:right w:w="108" w:type="dxa"/>
          </w:tblCellMar>
        </w:tblPrEx>
        <w:trPr>
          <w:trHeight w:val="2128"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outlineLvl w:val="9"/>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最终</w:t>
            </w:r>
            <w:r>
              <w:rPr>
                <w:rFonts w:hint="eastAsia" w:ascii="仿宋" w:hAnsi="仿宋" w:eastAsia="仿宋" w:cs="仿宋"/>
                <w:color w:val="auto"/>
                <w:kern w:val="0"/>
                <w:sz w:val="24"/>
                <w:szCs w:val="24"/>
                <w:highlight w:val="none"/>
                <w:lang w:val="zh-CN" w:eastAsia="zh-CN"/>
              </w:rPr>
              <w:t>报价（</w:t>
            </w:r>
            <w:r>
              <w:rPr>
                <w:rFonts w:hint="eastAsia" w:ascii="仿宋" w:hAnsi="仿宋" w:eastAsia="仿宋" w:cs="仿宋"/>
                <w:color w:val="auto"/>
                <w:kern w:val="0"/>
                <w:sz w:val="24"/>
                <w:szCs w:val="24"/>
                <w:highlight w:val="none"/>
                <w:lang w:val="en-US" w:eastAsia="zh-CN"/>
              </w:rPr>
              <w:t>元</w:t>
            </w:r>
            <w:r>
              <w:rPr>
                <w:rFonts w:hint="eastAsia" w:ascii="仿宋" w:hAnsi="仿宋" w:eastAsia="仿宋" w:cs="仿宋"/>
                <w:color w:val="auto"/>
                <w:kern w:val="0"/>
                <w:sz w:val="24"/>
                <w:szCs w:val="24"/>
                <w:highlight w:val="none"/>
                <w:lang w:val="zh-CN" w:eastAsia="zh-CN"/>
              </w:rPr>
              <w:t>）</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jc w:val="left"/>
              <w:outlineLvl w:val="9"/>
              <w:rPr>
                <w:rFonts w:hint="eastAsia" w:ascii="仿宋" w:hAnsi="仿宋" w:eastAsia="仿宋" w:cs="仿宋"/>
                <w:color w:val="auto"/>
                <w:sz w:val="24"/>
                <w:szCs w:val="24"/>
                <w:highlight w:val="none"/>
              </w:rPr>
            </w:pPr>
          </w:p>
          <w:p>
            <w:pPr>
              <w:pStyle w:val="18"/>
              <w:jc w:val="left"/>
              <w:outlineLvl w:val="9"/>
              <w:rPr>
                <w:rFonts w:hint="eastAsia" w:ascii="仿宋" w:hAnsi="仿宋" w:eastAsia="仿宋" w:cs="仿宋"/>
                <w:color w:val="auto"/>
                <w:kern w:val="0"/>
                <w:sz w:val="24"/>
                <w:szCs w:val="24"/>
                <w:highlight w:val="none"/>
                <w:u w:val="single"/>
                <w:lang w:val="en-US" w:eastAsia="zh-CN" w:bidi="ar-SA"/>
              </w:rPr>
            </w:pPr>
            <w:r>
              <w:rPr>
                <w:rFonts w:hint="eastAsia" w:ascii="仿宋" w:hAnsi="仿宋" w:eastAsia="仿宋" w:cs="仿宋"/>
                <w:color w:val="auto"/>
                <w:kern w:val="0"/>
                <w:sz w:val="24"/>
                <w:szCs w:val="24"/>
                <w:highlight w:val="none"/>
                <w:u w:val="none"/>
                <w:lang w:val="zh-CN" w:eastAsia="zh-CN" w:bidi="ar-SA"/>
              </w:rPr>
              <w:t>大写：</w:t>
            </w:r>
            <w:r>
              <w:rPr>
                <w:rFonts w:hint="eastAsia" w:ascii="仿宋" w:hAnsi="仿宋" w:eastAsia="仿宋" w:cs="仿宋"/>
                <w:color w:val="auto"/>
                <w:kern w:val="0"/>
                <w:sz w:val="24"/>
                <w:szCs w:val="24"/>
                <w:highlight w:val="none"/>
                <w:u w:val="single"/>
                <w:lang w:val="en-US" w:eastAsia="zh-CN" w:bidi="ar-SA"/>
              </w:rPr>
              <w:t xml:space="preserve">            </w:t>
            </w:r>
          </w:p>
          <w:p>
            <w:pPr>
              <w:pStyle w:val="18"/>
              <w:jc w:val="left"/>
              <w:outlineLvl w:val="9"/>
              <w:rPr>
                <w:rFonts w:hint="eastAsia" w:ascii="仿宋" w:hAnsi="仿宋" w:eastAsia="仿宋" w:cs="仿宋"/>
                <w:color w:val="auto"/>
                <w:kern w:val="0"/>
                <w:sz w:val="24"/>
                <w:szCs w:val="24"/>
                <w:highlight w:val="none"/>
                <w:u w:val="single"/>
                <w:lang w:val="en-US" w:eastAsia="zh-CN" w:bidi="ar-SA"/>
              </w:rPr>
            </w:pPr>
          </w:p>
          <w:p>
            <w:pPr>
              <w:pStyle w:val="18"/>
              <w:jc w:val="left"/>
              <w:outlineLvl w:val="9"/>
              <w:rPr>
                <w:rFonts w:hint="eastAsia" w:ascii="仿宋" w:hAnsi="仿宋" w:eastAsia="仿宋" w:cs="仿宋"/>
                <w:color w:val="auto"/>
                <w:sz w:val="24"/>
                <w:szCs w:val="24"/>
                <w:highlight w:val="none"/>
                <w:u w:val="none"/>
              </w:rPr>
            </w:pPr>
            <w:r>
              <w:rPr>
                <w:rFonts w:hint="eastAsia" w:ascii="仿宋" w:hAnsi="仿宋" w:eastAsia="仿宋" w:cs="仿宋"/>
                <w:color w:val="auto"/>
                <w:kern w:val="0"/>
                <w:sz w:val="24"/>
                <w:szCs w:val="24"/>
                <w:highlight w:val="none"/>
                <w:u w:val="none"/>
                <w:lang w:val="en-US" w:eastAsia="zh-CN" w:bidi="ar-SA"/>
              </w:rPr>
              <w:t xml:space="preserve">小写： </w:t>
            </w:r>
            <w:r>
              <w:rPr>
                <w:rFonts w:hint="eastAsia" w:ascii="仿宋" w:hAnsi="仿宋" w:eastAsia="仿宋" w:cs="仿宋"/>
                <w:color w:val="auto"/>
                <w:kern w:val="0"/>
                <w:sz w:val="24"/>
                <w:szCs w:val="24"/>
                <w:highlight w:val="none"/>
                <w:u w:val="single"/>
                <w:lang w:val="en-US" w:eastAsia="zh-CN" w:bidi="ar-SA"/>
              </w:rPr>
              <w:t xml:space="preserve">         </w:t>
            </w:r>
            <w:r>
              <w:rPr>
                <w:rFonts w:hint="eastAsia" w:ascii="仿宋" w:hAnsi="仿宋" w:eastAsia="仿宋" w:cs="仿宋"/>
                <w:color w:val="auto"/>
                <w:kern w:val="0"/>
                <w:sz w:val="24"/>
                <w:szCs w:val="24"/>
                <w:highlight w:val="none"/>
                <w:u w:val="none"/>
                <w:lang w:val="en-US" w:eastAsia="zh-CN" w:bidi="ar-SA"/>
              </w:rPr>
              <w:t xml:space="preserve">             </w:t>
            </w:r>
          </w:p>
        </w:tc>
      </w:tr>
      <w:tr>
        <w:tblPrEx>
          <w:tblCellMar>
            <w:top w:w="0" w:type="dxa"/>
            <w:left w:w="108" w:type="dxa"/>
            <w:bottom w:w="0" w:type="dxa"/>
            <w:right w:w="108" w:type="dxa"/>
          </w:tblCellMar>
        </w:tblPrEx>
        <w:trPr>
          <w:trHeight w:val="1111"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outlineLvl w:val="9"/>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服务期</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ind w:firstLine="480"/>
              <w:outlineLvl w:val="9"/>
              <w:rPr>
                <w:rFonts w:hint="eastAsia" w:ascii="仿宋" w:hAnsi="仿宋" w:eastAsia="仿宋" w:cs="仿宋"/>
                <w:color w:val="auto"/>
                <w:kern w:val="0"/>
                <w:sz w:val="24"/>
                <w:szCs w:val="24"/>
                <w:highlight w:val="none"/>
              </w:rPr>
            </w:pPr>
          </w:p>
        </w:tc>
      </w:tr>
      <w:tr>
        <w:tblPrEx>
          <w:tblCellMar>
            <w:top w:w="0" w:type="dxa"/>
            <w:left w:w="108" w:type="dxa"/>
            <w:bottom w:w="0" w:type="dxa"/>
            <w:right w:w="108" w:type="dxa"/>
          </w:tblCellMar>
        </w:tblPrEx>
        <w:trPr>
          <w:trHeight w:val="96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spacing w:line="336" w:lineRule="auto"/>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备注</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spacing w:line="336"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1、表内报价以总价报价。</w:t>
            </w:r>
          </w:p>
          <w:p>
            <w:pPr>
              <w:spacing w:line="336"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2、本表用于投标人进行最后报价，不在响应文件中装订。</w:t>
            </w:r>
          </w:p>
          <w:p>
            <w:pPr>
              <w:spacing w:line="336"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3、投标人应在提交响应文件时，单独备好由其法定代表人或授权代表签字并加盖公章的《二次报价表》，用于最后一轮报价。</w:t>
            </w:r>
          </w:p>
          <w:p>
            <w:pPr>
              <w:spacing w:line="336"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4、此表为投标人手持，否则视为其自动放弃最后一轮报价。</w:t>
            </w:r>
          </w:p>
        </w:tc>
      </w:tr>
    </w:tbl>
    <w:p>
      <w:pPr>
        <w:spacing w:line="336" w:lineRule="auto"/>
        <w:outlineLvl w:val="9"/>
        <w:rPr>
          <w:rFonts w:hint="eastAsia" w:ascii="仿宋" w:hAnsi="仿宋" w:eastAsia="仿宋" w:cs="仿宋"/>
          <w:color w:val="auto"/>
          <w:highlight w:val="none"/>
        </w:rPr>
      </w:pPr>
    </w:p>
    <w:p>
      <w:pPr>
        <w:spacing w:line="480" w:lineRule="auto"/>
        <w:outlineLvl w:val="9"/>
        <w:rPr>
          <w:rFonts w:hint="eastAsia" w:ascii="仿宋" w:hAnsi="仿宋" w:eastAsia="仿宋" w:cs="仿宋"/>
          <w:color w:val="auto"/>
          <w:highlight w:val="none"/>
          <w:lang w:eastAsia="zh-CN"/>
        </w:rPr>
      </w:pPr>
    </w:p>
    <w:p>
      <w:pPr>
        <w:spacing w:line="480" w:lineRule="auto"/>
        <w:ind w:left="0" w:leftChars="0" w:firstLine="2880" w:firstLineChars="1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全名称：（公章）</w:t>
      </w:r>
    </w:p>
    <w:p>
      <w:pPr>
        <w:spacing w:line="480" w:lineRule="auto"/>
        <w:ind w:left="0" w:leftChars="0" w:firstLine="2880" w:firstLineChars="1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法定代表人或被授权人：（签字）：</w:t>
      </w:r>
    </w:p>
    <w:p>
      <w:pPr>
        <w:spacing w:line="480" w:lineRule="auto"/>
        <w:ind w:left="0" w:leftChars="0" w:firstLine="2880" w:firstLineChars="1200"/>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日    期：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日</w:t>
      </w:r>
    </w:p>
    <w:p>
      <w:pPr>
        <w:spacing w:after="120" w:line="480" w:lineRule="auto"/>
        <w:outlineLvl w:val="9"/>
        <w:rPr>
          <w:rFonts w:hint="eastAsia" w:ascii="仿宋" w:hAnsi="仿宋" w:eastAsia="仿宋" w:cs="仿宋"/>
          <w:color w:val="auto"/>
          <w:highlight w:val="none"/>
        </w:rPr>
      </w:pPr>
    </w:p>
    <w:p>
      <w:pPr>
        <w:bidi w:val="0"/>
        <w:spacing w:line="240" w:lineRule="auto"/>
        <w:jc w:val="both"/>
        <w:outlineLvl w:val="9"/>
        <w:rPr>
          <w:rFonts w:hint="eastAsia" w:ascii="仿宋" w:hAnsi="仿宋" w:eastAsia="仿宋" w:cs="仿宋"/>
          <w:b/>
          <w:color w:val="auto"/>
          <w:kern w:val="0"/>
          <w:sz w:val="24"/>
          <w:szCs w:val="24"/>
          <w:highlight w:val="none"/>
          <w:shd w:val="clear" w:color="auto" w:fill="FFFFFF"/>
          <w:lang w:val="en-US" w:eastAsia="zh-CN" w:bidi="ar-SA"/>
        </w:rPr>
      </w:pPr>
    </w:p>
    <w:p>
      <w:pPr>
        <w:bidi w:val="0"/>
        <w:spacing w:line="240" w:lineRule="auto"/>
        <w:jc w:val="both"/>
        <w:outlineLvl w:val="9"/>
        <w:rPr>
          <w:rFonts w:hint="eastAsia" w:ascii="仿宋" w:hAnsi="仿宋" w:eastAsia="仿宋" w:cs="仿宋"/>
          <w:b/>
          <w:color w:val="auto"/>
          <w:kern w:val="0"/>
          <w:sz w:val="24"/>
          <w:szCs w:val="24"/>
          <w:highlight w:val="none"/>
          <w:shd w:val="clear" w:color="auto" w:fill="FFFFFF"/>
          <w:lang w:val="en-US" w:eastAsia="zh-CN" w:bidi="ar-SA"/>
        </w:rPr>
      </w:pPr>
    </w:p>
    <w:p>
      <w:pPr>
        <w:autoSpaceDE w:val="0"/>
        <w:autoSpaceDN w:val="0"/>
        <w:adjustRightInd w:val="0"/>
        <w:snapToGrid w:val="0"/>
        <w:spacing w:line="360" w:lineRule="auto"/>
        <w:jc w:val="center"/>
        <w:outlineLvl w:val="0"/>
        <w:rPr>
          <w:rFonts w:hint="eastAsia" w:ascii="仿宋" w:hAnsi="仿宋" w:eastAsia="仿宋" w:cs="仿宋"/>
          <w:b/>
          <w:bCs/>
          <w:color w:val="auto"/>
          <w:sz w:val="28"/>
          <w:szCs w:val="28"/>
          <w:highlight w:val="none"/>
          <w:lang w:val="en-US" w:eastAsia="zh-CN"/>
        </w:rPr>
      </w:pPr>
      <w:bookmarkStart w:id="594" w:name="_Toc22586"/>
      <w:r>
        <w:rPr>
          <w:rFonts w:hint="eastAsia" w:ascii="仿宋" w:hAnsi="仿宋" w:eastAsia="仿宋" w:cs="仿宋"/>
          <w:b/>
          <w:bCs/>
          <w:color w:val="auto"/>
          <w:sz w:val="28"/>
          <w:szCs w:val="28"/>
          <w:highlight w:val="none"/>
          <w:lang w:val="en-US" w:eastAsia="zh-CN"/>
        </w:rPr>
        <w:br w:type="page"/>
      </w:r>
      <w:bookmarkStart w:id="595" w:name="_Toc1755"/>
      <w:bookmarkStart w:id="596" w:name="_Toc31593"/>
      <w:r>
        <w:rPr>
          <w:rFonts w:hint="eastAsia" w:ascii="仿宋" w:hAnsi="仿宋" w:eastAsia="仿宋" w:cs="仿宋"/>
          <w:b/>
          <w:bCs/>
          <w:color w:val="auto"/>
          <w:sz w:val="28"/>
          <w:szCs w:val="28"/>
          <w:highlight w:val="none"/>
          <w:lang w:val="en-US" w:eastAsia="zh-CN"/>
        </w:rPr>
        <w:t>其他附件（此附件不作为投标响应文件格式）</w:t>
      </w:r>
      <w:bookmarkEnd w:id="594"/>
      <w:bookmarkEnd w:id="595"/>
      <w:bookmarkEnd w:id="596"/>
    </w:p>
    <w:p>
      <w:pPr>
        <w:autoSpaceDE w:val="0"/>
        <w:autoSpaceDN w:val="0"/>
        <w:adjustRightInd w:val="0"/>
        <w:snapToGrid w:val="0"/>
        <w:spacing w:line="360" w:lineRule="auto"/>
        <w:jc w:val="center"/>
        <w:outlineLvl w:val="1"/>
        <w:rPr>
          <w:rFonts w:hint="eastAsia" w:ascii="仿宋" w:hAnsi="仿宋" w:eastAsia="仿宋" w:cs="仿宋"/>
          <w:b/>
          <w:bCs/>
          <w:color w:val="auto"/>
          <w:sz w:val="28"/>
          <w:szCs w:val="28"/>
          <w:highlight w:val="none"/>
          <w:lang w:val="en-US" w:eastAsia="zh-CN"/>
        </w:rPr>
      </w:pPr>
      <w:bookmarkStart w:id="597" w:name="_Toc10495"/>
      <w:bookmarkStart w:id="598" w:name="_Toc24851"/>
      <w:r>
        <w:rPr>
          <w:rFonts w:hint="eastAsia" w:ascii="仿宋" w:hAnsi="仿宋" w:eastAsia="仿宋" w:cs="仿宋"/>
          <w:b/>
          <w:bCs/>
          <w:color w:val="auto"/>
          <w:sz w:val="28"/>
          <w:szCs w:val="28"/>
          <w:highlight w:val="none"/>
          <w:lang w:val="en-US" w:eastAsia="zh-CN"/>
        </w:rPr>
        <w:t>附件1、关于信用承诺网上公示的通知及操作指南</w:t>
      </w:r>
      <w:bookmarkEnd w:id="597"/>
      <w:bookmarkEnd w:id="598"/>
    </w:p>
    <w:p>
      <w:pPr>
        <w:bidi w:val="0"/>
        <w:spacing w:line="360" w:lineRule="auto"/>
        <w:ind w:left="0" w:leftChars="0" w:firstLine="0" w:firstLineChars="0"/>
        <w:jc w:val="center"/>
        <w:outlineLvl w:val="9"/>
        <w:rPr>
          <w:rFonts w:hint="eastAsia" w:ascii="仿宋" w:hAnsi="仿宋" w:eastAsia="仿宋" w:cs="仿宋"/>
          <w:color w:val="auto"/>
          <w:highlight w:val="none"/>
          <w:lang w:val="en-US"/>
        </w:rPr>
      </w:pPr>
    </w:p>
    <w:p>
      <w:pPr>
        <w:pStyle w:val="8"/>
        <w:numPr>
          <w:ilvl w:val="0"/>
          <w:numId w:val="0"/>
        </w:numPr>
        <w:spacing w:line="360" w:lineRule="auto"/>
        <w:jc w:val="center"/>
        <w:outlineLvl w:val="9"/>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5298440" cy="7381240"/>
            <wp:effectExtent l="0" t="0" r="5080"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98440" cy="7381240"/>
                    </a:xfrm>
                    <a:prstGeom prst="rect">
                      <a:avLst/>
                    </a:prstGeom>
                    <a:noFill/>
                    <a:ln>
                      <a:noFill/>
                    </a:ln>
                  </pic:spPr>
                </pic:pic>
              </a:graphicData>
            </a:graphic>
          </wp:inline>
        </w:drawing>
      </w:r>
    </w:p>
    <w:p>
      <w:pPr>
        <w:pStyle w:val="8"/>
        <w:numPr>
          <w:ilvl w:val="0"/>
          <w:numId w:val="0"/>
        </w:numPr>
        <w:spacing w:line="360" w:lineRule="auto"/>
        <w:jc w:val="center"/>
        <w:outlineLvl w:val="9"/>
        <w:rPr>
          <w:rFonts w:hint="eastAsia" w:ascii="仿宋" w:hAnsi="仿宋" w:eastAsia="仿宋" w:cs="仿宋"/>
          <w:color w:val="auto"/>
          <w:highlight w:val="none"/>
        </w:rPr>
      </w:pPr>
    </w:p>
    <w:p>
      <w:pPr>
        <w:pStyle w:val="8"/>
        <w:numPr>
          <w:ilvl w:val="0"/>
          <w:numId w:val="0"/>
        </w:numPr>
        <w:spacing w:line="360" w:lineRule="auto"/>
        <w:jc w:val="center"/>
        <w:outlineLvl w:val="9"/>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9"/>
        <w:rPr>
          <w:rFonts w:hint="eastAsia"/>
          <w:color w:val="auto"/>
          <w:highlight w:val="none"/>
        </w:rPr>
      </w:pPr>
    </w:p>
    <w:p>
      <w:pPr>
        <w:pStyle w:val="8"/>
        <w:pageBreakBefore w:val="0"/>
        <w:numPr>
          <w:ilvl w:val="0"/>
          <w:numId w:val="0"/>
        </w:numPr>
        <w:shd w:val="clear" w:color="auto" w:fill="auto"/>
        <w:bidi w:val="0"/>
        <w:spacing w:line="360" w:lineRule="auto"/>
        <w:ind w:left="0" w:leftChars="0" w:right="0"/>
        <w:jc w:val="center"/>
        <w:outlineLvl w:val="9"/>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5615305" cy="7517765"/>
            <wp:effectExtent l="0" t="0" r="8255" b="1079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5615305" cy="7517765"/>
                    </a:xfrm>
                    <a:prstGeom prst="rect">
                      <a:avLst/>
                    </a:prstGeom>
                    <a:noFill/>
                    <a:ln>
                      <a:noFill/>
                    </a:ln>
                  </pic:spPr>
                </pic:pic>
              </a:graphicData>
            </a:graphic>
          </wp:inline>
        </w:drawing>
      </w:r>
      <w:r>
        <w:rPr>
          <w:rFonts w:hint="eastAsia" w:ascii="仿宋" w:hAnsi="仿宋" w:eastAsia="仿宋" w:cs="仿宋"/>
          <w:color w:val="auto"/>
          <w:highlight w:val="none"/>
        </w:rPr>
        <w:br w:type="page"/>
      </w:r>
    </w:p>
    <w:p>
      <w:pPr>
        <w:pStyle w:val="8"/>
        <w:pageBreakBefore w:val="0"/>
        <w:numPr>
          <w:ilvl w:val="0"/>
          <w:numId w:val="0"/>
        </w:numPr>
        <w:shd w:val="clear" w:color="auto" w:fill="auto"/>
        <w:bidi w:val="0"/>
        <w:spacing w:line="360" w:lineRule="auto"/>
        <w:ind w:left="0" w:leftChars="0" w:right="0"/>
        <w:jc w:val="center"/>
        <w:outlineLvl w:val="9"/>
        <w:rPr>
          <w:rFonts w:hint="eastAsia" w:ascii="仿宋" w:hAnsi="仿宋" w:eastAsia="仿宋" w:cs="仿宋"/>
          <w:spacing w:val="0"/>
          <w:w w:val="100"/>
          <w:position w:val="0"/>
          <w:highlight w:val="none"/>
        </w:rPr>
      </w:pPr>
      <w:r>
        <w:rPr>
          <w:rFonts w:hint="eastAsia" w:ascii="仿宋" w:hAnsi="仿宋" w:eastAsia="仿宋" w:cs="仿宋"/>
          <w:spacing w:val="0"/>
          <w:w w:val="100"/>
          <w:position w:val="0"/>
          <w:highlight w:val="none"/>
        </w:rPr>
        <w:drawing>
          <wp:inline distT="0" distB="0" distL="114300" distR="114300">
            <wp:extent cx="5873115" cy="3194685"/>
            <wp:effectExtent l="0" t="0" r="9525" b="571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5873115" cy="3194685"/>
                    </a:xfrm>
                    <a:prstGeom prst="rect">
                      <a:avLst/>
                    </a:prstGeom>
                    <a:noFill/>
                    <a:ln>
                      <a:noFill/>
                    </a:ln>
                  </pic:spPr>
                </pic:pic>
              </a:graphicData>
            </a:graphic>
          </wp:inline>
        </w:drawing>
      </w:r>
    </w:p>
    <w:p>
      <w:pPr>
        <w:pageBreakBefore w:val="0"/>
        <w:shd w:val="clear" w:color="auto" w:fill="auto"/>
        <w:bidi w:val="0"/>
        <w:spacing w:line="360" w:lineRule="auto"/>
        <w:ind w:left="0" w:leftChars="0" w:right="0"/>
        <w:jc w:val="left"/>
        <w:outlineLvl w:val="9"/>
        <w:rPr>
          <w:rFonts w:hint="eastAsia" w:ascii="仿宋" w:hAnsi="仿宋" w:eastAsia="仿宋" w:cs="仿宋"/>
          <w:spacing w:val="0"/>
          <w:w w:val="100"/>
          <w:position w:val="0"/>
          <w:highlight w:val="none"/>
        </w:rPr>
      </w:pPr>
    </w:p>
    <w:p>
      <w:pPr>
        <w:pageBreakBefore w:val="0"/>
        <w:shd w:val="clear" w:color="auto" w:fill="auto"/>
        <w:bidi w:val="0"/>
        <w:spacing w:line="360" w:lineRule="auto"/>
        <w:ind w:left="0" w:leftChars="0" w:right="0"/>
        <w:jc w:val="center"/>
        <w:outlineLvl w:val="9"/>
        <w:rPr>
          <w:rFonts w:hint="eastAsia" w:ascii="仿宋" w:hAnsi="仿宋" w:eastAsia="仿宋" w:cs="仿宋"/>
          <w:spacing w:val="0"/>
          <w:w w:val="100"/>
          <w:position w:val="0"/>
          <w:highlight w:val="none"/>
        </w:rPr>
      </w:pPr>
      <w:r>
        <w:rPr>
          <w:rFonts w:hint="eastAsia" w:ascii="仿宋" w:hAnsi="仿宋" w:eastAsia="仿宋" w:cs="仿宋"/>
          <w:spacing w:val="0"/>
          <w:w w:val="100"/>
          <w:position w:val="0"/>
          <w:highlight w:val="none"/>
        </w:rPr>
        <w:drawing>
          <wp:inline distT="0" distB="0" distL="114300" distR="114300">
            <wp:extent cx="6001385" cy="4022090"/>
            <wp:effectExtent l="0" t="0" r="3175" b="127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6001385" cy="4022090"/>
                    </a:xfrm>
                    <a:prstGeom prst="rect">
                      <a:avLst/>
                    </a:prstGeom>
                    <a:noFill/>
                    <a:ln>
                      <a:noFill/>
                    </a:ln>
                  </pic:spPr>
                </pic:pic>
              </a:graphicData>
            </a:graphic>
          </wp:inline>
        </w:drawing>
      </w:r>
    </w:p>
    <w:p>
      <w:pPr>
        <w:pageBreakBefore w:val="0"/>
        <w:shd w:val="clear" w:color="auto" w:fill="auto"/>
        <w:bidi w:val="0"/>
        <w:spacing w:line="360" w:lineRule="auto"/>
        <w:ind w:left="0" w:leftChars="0" w:right="0"/>
        <w:jc w:val="center"/>
        <w:rPr>
          <w:rFonts w:hint="eastAsia" w:ascii="仿宋" w:hAnsi="仿宋" w:eastAsia="仿宋" w:cs="仿宋"/>
          <w:spacing w:val="0"/>
          <w:w w:val="100"/>
          <w:position w:val="0"/>
          <w:highlight w:val="none"/>
        </w:rPr>
      </w:pPr>
      <w:r>
        <w:rPr>
          <w:rFonts w:hint="eastAsia" w:ascii="仿宋" w:hAnsi="仿宋" w:eastAsia="仿宋" w:cs="仿宋"/>
          <w:spacing w:val="0"/>
          <w:w w:val="100"/>
          <w:position w:val="0"/>
          <w:highlight w:val="none"/>
        </w:rPr>
        <w:drawing>
          <wp:inline distT="0" distB="0" distL="114300" distR="114300">
            <wp:extent cx="6015355" cy="4396740"/>
            <wp:effectExtent l="0" t="0" r="34925" b="3810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0"/>
                    <a:stretch>
                      <a:fillRect/>
                    </a:stretch>
                  </pic:blipFill>
                  <pic:spPr>
                    <a:xfrm>
                      <a:off x="0" y="0"/>
                      <a:ext cx="5271135" cy="4396740"/>
                    </a:xfrm>
                    <a:prstGeom prst="rect">
                      <a:avLst/>
                    </a:prstGeom>
                    <a:noFill/>
                    <a:ln>
                      <a:noFill/>
                    </a:ln>
                    <a:effectLst>
                      <a:outerShdw dist="35921" dir="2699999" algn="ctr" rotWithShape="0">
                        <a:srgbClr val="808080"/>
                      </a:outerShdw>
                    </a:effectLst>
                  </pic:spPr>
                </pic:pic>
              </a:graphicData>
            </a:graphic>
          </wp:inline>
        </w:drawing>
      </w:r>
    </w:p>
    <w:p>
      <w:pPr>
        <w:pageBreakBefore w:val="0"/>
        <w:shd w:val="clear" w:color="auto" w:fill="auto"/>
        <w:bidi w:val="0"/>
        <w:spacing w:line="360" w:lineRule="auto"/>
        <w:ind w:left="0" w:leftChars="0" w:right="0"/>
        <w:jc w:val="center"/>
        <w:rPr>
          <w:rFonts w:hint="eastAsia" w:ascii="仿宋" w:hAnsi="仿宋" w:eastAsia="仿宋" w:cs="仿宋"/>
          <w:spacing w:val="0"/>
          <w:w w:val="100"/>
          <w:position w:val="0"/>
          <w:highlight w:val="none"/>
        </w:rPr>
      </w:pPr>
    </w:p>
    <w:p>
      <w:pPr>
        <w:pageBreakBefore w:val="0"/>
        <w:shd w:val="clear" w:color="auto" w:fill="auto"/>
        <w:bidi w:val="0"/>
        <w:spacing w:line="360" w:lineRule="auto"/>
        <w:ind w:left="0" w:leftChars="0" w:right="0"/>
        <w:jc w:val="center"/>
        <w:rPr>
          <w:rFonts w:hint="eastAsia" w:ascii="仿宋" w:hAnsi="仿宋" w:eastAsia="仿宋" w:cs="仿宋"/>
          <w:spacing w:val="0"/>
          <w:w w:val="100"/>
          <w:position w:val="0"/>
          <w:highlight w:val="none"/>
        </w:rPr>
      </w:pPr>
      <w:r>
        <w:rPr>
          <w:rFonts w:hint="eastAsia" w:ascii="仿宋" w:hAnsi="仿宋" w:eastAsia="仿宋" w:cs="仿宋"/>
          <w:spacing w:val="0"/>
          <w:w w:val="100"/>
          <w:position w:val="0"/>
          <w:highlight w:val="none"/>
        </w:rPr>
        <w:drawing>
          <wp:inline distT="0" distB="0" distL="114300" distR="114300">
            <wp:extent cx="6069330" cy="3575050"/>
            <wp:effectExtent l="0" t="0" r="11430" b="635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1"/>
                    <a:stretch>
                      <a:fillRect/>
                    </a:stretch>
                  </pic:blipFill>
                  <pic:spPr>
                    <a:xfrm>
                      <a:off x="0" y="0"/>
                      <a:ext cx="6069330" cy="3575050"/>
                    </a:xfrm>
                    <a:prstGeom prst="rect">
                      <a:avLst/>
                    </a:prstGeom>
                    <a:noFill/>
                    <a:ln>
                      <a:noFill/>
                    </a:ln>
                  </pic:spPr>
                </pic:pic>
              </a:graphicData>
            </a:graphic>
          </wp:inline>
        </w:drawing>
      </w:r>
      <w:r>
        <w:rPr>
          <w:rFonts w:hint="eastAsia" w:ascii="仿宋" w:hAnsi="仿宋" w:eastAsia="仿宋" w:cs="仿宋"/>
          <w:color w:val="auto"/>
          <w:spacing w:val="0"/>
          <w:w w:val="100"/>
          <w:szCs w:val="20"/>
          <w:highlight w:val="none"/>
        </w:rPr>
        <w:drawing>
          <wp:inline distT="0" distB="0" distL="114300" distR="114300">
            <wp:extent cx="5838190" cy="3293745"/>
            <wp:effectExtent l="0" t="0" r="13970" b="1333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2"/>
                    <a:stretch>
                      <a:fillRect/>
                    </a:stretch>
                  </pic:blipFill>
                  <pic:spPr>
                    <a:xfrm>
                      <a:off x="0" y="0"/>
                      <a:ext cx="5838190" cy="3293745"/>
                    </a:xfrm>
                    <a:prstGeom prst="rect">
                      <a:avLst/>
                    </a:prstGeom>
                    <a:noFill/>
                    <a:ln>
                      <a:noFill/>
                    </a:ln>
                  </pic:spPr>
                </pic:pic>
              </a:graphicData>
            </a:graphic>
          </wp:inline>
        </w:drawing>
      </w:r>
    </w:p>
    <w:p>
      <w:pPr>
        <w:spacing w:line="360" w:lineRule="auto"/>
        <w:jc w:val="both"/>
        <w:outlineLvl w:val="9"/>
        <w:rPr>
          <w:rFonts w:hint="eastAsia" w:ascii="仿宋" w:hAnsi="仿宋" w:eastAsia="仿宋" w:cs="仿宋"/>
          <w:color w:val="auto"/>
          <w:sz w:val="24"/>
          <w:szCs w:val="24"/>
          <w:highlight w:val="none"/>
        </w:rPr>
      </w:pPr>
    </w:p>
    <w:p>
      <w:pPr>
        <w:outlineLvl w:val="9"/>
        <w:rPr>
          <w:rFonts w:hint="eastAsia" w:ascii="仿宋" w:hAnsi="仿宋" w:eastAsia="仿宋" w:cs="仿宋"/>
          <w:color w:val="auto"/>
          <w:highlight w:val="none"/>
        </w:rPr>
      </w:pPr>
    </w:p>
    <w:p>
      <w:pPr>
        <w:widowControl/>
        <w:spacing w:line="320" w:lineRule="exact"/>
        <w:ind w:firstLine="482"/>
        <w:jc w:val="left"/>
        <w:outlineLvl w:val="9"/>
        <w:rPr>
          <w:rFonts w:hint="eastAsia" w:ascii="仿宋" w:hAnsi="仿宋" w:eastAsia="仿宋" w:cs="仿宋"/>
          <w:color w:val="auto"/>
          <w:kern w:val="0"/>
          <w:sz w:val="24"/>
          <w:highlight w:val="none"/>
        </w:rPr>
      </w:pPr>
    </w:p>
    <w:p>
      <w:pPr>
        <w:pStyle w:val="12"/>
        <w:spacing w:line="240" w:lineRule="auto"/>
        <w:jc w:val="center"/>
        <w:outlineLvl w:val="1"/>
        <w:rPr>
          <w:rFonts w:hint="eastAsia" w:ascii="仿宋" w:hAnsi="仿宋" w:eastAsia="仿宋" w:cs="仿宋"/>
          <w:b/>
          <w:bCs/>
          <w:color w:val="auto"/>
          <w:sz w:val="28"/>
          <w:szCs w:val="24"/>
          <w:highlight w:val="none"/>
          <w:lang w:val="en-US" w:eastAsia="zh-CN"/>
        </w:rPr>
      </w:pPr>
      <w:r>
        <w:rPr>
          <w:rFonts w:hint="eastAsia" w:ascii="仿宋" w:hAnsi="仿宋" w:eastAsia="仿宋" w:cs="仿宋"/>
          <w:b/>
          <w:bCs/>
          <w:color w:val="auto"/>
          <w:sz w:val="28"/>
          <w:szCs w:val="24"/>
          <w:highlight w:val="none"/>
          <w:lang w:val="en-US" w:eastAsia="zh-CN"/>
        </w:rPr>
        <w:br w:type="page"/>
      </w:r>
      <w:bookmarkStart w:id="599" w:name="_Toc12977"/>
      <w:bookmarkStart w:id="600" w:name="_Toc12615"/>
      <w:r>
        <w:rPr>
          <w:rFonts w:hint="eastAsia" w:ascii="仿宋" w:hAnsi="仿宋" w:eastAsia="仿宋" w:cs="仿宋"/>
          <w:b/>
          <w:bCs/>
          <w:color w:val="auto"/>
          <w:sz w:val="28"/>
          <w:szCs w:val="24"/>
          <w:highlight w:val="none"/>
          <w:lang w:val="en-US" w:eastAsia="zh-CN"/>
        </w:rPr>
        <w:t>附件2  关于推进政采信用融资业务的通知</w:t>
      </w:r>
      <w:bookmarkEnd w:id="599"/>
      <w:bookmarkEnd w:id="600"/>
    </w:p>
    <w:p>
      <w:pPr>
        <w:pStyle w:val="12"/>
        <w:spacing w:line="240" w:lineRule="auto"/>
        <w:jc w:val="center"/>
        <w:outlineLvl w:val="9"/>
        <w:rPr>
          <w:rFonts w:hint="eastAsia" w:ascii="仿宋" w:hAnsi="仿宋" w:eastAsia="仿宋" w:cs="仿宋"/>
          <w:b/>
          <w:bCs/>
          <w:color w:val="auto"/>
          <w:sz w:val="28"/>
          <w:szCs w:val="24"/>
          <w:highlight w:val="none"/>
          <w:lang w:val="en-US" w:eastAsia="zh-CN"/>
        </w:rPr>
      </w:pPr>
      <w:bookmarkStart w:id="601" w:name="_Toc21039"/>
      <w:bookmarkStart w:id="602" w:name="_Toc8097"/>
      <w:r>
        <w:rPr>
          <w:rFonts w:hint="eastAsia" w:ascii="仿宋" w:hAnsi="仿宋" w:eastAsia="仿宋" w:cs="仿宋"/>
          <w:b/>
          <w:bCs/>
          <w:color w:val="auto"/>
          <w:sz w:val="24"/>
          <w:szCs w:val="22"/>
          <w:highlight w:val="none"/>
          <w:lang w:val="en-US" w:eastAsia="zh-CN"/>
        </w:rPr>
        <w:t>（信用融资业务具体联系方式详见供应商须知前附表）</w:t>
      </w:r>
      <w:bookmarkEnd w:id="601"/>
      <w:bookmarkEnd w:id="602"/>
    </w:p>
    <w:p>
      <w:pPr>
        <w:pStyle w:val="12"/>
        <w:spacing w:line="240" w:lineRule="auto"/>
        <w:jc w:val="center"/>
        <w:outlineLvl w:val="9"/>
        <w:rPr>
          <w:rFonts w:hint="eastAsia" w:ascii="仿宋" w:hAnsi="仿宋" w:eastAsia="仿宋" w:cs="仿宋"/>
          <w:color w:val="auto"/>
          <w:szCs w:val="24"/>
          <w:highlight w:val="none"/>
          <w:u w:val="single"/>
          <w:lang w:eastAsia="zh-CN"/>
        </w:rPr>
      </w:pPr>
      <w:r>
        <w:rPr>
          <w:rFonts w:hint="eastAsia" w:ascii="仿宋" w:hAnsi="仿宋" w:eastAsia="仿宋" w:cs="仿宋"/>
          <w:color w:val="auto"/>
          <w:szCs w:val="24"/>
          <w:highlight w:val="none"/>
          <w:u w:val="single"/>
          <w:lang w:eastAsia="zh-CN"/>
        </w:rPr>
        <w:drawing>
          <wp:inline distT="0" distB="0" distL="114300" distR="114300">
            <wp:extent cx="5339080" cy="8004175"/>
            <wp:effectExtent l="0" t="0" r="13970" b="15875"/>
            <wp:docPr id="13"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1"/>
                    <pic:cNvPicPr>
                      <a:picLocks noChangeAspect="1"/>
                    </pic:cNvPicPr>
                  </pic:nvPicPr>
                  <pic:blipFill>
                    <a:blip r:embed="rId13"/>
                    <a:stretch>
                      <a:fillRect/>
                    </a:stretch>
                  </pic:blipFill>
                  <pic:spPr>
                    <a:xfrm>
                      <a:off x="0" y="0"/>
                      <a:ext cx="5339080" cy="8004175"/>
                    </a:xfrm>
                    <a:prstGeom prst="rect">
                      <a:avLst/>
                    </a:prstGeom>
                    <a:noFill/>
                    <a:ln>
                      <a:noFill/>
                    </a:ln>
                  </pic:spPr>
                </pic:pic>
              </a:graphicData>
            </a:graphic>
          </wp:inline>
        </w:drawing>
      </w:r>
      <w:r>
        <w:rPr>
          <w:rFonts w:hint="eastAsia" w:ascii="仿宋" w:hAnsi="仿宋" w:eastAsia="仿宋" w:cs="仿宋"/>
          <w:color w:val="auto"/>
          <w:szCs w:val="24"/>
          <w:highlight w:val="none"/>
          <w:u w:val="single"/>
          <w:lang w:eastAsia="zh-CN"/>
        </w:rPr>
        <w:drawing>
          <wp:inline distT="0" distB="0" distL="114300" distR="114300">
            <wp:extent cx="5744845" cy="8318500"/>
            <wp:effectExtent l="0" t="0" r="8255" b="6350"/>
            <wp:docPr id="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2"/>
                    <pic:cNvPicPr>
                      <a:picLocks noChangeAspect="1"/>
                    </pic:cNvPicPr>
                  </pic:nvPicPr>
                  <pic:blipFill>
                    <a:blip r:embed="rId14"/>
                    <a:stretch>
                      <a:fillRect/>
                    </a:stretch>
                  </pic:blipFill>
                  <pic:spPr>
                    <a:xfrm>
                      <a:off x="0" y="0"/>
                      <a:ext cx="5744845" cy="8318500"/>
                    </a:xfrm>
                    <a:prstGeom prst="rect">
                      <a:avLst/>
                    </a:prstGeom>
                    <a:noFill/>
                    <a:ln>
                      <a:noFill/>
                    </a:ln>
                  </pic:spPr>
                </pic:pic>
              </a:graphicData>
            </a:graphic>
          </wp:inline>
        </w:drawing>
      </w:r>
      <w:r>
        <w:rPr>
          <w:rFonts w:hint="eastAsia" w:ascii="仿宋" w:hAnsi="仿宋" w:eastAsia="仿宋" w:cs="仿宋"/>
          <w:color w:val="auto"/>
          <w:szCs w:val="24"/>
          <w:highlight w:val="none"/>
          <w:u w:val="single"/>
          <w:lang w:eastAsia="zh-CN"/>
        </w:rPr>
        <w:drawing>
          <wp:inline distT="0" distB="0" distL="114300" distR="114300">
            <wp:extent cx="5580380" cy="8217535"/>
            <wp:effectExtent l="0" t="0" r="1270" b="12065"/>
            <wp:docPr id="11"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3"/>
                    <pic:cNvPicPr>
                      <a:picLocks noChangeAspect="1"/>
                    </pic:cNvPicPr>
                  </pic:nvPicPr>
                  <pic:blipFill>
                    <a:blip r:embed="rId15"/>
                    <a:stretch>
                      <a:fillRect/>
                    </a:stretch>
                  </pic:blipFill>
                  <pic:spPr>
                    <a:xfrm>
                      <a:off x="0" y="0"/>
                      <a:ext cx="5580380" cy="8217535"/>
                    </a:xfrm>
                    <a:prstGeom prst="rect">
                      <a:avLst/>
                    </a:prstGeom>
                    <a:noFill/>
                    <a:ln>
                      <a:noFill/>
                    </a:ln>
                  </pic:spPr>
                </pic:pic>
              </a:graphicData>
            </a:graphic>
          </wp:inline>
        </w:drawing>
      </w:r>
      <w:r>
        <w:rPr>
          <w:rFonts w:hint="eastAsia" w:ascii="仿宋" w:hAnsi="仿宋" w:eastAsia="仿宋" w:cs="仿宋"/>
          <w:color w:val="auto"/>
          <w:szCs w:val="24"/>
          <w:highlight w:val="none"/>
          <w:u w:val="single"/>
          <w:lang w:eastAsia="zh-CN"/>
        </w:rPr>
        <w:drawing>
          <wp:inline distT="0" distB="0" distL="114300" distR="114300">
            <wp:extent cx="5530850" cy="8273415"/>
            <wp:effectExtent l="0" t="0" r="12700" b="13335"/>
            <wp:docPr id="18"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4"/>
                    <pic:cNvPicPr>
                      <a:picLocks noChangeAspect="1"/>
                    </pic:cNvPicPr>
                  </pic:nvPicPr>
                  <pic:blipFill>
                    <a:blip r:embed="rId16"/>
                    <a:stretch>
                      <a:fillRect/>
                    </a:stretch>
                  </pic:blipFill>
                  <pic:spPr>
                    <a:xfrm>
                      <a:off x="0" y="0"/>
                      <a:ext cx="5530850" cy="8273415"/>
                    </a:xfrm>
                    <a:prstGeom prst="rect">
                      <a:avLst/>
                    </a:prstGeom>
                    <a:noFill/>
                    <a:ln>
                      <a:noFill/>
                    </a:ln>
                  </pic:spPr>
                </pic:pic>
              </a:graphicData>
            </a:graphic>
          </wp:inline>
        </w:drawing>
      </w:r>
      <w:r>
        <w:rPr>
          <w:rFonts w:hint="eastAsia" w:ascii="仿宋" w:hAnsi="仿宋" w:eastAsia="仿宋" w:cs="仿宋"/>
          <w:color w:val="auto"/>
          <w:szCs w:val="24"/>
          <w:highlight w:val="none"/>
          <w:u w:val="single"/>
          <w:lang w:eastAsia="zh-CN"/>
        </w:rPr>
        <w:drawing>
          <wp:inline distT="0" distB="0" distL="114300" distR="114300">
            <wp:extent cx="5621020" cy="8070215"/>
            <wp:effectExtent l="0" t="0" r="17780" b="6985"/>
            <wp:docPr id="19"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5"/>
                    <pic:cNvPicPr>
                      <a:picLocks noChangeAspect="1"/>
                    </pic:cNvPicPr>
                  </pic:nvPicPr>
                  <pic:blipFill>
                    <a:blip r:embed="rId17"/>
                    <a:stretch>
                      <a:fillRect/>
                    </a:stretch>
                  </pic:blipFill>
                  <pic:spPr>
                    <a:xfrm>
                      <a:off x="0" y="0"/>
                      <a:ext cx="5621020" cy="8070215"/>
                    </a:xfrm>
                    <a:prstGeom prst="rect">
                      <a:avLst/>
                    </a:prstGeom>
                    <a:noFill/>
                    <a:ln>
                      <a:noFill/>
                    </a:ln>
                  </pic:spPr>
                </pic:pic>
              </a:graphicData>
            </a:graphic>
          </wp:inline>
        </w:drawing>
      </w:r>
      <w:r>
        <w:rPr>
          <w:rFonts w:hint="eastAsia" w:ascii="仿宋" w:hAnsi="仿宋" w:eastAsia="仿宋" w:cs="仿宋"/>
          <w:color w:val="auto"/>
          <w:szCs w:val="24"/>
          <w:highlight w:val="none"/>
          <w:u w:val="single"/>
          <w:lang w:eastAsia="zh-CN"/>
        </w:rPr>
        <w:drawing>
          <wp:inline distT="0" distB="0" distL="114300" distR="114300">
            <wp:extent cx="5395595" cy="7990840"/>
            <wp:effectExtent l="0" t="0" r="14605" b="10160"/>
            <wp:docPr id="20"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6"/>
                    <pic:cNvPicPr>
                      <a:picLocks noChangeAspect="1"/>
                    </pic:cNvPicPr>
                  </pic:nvPicPr>
                  <pic:blipFill>
                    <a:blip r:embed="rId18"/>
                    <a:stretch>
                      <a:fillRect/>
                    </a:stretch>
                  </pic:blipFill>
                  <pic:spPr>
                    <a:xfrm>
                      <a:off x="0" y="0"/>
                      <a:ext cx="5395595" cy="7990840"/>
                    </a:xfrm>
                    <a:prstGeom prst="rect">
                      <a:avLst/>
                    </a:prstGeom>
                    <a:noFill/>
                    <a:ln>
                      <a:noFill/>
                    </a:ln>
                  </pic:spPr>
                </pic:pic>
              </a:graphicData>
            </a:graphic>
          </wp:inline>
        </w:drawing>
      </w:r>
      <w:r>
        <w:rPr>
          <w:rFonts w:hint="eastAsia" w:ascii="仿宋" w:hAnsi="仿宋" w:eastAsia="仿宋" w:cs="仿宋"/>
          <w:color w:val="auto"/>
          <w:szCs w:val="24"/>
          <w:highlight w:val="none"/>
          <w:u w:val="single"/>
          <w:lang w:eastAsia="zh-CN"/>
        </w:rPr>
        <w:drawing>
          <wp:inline distT="0" distB="0" distL="114300" distR="114300">
            <wp:extent cx="5544185" cy="8251190"/>
            <wp:effectExtent l="0" t="0" r="18415" b="16510"/>
            <wp:docPr id="15"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7"/>
                    <pic:cNvPicPr>
                      <a:picLocks noChangeAspect="1"/>
                    </pic:cNvPicPr>
                  </pic:nvPicPr>
                  <pic:blipFill>
                    <a:blip r:embed="rId19"/>
                    <a:stretch>
                      <a:fillRect/>
                    </a:stretch>
                  </pic:blipFill>
                  <pic:spPr>
                    <a:xfrm>
                      <a:off x="0" y="0"/>
                      <a:ext cx="5544185" cy="8251190"/>
                    </a:xfrm>
                    <a:prstGeom prst="rect">
                      <a:avLst/>
                    </a:prstGeom>
                    <a:noFill/>
                    <a:ln>
                      <a:noFill/>
                    </a:ln>
                  </pic:spPr>
                </pic:pic>
              </a:graphicData>
            </a:graphic>
          </wp:inline>
        </w:drawing>
      </w:r>
      <w:r>
        <w:rPr>
          <w:rFonts w:hint="eastAsia" w:ascii="仿宋" w:hAnsi="仿宋" w:eastAsia="仿宋" w:cs="仿宋"/>
          <w:color w:val="auto"/>
          <w:szCs w:val="24"/>
          <w:highlight w:val="none"/>
          <w:u w:val="single"/>
          <w:lang w:eastAsia="zh-CN"/>
        </w:rPr>
        <w:drawing>
          <wp:inline distT="0" distB="0" distL="114300" distR="114300">
            <wp:extent cx="5645785" cy="8381365"/>
            <wp:effectExtent l="0" t="0" r="12065" b="635"/>
            <wp:docPr id="5" name="图片 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8"/>
                    <pic:cNvPicPr>
                      <a:picLocks noChangeAspect="1"/>
                    </pic:cNvPicPr>
                  </pic:nvPicPr>
                  <pic:blipFill>
                    <a:blip r:embed="rId20"/>
                    <a:stretch>
                      <a:fillRect/>
                    </a:stretch>
                  </pic:blipFill>
                  <pic:spPr>
                    <a:xfrm>
                      <a:off x="0" y="0"/>
                      <a:ext cx="5645785" cy="8381365"/>
                    </a:xfrm>
                    <a:prstGeom prst="rect">
                      <a:avLst/>
                    </a:prstGeom>
                    <a:noFill/>
                    <a:ln>
                      <a:noFill/>
                    </a:ln>
                  </pic:spPr>
                </pic:pic>
              </a:graphicData>
            </a:graphic>
          </wp:inline>
        </w:drawing>
      </w:r>
      <w:r>
        <w:rPr>
          <w:rFonts w:hint="eastAsia" w:ascii="仿宋" w:hAnsi="仿宋" w:eastAsia="仿宋" w:cs="仿宋"/>
          <w:color w:val="auto"/>
          <w:szCs w:val="24"/>
          <w:highlight w:val="none"/>
          <w:u w:val="single"/>
          <w:lang w:eastAsia="zh-CN"/>
        </w:rPr>
        <w:drawing>
          <wp:inline distT="0" distB="0" distL="114300" distR="114300">
            <wp:extent cx="5888990" cy="8324850"/>
            <wp:effectExtent l="0" t="0" r="16510" b="0"/>
            <wp:docPr id="6" name="图片 1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9"/>
                    <pic:cNvPicPr>
                      <a:picLocks noChangeAspect="1"/>
                    </pic:cNvPicPr>
                  </pic:nvPicPr>
                  <pic:blipFill>
                    <a:blip r:embed="rId21"/>
                    <a:stretch>
                      <a:fillRect/>
                    </a:stretch>
                  </pic:blipFill>
                  <pic:spPr>
                    <a:xfrm>
                      <a:off x="0" y="0"/>
                      <a:ext cx="5888990" cy="8324850"/>
                    </a:xfrm>
                    <a:prstGeom prst="rect">
                      <a:avLst/>
                    </a:prstGeom>
                    <a:noFill/>
                    <a:ln>
                      <a:noFill/>
                    </a:ln>
                  </pic:spPr>
                </pic:pic>
              </a:graphicData>
            </a:graphic>
          </wp:inline>
        </w:drawing>
      </w:r>
      <w:r>
        <w:rPr>
          <w:rFonts w:hint="eastAsia" w:ascii="仿宋" w:hAnsi="仿宋" w:eastAsia="仿宋" w:cs="仿宋"/>
          <w:color w:val="auto"/>
          <w:szCs w:val="24"/>
          <w:highlight w:val="none"/>
          <w:u w:val="single"/>
          <w:lang w:eastAsia="zh-CN"/>
        </w:rPr>
        <w:drawing>
          <wp:inline distT="0" distB="0" distL="114300" distR="114300">
            <wp:extent cx="5843270" cy="8352790"/>
            <wp:effectExtent l="0" t="0" r="5080" b="10160"/>
            <wp:docPr id="7" name="图片 2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10"/>
                    <pic:cNvPicPr>
                      <a:picLocks noChangeAspect="1"/>
                    </pic:cNvPicPr>
                  </pic:nvPicPr>
                  <pic:blipFill>
                    <a:blip r:embed="rId22"/>
                    <a:stretch>
                      <a:fillRect/>
                    </a:stretch>
                  </pic:blipFill>
                  <pic:spPr>
                    <a:xfrm>
                      <a:off x="0" y="0"/>
                      <a:ext cx="5843270" cy="8352790"/>
                    </a:xfrm>
                    <a:prstGeom prst="rect">
                      <a:avLst/>
                    </a:prstGeom>
                    <a:noFill/>
                    <a:ln>
                      <a:noFill/>
                    </a:ln>
                  </pic:spPr>
                </pic:pic>
              </a:graphicData>
            </a:graphic>
          </wp:inline>
        </w:drawing>
      </w:r>
    </w:p>
    <w:p>
      <w:pPr>
        <w:widowControl/>
        <w:spacing w:line="320" w:lineRule="exact"/>
        <w:ind w:firstLine="482"/>
        <w:jc w:val="left"/>
        <w:outlineLvl w:val="9"/>
        <w:rPr>
          <w:rFonts w:hint="eastAsia" w:ascii="仿宋" w:hAnsi="仿宋" w:eastAsia="仿宋" w:cs="仿宋"/>
          <w:color w:val="auto"/>
          <w:kern w:val="0"/>
          <w:sz w:val="24"/>
          <w:highlight w:val="none"/>
        </w:rPr>
      </w:pPr>
    </w:p>
    <w:p/>
    <w:sectPr>
      <w:footerReference r:id="rId4"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15265"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215265"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lIns="0" tIns="0" rIns="0" bIns="0" upright="0">
                      <a:spAutoFit/>
                    </wps:bodyPr>
                  </wps:wsp>
                </a:graphicData>
              </a:graphic>
            </wp:anchor>
          </w:drawing>
        </mc:Choice>
        <mc:Fallback>
          <w:pict>
            <v:shape id="_x0000_s1026" o:spid="_x0000_s1026" o:spt="202" type="#_x0000_t202" style="position:absolute;left:0pt;margin-top:0pt;height:144pt;width:16.95pt;mso-position-horizontal:center;mso-position-horizontal-relative:margin;z-index:251659264;mso-width-relative:page;mso-height-relative:page;" filled="f" stroked="f" coordsize="21600,21600" o:gfxdata="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LaVyR0wAAAAQBAAAPAAAAAAAAAAEAIAAAACIAAABkcnMvZG93bnJldi54&#10;bWxQSwECFAAUAAAACACHTuJAGZyc8cYBAACMAwAADgAAAAAAAAABACAAAAAiAQAAZHJzL2Uyb0Rv&#10;Yy54bWxQSwUGAAAAAAYABgBZAQAAWg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1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C0EC00"/>
    <w:multiLevelType w:val="singleLevel"/>
    <w:tmpl w:val="9DC0EC00"/>
    <w:lvl w:ilvl="0" w:tentative="0">
      <w:start w:val="1"/>
      <w:numFmt w:val="decimal"/>
      <w:suff w:val="space"/>
      <w:lvlText w:val="%1."/>
      <w:lvlJc w:val="left"/>
    </w:lvl>
  </w:abstractNum>
  <w:abstractNum w:abstractNumId="1">
    <w:nsid w:val="AE3FC392"/>
    <w:multiLevelType w:val="singleLevel"/>
    <w:tmpl w:val="AE3FC392"/>
    <w:lvl w:ilvl="0" w:tentative="0">
      <w:start w:val="1"/>
      <w:numFmt w:val="decimal"/>
      <w:lvlText w:val="(%1)"/>
      <w:lvlJc w:val="left"/>
      <w:pPr>
        <w:tabs>
          <w:tab w:val="left" w:pos="312"/>
        </w:tabs>
      </w:pPr>
    </w:lvl>
  </w:abstractNum>
  <w:abstractNum w:abstractNumId="2">
    <w:nsid w:val="FA2D3D5B"/>
    <w:multiLevelType w:val="singleLevel"/>
    <w:tmpl w:val="FA2D3D5B"/>
    <w:lvl w:ilvl="0" w:tentative="0">
      <w:start w:val="30"/>
      <w:numFmt w:val="decimal"/>
      <w:suff w:val="space"/>
      <w:lvlText w:val="%1."/>
      <w:lvlJc w:val="left"/>
    </w:lvl>
  </w:abstractNum>
  <w:abstractNum w:abstractNumId="3">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4">
    <w:nsid w:val="1035497F"/>
    <w:multiLevelType w:val="singleLevel"/>
    <w:tmpl w:val="1035497F"/>
    <w:lvl w:ilvl="0" w:tentative="0">
      <w:start w:val="5"/>
      <w:numFmt w:val="decimal"/>
      <w:suff w:val="space"/>
      <w:lvlText w:val="%1."/>
      <w:lvlJc w:val="left"/>
    </w:lvl>
  </w:abstractNum>
  <w:abstractNum w:abstractNumId="5">
    <w:nsid w:val="21E117DB"/>
    <w:multiLevelType w:val="singleLevel"/>
    <w:tmpl w:val="21E117DB"/>
    <w:lvl w:ilvl="0" w:tentative="0">
      <w:start w:val="1"/>
      <w:numFmt w:val="decimal"/>
      <w:lvlText w:val="(%1)"/>
      <w:lvlJc w:val="left"/>
      <w:pPr>
        <w:tabs>
          <w:tab w:val="left" w:pos="312"/>
        </w:tabs>
      </w:pPr>
    </w:lvl>
  </w:abstractNum>
  <w:abstractNum w:abstractNumId="6">
    <w:nsid w:val="23200C78"/>
    <w:multiLevelType w:val="singleLevel"/>
    <w:tmpl w:val="23200C78"/>
    <w:lvl w:ilvl="0" w:tentative="0">
      <w:start w:val="1"/>
      <w:numFmt w:val="decimal"/>
      <w:suff w:val="nothing"/>
      <w:lvlText w:val="（%1）"/>
      <w:lvlJc w:val="left"/>
      <w:rPr>
        <w:rFonts w:hint="default"/>
        <w:b w:val="0"/>
        <w:bCs w:val="0"/>
      </w:rPr>
    </w:lvl>
  </w:abstractNum>
  <w:abstractNum w:abstractNumId="7">
    <w:nsid w:val="5093FD10"/>
    <w:multiLevelType w:val="singleLevel"/>
    <w:tmpl w:val="5093FD10"/>
    <w:lvl w:ilvl="0" w:tentative="0">
      <w:start w:val="8"/>
      <w:numFmt w:val="chineseCounting"/>
      <w:suff w:val="nothing"/>
      <w:lvlText w:val="%1、"/>
      <w:lvlJc w:val="left"/>
      <w:rPr>
        <w:rFonts w:hint="eastAsia"/>
      </w:rPr>
    </w:lvl>
  </w:abstractNum>
  <w:abstractNum w:abstractNumId="8">
    <w:nsid w:val="537AA372"/>
    <w:multiLevelType w:val="singleLevel"/>
    <w:tmpl w:val="537AA372"/>
    <w:lvl w:ilvl="0" w:tentative="0">
      <w:start w:val="21"/>
      <w:numFmt w:val="decimal"/>
      <w:suff w:val="space"/>
      <w:lvlText w:val="%1."/>
      <w:lvlJc w:val="left"/>
    </w:lvl>
  </w:abstractNum>
  <w:abstractNum w:abstractNumId="9">
    <w:nsid w:val="5AAB3487"/>
    <w:multiLevelType w:val="singleLevel"/>
    <w:tmpl w:val="5AAB3487"/>
    <w:lvl w:ilvl="0" w:tentative="0">
      <w:start w:val="1"/>
      <w:numFmt w:val="decimal"/>
      <w:lvlText w:val="%1)"/>
      <w:lvlJc w:val="left"/>
      <w:pPr>
        <w:ind w:left="567" w:hanging="425"/>
      </w:pPr>
      <w:rPr>
        <w:rFonts w:hint="default"/>
      </w:rPr>
    </w:lvl>
  </w:abstractNum>
  <w:abstractNum w:abstractNumId="10">
    <w:nsid w:val="624D1350"/>
    <w:multiLevelType w:val="singleLevel"/>
    <w:tmpl w:val="624D1350"/>
    <w:lvl w:ilvl="0" w:tentative="0">
      <w:start w:val="25"/>
      <w:numFmt w:val="decimal"/>
      <w:suff w:val="space"/>
      <w:lvlText w:val="%1."/>
      <w:lvlJc w:val="left"/>
    </w:lvl>
  </w:abstractNum>
  <w:num w:numId="1">
    <w:abstractNumId w:val="1"/>
  </w:num>
  <w:num w:numId="2">
    <w:abstractNumId w:val="4"/>
  </w:num>
  <w:num w:numId="3">
    <w:abstractNumId w:val="8"/>
  </w:num>
  <w:num w:numId="4">
    <w:abstractNumId w:val="5"/>
  </w:num>
  <w:num w:numId="5">
    <w:abstractNumId w:val="10"/>
  </w:num>
  <w:num w:numId="6">
    <w:abstractNumId w:val="3"/>
  </w:num>
  <w:num w:numId="7">
    <w:abstractNumId w:val="2"/>
  </w:num>
  <w:num w:numId="8">
    <w:abstractNumId w:val="6"/>
  </w:num>
  <w:num w:numId="9">
    <w:abstractNumId w:val="9"/>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ZWYyNmJiYzdiODM5Y2ZjYjI3MGFkNWIwN2YwOGMifQ=="/>
  </w:docVars>
  <w:rsids>
    <w:rsidRoot w:val="666078CE"/>
    <w:rsid w:val="00046CA0"/>
    <w:rsid w:val="00AD558A"/>
    <w:rsid w:val="010B22B0"/>
    <w:rsid w:val="0132783D"/>
    <w:rsid w:val="013C2D23"/>
    <w:rsid w:val="0187402D"/>
    <w:rsid w:val="01F66ABD"/>
    <w:rsid w:val="01FE6EEA"/>
    <w:rsid w:val="027A5940"/>
    <w:rsid w:val="02D6301E"/>
    <w:rsid w:val="02DA63DE"/>
    <w:rsid w:val="02E334E5"/>
    <w:rsid w:val="038500F8"/>
    <w:rsid w:val="03AE44A9"/>
    <w:rsid w:val="03B81506"/>
    <w:rsid w:val="03DA48E8"/>
    <w:rsid w:val="04B442AC"/>
    <w:rsid w:val="04CB1A07"/>
    <w:rsid w:val="053022E6"/>
    <w:rsid w:val="05776166"/>
    <w:rsid w:val="05C07B0D"/>
    <w:rsid w:val="05C55124"/>
    <w:rsid w:val="05F11A75"/>
    <w:rsid w:val="06415816"/>
    <w:rsid w:val="064E5119"/>
    <w:rsid w:val="066D7B6C"/>
    <w:rsid w:val="06862B05"/>
    <w:rsid w:val="07827A92"/>
    <w:rsid w:val="07E04497"/>
    <w:rsid w:val="087329FF"/>
    <w:rsid w:val="08D41819"/>
    <w:rsid w:val="092E4D8E"/>
    <w:rsid w:val="094445B2"/>
    <w:rsid w:val="09D54C3A"/>
    <w:rsid w:val="0A14667A"/>
    <w:rsid w:val="0A3B59B5"/>
    <w:rsid w:val="0A9F4195"/>
    <w:rsid w:val="0ACE4A7B"/>
    <w:rsid w:val="0B136931"/>
    <w:rsid w:val="0B301291"/>
    <w:rsid w:val="0B666A61"/>
    <w:rsid w:val="0B696551"/>
    <w:rsid w:val="0B971310"/>
    <w:rsid w:val="0BAC4149"/>
    <w:rsid w:val="0C2C123B"/>
    <w:rsid w:val="0C48085D"/>
    <w:rsid w:val="0C566AD6"/>
    <w:rsid w:val="0C8F023A"/>
    <w:rsid w:val="0C923886"/>
    <w:rsid w:val="0C937D2A"/>
    <w:rsid w:val="0CAB5864"/>
    <w:rsid w:val="0CE4503C"/>
    <w:rsid w:val="0D653D6F"/>
    <w:rsid w:val="0DBD4932"/>
    <w:rsid w:val="0E032C8D"/>
    <w:rsid w:val="0E176739"/>
    <w:rsid w:val="0E325320"/>
    <w:rsid w:val="0E364E11"/>
    <w:rsid w:val="0E6179B4"/>
    <w:rsid w:val="0EC51CF1"/>
    <w:rsid w:val="0F2C7FC2"/>
    <w:rsid w:val="0FD20B69"/>
    <w:rsid w:val="0FEF171B"/>
    <w:rsid w:val="1035457B"/>
    <w:rsid w:val="10945E1E"/>
    <w:rsid w:val="10CB24F1"/>
    <w:rsid w:val="10D61FB9"/>
    <w:rsid w:val="110A4333"/>
    <w:rsid w:val="113D17E0"/>
    <w:rsid w:val="11E06E41"/>
    <w:rsid w:val="121C60CC"/>
    <w:rsid w:val="12485112"/>
    <w:rsid w:val="12E52961"/>
    <w:rsid w:val="13086650"/>
    <w:rsid w:val="13207E3D"/>
    <w:rsid w:val="135B2C24"/>
    <w:rsid w:val="13817C8D"/>
    <w:rsid w:val="138B3C85"/>
    <w:rsid w:val="138F0B1F"/>
    <w:rsid w:val="13E858DC"/>
    <w:rsid w:val="142D2812"/>
    <w:rsid w:val="15190FE8"/>
    <w:rsid w:val="156404B5"/>
    <w:rsid w:val="15655FDB"/>
    <w:rsid w:val="156D4E90"/>
    <w:rsid w:val="15826B8D"/>
    <w:rsid w:val="1596506F"/>
    <w:rsid w:val="15BA6327"/>
    <w:rsid w:val="15C745A0"/>
    <w:rsid w:val="15D31197"/>
    <w:rsid w:val="160752E5"/>
    <w:rsid w:val="16096D70"/>
    <w:rsid w:val="164107F7"/>
    <w:rsid w:val="1686308E"/>
    <w:rsid w:val="16BA4105"/>
    <w:rsid w:val="16DE4297"/>
    <w:rsid w:val="172F68A1"/>
    <w:rsid w:val="173043C7"/>
    <w:rsid w:val="17712AC8"/>
    <w:rsid w:val="17966920"/>
    <w:rsid w:val="17B31280"/>
    <w:rsid w:val="17C27715"/>
    <w:rsid w:val="17DB34F3"/>
    <w:rsid w:val="181D2B9D"/>
    <w:rsid w:val="183E47C2"/>
    <w:rsid w:val="184B14B9"/>
    <w:rsid w:val="18954E2A"/>
    <w:rsid w:val="189866C8"/>
    <w:rsid w:val="18DE057F"/>
    <w:rsid w:val="190D49C0"/>
    <w:rsid w:val="194128BC"/>
    <w:rsid w:val="196547FC"/>
    <w:rsid w:val="19B94B48"/>
    <w:rsid w:val="1A9A0036"/>
    <w:rsid w:val="1A9E31F3"/>
    <w:rsid w:val="1AB71087"/>
    <w:rsid w:val="1ABC48F0"/>
    <w:rsid w:val="1AD25EC1"/>
    <w:rsid w:val="1B481CDF"/>
    <w:rsid w:val="1B6B3C20"/>
    <w:rsid w:val="1BD87507"/>
    <w:rsid w:val="1C136791"/>
    <w:rsid w:val="1C534DE0"/>
    <w:rsid w:val="1C5E0362"/>
    <w:rsid w:val="1C7B2490"/>
    <w:rsid w:val="1C812E9F"/>
    <w:rsid w:val="1CF85987"/>
    <w:rsid w:val="1D185ADC"/>
    <w:rsid w:val="1D750D86"/>
    <w:rsid w:val="1DA578BD"/>
    <w:rsid w:val="1DCF493A"/>
    <w:rsid w:val="1E180D5E"/>
    <w:rsid w:val="1E270330"/>
    <w:rsid w:val="1E4C5F8A"/>
    <w:rsid w:val="1E6C3F37"/>
    <w:rsid w:val="1E917E41"/>
    <w:rsid w:val="1E993340"/>
    <w:rsid w:val="1ED82191"/>
    <w:rsid w:val="1EDA3596"/>
    <w:rsid w:val="1EDD6BE3"/>
    <w:rsid w:val="1EEE53EA"/>
    <w:rsid w:val="1EFE1DD5"/>
    <w:rsid w:val="1F6970D5"/>
    <w:rsid w:val="1F953961"/>
    <w:rsid w:val="1FA47700"/>
    <w:rsid w:val="201E3957"/>
    <w:rsid w:val="203C3DDD"/>
    <w:rsid w:val="204F3B10"/>
    <w:rsid w:val="207215AC"/>
    <w:rsid w:val="20CA763A"/>
    <w:rsid w:val="20DE6C42"/>
    <w:rsid w:val="20E029BA"/>
    <w:rsid w:val="211014F1"/>
    <w:rsid w:val="21156B08"/>
    <w:rsid w:val="215D400B"/>
    <w:rsid w:val="21731A80"/>
    <w:rsid w:val="21815F4B"/>
    <w:rsid w:val="21F4496F"/>
    <w:rsid w:val="223B07F0"/>
    <w:rsid w:val="22421B7E"/>
    <w:rsid w:val="22C81958"/>
    <w:rsid w:val="23052BAC"/>
    <w:rsid w:val="230E380E"/>
    <w:rsid w:val="233E11BB"/>
    <w:rsid w:val="236C49D9"/>
    <w:rsid w:val="23D521E0"/>
    <w:rsid w:val="23E80503"/>
    <w:rsid w:val="23F5677C"/>
    <w:rsid w:val="24150BCD"/>
    <w:rsid w:val="243A0633"/>
    <w:rsid w:val="243B4AD7"/>
    <w:rsid w:val="244D65B8"/>
    <w:rsid w:val="248024EA"/>
    <w:rsid w:val="24861ACA"/>
    <w:rsid w:val="24885842"/>
    <w:rsid w:val="25282446"/>
    <w:rsid w:val="257F6C45"/>
    <w:rsid w:val="25E847EB"/>
    <w:rsid w:val="25F96F8D"/>
    <w:rsid w:val="26606A77"/>
    <w:rsid w:val="26F92A28"/>
    <w:rsid w:val="272D0926"/>
    <w:rsid w:val="27983FEE"/>
    <w:rsid w:val="279938C3"/>
    <w:rsid w:val="28043432"/>
    <w:rsid w:val="285F7166"/>
    <w:rsid w:val="288D3427"/>
    <w:rsid w:val="28F72F97"/>
    <w:rsid w:val="296E7010"/>
    <w:rsid w:val="299627B0"/>
    <w:rsid w:val="299B6018"/>
    <w:rsid w:val="29A44ECD"/>
    <w:rsid w:val="29FA2D3E"/>
    <w:rsid w:val="2A6D1762"/>
    <w:rsid w:val="2B5E72FD"/>
    <w:rsid w:val="2B8B198E"/>
    <w:rsid w:val="2BA54F2C"/>
    <w:rsid w:val="2BEA7DA7"/>
    <w:rsid w:val="2C5F332D"/>
    <w:rsid w:val="2C82701B"/>
    <w:rsid w:val="2C8965FC"/>
    <w:rsid w:val="2CDC497D"/>
    <w:rsid w:val="2CF9108B"/>
    <w:rsid w:val="2D0A773C"/>
    <w:rsid w:val="2D5B1D46"/>
    <w:rsid w:val="2D8D2217"/>
    <w:rsid w:val="2DE75388"/>
    <w:rsid w:val="2DFC45CA"/>
    <w:rsid w:val="2E1D349F"/>
    <w:rsid w:val="2E254102"/>
    <w:rsid w:val="2E680214"/>
    <w:rsid w:val="2E9F2106"/>
    <w:rsid w:val="2ECB2EFB"/>
    <w:rsid w:val="2EF35FAE"/>
    <w:rsid w:val="2F3E66E6"/>
    <w:rsid w:val="2F5B602D"/>
    <w:rsid w:val="3034687E"/>
    <w:rsid w:val="30450A8C"/>
    <w:rsid w:val="304F5466"/>
    <w:rsid w:val="306B7AD4"/>
    <w:rsid w:val="3086532C"/>
    <w:rsid w:val="309F019C"/>
    <w:rsid w:val="30B005FB"/>
    <w:rsid w:val="30FD4EC2"/>
    <w:rsid w:val="31215055"/>
    <w:rsid w:val="31216E03"/>
    <w:rsid w:val="31A041CB"/>
    <w:rsid w:val="31C3610C"/>
    <w:rsid w:val="31F2254D"/>
    <w:rsid w:val="321D581C"/>
    <w:rsid w:val="32B819E9"/>
    <w:rsid w:val="32D700C1"/>
    <w:rsid w:val="33142EA8"/>
    <w:rsid w:val="33490893"/>
    <w:rsid w:val="339E473B"/>
    <w:rsid w:val="34052A0C"/>
    <w:rsid w:val="34180991"/>
    <w:rsid w:val="342B1D46"/>
    <w:rsid w:val="343926B5"/>
    <w:rsid w:val="34C43A4E"/>
    <w:rsid w:val="357F234A"/>
    <w:rsid w:val="358636D8"/>
    <w:rsid w:val="35AB75E3"/>
    <w:rsid w:val="35BF4E3C"/>
    <w:rsid w:val="35E937C1"/>
    <w:rsid w:val="35FC1BEC"/>
    <w:rsid w:val="35FC7E3E"/>
    <w:rsid w:val="361433DA"/>
    <w:rsid w:val="364C4922"/>
    <w:rsid w:val="3679323D"/>
    <w:rsid w:val="36850034"/>
    <w:rsid w:val="368A544A"/>
    <w:rsid w:val="36BA6DB8"/>
    <w:rsid w:val="375C0B95"/>
    <w:rsid w:val="37922808"/>
    <w:rsid w:val="383C4522"/>
    <w:rsid w:val="383E473E"/>
    <w:rsid w:val="38685317"/>
    <w:rsid w:val="389E6F8B"/>
    <w:rsid w:val="38AC78FA"/>
    <w:rsid w:val="38AE3672"/>
    <w:rsid w:val="38CA7D80"/>
    <w:rsid w:val="39273227"/>
    <w:rsid w:val="394E09B1"/>
    <w:rsid w:val="396C52DB"/>
    <w:rsid w:val="398268AC"/>
    <w:rsid w:val="39981C2C"/>
    <w:rsid w:val="39F14BBA"/>
    <w:rsid w:val="3A2305A9"/>
    <w:rsid w:val="3A2F2590"/>
    <w:rsid w:val="3A3C6A5B"/>
    <w:rsid w:val="3A766411"/>
    <w:rsid w:val="3AB50D20"/>
    <w:rsid w:val="3ADB2718"/>
    <w:rsid w:val="3B3A743F"/>
    <w:rsid w:val="3B5F0C53"/>
    <w:rsid w:val="3B5F6EA5"/>
    <w:rsid w:val="3B9D551E"/>
    <w:rsid w:val="3BDA477E"/>
    <w:rsid w:val="3C575DCE"/>
    <w:rsid w:val="3C700C3E"/>
    <w:rsid w:val="3CC01BC6"/>
    <w:rsid w:val="3CC11CFC"/>
    <w:rsid w:val="3CDC4526"/>
    <w:rsid w:val="3CED04E1"/>
    <w:rsid w:val="3D0E0B83"/>
    <w:rsid w:val="3D334506"/>
    <w:rsid w:val="3D3879AE"/>
    <w:rsid w:val="3D9F7F1E"/>
    <w:rsid w:val="3DC72AE0"/>
    <w:rsid w:val="3DCB0822"/>
    <w:rsid w:val="3DCC6007"/>
    <w:rsid w:val="3E7A7EF9"/>
    <w:rsid w:val="3EA6303D"/>
    <w:rsid w:val="3F487C6C"/>
    <w:rsid w:val="3FC61218"/>
    <w:rsid w:val="3FC714BD"/>
    <w:rsid w:val="3FCC0881"/>
    <w:rsid w:val="3FE1257F"/>
    <w:rsid w:val="401E208E"/>
    <w:rsid w:val="402E0892"/>
    <w:rsid w:val="405D597D"/>
    <w:rsid w:val="40776A3F"/>
    <w:rsid w:val="408C19EB"/>
    <w:rsid w:val="40D43E92"/>
    <w:rsid w:val="40D914A8"/>
    <w:rsid w:val="40E25408"/>
    <w:rsid w:val="40E45720"/>
    <w:rsid w:val="40EA5463"/>
    <w:rsid w:val="41523008"/>
    <w:rsid w:val="42786F0A"/>
    <w:rsid w:val="429C09DF"/>
    <w:rsid w:val="42B71375"/>
    <w:rsid w:val="42D24401"/>
    <w:rsid w:val="42E859D2"/>
    <w:rsid w:val="432A5FEB"/>
    <w:rsid w:val="43614A62"/>
    <w:rsid w:val="43993170"/>
    <w:rsid w:val="43AF64F0"/>
    <w:rsid w:val="43D32C1B"/>
    <w:rsid w:val="43D85A47"/>
    <w:rsid w:val="440276C9"/>
    <w:rsid w:val="44191BBB"/>
    <w:rsid w:val="44436036"/>
    <w:rsid w:val="444B4592"/>
    <w:rsid w:val="453F38A4"/>
    <w:rsid w:val="453F5652"/>
    <w:rsid w:val="460348D1"/>
    <w:rsid w:val="461B1C1B"/>
    <w:rsid w:val="461E170B"/>
    <w:rsid w:val="465A0995"/>
    <w:rsid w:val="46770F87"/>
    <w:rsid w:val="4685178A"/>
    <w:rsid w:val="46AB7443"/>
    <w:rsid w:val="471054F8"/>
    <w:rsid w:val="471274C2"/>
    <w:rsid w:val="471A0124"/>
    <w:rsid w:val="4723347D"/>
    <w:rsid w:val="474D04FA"/>
    <w:rsid w:val="47A81BD4"/>
    <w:rsid w:val="47B73BC5"/>
    <w:rsid w:val="481E3C44"/>
    <w:rsid w:val="483E5D22"/>
    <w:rsid w:val="49094948"/>
    <w:rsid w:val="491237A9"/>
    <w:rsid w:val="49177011"/>
    <w:rsid w:val="492434DC"/>
    <w:rsid w:val="49255F7E"/>
    <w:rsid w:val="49667651"/>
    <w:rsid w:val="496836AF"/>
    <w:rsid w:val="49DC7913"/>
    <w:rsid w:val="4A0B68F5"/>
    <w:rsid w:val="4A3414FD"/>
    <w:rsid w:val="4A895CED"/>
    <w:rsid w:val="4AAA5C63"/>
    <w:rsid w:val="4AD60806"/>
    <w:rsid w:val="4B0E61F2"/>
    <w:rsid w:val="4B38501D"/>
    <w:rsid w:val="4B5E5853"/>
    <w:rsid w:val="4B977F95"/>
    <w:rsid w:val="4BC36FDC"/>
    <w:rsid w:val="4C4D68A6"/>
    <w:rsid w:val="4C9B1D07"/>
    <w:rsid w:val="4CDB0356"/>
    <w:rsid w:val="4D241CFD"/>
    <w:rsid w:val="4D2B308B"/>
    <w:rsid w:val="4D3A1520"/>
    <w:rsid w:val="4D41465D"/>
    <w:rsid w:val="4D491763"/>
    <w:rsid w:val="4D502AF2"/>
    <w:rsid w:val="4DA03D47"/>
    <w:rsid w:val="4ED17C62"/>
    <w:rsid w:val="4F1E452A"/>
    <w:rsid w:val="4F302BDB"/>
    <w:rsid w:val="4F5252CE"/>
    <w:rsid w:val="4FF416D0"/>
    <w:rsid w:val="508F1B83"/>
    <w:rsid w:val="50CD4E29"/>
    <w:rsid w:val="51257DF2"/>
    <w:rsid w:val="513D513B"/>
    <w:rsid w:val="51CD2963"/>
    <w:rsid w:val="522400A9"/>
    <w:rsid w:val="525E7A5F"/>
    <w:rsid w:val="526617C2"/>
    <w:rsid w:val="526A01B2"/>
    <w:rsid w:val="5277467D"/>
    <w:rsid w:val="530F0D59"/>
    <w:rsid w:val="53191BD8"/>
    <w:rsid w:val="532540D9"/>
    <w:rsid w:val="532A16EF"/>
    <w:rsid w:val="53364538"/>
    <w:rsid w:val="545C7FCE"/>
    <w:rsid w:val="54947768"/>
    <w:rsid w:val="54EF2BF0"/>
    <w:rsid w:val="563D3E2F"/>
    <w:rsid w:val="565F5B54"/>
    <w:rsid w:val="567315FF"/>
    <w:rsid w:val="56E37A63"/>
    <w:rsid w:val="57633422"/>
    <w:rsid w:val="576378C6"/>
    <w:rsid w:val="57664CC0"/>
    <w:rsid w:val="5778511F"/>
    <w:rsid w:val="57C2639A"/>
    <w:rsid w:val="583D3C73"/>
    <w:rsid w:val="58900862"/>
    <w:rsid w:val="589C6BEB"/>
    <w:rsid w:val="58BC103B"/>
    <w:rsid w:val="58C1648C"/>
    <w:rsid w:val="594352B9"/>
    <w:rsid w:val="598F49A2"/>
    <w:rsid w:val="59AC10B0"/>
    <w:rsid w:val="59AD6BD6"/>
    <w:rsid w:val="59CC3500"/>
    <w:rsid w:val="59D625D1"/>
    <w:rsid w:val="5B0E487E"/>
    <w:rsid w:val="5B296730"/>
    <w:rsid w:val="5B4E6197"/>
    <w:rsid w:val="5C2A41AC"/>
    <w:rsid w:val="5CA93FCD"/>
    <w:rsid w:val="5CE648D9"/>
    <w:rsid w:val="5D086F45"/>
    <w:rsid w:val="5E2C0A11"/>
    <w:rsid w:val="5E331DA0"/>
    <w:rsid w:val="5EA42C9D"/>
    <w:rsid w:val="5EBD3D5F"/>
    <w:rsid w:val="5EE72B8A"/>
    <w:rsid w:val="5EEE216B"/>
    <w:rsid w:val="5F117C07"/>
    <w:rsid w:val="5F187B9A"/>
    <w:rsid w:val="5F887EC9"/>
    <w:rsid w:val="5FB01417"/>
    <w:rsid w:val="5FC66C44"/>
    <w:rsid w:val="5FE84E0C"/>
    <w:rsid w:val="600F2399"/>
    <w:rsid w:val="601B2AEB"/>
    <w:rsid w:val="60D809DC"/>
    <w:rsid w:val="611A2DA3"/>
    <w:rsid w:val="61406582"/>
    <w:rsid w:val="61497B2C"/>
    <w:rsid w:val="617821BF"/>
    <w:rsid w:val="61AE6FB6"/>
    <w:rsid w:val="61CD250B"/>
    <w:rsid w:val="621016AF"/>
    <w:rsid w:val="62504035"/>
    <w:rsid w:val="626502B1"/>
    <w:rsid w:val="627C678B"/>
    <w:rsid w:val="62894684"/>
    <w:rsid w:val="629848C7"/>
    <w:rsid w:val="62F80CBF"/>
    <w:rsid w:val="63AC7EFE"/>
    <w:rsid w:val="63F55D49"/>
    <w:rsid w:val="640D3093"/>
    <w:rsid w:val="641C6E32"/>
    <w:rsid w:val="643028DD"/>
    <w:rsid w:val="643C430D"/>
    <w:rsid w:val="645667E8"/>
    <w:rsid w:val="645962D8"/>
    <w:rsid w:val="650D2C1F"/>
    <w:rsid w:val="6569254B"/>
    <w:rsid w:val="656B4D2D"/>
    <w:rsid w:val="65847385"/>
    <w:rsid w:val="65982E30"/>
    <w:rsid w:val="65BF660F"/>
    <w:rsid w:val="65D06126"/>
    <w:rsid w:val="65FD2C93"/>
    <w:rsid w:val="662841B4"/>
    <w:rsid w:val="663012BB"/>
    <w:rsid w:val="666078CE"/>
    <w:rsid w:val="6669046B"/>
    <w:rsid w:val="66884C53"/>
    <w:rsid w:val="66E53E53"/>
    <w:rsid w:val="670047E9"/>
    <w:rsid w:val="67851192"/>
    <w:rsid w:val="67F307F2"/>
    <w:rsid w:val="67F3434E"/>
    <w:rsid w:val="68232E85"/>
    <w:rsid w:val="68490412"/>
    <w:rsid w:val="68757459"/>
    <w:rsid w:val="69F66377"/>
    <w:rsid w:val="69F83E9D"/>
    <w:rsid w:val="6A0942FC"/>
    <w:rsid w:val="6A2C3B47"/>
    <w:rsid w:val="6AA54025"/>
    <w:rsid w:val="6AB204F0"/>
    <w:rsid w:val="6ABF49BB"/>
    <w:rsid w:val="6AD00976"/>
    <w:rsid w:val="6ADE4F13"/>
    <w:rsid w:val="6B00125C"/>
    <w:rsid w:val="6B1C1E0E"/>
    <w:rsid w:val="6B264A3A"/>
    <w:rsid w:val="6B2C02A3"/>
    <w:rsid w:val="6B3E7FD6"/>
    <w:rsid w:val="6BDD334B"/>
    <w:rsid w:val="6C0F54CE"/>
    <w:rsid w:val="6C6E48EB"/>
    <w:rsid w:val="6C767ECC"/>
    <w:rsid w:val="6CA87DFD"/>
    <w:rsid w:val="6D1C60F5"/>
    <w:rsid w:val="6D505D9E"/>
    <w:rsid w:val="6D8141AA"/>
    <w:rsid w:val="6DB12CE1"/>
    <w:rsid w:val="6E0B7268"/>
    <w:rsid w:val="6E8403F6"/>
    <w:rsid w:val="6E9A3775"/>
    <w:rsid w:val="6EA36ACE"/>
    <w:rsid w:val="6EE36717"/>
    <w:rsid w:val="6EEE586F"/>
    <w:rsid w:val="6F115932"/>
    <w:rsid w:val="6F437969"/>
    <w:rsid w:val="6F54601A"/>
    <w:rsid w:val="6F671151"/>
    <w:rsid w:val="6F910ABA"/>
    <w:rsid w:val="6F946416"/>
    <w:rsid w:val="70F27898"/>
    <w:rsid w:val="71493231"/>
    <w:rsid w:val="71687B5B"/>
    <w:rsid w:val="718F50E7"/>
    <w:rsid w:val="71900E5F"/>
    <w:rsid w:val="71D074AE"/>
    <w:rsid w:val="72895D82"/>
    <w:rsid w:val="72B97F75"/>
    <w:rsid w:val="72D134DE"/>
    <w:rsid w:val="734D525A"/>
    <w:rsid w:val="73920EBF"/>
    <w:rsid w:val="73DB0AB8"/>
    <w:rsid w:val="74235FBB"/>
    <w:rsid w:val="742A559B"/>
    <w:rsid w:val="74582B58"/>
    <w:rsid w:val="749B1FF5"/>
    <w:rsid w:val="74A569D0"/>
    <w:rsid w:val="75671ED7"/>
    <w:rsid w:val="759E7FEF"/>
    <w:rsid w:val="76257DC8"/>
    <w:rsid w:val="763B09BB"/>
    <w:rsid w:val="76BB072D"/>
    <w:rsid w:val="76DB5CBD"/>
    <w:rsid w:val="77112A42"/>
    <w:rsid w:val="77560455"/>
    <w:rsid w:val="77752FD1"/>
    <w:rsid w:val="779F1DFC"/>
    <w:rsid w:val="77AB4063"/>
    <w:rsid w:val="77EB6DF0"/>
    <w:rsid w:val="77ED0DBA"/>
    <w:rsid w:val="786D3CA8"/>
    <w:rsid w:val="7873754D"/>
    <w:rsid w:val="787972DB"/>
    <w:rsid w:val="789C75AF"/>
    <w:rsid w:val="78A21BA4"/>
    <w:rsid w:val="799E680F"/>
    <w:rsid w:val="7A097A01"/>
    <w:rsid w:val="7A517C9C"/>
    <w:rsid w:val="7AAE35C7"/>
    <w:rsid w:val="7AB22DB1"/>
    <w:rsid w:val="7AC676A0"/>
    <w:rsid w:val="7B476A33"/>
    <w:rsid w:val="7B821819"/>
    <w:rsid w:val="7B8477B5"/>
    <w:rsid w:val="7B9E04DB"/>
    <w:rsid w:val="7BFA1CF7"/>
    <w:rsid w:val="7C0D37D8"/>
    <w:rsid w:val="7C413482"/>
    <w:rsid w:val="7D1110A6"/>
    <w:rsid w:val="7D5E0064"/>
    <w:rsid w:val="7D603DDC"/>
    <w:rsid w:val="7D8C4BD1"/>
    <w:rsid w:val="7DD24CD9"/>
    <w:rsid w:val="7E1352F2"/>
    <w:rsid w:val="7E461224"/>
    <w:rsid w:val="7E4B683A"/>
    <w:rsid w:val="7EBB576E"/>
    <w:rsid w:val="7F0B7D77"/>
    <w:rsid w:val="7F10235B"/>
    <w:rsid w:val="7F231565"/>
    <w:rsid w:val="7F4734A5"/>
    <w:rsid w:val="7F6E0A32"/>
    <w:rsid w:val="7F7B314F"/>
    <w:rsid w:val="7FAF4BA7"/>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qFormat="1" w:uiPriority="99"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2"/>
    <w:next w:val="1"/>
    <w:link w:val="44"/>
    <w:autoRedefine/>
    <w:qFormat/>
    <w:uiPriority w:val="99"/>
    <w:pPr>
      <w:spacing w:before="260" w:after="260" w:line="416" w:lineRule="atLeast"/>
      <w:outlineLvl w:val="1"/>
    </w:pPr>
    <w:rPr>
      <w:rFonts w:ascii="Cambria" w:hAnsi="Cambria"/>
      <w:sz w:val="32"/>
      <w:szCs w:val="32"/>
    </w:rPr>
  </w:style>
  <w:style w:type="paragraph" w:styleId="4">
    <w:name w:val="heading 3"/>
    <w:basedOn w:val="3"/>
    <w:next w:val="1"/>
    <w:link w:val="45"/>
    <w:autoRedefine/>
    <w:qFormat/>
    <w:uiPriority w:val="99"/>
    <w:pPr>
      <w:tabs>
        <w:tab w:val="left" w:pos="588"/>
      </w:tabs>
      <w:spacing w:line="360" w:lineRule="auto"/>
      <w:outlineLvl w:val="2"/>
    </w:pPr>
    <w:rPr>
      <w:rFonts w:ascii="Tahoma" w:hAnsi="Tahoma"/>
    </w:rPr>
  </w:style>
  <w:style w:type="paragraph" w:styleId="5">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4">
    <w:name w:val="Default Paragraph Font"/>
    <w:autoRedefine/>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7">
    <w:name w:val="table of authorities"/>
    <w:basedOn w:val="1"/>
    <w:next w:val="1"/>
    <w:autoRedefine/>
    <w:qFormat/>
    <w:uiPriority w:val="0"/>
    <w:pPr>
      <w:spacing w:before="100" w:beforeAutospacing="1" w:after="100" w:afterAutospacing="1"/>
      <w:ind w:left="420" w:leftChars="200"/>
    </w:pPr>
  </w:style>
  <w:style w:type="paragraph" w:styleId="8">
    <w:name w:val="Normal Indent"/>
    <w:basedOn w:val="1"/>
    <w:next w:val="9"/>
    <w:autoRedefine/>
    <w:qFormat/>
    <w:uiPriority w:val="0"/>
    <w:pPr>
      <w:spacing w:line="360" w:lineRule="auto"/>
      <w:ind w:firstLine="200" w:firstLineChars="200"/>
    </w:pPr>
    <w:rPr>
      <w:sz w:val="24"/>
      <w:szCs w:val="20"/>
    </w:rPr>
  </w:style>
  <w:style w:type="paragraph" w:styleId="9">
    <w:name w:val="toc 4"/>
    <w:basedOn w:val="1"/>
    <w:next w:val="1"/>
    <w:autoRedefine/>
    <w:unhideWhenUsed/>
    <w:qFormat/>
    <w:uiPriority w:val="39"/>
    <w:pPr>
      <w:ind w:left="1260" w:leftChars="600"/>
    </w:pPr>
  </w:style>
  <w:style w:type="paragraph" w:styleId="10">
    <w:name w:val="Body Text"/>
    <w:basedOn w:val="1"/>
    <w:next w:val="1"/>
    <w:autoRedefine/>
    <w:qFormat/>
    <w:uiPriority w:val="99"/>
    <w:pPr>
      <w:spacing w:line="360" w:lineRule="auto"/>
    </w:pPr>
    <w:rPr>
      <w:rFonts w:ascii="Tahoma" w:hAnsi="Tahoma"/>
    </w:rPr>
  </w:style>
  <w:style w:type="paragraph" w:styleId="11">
    <w:name w:val="Body Text Indent"/>
    <w:basedOn w:val="1"/>
    <w:autoRedefine/>
    <w:qFormat/>
    <w:uiPriority w:val="99"/>
    <w:pPr>
      <w:widowControl/>
      <w:spacing w:line="360" w:lineRule="auto"/>
      <w:ind w:firstLine="709"/>
      <w:jc w:val="left"/>
    </w:pPr>
    <w:rPr>
      <w:rFonts w:ascii="Tahoma" w:hAnsi="Tahoma"/>
    </w:rPr>
  </w:style>
  <w:style w:type="paragraph" w:styleId="12">
    <w:name w:val="Plain Text"/>
    <w:basedOn w:val="1"/>
    <w:autoRedefine/>
    <w:qFormat/>
    <w:uiPriority w:val="0"/>
    <w:pPr>
      <w:spacing w:line="360" w:lineRule="auto"/>
    </w:pPr>
    <w:rPr>
      <w:rFonts w:ascii="宋体" w:hAnsi="Courier New"/>
      <w:szCs w:val="21"/>
    </w:rPr>
  </w:style>
  <w:style w:type="paragraph" w:styleId="13">
    <w:name w:val="footer"/>
    <w:basedOn w:val="1"/>
    <w:next w:val="1"/>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14">
    <w:name w:val="envelope return"/>
    <w:basedOn w:val="1"/>
    <w:autoRedefine/>
    <w:qFormat/>
    <w:uiPriority w:val="0"/>
    <w:pPr>
      <w:snapToGrid w:val="0"/>
    </w:pPr>
    <w:rPr>
      <w:rFonts w:ascii="Arial" w:hAnsi="Arial"/>
    </w:rPr>
  </w:style>
  <w:style w:type="paragraph" w:styleId="15">
    <w:name w:val="header"/>
    <w:basedOn w:val="1"/>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16">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17">
    <w:name w:val="Body Text Indent 3"/>
    <w:basedOn w:val="1"/>
    <w:autoRedefine/>
    <w:unhideWhenUsed/>
    <w:qFormat/>
    <w:uiPriority w:val="99"/>
    <w:pPr>
      <w:spacing w:after="120"/>
      <w:ind w:left="420" w:leftChars="200"/>
    </w:pPr>
    <w:rPr>
      <w:sz w:val="16"/>
      <w:szCs w:val="16"/>
    </w:rPr>
  </w:style>
  <w:style w:type="paragraph" w:styleId="18">
    <w:name w:val="Body Text 2"/>
    <w:basedOn w:val="1"/>
    <w:autoRedefine/>
    <w:qFormat/>
    <w:uiPriority w:val="99"/>
    <w:pPr>
      <w:spacing w:line="360" w:lineRule="auto"/>
      <w:ind w:right="26"/>
    </w:pPr>
    <w:rPr>
      <w:rFonts w:ascii="宋体" w:eastAsia="宋体"/>
      <w:szCs w:val="20"/>
    </w:rPr>
  </w:style>
  <w:style w:type="paragraph" w:styleId="19">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20">
    <w:name w:val="Body Text First Indent"/>
    <w:basedOn w:val="10"/>
    <w:autoRedefine/>
    <w:qFormat/>
    <w:uiPriority w:val="0"/>
    <w:pPr>
      <w:spacing w:after="120" w:line="240" w:lineRule="auto"/>
      <w:ind w:firstLine="100" w:firstLineChars="100"/>
    </w:pPr>
  </w:style>
  <w:style w:type="paragraph" w:styleId="21">
    <w:name w:val="Body Text First Indent 2"/>
    <w:basedOn w:val="11"/>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23">
    <w:name w:val="Table Grid"/>
    <w:basedOn w:val="22"/>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0"/>
    <w:rPr>
      <w:b/>
      <w:bCs/>
    </w:rPr>
  </w:style>
  <w:style w:type="character" w:styleId="26">
    <w:name w:val="FollowedHyperlink"/>
    <w:basedOn w:val="24"/>
    <w:autoRedefine/>
    <w:qFormat/>
    <w:uiPriority w:val="0"/>
    <w:rPr>
      <w:color w:val="800080"/>
      <w:u w:val="none"/>
    </w:rPr>
  </w:style>
  <w:style w:type="character" w:styleId="27">
    <w:name w:val="Emphasis"/>
    <w:basedOn w:val="24"/>
    <w:autoRedefine/>
    <w:qFormat/>
    <w:uiPriority w:val="0"/>
    <w:rPr>
      <w:b/>
      <w:bCs/>
    </w:rPr>
  </w:style>
  <w:style w:type="character" w:styleId="28">
    <w:name w:val="HTML Definition"/>
    <w:basedOn w:val="24"/>
    <w:autoRedefine/>
    <w:qFormat/>
    <w:uiPriority w:val="0"/>
  </w:style>
  <w:style w:type="character" w:styleId="29">
    <w:name w:val="HTML Typewriter"/>
    <w:basedOn w:val="24"/>
    <w:autoRedefine/>
    <w:qFormat/>
    <w:uiPriority w:val="0"/>
    <w:rPr>
      <w:rFonts w:ascii="monospace" w:hAnsi="monospace" w:eastAsia="monospace" w:cs="monospace"/>
      <w:sz w:val="20"/>
    </w:rPr>
  </w:style>
  <w:style w:type="character" w:styleId="30">
    <w:name w:val="HTML Acronym"/>
    <w:basedOn w:val="24"/>
    <w:autoRedefine/>
    <w:qFormat/>
    <w:uiPriority w:val="0"/>
  </w:style>
  <w:style w:type="character" w:styleId="31">
    <w:name w:val="HTML Variable"/>
    <w:basedOn w:val="24"/>
    <w:autoRedefine/>
    <w:qFormat/>
    <w:uiPriority w:val="0"/>
  </w:style>
  <w:style w:type="character" w:styleId="32">
    <w:name w:val="Hyperlink"/>
    <w:basedOn w:val="24"/>
    <w:autoRedefine/>
    <w:qFormat/>
    <w:uiPriority w:val="0"/>
    <w:rPr>
      <w:color w:val="0000FF"/>
      <w:u w:val="none"/>
    </w:rPr>
  </w:style>
  <w:style w:type="character" w:styleId="33">
    <w:name w:val="HTML Code"/>
    <w:basedOn w:val="24"/>
    <w:autoRedefine/>
    <w:qFormat/>
    <w:uiPriority w:val="0"/>
    <w:rPr>
      <w:rFonts w:hint="default" w:ascii="monospace" w:hAnsi="monospace" w:eastAsia="monospace" w:cs="monospace"/>
      <w:sz w:val="20"/>
    </w:rPr>
  </w:style>
  <w:style w:type="character" w:styleId="34">
    <w:name w:val="HTML Cite"/>
    <w:basedOn w:val="24"/>
    <w:autoRedefine/>
    <w:qFormat/>
    <w:uiPriority w:val="0"/>
  </w:style>
  <w:style w:type="character" w:styleId="35">
    <w:name w:val="HTML Keyboard"/>
    <w:basedOn w:val="24"/>
    <w:autoRedefine/>
    <w:qFormat/>
    <w:uiPriority w:val="0"/>
    <w:rPr>
      <w:rFonts w:hint="default" w:ascii="monospace" w:hAnsi="monospace" w:eastAsia="monospace" w:cs="monospace"/>
      <w:sz w:val="20"/>
    </w:rPr>
  </w:style>
  <w:style w:type="character" w:styleId="36">
    <w:name w:val="HTML Sample"/>
    <w:basedOn w:val="24"/>
    <w:autoRedefine/>
    <w:qFormat/>
    <w:uiPriority w:val="0"/>
    <w:rPr>
      <w:rFonts w:hint="default" w:ascii="monospace" w:hAnsi="monospace" w:eastAsia="monospace" w:cs="monospace"/>
    </w:rPr>
  </w:style>
  <w:style w:type="character" w:customStyle="1" w:styleId="37">
    <w:name w:val="标题 1 Char1"/>
    <w:autoRedefine/>
    <w:qFormat/>
    <w:uiPriority w:val="99"/>
    <w:rPr>
      <w:rFonts w:ascii="黑体" w:eastAsia="黑体"/>
      <w:sz w:val="52"/>
      <w:lang w:bidi="ar-SA"/>
    </w:rPr>
  </w:style>
  <w:style w:type="paragraph" w:customStyle="1" w:styleId="38">
    <w:name w:val="标题2"/>
    <w:basedOn w:val="3"/>
    <w:next w:val="1"/>
    <w:autoRedefine/>
    <w:qFormat/>
    <w:uiPriority w:val="0"/>
    <w:pPr>
      <w:widowControl/>
      <w:spacing w:beforeLines="10" w:afterLines="10" w:line="240" w:lineRule="auto"/>
      <w:jc w:val="left"/>
    </w:pPr>
    <w:rPr>
      <w:rFonts w:ascii="Times New Roman" w:hAnsi="Times New Roman" w:eastAsia="黑体"/>
      <w:szCs w:val="24"/>
    </w:rPr>
  </w:style>
  <w:style w:type="paragraph" w:customStyle="1" w:styleId="39">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customStyle="1" w:styleId="40">
    <w:name w:val="xl23"/>
    <w:basedOn w:val="1"/>
    <w:autoRedefine/>
    <w:qFormat/>
    <w:uiPriority w:val="0"/>
    <w:pPr>
      <w:widowControl/>
      <w:spacing w:before="100" w:beforeAutospacing="1" w:after="100" w:afterAutospacing="1" w:line="360" w:lineRule="auto"/>
      <w:textAlignment w:val="top"/>
    </w:pPr>
    <w:rPr>
      <w:kern w:val="0"/>
      <w:sz w:val="24"/>
    </w:rPr>
  </w:style>
  <w:style w:type="paragraph" w:styleId="41">
    <w:name w:val="List Paragraph"/>
    <w:basedOn w:val="1"/>
    <w:autoRedefine/>
    <w:qFormat/>
    <w:uiPriority w:val="34"/>
    <w:pPr>
      <w:ind w:firstLine="420" w:firstLineChars="200"/>
    </w:pPr>
    <w:rPr>
      <w:rFonts w:ascii="Calibri" w:hAnsi="Calibri" w:eastAsia="宋体"/>
      <w:szCs w:val="22"/>
    </w:rPr>
  </w:style>
  <w:style w:type="table" w:customStyle="1" w:styleId="42">
    <w:name w:val="Table Normal"/>
    <w:autoRedefine/>
    <w:unhideWhenUsed/>
    <w:qFormat/>
    <w:uiPriority w:val="0"/>
    <w:tblPr>
      <w:tblCellMar>
        <w:top w:w="0" w:type="dxa"/>
        <w:left w:w="0" w:type="dxa"/>
        <w:bottom w:w="0" w:type="dxa"/>
        <w:right w:w="0" w:type="dxa"/>
      </w:tblCellMar>
    </w:tblPr>
  </w:style>
  <w:style w:type="paragraph" w:customStyle="1" w:styleId="43">
    <w:name w:val="Char"/>
    <w:basedOn w:val="1"/>
    <w:autoRedefine/>
    <w:qFormat/>
    <w:uiPriority w:val="0"/>
    <w:rPr>
      <w:rFonts w:ascii="仿宋_GB2312" w:eastAsia="仿宋_GB2312"/>
      <w:b/>
      <w:sz w:val="32"/>
      <w:szCs w:val="32"/>
    </w:rPr>
  </w:style>
  <w:style w:type="character" w:customStyle="1" w:styleId="44">
    <w:name w:val="标题 2 Char"/>
    <w:link w:val="3"/>
    <w:autoRedefine/>
    <w:qFormat/>
    <w:uiPriority w:val="99"/>
    <w:rPr>
      <w:rFonts w:ascii="Cambria" w:hAnsi="Cambria"/>
      <w:sz w:val="32"/>
      <w:szCs w:val="32"/>
    </w:rPr>
  </w:style>
  <w:style w:type="character" w:customStyle="1" w:styleId="45">
    <w:name w:val="标题 3 Char"/>
    <w:link w:val="4"/>
    <w:autoRedefine/>
    <w:qFormat/>
    <w:uiPriority w:val="99"/>
    <w:rPr>
      <w:rFonts w:ascii="Tahoma" w:hAnsi="Tahoma"/>
    </w:rPr>
  </w:style>
  <w:style w:type="paragraph" w:customStyle="1" w:styleId="46">
    <w:name w:val="正文缩进1"/>
    <w:basedOn w:val="1"/>
    <w:autoRedefine/>
    <w:qFormat/>
    <w:uiPriority w:val="0"/>
    <w:pPr>
      <w:ind w:firstLine="200" w:firstLineChars="200"/>
    </w:pPr>
  </w:style>
  <w:style w:type="character" w:customStyle="1" w:styleId="47">
    <w:name w:val="NormalCharacter"/>
    <w:link w:val="48"/>
    <w:autoRedefine/>
    <w:qFormat/>
    <w:uiPriority w:val="0"/>
  </w:style>
  <w:style w:type="paragraph" w:customStyle="1" w:styleId="48">
    <w:name w:val="UserStyle_34"/>
    <w:basedOn w:val="1"/>
    <w:link w:val="47"/>
    <w:autoRedefine/>
    <w:qFormat/>
    <w:uiPriority w:val="0"/>
  </w:style>
  <w:style w:type="paragraph" w:customStyle="1" w:styleId="49">
    <w:name w:val="Table Paragraph"/>
    <w:basedOn w:val="1"/>
    <w:autoRedefine/>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28776</Words>
  <Characters>30954</Characters>
  <Lines>0</Lines>
  <Paragraphs>0</Paragraphs>
  <TotalTime>43</TotalTime>
  <ScaleCrop>false</ScaleCrop>
  <LinksUpToDate>false</LinksUpToDate>
  <CharactersWithSpaces>33062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2025-08-13T11:02:00Z</dcterms:created>
  <dc:creator>kk</dc:creator>
  <cp:lastModifiedBy>WPS_1544435833</cp:lastModifiedBy>
  <dcterms:modified xsi:type="dcterms:W3CDTF">2025-09-17T03:12:52Z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520AA37E1E474208A2C986DBB3DBA3AC_13</vt:lpwstr>
  </property>
  <property fmtid="{D5CDD505-2E9C-101B-9397-08002B2CF9AE}" pid="4" name="KSOTemplateDocerSaveRecord">
    <vt:lpwstr>eyJoZGlkIjoiOWVjZWQ2YjM2MjdlYmMwMmFmMTI5ZDY5NjhkMzA1NWYiLCJ1c2VySWQiOiIxMzQwODUxMTg2In0=</vt:lpwstr>
  </property>
</Properties>
</file>